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035" w:rsidRDefault="00AE76D2" w:rsidP="004E5749">
      <w:pPr>
        <w:jc w:val="center"/>
        <w:rPr>
          <w:b/>
          <w:bCs/>
          <w:sz w:val="24"/>
          <w:szCs w:val="24"/>
          <w:u w:val="single"/>
        </w:rPr>
      </w:pPr>
      <w:r>
        <w:rPr>
          <w:noProof/>
        </w:rPr>
        <w:drawing>
          <wp:inline distT="0" distB="0" distL="0" distR="0">
            <wp:extent cx="752475" cy="752475"/>
            <wp:effectExtent l="19050" t="0" r="9525" b="0"/>
            <wp:docPr id="1" name="Picture 1" descr="cid:image001.png@01CBDF52.E765C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BDF52.E765C570"/>
                    <pic:cNvPicPr>
                      <a:picLocks noChangeAspect="1" noChangeArrowheads="1"/>
                    </pic:cNvPicPr>
                  </pic:nvPicPr>
                  <pic:blipFill>
                    <a:blip r:embed="rId6" r:link="rId7"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r>
        <w:rPr>
          <w:noProof/>
        </w:rPr>
        <w:drawing>
          <wp:inline distT="0" distB="0" distL="0" distR="0">
            <wp:extent cx="4467225" cy="790575"/>
            <wp:effectExtent l="19050" t="0" r="9525" b="0"/>
            <wp:docPr id="4" name="Picture 2" descr="cid:image002.png@01CBDF52.E765C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BDF52.E765C570"/>
                    <pic:cNvPicPr>
                      <a:picLocks noChangeAspect="1" noChangeArrowheads="1"/>
                    </pic:cNvPicPr>
                  </pic:nvPicPr>
                  <pic:blipFill>
                    <a:blip r:embed="rId8" r:link="rId9" cstate="print"/>
                    <a:srcRect/>
                    <a:stretch>
                      <a:fillRect/>
                    </a:stretch>
                  </pic:blipFill>
                  <pic:spPr bwMode="auto">
                    <a:xfrm>
                      <a:off x="0" y="0"/>
                      <a:ext cx="4467225" cy="790575"/>
                    </a:xfrm>
                    <a:prstGeom prst="rect">
                      <a:avLst/>
                    </a:prstGeom>
                    <a:noFill/>
                    <a:ln w="9525">
                      <a:noFill/>
                      <a:miter lim="800000"/>
                      <a:headEnd/>
                      <a:tailEnd/>
                    </a:ln>
                  </pic:spPr>
                </pic:pic>
              </a:graphicData>
            </a:graphic>
          </wp:inline>
        </w:drawing>
      </w:r>
    </w:p>
    <w:p w:rsidR="00AE76D2" w:rsidRDefault="00AE76D2" w:rsidP="00AE76D2">
      <w:pPr>
        <w:jc w:val="center"/>
      </w:pPr>
      <w:r>
        <w:rPr>
          <w:sz w:val="24"/>
          <w:szCs w:val="24"/>
          <w:lang w:val="en-CA"/>
        </w:rPr>
        <w:t>______________________________________________________________________________</w:t>
      </w:r>
    </w:p>
    <w:p w:rsidR="00AE76D2" w:rsidRDefault="00AE76D2" w:rsidP="00AE76D2">
      <w:pPr>
        <w:tabs>
          <w:tab w:val="right" w:pos="9360"/>
        </w:tabs>
        <w:rPr>
          <w:sz w:val="24"/>
          <w:szCs w:val="24"/>
        </w:rPr>
      </w:pPr>
      <w:r>
        <w:rPr>
          <w:sz w:val="24"/>
          <w:szCs w:val="24"/>
        </w:rPr>
        <w:t>FOR IMMEDIATE RELEASE</w:t>
      </w:r>
      <w:r>
        <w:rPr>
          <w:sz w:val="24"/>
          <w:szCs w:val="24"/>
        </w:rPr>
        <w:tab/>
        <w:t xml:space="preserve">                                                                                                 AT</w:t>
      </w:r>
    </w:p>
    <w:p w:rsidR="00AE76D2" w:rsidRDefault="005068D4" w:rsidP="00AE76D2">
      <w:pPr>
        <w:tabs>
          <w:tab w:val="right" w:pos="9360"/>
        </w:tabs>
        <w:rPr>
          <w:sz w:val="24"/>
          <w:szCs w:val="24"/>
        </w:rPr>
      </w:pPr>
      <w:r>
        <w:rPr>
          <w:sz w:val="24"/>
          <w:szCs w:val="24"/>
        </w:rPr>
        <w:t>THURS</w:t>
      </w:r>
      <w:r w:rsidR="002B7DBE">
        <w:rPr>
          <w:sz w:val="24"/>
          <w:szCs w:val="24"/>
        </w:rPr>
        <w:t xml:space="preserve">DAY, MARCH </w:t>
      </w:r>
      <w:r>
        <w:rPr>
          <w:sz w:val="24"/>
          <w:szCs w:val="24"/>
        </w:rPr>
        <w:t>31</w:t>
      </w:r>
      <w:r w:rsidR="00AE76D2">
        <w:rPr>
          <w:sz w:val="24"/>
          <w:szCs w:val="24"/>
        </w:rPr>
        <w:t>, 2011</w:t>
      </w:r>
      <w:r w:rsidR="00AE76D2">
        <w:rPr>
          <w:sz w:val="24"/>
          <w:szCs w:val="24"/>
        </w:rPr>
        <w:tab/>
        <w:t xml:space="preserve">                                                                            (202) </w:t>
      </w:r>
      <w:bookmarkStart w:id="0" w:name="4"/>
      <w:bookmarkEnd w:id="0"/>
      <w:r w:rsidR="00AE76D2">
        <w:rPr>
          <w:sz w:val="24"/>
          <w:szCs w:val="24"/>
        </w:rPr>
        <w:t>514-2007</w:t>
      </w:r>
    </w:p>
    <w:p w:rsidR="00AE76D2" w:rsidRDefault="00322A99" w:rsidP="00AE76D2">
      <w:pPr>
        <w:jc w:val="center"/>
        <w:rPr>
          <w:sz w:val="24"/>
          <w:szCs w:val="24"/>
        </w:rPr>
      </w:pPr>
      <w:hyperlink r:id="rId10" w:history="1">
        <w:r w:rsidR="00AE76D2">
          <w:rPr>
            <w:rStyle w:val="SYSHYPERTEXT"/>
            <w:sz w:val="24"/>
            <w:szCs w:val="24"/>
          </w:rPr>
          <w:t>WWW.JUSTICE.GOV</w:t>
        </w:r>
      </w:hyperlink>
      <w:r w:rsidR="00AE76D2">
        <w:rPr>
          <w:sz w:val="24"/>
          <w:szCs w:val="24"/>
        </w:rPr>
        <w:t xml:space="preserve">                                                                                    TDD</w:t>
      </w:r>
      <w:r w:rsidR="00C62A88">
        <w:rPr>
          <w:sz w:val="24"/>
          <w:szCs w:val="24"/>
        </w:rPr>
        <w:t xml:space="preserve"> </w:t>
      </w:r>
      <w:r w:rsidR="00AE76D2">
        <w:rPr>
          <w:sz w:val="24"/>
          <w:szCs w:val="24"/>
        </w:rPr>
        <w:t>(202) 514-1888</w:t>
      </w:r>
    </w:p>
    <w:p w:rsidR="00BD6AE9" w:rsidRDefault="00BD6AE9" w:rsidP="00180A46">
      <w:pPr>
        <w:rPr>
          <w:b/>
          <w:bCs/>
          <w:sz w:val="24"/>
          <w:szCs w:val="24"/>
          <w:u w:val="single"/>
        </w:rPr>
      </w:pPr>
    </w:p>
    <w:p w:rsidR="004E5749" w:rsidRDefault="004E5749" w:rsidP="004E5749">
      <w:pPr>
        <w:jc w:val="center"/>
        <w:rPr>
          <w:b/>
          <w:bCs/>
          <w:sz w:val="24"/>
          <w:szCs w:val="24"/>
          <w:u w:val="single"/>
        </w:rPr>
      </w:pPr>
      <w:r>
        <w:rPr>
          <w:b/>
          <w:bCs/>
          <w:sz w:val="24"/>
          <w:szCs w:val="24"/>
          <w:u w:val="single"/>
        </w:rPr>
        <w:t>DEPARTMENT OF JUSTICE, FEDERAL TRADE COMMISSION SEEK PUBLIC</w:t>
      </w:r>
    </w:p>
    <w:p w:rsidR="004E5749" w:rsidRDefault="004E5749" w:rsidP="004E5749">
      <w:pPr>
        <w:jc w:val="center"/>
        <w:rPr>
          <w:b/>
          <w:bCs/>
          <w:sz w:val="24"/>
          <w:szCs w:val="24"/>
          <w:u w:val="single"/>
        </w:rPr>
      </w:pPr>
      <w:r>
        <w:rPr>
          <w:b/>
          <w:bCs/>
          <w:sz w:val="24"/>
          <w:szCs w:val="24"/>
          <w:u w:val="single"/>
        </w:rPr>
        <w:t>COMMENT ON PROPOSED STATEMENT OF ANTITRUST ENFORCEMENT</w:t>
      </w:r>
    </w:p>
    <w:p w:rsidR="004E5749" w:rsidRDefault="004E5749" w:rsidP="004E5749">
      <w:pPr>
        <w:jc w:val="center"/>
        <w:rPr>
          <w:b/>
          <w:bCs/>
          <w:sz w:val="24"/>
          <w:szCs w:val="24"/>
          <w:u w:val="single"/>
        </w:rPr>
      </w:pPr>
      <w:r>
        <w:rPr>
          <w:b/>
          <w:bCs/>
          <w:sz w:val="24"/>
          <w:szCs w:val="24"/>
          <w:u w:val="single"/>
        </w:rPr>
        <w:t>REGARDING ACCOUNTABLE CARE ORGANIZATIONS</w:t>
      </w:r>
    </w:p>
    <w:p w:rsidR="004E5749" w:rsidRPr="004E5749" w:rsidRDefault="004E5749" w:rsidP="004E5749">
      <w:pPr>
        <w:jc w:val="center"/>
        <w:rPr>
          <w:b/>
          <w:bCs/>
          <w:sz w:val="24"/>
          <w:szCs w:val="24"/>
          <w:u w:val="single"/>
        </w:rPr>
      </w:pPr>
    </w:p>
    <w:p w:rsidR="004E5749" w:rsidRPr="004E5749" w:rsidRDefault="004E5749" w:rsidP="004E5749">
      <w:pPr>
        <w:jc w:val="center"/>
        <w:rPr>
          <w:b/>
          <w:bCs/>
          <w:sz w:val="24"/>
          <w:szCs w:val="24"/>
        </w:rPr>
      </w:pPr>
      <w:r w:rsidRPr="004E5749">
        <w:rPr>
          <w:b/>
          <w:i/>
          <w:iCs/>
          <w:sz w:val="24"/>
          <w:szCs w:val="24"/>
        </w:rPr>
        <w:t>Provides for Antitrust “Safety Zone” and Expedited Antitrust Review</w:t>
      </w:r>
    </w:p>
    <w:p w:rsidR="004E5749" w:rsidRDefault="004E5749" w:rsidP="004E5749">
      <w:pPr>
        <w:rPr>
          <w:b/>
          <w:bCs/>
          <w:sz w:val="24"/>
          <w:szCs w:val="24"/>
        </w:rPr>
      </w:pPr>
    </w:p>
    <w:p w:rsidR="004E5749" w:rsidRDefault="004E5749" w:rsidP="004E5749">
      <w:pPr>
        <w:rPr>
          <w:sz w:val="24"/>
          <w:szCs w:val="24"/>
        </w:rPr>
      </w:pPr>
      <w:r>
        <w:rPr>
          <w:sz w:val="24"/>
          <w:szCs w:val="24"/>
        </w:rPr>
        <w:t xml:space="preserve">            WASHINGTON – The Department of Justice and the Federal Trade Commission (FTC) today issued a joint statement about how the agencies will enforce U.S. antitrust laws in regard to new Accountable Care Organizations</w:t>
      </w:r>
      <w:r w:rsidR="001A0A25">
        <w:rPr>
          <w:sz w:val="24"/>
          <w:szCs w:val="24"/>
        </w:rPr>
        <w:t xml:space="preserve"> (ACOs)</w:t>
      </w:r>
      <w:r>
        <w:rPr>
          <w:sz w:val="24"/>
          <w:szCs w:val="24"/>
        </w:rPr>
        <w:t xml:space="preserve"> – groups of health care providers that will collaborate under the new Affordable Care Act of 2010 to improve health care quality and reduce costs.</w:t>
      </w:r>
    </w:p>
    <w:p w:rsidR="004E5749" w:rsidRDefault="004E5749" w:rsidP="004E5749">
      <w:pPr>
        <w:rPr>
          <w:sz w:val="24"/>
          <w:szCs w:val="24"/>
        </w:rPr>
      </w:pPr>
    </w:p>
    <w:p w:rsidR="004E5749" w:rsidRDefault="004E5749" w:rsidP="004E5749">
      <w:pPr>
        <w:rPr>
          <w:sz w:val="24"/>
          <w:szCs w:val="24"/>
        </w:rPr>
      </w:pPr>
      <w:r>
        <w:rPr>
          <w:sz w:val="24"/>
          <w:szCs w:val="24"/>
        </w:rPr>
        <w:tab/>
        <w:t xml:space="preserve">The joint proposed policy statement solicits public comment on the antitrust agencies’ proposed guidance to ensure that newly formed </w:t>
      </w:r>
      <w:r w:rsidR="00687ADB">
        <w:rPr>
          <w:sz w:val="24"/>
          <w:szCs w:val="24"/>
        </w:rPr>
        <w:t xml:space="preserve">ACOs </w:t>
      </w:r>
      <w:r>
        <w:rPr>
          <w:sz w:val="24"/>
          <w:szCs w:val="24"/>
        </w:rPr>
        <w:t xml:space="preserve">can innovate to serve Medicare beneficiaries and patients with private health insurance, without raising competitive concerns.  The proposed policy statement would create an antitrust “safety zone” for certain ACOs and establish </w:t>
      </w:r>
      <w:r w:rsidR="00D745C9">
        <w:rPr>
          <w:sz w:val="24"/>
          <w:szCs w:val="24"/>
        </w:rPr>
        <w:t>an expedited antitrust review</w:t>
      </w:r>
      <w:r>
        <w:rPr>
          <w:sz w:val="24"/>
          <w:szCs w:val="24"/>
        </w:rPr>
        <w:t xml:space="preserve"> </w:t>
      </w:r>
      <w:r w:rsidR="00D745C9">
        <w:rPr>
          <w:sz w:val="24"/>
          <w:szCs w:val="24"/>
        </w:rPr>
        <w:t xml:space="preserve">process </w:t>
      </w:r>
      <w:r>
        <w:rPr>
          <w:sz w:val="24"/>
          <w:szCs w:val="24"/>
        </w:rPr>
        <w:t>for others.</w:t>
      </w:r>
    </w:p>
    <w:p w:rsidR="004E5749" w:rsidRDefault="004E5749" w:rsidP="004E5749">
      <w:pPr>
        <w:rPr>
          <w:sz w:val="24"/>
          <w:szCs w:val="24"/>
        </w:rPr>
      </w:pPr>
    </w:p>
    <w:p w:rsidR="004E5749" w:rsidRDefault="002C7B6D" w:rsidP="002C7B6D">
      <w:pPr>
        <w:ind w:firstLine="720"/>
        <w:rPr>
          <w:sz w:val="24"/>
          <w:szCs w:val="24"/>
        </w:rPr>
      </w:pPr>
      <w:r>
        <w:rPr>
          <w:sz w:val="24"/>
          <w:szCs w:val="24"/>
        </w:rPr>
        <w:t>“Providing Americans with quality h</w:t>
      </w:r>
      <w:r w:rsidR="00005A25">
        <w:rPr>
          <w:sz w:val="24"/>
          <w:szCs w:val="24"/>
        </w:rPr>
        <w:t>ealth care at affordable prices has been and will cont</w:t>
      </w:r>
      <w:r w:rsidR="001A0A25">
        <w:rPr>
          <w:sz w:val="24"/>
          <w:szCs w:val="24"/>
        </w:rPr>
        <w:t>inue to be a priority for this a</w:t>
      </w:r>
      <w:r w:rsidR="00005A25">
        <w:rPr>
          <w:sz w:val="24"/>
          <w:szCs w:val="24"/>
        </w:rPr>
        <w:t xml:space="preserve">dministration, and the intergovernmental effort on </w:t>
      </w:r>
      <w:r w:rsidR="00BD1DB7">
        <w:rPr>
          <w:sz w:val="24"/>
          <w:szCs w:val="24"/>
        </w:rPr>
        <w:t xml:space="preserve">providing guidance to </w:t>
      </w:r>
      <w:r w:rsidR="00005A25">
        <w:rPr>
          <w:sz w:val="24"/>
          <w:szCs w:val="24"/>
        </w:rPr>
        <w:t>ACOs</w:t>
      </w:r>
      <w:r w:rsidR="00D15ECA">
        <w:rPr>
          <w:sz w:val="24"/>
          <w:szCs w:val="24"/>
        </w:rPr>
        <w:t xml:space="preserve"> enhances these goals</w:t>
      </w:r>
      <w:r w:rsidR="00005A25">
        <w:rPr>
          <w:sz w:val="24"/>
          <w:szCs w:val="24"/>
        </w:rPr>
        <w:t xml:space="preserve">,” </w:t>
      </w:r>
      <w:r>
        <w:rPr>
          <w:sz w:val="24"/>
          <w:szCs w:val="24"/>
        </w:rPr>
        <w:t>said</w:t>
      </w:r>
      <w:r w:rsidR="00E80629">
        <w:rPr>
          <w:sz w:val="24"/>
          <w:szCs w:val="24"/>
        </w:rPr>
        <w:t xml:space="preserve"> Christine Varney, Assistant Attorney General in charge of the </w:t>
      </w:r>
      <w:r w:rsidR="00536C05">
        <w:rPr>
          <w:sz w:val="24"/>
          <w:szCs w:val="24"/>
        </w:rPr>
        <w:t>Department of Justice</w:t>
      </w:r>
      <w:r w:rsidR="00E80629">
        <w:rPr>
          <w:sz w:val="24"/>
          <w:szCs w:val="24"/>
        </w:rPr>
        <w:t>’s Antitrust Division</w:t>
      </w:r>
      <w:r>
        <w:rPr>
          <w:sz w:val="24"/>
          <w:szCs w:val="24"/>
        </w:rPr>
        <w:t xml:space="preserve">.  </w:t>
      </w:r>
      <w:r w:rsidR="00005A25">
        <w:rPr>
          <w:sz w:val="24"/>
          <w:szCs w:val="24"/>
        </w:rPr>
        <w:t>“The Antitrust Division supports innovative, collaborative</w:t>
      </w:r>
      <w:r w:rsidR="0024114A">
        <w:rPr>
          <w:sz w:val="24"/>
          <w:szCs w:val="24"/>
        </w:rPr>
        <w:t xml:space="preserve"> and </w:t>
      </w:r>
      <w:r w:rsidR="00536C05">
        <w:rPr>
          <w:sz w:val="24"/>
          <w:szCs w:val="24"/>
        </w:rPr>
        <w:t xml:space="preserve">cost saving efforts </w:t>
      </w:r>
      <w:r w:rsidR="00BF640C">
        <w:rPr>
          <w:sz w:val="24"/>
          <w:szCs w:val="24"/>
        </w:rPr>
        <w:t>– t</w:t>
      </w:r>
      <w:r w:rsidR="0024114A">
        <w:rPr>
          <w:sz w:val="24"/>
          <w:szCs w:val="24"/>
        </w:rPr>
        <w:t>hat</w:t>
      </w:r>
      <w:r w:rsidR="00005A25">
        <w:rPr>
          <w:sz w:val="24"/>
          <w:szCs w:val="24"/>
        </w:rPr>
        <w:t xml:space="preserve"> c</w:t>
      </w:r>
      <w:r w:rsidR="00536C05">
        <w:rPr>
          <w:sz w:val="24"/>
          <w:szCs w:val="24"/>
        </w:rPr>
        <w:t xml:space="preserve">omply with the antitrust laws </w:t>
      </w:r>
      <w:r w:rsidR="00BF640C">
        <w:rPr>
          <w:sz w:val="24"/>
          <w:szCs w:val="24"/>
        </w:rPr>
        <w:t>– t</w:t>
      </w:r>
      <w:r w:rsidR="00005A25">
        <w:rPr>
          <w:sz w:val="24"/>
          <w:szCs w:val="24"/>
        </w:rPr>
        <w:t>o improve health care and reduce costs</w:t>
      </w:r>
      <w:r w:rsidR="00715405">
        <w:rPr>
          <w:sz w:val="24"/>
          <w:szCs w:val="24"/>
        </w:rPr>
        <w:t xml:space="preserve"> to all Americans</w:t>
      </w:r>
      <w:r w:rsidR="00005A25">
        <w:rPr>
          <w:sz w:val="24"/>
          <w:szCs w:val="24"/>
        </w:rPr>
        <w:t>.”</w:t>
      </w:r>
    </w:p>
    <w:p w:rsidR="00407F50" w:rsidRDefault="00407F50" w:rsidP="002C7B6D">
      <w:pPr>
        <w:ind w:firstLine="720"/>
        <w:rPr>
          <w:sz w:val="24"/>
          <w:szCs w:val="24"/>
        </w:rPr>
      </w:pPr>
    </w:p>
    <w:p w:rsidR="004E5749" w:rsidRDefault="00CF5A80" w:rsidP="008877F0">
      <w:pPr>
        <w:ind w:firstLine="720"/>
        <w:rPr>
          <w:sz w:val="24"/>
          <w:szCs w:val="28"/>
        </w:rPr>
      </w:pPr>
      <w:r>
        <w:rPr>
          <w:sz w:val="24"/>
          <w:szCs w:val="28"/>
        </w:rPr>
        <w:t>The d</w:t>
      </w:r>
      <w:r w:rsidR="00341C97" w:rsidRPr="00341C97">
        <w:rPr>
          <w:sz w:val="24"/>
          <w:szCs w:val="28"/>
        </w:rPr>
        <w:t>epartment vigorously enforces the antitrust laws in the health care se</w:t>
      </w:r>
      <w:r>
        <w:rPr>
          <w:sz w:val="24"/>
          <w:szCs w:val="28"/>
        </w:rPr>
        <w:t>ctor.  Over the past 20 years</w:t>
      </w:r>
      <w:r w:rsidR="00341C97" w:rsidRPr="00341C97">
        <w:rPr>
          <w:sz w:val="24"/>
          <w:szCs w:val="28"/>
        </w:rPr>
        <w:t xml:space="preserve">, the </w:t>
      </w:r>
      <w:r>
        <w:rPr>
          <w:sz w:val="24"/>
          <w:szCs w:val="28"/>
        </w:rPr>
        <w:t>d</w:t>
      </w:r>
      <w:r w:rsidR="00341C97" w:rsidRPr="00341C97">
        <w:rPr>
          <w:sz w:val="24"/>
          <w:szCs w:val="28"/>
        </w:rPr>
        <w:t>epa</w:t>
      </w:r>
      <w:r>
        <w:rPr>
          <w:sz w:val="24"/>
          <w:szCs w:val="28"/>
        </w:rPr>
        <w:t>rtment has conducted</w:t>
      </w:r>
      <w:r w:rsidRPr="00CF5A80">
        <w:rPr>
          <w:rFonts w:cs="Arial"/>
          <w:sz w:val="24"/>
        </w:rPr>
        <w:t xml:space="preserve"> more tha</w:t>
      </w:r>
      <w:r>
        <w:rPr>
          <w:rFonts w:cs="Arial"/>
          <w:sz w:val="24"/>
        </w:rPr>
        <w:t xml:space="preserve">n 60 substantial investigations </w:t>
      </w:r>
      <w:r w:rsidR="00341C97" w:rsidRPr="00341C97">
        <w:rPr>
          <w:sz w:val="24"/>
          <w:szCs w:val="28"/>
        </w:rPr>
        <w:t>into the conduct of he</w:t>
      </w:r>
      <w:r w:rsidR="00FF24BA">
        <w:rPr>
          <w:sz w:val="24"/>
          <w:szCs w:val="28"/>
        </w:rPr>
        <w:t>alth insurance plans, hospitals</w:t>
      </w:r>
      <w:r w:rsidR="00341C97" w:rsidRPr="00341C97">
        <w:rPr>
          <w:sz w:val="24"/>
          <w:szCs w:val="28"/>
        </w:rPr>
        <w:t xml:space="preserve"> and physicians.  These investigations have res</w:t>
      </w:r>
      <w:r w:rsidR="00521CBF">
        <w:rPr>
          <w:sz w:val="24"/>
          <w:szCs w:val="28"/>
        </w:rPr>
        <w:t xml:space="preserve">ulted in a number of </w:t>
      </w:r>
      <w:r w:rsidR="00341C97" w:rsidRPr="00341C97">
        <w:rPr>
          <w:sz w:val="24"/>
          <w:szCs w:val="28"/>
        </w:rPr>
        <w:t xml:space="preserve">enforcement actions, including successful challenges to health plan and hospital mergers and physician boycotts.  These actions have protected consumers from anticompetitive conduct, resulting in lower prices for and higher quality of health care services. </w:t>
      </w:r>
      <w:r>
        <w:rPr>
          <w:sz w:val="24"/>
          <w:szCs w:val="28"/>
        </w:rPr>
        <w:t>The d</w:t>
      </w:r>
      <w:r w:rsidRPr="00341C97">
        <w:rPr>
          <w:sz w:val="24"/>
          <w:szCs w:val="28"/>
        </w:rPr>
        <w:t xml:space="preserve">epartment has also provided the industry with substantial guidance.  </w:t>
      </w:r>
      <w:r w:rsidR="00687ADB">
        <w:rPr>
          <w:sz w:val="24"/>
          <w:szCs w:val="28"/>
        </w:rPr>
        <w:t>In 1996, the department and the FTC issued joint Statements of Antitrust Enforcement Policy in Health Care.  Also, o</w:t>
      </w:r>
      <w:r>
        <w:rPr>
          <w:sz w:val="24"/>
          <w:szCs w:val="28"/>
        </w:rPr>
        <w:t>ver the past two decades, the d</w:t>
      </w:r>
      <w:r w:rsidR="00DF3EB6">
        <w:rPr>
          <w:sz w:val="24"/>
          <w:szCs w:val="28"/>
        </w:rPr>
        <w:t xml:space="preserve">epartment has issued </w:t>
      </w:r>
      <w:r w:rsidR="00BF64A8">
        <w:rPr>
          <w:sz w:val="24"/>
          <w:szCs w:val="28"/>
        </w:rPr>
        <w:t>more than 62</w:t>
      </w:r>
      <w:r w:rsidR="00DF3EB6">
        <w:rPr>
          <w:sz w:val="24"/>
          <w:szCs w:val="28"/>
        </w:rPr>
        <w:t xml:space="preserve"> </w:t>
      </w:r>
      <w:r w:rsidRPr="00341C97">
        <w:rPr>
          <w:sz w:val="24"/>
          <w:szCs w:val="28"/>
        </w:rPr>
        <w:t>business review letters that responded to inquiries from industry participants about the antitrust issues involved in many different types of practices</w:t>
      </w:r>
      <w:r>
        <w:rPr>
          <w:sz w:val="24"/>
          <w:szCs w:val="28"/>
        </w:rPr>
        <w:t>.</w:t>
      </w:r>
    </w:p>
    <w:p w:rsidR="00687ADB" w:rsidRPr="00CF5A80" w:rsidRDefault="00687ADB" w:rsidP="008877F0">
      <w:pPr>
        <w:ind w:firstLine="720"/>
        <w:rPr>
          <w:rFonts w:ascii="Calibri" w:hAnsi="Calibri" w:cs="Calibri"/>
          <w:sz w:val="24"/>
          <w:szCs w:val="22"/>
        </w:rPr>
      </w:pPr>
    </w:p>
    <w:p w:rsidR="00AE76D2" w:rsidRDefault="001A0A25" w:rsidP="004E5749">
      <w:pPr>
        <w:rPr>
          <w:sz w:val="24"/>
          <w:szCs w:val="24"/>
        </w:rPr>
      </w:pPr>
      <w:r>
        <w:rPr>
          <w:sz w:val="24"/>
          <w:szCs w:val="24"/>
        </w:rPr>
        <w:lastRenderedPageBreak/>
        <w:tab/>
      </w:r>
      <w:r w:rsidR="00C65EF2">
        <w:rPr>
          <w:sz w:val="24"/>
          <w:szCs w:val="24"/>
        </w:rPr>
        <w:t>The Affordable Care Act of 2</w:t>
      </w:r>
      <w:r w:rsidR="00687ADB">
        <w:rPr>
          <w:sz w:val="24"/>
          <w:szCs w:val="24"/>
        </w:rPr>
        <w:t>010</w:t>
      </w:r>
      <w:r w:rsidR="004E5749">
        <w:rPr>
          <w:sz w:val="24"/>
          <w:szCs w:val="24"/>
        </w:rPr>
        <w:t xml:space="preserve"> encourages health care providers to form integrated organizations to jointly offer services in order to reduce costs and improve the quality of patient care in the United States.  The goal of these joint provider organizations – ACOs – is to better coordinate care, leading to efficiencies and cost sav</w:t>
      </w:r>
      <w:r w:rsidR="00687ADB">
        <w:rPr>
          <w:sz w:val="24"/>
          <w:szCs w:val="24"/>
        </w:rPr>
        <w:t>ings for consumers.  Under the a</w:t>
      </w:r>
      <w:r w:rsidR="004E5749">
        <w:rPr>
          <w:sz w:val="24"/>
          <w:szCs w:val="24"/>
        </w:rPr>
        <w:t xml:space="preserve">ct, ACOs will serve fee-for-service </w:t>
      </w:r>
      <w:r w:rsidR="00BF640C">
        <w:rPr>
          <w:sz w:val="24"/>
          <w:szCs w:val="24"/>
        </w:rPr>
        <w:t xml:space="preserve">Medicare </w:t>
      </w:r>
      <w:r w:rsidR="004E5749">
        <w:rPr>
          <w:sz w:val="24"/>
          <w:szCs w:val="24"/>
        </w:rPr>
        <w:t xml:space="preserve">beneficiaries through Medicare’s Shared Savings Program </w:t>
      </w:r>
      <w:r w:rsidR="008F30C5">
        <w:rPr>
          <w:sz w:val="24"/>
          <w:szCs w:val="24"/>
        </w:rPr>
        <w:t>a</w:t>
      </w:r>
      <w:r w:rsidR="004E5749">
        <w:rPr>
          <w:sz w:val="24"/>
          <w:szCs w:val="24"/>
        </w:rPr>
        <w:t>nd must sign up with the Department of Health and Human Services’ Centers for Medicare and Medicaid Services (CMS) to participate in the program for at least three years</w:t>
      </w:r>
      <w:r w:rsidR="00D1062F">
        <w:rPr>
          <w:sz w:val="24"/>
          <w:szCs w:val="24"/>
        </w:rPr>
        <w:t xml:space="preserve">. </w:t>
      </w:r>
    </w:p>
    <w:p w:rsidR="00AE76D2" w:rsidRDefault="00AE76D2" w:rsidP="004E5749">
      <w:pPr>
        <w:rPr>
          <w:sz w:val="24"/>
          <w:szCs w:val="24"/>
        </w:rPr>
      </w:pPr>
    </w:p>
    <w:p w:rsidR="004E5749" w:rsidRDefault="004E5749" w:rsidP="004E5749">
      <w:pPr>
        <w:rPr>
          <w:sz w:val="24"/>
          <w:szCs w:val="24"/>
        </w:rPr>
      </w:pPr>
      <w:r>
        <w:rPr>
          <w:sz w:val="24"/>
          <w:szCs w:val="24"/>
        </w:rPr>
        <w:tab/>
      </w:r>
      <w:r w:rsidR="00F029A9">
        <w:rPr>
          <w:sz w:val="24"/>
          <w:szCs w:val="24"/>
        </w:rPr>
        <w:t xml:space="preserve">The department </w:t>
      </w:r>
      <w:r>
        <w:rPr>
          <w:sz w:val="24"/>
          <w:szCs w:val="24"/>
        </w:rPr>
        <w:t xml:space="preserve">and the FTC recognize that ACOs may generate opportunities for health care providers to innovate in both the Medicare and commercial markets to achieve the cost savings Congress intended when establishing the Shared Savings Program.  At the same time, however, the agencies also understand that collaborations among </w:t>
      </w:r>
      <w:r w:rsidR="00D745C9">
        <w:rPr>
          <w:sz w:val="24"/>
          <w:szCs w:val="24"/>
        </w:rPr>
        <w:t>otherwise independent health care providers</w:t>
      </w:r>
      <w:r>
        <w:rPr>
          <w:sz w:val="24"/>
          <w:szCs w:val="24"/>
        </w:rPr>
        <w:t xml:space="preserve"> – as will occur through the formation of ACOs – may raise</w:t>
      </w:r>
      <w:r w:rsidR="00A91E69">
        <w:rPr>
          <w:sz w:val="24"/>
          <w:szCs w:val="24"/>
        </w:rPr>
        <w:t xml:space="preserve"> competitive</w:t>
      </w:r>
      <w:r>
        <w:rPr>
          <w:sz w:val="24"/>
          <w:szCs w:val="24"/>
        </w:rPr>
        <w:t xml:space="preserve"> conce</w:t>
      </w:r>
      <w:r w:rsidR="00F029A9">
        <w:rPr>
          <w:sz w:val="24"/>
          <w:szCs w:val="24"/>
        </w:rPr>
        <w:t xml:space="preserve">rns.  The department </w:t>
      </w:r>
      <w:r>
        <w:rPr>
          <w:sz w:val="24"/>
          <w:szCs w:val="24"/>
        </w:rPr>
        <w:t>and the FTC have developed jointly the proposed antitrust policy statement to coordinate competition analysis with CMS’</w:t>
      </w:r>
      <w:r w:rsidR="00C916D6">
        <w:rPr>
          <w:sz w:val="24"/>
          <w:szCs w:val="24"/>
        </w:rPr>
        <w:t>s review of ACO applications,</w:t>
      </w:r>
      <w:r>
        <w:rPr>
          <w:sz w:val="24"/>
          <w:szCs w:val="24"/>
        </w:rPr>
        <w:t xml:space="preserve"> to ensure the newly formed organizations do not lead to reduced competition and higher prices for consumers.</w:t>
      </w:r>
    </w:p>
    <w:p w:rsidR="004E5749" w:rsidRDefault="004E5749" w:rsidP="004E5749">
      <w:pPr>
        <w:rPr>
          <w:sz w:val="24"/>
          <w:szCs w:val="24"/>
        </w:rPr>
      </w:pPr>
    </w:p>
    <w:p w:rsidR="004E5749" w:rsidRDefault="004E5749" w:rsidP="004E5749">
      <w:pPr>
        <w:rPr>
          <w:sz w:val="24"/>
          <w:szCs w:val="24"/>
        </w:rPr>
      </w:pPr>
      <w:r>
        <w:rPr>
          <w:sz w:val="24"/>
          <w:szCs w:val="24"/>
        </w:rPr>
        <w:tab/>
        <w:t xml:space="preserve">The joint policy statement is intended to ensure that health care providers have the antitrust guidance they need to form </w:t>
      </w:r>
      <w:proofErr w:type="spellStart"/>
      <w:r>
        <w:rPr>
          <w:sz w:val="24"/>
          <w:szCs w:val="24"/>
        </w:rPr>
        <w:t>procompe</w:t>
      </w:r>
      <w:r w:rsidR="00407F50">
        <w:rPr>
          <w:sz w:val="24"/>
          <w:szCs w:val="24"/>
        </w:rPr>
        <w:t>titive</w:t>
      </w:r>
      <w:proofErr w:type="spellEnd"/>
      <w:r w:rsidR="00407F50">
        <w:rPr>
          <w:sz w:val="24"/>
          <w:szCs w:val="24"/>
        </w:rPr>
        <w:t xml:space="preserve"> ACOs.  It describes:  </w:t>
      </w:r>
      <w:r>
        <w:rPr>
          <w:sz w:val="24"/>
          <w:szCs w:val="24"/>
        </w:rPr>
        <w:t>the</w:t>
      </w:r>
      <w:r w:rsidR="00884510">
        <w:rPr>
          <w:sz w:val="24"/>
          <w:szCs w:val="24"/>
        </w:rPr>
        <w:t xml:space="preserve"> ACOs to which it will apply;</w:t>
      </w:r>
      <w:r>
        <w:rPr>
          <w:sz w:val="24"/>
          <w:szCs w:val="24"/>
        </w:rPr>
        <w:t xml:space="preserve"> when the </w:t>
      </w:r>
      <w:r w:rsidR="00F71A3C">
        <w:rPr>
          <w:sz w:val="24"/>
          <w:szCs w:val="24"/>
        </w:rPr>
        <w:t>d</w:t>
      </w:r>
      <w:r w:rsidR="0026646C">
        <w:rPr>
          <w:sz w:val="24"/>
          <w:szCs w:val="24"/>
        </w:rPr>
        <w:t xml:space="preserve">epartment and </w:t>
      </w:r>
      <w:r w:rsidR="00687ADB">
        <w:rPr>
          <w:sz w:val="24"/>
          <w:szCs w:val="24"/>
        </w:rPr>
        <w:t xml:space="preserve">the </w:t>
      </w:r>
      <w:r w:rsidR="0026646C">
        <w:rPr>
          <w:sz w:val="24"/>
          <w:szCs w:val="24"/>
        </w:rPr>
        <w:t>FTC w</w:t>
      </w:r>
      <w:r>
        <w:rPr>
          <w:sz w:val="24"/>
          <w:szCs w:val="24"/>
        </w:rPr>
        <w:t>ill apply particular antit</w:t>
      </w:r>
      <w:r w:rsidR="0026646C">
        <w:rPr>
          <w:sz w:val="24"/>
          <w:szCs w:val="24"/>
        </w:rPr>
        <w:t>rust analys</w:t>
      </w:r>
      <w:r w:rsidR="00C916D6">
        <w:rPr>
          <w:sz w:val="24"/>
          <w:szCs w:val="24"/>
        </w:rPr>
        <w:t>i</w:t>
      </w:r>
      <w:r w:rsidR="0026646C">
        <w:rPr>
          <w:sz w:val="24"/>
          <w:szCs w:val="24"/>
        </w:rPr>
        <w:t xml:space="preserve">s to those ACOs; </w:t>
      </w:r>
      <w:r>
        <w:rPr>
          <w:sz w:val="24"/>
          <w:szCs w:val="24"/>
        </w:rPr>
        <w:t>an ant</w:t>
      </w:r>
      <w:r w:rsidR="0026646C">
        <w:rPr>
          <w:sz w:val="24"/>
          <w:szCs w:val="24"/>
        </w:rPr>
        <w:t>itrust safety zone for</w:t>
      </w:r>
      <w:r w:rsidR="00C62A88">
        <w:rPr>
          <w:sz w:val="24"/>
          <w:szCs w:val="24"/>
        </w:rPr>
        <w:t xml:space="preserve"> certain</w:t>
      </w:r>
      <w:r w:rsidR="0026646C">
        <w:rPr>
          <w:sz w:val="24"/>
          <w:szCs w:val="24"/>
        </w:rPr>
        <w:t xml:space="preserve"> ACOs; </w:t>
      </w:r>
      <w:r w:rsidR="00D1062F">
        <w:rPr>
          <w:sz w:val="24"/>
          <w:szCs w:val="24"/>
        </w:rPr>
        <w:t xml:space="preserve">an expedited </w:t>
      </w:r>
      <w:r>
        <w:rPr>
          <w:sz w:val="24"/>
          <w:szCs w:val="24"/>
        </w:rPr>
        <w:t>CMS-mandated antitrust review</w:t>
      </w:r>
      <w:r w:rsidR="00C62A88">
        <w:rPr>
          <w:sz w:val="24"/>
          <w:szCs w:val="24"/>
        </w:rPr>
        <w:t xml:space="preserve"> process for other</w:t>
      </w:r>
      <w:r w:rsidR="00F972DD">
        <w:rPr>
          <w:sz w:val="24"/>
          <w:szCs w:val="24"/>
        </w:rPr>
        <w:t xml:space="preserve"> ACOs</w:t>
      </w:r>
      <w:r>
        <w:rPr>
          <w:sz w:val="24"/>
          <w:szCs w:val="24"/>
        </w:rPr>
        <w:t xml:space="preserve">; </w:t>
      </w:r>
      <w:r w:rsidR="00F71A3C">
        <w:rPr>
          <w:sz w:val="24"/>
          <w:szCs w:val="24"/>
        </w:rPr>
        <w:t xml:space="preserve">and </w:t>
      </w:r>
      <w:r>
        <w:rPr>
          <w:sz w:val="24"/>
          <w:szCs w:val="24"/>
        </w:rPr>
        <w:t xml:space="preserve">options for ACOs to gain additional antitrust clarity if they fall outside the safety zone but below the CMS-mandated antitrust </w:t>
      </w:r>
      <w:r w:rsidR="00AE76D2">
        <w:rPr>
          <w:sz w:val="24"/>
          <w:szCs w:val="24"/>
        </w:rPr>
        <w:t>review trigger</w:t>
      </w:r>
      <w:r w:rsidR="00D745C9">
        <w:rPr>
          <w:sz w:val="24"/>
          <w:szCs w:val="24"/>
        </w:rPr>
        <w:t>, including expedited antitrust review</w:t>
      </w:r>
      <w:r>
        <w:rPr>
          <w:sz w:val="24"/>
          <w:szCs w:val="24"/>
        </w:rPr>
        <w:t>.</w:t>
      </w:r>
    </w:p>
    <w:p w:rsidR="00CA539F" w:rsidRDefault="00CA539F" w:rsidP="0044094C">
      <w:pPr>
        <w:pStyle w:val="NoSpacing"/>
        <w:rPr>
          <w:sz w:val="24"/>
          <w:szCs w:val="24"/>
        </w:rPr>
      </w:pPr>
    </w:p>
    <w:p w:rsidR="00E07496" w:rsidRPr="00CA539F" w:rsidRDefault="00CA539F" w:rsidP="00CA539F">
      <w:pPr>
        <w:ind w:firstLine="720"/>
        <w:rPr>
          <w:sz w:val="24"/>
          <w:szCs w:val="24"/>
        </w:rPr>
      </w:pPr>
      <w:r w:rsidRPr="00CA539F">
        <w:rPr>
          <w:sz w:val="24"/>
          <w:szCs w:val="24"/>
        </w:rPr>
        <w:t xml:space="preserve">The </w:t>
      </w:r>
      <w:r>
        <w:rPr>
          <w:sz w:val="24"/>
          <w:szCs w:val="24"/>
        </w:rPr>
        <w:t xml:space="preserve">department and the FTC </w:t>
      </w:r>
      <w:r w:rsidRPr="00CA539F">
        <w:rPr>
          <w:sz w:val="24"/>
          <w:szCs w:val="24"/>
        </w:rPr>
        <w:t>have committed to complete the expedited review within 90 days of receiving the required document</w:t>
      </w:r>
      <w:r>
        <w:rPr>
          <w:sz w:val="24"/>
          <w:szCs w:val="24"/>
        </w:rPr>
        <w:t>s and information from the ACO.</w:t>
      </w:r>
      <w:r w:rsidR="00E07496" w:rsidRPr="00CA539F">
        <w:rPr>
          <w:sz w:val="24"/>
          <w:szCs w:val="24"/>
        </w:rPr>
        <w:t xml:space="preserve"> </w:t>
      </w:r>
      <w:r>
        <w:rPr>
          <w:sz w:val="24"/>
          <w:szCs w:val="24"/>
        </w:rPr>
        <w:t xml:space="preserve"> </w:t>
      </w:r>
      <w:r w:rsidR="00E07496" w:rsidRPr="00CA539F">
        <w:rPr>
          <w:sz w:val="24"/>
          <w:szCs w:val="24"/>
        </w:rPr>
        <w:t>The</w:t>
      </w:r>
      <w:r w:rsidRPr="00CA539F">
        <w:rPr>
          <w:sz w:val="24"/>
          <w:szCs w:val="24"/>
        </w:rPr>
        <w:t xml:space="preserve"> department and the</w:t>
      </w:r>
      <w:r w:rsidR="00A91E69">
        <w:rPr>
          <w:sz w:val="24"/>
          <w:szCs w:val="24"/>
        </w:rPr>
        <w:t xml:space="preserve"> FTC will establish a j</w:t>
      </w:r>
      <w:r w:rsidR="00E07496" w:rsidRPr="00CA539F">
        <w:rPr>
          <w:sz w:val="24"/>
          <w:szCs w:val="24"/>
        </w:rPr>
        <w:t xml:space="preserve">oint ACO Working Group to collaborate and discuss issues arising out of ACO reviews. </w:t>
      </w:r>
      <w:r w:rsidRPr="00CA539F">
        <w:rPr>
          <w:sz w:val="24"/>
          <w:szCs w:val="24"/>
        </w:rPr>
        <w:t xml:space="preserve"> </w:t>
      </w:r>
      <w:r w:rsidR="00E07496" w:rsidRPr="00CA539F">
        <w:rPr>
          <w:sz w:val="24"/>
          <w:szCs w:val="24"/>
        </w:rPr>
        <w:t>This process will allow ACOs to rely on the expertise of both agencies and will ensure efficient, cooperative and expeditious reviews.</w:t>
      </w:r>
    </w:p>
    <w:p w:rsidR="00CA539F" w:rsidRPr="00CA539F" w:rsidRDefault="00CA539F" w:rsidP="00F71A3C">
      <w:pPr>
        <w:ind w:firstLine="720"/>
        <w:rPr>
          <w:sz w:val="24"/>
          <w:szCs w:val="24"/>
        </w:rPr>
      </w:pPr>
    </w:p>
    <w:p w:rsidR="00C62A88" w:rsidRDefault="00C62A88" w:rsidP="00F71A3C">
      <w:pPr>
        <w:ind w:firstLine="720"/>
        <w:rPr>
          <w:sz w:val="24"/>
          <w:szCs w:val="24"/>
        </w:rPr>
      </w:pPr>
      <w:r w:rsidRPr="00CA539F">
        <w:rPr>
          <w:sz w:val="24"/>
          <w:szCs w:val="24"/>
        </w:rPr>
        <w:t>In addition, the joint policy statement identifies five types of conduct that an ACO can</w:t>
      </w:r>
      <w:r>
        <w:rPr>
          <w:sz w:val="24"/>
          <w:szCs w:val="24"/>
        </w:rPr>
        <w:t xml:space="preserve"> avoid to reduce significantly the likelihood of antitrust concern. </w:t>
      </w:r>
    </w:p>
    <w:p w:rsidR="004E5749" w:rsidRPr="00E07496" w:rsidRDefault="004E5749" w:rsidP="00E07496">
      <w:pPr>
        <w:rPr>
          <w:sz w:val="24"/>
          <w:szCs w:val="24"/>
        </w:rPr>
      </w:pPr>
    </w:p>
    <w:p w:rsidR="004E5749" w:rsidRDefault="004E5749" w:rsidP="004E5749">
      <w:pPr>
        <w:rPr>
          <w:sz w:val="24"/>
          <w:szCs w:val="24"/>
        </w:rPr>
      </w:pPr>
      <w:r>
        <w:rPr>
          <w:sz w:val="24"/>
          <w:szCs w:val="24"/>
        </w:rPr>
        <w:tab/>
      </w:r>
      <w:r w:rsidR="00F71A3C">
        <w:rPr>
          <w:sz w:val="24"/>
          <w:szCs w:val="24"/>
        </w:rPr>
        <w:t xml:space="preserve">The department and the FTC </w:t>
      </w:r>
      <w:r>
        <w:rPr>
          <w:sz w:val="24"/>
          <w:szCs w:val="24"/>
        </w:rPr>
        <w:t xml:space="preserve">are accepting public comment on the proposed </w:t>
      </w:r>
      <w:r w:rsidR="00F71A3C">
        <w:rPr>
          <w:sz w:val="24"/>
          <w:szCs w:val="24"/>
        </w:rPr>
        <w:t>policy s</w:t>
      </w:r>
      <w:r>
        <w:rPr>
          <w:sz w:val="24"/>
          <w:szCs w:val="24"/>
        </w:rPr>
        <w:t>tatement through</w:t>
      </w:r>
      <w:r w:rsidR="00D745C9">
        <w:rPr>
          <w:sz w:val="24"/>
          <w:szCs w:val="24"/>
        </w:rPr>
        <w:t xml:space="preserve"> May 31, 2011</w:t>
      </w:r>
      <w:r>
        <w:rPr>
          <w:sz w:val="24"/>
          <w:szCs w:val="24"/>
        </w:rPr>
        <w:t>.  The agencies are seeking comments from health care providers, payers, con</w:t>
      </w:r>
      <w:r w:rsidR="00E80629">
        <w:rPr>
          <w:sz w:val="24"/>
          <w:szCs w:val="24"/>
        </w:rPr>
        <w:t>sumers, antitrust practitioners</w:t>
      </w:r>
      <w:r>
        <w:rPr>
          <w:sz w:val="24"/>
          <w:szCs w:val="24"/>
        </w:rPr>
        <w:t xml:space="preserve"> and other stakeholders on issues including:</w:t>
      </w:r>
    </w:p>
    <w:p w:rsidR="004E5749" w:rsidRDefault="004E5749" w:rsidP="004E5749">
      <w:pPr>
        <w:rPr>
          <w:sz w:val="24"/>
          <w:szCs w:val="24"/>
        </w:rPr>
      </w:pPr>
    </w:p>
    <w:p w:rsidR="004E5749" w:rsidRDefault="004E5749" w:rsidP="004E5749">
      <w:pPr>
        <w:rPr>
          <w:sz w:val="24"/>
          <w:szCs w:val="24"/>
        </w:rPr>
      </w:pPr>
      <w:r>
        <w:rPr>
          <w:sz w:val="24"/>
          <w:szCs w:val="24"/>
        </w:rPr>
        <w:tab/>
        <w:t>– Whether and, if so, wh</w:t>
      </w:r>
      <w:r w:rsidR="00F71A3C">
        <w:rPr>
          <w:sz w:val="24"/>
          <w:szCs w:val="24"/>
        </w:rPr>
        <w:t>y the guidance in the proposed p</w:t>
      </w:r>
      <w:r>
        <w:rPr>
          <w:sz w:val="24"/>
          <w:szCs w:val="24"/>
        </w:rPr>
        <w:t xml:space="preserve">olicy </w:t>
      </w:r>
      <w:r w:rsidR="00F71A3C">
        <w:rPr>
          <w:sz w:val="24"/>
          <w:szCs w:val="24"/>
        </w:rPr>
        <w:t>s</w:t>
      </w:r>
      <w:r>
        <w:rPr>
          <w:sz w:val="24"/>
          <w:szCs w:val="24"/>
        </w:rPr>
        <w:t>tatement shoul</w:t>
      </w:r>
      <w:r w:rsidR="000F7B8B">
        <w:rPr>
          <w:sz w:val="24"/>
          <w:szCs w:val="24"/>
        </w:rPr>
        <w:t xml:space="preserve">d be </w:t>
      </w:r>
      <w:r w:rsidR="00D745C9">
        <w:rPr>
          <w:sz w:val="24"/>
          <w:szCs w:val="24"/>
        </w:rPr>
        <w:t>changed</w:t>
      </w:r>
      <w:r w:rsidR="000F7B8B">
        <w:rPr>
          <w:sz w:val="24"/>
          <w:szCs w:val="24"/>
        </w:rPr>
        <w:t xml:space="preserve">; </w:t>
      </w:r>
    </w:p>
    <w:p w:rsidR="004E5749" w:rsidRDefault="004E5749" w:rsidP="004E5749">
      <w:pPr>
        <w:rPr>
          <w:sz w:val="24"/>
          <w:szCs w:val="24"/>
        </w:rPr>
      </w:pPr>
    </w:p>
    <w:p w:rsidR="004E5749" w:rsidRDefault="004E5749" w:rsidP="004E5749">
      <w:pPr>
        <w:rPr>
          <w:sz w:val="24"/>
          <w:szCs w:val="24"/>
        </w:rPr>
      </w:pPr>
      <w:r>
        <w:rPr>
          <w:sz w:val="24"/>
          <w:szCs w:val="24"/>
        </w:rPr>
        <w:tab/>
        <w:t>– Whether other data sources exist that ACO applicants could use to determ</w:t>
      </w:r>
      <w:r w:rsidR="00F71A3C">
        <w:rPr>
          <w:sz w:val="24"/>
          <w:szCs w:val="24"/>
        </w:rPr>
        <w:t xml:space="preserve">ine relevant </w:t>
      </w:r>
      <w:r w:rsidR="00755607">
        <w:rPr>
          <w:sz w:val="24"/>
          <w:szCs w:val="24"/>
        </w:rPr>
        <w:t>primary service area (</w:t>
      </w:r>
      <w:r w:rsidR="00F71A3C">
        <w:rPr>
          <w:sz w:val="24"/>
          <w:szCs w:val="24"/>
        </w:rPr>
        <w:t>PSA</w:t>
      </w:r>
      <w:r w:rsidR="00755607">
        <w:rPr>
          <w:sz w:val="24"/>
          <w:szCs w:val="24"/>
        </w:rPr>
        <w:t>)</w:t>
      </w:r>
      <w:r w:rsidR="00F71A3C">
        <w:rPr>
          <w:sz w:val="24"/>
          <w:szCs w:val="24"/>
        </w:rPr>
        <w:t xml:space="preserve"> shares for:  </w:t>
      </w:r>
      <w:r>
        <w:rPr>
          <w:sz w:val="24"/>
          <w:szCs w:val="24"/>
        </w:rPr>
        <w:t xml:space="preserve">physician services rarely used by Medicare beneficiaries (e.g., </w:t>
      </w:r>
      <w:r w:rsidR="00F71A3C">
        <w:rPr>
          <w:sz w:val="24"/>
          <w:szCs w:val="24"/>
        </w:rPr>
        <w:t xml:space="preserve">pediatrics, obstetrics); and </w:t>
      </w:r>
      <w:r>
        <w:rPr>
          <w:sz w:val="24"/>
          <w:szCs w:val="24"/>
        </w:rPr>
        <w:t>inpatient hospital services located in states where all-payer hospital</w:t>
      </w:r>
      <w:r w:rsidR="000F7B8B">
        <w:rPr>
          <w:sz w:val="24"/>
          <w:szCs w:val="24"/>
        </w:rPr>
        <w:t xml:space="preserve"> discharge data are unavailable; and</w:t>
      </w:r>
    </w:p>
    <w:p w:rsidR="000F7B8B" w:rsidRPr="000F7B8B" w:rsidRDefault="000F7B8B" w:rsidP="004E5749">
      <w:pPr>
        <w:rPr>
          <w:sz w:val="24"/>
          <w:szCs w:val="24"/>
        </w:rPr>
      </w:pPr>
    </w:p>
    <w:p w:rsidR="000F7B8B" w:rsidRPr="000F7B8B" w:rsidRDefault="000F7B8B" w:rsidP="000F7B8B">
      <w:pPr>
        <w:widowControl w:val="0"/>
        <w:ind w:firstLine="720"/>
        <w:rPr>
          <w:rStyle w:val="WPHyperlink"/>
          <w:color w:val="000000"/>
          <w:sz w:val="24"/>
          <w:szCs w:val="24"/>
          <w:u w:val="none"/>
        </w:rPr>
      </w:pPr>
      <w:r w:rsidRPr="000F7B8B">
        <w:rPr>
          <w:rStyle w:val="WPHyperlink"/>
          <w:color w:val="000000"/>
          <w:sz w:val="24"/>
          <w:szCs w:val="24"/>
          <w:u w:val="none"/>
        </w:rPr>
        <w:lastRenderedPageBreak/>
        <w:t xml:space="preserve">– Whether providing the documents and information required </w:t>
      </w:r>
      <w:proofErr w:type="gramStart"/>
      <w:r w:rsidRPr="000F7B8B">
        <w:rPr>
          <w:rStyle w:val="WPHyperlink"/>
          <w:color w:val="000000"/>
          <w:sz w:val="24"/>
          <w:szCs w:val="24"/>
          <w:u w:val="none"/>
        </w:rPr>
        <w:t>to obtain</w:t>
      </w:r>
      <w:proofErr w:type="gramEnd"/>
      <w:r w:rsidRPr="000F7B8B">
        <w:rPr>
          <w:rStyle w:val="WPHyperlink"/>
          <w:color w:val="000000"/>
          <w:sz w:val="24"/>
          <w:szCs w:val="24"/>
          <w:u w:val="none"/>
        </w:rPr>
        <w:t xml:space="preserve"> an expedited antitrust review will present </w:t>
      </w:r>
      <w:r w:rsidR="00F80463">
        <w:rPr>
          <w:rStyle w:val="WPHyperlink"/>
          <w:color w:val="000000"/>
          <w:sz w:val="24"/>
          <w:szCs w:val="24"/>
          <w:u w:val="none"/>
        </w:rPr>
        <w:t>a</w:t>
      </w:r>
      <w:r w:rsidRPr="000F7B8B">
        <w:rPr>
          <w:rStyle w:val="WPHyperlink"/>
          <w:color w:val="000000"/>
          <w:sz w:val="24"/>
          <w:szCs w:val="24"/>
          <w:u w:val="none"/>
        </w:rPr>
        <w:t>n undue burden on ACO applicants.</w:t>
      </w:r>
    </w:p>
    <w:p w:rsidR="004E5749" w:rsidRDefault="004E5749" w:rsidP="004E5749">
      <w:pPr>
        <w:rPr>
          <w:sz w:val="24"/>
          <w:szCs w:val="24"/>
        </w:rPr>
      </w:pPr>
    </w:p>
    <w:p w:rsidR="004E5749" w:rsidRDefault="004E5749" w:rsidP="004E5749">
      <w:pPr>
        <w:rPr>
          <w:sz w:val="24"/>
          <w:szCs w:val="24"/>
        </w:rPr>
      </w:pPr>
      <w:r>
        <w:rPr>
          <w:sz w:val="24"/>
          <w:szCs w:val="24"/>
        </w:rPr>
        <w:tab/>
        <w:t xml:space="preserve">Comments can be submitted electronically at </w:t>
      </w:r>
      <w:r w:rsidR="007637F5" w:rsidRPr="009F5DFF">
        <w:rPr>
          <w:color w:val="0000FF"/>
          <w:sz w:val="24"/>
          <w:szCs w:val="24"/>
          <w:u w:val="single"/>
        </w:rPr>
        <w:t>www.ftc.gov/os/publiccomments.shtm</w:t>
      </w:r>
      <w:r w:rsidR="007637F5">
        <w:rPr>
          <w:sz w:val="24"/>
          <w:szCs w:val="24"/>
        </w:rPr>
        <w:t xml:space="preserve">. </w:t>
      </w:r>
      <w:r>
        <w:rPr>
          <w:sz w:val="24"/>
          <w:szCs w:val="24"/>
        </w:rPr>
        <w:t xml:space="preserve">The Federal Register notice announcing the proposed </w:t>
      </w:r>
      <w:r w:rsidR="00F71A3C">
        <w:rPr>
          <w:sz w:val="24"/>
          <w:szCs w:val="24"/>
        </w:rPr>
        <w:t>p</w:t>
      </w:r>
      <w:r>
        <w:rPr>
          <w:sz w:val="24"/>
          <w:szCs w:val="24"/>
        </w:rPr>
        <w:t xml:space="preserve">olicy </w:t>
      </w:r>
      <w:r w:rsidR="00F71A3C">
        <w:rPr>
          <w:sz w:val="24"/>
          <w:szCs w:val="24"/>
        </w:rPr>
        <w:t>s</w:t>
      </w:r>
      <w:r>
        <w:rPr>
          <w:sz w:val="24"/>
          <w:szCs w:val="24"/>
        </w:rPr>
        <w:t xml:space="preserve">tatement contains information </w:t>
      </w:r>
      <w:r w:rsidR="007637F5">
        <w:rPr>
          <w:sz w:val="24"/>
          <w:szCs w:val="24"/>
        </w:rPr>
        <w:t>on submitting comments via mail</w:t>
      </w:r>
      <w:r>
        <w:rPr>
          <w:sz w:val="24"/>
          <w:szCs w:val="24"/>
        </w:rPr>
        <w:t xml:space="preserve"> and can be found </w:t>
      </w:r>
      <w:r w:rsidR="007637F5">
        <w:rPr>
          <w:sz w:val="24"/>
          <w:szCs w:val="24"/>
        </w:rPr>
        <w:t xml:space="preserve">at </w:t>
      </w:r>
      <w:r w:rsidR="00A001E4" w:rsidRPr="006A671A">
        <w:rPr>
          <w:color w:val="0000FF"/>
          <w:sz w:val="24"/>
          <w:szCs w:val="24"/>
          <w:u w:val="single"/>
        </w:rPr>
        <w:t>www.ftc.gov/opp/aco/</w:t>
      </w:r>
      <w:r>
        <w:rPr>
          <w:sz w:val="24"/>
          <w:szCs w:val="24"/>
        </w:rPr>
        <w:t xml:space="preserve">.  The proposed </w:t>
      </w:r>
      <w:r w:rsidR="00F71A3C">
        <w:rPr>
          <w:sz w:val="24"/>
          <w:szCs w:val="24"/>
        </w:rPr>
        <w:t>p</w:t>
      </w:r>
      <w:r>
        <w:rPr>
          <w:sz w:val="24"/>
          <w:szCs w:val="24"/>
        </w:rPr>
        <w:t xml:space="preserve">olicy </w:t>
      </w:r>
      <w:r w:rsidR="00F71A3C">
        <w:rPr>
          <w:sz w:val="24"/>
          <w:szCs w:val="24"/>
        </w:rPr>
        <w:t>s</w:t>
      </w:r>
      <w:r>
        <w:rPr>
          <w:sz w:val="24"/>
          <w:szCs w:val="24"/>
        </w:rPr>
        <w:t xml:space="preserve">tatement </w:t>
      </w:r>
      <w:r w:rsidR="002B7DBE">
        <w:rPr>
          <w:sz w:val="24"/>
          <w:szCs w:val="24"/>
        </w:rPr>
        <w:t xml:space="preserve">is available at </w:t>
      </w:r>
      <w:r w:rsidR="00EE3005" w:rsidRPr="006A671A">
        <w:rPr>
          <w:color w:val="0000FF"/>
          <w:sz w:val="24"/>
          <w:szCs w:val="24"/>
          <w:u w:val="single"/>
        </w:rPr>
        <w:t>www.justice.gov/atr/public/guidelines/269155.pdf</w:t>
      </w:r>
      <w:r w:rsidR="00EE3005">
        <w:rPr>
          <w:sz w:val="24"/>
          <w:szCs w:val="24"/>
        </w:rPr>
        <w:t xml:space="preserve">. </w:t>
      </w:r>
    </w:p>
    <w:p w:rsidR="00F71A3C" w:rsidRDefault="00F71A3C" w:rsidP="00CF5A80">
      <w:pPr>
        <w:rPr>
          <w:sz w:val="24"/>
          <w:szCs w:val="24"/>
        </w:rPr>
      </w:pPr>
    </w:p>
    <w:p w:rsidR="004E5749" w:rsidRDefault="004E5749" w:rsidP="004E5749">
      <w:pPr>
        <w:jc w:val="center"/>
        <w:rPr>
          <w:sz w:val="24"/>
          <w:szCs w:val="24"/>
        </w:rPr>
      </w:pPr>
      <w:r>
        <w:rPr>
          <w:sz w:val="24"/>
          <w:szCs w:val="24"/>
        </w:rPr>
        <w:t>#</w:t>
      </w:r>
      <w:r w:rsidR="00AE76D2">
        <w:rPr>
          <w:sz w:val="24"/>
          <w:szCs w:val="24"/>
        </w:rPr>
        <w:t xml:space="preserve"> </w:t>
      </w:r>
      <w:r>
        <w:rPr>
          <w:sz w:val="24"/>
          <w:szCs w:val="24"/>
        </w:rPr>
        <w:t>#</w:t>
      </w:r>
      <w:r w:rsidR="00AE76D2">
        <w:rPr>
          <w:sz w:val="24"/>
          <w:szCs w:val="24"/>
        </w:rPr>
        <w:t xml:space="preserve"> </w:t>
      </w:r>
      <w:r>
        <w:rPr>
          <w:sz w:val="24"/>
          <w:szCs w:val="24"/>
        </w:rPr>
        <w:t>#</w:t>
      </w:r>
    </w:p>
    <w:p w:rsidR="004E5749" w:rsidRDefault="004E5749" w:rsidP="004E5749">
      <w:pPr>
        <w:rPr>
          <w:sz w:val="24"/>
          <w:szCs w:val="24"/>
        </w:rPr>
      </w:pPr>
    </w:p>
    <w:p w:rsidR="0098280D" w:rsidRDefault="0098280D" w:rsidP="004E5749">
      <w:pPr>
        <w:rPr>
          <w:sz w:val="24"/>
          <w:szCs w:val="24"/>
        </w:rPr>
      </w:pPr>
      <w:r>
        <w:rPr>
          <w:sz w:val="24"/>
          <w:szCs w:val="24"/>
        </w:rPr>
        <w:t>11-</w:t>
      </w:r>
      <w:r w:rsidR="00F552CA">
        <w:rPr>
          <w:sz w:val="24"/>
          <w:szCs w:val="24"/>
        </w:rPr>
        <w:t>401</w:t>
      </w:r>
    </w:p>
    <w:sectPr w:rsidR="0098280D" w:rsidSect="00AE76D2">
      <w:footerReference w:type="default" r:id="rId11"/>
      <w:pgSz w:w="12240" w:h="15840"/>
      <w:pgMar w:top="1440" w:right="1440" w:bottom="144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555" w:rsidRDefault="007F2555" w:rsidP="00AE76D2">
      <w:r>
        <w:separator/>
      </w:r>
    </w:p>
  </w:endnote>
  <w:endnote w:type="continuationSeparator" w:id="0">
    <w:p w:rsidR="007F2555" w:rsidRDefault="007F2555" w:rsidP="00AE76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852"/>
      <w:docPartObj>
        <w:docPartGallery w:val="Page Numbers (Bottom of Page)"/>
        <w:docPartUnique/>
      </w:docPartObj>
    </w:sdtPr>
    <w:sdtContent>
      <w:p w:rsidR="007F2555" w:rsidRDefault="00322A99">
        <w:pPr>
          <w:pStyle w:val="Footer"/>
          <w:jc w:val="center"/>
        </w:pPr>
        <w:fldSimple w:instr=" PAGE   \* MERGEFORMAT ">
          <w:r w:rsidR="009F5DFF">
            <w:rPr>
              <w:noProof/>
            </w:rPr>
            <w:t>- 3 -</w:t>
          </w:r>
        </w:fldSimple>
      </w:p>
    </w:sdtContent>
  </w:sdt>
  <w:p w:rsidR="007F2555" w:rsidRDefault="007F25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555" w:rsidRDefault="007F2555" w:rsidP="00AE76D2">
      <w:r>
        <w:separator/>
      </w:r>
    </w:p>
  </w:footnote>
  <w:footnote w:type="continuationSeparator" w:id="0">
    <w:p w:rsidR="007F2555" w:rsidRDefault="007F2555" w:rsidP="00AE76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E5749"/>
    <w:rsid w:val="00005A25"/>
    <w:rsid w:val="00023035"/>
    <w:rsid w:val="0003042E"/>
    <w:rsid w:val="00093C91"/>
    <w:rsid w:val="000B39FB"/>
    <w:rsid w:val="000F7B8B"/>
    <w:rsid w:val="001272D3"/>
    <w:rsid w:val="00132E79"/>
    <w:rsid w:val="00133319"/>
    <w:rsid w:val="00180A46"/>
    <w:rsid w:val="001A046C"/>
    <w:rsid w:val="001A0A25"/>
    <w:rsid w:val="001A35FE"/>
    <w:rsid w:val="00214BFA"/>
    <w:rsid w:val="00237C43"/>
    <w:rsid w:val="0024114A"/>
    <w:rsid w:val="0026646C"/>
    <w:rsid w:val="002B7DBE"/>
    <w:rsid w:val="002C7B6D"/>
    <w:rsid w:val="00300DDB"/>
    <w:rsid w:val="00320D83"/>
    <w:rsid w:val="00321EE0"/>
    <w:rsid w:val="00322A99"/>
    <w:rsid w:val="00341C97"/>
    <w:rsid w:val="00374CA2"/>
    <w:rsid w:val="003A42C2"/>
    <w:rsid w:val="003C598F"/>
    <w:rsid w:val="00407F50"/>
    <w:rsid w:val="0044094C"/>
    <w:rsid w:val="004768C9"/>
    <w:rsid w:val="00496326"/>
    <w:rsid w:val="004E5749"/>
    <w:rsid w:val="005068D4"/>
    <w:rsid w:val="00521CBF"/>
    <w:rsid w:val="00536C05"/>
    <w:rsid w:val="005765CB"/>
    <w:rsid w:val="005D19F5"/>
    <w:rsid w:val="006156FD"/>
    <w:rsid w:val="00687061"/>
    <w:rsid w:val="00687ADB"/>
    <w:rsid w:val="006A1530"/>
    <w:rsid w:val="006A671A"/>
    <w:rsid w:val="006C5773"/>
    <w:rsid w:val="00706CE2"/>
    <w:rsid w:val="00715405"/>
    <w:rsid w:val="00723EDA"/>
    <w:rsid w:val="00755607"/>
    <w:rsid w:val="007637F5"/>
    <w:rsid w:val="007C50EA"/>
    <w:rsid w:val="007F2555"/>
    <w:rsid w:val="007F5E06"/>
    <w:rsid w:val="00883588"/>
    <w:rsid w:val="00884510"/>
    <w:rsid w:val="008877F0"/>
    <w:rsid w:val="008A793E"/>
    <w:rsid w:val="008F30C5"/>
    <w:rsid w:val="00914B71"/>
    <w:rsid w:val="00961BF5"/>
    <w:rsid w:val="00974035"/>
    <w:rsid w:val="00982440"/>
    <w:rsid w:val="0098280D"/>
    <w:rsid w:val="009B36CA"/>
    <w:rsid w:val="009F5DFF"/>
    <w:rsid w:val="00A001E4"/>
    <w:rsid w:val="00A91E69"/>
    <w:rsid w:val="00AE76D2"/>
    <w:rsid w:val="00B66E34"/>
    <w:rsid w:val="00B85781"/>
    <w:rsid w:val="00B97561"/>
    <w:rsid w:val="00BD1DB7"/>
    <w:rsid w:val="00BD6AE9"/>
    <w:rsid w:val="00BF640C"/>
    <w:rsid w:val="00BF64A8"/>
    <w:rsid w:val="00C03C16"/>
    <w:rsid w:val="00C14AD2"/>
    <w:rsid w:val="00C60BFD"/>
    <w:rsid w:val="00C62A88"/>
    <w:rsid w:val="00C65EF2"/>
    <w:rsid w:val="00C916D6"/>
    <w:rsid w:val="00CA4A8A"/>
    <w:rsid w:val="00CA539F"/>
    <w:rsid w:val="00CE7697"/>
    <w:rsid w:val="00CF5A80"/>
    <w:rsid w:val="00D1062F"/>
    <w:rsid w:val="00D15ECA"/>
    <w:rsid w:val="00D2021C"/>
    <w:rsid w:val="00D745C9"/>
    <w:rsid w:val="00DC68CF"/>
    <w:rsid w:val="00DF3EB6"/>
    <w:rsid w:val="00E048BC"/>
    <w:rsid w:val="00E07496"/>
    <w:rsid w:val="00E27AFA"/>
    <w:rsid w:val="00E7205B"/>
    <w:rsid w:val="00E80629"/>
    <w:rsid w:val="00ED332C"/>
    <w:rsid w:val="00EE3005"/>
    <w:rsid w:val="00F029A9"/>
    <w:rsid w:val="00F461C0"/>
    <w:rsid w:val="00F552CA"/>
    <w:rsid w:val="00F71A3C"/>
    <w:rsid w:val="00F80463"/>
    <w:rsid w:val="00F972DD"/>
    <w:rsid w:val="00FE1C9F"/>
    <w:rsid w:val="00FF2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9F"/>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4E5749"/>
    <w:rPr>
      <w:color w:val="0000FF"/>
      <w:u w:val="single"/>
    </w:rPr>
  </w:style>
  <w:style w:type="paragraph" w:styleId="BalloonText">
    <w:name w:val="Balloon Text"/>
    <w:basedOn w:val="Normal"/>
    <w:link w:val="BalloonTextChar"/>
    <w:uiPriority w:val="99"/>
    <w:semiHidden/>
    <w:unhideWhenUsed/>
    <w:rsid w:val="00AE76D2"/>
    <w:rPr>
      <w:rFonts w:ascii="Tahoma" w:hAnsi="Tahoma" w:cs="Tahoma"/>
      <w:sz w:val="16"/>
      <w:szCs w:val="16"/>
    </w:rPr>
  </w:style>
  <w:style w:type="character" w:customStyle="1" w:styleId="BalloonTextChar">
    <w:name w:val="Balloon Text Char"/>
    <w:basedOn w:val="DefaultParagraphFont"/>
    <w:link w:val="BalloonText"/>
    <w:uiPriority w:val="99"/>
    <w:semiHidden/>
    <w:rsid w:val="00AE76D2"/>
    <w:rPr>
      <w:rFonts w:ascii="Tahoma" w:hAnsi="Tahoma" w:cs="Tahoma"/>
      <w:sz w:val="16"/>
      <w:szCs w:val="16"/>
    </w:rPr>
  </w:style>
  <w:style w:type="paragraph" w:styleId="Header">
    <w:name w:val="header"/>
    <w:basedOn w:val="Normal"/>
    <w:link w:val="HeaderChar"/>
    <w:uiPriority w:val="99"/>
    <w:semiHidden/>
    <w:unhideWhenUsed/>
    <w:rsid w:val="00AE76D2"/>
    <w:pPr>
      <w:tabs>
        <w:tab w:val="center" w:pos="4680"/>
        <w:tab w:val="right" w:pos="9360"/>
      </w:tabs>
    </w:pPr>
  </w:style>
  <w:style w:type="character" w:customStyle="1" w:styleId="HeaderChar">
    <w:name w:val="Header Char"/>
    <w:basedOn w:val="DefaultParagraphFont"/>
    <w:link w:val="Header"/>
    <w:uiPriority w:val="99"/>
    <w:semiHidden/>
    <w:rsid w:val="00AE76D2"/>
    <w:rPr>
      <w:rFonts w:ascii="Times New Roman" w:hAnsi="Times New Roman" w:cs="Times New Roman"/>
      <w:sz w:val="20"/>
      <w:szCs w:val="20"/>
    </w:rPr>
  </w:style>
  <w:style w:type="paragraph" w:styleId="Footer">
    <w:name w:val="footer"/>
    <w:basedOn w:val="Normal"/>
    <w:link w:val="FooterChar"/>
    <w:uiPriority w:val="99"/>
    <w:unhideWhenUsed/>
    <w:rsid w:val="00AE76D2"/>
    <w:pPr>
      <w:tabs>
        <w:tab w:val="center" w:pos="4680"/>
        <w:tab w:val="right" w:pos="9360"/>
      </w:tabs>
    </w:pPr>
  </w:style>
  <w:style w:type="character" w:customStyle="1" w:styleId="FooterChar">
    <w:name w:val="Footer Char"/>
    <w:basedOn w:val="DefaultParagraphFont"/>
    <w:link w:val="Footer"/>
    <w:uiPriority w:val="99"/>
    <w:rsid w:val="00AE76D2"/>
    <w:rPr>
      <w:rFonts w:ascii="Times New Roman" w:hAnsi="Times New Roman" w:cs="Times New Roman"/>
      <w:sz w:val="20"/>
      <w:szCs w:val="20"/>
    </w:rPr>
  </w:style>
  <w:style w:type="character" w:styleId="Hyperlink">
    <w:name w:val="Hyperlink"/>
    <w:basedOn w:val="DefaultParagraphFont"/>
    <w:uiPriority w:val="99"/>
    <w:unhideWhenUsed/>
    <w:rsid w:val="00E80629"/>
    <w:rPr>
      <w:color w:val="0000FF" w:themeColor="hyperlink"/>
      <w:u w:val="single"/>
    </w:rPr>
  </w:style>
  <w:style w:type="character" w:customStyle="1" w:styleId="WPHyperlink">
    <w:name w:val="WP_Hyperlink"/>
    <w:basedOn w:val="DefaultParagraphFont"/>
    <w:rsid w:val="00E07496"/>
    <w:rPr>
      <w:color w:val="0000FF"/>
      <w:u w:val="single"/>
    </w:rPr>
  </w:style>
  <w:style w:type="paragraph" w:styleId="NoSpacing">
    <w:name w:val="No Spacing"/>
    <w:uiPriority w:val="1"/>
    <w:qFormat/>
    <w:rsid w:val="00CA539F"/>
    <w:pPr>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320770828">
      <w:bodyDiv w:val="1"/>
      <w:marLeft w:val="0"/>
      <w:marRight w:val="0"/>
      <w:marTop w:val="0"/>
      <w:marBottom w:val="0"/>
      <w:divBdr>
        <w:top w:val="none" w:sz="0" w:space="0" w:color="auto"/>
        <w:left w:val="none" w:sz="0" w:space="0" w:color="auto"/>
        <w:bottom w:val="none" w:sz="0" w:space="0" w:color="auto"/>
        <w:right w:val="none" w:sz="0" w:space="0" w:color="auto"/>
      </w:divBdr>
    </w:div>
    <w:div w:id="213008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png@01CBDF52.E765C57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JUSTICE.GOV" TargetMode="External"/><Relationship Id="rId4" Type="http://schemas.openxmlformats.org/officeDocument/2006/relationships/footnotes" Target="footnotes.xml"/><Relationship Id="rId9" Type="http://schemas.openxmlformats.org/officeDocument/2006/relationships/image" Target="cid:image002.png@01CBDF52.E765C5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JMD</Company>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talamona</dc:creator>
  <cp:lastModifiedBy>grantmt</cp:lastModifiedBy>
  <cp:revision>4</cp:revision>
  <cp:lastPrinted>2011-03-31T13:54:00Z</cp:lastPrinted>
  <dcterms:created xsi:type="dcterms:W3CDTF">2011-03-31T13:55:00Z</dcterms:created>
  <dcterms:modified xsi:type="dcterms:W3CDTF">2014-02-25T15:12:00Z</dcterms:modified>
</cp:coreProperties>
</file>