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2E" w:rsidRPr="00BB1450" w:rsidRDefault="007828A6" w:rsidP="0008722E">
      <w:pPr>
        <w:jc w:val="center"/>
        <w:rPr>
          <w:rFonts w:cs="Times New Roman"/>
          <w:szCs w:val="24"/>
        </w:rPr>
      </w:pPr>
      <w:r w:rsidRPr="00BB1450">
        <w:rPr>
          <w:rFonts w:cs="Times New Roman"/>
          <w:szCs w:val="24"/>
          <w:lang w:val="en-CA"/>
        </w:rPr>
        <w:fldChar w:fldCharType="begin"/>
      </w:r>
      <w:r w:rsidR="0008722E" w:rsidRPr="00BB1450">
        <w:rPr>
          <w:rFonts w:cs="Times New Roman"/>
          <w:szCs w:val="24"/>
          <w:lang w:val="en-CA"/>
        </w:rPr>
        <w:instrText xml:space="preserve"> SEQ CHAPTER \h \r 1</w:instrText>
      </w:r>
      <w:r w:rsidRPr="00BB1450">
        <w:rPr>
          <w:rFonts w:cs="Times New Roman"/>
          <w:szCs w:val="24"/>
          <w:lang w:val="en-CA"/>
        </w:rPr>
        <w:fldChar w:fldCharType="end"/>
      </w:r>
      <w:r w:rsidR="0008722E" w:rsidRPr="00BB1450">
        <w:rPr>
          <w:rFonts w:cs="Times New Roman"/>
          <w:noProof/>
          <w:szCs w:val="24"/>
        </w:rPr>
        <w:drawing>
          <wp:inline distT="0" distB="0" distL="0" distR="0">
            <wp:extent cx="5505450" cy="971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05450" cy="971550"/>
                    </a:xfrm>
                    <a:prstGeom prst="rect">
                      <a:avLst/>
                    </a:prstGeom>
                    <a:noFill/>
                    <a:ln w="9525">
                      <a:noFill/>
                      <a:miter lim="800000"/>
                      <a:headEnd/>
                      <a:tailEnd/>
                    </a:ln>
                  </pic:spPr>
                </pic:pic>
              </a:graphicData>
            </a:graphic>
          </wp:inline>
        </w:drawing>
      </w:r>
    </w:p>
    <w:p w:rsidR="0008722E" w:rsidRPr="00BB1450" w:rsidRDefault="0008722E" w:rsidP="0008722E">
      <w:pPr>
        <w:rPr>
          <w:rFonts w:cs="Times New Roman"/>
          <w:szCs w:val="24"/>
        </w:rPr>
      </w:pPr>
    </w:p>
    <w:p w:rsidR="00255FC7" w:rsidRPr="00BB1450" w:rsidRDefault="007828A6" w:rsidP="0008722E">
      <w:pPr>
        <w:rPr>
          <w:rFonts w:cs="Times New Roman"/>
          <w:szCs w:val="24"/>
        </w:rPr>
      </w:pPr>
      <w:r>
        <w:rPr>
          <w:rFonts w:cs="Times New Roman"/>
          <w:noProof/>
          <w:szCs w:val="24"/>
        </w:rPr>
        <w:pict>
          <v:rect id="Rectangle 2" o:spid="_x0000_s1026" style="position:absolute;margin-left:71.75pt;margin-top:158.2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" o:allowincell="f" fillcolor="black" stroked="f" strokeweight="0">
            <w10:wrap anchorx="page" anchory="page"/>
            <w10:anchorlock/>
          </v:rect>
        </w:pict>
      </w:r>
      <w:r w:rsidR="00255FC7" w:rsidRPr="00BB1450">
        <w:rPr>
          <w:rFonts w:cs="Times New Roman"/>
          <w:szCs w:val="24"/>
        </w:rPr>
        <w:t>FOR IMMEDIATE RELEASE</w:t>
      </w:r>
      <w:r w:rsidR="00255FC7" w:rsidRPr="00BB1450">
        <w:rPr>
          <w:rFonts w:cs="Times New Roman"/>
          <w:szCs w:val="24"/>
        </w:rPr>
        <w:tab/>
      </w:r>
      <w:bookmarkStart w:id="0" w:name="a2"/>
      <w:r w:rsidR="0008722E" w:rsidRPr="00BB1450">
        <w:rPr>
          <w:rFonts w:cs="Times New Roman"/>
          <w:szCs w:val="24"/>
        </w:rPr>
        <w:t xml:space="preserve">                                                                                          </w:t>
      </w:r>
      <w:r w:rsidR="00255FC7" w:rsidRPr="00BB1450">
        <w:rPr>
          <w:rFonts w:cs="Times New Roman"/>
          <w:szCs w:val="24"/>
        </w:rPr>
        <w:t>AT</w:t>
      </w:r>
      <w:bookmarkEnd w:id="0"/>
    </w:p>
    <w:p w:rsidR="00255FC7" w:rsidRPr="00BB1450" w:rsidRDefault="003C433C" w:rsidP="00255FC7">
      <w:pPr>
        <w:tabs>
          <w:tab w:val="right" w:pos="9360"/>
        </w:tabs>
        <w:rPr>
          <w:rFonts w:cs="Times New Roman"/>
          <w:szCs w:val="24"/>
        </w:rPr>
      </w:pPr>
      <w:bookmarkStart w:id="1" w:name="a3"/>
      <w:r w:rsidRPr="00BB1450">
        <w:rPr>
          <w:rFonts w:cs="Times New Roman"/>
          <w:szCs w:val="24"/>
        </w:rPr>
        <w:t>MOND</w:t>
      </w:r>
      <w:r w:rsidR="0064651A" w:rsidRPr="00BB1450">
        <w:rPr>
          <w:rFonts w:cs="Times New Roman"/>
          <w:szCs w:val="24"/>
        </w:rPr>
        <w:t>AY</w:t>
      </w:r>
      <w:r w:rsidR="00255FC7" w:rsidRPr="00BB1450">
        <w:rPr>
          <w:rFonts w:cs="Times New Roman"/>
          <w:szCs w:val="24"/>
        </w:rPr>
        <w:t xml:space="preserve">, </w:t>
      </w:r>
      <w:bookmarkEnd w:id="1"/>
      <w:r w:rsidRPr="00BB1450">
        <w:rPr>
          <w:rFonts w:cs="Times New Roman"/>
          <w:szCs w:val="24"/>
        </w:rPr>
        <w:t>FEBRUARY</w:t>
      </w:r>
      <w:r w:rsidR="0064651A" w:rsidRPr="00BB1450">
        <w:rPr>
          <w:rFonts w:cs="Times New Roman"/>
          <w:szCs w:val="24"/>
        </w:rPr>
        <w:t xml:space="preserve"> </w:t>
      </w:r>
      <w:r w:rsidRPr="00BB1450">
        <w:rPr>
          <w:rFonts w:cs="Times New Roman"/>
          <w:szCs w:val="24"/>
        </w:rPr>
        <w:t>1</w:t>
      </w:r>
      <w:r w:rsidR="0064651A" w:rsidRPr="00BB1450">
        <w:rPr>
          <w:rFonts w:cs="Times New Roman"/>
          <w:szCs w:val="24"/>
        </w:rPr>
        <w:t>0</w:t>
      </w:r>
      <w:r w:rsidR="00255FC7" w:rsidRPr="00BB1450">
        <w:rPr>
          <w:rFonts w:cs="Times New Roman"/>
          <w:szCs w:val="24"/>
        </w:rPr>
        <w:t>, 201</w:t>
      </w:r>
      <w:r w:rsidRPr="00BB1450">
        <w:rPr>
          <w:rFonts w:cs="Times New Roman"/>
          <w:szCs w:val="24"/>
        </w:rPr>
        <w:t>4</w:t>
      </w:r>
      <w:r w:rsidR="00255FC7" w:rsidRPr="00BB1450">
        <w:rPr>
          <w:rFonts w:cs="Times New Roman"/>
          <w:szCs w:val="24"/>
        </w:rPr>
        <w:tab/>
        <w:t xml:space="preserve">(202) </w:t>
      </w:r>
      <w:bookmarkStart w:id="2" w:name="a4"/>
      <w:r w:rsidR="00255FC7" w:rsidRPr="00BB1450">
        <w:rPr>
          <w:rFonts w:cs="Times New Roman"/>
          <w:szCs w:val="24"/>
        </w:rPr>
        <w:t>514-2007</w:t>
      </w:r>
      <w:bookmarkEnd w:id="2"/>
    </w:p>
    <w:p w:rsidR="00255FC7" w:rsidRPr="00BB1450" w:rsidRDefault="007828A6" w:rsidP="00255FC7">
      <w:pPr>
        <w:tabs>
          <w:tab w:val="right" w:pos="9360"/>
        </w:tabs>
        <w:rPr>
          <w:rFonts w:cs="Times New Roman"/>
          <w:szCs w:val="24"/>
        </w:rPr>
      </w:pPr>
      <w:hyperlink r:id="rId8" w:history="1">
        <w:r w:rsidR="00802357" w:rsidRPr="00BB1450">
          <w:rPr>
            <w:rStyle w:val="Hyperlink"/>
            <w:rFonts w:cs="Times New Roman"/>
            <w:szCs w:val="24"/>
          </w:rPr>
          <w:t>WWW.JUSTICE.GOV</w:t>
        </w:r>
      </w:hyperlink>
      <w:r w:rsidR="00255FC7" w:rsidRPr="00BB1450">
        <w:rPr>
          <w:rFonts w:cs="Times New Roman"/>
          <w:szCs w:val="24"/>
        </w:rPr>
        <w:t xml:space="preserve"> </w:t>
      </w:r>
      <w:r w:rsidR="00255FC7" w:rsidRPr="00BB1450">
        <w:rPr>
          <w:rFonts w:cs="Times New Roman"/>
          <w:szCs w:val="24"/>
        </w:rPr>
        <w:tab/>
      </w:r>
      <w:r w:rsidR="0008722E" w:rsidRPr="00BB1450">
        <w:rPr>
          <w:rFonts w:cs="Times New Roman"/>
          <w:szCs w:val="24"/>
        </w:rPr>
        <w:t>TTY (866) 544-5309</w:t>
      </w:r>
    </w:p>
    <w:p w:rsidR="004005B0" w:rsidRPr="00757C91" w:rsidRDefault="004005B0" w:rsidP="00255FC7">
      <w:pPr>
        <w:rPr>
          <w:rFonts w:cs="Times New Roman"/>
          <w:szCs w:val="24"/>
        </w:rPr>
      </w:pPr>
    </w:p>
    <w:p w:rsidR="00F72112" w:rsidRPr="00BB1450" w:rsidRDefault="007828A6" w:rsidP="00364AA4">
      <w:pPr>
        <w:jc w:val="center"/>
        <w:rPr>
          <w:rFonts w:cs="Times New Roman"/>
          <w:b/>
          <w:bCs/>
          <w:szCs w:val="24"/>
          <w:u w:val="single"/>
        </w:rPr>
      </w:pPr>
      <w:r w:rsidRPr="00BB1450">
        <w:rPr>
          <w:rFonts w:cs="Times New Roman"/>
          <w:szCs w:val="24"/>
          <w:lang w:val="en-CA"/>
        </w:rPr>
        <w:fldChar w:fldCharType="begin"/>
      </w:r>
      <w:r w:rsidR="00F72112" w:rsidRPr="00BB1450">
        <w:rPr>
          <w:rFonts w:cs="Times New Roman"/>
          <w:szCs w:val="24"/>
          <w:lang w:val="en-CA"/>
        </w:rPr>
        <w:instrText xml:space="preserve"> SEQ CHAPTER \h \r 1</w:instrText>
      </w:r>
      <w:r w:rsidRPr="00BB1450">
        <w:rPr>
          <w:rFonts w:cs="Times New Roman"/>
          <w:szCs w:val="24"/>
          <w:lang w:val="en-CA"/>
        </w:rPr>
        <w:fldChar w:fldCharType="end"/>
      </w:r>
      <w:r w:rsidR="00F72112" w:rsidRPr="00BB1450">
        <w:rPr>
          <w:rFonts w:cs="Times New Roman"/>
          <w:b/>
          <w:bCs/>
          <w:szCs w:val="24"/>
          <w:u w:val="single"/>
        </w:rPr>
        <w:t xml:space="preserve">FORMER </w:t>
      </w:r>
      <w:r w:rsidR="00621620">
        <w:rPr>
          <w:rFonts w:cs="Times New Roman"/>
          <w:b/>
          <w:bCs/>
          <w:szCs w:val="24"/>
          <w:u w:val="single"/>
        </w:rPr>
        <w:t>BANK OF AMERICA</w:t>
      </w:r>
      <w:r w:rsidR="00F72112" w:rsidRPr="00BB1450">
        <w:rPr>
          <w:rFonts w:cs="Times New Roman"/>
          <w:b/>
          <w:bCs/>
          <w:szCs w:val="24"/>
          <w:u w:val="single"/>
        </w:rPr>
        <w:t xml:space="preserve"> EXECUTIVE </w:t>
      </w:r>
      <w:r w:rsidR="00364AA4" w:rsidRPr="00BB1450">
        <w:rPr>
          <w:rFonts w:cs="Times New Roman"/>
          <w:b/>
          <w:bCs/>
          <w:szCs w:val="24"/>
          <w:u w:val="single"/>
        </w:rPr>
        <w:t>PLEADS GUILTY</w:t>
      </w:r>
      <w:r w:rsidR="00F72112" w:rsidRPr="00BB1450">
        <w:rPr>
          <w:rFonts w:cs="Times New Roman"/>
          <w:b/>
          <w:bCs/>
          <w:szCs w:val="24"/>
          <w:u w:val="single"/>
        </w:rPr>
        <w:t xml:space="preserve"> FOR </w:t>
      </w:r>
      <w:r w:rsidR="00364AA4" w:rsidRPr="00BB1450">
        <w:rPr>
          <w:rFonts w:cs="Times New Roman"/>
          <w:b/>
          <w:bCs/>
          <w:szCs w:val="24"/>
          <w:u w:val="single"/>
        </w:rPr>
        <w:t>ROLE</w:t>
      </w:r>
      <w:r w:rsidR="00F72112" w:rsidRPr="00BB1450">
        <w:rPr>
          <w:rFonts w:cs="Times New Roman"/>
          <w:b/>
          <w:bCs/>
          <w:szCs w:val="24"/>
          <w:u w:val="single"/>
        </w:rPr>
        <w:t xml:space="preserve"> IN</w:t>
      </w:r>
      <w:r w:rsidR="00FF518C" w:rsidRPr="00BB1450">
        <w:rPr>
          <w:rFonts w:cs="Times New Roman"/>
          <w:b/>
          <w:bCs/>
          <w:szCs w:val="24"/>
          <w:u w:val="single"/>
        </w:rPr>
        <w:t xml:space="preserve"> </w:t>
      </w:r>
      <w:r w:rsidR="00377769" w:rsidRPr="00BB1450">
        <w:rPr>
          <w:rFonts w:cs="Times New Roman"/>
          <w:b/>
          <w:bCs/>
          <w:szCs w:val="24"/>
          <w:u w:val="single"/>
        </w:rPr>
        <w:t>CONSPIRACY</w:t>
      </w:r>
      <w:r w:rsidR="00F72112" w:rsidRPr="00BB1450">
        <w:rPr>
          <w:rFonts w:cs="Times New Roman"/>
          <w:b/>
          <w:bCs/>
          <w:szCs w:val="24"/>
          <w:u w:val="single"/>
        </w:rPr>
        <w:t xml:space="preserve"> </w:t>
      </w:r>
      <w:r w:rsidR="00377769" w:rsidRPr="00BB1450">
        <w:rPr>
          <w:rFonts w:cs="Times New Roman"/>
          <w:b/>
          <w:bCs/>
          <w:szCs w:val="24"/>
          <w:u w:val="single"/>
        </w:rPr>
        <w:t xml:space="preserve">AND </w:t>
      </w:r>
      <w:r w:rsidR="00673F02" w:rsidRPr="00BB1450">
        <w:rPr>
          <w:rFonts w:cs="Times New Roman"/>
          <w:b/>
          <w:bCs/>
          <w:szCs w:val="24"/>
          <w:u w:val="single"/>
        </w:rPr>
        <w:t>FRAUD INVOLVING INVESTMENT CONTRACTS FOR</w:t>
      </w:r>
      <w:r w:rsidR="00F72112" w:rsidRPr="00BB1450">
        <w:rPr>
          <w:rFonts w:cs="Times New Roman"/>
          <w:b/>
          <w:bCs/>
          <w:szCs w:val="24"/>
          <w:u w:val="single"/>
        </w:rPr>
        <w:t xml:space="preserve"> MUNICIPAL BONDS</w:t>
      </w:r>
      <w:r w:rsidR="00673F02" w:rsidRPr="00BB1450">
        <w:rPr>
          <w:rFonts w:cs="Times New Roman"/>
          <w:b/>
          <w:bCs/>
          <w:szCs w:val="24"/>
          <w:u w:val="single"/>
        </w:rPr>
        <w:t xml:space="preserve"> PROCEEDS</w:t>
      </w:r>
    </w:p>
    <w:p w:rsidR="00F72112" w:rsidRPr="00BB1450" w:rsidRDefault="00F72112" w:rsidP="00F72112">
      <w:pPr>
        <w:rPr>
          <w:rFonts w:cs="Times New Roman"/>
          <w:szCs w:val="24"/>
        </w:rPr>
      </w:pPr>
    </w:p>
    <w:p w:rsidR="00F72112" w:rsidRPr="00BB1450" w:rsidRDefault="00F72112" w:rsidP="00F72112">
      <w:pPr>
        <w:rPr>
          <w:rFonts w:cs="Times New Roman"/>
          <w:szCs w:val="24"/>
        </w:rPr>
      </w:pPr>
      <w:r w:rsidRPr="00BB1450">
        <w:rPr>
          <w:rFonts w:cs="Times New Roman"/>
          <w:szCs w:val="24"/>
        </w:rPr>
        <w:tab/>
      </w:r>
      <w:r w:rsidR="00240301" w:rsidRPr="00BB1450">
        <w:rPr>
          <w:rFonts w:cs="Times New Roman"/>
          <w:szCs w:val="24"/>
        </w:rPr>
        <w:t xml:space="preserve">WASHINGTON – </w:t>
      </w:r>
      <w:r w:rsidRPr="00BB1450">
        <w:rPr>
          <w:rFonts w:cs="Times New Roman"/>
          <w:szCs w:val="24"/>
        </w:rPr>
        <w:t xml:space="preserve">A former </w:t>
      </w:r>
      <w:r w:rsidR="00621620">
        <w:rPr>
          <w:rFonts w:cs="Times New Roman"/>
          <w:szCs w:val="24"/>
        </w:rPr>
        <w:t>Bank of America</w:t>
      </w:r>
      <w:r w:rsidRPr="00BB1450">
        <w:rPr>
          <w:rFonts w:cs="Times New Roman"/>
          <w:szCs w:val="24"/>
        </w:rPr>
        <w:t xml:space="preserve"> executive </w:t>
      </w:r>
      <w:r w:rsidR="00364AA4" w:rsidRPr="00BB1450">
        <w:rPr>
          <w:rFonts w:cs="Times New Roman"/>
          <w:szCs w:val="24"/>
        </w:rPr>
        <w:t>pleaded guilty today</w:t>
      </w:r>
      <w:r w:rsidRPr="00BB1450">
        <w:rPr>
          <w:rFonts w:cs="Times New Roman"/>
          <w:szCs w:val="24"/>
        </w:rPr>
        <w:t xml:space="preserve"> for his participation in a </w:t>
      </w:r>
      <w:r w:rsidR="00377769" w:rsidRPr="00BB1450">
        <w:rPr>
          <w:rFonts w:cs="Times New Roman"/>
          <w:szCs w:val="24"/>
        </w:rPr>
        <w:t>conspiracy and scheme to defraud</w:t>
      </w:r>
      <w:r w:rsidRPr="00BB1450">
        <w:rPr>
          <w:rFonts w:cs="Times New Roman"/>
          <w:szCs w:val="24"/>
        </w:rPr>
        <w:t xml:space="preserve"> related to bidding for contracts for the investment of municipal bond proceeds and other municipal finance contracts, the Department of Justice announced.</w:t>
      </w:r>
    </w:p>
    <w:p w:rsidR="00F72112" w:rsidRPr="00BB1450" w:rsidRDefault="00F72112" w:rsidP="00F72112">
      <w:pPr>
        <w:rPr>
          <w:rFonts w:cs="Times New Roman"/>
          <w:szCs w:val="24"/>
        </w:rPr>
      </w:pPr>
      <w:r w:rsidRPr="00BB1450">
        <w:rPr>
          <w:rFonts w:cs="Times New Roman"/>
          <w:szCs w:val="24"/>
        </w:rPr>
        <w:tab/>
      </w:r>
      <w:r w:rsidRPr="00BB1450">
        <w:rPr>
          <w:rFonts w:cs="Times New Roman"/>
          <w:szCs w:val="24"/>
        </w:rPr>
        <w:tab/>
      </w:r>
      <w:r w:rsidRPr="00BB1450">
        <w:rPr>
          <w:rFonts w:cs="Times New Roman"/>
          <w:szCs w:val="24"/>
        </w:rPr>
        <w:tab/>
      </w:r>
      <w:r w:rsidRPr="00BB1450">
        <w:rPr>
          <w:rFonts w:cs="Times New Roman"/>
          <w:szCs w:val="24"/>
        </w:rPr>
        <w:tab/>
      </w:r>
      <w:r w:rsidRPr="00BB1450">
        <w:rPr>
          <w:rFonts w:cs="Times New Roman"/>
          <w:szCs w:val="24"/>
        </w:rPr>
        <w:tab/>
      </w:r>
      <w:r w:rsidRPr="00BB1450">
        <w:rPr>
          <w:rFonts w:cs="Times New Roman"/>
          <w:szCs w:val="24"/>
        </w:rPr>
        <w:tab/>
      </w:r>
      <w:r w:rsidRPr="00BB1450">
        <w:rPr>
          <w:rFonts w:cs="Times New Roman"/>
          <w:szCs w:val="24"/>
        </w:rPr>
        <w:tab/>
      </w:r>
    </w:p>
    <w:p w:rsidR="00986EE6" w:rsidRPr="00BB1450" w:rsidRDefault="00E542D2" w:rsidP="00F72112">
      <w:pPr>
        <w:rPr>
          <w:rFonts w:cs="Times New Roman"/>
          <w:szCs w:val="24"/>
        </w:rPr>
      </w:pPr>
      <w:r w:rsidRPr="00BB1450">
        <w:rPr>
          <w:rFonts w:cs="Times New Roman"/>
          <w:szCs w:val="24"/>
        </w:rPr>
        <w:tab/>
      </w:r>
      <w:r w:rsidR="00673F02" w:rsidRPr="00BB1450">
        <w:rPr>
          <w:rFonts w:cs="Times New Roman"/>
          <w:szCs w:val="24"/>
        </w:rPr>
        <w:t>Phillip D. Murphy, the former managing director of Bank of America’s municipal derivatives products desk from 1998 to 2002, pleaded guilty today before U.S. Di</w:t>
      </w:r>
      <w:r w:rsidR="0065365E">
        <w:rPr>
          <w:rFonts w:cs="Times New Roman"/>
          <w:szCs w:val="24"/>
        </w:rPr>
        <w:t xml:space="preserve">strict Judge Max O. </w:t>
      </w:r>
      <w:proofErr w:type="spellStart"/>
      <w:r w:rsidR="0065365E">
        <w:rPr>
          <w:rFonts w:cs="Times New Roman"/>
          <w:szCs w:val="24"/>
        </w:rPr>
        <w:t>Cogburn</w:t>
      </w:r>
      <w:proofErr w:type="spellEnd"/>
      <w:r w:rsidR="0065365E">
        <w:rPr>
          <w:rFonts w:cs="Times New Roman"/>
          <w:szCs w:val="24"/>
        </w:rPr>
        <w:t xml:space="preserve"> Jr.</w:t>
      </w:r>
      <w:r w:rsidR="00673F02" w:rsidRPr="00BB1450">
        <w:rPr>
          <w:rFonts w:cs="Times New Roman"/>
          <w:szCs w:val="24"/>
        </w:rPr>
        <w:t xml:space="preserve"> </w:t>
      </w:r>
      <w:r w:rsidR="00364AA4" w:rsidRPr="00BB1450">
        <w:rPr>
          <w:rFonts w:cs="Times New Roman"/>
          <w:szCs w:val="24"/>
        </w:rPr>
        <w:t xml:space="preserve">in the U.S. District Court for the Western District of North Carolina </w:t>
      </w:r>
      <w:r w:rsidR="00F70581" w:rsidRPr="00BB1450">
        <w:rPr>
          <w:rFonts w:cs="Times New Roman"/>
          <w:szCs w:val="24"/>
        </w:rPr>
        <w:t xml:space="preserve">to participating in a </w:t>
      </w:r>
      <w:r w:rsidR="00E14846" w:rsidRPr="00BB1450">
        <w:rPr>
          <w:rFonts w:cs="Times New Roman"/>
          <w:szCs w:val="24"/>
        </w:rPr>
        <w:t>fraud conspiracy and wire fraud scheme</w:t>
      </w:r>
      <w:r w:rsidR="00F70581" w:rsidRPr="00BB1450">
        <w:rPr>
          <w:rFonts w:cs="Times New Roman"/>
          <w:szCs w:val="24"/>
        </w:rPr>
        <w:t xml:space="preserve"> with </w:t>
      </w:r>
      <w:r w:rsidR="00E14846" w:rsidRPr="00BB1450">
        <w:rPr>
          <w:rFonts w:cs="Times New Roman"/>
          <w:szCs w:val="24"/>
        </w:rPr>
        <w:t xml:space="preserve">employees </w:t>
      </w:r>
      <w:r w:rsidR="00D423A6" w:rsidRPr="00BB1450">
        <w:rPr>
          <w:rFonts w:cs="Times New Roman"/>
          <w:szCs w:val="24"/>
        </w:rPr>
        <w:t xml:space="preserve">of </w:t>
      </w:r>
      <w:r w:rsidR="00D423A6" w:rsidRPr="00BB1450">
        <w:rPr>
          <w:rStyle w:val="apple-converted-space"/>
          <w:rFonts w:cs="Times New Roman"/>
          <w:color w:val="171E24"/>
          <w:szCs w:val="24"/>
          <w:shd w:val="clear" w:color="auto" w:fill="FEFDF9"/>
        </w:rPr>
        <w:t>Rubin</w:t>
      </w:r>
      <w:r w:rsidR="00D423A6" w:rsidRPr="00BB1450">
        <w:rPr>
          <w:rFonts w:cs="Times New Roman"/>
          <w:color w:val="171E24"/>
          <w:szCs w:val="24"/>
          <w:shd w:val="clear" w:color="auto" w:fill="FEFDF9"/>
        </w:rPr>
        <w:t>/Chambers, Dunhill Insurance Services Inc., also k</w:t>
      </w:r>
      <w:r w:rsidR="00924B05" w:rsidRPr="00BB1450">
        <w:rPr>
          <w:rFonts w:cs="Times New Roman"/>
          <w:color w:val="171E24"/>
          <w:szCs w:val="24"/>
          <w:shd w:val="clear" w:color="auto" w:fill="FEFDF9"/>
        </w:rPr>
        <w:t>nown as CDR Financial Products</w:t>
      </w:r>
      <w:r w:rsidR="00D423A6" w:rsidRPr="00BB1450">
        <w:rPr>
          <w:rFonts w:cs="Times New Roman"/>
          <w:color w:val="171E24"/>
          <w:szCs w:val="24"/>
          <w:shd w:val="clear" w:color="auto" w:fill="FEFDF9"/>
        </w:rPr>
        <w:t>,</w:t>
      </w:r>
      <w:r w:rsidR="00924B05" w:rsidRPr="00BB1450">
        <w:rPr>
          <w:rFonts w:cs="Times New Roman"/>
          <w:color w:val="171E24"/>
          <w:szCs w:val="24"/>
          <w:shd w:val="clear" w:color="auto" w:fill="FEFDF9"/>
        </w:rPr>
        <w:t xml:space="preserve"> </w:t>
      </w:r>
      <w:r w:rsidR="00E14846" w:rsidRPr="00BB1450">
        <w:rPr>
          <w:rFonts w:cs="Times New Roman"/>
          <w:szCs w:val="24"/>
        </w:rPr>
        <w:t>a broker</w:t>
      </w:r>
      <w:r w:rsidR="00757C91">
        <w:rPr>
          <w:rFonts w:cs="Times New Roman"/>
          <w:szCs w:val="24"/>
        </w:rPr>
        <w:t xml:space="preserve"> of municipal finance contracts, and </w:t>
      </w:r>
      <w:r w:rsidR="00E14846" w:rsidRPr="00BB1450">
        <w:rPr>
          <w:rFonts w:cs="Times New Roman"/>
          <w:szCs w:val="24"/>
        </w:rPr>
        <w:t>others</w:t>
      </w:r>
      <w:r w:rsidR="00F70581" w:rsidRPr="00BB1450">
        <w:rPr>
          <w:rFonts w:cs="Times New Roman"/>
          <w:szCs w:val="24"/>
        </w:rPr>
        <w:t xml:space="preserve">. </w:t>
      </w:r>
      <w:r w:rsidR="00E14846" w:rsidRPr="00BB1450">
        <w:rPr>
          <w:rFonts w:cs="Times New Roman"/>
          <w:szCs w:val="24"/>
        </w:rPr>
        <w:t xml:space="preserve"> </w:t>
      </w:r>
      <w:r w:rsidR="00C15F01" w:rsidRPr="00BB1450">
        <w:rPr>
          <w:rFonts w:cs="Times New Roman"/>
          <w:szCs w:val="24"/>
        </w:rPr>
        <w:t xml:space="preserve">Murphy also pleaded guilty to conspiring with others to make false entries in the reports and statements originating from his </w:t>
      </w:r>
      <w:r w:rsidR="00A40578" w:rsidRPr="00BB1450">
        <w:rPr>
          <w:rFonts w:cs="Times New Roman"/>
          <w:szCs w:val="24"/>
        </w:rPr>
        <w:t>desk</w:t>
      </w:r>
      <w:r w:rsidR="00757C91">
        <w:rPr>
          <w:rFonts w:cs="Times New Roman"/>
          <w:szCs w:val="24"/>
        </w:rPr>
        <w:t xml:space="preserve">, which were </w:t>
      </w:r>
      <w:r w:rsidR="00C15F01" w:rsidRPr="00BB1450">
        <w:rPr>
          <w:rFonts w:cs="Times New Roman"/>
          <w:szCs w:val="24"/>
        </w:rPr>
        <w:t>sent to bank management.</w:t>
      </w:r>
      <w:r w:rsidR="00673F02" w:rsidRPr="00BB1450">
        <w:rPr>
          <w:rFonts w:cs="Times New Roman"/>
          <w:szCs w:val="24"/>
        </w:rPr>
        <w:t xml:space="preserve"> </w:t>
      </w:r>
    </w:p>
    <w:p w:rsidR="00986EE6" w:rsidRPr="00BB1450" w:rsidRDefault="00986EE6" w:rsidP="00F72112">
      <w:pPr>
        <w:rPr>
          <w:rFonts w:cs="Times New Roman"/>
          <w:szCs w:val="24"/>
        </w:rPr>
      </w:pPr>
    </w:p>
    <w:p w:rsidR="00C15F01" w:rsidRPr="00BB1450" w:rsidRDefault="00673F02" w:rsidP="00986EE6">
      <w:pPr>
        <w:ind w:firstLine="720"/>
        <w:rPr>
          <w:rFonts w:cs="Times New Roman"/>
          <w:szCs w:val="24"/>
        </w:rPr>
      </w:pPr>
      <w:r w:rsidRPr="00BB1450">
        <w:rPr>
          <w:rFonts w:cs="Times New Roman"/>
          <w:szCs w:val="24"/>
        </w:rPr>
        <w:t xml:space="preserve">Murphy </w:t>
      </w:r>
      <w:r w:rsidR="00924B05" w:rsidRPr="00BB1450">
        <w:rPr>
          <w:rFonts w:cs="Times New Roman"/>
          <w:szCs w:val="24"/>
        </w:rPr>
        <w:t>was ind</w:t>
      </w:r>
      <w:r w:rsidR="00621620">
        <w:rPr>
          <w:rFonts w:cs="Times New Roman"/>
          <w:szCs w:val="24"/>
        </w:rPr>
        <w:t>icted by a grand jury on July 19</w:t>
      </w:r>
      <w:r w:rsidR="00924B05" w:rsidRPr="00BB1450">
        <w:rPr>
          <w:rFonts w:cs="Times New Roman"/>
          <w:szCs w:val="24"/>
        </w:rPr>
        <w:t>, 2012.</w:t>
      </w:r>
      <w:r w:rsidR="00986EE6" w:rsidRPr="00BB1450">
        <w:rPr>
          <w:rFonts w:cs="Times New Roman"/>
          <w:szCs w:val="24"/>
        </w:rPr>
        <w:t xml:space="preserve"> </w:t>
      </w:r>
      <w:r w:rsidR="0074564E">
        <w:rPr>
          <w:rFonts w:cs="Times New Roman"/>
          <w:szCs w:val="24"/>
        </w:rPr>
        <w:t xml:space="preserve"> </w:t>
      </w:r>
      <w:r w:rsidR="00986EE6" w:rsidRPr="00BB1450">
        <w:rPr>
          <w:rFonts w:cs="Times New Roman"/>
          <w:szCs w:val="24"/>
        </w:rPr>
        <w:t xml:space="preserve">According to the indictment, Murphy </w:t>
      </w:r>
      <w:r w:rsidR="00986EE6" w:rsidRPr="00BB1450">
        <w:rPr>
          <w:rFonts w:cs="Times New Roman"/>
          <w:szCs w:val="24"/>
          <w:shd w:val="clear" w:color="auto" w:fill="FEFDF9"/>
        </w:rPr>
        <w:t xml:space="preserve">participated in a wire fraud scheme and separate fraud conspiracies </w:t>
      </w:r>
      <w:r w:rsidR="00621620">
        <w:rPr>
          <w:rFonts w:cs="Times New Roman"/>
          <w:szCs w:val="24"/>
          <w:shd w:val="clear" w:color="auto" w:fill="FEFDF9"/>
        </w:rPr>
        <w:t>that began as early as 1998 and continued until 2006.</w:t>
      </w:r>
    </w:p>
    <w:p w:rsidR="00C15F01" w:rsidRPr="00BB1450" w:rsidRDefault="00C15F01" w:rsidP="00F72112">
      <w:pPr>
        <w:rPr>
          <w:rFonts w:cs="Times New Roman"/>
          <w:szCs w:val="24"/>
        </w:rPr>
      </w:pPr>
    </w:p>
    <w:p w:rsidR="00986EE6" w:rsidRPr="00BB1450" w:rsidRDefault="00986EE6" w:rsidP="00986EE6">
      <w:pPr>
        <w:ind w:firstLine="720"/>
        <w:rPr>
          <w:rFonts w:cs="Times New Roman"/>
          <w:szCs w:val="24"/>
        </w:rPr>
      </w:pPr>
      <w:r w:rsidRPr="00BB1450">
        <w:rPr>
          <w:rFonts w:cs="Times New Roman"/>
          <w:szCs w:val="24"/>
        </w:rPr>
        <w:t xml:space="preserve">“By manipulating what was intended to be a competitive bidding process, the conspirators defrauded municipalities, public entities and taxpayers across the country,” said Brent Snyder, Deputy Assistant Attorney General of the Antitrust Division’s Criminal Enforcement Program.  “Today’s guilty plea reaffirms the Antitrust Division’s continued efforts to hold accountable those who corrupt and subvert the competitive process in our financial markets.” </w:t>
      </w:r>
    </w:p>
    <w:p w:rsidR="00986EE6" w:rsidRDefault="00986EE6" w:rsidP="00F72112">
      <w:pPr>
        <w:rPr>
          <w:rFonts w:cs="Times New Roman"/>
          <w:szCs w:val="24"/>
        </w:rPr>
      </w:pPr>
    </w:p>
    <w:p w:rsidR="00621620" w:rsidRDefault="00621620" w:rsidP="00621620">
      <w:pPr>
        <w:ind w:firstLine="720"/>
        <w:rPr>
          <w:rFonts w:cs="Times New Roman"/>
          <w:szCs w:val="24"/>
        </w:rPr>
      </w:pPr>
      <w:r w:rsidRPr="00BB1450">
        <w:rPr>
          <w:rFonts w:cs="Times New Roman"/>
          <w:szCs w:val="24"/>
        </w:rPr>
        <w:t>Public entities seek to invest money from a variety of sources, primarily the proceeds of municipal bonds that they issue, to raise money for, among other things, public projects.  Public entities typically hire a broker to conduct a competitive bidding process for the award of the investment agreements and often for other municipal finance contracts.</w:t>
      </w:r>
    </w:p>
    <w:p w:rsidR="006E6BF4" w:rsidRPr="00BB1450" w:rsidRDefault="006E6BF4" w:rsidP="00621620">
      <w:pPr>
        <w:ind w:firstLine="720"/>
        <w:rPr>
          <w:rFonts w:cs="Times New Roman"/>
          <w:szCs w:val="24"/>
        </w:rPr>
      </w:pPr>
    </w:p>
    <w:p w:rsidR="00523510" w:rsidRDefault="00673F02" w:rsidP="00C15F01">
      <w:pPr>
        <w:ind w:firstLine="720"/>
        <w:rPr>
          <w:szCs w:val="24"/>
        </w:rPr>
      </w:pPr>
      <w:r w:rsidRPr="00BB1450">
        <w:rPr>
          <w:rFonts w:cs="Times New Roman"/>
          <w:szCs w:val="24"/>
        </w:rPr>
        <w:t xml:space="preserve">According to the charges, </w:t>
      </w:r>
      <w:r w:rsidR="00523510">
        <w:rPr>
          <w:szCs w:val="24"/>
        </w:rPr>
        <w:t>Murphy conspired with CDR and others to increase the number and profitability of investment agreements and other municipal finance contracts a</w:t>
      </w:r>
      <w:r w:rsidR="00621620">
        <w:rPr>
          <w:szCs w:val="24"/>
        </w:rPr>
        <w:t xml:space="preserve">warded to </w:t>
      </w:r>
      <w:r w:rsidR="00621620">
        <w:rPr>
          <w:szCs w:val="24"/>
        </w:rPr>
        <w:lastRenderedPageBreak/>
        <w:t xml:space="preserve">Bank of America.  </w:t>
      </w:r>
      <w:r w:rsidR="00523510">
        <w:rPr>
          <w:szCs w:val="24"/>
        </w:rPr>
        <w:t>Murphy won investment agreements through CDR’s manipulation of the bidding process in obtaining losing bids from other providers, which is explicitly prohibited by U.S. Treasury regulations.  As a result of the information, various providers won investment agreements and other municipal finance contracts at artificially determined prices.  In exchange for this information, Murphy submitted intentionally losing bids for certain investment agreements and other contracts when requested, and, on occasion, agreed to pay or arranged for kickbacks to be paid to CDR and other co-conspirator brokers. </w:t>
      </w:r>
    </w:p>
    <w:p w:rsidR="00F72112" w:rsidRPr="00BB1450" w:rsidRDefault="00F72112" w:rsidP="00621620">
      <w:pPr>
        <w:rPr>
          <w:rFonts w:cs="Times New Roman"/>
          <w:szCs w:val="24"/>
        </w:rPr>
      </w:pPr>
      <w:r w:rsidRPr="00BB1450">
        <w:rPr>
          <w:rFonts w:cs="Times New Roman"/>
          <w:szCs w:val="24"/>
        </w:rPr>
        <w:tab/>
      </w:r>
    </w:p>
    <w:p w:rsidR="00F72112" w:rsidRPr="00621620" w:rsidRDefault="00C15F01" w:rsidP="00621620">
      <w:pPr>
        <w:ind w:firstLine="720"/>
        <w:rPr>
          <w:szCs w:val="24"/>
        </w:rPr>
      </w:pPr>
      <w:r w:rsidRPr="00BB1450">
        <w:rPr>
          <w:rFonts w:cs="Times New Roman"/>
          <w:szCs w:val="24"/>
        </w:rPr>
        <w:t xml:space="preserve">Murphy and his co-conspirators </w:t>
      </w:r>
      <w:r w:rsidR="00523510">
        <w:rPr>
          <w:szCs w:val="24"/>
        </w:rPr>
        <w:t xml:space="preserve">misrepresented to municipal issuers that the bidding process was </w:t>
      </w:r>
      <w:r w:rsidR="00AB0F29">
        <w:rPr>
          <w:szCs w:val="24"/>
        </w:rPr>
        <w:t xml:space="preserve">competitive and </w:t>
      </w:r>
      <w:r w:rsidR="00523510">
        <w:rPr>
          <w:szCs w:val="24"/>
        </w:rPr>
        <w:t>in compliance with U.S. Treasury regulations.  This caused the municipal issuers to award investment agreements and other municipal finance contracts to providers that otherwise would not have been awarded the contracts if the issuers had true and accurate information regarding the bidding process.  Such conduct placed the tax-exempt status of the underlying bonds in jeopardy.</w:t>
      </w:r>
    </w:p>
    <w:p w:rsidR="00F72112" w:rsidRPr="00BB1450" w:rsidRDefault="00F72112" w:rsidP="00F72112">
      <w:pPr>
        <w:rPr>
          <w:rFonts w:cs="Times New Roman"/>
          <w:szCs w:val="24"/>
        </w:rPr>
      </w:pPr>
    </w:p>
    <w:p w:rsidR="00D5011D" w:rsidRPr="00BB1450" w:rsidRDefault="00D5011D" w:rsidP="00D5011D">
      <w:pPr>
        <w:ind w:firstLine="720"/>
        <w:rPr>
          <w:rFonts w:cs="Times New Roman"/>
          <w:szCs w:val="24"/>
        </w:rPr>
      </w:pPr>
      <w:r w:rsidRPr="00BB1450">
        <w:rPr>
          <w:rFonts w:cs="Times New Roman"/>
          <w:szCs w:val="24"/>
        </w:rPr>
        <w:t>“Mr. Murphy’s actions undermined the public’s trust when he conspired to manipulate</w:t>
      </w:r>
      <w:r w:rsidR="00590A1D">
        <w:rPr>
          <w:rFonts w:cs="Times New Roman"/>
          <w:szCs w:val="24"/>
        </w:rPr>
        <w:t xml:space="preserve"> a competitive bidding process,”</w:t>
      </w:r>
      <w:r w:rsidRPr="00BB1450">
        <w:rPr>
          <w:rFonts w:cs="Times New Roman"/>
          <w:szCs w:val="24"/>
        </w:rPr>
        <w:t xml:space="preserve"> said Richard Weber, Chief, </w:t>
      </w:r>
      <w:proofErr w:type="gramStart"/>
      <w:r w:rsidRPr="00BB1450">
        <w:rPr>
          <w:rFonts w:cs="Times New Roman"/>
          <w:szCs w:val="24"/>
        </w:rPr>
        <w:t>IRS</w:t>
      </w:r>
      <w:proofErr w:type="gramEnd"/>
      <w:r w:rsidRPr="00BB1450">
        <w:rPr>
          <w:rFonts w:cs="Times New Roman"/>
          <w:szCs w:val="24"/>
        </w:rPr>
        <w:t xml:space="preserve"> Criminal Investigation</w:t>
      </w:r>
      <w:r w:rsidR="002A4D0F">
        <w:rPr>
          <w:rFonts w:cs="Times New Roman"/>
          <w:szCs w:val="24"/>
        </w:rPr>
        <w:t xml:space="preserve"> (IR</w:t>
      </w:r>
      <w:r w:rsidR="00621620">
        <w:rPr>
          <w:rFonts w:cs="Times New Roman"/>
          <w:szCs w:val="24"/>
        </w:rPr>
        <w:t>S</w:t>
      </w:r>
      <w:r w:rsidR="002A4D0F">
        <w:rPr>
          <w:rFonts w:cs="Times New Roman"/>
          <w:szCs w:val="24"/>
        </w:rPr>
        <w:t>-CI)</w:t>
      </w:r>
      <w:r w:rsidRPr="00BB1450">
        <w:rPr>
          <w:rFonts w:cs="Times New Roman"/>
          <w:szCs w:val="24"/>
        </w:rPr>
        <w:t>.</w:t>
      </w:r>
      <w:r w:rsidR="0074564E">
        <w:rPr>
          <w:rFonts w:cs="Times New Roman"/>
          <w:szCs w:val="24"/>
        </w:rPr>
        <w:t xml:space="preserve"> </w:t>
      </w:r>
      <w:r w:rsidR="00590A1D">
        <w:rPr>
          <w:rFonts w:cs="Times New Roman"/>
          <w:szCs w:val="24"/>
        </w:rPr>
        <w:t xml:space="preserve"> “</w:t>
      </w:r>
      <w:r w:rsidRPr="00BB1450">
        <w:rPr>
          <w:rFonts w:cs="Times New Roman"/>
          <w:szCs w:val="24"/>
        </w:rPr>
        <w:t xml:space="preserve">IRS-CI has experienced great success in unraveling significant and complex financial frauds as we work in close collaboration with our law enforcement partners.”  </w:t>
      </w:r>
    </w:p>
    <w:p w:rsidR="00D5011D" w:rsidRPr="00BB1450" w:rsidRDefault="00D5011D" w:rsidP="00D5011D">
      <w:pPr>
        <w:ind w:firstLine="720"/>
        <w:rPr>
          <w:rFonts w:cs="Times New Roman"/>
          <w:szCs w:val="24"/>
        </w:rPr>
      </w:pPr>
    </w:p>
    <w:p w:rsidR="00621620" w:rsidRPr="00621620" w:rsidRDefault="00621620" w:rsidP="00621620">
      <w:pPr>
        <w:ind w:firstLine="720"/>
        <w:rPr>
          <w:rFonts w:cs="Times New Roman"/>
          <w:szCs w:val="24"/>
        </w:rPr>
      </w:pPr>
      <w:r>
        <w:rPr>
          <w:rFonts w:cs="Times New Roman"/>
          <w:szCs w:val="24"/>
        </w:rPr>
        <w:t>“</w:t>
      </w:r>
      <w:r w:rsidRPr="00621620">
        <w:rPr>
          <w:rFonts w:cs="Times New Roman"/>
          <w:szCs w:val="24"/>
        </w:rPr>
        <w:t>Mr. Murphy ripped off hard work</w:t>
      </w:r>
      <w:r w:rsidR="0065365E">
        <w:rPr>
          <w:rFonts w:cs="Times New Roman"/>
          <w:szCs w:val="24"/>
        </w:rPr>
        <w:t>ing American taxpayers and cash-</w:t>
      </w:r>
      <w:r w:rsidRPr="00621620">
        <w:rPr>
          <w:rFonts w:cs="Times New Roman"/>
          <w:szCs w:val="24"/>
        </w:rPr>
        <w:t xml:space="preserve">strapped municipalities </w:t>
      </w:r>
      <w:r>
        <w:rPr>
          <w:rFonts w:cs="Times New Roman"/>
          <w:szCs w:val="24"/>
        </w:rPr>
        <w:t xml:space="preserve">all in pursuit of his own lucre,” said George Venizelos, Assistant Director in Charge of the FBI’s New York </w:t>
      </w:r>
      <w:r w:rsidR="006E6BF4">
        <w:rPr>
          <w:rFonts w:cs="Times New Roman"/>
          <w:szCs w:val="24"/>
        </w:rPr>
        <w:t xml:space="preserve">Field </w:t>
      </w:r>
      <w:r>
        <w:rPr>
          <w:rFonts w:cs="Times New Roman"/>
          <w:szCs w:val="24"/>
        </w:rPr>
        <w:t>Office.</w:t>
      </w:r>
      <w:r w:rsidRPr="00621620">
        <w:rPr>
          <w:rFonts w:cs="Times New Roman"/>
          <w:szCs w:val="24"/>
        </w:rPr>
        <w:t xml:space="preserve"> </w:t>
      </w:r>
      <w:r w:rsidR="00D14E4D">
        <w:rPr>
          <w:rFonts w:cs="Times New Roman"/>
          <w:szCs w:val="24"/>
        </w:rPr>
        <w:t xml:space="preserve"> </w:t>
      </w:r>
      <w:r>
        <w:rPr>
          <w:rFonts w:cs="Times New Roman"/>
          <w:szCs w:val="24"/>
        </w:rPr>
        <w:t>“</w:t>
      </w:r>
      <w:r w:rsidRPr="00621620">
        <w:rPr>
          <w:rFonts w:cs="Times New Roman"/>
          <w:szCs w:val="24"/>
        </w:rPr>
        <w:t>Let this serve as a reminder to others who are</w:t>
      </w:r>
      <w:r w:rsidR="0065365E">
        <w:rPr>
          <w:rFonts w:cs="Times New Roman"/>
          <w:szCs w:val="24"/>
        </w:rPr>
        <w:t xml:space="preserve"> entrusted to act in the public’</w:t>
      </w:r>
      <w:r w:rsidRPr="00621620">
        <w:rPr>
          <w:rFonts w:cs="Times New Roman"/>
          <w:szCs w:val="24"/>
        </w:rPr>
        <w:t xml:space="preserve">s best interest; your lack of </w:t>
      </w:r>
      <w:r w:rsidR="0065365E">
        <w:rPr>
          <w:rFonts w:cs="Times New Roman"/>
          <w:szCs w:val="24"/>
        </w:rPr>
        <w:t>candor won’</w:t>
      </w:r>
      <w:r>
        <w:rPr>
          <w:rFonts w:cs="Times New Roman"/>
          <w:szCs w:val="24"/>
        </w:rPr>
        <w:t>t go without notice.”</w:t>
      </w:r>
    </w:p>
    <w:p w:rsidR="00D5011D" w:rsidRPr="00BB1450" w:rsidRDefault="00D5011D" w:rsidP="00F72112">
      <w:pPr>
        <w:rPr>
          <w:rFonts w:cs="Times New Roman"/>
          <w:szCs w:val="24"/>
        </w:rPr>
      </w:pPr>
      <w:r w:rsidRPr="00BB1450">
        <w:rPr>
          <w:rFonts w:cs="Times New Roman"/>
          <w:szCs w:val="24"/>
        </w:rPr>
        <w:t xml:space="preserve"> </w:t>
      </w:r>
    </w:p>
    <w:p w:rsidR="004D3515" w:rsidRPr="00BB1450" w:rsidRDefault="004D3515" w:rsidP="004D3515">
      <w:pPr>
        <w:ind w:firstLine="720"/>
        <w:rPr>
          <w:rFonts w:cs="Times New Roman"/>
          <w:szCs w:val="24"/>
        </w:rPr>
      </w:pPr>
      <w:r w:rsidRPr="00BB1450">
        <w:rPr>
          <w:rFonts w:cs="Times New Roman"/>
          <w:szCs w:val="24"/>
        </w:rPr>
        <w:t>Murphy pleaded guilty to two counts of conspiracy and one count of wire fraud.  The fraud conspiracy carries a maximum penalty of five years in prison and a $250,000 fine.  The wire fraud charge carries a maximum penalty of 30 years in prison and a $1 million fine.  The false bank records conspiracy carries a maximum penalty of five years in prison and a $250,000 fine.  The maximum fines for each of these offenses may be increased to twice the gain derived from the crime or twice the loss suffered by the victims of the crime, if either of those amounts is greater than the statutory maximum fine.</w:t>
      </w:r>
    </w:p>
    <w:p w:rsidR="00F72112" w:rsidRPr="00BB1450" w:rsidRDefault="00F72112" w:rsidP="00F72112">
      <w:pPr>
        <w:rPr>
          <w:rFonts w:cs="Times New Roman"/>
          <w:szCs w:val="24"/>
        </w:rPr>
      </w:pPr>
      <w:r w:rsidRPr="00BB1450">
        <w:rPr>
          <w:rFonts w:cs="Times New Roman"/>
          <w:szCs w:val="24"/>
        </w:rPr>
        <w:tab/>
      </w:r>
      <w:r w:rsidR="00C74FB6" w:rsidRPr="00BB1450">
        <w:rPr>
          <w:rFonts w:cs="Times New Roman"/>
          <w:szCs w:val="24"/>
        </w:rPr>
        <w:t xml:space="preserve"> </w:t>
      </w:r>
    </w:p>
    <w:p w:rsidR="002B4E47" w:rsidRPr="00BB1450" w:rsidRDefault="00D5011D" w:rsidP="00C74FB6">
      <w:pPr>
        <w:ind w:firstLine="720"/>
        <w:rPr>
          <w:rFonts w:cs="Times New Roman"/>
          <w:szCs w:val="24"/>
        </w:rPr>
      </w:pPr>
      <w:r w:rsidRPr="00BB1450">
        <w:rPr>
          <w:rFonts w:cs="Times New Roman"/>
          <w:color w:val="171E24"/>
          <w:szCs w:val="24"/>
        </w:rPr>
        <w:t>Including Murphy, a</w:t>
      </w:r>
      <w:r w:rsidR="003A399B" w:rsidRPr="00BB1450">
        <w:rPr>
          <w:rFonts w:cs="Times New Roman"/>
          <w:color w:val="171E24"/>
          <w:szCs w:val="24"/>
        </w:rPr>
        <w:t xml:space="preserve"> total of</w:t>
      </w:r>
      <w:r w:rsidR="00621620">
        <w:rPr>
          <w:rFonts w:cs="Times New Roman"/>
          <w:color w:val="171E24"/>
          <w:szCs w:val="24"/>
        </w:rPr>
        <w:t xml:space="preserve"> 17</w:t>
      </w:r>
      <w:r w:rsidR="003A399B" w:rsidRPr="00BB1450">
        <w:rPr>
          <w:rFonts w:cs="Times New Roman"/>
          <w:color w:val="171E24"/>
          <w:szCs w:val="24"/>
        </w:rPr>
        <w:t xml:space="preserve"> individuals </w:t>
      </w:r>
      <w:r w:rsidR="00874E0A" w:rsidRPr="00BB1450">
        <w:rPr>
          <w:rFonts w:cs="Times New Roman"/>
          <w:color w:val="171E24"/>
          <w:szCs w:val="24"/>
        </w:rPr>
        <w:t xml:space="preserve">have </w:t>
      </w:r>
      <w:r w:rsidRPr="00BB1450">
        <w:rPr>
          <w:rFonts w:cs="Times New Roman"/>
          <w:color w:val="171E24"/>
          <w:szCs w:val="24"/>
        </w:rPr>
        <w:t>been convicted or pleaded guilty.</w:t>
      </w:r>
      <w:r w:rsidR="00621620">
        <w:rPr>
          <w:rFonts w:cs="Times New Roman"/>
          <w:color w:val="171E24"/>
          <w:szCs w:val="24"/>
        </w:rPr>
        <w:t xml:space="preserve">  </w:t>
      </w:r>
      <w:r w:rsidR="003A399B" w:rsidRPr="00BB1450">
        <w:rPr>
          <w:rFonts w:cs="Times New Roman"/>
          <w:color w:val="171E24"/>
          <w:szCs w:val="24"/>
        </w:rPr>
        <w:t xml:space="preserve">Additionally, one company has pleaded guilty. </w:t>
      </w:r>
    </w:p>
    <w:p w:rsidR="002B4E47" w:rsidRPr="00BB1450" w:rsidRDefault="002B4E47" w:rsidP="00C74FB6">
      <w:pPr>
        <w:ind w:firstLine="720"/>
        <w:rPr>
          <w:rFonts w:cs="Times New Roman"/>
          <w:szCs w:val="24"/>
        </w:rPr>
      </w:pPr>
    </w:p>
    <w:p w:rsidR="00F72112" w:rsidRPr="00BB1450" w:rsidRDefault="0065365E" w:rsidP="00C74FB6">
      <w:pPr>
        <w:ind w:firstLine="720"/>
        <w:rPr>
          <w:rFonts w:cs="Times New Roman"/>
          <w:color w:val="171E24"/>
          <w:szCs w:val="24"/>
        </w:rPr>
      </w:pPr>
      <w:r>
        <w:rPr>
          <w:rFonts w:cs="Times New Roman"/>
          <w:szCs w:val="24"/>
        </w:rPr>
        <w:t>The prosecution</w:t>
      </w:r>
      <w:r w:rsidR="00FF0184" w:rsidRPr="00BB1450">
        <w:rPr>
          <w:rFonts w:cs="Times New Roman"/>
          <w:szCs w:val="24"/>
        </w:rPr>
        <w:t xml:space="preserve"> is being handled by Steven Tugander, Richard Powers, </w:t>
      </w:r>
      <w:r w:rsidR="00182AC0">
        <w:rPr>
          <w:rFonts w:cs="Times New Roman"/>
          <w:szCs w:val="24"/>
        </w:rPr>
        <w:t xml:space="preserve">Eric Hoffmann, Patricia </w:t>
      </w:r>
      <w:proofErr w:type="spellStart"/>
      <w:r w:rsidR="00182AC0">
        <w:rPr>
          <w:rFonts w:cs="Times New Roman"/>
          <w:szCs w:val="24"/>
        </w:rPr>
        <w:t>Jannaco</w:t>
      </w:r>
      <w:proofErr w:type="spellEnd"/>
      <w:r w:rsidR="00FF0184" w:rsidRPr="00BB1450">
        <w:rPr>
          <w:rFonts w:cs="Times New Roman"/>
          <w:szCs w:val="24"/>
        </w:rPr>
        <w:t xml:space="preserve"> and Stephanie Raney of the Antitrust Division.  Assistant U.S. Attorneys Kurt Meyers</w:t>
      </w:r>
      <w:r w:rsidR="002A4D0F">
        <w:rPr>
          <w:rFonts w:cs="Times New Roman"/>
          <w:szCs w:val="24"/>
        </w:rPr>
        <w:t xml:space="preserve">, </w:t>
      </w:r>
      <w:r w:rsidR="002A4D0F">
        <w:rPr>
          <w:szCs w:val="24"/>
        </w:rPr>
        <w:t>Michael Savage</w:t>
      </w:r>
      <w:r w:rsidR="00FF0184" w:rsidRPr="00BB1450">
        <w:rPr>
          <w:rFonts w:cs="Times New Roman"/>
          <w:szCs w:val="24"/>
        </w:rPr>
        <w:t xml:space="preserve"> and Mark </w:t>
      </w:r>
      <w:proofErr w:type="spellStart"/>
      <w:r w:rsidR="00A40578" w:rsidRPr="00BB1450">
        <w:rPr>
          <w:rFonts w:cs="Times New Roman"/>
          <w:szCs w:val="24"/>
        </w:rPr>
        <w:t>Odulio</w:t>
      </w:r>
      <w:proofErr w:type="spellEnd"/>
      <w:r w:rsidR="00FF0184" w:rsidRPr="00BB1450">
        <w:rPr>
          <w:rFonts w:cs="Times New Roman"/>
          <w:szCs w:val="24"/>
        </w:rPr>
        <w:t xml:space="preserve"> of the U.S. Attorney’s Office for the Western District of North Carolina have also provided valuable assistance in this matter.  The guilty plea announced today resulted from a wide-ranging investigation conducted by the Antitrust Division’s New York office, the FBI and the IRS-CI.  The division coordinated its investigation with the U.S. Securities and Exchange Commission, the Office of the Comptroller of the Currency and the Federal Reserve Bank of New York.  </w:t>
      </w:r>
    </w:p>
    <w:p w:rsidR="00D065DE" w:rsidRPr="00BB1450" w:rsidRDefault="00D065DE" w:rsidP="00596DFA">
      <w:pPr>
        <w:rPr>
          <w:rFonts w:cs="Times New Roman"/>
          <w:szCs w:val="24"/>
        </w:rPr>
      </w:pPr>
    </w:p>
    <w:p w:rsidR="003A399B" w:rsidRPr="00BB1450" w:rsidRDefault="00D065DE" w:rsidP="003A399B">
      <w:pPr>
        <w:shd w:val="clear" w:color="auto" w:fill="FFFFFF"/>
        <w:contextualSpacing/>
        <w:rPr>
          <w:rFonts w:cs="Times New Roman"/>
          <w:szCs w:val="24"/>
        </w:rPr>
      </w:pPr>
      <w:r w:rsidRPr="00BB1450">
        <w:rPr>
          <w:rFonts w:cs="Times New Roman"/>
          <w:szCs w:val="24"/>
        </w:rPr>
        <w:lastRenderedPageBreak/>
        <w:tab/>
      </w:r>
      <w:r w:rsidR="003A399B" w:rsidRPr="00BB1450">
        <w:rPr>
          <w:rFonts w:cs="Times New Roman"/>
          <w:color w:val="171E24"/>
          <w:szCs w:val="24"/>
        </w:rPr>
        <w:t>Today’s guilty plea is part of efforts underway by President Obama’s Financial Fraud Enforcement Task Force (FFETF) which was</w:t>
      </w:r>
      <w:r w:rsidR="003A399B" w:rsidRPr="00BB1450">
        <w:rPr>
          <w:rFonts w:cs="Times New Roman"/>
          <w:szCs w:val="24"/>
        </w:rPr>
        <w:t xml:space="preserve"> created in November 2009 to wage an aggressive, coordinated and proactive effort to investigate and prosecute financial crimes.</w:t>
      </w:r>
      <w:r w:rsidR="0074564E">
        <w:rPr>
          <w:rFonts w:cs="Times New Roman"/>
          <w:szCs w:val="24"/>
        </w:rPr>
        <w:t xml:space="preserve"> </w:t>
      </w:r>
      <w:r w:rsidR="003A399B" w:rsidRPr="00BB1450">
        <w:rPr>
          <w:rFonts w:cs="Times New Roman"/>
          <w:szCs w:val="24"/>
        </w:rPr>
        <w:t xml:space="preserve"> With more than 20 federal agencies, 94 U.S. attorney</w:t>
      </w:r>
      <w:r w:rsidR="0065365E">
        <w:rPr>
          <w:rFonts w:cs="Times New Roman"/>
          <w:szCs w:val="24"/>
        </w:rPr>
        <w:t>’s</w:t>
      </w:r>
      <w:r w:rsidR="003A399B" w:rsidRPr="00BB1450">
        <w:rPr>
          <w:rFonts w:cs="Times New Roman"/>
          <w:szCs w:val="24"/>
        </w:rPr>
        <w:t xml:space="preserve"> offices and state and local partners, it’s the broadest coalition of law enforcement, investigatory and regulatory agencies ever assembled to combat fraud. </w:t>
      </w:r>
      <w:r w:rsidR="0074564E">
        <w:rPr>
          <w:rFonts w:cs="Times New Roman"/>
          <w:szCs w:val="24"/>
        </w:rPr>
        <w:t xml:space="preserve"> </w:t>
      </w:r>
      <w:r w:rsidR="003A399B" w:rsidRPr="00BB1450">
        <w:rPr>
          <w:rFonts w:cs="Times New Roman"/>
          <w:szCs w:val="24"/>
        </w:rPr>
        <w:t xml:space="preserve">Since its formation, the task force has made great strides in facilitating increased investigation and prosecution of financial crimes; enhancing coordination and cooperation among federal, state and local authorities; addressing discrimination in the lending and financial markets and conducting outreach to the public, victims, financial institutions and other organizations. </w:t>
      </w:r>
      <w:r w:rsidR="0074564E">
        <w:rPr>
          <w:rFonts w:cs="Times New Roman"/>
          <w:szCs w:val="24"/>
        </w:rPr>
        <w:t xml:space="preserve"> </w:t>
      </w:r>
      <w:r w:rsidR="003A399B" w:rsidRPr="00BB1450">
        <w:rPr>
          <w:rFonts w:cs="Times New Roman"/>
          <w:szCs w:val="24"/>
        </w:rPr>
        <w:t xml:space="preserve">Over the past three fiscal years, the Justice Department has filed more than 10,000 financial fraud cases against nearly 15,000 defendants including more than 2,700 mortgage fraud defendants. </w:t>
      </w:r>
      <w:r w:rsidR="0074564E">
        <w:rPr>
          <w:rFonts w:cs="Times New Roman"/>
          <w:szCs w:val="24"/>
        </w:rPr>
        <w:t xml:space="preserve"> </w:t>
      </w:r>
      <w:r w:rsidR="003A399B" w:rsidRPr="00BB1450">
        <w:rPr>
          <w:rFonts w:cs="Times New Roman"/>
          <w:color w:val="171E24"/>
          <w:szCs w:val="24"/>
        </w:rPr>
        <w:t xml:space="preserve">For more information on the task force, visit </w:t>
      </w:r>
      <w:r w:rsidR="003A399B" w:rsidRPr="00BB1450">
        <w:rPr>
          <w:rFonts w:cs="Times New Roman"/>
          <w:szCs w:val="24"/>
        </w:rPr>
        <w:t>www.stopfraud.gov</w:t>
      </w:r>
      <w:r w:rsidR="003A399B" w:rsidRPr="00BB1450">
        <w:rPr>
          <w:rFonts w:cs="Times New Roman"/>
          <w:color w:val="171E24"/>
          <w:szCs w:val="24"/>
        </w:rPr>
        <w:t>.</w:t>
      </w:r>
    </w:p>
    <w:p w:rsidR="003A399B" w:rsidRPr="00BB1450" w:rsidRDefault="003A399B" w:rsidP="003A399B">
      <w:pPr>
        <w:pStyle w:val="Brief"/>
        <w:contextualSpacing/>
      </w:pPr>
    </w:p>
    <w:p w:rsidR="003A399B" w:rsidRPr="00BB1450" w:rsidRDefault="003A399B" w:rsidP="003A399B">
      <w:pPr>
        <w:pStyle w:val="Brief"/>
        <w:contextualSpacing/>
      </w:pPr>
      <w:r w:rsidRPr="00BB1450">
        <w:tab/>
        <w:t xml:space="preserve">Anyone with information concerning bid rigging and related offenses in any financial markets should contact the Antitrust Division’s New York Field Office at 212-335-8000, the FBI at 212-384-5000 or IRS-CI at 212-436-1761, or visit </w:t>
      </w:r>
      <w:r w:rsidRPr="00BB1450">
        <w:rPr>
          <w:rStyle w:val="SYSHYPERTEXT"/>
          <w:color w:val="auto"/>
          <w:u w:val="none"/>
        </w:rPr>
        <w:t>www.justice.gov/atr/contact/newcase.htm</w:t>
      </w:r>
      <w:r w:rsidRPr="00BB1450">
        <w:t>.</w:t>
      </w:r>
    </w:p>
    <w:p w:rsidR="00D065DE" w:rsidRPr="00BB1450" w:rsidRDefault="00D065DE" w:rsidP="00596DFA">
      <w:pPr>
        <w:rPr>
          <w:rFonts w:cs="Times New Roman"/>
          <w:szCs w:val="24"/>
        </w:rPr>
      </w:pPr>
    </w:p>
    <w:p w:rsidR="00D065DE" w:rsidRPr="00BB1450" w:rsidRDefault="00D065DE" w:rsidP="00596DFA">
      <w:pPr>
        <w:jc w:val="center"/>
        <w:rPr>
          <w:rFonts w:cs="Times New Roman"/>
          <w:szCs w:val="24"/>
        </w:rPr>
      </w:pPr>
      <w:r w:rsidRPr="00BB1450">
        <w:rPr>
          <w:rFonts w:cs="Times New Roman"/>
          <w:szCs w:val="24"/>
        </w:rPr>
        <w:t># # #</w:t>
      </w:r>
    </w:p>
    <w:p w:rsidR="00D065DE" w:rsidRPr="00BB1450" w:rsidRDefault="00D065DE" w:rsidP="00596DFA">
      <w:pPr>
        <w:rPr>
          <w:rFonts w:cs="Times New Roman"/>
          <w:szCs w:val="24"/>
        </w:rPr>
      </w:pPr>
    </w:p>
    <w:p w:rsidR="00D065DE" w:rsidRPr="00BB1450" w:rsidRDefault="00A53C95" w:rsidP="00596DFA">
      <w:pPr>
        <w:rPr>
          <w:rFonts w:cs="Times New Roman"/>
          <w:szCs w:val="24"/>
        </w:rPr>
      </w:pPr>
      <w:r w:rsidRPr="00BB1450">
        <w:rPr>
          <w:rFonts w:cs="Times New Roman"/>
          <w:szCs w:val="24"/>
        </w:rPr>
        <w:t>1</w:t>
      </w:r>
      <w:r w:rsidR="00243252" w:rsidRPr="00BB1450">
        <w:rPr>
          <w:rFonts w:cs="Times New Roman"/>
          <w:szCs w:val="24"/>
        </w:rPr>
        <w:t>4</w:t>
      </w:r>
      <w:r w:rsidR="00D065DE" w:rsidRPr="00BB1450">
        <w:rPr>
          <w:rFonts w:cs="Times New Roman"/>
          <w:szCs w:val="24"/>
        </w:rPr>
        <w:t>-</w:t>
      </w:r>
      <w:r w:rsidR="0065365E">
        <w:rPr>
          <w:rFonts w:cs="Times New Roman"/>
          <w:szCs w:val="24"/>
        </w:rPr>
        <w:t>137</w:t>
      </w:r>
      <w:bookmarkStart w:id="3" w:name="_GoBack"/>
      <w:bookmarkEnd w:id="3"/>
    </w:p>
    <w:p w:rsidR="0008722E" w:rsidRPr="00BB1450" w:rsidRDefault="0008722E" w:rsidP="0008722E">
      <w:pPr>
        <w:rPr>
          <w:rFonts w:cs="Times New Roman"/>
          <w:szCs w:val="24"/>
        </w:rPr>
      </w:pPr>
    </w:p>
    <w:sectPr w:rsidR="0008722E" w:rsidRPr="00BB1450" w:rsidSect="007B1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B5" w:rsidRDefault="00552BB5" w:rsidP="00180B95">
      <w:r>
        <w:separator/>
      </w:r>
    </w:p>
  </w:endnote>
  <w:endnote w:type="continuationSeparator" w:id="0">
    <w:p w:rsidR="00552BB5" w:rsidRDefault="00552BB5" w:rsidP="00180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B5" w:rsidRDefault="00552BB5" w:rsidP="00180B95">
      <w:r>
        <w:separator/>
      </w:r>
    </w:p>
  </w:footnote>
  <w:footnote w:type="continuationSeparator" w:id="0">
    <w:p w:rsidR="00552BB5" w:rsidRDefault="00552BB5" w:rsidP="00180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922"/>
    <w:rsid w:val="0003259D"/>
    <w:rsid w:val="00040F42"/>
    <w:rsid w:val="0006631F"/>
    <w:rsid w:val="00072DF4"/>
    <w:rsid w:val="0008722E"/>
    <w:rsid w:val="00091BB2"/>
    <w:rsid w:val="000B7B46"/>
    <w:rsid w:val="000D4211"/>
    <w:rsid w:val="00162769"/>
    <w:rsid w:val="00166ADD"/>
    <w:rsid w:val="00174A28"/>
    <w:rsid w:val="00180B95"/>
    <w:rsid w:val="00182AC0"/>
    <w:rsid w:val="001848BA"/>
    <w:rsid w:val="001A0916"/>
    <w:rsid w:val="001A59F9"/>
    <w:rsid w:val="001B6064"/>
    <w:rsid w:val="001C7526"/>
    <w:rsid w:val="001E5453"/>
    <w:rsid w:val="00202E90"/>
    <w:rsid w:val="00240301"/>
    <w:rsid w:val="00243252"/>
    <w:rsid w:val="00255FC7"/>
    <w:rsid w:val="002672BA"/>
    <w:rsid w:val="0029232E"/>
    <w:rsid w:val="0029491B"/>
    <w:rsid w:val="002A4D0F"/>
    <w:rsid w:val="002B4E47"/>
    <w:rsid w:val="002B7F01"/>
    <w:rsid w:val="002D1D9D"/>
    <w:rsid w:val="002D2BED"/>
    <w:rsid w:val="00305DF9"/>
    <w:rsid w:val="00352673"/>
    <w:rsid w:val="003544AA"/>
    <w:rsid w:val="00364AA4"/>
    <w:rsid w:val="00377769"/>
    <w:rsid w:val="00383AF1"/>
    <w:rsid w:val="00384107"/>
    <w:rsid w:val="003A399B"/>
    <w:rsid w:val="003C433C"/>
    <w:rsid w:val="003E2693"/>
    <w:rsid w:val="003F2FC6"/>
    <w:rsid w:val="004005B0"/>
    <w:rsid w:val="00426792"/>
    <w:rsid w:val="004447F9"/>
    <w:rsid w:val="00454B6B"/>
    <w:rsid w:val="00486DE1"/>
    <w:rsid w:val="004B5835"/>
    <w:rsid w:val="004C6922"/>
    <w:rsid w:val="004D3515"/>
    <w:rsid w:val="00504C2F"/>
    <w:rsid w:val="00523510"/>
    <w:rsid w:val="005258E1"/>
    <w:rsid w:val="00541016"/>
    <w:rsid w:val="00552BB5"/>
    <w:rsid w:val="0056553C"/>
    <w:rsid w:val="00565C52"/>
    <w:rsid w:val="00566919"/>
    <w:rsid w:val="00566FEF"/>
    <w:rsid w:val="005721DD"/>
    <w:rsid w:val="00574D8A"/>
    <w:rsid w:val="00590A1D"/>
    <w:rsid w:val="00596DFA"/>
    <w:rsid w:val="005D1743"/>
    <w:rsid w:val="005E6EB7"/>
    <w:rsid w:val="00606EF3"/>
    <w:rsid w:val="00613C15"/>
    <w:rsid w:val="00621620"/>
    <w:rsid w:val="00624168"/>
    <w:rsid w:val="00630651"/>
    <w:rsid w:val="00631079"/>
    <w:rsid w:val="00640DC1"/>
    <w:rsid w:val="0064651A"/>
    <w:rsid w:val="0065365E"/>
    <w:rsid w:val="00673F02"/>
    <w:rsid w:val="00676689"/>
    <w:rsid w:val="006819BA"/>
    <w:rsid w:val="006830D8"/>
    <w:rsid w:val="006919EA"/>
    <w:rsid w:val="006A5008"/>
    <w:rsid w:val="006C3713"/>
    <w:rsid w:val="006E6BF4"/>
    <w:rsid w:val="006F65AF"/>
    <w:rsid w:val="006F709F"/>
    <w:rsid w:val="007315FE"/>
    <w:rsid w:val="0074564E"/>
    <w:rsid w:val="00757C91"/>
    <w:rsid w:val="00775A23"/>
    <w:rsid w:val="007828A6"/>
    <w:rsid w:val="00785312"/>
    <w:rsid w:val="007A2D31"/>
    <w:rsid w:val="007A416F"/>
    <w:rsid w:val="007A71DE"/>
    <w:rsid w:val="007B1D4B"/>
    <w:rsid w:val="007B25E8"/>
    <w:rsid w:val="007D7530"/>
    <w:rsid w:val="00802357"/>
    <w:rsid w:val="00813F01"/>
    <w:rsid w:val="00831182"/>
    <w:rsid w:val="00834F05"/>
    <w:rsid w:val="00874D4B"/>
    <w:rsid w:val="00874E0A"/>
    <w:rsid w:val="00882F54"/>
    <w:rsid w:val="008B63C5"/>
    <w:rsid w:val="008E4986"/>
    <w:rsid w:val="008E7027"/>
    <w:rsid w:val="00911702"/>
    <w:rsid w:val="00924B05"/>
    <w:rsid w:val="0098180F"/>
    <w:rsid w:val="00981D29"/>
    <w:rsid w:val="00986EE6"/>
    <w:rsid w:val="009A4CCE"/>
    <w:rsid w:val="00A20413"/>
    <w:rsid w:val="00A40578"/>
    <w:rsid w:val="00A51DF3"/>
    <w:rsid w:val="00A52EA4"/>
    <w:rsid w:val="00A53C95"/>
    <w:rsid w:val="00A55F2D"/>
    <w:rsid w:val="00AA0FD9"/>
    <w:rsid w:val="00AB0F29"/>
    <w:rsid w:val="00AC2C39"/>
    <w:rsid w:val="00AC317C"/>
    <w:rsid w:val="00AC495B"/>
    <w:rsid w:val="00AC5021"/>
    <w:rsid w:val="00AD0622"/>
    <w:rsid w:val="00AD621D"/>
    <w:rsid w:val="00B068C3"/>
    <w:rsid w:val="00B258E5"/>
    <w:rsid w:val="00B25958"/>
    <w:rsid w:val="00B60249"/>
    <w:rsid w:val="00B6263E"/>
    <w:rsid w:val="00B653C0"/>
    <w:rsid w:val="00B718FC"/>
    <w:rsid w:val="00BB1450"/>
    <w:rsid w:val="00BB6CC0"/>
    <w:rsid w:val="00BD4D1F"/>
    <w:rsid w:val="00BF312B"/>
    <w:rsid w:val="00C04DD9"/>
    <w:rsid w:val="00C06740"/>
    <w:rsid w:val="00C15F01"/>
    <w:rsid w:val="00C43482"/>
    <w:rsid w:val="00C52720"/>
    <w:rsid w:val="00C74FB6"/>
    <w:rsid w:val="00C84D3F"/>
    <w:rsid w:val="00C86502"/>
    <w:rsid w:val="00CA39EA"/>
    <w:rsid w:val="00D065DE"/>
    <w:rsid w:val="00D14E4D"/>
    <w:rsid w:val="00D27249"/>
    <w:rsid w:val="00D423A6"/>
    <w:rsid w:val="00D5011D"/>
    <w:rsid w:val="00D62841"/>
    <w:rsid w:val="00D65A44"/>
    <w:rsid w:val="00D66F0F"/>
    <w:rsid w:val="00D80FE4"/>
    <w:rsid w:val="00DB2B9A"/>
    <w:rsid w:val="00DF32B2"/>
    <w:rsid w:val="00E025F9"/>
    <w:rsid w:val="00E14846"/>
    <w:rsid w:val="00E31A21"/>
    <w:rsid w:val="00E3627A"/>
    <w:rsid w:val="00E42E2B"/>
    <w:rsid w:val="00E542D2"/>
    <w:rsid w:val="00EA71E0"/>
    <w:rsid w:val="00EC38E4"/>
    <w:rsid w:val="00EC5047"/>
    <w:rsid w:val="00EF2477"/>
    <w:rsid w:val="00EF78FC"/>
    <w:rsid w:val="00F0668B"/>
    <w:rsid w:val="00F16183"/>
    <w:rsid w:val="00F1799B"/>
    <w:rsid w:val="00F31196"/>
    <w:rsid w:val="00F4594C"/>
    <w:rsid w:val="00F70581"/>
    <w:rsid w:val="00F72112"/>
    <w:rsid w:val="00FA0200"/>
    <w:rsid w:val="00FA2E22"/>
    <w:rsid w:val="00FA5F66"/>
    <w:rsid w:val="00FB2895"/>
    <w:rsid w:val="00FB34AA"/>
    <w:rsid w:val="00FE2D00"/>
    <w:rsid w:val="00FF0184"/>
    <w:rsid w:val="00FF51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qFormat/>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character" w:customStyle="1" w:styleId="SYSHYPERTEXT">
    <w:name w:val="SYS_HYPERTEXT"/>
    <w:uiPriority w:val="99"/>
    <w:rsid w:val="004C6922"/>
    <w:rPr>
      <w:color w:val="0000FF"/>
      <w:u w:val="single"/>
    </w:rPr>
  </w:style>
  <w:style w:type="paragraph" w:styleId="Footer">
    <w:name w:val="footer"/>
    <w:basedOn w:val="Normal"/>
    <w:link w:val="FooterChar"/>
    <w:uiPriority w:val="99"/>
    <w:unhideWhenUsed/>
    <w:rsid w:val="004C6922"/>
    <w:pPr>
      <w:tabs>
        <w:tab w:val="center" w:pos="4680"/>
        <w:tab w:val="right" w:pos="9360"/>
      </w:tabs>
      <w:autoSpaceDE w:val="0"/>
      <w:autoSpaceDN w:val="0"/>
      <w:adjustRightInd w:val="0"/>
    </w:pPr>
    <w:rPr>
      <w:rFonts w:cs="Times New Roman"/>
      <w:sz w:val="20"/>
      <w:szCs w:val="20"/>
    </w:rPr>
  </w:style>
  <w:style w:type="character" w:customStyle="1" w:styleId="FooterChar">
    <w:name w:val="Footer Char"/>
    <w:basedOn w:val="DefaultParagraphFont"/>
    <w:link w:val="Footer"/>
    <w:uiPriority w:val="99"/>
    <w:rsid w:val="004C6922"/>
    <w:rPr>
      <w:rFonts w:ascii="Times New Roman" w:hAnsi="Times New Roman" w:cs="Times New Roman"/>
      <w:sz w:val="20"/>
      <w:szCs w:val="20"/>
    </w:rPr>
  </w:style>
  <w:style w:type="paragraph" w:styleId="NormalWeb">
    <w:name w:val="Normal (Web)"/>
    <w:basedOn w:val="Normal"/>
    <w:uiPriority w:val="99"/>
    <w:semiHidden/>
    <w:unhideWhenUsed/>
    <w:rsid w:val="004C6922"/>
    <w:pPr>
      <w:spacing w:before="100" w:beforeAutospacing="1" w:after="100" w:afterAutospacing="1"/>
    </w:pPr>
    <w:rPr>
      <w:rFonts w:eastAsia="Times New Roman" w:cs="Times New Roman"/>
      <w:color w:val="000000"/>
      <w:szCs w:val="24"/>
    </w:rPr>
  </w:style>
  <w:style w:type="paragraph" w:styleId="Header">
    <w:name w:val="header"/>
    <w:basedOn w:val="Normal"/>
    <w:link w:val="HeaderChar"/>
    <w:uiPriority w:val="99"/>
    <w:semiHidden/>
    <w:unhideWhenUsed/>
    <w:rsid w:val="00631079"/>
    <w:pPr>
      <w:tabs>
        <w:tab w:val="center" w:pos="4680"/>
        <w:tab w:val="right" w:pos="9360"/>
      </w:tabs>
    </w:pPr>
  </w:style>
  <w:style w:type="character" w:customStyle="1" w:styleId="HeaderChar">
    <w:name w:val="Header Char"/>
    <w:basedOn w:val="DefaultParagraphFont"/>
    <w:link w:val="Header"/>
    <w:uiPriority w:val="99"/>
    <w:semiHidden/>
    <w:rsid w:val="00631079"/>
    <w:rPr>
      <w:rFonts w:ascii="Times New Roman" w:hAnsi="Times New Roman"/>
      <w:sz w:val="24"/>
    </w:rPr>
  </w:style>
  <w:style w:type="character" w:styleId="CommentReference">
    <w:name w:val="annotation reference"/>
    <w:basedOn w:val="DefaultParagraphFont"/>
    <w:uiPriority w:val="99"/>
    <w:semiHidden/>
    <w:unhideWhenUsed/>
    <w:rsid w:val="00FB2895"/>
    <w:rPr>
      <w:sz w:val="16"/>
      <w:szCs w:val="16"/>
    </w:rPr>
  </w:style>
  <w:style w:type="paragraph" w:styleId="CommentText">
    <w:name w:val="annotation text"/>
    <w:basedOn w:val="Normal"/>
    <w:link w:val="CommentTextChar"/>
    <w:uiPriority w:val="99"/>
    <w:semiHidden/>
    <w:unhideWhenUsed/>
    <w:rsid w:val="00FB2895"/>
    <w:rPr>
      <w:sz w:val="20"/>
      <w:szCs w:val="20"/>
    </w:rPr>
  </w:style>
  <w:style w:type="character" w:customStyle="1" w:styleId="CommentTextChar">
    <w:name w:val="Comment Text Char"/>
    <w:basedOn w:val="DefaultParagraphFont"/>
    <w:link w:val="CommentText"/>
    <w:uiPriority w:val="99"/>
    <w:semiHidden/>
    <w:rsid w:val="00FB28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895"/>
    <w:rPr>
      <w:b/>
      <w:bCs/>
    </w:rPr>
  </w:style>
  <w:style w:type="character" w:customStyle="1" w:styleId="CommentSubjectChar">
    <w:name w:val="Comment Subject Char"/>
    <w:basedOn w:val="CommentTextChar"/>
    <w:link w:val="CommentSubject"/>
    <w:uiPriority w:val="99"/>
    <w:semiHidden/>
    <w:rsid w:val="00FB2895"/>
    <w:rPr>
      <w:rFonts w:ascii="Times New Roman" w:hAnsi="Times New Roman"/>
      <w:b/>
      <w:bCs/>
      <w:sz w:val="20"/>
      <w:szCs w:val="20"/>
    </w:rPr>
  </w:style>
  <w:style w:type="character" w:customStyle="1" w:styleId="apple-converted-space">
    <w:name w:val="apple-converted-space"/>
    <w:basedOn w:val="DefaultParagraphFont"/>
    <w:rsid w:val="00D42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qFormat/>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character" w:customStyle="1" w:styleId="SYSHYPERTEXT">
    <w:name w:val="SYS_HYPERTEXT"/>
    <w:uiPriority w:val="99"/>
    <w:rsid w:val="004C6922"/>
    <w:rPr>
      <w:color w:val="0000FF"/>
      <w:u w:val="single"/>
    </w:rPr>
  </w:style>
  <w:style w:type="paragraph" w:styleId="Footer">
    <w:name w:val="footer"/>
    <w:basedOn w:val="Normal"/>
    <w:link w:val="FooterChar"/>
    <w:uiPriority w:val="99"/>
    <w:unhideWhenUsed/>
    <w:rsid w:val="004C6922"/>
    <w:pPr>
      <w:tabs>
        <w:tab w:val="center" w:pos="4680"/>
        <w:tab w:val="right" w:pos="9360"/>
      </w:tabs>
      <w:autoSpaceDE w:val="0"/>
      <w:autoSpaceDN w:val="0"/>
      <w:adjustRightInd w:val="0"/>
    </w:pPr>
    <w:rPr>
      <w:rFonts w:cs="Times New Roman"/>
      <w:sz w:val="20"/>
      <w:szCs w:val="20"/>
    </w:rPr>
  </w:style>
  <w:style w:type="character" w:customStyle="1" w:styleId="FooterChar">
    <w:name w:val="Footer Char"/>
    <w:basedOn w:val="DefaultParagraphFont"/>
    <w:link w:val="Footer"/>
    <w:uiPriority w:val="99"/>
    <w:rsid w:val="004C6922"/>
    <w:rPr>
      <w:rFonts w:ascii="Times New Roman" w:hAnsi="Times New Roman" w:cs="Times New Roman"/>
      <w:sz w:val="20"/>
      <w:szCs w:val="20"/>
    </w:rPr>
  </w:style>
  <w:style w:type="paragraph" w:styleId="NormalWeb">
    <w:name w:val="Normal (Web)"/>
    <w:basedOn w:val="Normal"/>
    <w:uiPriority w:val="99"/>
    <w:semiHidden/>
    <w:unhideWhenUsed/>
    <w:rsid w:val="004C6922"/>
    <w:pPr>
      <w:spacing w:before="100" w:beforeAutospacing="1" w:after="100" w:afterAutospacing="1"/>
    </w:pPr>
    <w:rPr>
      <w:rFonts w:eastAsia="Times New Roman" w:cs="Times New Roman"/>
      <w:color w:val="000000"/>
      <w:szCs w:val="24"/>
    </w:rPr>
  </w:style>
  <w:style w:type="paragraph" w:styleId="Header">
    <w:name w:val="header"/>
    <w:basedOn w:val="Normal"/>
    <w:link w:val="HeaderChar"/>
    <w:uiPriority w:val="99"/>
    <w:semiHidden/>
    <w:unhideWhenUsed/>
    <w:rsid w:val="00631079"/>
    <w:pPr>
      <w:tabs>
        <w:tab w:val="center" w:pos="4680"/>
        <w:tab w:val="right" w:pos="9360"/>
      </w:tabs>
    </w:pPr>
  </w:style>
  <w:style w:type="character" w:customStyle="1" w:styleId="HeaderChar">
    <w:name w:val="Header Char"/>
    <w:basedOn w:val="DefaultParagraphFont"/>
    <w:link w:val="Header"/>
    <w:uiPriority w:val="99"/>
    <w:semiHidden/>
    <w:rsid w:val="00631079"/>
    <w:rPr>
      <w:rFonts w:ascii="Times New Roman" w:hAnsi="Times New Roman"/>
      <w:sz w:val="24"/>
    </w:rPr>
  </w:style>
  <w:style w:type="character" w:styleId="CommentReference">
    <w:name w:val="annotation reference"/>
    <w:basedOn w:val="DefaultParagraphFont"/>
    <w:uiPriority w:val="99"/>
    <w:semiHidden/>
    <w:unhideWhenUsed/>
    <w:rsid w:val="00FB2895"/>
    <w:rPr>
      <w:sz w:val="16"/>
      <w:szCs w:val="16"/>
    </w:rPr>
  </w:style>
  <w:style w:type="paragraph" w:styleId="CommentText">
    <w:name w:val="annotation text"/>
    <w:basedOn w:val="Normal"/>
    <w:link w:val="CommentTextChar"/>
    <w:uiPriority w:val="99"/>
    <w:semiHidden/>
    <w:unhideWhenUsed/>
    <w:rsid w:val="00FB2895"/>
    <w:rPr>
      <w:sz w:val="20"/>
      <w:szCs w:val="20"/>
    </w:rPr>
  </w:style>
  <w:style w:type="character" w:customStyle="1" w:styleId="CommentTextChar">
    <w:name w:val="Comment Text Char"/>
    <w:basedOn w:val="DefaultParagraphFont"/>
    <w:link w:val="CommentText"/>
    <w:uiPriority w:val="99"/>
    <w:semiHidden/>
    <w:rsid w:val="00FB28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2895"/>
    <w:rPr>
      <w:b/>
      <w:bCs/>
    </w:rPr>
  </w:style>
  <w:style w:type="character" w:customStyle="1" w:styleId="CommentSubjectChar">
    <w:name w:val="Comment Subject Char"/>
    <w:basedOn w:val="CommentTextChar"/>
    <w:link w:val="CommentSubject"/>
    <w:uiPriority w:val="99"/>
    <w:semiHidden/>
    <w:rsid w:val="00FB2895"/>
    <w:rPr>
      <w:rFonts w:ascii="Times New Roman" w:hAnsi="Times New Roman"/>
      <w:b/>
      <w:bCs/>
      <w:sz w:val="20"/>
      <w:szCs w:val="20"/>
    </w:rPr>
  </w:style>
  <w:style w:type="character" w:customStyle="1" w:styleId="apple-converted-space">
    <w:name w:val="apple-converted-space"/>
    <w:basedOn w:val="DefaultParagraphFont"/>
    <w:rsid w:val="00D423A6"/>
  </w:style>
</w:styles>
</file>

<file path=word/webSettings.xml><?xml version="1.0" encoding="utf-8"?>
<w:webSettings xmlns:r="http://schemas.openxmlformats.org/officeDocument/2006/relationships" xmlns:w="http://schemas.openxmlformats.org/wordprocessingml/2006/main">
  <w:divs>
    <w:div w:id="785343904">
      <w:bodyDiv w:val="1"/>
      <w:marLeft w:val="0"/>
      <w:marRight w:val="0"/>
      <w:marTop w:val="0"/>
      <w:marBottom w:val="0"/>
      <w:divBdr>
        <w:top w:val="none" w:sz="0" w:space="0" w:color="auto"/>
        <w:left w:val="none" w:sz="0" w:space="0" w:color="auto"/>
        <w:bottom w:val="none" w:sz="0" w:space="0" w:color="auto"/>
        <w:right w:val="none" w:sz="0" w:space="0" w:color="auto"/>
      </w:divBdr>
    </w:div>
    <w:div w:id="854808247">
      <w:bodyDiv w:val="1"/>
      <w:marLeft w:val="0"/>
      <w:marRight w:val="0"/>
      <w:marTop w:val="0"/>
      <w:marBottom w:val="0"/>
      <w:divBdr>
        <w:top w:val="none" w:sz="0" w:space="0" w:color="auto"/>
        <w:left w:val="none" w:sz="0" w:space="0" w:color="auto"/>
        <w:bottom w:val="none" w:sz="0" w:space="0" w:color="auto"/>
        <w:right w:val="none" w:sz="0" w:space="0" w:color="auto"/>
      </w:divBdr>
    </w:div>
    <w:div w:id="974026623">
      <w:bodyDiv w:val="1"/>
      <w:marLeft w:val="0"/>
      <w:marRight w:val="0"/>
      <w:marTop w:val="0"/>
      <w:marBottom w:val="0"/>
      <w:divBdr>
        <w:top w:val="none" w:sz="0" w:space="0" w:color="auto"/>
        <w:left w:val="none" w:sz="0" w:space="0" w:color="auto"/>
        <w:bottom w:val="none" w:sz="0" w:space="0" w:color="auto"/>
        <w:right w:val="none" w:sz="0" w:space="0" w:color="auto"/>
      </w:divBdr>
    </w:div>
    <w:div w:id="1242059578">
      <w:bodyDiv w:val="1"/>
      <w:marLeft w:val="0"/>
      <w:marRight w:val="0"/>
      <w:marTop w:val="0"/>
      <w:marBottom w:val="0"/>
      <w:divBdr>
        <w:top w:val="none" w:sz="0" w:space="0" w:color="auto"/>
        <w:left w:val="none" w:sz="0" w:space="0" w:color="auto"/>
        <w:bottom w:val="none" w:sz="0" w:space="0" w:color="auto"/>
        <w:right w:val="none" w:sz="0" w:space="0" w:color="auto"/>
      </w:divBdr>
    </w:div>
    <w:div w:id="1406798334">
      <w:bodyDiv w:val="1"/>
      <w:marLeft w:val="0"/>
      <w:marRight w:val="0"/>
      <w:marTop w:val="0"/>
      <w:marBottom w:val="0"/>
      <w:divBdr>
        <w:top w:val="none" w:sz="0" w:space="0" w:color="auto"/>
        <w:left w:val="none" w:sz="0" w:space="0" w:color="auto"/>
        <w:bottom w:val="none" w:sz="0" w:space="0" w:color="auto"/>
        <w:right w:val="none" w:sz="0" w:space="0" w:color="auto"/>
      </w:divBdr>
    </w:div>
    <w:div w:id="1552762037">
      <w:bodyDiv w:val="1"/>
      <w:marLeft w:val="0"/>
      <w:marRight w:val="0"/>
      <w:marTop w:val="0"/>
      <w:marBottom w:val="0"/>
      <w:divBdr>
        <w:top w:val="none" w:sz="0" w:space="0" w:color="auto"/>
        <w:left w:val="none" w:sz="0" w:space="0" w:color="auto"/>
        <w:bottom w:val="none" w:sz="0" w:space="0" w:color="auto"/>
        <w:right w:val="none" w:sz="0" w:space="0" w:color="auto"/>
      </w:divBdr>
    </w:div>
    <w:div w:id="1854610661">
      <w:bodyDiv w:val="1"/>
      <w:marLeft w:val="0"/>
      <w:marRight w:val="0"/>
      <w:marTop w:val="0"/>
      <w:marBottom w:val="0"/>
      <w:divBdr>
        <w:top w:val="none" w:sz="0" w:space="0" w:color="auto"/>
        <w:left w:val="none" w:sz="0" w:space="0" w:color="auto"/>
        <w:bottom w:val="none" w:sz="0" w:space="0" w:color="auto"/>
        <w:right w:val="none" w:sz="0" w:space="0" w:color="auto"/>
      </w:divBdr>
    </w:div>
    <w:div w:id="2004552634">
      <w:bodyDiv w:val="1"/>
      <w:marLeft w:val="0"/>
      <w:marRight w:val="0"/>
      <w:marTop w:val="0"/>
      <w:marBottom w:val="0"/>
      <w:divBdr>
        <w:top w:val="none" w:sz="0" w:space="0" w:color="auto"/>
        <w:left w:val="none" w:sz="0" w:space="0" w:color="auto"/>
        <w:bottom w:val="none" w:sz="0" w:space="0" w:color="auto"/>
        <w:right w:val="none" w:sz="0" w:space="0" w:color="auto"/>
      </w:divBdr>
    </w:div>
    <w:div w:id="20055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76C3-A943-4EA5-92D7-D9E66191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grantmt</cp:lastModifiedBy>
  <cp:revision>2</cp:revision>
  <cp:lastPrinted>2014-02-10T17:26:00Z</cp:lastPrinted>
  <dcterms:created xsi:type="dcterms:W3CDTF">2014-02-10T18:38:00Z</dcterms:created>
  <dcterms:modified xsi:type="dcterms:W3CDTF">2014-02-10T18:38:00Z</dcterms:modified>
</cp:coreProperties>
</file>