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15" w:rsidRPr="00500615" w:rsidRDefault="001E76B3" w:rsidP="00500615">
      <w:pPr>
        <w:jc w:val="center"/>
        <w:outlineLvl w:val="0"/>
        <w:rPr>
          <w:rFonts w:eastAsia="Arial Unicode MS"/>
          <w:color w:val="000000"/>
          <w:szCs w:val="20"/>
          <w:u w:color="000000"/>
        </w:rPr>
      </w:pPr>
      <w:r>
        <w:rPr>
          <w:rFonts w:eastAsia="Arial Unicode MS"/>
          <w:noProof/>
          <w:color w:val="000000"/>
          <w:szCs w:val="20"/>
          <w:u w:color="000000"/>
        </w:rPr>
        <w:drawing>
          <wp:inline distT="0" distB="0" distL="0" distR="0">
            <wp:extent cx="5508625" cy="972820"/>
            <wp:effectExtent l="19050" t="0" r="0" b="0"/>
            <wp:docPr id="1" name="Picture 1" descr="cid:image001.png@01CC81FF.CF88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81FF.CF88BBB0"/>
                    <pic:cNvPicPr>
                      <a:picLocks noChangeAspect="1" noChangeArrowheads="1"/>
                    </pic:cNvPicPr>
                  </pic:nvPicPr>
                  <pic:blipFill>
                    <a:blip r:embed="rId8" cstate="print"/>
                    <a:srcRect/>
                    <a:stretch>
                      <a:fillRect/>
                    </a:stretch>
                  </pic:blipFill>
                  <pic:spPr bwMode="auto">
                    <a:xfrm>
                      <a:off x="0" y="0"/>
                      <a:ext cx="5508625" cy="972820"/>
                    </a:xfrm>
                    <a:prstGeom prst="rect">
                      <a:avLst/>
                    </a:prstGeom>
                    <a:noFill/>
                    <a:ln w="9525">
                      <a:noFill/>
                      <a:miter lim="800000"/>
                      <a:headEnd/>
                      <a:tailEnd/>
                    </a:ln>
                  </pic:spPr>
                </pic:pic>
              </a:graphicData>
            </a:graphic>
          </wp:inline>
        </w:drawing>
      </w:r>
    </w:p>
    <w:p w:rsidR="00500615" w:rsidRPr="00500615" w:rsidRDefault="00500615" w:rsidP="00500615">
      <w:pPr>
        <w:outlineLvl w:val="0"/>
        <w:rPr>
          <w:rFonts w:eastAsia="Arial Unicode MS"/>
          <w:color w:val="000000"/>
          <w:szCs w:val="20"/>
          <w:u w:color="000000"/>
        </w:rPr>
      </w:pPr>
      <w:r w:rsidRPr="00500615">
        <w:rPr>
          <w:rFonts w:eastAsia="Arial Unicode MS" w:hAnsi="Arial Unicode MS"/>
          <w:color w:val="000000"/>
          <w:szCs w:val="20"/>
          <w:u w:color="000000"/>
        </w:rPr>
        <w:t>______________________________________________________________________________</w:t>
      </w:r>
    </w:p>
    <w:p w:rsidR="00500615" w:rsidRPr="00500615" w:rsidRDefault="00500615" w:rsidP="00500615">
      <w:pPr>
        <w:tabs>
          <w:tab w:val="right" w:pos="9340"/>
        </w:tabs>
        <w:outlineLvl w:val="0"/>
        <w:rPr>
          <w:rFonts w:eastAsia="Arial Unicode MS"/>
          <w:color w:val="000000"/>
          <w:szCs w:val="20"/>
          <w:u w:color="000000"/>
        </w:rPr>
      </w:pPr>
      <w:r w:rsidRPr="00500615">
        <w:rPr>
          <w:rFonts w:eastAsia="Arial Unicode MS" w:hAnsi="Arial Unicode MS"/>
          <w:color w:val="000000"/>
          <w:szCs w:val="20"/>
          <w:u w:color="000000"/>
        </w:rPr>
        <w:t>FOR IMMEDIATE RELEASE</w:t>
      </w:r>
      <w:r w:rsidRPr="00500615">
        <w:rPr>
          <w:rFonts w:eastAsia="Arial Unicode MS" w:hAnsi="Arial Unicode MS"/>
          <w:color w:val="000000"/>
          <w:szCs w:val="20"/>
          <w:u w:color="000000"/>
        </w:rPr>
        <w:tab/>
      </w:r>
      <w:r w:rsidR="00412959">
        <w:rPr>
          <w:rFonts w:eastAsia="Arial Unicode MS" w:hAnsi="Arial Unicode MS"/>
          <w:color w:val="000000"/>
          <w:szCs w:val="20"/>
          <w:u w:color="000000"/>
        </w:rPr>
        <w:t>CRM</w:t>
      </w:r>
    </w:p>
    <w:p w:rsidR="00500615" w:rsidRPr="00500615" w:rsidRDefault="009A7EC4" w:rsidP="00500615">
      <w:pPr>
        <w:tabs>
          <w:tab w:val="right" w:pos="9340"/>
        </w:tabs>
        <w:outlineLvl w:val="0"/>
        <w:rPr>
          <w:rFonts w:eastAsia="Arial Unicode MS"/>
          <w:color w:val="000000"/>
          <w:szCs w:val="20"/>
          <w:u w:color="000000"/>
        </w:rPr>
      </w:pPr>
      <w:r>
        <w:rPr>
          <w:rFonts w:eastAsia="Arial Unicode MS" w:hAnsi="Arial Unicode MS"/>
          <w:color w:val="000000"/>
          <w:szCs w:val="20"/>
          <w:u w:color="000000"/>
        </w:rPr>
        <w:t>TUESDAY, JUNE 10</w:t>
      </w:r>
      <w:r w:rsidR="00500615" w:rsidRPr="00500615">
        <w:rPr>
          <w:rFonts w:eastAsia="Arial Unicode MS" w:hAnsi="Arial Unicode MS"/>
          <w:color w:val="000000"/>
          <w:szCs w:val="20"/>
          <w:u w:color="000000"/>
        </w:rPr>
        <w:t>, 2014</w:t>
      </w:r>
      <w:r w:rsidR="00500615" w:rsidRPr="00500615">
        <w:rPr>
          <w:rFonts w:eastAsia="Arial Unicode MS" w:hAnsi="Arial Unicode MS"/>
          <w:color w:val="000000"/>
          <w:szCs w:val="20"/>
          <w:u w:color="000000"/>
        </w:rPr>
        <w:tab/>
        <w:t>(202) 514-2007</w:t>
      </w:r>
    </w:p>
    <w:p w:rsidR="00500615" w:rsidRPr="00500615" w:rsidRDefault="000F2EEA" w:rsidP="00500615">
      <w:pPr>
        <w:tabs>
          <w:tab w:val="right" w:pos="9340"/>
        </w:tabs>
        <w:outlineLvl w:val="0"/>
        <w:rPr>
          <w:rFonts w:eastAsia="Arial Unicode MS"/>
          <w:color w:val="000000"/>
          <w:szCs w:val="20"/>
          <w:u w:color="000000"/>
        </w:rPr>
      </w:pPr>
      <w:hyperlink r:id="rId9" w:history="1">
        <w:r w:rsidR="00500615" w:rsidRPr="00500615">
          <w:rPr>
            <w:rFonts w:eastAsia="Arial Unicode MS" w:hAnsi="Arial Unicode MS"/>
            <w:color w:val="0000FF"/>
            <w:szCs w:val="20"/>
            <w:u w:val="single" w:color="0000FF"/>
          </w:rPr>
          <w:t>WWW.JUSTICE.GOV</w:t>
        </w:r>
      </w:hyperlink>
      <w:r w:rsidR="00500615" w:rsidRPr="00500615">
        <w:rPr>
          <w:rFonts w:eastAsia="Arial Unicode MS" w:hAnsi="Arial Unicode MS"/>
          <w:color w:val="000000"/>
          <w:szCs w:val="20"/>
          <w:u w:color="000000"/>
        </w:rPr>
        <w:t xml:space="preserve"> </w:t>
      </w:r>
      <w:r w:rsidR="00500615" w:rsidRPr="00500615">
        <w:rPr>
          <w:rFonts w:eastAsia="Arial Unicode MS" w:hAnsi="Arial Unicode MS"/>
          <w:color w:val="000000"/>
          <w:szCs w:val="20"/>
          <w:u w:color="000000"/>
        </w:rPr>
        <w:tab/>
        <w:t>TTY 1-866-544-5309</w:t>
      </w:r>
    </w:p>
    <w:p w:rsidR="00500615" w:rsidRPr="00500615" w:rsidRDefault="00500615" w:rsidP="00500615">
      <w:pPr>
        <w:outlineLvl w:val="0"/>
        <w:rPr>
          <w:rFonts w:eastAsia="Arial Unicode MS"/>
          <w:color w:val="000000"/>
          <w:szCs w:val="20"/>
          <w:u w:color="000000"/>
        </w:rPr>
      </w:pPr>
    </w:p>
    <w:p w:rsidR="00394552" w:rsidRDefault="00191C73" w:rsidP="002A5723">
      <w:pPr>
        <w:jc w:val="center"/>
        <w:rPr>
          <w:b/>
          <w:bCs/>
          <w:u w:val="single"/>
        </w:rPr>
      </w:pPr>
      <w:r>
        <w:rPr>
          <w:b/>
          <w:bCs/>
          <w:u w:val="single"/>
        </w:rPr>
        <w:t>FORMER RABOBANK TRADER PLEADS GUILTY</w:t>
      </w:r>
    </w:p>
    <w:p w:rsidR="00500615" w:rsidRPr="00500615" w:rsidRDefault="00191C73" w:rsidP="002A5723">
      <w:pPr>
        <w:jc w:val="center"/>
        <w:rPr>
          <w:b/>
          <w:bCs/>
          <w:u w:val="single"/>
        </w:rPr>
      </w:pPr>
      <w:r>
        <w:rPr>
          <w:b/>
          <w:bCs/>
          <w:u w:val="single"/>
        </w:rPr>
        <w:t>FOR</w:t>
      </w:r>
      <w:r w:rsidR="006167EF">
        <w:rPr>
          <w:b/>
          <w:bCs/>
          <w:u w:val="single"/>
        </w:rPr>
        <w:t xml:space="preserve"> </w:t>
      </w:r>
      <w:r w:rsidR="002A5723">
        <w:rPr>
          <w:b/>
          <w:bCs/>
          <w:u w:val="single"/>
        </w:rPr>
        <w:t xml:space="preserve">SCHEME </w:t>
      </w:r>
      <w:proofErr w:type="gramStart"/>
      <w:r>
        <w:rPr>
          <w:b/>
          <w:bCs/>
          <w:u w:val="single"/>
        </w:rPr>
        <w:t xml:space="preserve">TO </w:t>
      </w:r>
      <w:r w:rsidR="000612E0">
        <w:rPr>
          <w:b/>
          <w:bCs/>
          <w:u w:val="single"/>
        </w:rPr>
        <w:t xml:space="preserve"> </w:t>
      </w:r>
      <w:r w:rsidR="00500615" w:rsidRPr="00500615">
        <w:rPr>
          <w:b/>
          <w:bCs/>
          <w:u w:val="single"/>
        </w:rPr>
        <w:t>MANIPULAT</w:t>
      </w:r>
      <w:r>
        <w:rPr>
          <w:b/>
          <w:bCs/>
          <w:u w:val="single"/>
        </w:rPr>
        <w:t>E</w:t>
      </w:r>
      <w:proofErr w:type="gramEnd"/>
      <w:r w:rsidR="00500615" w:rsidRPr="00500615">
        <w:rPr>
          <w:b/>
          <w:bCs/>
          <w:u w:val="single"/>
        </w:rPr>
        <w:t xml:space="preserve"> YEN LIBOR </w:t>
      </w:r>
    </w:p>
    <w:p w:rsidR="00500615" w:rsidRPr="00500615" w:rsidRDefault="00500615" w:rsidP="00500615">
      <w:pPr>
        <w:autoSpaceDE w:val="0"/>
        <w:autoSpaceDN w:val="0"/>
        <w:adjustRightInd w:val="0"/>
        <w:ind w:firstLine="720"/>
        <w:rPr>
          <w:color w:val="000000"/>
        </w:rPr>
      </w:pPr>
    </w:p>
    <w:p w:rsidR="00DD35AC" w:rsidRDefault="00B04939" w:rsidP="00500615">
      <w:pPr>
        <w:autoSpaceDE w:val="0"/>
        <w:autoSpaceDN w:val="0"/>
        <w:adjustRightInd w:val="0"/>
        <w:ind w:firstLine="720"/>
        <w:rPr>
          <w:color w:val="000000"/>
        </w:rPr>
      </w:pPr>
      <w:r>
        <w:rPr>
          <w:color w:val="000000"/>
        </w:rPr>
        <w:t>WASHINGTON</w:t>
      </w:r>
      <w:r w:rsidR="00500615" w:rsidRPr="00500615">
        <w:rPr>
          <w:color w:val="000000"/>
        </w:rPr>
        <w:t xml:space="preserve"> – </w:t>
      </w:r>
      <w:r w:rsidR="00191C73">
        <w:rPr>
          <w:color w:val="000000"/>
        </w:rPr>
        <w:t>A</w:t>
      </w:r>
      <w:r w:rsidR="00500615" w:rsidRPr="00500615">
        <w:rPr>
          <w:color w:val="000000"/>
        </w:rPr>
        <w:t xml:space="preserve"> former Coöperatieve Centrale Raiffeisen-Boerenleenbank B.A. (Rabobank) </w:t>
      </w:r>
      <w:r w:rsidR="00022D52">
        <w:rPr>
          <w:color w:val="000000"/>
        </w:rPr>
        <w:t>Japanese</w:t>
      </w:r>
      <w:r w:rsidR="000F34EF">
        <w:rPr>
          <w:color w:val="000000"/>
        </w:rPr>
        <w:t xml:space="preserve"> </w:t>
      </w:r>
      <w:r w:rsidR="00500615" w:rsidRPr="00500615">
        <w:rPr>
          <w:color w:val="000000"/>
        </w:rPr>
        <w:t>Yen derivatives trader</w:t>
      </w:r>
      <w:r w:rsidR="00191C73">
        <w:rPr>
          <w:color w:val="000000"/>
        </w:rPr>
        <w:t xml:space="preserve"> pleaded guilty today</w:t>
      </w:r>
      <w:r w:rsidR="00C3587C">
        <w:rPr>
          <w:color w:val="000000"/>
        </w:rPr>
        <w:t xml:space="preserve"> </w:t>
      </w:r>
      <w:r w:rsidR="00191C73">
        <w:rPr>
          <w:color w:val="000000"/>
        </w:rPr>
        <w:t xml:space="preserve">for his role in a conspiracy to commit wire and bank fraud by manipulating </w:t>
      </w:r>
      <w:r w:rsidR="00500615" w:rsidRPr="00500615">
        <w:rPr>
          <w:color w:val="000000"/>
        </w:rPr>
        <w:t>Rabobank’s Yen London InterBank Offered Rate (LIBOR)</w:t>
      </w:r>
      <w:r w:rsidR="00191C73">
        <w:rPr>
          <w:color w:val="000000"/>
        </w:rPr>
        <w:t xml:space="preserve"> submissions to benefit his trading positions.</w:t>
      </w:r>
    </w:p>
    <w:p w:rsidR="00DD35AC" w:rsidRDefault="00DD35AC" w:rsidP="00500615">
      <w:pPr>
        <w:autoSpaceDE w:val="0"/>
        <w:autoSpaceDN w:val="0"/>
        <w:adjustRightInd w:val="0"/>
        <w:ind w:firstLine="720"/>
        <w:rPr>
          <w:color w:val="000000"/>
        </w:rPr>
      </w:pPr>
    </w:p>
    <w:p w:rsidR="00DD35AC" w:rsidRDefault="00220E45" w:rsidP="00500615">
      <w:pPr>
        <w:autoSpaceDE w:val="0"/>
        <w:autoSpaceDN w:val="0"/>
        <w:adjustRightInd w:val="0"/>
        <w:ind w:firstLine="720"/>
      </w:pPr>
      <w:r>
        <w:t xml:space="preserve">Attorney General Eric H. Holder, </w:t>
      </w:r>
      <w:r w:rsidR="00DD35AC">
        <w:t>Assistan</w:t>
      </w:r>
      <w:r w:rsidR="008A2316">
        <w:t xml:space="preserve">t Attorney General Leslie </w:t>
      </w:r>
      <w:r w:rsidR="00E45C00">
        <w:t xml:space="preserve">R. </w:t>
      </w:r>
      <w:r w:rsidR="008A2316">
        <w:t>Caldwell</w:t>
      </w:r>
      <w:r w:rsidR="00DD35AC">
        <w:t xml:space="preserve"> of the Justice Department’s Criminal Division, Deputy Assistant Attorney General Brent Snyder of the Justice Department’s Antitrust Division and Assistant Director in Charge Valerie Parlave of the FBI’s Washington Field Office made the announcement.</w:t>
      </w:r>
    </w:p>
    <w:p w:rsidR="00DD35AC" w:rsidRPr="00500615" w:rsidRDefault="00DD35AC" w:rsidP="00500615">
      <w:pPr>
        <w:autoSpaceDE w:val="0"/>
        <w:autoSpaceDN w:val="0"/>
        <w:adjustRightInd w:val="0"/>
        <w:ind w:firstLine="720"/>
        <w:rPr>
          <w:color w:val="000000"/>
        </w:rPr>
      </w:pPr>
    </w:p>
    <w:p w:rsidR="00220E45" w:rsidRDefault="00837CAD" w:rsidP="00C3587C">
      <w:pPr>
        <w:autoSpaceDE w:val="0"/>
        <w:autoSpaceDN w:val="0"/>
        <w:adjustRightInd w:val="0"/>
        <w:ind w:firstLine="720"/>
        <w:rPr>
          <w:color w:val="000000"/>
        </w:rPr>
      </w:pPr>
      <w:r>
        <w:rPr>
          <w:color w:val="000000"/>
        </w:rPr>
        <w:t>Today</w:t>
      </w:r>
      <w:r w:rsidR="00F12918">
        <w:rPr>
          <w:color w:val="000000"/>
        </w:rPr>
        <w:t xml:space="preserve">, </w:t>
      </w:r>
      <w:proofErr w:type="gramStart"/>
      <w:r w:rsidR="00F12918">
        <w:rPr>
          <w:color w:val="000000"/>
        </w:rPr>
        <w:t>a</w:t>
      </w:r>
      <w:r w:rsidR="00BA00FA">
        <w:rPr>
          <w:color w:val="000000"/>
        </w:rPr>
        <w:t xml:space="preserve"> criminal</w:t>
      </w:r>
      <w:proofErr w:type="gramEnd"/>
      <w:r w:rsidR="00BA00FA">
        <w:rPr>
          <w:color w:val="000000"/>
        </w:rPr>
        <w:t xml:space="preserve"> </w:t>
      </w:r>
      <w:r w:rsidR="00F12918">
        <w:rPr>
          <w:color w:val="000000"/>
        </w:rPr>
        <w:t xml:space="preserve">information </w:t>
      </w:r>
      <w:r w:rsidR="00E45C00">
        <w:rPr>
          <w:color w:val="000000"/>
        </w:rPr>
        <w:t xml:space="preserve">was filed </w:t>
      </w:r>
      <w:r w:rsidR="00F12918">
        <w:rPr>
          <w:color w:val="000000"/>
        </w:rPr>
        <w:t>in the Southern District of New York charging Takayuki Yagami, a Japanese national, with</w:t>
      </w:r>
      <w:r w:rsidR="00BA00FA">
        <w:rPr>
          <w:color w:val="000000"/>
        </w:rPr>
        <w:t xml:space="preserve"> one count of</w:t>
      </w:r>
      <w:r w:rsidR="00F12918">
        <w:rPr>
          <w:color w:val="000000"/>
        </w:rPr>
        <w:t xml:space="preserve"> conspiracy</w:t>
      </w:r>
      <w:r w:rsidR="00CA27E0">
        <w:rPr>
          <w:color w:val="000000"/>
        </w:rPr>
        <w:t xml:space="preserve"> to commit wire fraud and bank fraud</w:t>
      </w:r>
      <w:r w:rsidR="00F12918">
        <w:rPr>
          <w:color w:val="000000"/>
        </w:rPr>
        <w:t xml:space="preserve">.  </w:t>
      </w:r>
      <w:proofErr w:type="spellStart"/>
      <w:r w:rsidR="00F12918">
        <w:rPr>
          <w:color w:val="000000"/>
        </w:rPr>
        <w:t>Yagami</w:t>
      </w:r>
      <w:proofErr w:type="spellEnd"/>
      <w:r w:rsidR="00F12918">
        <w:rPr>
          <w:color w:val="000000"/>
        </w:rPr>
        <w:t xml:space="preserve"> pl</w:t>
      </w:r>
      <w:r>
        <w:rPr>
          <w:color w:val="000000"/>
        </w:rPr>
        <w:t>eaded guilty to the information</w:t>
      </w:r>
      <w:r w:rsidR="002F35FA">
        <w:rPr>
          <w:color w:val="000000"/>
        </w:rPr>
        <w:t xml:space="preserve"> </w:t>
      </w:r>
      <w:r w:rsidR="00F12918">
        <w:rPr>
          <w:color w:val="000000"/>
        </w:rPr>
        <w:t xml:space="preserve">before </w:t>
      </w:r>
      <w:r w:rsidR="00B04939" w:rsidRPr="000612E0">
        <w:rPr>
          <w:color w:val="000000"/>
        </w:rPr>
        <w:t>U</w:t>
      </w:r>
      <w:r w:rsidR="00F12918">
        <w:rPr>
          <w:color w:val="000000"/>
        </w:rPr>
        <w:t xml:space="preserve">nited States District Judge Jed </w:t>
      </w:r>
      <w:r w:rsidR="00B04939" w:rsidRPr="000612E0">
        <w:rPr>
          <w:color w:val="000000"/>
        </w:rPr>
        <w:t>S.</w:t>
      </w:r>
      <w:r w:rsidR="00F1032D" w:rsidRPr="000612E0">
        <w:rPr>
          <w:color w:val="000000"/>
        </w:rPr>
        <w:t xml:space="preserve"> </w:t>
      </w:r>
      <w:proofErr w:type="spellStart"/>
      <w:r w:rsidR="00F12918">
        <w:rPr>
          <w:color w:val="000000"/>
        </w:rPr>
        <w:t>Rakoff</w:t>
      </w:r>
      <w:proofErr w:type="spellEnd"/>
      <w:r w:rsidR="002B03D9">
        <w:rPr>
          <w:color w:val="000000"/>
        </w:rPr>
        <w:t xml:space="preserve"> </w:t>
      </w:r>
      <w:r w:rsidR="00E45C00">
        <w:rPr>
          <w:color w:val="000000"/>
        </w:rPr>
        <w:t xml:space="preserve">in </w:t>
      </w:r>
      <w:r w:rsidR="002B03D9">
        <w:rPr>
          <w:color w:val="000000"/>
        </w:rPr>
        <w:t>the Southern District of New York</w:t>
      </w:r>
      <w:r w:rsidR="00F12918">
        <w:rPr>
          <w:color w:val="000000"/>
        </w:rPr>
        <w:t>.</w:t>
      </w:r>
      <w:r w:rsidR="00BA00FA">
        <w:rPr>
          <w:color w:val="000000"/>
        </w:rPr>
        <w:t xml:space="preserve"> </w:t>
      </w:r>
    </w:p>
    <w:p w:rsidR="001F4A44" w:rsidRPr="001145D5" w:rsidRDefault="001145D5" w:rsidP="001145D5">
      <w:pPr>
        <w:pStyle w:val="NormalWeb"/>
        <w:ind w:firstLine="720"/>
      </w:pPr>
      <w:r w:rsidRPr="001145D5">
        <w:t>“With this guilty plea, we take another significant step to hold accountable those who fraudulently manipulated the world’s cornerstone benchmark interest rate for financial gain,” said Attorney General Eric Holder.  “</w:t>
      </w:r>
      <w:proofErr w:type="gramStart"/>
      <w:r w:rsidRPr="001145D5">
        <w:t>This conduct</w:t>
      </w:r>
      <w:proofErr w:type="gramEnd"/>
      <w:r w:rsidRPr="001145D5">
        <w:t xml:space="preserve"> distorted transactions and financial products around the world.  Manipulating LIBOR effectively rigs the global financial system, compromising the fairness of world markets.  This plea demonstrates that the Justice Department will never waver, and we will never rest, in our determination to ensure the integrity of the marketplace and protect it from fraud.”</w:t>
      </w:r>
    </w:p>
    <w:p w:rsidR="00500615" w:rsidRDefault="001F4A44" w:rsidP="006167EF">
      <w:pPr>
        <w:autoSpaceDE w:val="0"/>
        <w:autoSpaceDN w:val="0"/>
        <w:adjustRightInd w:val="0"/>
        <w:ind w:firstLine="720"/>
        <w:rPr>
          <w:color w:val="000000"/>
        </w:rPr>
      </w:pPr>
      <w:r>
        <w:rPr>
          <w:color w:val="000000"/>
        </w:rPr>
        <w:t>“</w:t>
      </w:r>
      <w:r w:rsidR="00815CE5" w:rsidRPr="00815CE5">
        <w:rPr>
          <w:color w:val="000000"/>
        </w:rPr>
        <w:t xml:space="preserve">Today, a former </w:t>
      </w:r>
      <w:proofErr w:type="spellStart"/>
      <w:r w:rsidR="00815CE5" w:rsidRPr="00815CE5">
        <w:rPr>
          <w:color w:val="000000"/>
        </w:rPr>
        <w:t>Rabobank</w:t>
      </w:r>
      <w:proofErr w:type="spellEnd"/>
      <w:r w:rsidR="00815CE5" w:rsidRPr="00815CE5">
        <w:rPr>
          <w:color w:val="000000"/>
        </w:rPr>
        <w:t xml:space="preserve"> trader has pleaded guilty to participating in a scheme to manipulate the global benchmark interest rate LIBOR to benefit </w:t>
      </w:r>
      <w:proofErr w:type="spellStart"/>
      <w:r w:rsidR="00815CE5" w:rsidRPr="00815CE5">
        <w:rPr>
          <w:color w:val="000000"/>
        </w:rPr>
        <w:t>Rabobank’s</w:t>
      </w:r>
      <w:proofErr w:type="spellEnd"/>
      <w:r w:rsidR="00815CE5" w:rsidRPr="00815CE5">
        <w:rPr>
          <w:color w:val="000000"/>
        </w:rPr>
        <w:t xml:space="preserve"> trading positions,” said Assistant Attorney General Caldwell.  “This was the ultimate inside job.  As alleged, traders illegally influenced the very interest rate on which their trades were based, using fraud to gain an unfair advantage.  Takayuki </w:t>
      </w:r>
      <w:proofErr w:type="spellStart"/>
      <w:r w:rsidR="00815CE5" w:rsidRPr="00815CE5">
        <w:rPr>
          <w:color w:val="000000"/>
        </w:rPr>
        <w:t>Yagami</w:t>
      </w:r>
      <w:proofErr w:type="spellEnd"/>
      <w:r w:rsidR="00815CE5" w:rsidRPr="00815CE5">
        <w:rPr>
          <w:color w:val="000000"/>
        </w:rPr>
        <w:t xml:space="preserve"> is the ninth person charged by the Justice Department in connection with the industry-wide LIBOR investigation, and we are determined to pursue other individuals and institutions who engaged in this crime.</w:t>
      </w:r>
      <w:r>
        <w:rPr>
          <w:color w:val="000000"/>
        </w:rPr>
        <w:t xml:space="preserve">” </w:t>
      </w:r>
    </w:p>
    <w:p w:rsidR="000F0C1A" w:rsidRDefault="000F0C1A" w:rsidP="006167EF">
      <w:pPr>
        <w:autoSpaceDE w:val="0"/>
        <w:autoSpaceDN w:val="0"/>
        <w:adjustRightInd w:val="0"/>
        <w:ind w:firstLine="720"/>
        <w:rPr>
          <w:color w:val="000000"/>
        </w:rPr>
      </w:pPr>
    </w:p>
    <w:p w:rsidR="000F0C1A" w:rsidRDefault="000F0C1A" w:rsidP="006167EF">
      <w:pPr>
        <w:autoSpaceDE w:val="0"/>
        <w:autoSpaceDN w:val="0"/>
        <w:adjustRightInd w:val="0"/>
        <w:ind w:firstLine="720"/>
      </w:pPr>
      <w:r w:rsidRPr="000F0C1A">
        <w:t xml:space="preserve">“Today’s guilty plea is a significant step forward in the LIBOR investigation and demonstrates the Department’s firm commitment to individual accountability,” said Deputy </w:t>
      </w:r>
      <w:r w:rsidRPr="000F0C1A">
        <w:lastRenderedPageBreak/>
        <w:t>Assistant Attorney General Snyder.  “We will continue to pursue aggressively other individuals involved in this or other illegal schemes that undermine free and fair financial markets.”</w:t>
      </w:r>
    </w:p>
    <w:p w:rsidR="007828C7" w:rsidRDefault="007828C7" w:rsidP="006167EF">
      <w:pPr>
        <w:autoSpaceDE w:val="0"/>
        <w:autoSpaceDN w:val="0"/>
        <w:adjustRightInd w:val="0"/>
        <w:ind w:firstLine="720"/>
      </w:pPr>
    </w:p>
    <w:p w:rsidR="007828C7" w:rsidRPr="007828C7" w:rsidRDefault="007828C7" w:rsidP="007828C7">
      <w:pPr>
        <w:ind w:firstLine="720"/>
      </w:pPr>
      <w:r w:rsidRPr="007828C7">
        <w:t>“Manipulating financial trading markets to create an unfair advantage is against the law</w:t>
      </w:r>
      <w:r w:rsidR="00285C50" w:rsidRPr="007828C7">
        <w:t xml:space="preserve">,” said Assistant Director in Charge </w:t>
      </w:r>
      <w:proofErr w:type="spellStart"/>
      <w:r w:rsidR="00285C50" w:rsidRPr="007828C7">
        <w:t>Parlave</w:t>
      </w:r>
      <w:proofErr w:type="spellEnd"/>
      <w:r w:rsidRPr="007828C7">
        <w:t xml:space="preserve">. </w:t>
      </w:r>
      <w:r w:rsidR="00285C50">
        <w:t xml:space="preserve"> “</w:t>
      </w:r>
      <w:r w:rsidRPr="007828C7">
        <w:t>Today’s guilty plea further underscores the FBI’s ability to investigate complex international financial crimes and bring the perpetrators to justice.  The Washington Field Office has committed significant time and resources including the expertise of Special Agents, forensic accountants and analysts to investigate this case along with our Department of Justice colleagues.  Their efforts send a clear message to anyone contemplating financial crimes: think twice or you will face the consequences.”</w:t>
      </w:r>
    </w:p>
    <w:p w:rsidR="00500615" w:rsidRPr="000403D2" w:rsidRDefault="00500615" w:rsidP="000403D2"/>
    <w:p w:rsidR="00904301" w:rsidRDefault="00500615" w:rsidP="00C3587C">
      <w:pPr>
        <w:autoSpaceDE w:val="0"/>
        <w:autoSpaceDN w:val="0"/>
        <w:adjustRightInd w:val="0"/>
        <w:ind w:firstLine="720"/>
        <w:rPr>
          <w:color w:val="000000"/>
        </w:rPr>
      </w:pPr>
      <w:r w:rsidRPr="00500615">
        <w:rPr>
          <w:color w:val="000000"/>
        </w:rPr>
        <w:t xml:space="preserve">According to </w:t>
      </w:r>
      <w:r w:rsidR="00CA27E0">
        <w:rPr>
          <w:color w:val="000000"/>
        </w:rPr>
        <w:t>court documents</w:t>
      </w:r>
      <w:r w:rsidRPr="00500615">
        <w:rPr>
          <w:color w:val="000000"/>
        </w:rPr>
        <w:t>, LIBOR is an average interest rate, calculated based on submissions from leading banks around the world, reflecting the rates those banks believe they would be charged if borrowing from other banks.</w:t>
      </w:r>
      <w:r w:rsidR="00904301">
        <w:rPr>
          <w:color w:val="000000"/>
        </w:rPr>
        <w:t xml:space="preserve">  </w:t>
      </w:r>
      <w:r w:rsidR="00904301" w:rsidRPr="00500615">
        <w:rPr>
          <w:color w:val="000000"/>
        </w:rPr>
        <w:t xml:space="preserve">LIBOR serves as the primary benchmark for short-term interest rates globally and is used as a reference rate for many interest rate contracts, mortgages, credit cards, student loans and other consumer lending products.  The Bank of International Settlements estimated that as of the second half of 2009, outstanding interest rate contracts were </w:t>
      </w:r>
      <w:r w:rsidR="00904301">
        <w:rPr>
          <w:color w:val="000000"/>
        </w:rPr>
        <w:t xml:space="preserve">valued </w:t>
      </w:r>
      <w:r w:rsidR="00904301" w:rsidRPr="00500615">
        <w:rPr>
          <w:color w:val="000000"/>
        </w:rPr>
        <w:t>at approximately $450 trillion.</w:t>
      </w:r>
      <w:r w:rsidRPr="00500615">
        <w:rPr>
          <w:color w:val="000000"/>
        </w:rPr>
        <w:t xml:space="preserve">  </w:t>
      </w:r>
    </w:p>
    <w:p w:rsidR="004731DB" w:rsidRDefault="004731DB" w:rsidP="00C3587C">
      <w:pPr>
        <w:autoSpaceDE w:val="0"/>
        <w:autoSpaceDN w:val="0"/>
        <w:adjustRightInd w:val="0"/>
        <w:ind w:firstLine="720"/>
        <w:rPr>
          <w:color w:val="000000"/>
        </w:rPr>
      </w:pPr>
    </w:p>
    <w:p w:rsidR="00500615" w:rsidRDefault="00500615" w:rsidP="00C3587C">
      <w:pPr>
        <w:autoSpaceDE w:val="0"/>
        <w:autoSpaceDN w:val="0"/>
        <w:adjustRightInd w:val="0"/>
        <w:ind w:firstLine="720"/>
        <w:rPr>
          <w:color w:val="000000"/>
        </w:rPr>
      </w:pPr>
      <w:r w:rsidRPr="00500615">
        <w:rPr>
          <w:color w:val="000000"/>
        </w:rPr>
        <w:t>At th</w:t>
      </w:r>
      <w:r w:rsidR="00BA00FA">
        <w:rPr>
          <w:color w:val="000000"/>
        </w:rPr>
        <w:t>e time relevant to the charges</w:t>
      </w:r>
      <w:r w:rsidRPr="00500615">
        <w:rPr>
          <w:color w:val="000000"/>
        </w:rPr>
        <w:t xml:space="preserve">, </w:t>
      </w:r>
      <w:r w:rsidR="00E45C00" w:rsidRPr="00500615">
        <w:rPr>
          <w:color w:val="000000"/>
        </w:rPr>
        <w:t xml:space="preserve">LIBOR </w:t>
      </w:r>
      <w:r w:rsidR="00E45C00">
        <w:rPr>
          <w:color w:val="000000"/>
        </w:rPr>
        <w:t>was</w:t>
      </w:r>
      <w:r w:rsidR="00E45C00" w:rsidRPr="00500615">
        <w:rPr>
          <w:color w:val="000000"/>
        </w:rPr>
        <w:t xml:space="preserve"> published by the British Bankers’ Association</w:t>
      </w:r>
      <w:r w:rsidR="00E45C00">
        <w:rPr>
          <w:color w:val="000000"/>
        </w:rPr>
        <w:t xml:space="preserve"> (BBA)</w:t>
      </w:r>
      <w:r w:rsidR="00E45C00" w:rsidRPr="00500615">
        <w:rPr>
          <w:color w:val="000000"/>
        </w:rPr>
        <w:t xml:space="preserve">, a trade association based in London.  </w:t>
      </w:r>
      <w:r w:rsidRPr="00500615">
        <w:rPr>
          <w:color w:val="000000"/>
        </w:rPr>
        <w:t xml:space="preserve">LIBOR was calculated for 10 currencies at 15 borrowing periods, known as maturities, ranging from overnight to one year.  The published LIBOR “fix” for Yen LIBOR at a specific maturity is the result of a calculation based upon submissions from a panel of 16 banks, including Rabobank.  </w:t>
      </w:r>
    </w:p>
    <w:p w:rsidR="00904301" w:rsidRDefault="00904301" w:rsidP="00C3587C">
      <w:pPr>
        <w:autoSpaceDE w:val="0"/>
        <w:autoSpaceDN w:val="0"/>
        <w:adjustRightInd w:val="0"/>
        <w:ind w:firstLine="720"/>
        <w:rPr>
          <w:color w:val="000000"/>
        </w:rPr>
      </w:pPr>
    </w:p>
    <w:p w:rsidR="00904301" w:rsidRDefault="00904301" w:rsidP="00C3587C">
      <w:pPr>
        <w:autoSpaceDE w:val="0"/>
        <w:autoSpaceDN w:val="0"/>
        <w:adjustRightInd w:val="0"/>
        <w:ind w:firstLine="720"/>
        <w:rPr>
          <w:color w:val="000000"/>
        </w:rPr>
      </w:pPr>
      <w:r>
        <w:rPr>
          <w:color w:val="000000"/>
        </w:rPr>
        <w:t xml:space="preserve">Yagami admitted to conspiring with </w:t>
      </w:r>
      <w:r w:rsidRPr="00500615">
        <w:rPr>
          <w:color w:val="000000"/>
        </w:rPr>
        <w:t>Paul Robson</w:t>
      </w:r>
      <w:r>
        <w:rPr>
          <w:color w:val="000000"/>
        </w:rPr>
        <w:t>,</w:t>
      </w:r>
      <w:r w:rsidRPr="00500615">
        <w:rPr>
          <w:color w:val="000000"/>
        </w:rPr>
        <w:t xml:space="preserve"> of the United Kingdom, Paul Thompson</w:t>
      </w:r>
      <w:r>
        <w:rPr>
          <w:color w:val="000000"/>
        </w:rPr>
        <w:t>,</w:t>
      </w:r>
      <w:r w:rsidRPr="00500615">
        <w:rPr>
          <w:color w:val="000000"/>
        </w:rPr>
        <w:t xml:space="preserve"> of Australia</w:t>
      </w:r>
      <w:r w:rsidR="00285C50">
        <w:rPr>
          <w:color w:val="000000"/>
        </w:rPr>
        <w:t>,</w:t>
      </w:r>
      <w:r w:rsidRPr="00500615">
        <w:rPr>
          <w:color w:val="000000"/>
        </w:rPr>
        <w:t xml:space="preserve"> </w:t>
      </w:r>
      <w:r>
        <w:rPr>
          <w:color w:val="000000"/>
        </w:rPr>
        <w:t xml:space="preserve">and </w:t>
      </w:r>
      <w:r w:rsidRPr="00500615">
        <w:rPr>
          <w:color w:val="000000"/>
        </w:rPr>
        <w:t xml:space="preserve">Tetsuya </w:t>
      </w:r>
      <w:proofErr w:type="spellStart"/>
      <w:r w:rsidRPr="00500615">
        <w:rPr>
          <w:color w:val="000000"/>
        </w:rPr>
        <w:t>Motomura</w:t>
      </w:r>
      <w:proofErr w:type="spellEnd"/>
      <w:r>
        <w:rPr>
          <w:color w:val="000000"/>
        </w:rPr>
        <w:t>,</w:t>
      </w:r>
      <w:r w:rsidRPr="00500615">
        <w:rPr>
          <w:color w:val="000000"/>
        </w:rPr>
        <w:t xml:space="preserve"> of Japan</w:t>
      </w:r>
      <w:r>
        <w:rPr>
          <w:color w:val="000000"/>
        </w:rPr>
        <w:t xml:space="preserve">. </w:t>
      </w:r>
      <w:r w:rsidR="00F75C76">
        <w:rPr>
          <w:color w:val="000000"/>
        </w:rPr>
        <w:t xml:space="preserve"> Robson, Thompson and </w:t>
      </w:r>
      <w:proofErr w:type="spellStart"/>
      <w:r w:rsidR="00F75C76">
        <w:rPr>
          <w:color w:val="000000"/>
        </w:rPr>
        <w:t>Motomura</w:t>
      </w:r>
      <w:proofErr w:type="spellEnd"/>
      <w:r w:rsidR="00F75C76">
        <w:rPr>
          <w:color w:val="000000"/>
        </w:rPr>
        <w:t xml:space="preserve"> </w:t>
      </w:r>
      <w:r>
        <w:rPr>
          <w:color w:val="000000"/>
        </w:rPr>
        <w:t xml:space="preserve">were charged with conspiracy to commit wire fraud and bank fraud as well as substantive counts of wire fraud in a fifteen-count indictment returned by a federal grand jury in the Southern District of New York on April 28, 2014.  </w:t>
      </w:r>
      <w:r w:rsidRPr="00500615">
        <w:rPr>
          <w:color w:val="000000"/>
        </w:rPr>
        <w:t xml:space="preserve">All </w:t>
      </w:r>
      <w:r>
        <w:rPr>
          <w:color w:val="000000"/>
        </w:rPr>
        <w:t xml:space="preserve">four </w:t>
      </w:r>
      <w:r w:rsidRPr="00500615">
        <w:rPr>
          <w:color w:val="000000"/>
        </w:rPr>
        <w:t>are former employees of Rabobank</w:t>
      </w:r>
      <w:r>
        <w:rPr>
          <w:color w:val="000000"/>
        </w:rPr>
        <w:t>.</w:t>
      </w:r>
    </w:p>
    <w:p w:rsidR="00904301" w:rsidRDefault="00904301" w:rsidP="00C3587C">
      <w:pPr>
        <w:autoSpaceDE w:val="0"/>
        <w:autoSpaceDN w:val="0"/>
        <w:adjustRightInd w:val="0"/>
        <w:ind w:firstLine="720"/>
        <w:rPr>
          <w:color w:val="000000"/>
        </w:rPr>
      </w:pPr>
    </w:p>
    <w:p w:rsidR="00904301" w:rsidRPr="00500615" w:rsidRDefault="00904301" w:rsidP="00C3587C">
      <w:pPr>
        <w:autoSpaceDE w:val="0"/>
        <w:autoSpaceDN w:val="0"/>
        <w:adjustRightInd w:val="0"/>
        <w:ind w:firstLine="720"/>
        <w:rPr>
          <w:color w:val="000000"/>
        </w:rPr>
      </w:pPr>
      <w:proofErr w:type="spellStart"/>
      <w:r>
        <w:rPr>
          <w:color w:val="000000"/>
        </w:rPr>
        <w:t>Rabobank</w:t>
      </w:r>
      <w:proofErr w:type="spellEnd"/>
      <w:r>
        <w:rPr>
          <w:color w:val="000000"/>
        </w:rPr>
        <w:t xml:space="preserve"> entered into a deferred prosecution agreement with the Department of Justice on Oct. 29, 2013 and agreed to pay a $325 million penalty to resolve violations arising fr</w:t>
      </w:r>
      <w:r w:rsidR="00F75C76">
        <w:rPr>
          <w:color w:val="000000"/>
        </w:rPr>
        <w:t xml:space="preserve">om </w:t>
      </w:r>
      <w:proofErr w:type="spellStart"/>
      <w:r w:rsidR="00F75C76">
        <w:rPr>
          <w:color w:val="000000"/>
        </w:rPr>
        <w:t>Rabobank’s</w:t>
      </w:r>
      <w:proofErr w:type="spellEnd"/>
      <w:r w:rsidR="00F75C76">
        <w:rPr>
          <w:color w:val="000000"/>
        </w:rPr>
        <w:t xml:space="preserve"> LIBOR submissions</w:t>
      </w:r>
      <w:r>
        <w:rPr>
          <w:color w:val="000000"/>
        </w:rPr>
        <w:t xml:space="preserve">.  </w:t>
      </w:r>
    </w:p>
    <w:p w:rsidR="00500615" w:rsidRPr="00500615" w:rsidRDefault="00500615" w:rsidP="00500615">
      <w:pPr>
        <w:autoSpaceDE w:val="0"/>
        <w:autoSpaceDN w:val="0"/>
        <w:adjustRightInd w:val="0"/>
        <w:ind w:firstLine="720"/>
        <w:rPr>
          <w:color w:val="000000"/>
        </w:rPr>
      </w:pPr>
    </w:p>
    <w:p w:rsidR="00500615" w:rsidRPr="00500615" w:rsidRDefault="00500615" w:rsidP="00500615">
      <w:pPr>
        <w:autoSpaceDE w:val="0"/>
        <w:autoSpaceDN w:val="0"/>
        <w:adjustRightInd w:val="0"/>
        <w:ind w:firstLine="720"/>
        <w:rPr>
          <w:color w:val="000000"/>
        </w:rPr>
      </w:pPr>
      <w:r w:rsidRPr="00500615">
        <w:rPr>
          <w:color w:val="000000"/>
        </w:rPr>
        <w:t xml:space="preserve">According to allegations in the </w:t>
      </w:r>
      <w:r w:rsidR="00A21A1D">
        <w:rPr>
          <w:color w:val="000000"/>
        </w:rPr>
        <w:t>information and indictment</w:t>
      </w:r>
      <w:r w:rsidRPr="00500615">
        <w:rPr>
          <w:color w:val="000000"/>
        </w:rPr>
        <w:t xml:space="preserve">, </w:t>
      </w:r>
      <w:r w:rsidR="004731DB">
        <w:rPr>
          <w:color w:val="000000"/>
        </w:rPr>
        <w:t>the</w:t>
      </w:r>
      <w:r w:rsidR="004731DB" w:rsidRPr="00500615">
        <w:rPr>
          <w:color w:val="000000"/>
        </w:rPr>
        <w:t xml:space="preserve"> </w:t>
      </w:r>
      <w:r w:rsidR="00A21A1D">
        <w:rPr>
          <w:color w:val="000000"/>
        </w:rPr>
        <w:t>four</w:t>
      </w:r>
      <w:r w:rsidR="00F1032D">
        <w:rPr>
          <w:color w:val="000000"/>
        </w:rPr>
        <w:t xml:space="preserve"> </w:t>
      </w:r>
      <w:r w:rsidRPr="00500615">
        <w:rPr>
          <w:color w:val="000000"/>
        </w:rPr>
        <w:t xml:space="preserve">defendants </w:t>
      </w:r>
      <w:r w:rsidRPr="00500615">
        <w:t xml:space="preserve">traded in derivative products that referenced Yen LIBOR.  </w:t>
      </w:r>
      <w:r w:rsidRPr="00500615">
        <w:rPr>
          <w:color w:val="000000"/>
        </w:rPr>
        <w:t xml:space="preserve">Robson </w:t>
      </w:r>
      <w:r w:rsidRPr="00500615">
        <w:t xml:space="preserve">worked as a </w:t>
      </w:r>
      <w:r w:rsidR="00B04939">
        <w:t>s</w:t>
      </w:r>
      <w:r w:rsidRPr="00500615">
        <w:t xml:space="preserve">enior </w:t>
      </w:r>
      <w:r w:rsidR="00B04939">
        <w:t>t</w:t>
      </w:r>
      <w:r w:rsidRPr="00500615">
        <w:t xml:space="preserve">rader at Rabobank’s Money Markets and Short Term Forwards desk in London; Thompson was Rabobank’s </w:t>
      </w:r>
      <w:r w:rsidR="00B04939">
        <w:t>h</w:t>
      </w:r>
      <w:r w:rsidRPr="00500615">
        <w:t xml:space="preserve">ead of Money Market and Derivatives Trading Northeast Asia and worked in Singapore; Motomura was a </w:t>
      </w:r>
      <w:r w:rsidR="00B04939">
        <w:t>s</w:t>
      </w:r>
      <w:r w:rsidRPr="00500615">
        <w:t xml:space="preserve">enior </w:t>
      </w:r>
      <w:r w:rsidR="00B04939">
        <w:t>t</w:t>
      </w:r>
      <w:r w:rsidRPr="00500615">
        <w:t xml:space="preserve">rader at Rabobank’s Tokyo </w:t>
      </w:r>
      <w:r w:rsidRPr="00424916">
        <w:t>desk who supervised money market and derivative traders</w:t>
      </w:r>
      <w:r w:rsidR="00B55417">
        <w:t xml:space="preserve">; and </w:t>
      </w:r>
      <w:proofErr w:type="spellStart"/>
      <w:r w:rsidR="00B55417">
        <w:t>Yagami</w:t>
      </w:r>
      <w:proofErr w:type="spellEnd"/>
      <w:r w:rsidR="00B55417">
        <w:t xml:space="preserve"> worked as a senior trader at Rabobank’s Money Market/FX Forwards desks in Tokyo and elsewhere in Asia</w:t>
      </w:r>
      <w:r w:rsidR="00F1032D">
        <w:t xml:space="preserve">.  </w:t>
      </w:r>
      <w:r w:rsidRPr="00424916">
        <w:t>In addition to trading derivative products that referenced Yen LIBOR, Robson also served as Rabobank’s</w:t>
      </w:r>
      <w:r w:rsidRPr="00500615">
        <w:t xml:space="preserve"> primary submitter of Yen LIBOR to the BBA.  </w:t>
      </w:r>
    </w:p>
    <w:p w:rsidR="00500615" w:rsidRPr="00500615" w:rsidRDefault="00500615" w:rsidP="00500615">
      <w:pPr>
        <w:autoSpaceDE w:val="0"/>
        <w:autoSpaceDN w:val="0"/>
        <w:adjustRightInd w:val="0"/>
        <w:ind w:firstLine="720"/>
        <w:rPr>
          <w:color w:val="000000"/>
        </w:rPr>
      </w:pPr>
    </w:p>
    <w:p w:rsidR="00500615" w:rsidRPr="00500615" w:rsidRDefault="00B55417" w:rsidP="00500615">
      <w:pPr>
        <w:autoSpaceDE w:val="0"/>
        <w:autoSpaceDN w:val="0"/>
        <w:adjustRightInd w:val="0"/>
        <w:ind w:firstLine="720"/>
      </w:pPr>
      <w:r>
        <w:rPr>
          <w:color w:val="000000"/>
        </w:rPr>
        <w:lastRenderedPageBreak/>
        <w:t>Robson, Thompson,</w:t>
      </w:r>
      <w:r w:rsidR="00500615" w:rsidRPr="00500615">
        <w:rPr>
          <w:color w:val="000000"/>
        </w:rPr>
        <w:t xml:space="preserve"> Motomura</w:t>
      </w:r>
      <w:r>
        <w:rPr>
          <w:color w:val="000000"/>
        </w:rPr>
        <w:t xml:space="preserve"> and Yagami</w:t>
      </w:r>
      <w:r w:rsidR="00500615" w:rsidRPr="00500615">
        <w:rPr>
          <w:color w:val="000000"/>
        </w:rPr>
        <w:t xml:space="preserve"> each </w:t>
      </w:r>
      <w:r w:rsidR="00500615" w:rsidRPr="00500615">
        <w:t>entered into derivatives contracts containing Yen LIBOR as a price component</w:t>
      </w:r>
      <w:r w:rsidR="00500615" w:rsidRPr="00500615">
        <w:rPr>
          <w:color w:val="000000"/>
        </w:rPr>
        <w:t>.  T</w:t>
      </w:r>
      <w:r w:rsidR="00500615" w:rsidRPr="00500615">
        <w:t>he profit and loss that flowed from those contracts was directly affected by the relevant Yen LIBOR on certain dates.  If the relevant Yen LIBOR moved in the direction favorable to the defendants’ position</w:t>
      </w:r>
      <w:r w:rsidR="0077307B">
        <w:t>s</w:t>
      </w:r>
      <w:r w:rsidR="00500615" w:rsidRPr="00500615">
        <w:t>, Rabobank and the defendants benefitted at the expense of the counterpart</w:t>
      </w:r>
      <w:r w:rsidR="0077307B">
        <w:t>ies</w:t>
      </w:r>
      <w:r w:rsidR="00500615" w:rsidRPr="00500615">
        <w:t>.</w:t>
      </w:r>
      <w:r w:rsidR="00500615" w:rsidRPr="00500615">
        <w:rPr>
          <w:sz w:val="20"/>
          <w:szCs w:val="20"/>
        </w:rPr>
        <w:t xml:space="preserve">  </w:t>
      </w:r>
      <w:r w:rsidR="00500615" w:rsidRPr="00500615">
        <w:t>When LIBOR moved in the opposite direction, the defendants and Rabobank stood to lose money to their counterparties.</w:t>
      </w:r>
    </w:p>
    <w:p w:rsidR="00500615" w:rsidRPr="00500615" w:rsidRDefault="00500615" w:rsidP="00500615">
      <w:pPr>
        <w:autoSpaceDE w:val="0"/>
        <w:autoSpaceDN w:val="0"/>
        <w:adjustRightInd w:val="0"/>
        <w:ind w:firstLine="720"/>
      </w:pPr>
    </w:p>
    <w:p w:rsidR="00500615" w:rsidRPr="00500615" w:rsidRDefault="003D706F" w:rsidP="00500615">
      <w:pPr>
        <w:autoSpaceDE w:val="0"/>
        <w:autoSpaceDN w:val="0"/>
        <w:adjustRightInd w:val="0"/>
        <w:ind w:firstLine="720"/>
      </w:pPr>
      <w:r>
        <w:t xml:space="preserve">As alleged in court filings, </w:t>
      </w:r>
      <w:r w:rsidR="00500615" w:rsidRPr="00500615">
        <w:t>from abou</w:t>
      </w:r>
      <w:r w:rsidR="00E4538B">
        <w:t>t May 2006 to at least January 2011</w:t>
      </w:r>
      <w:r w:rsidR="00500615" w:rsidRPr="00500615">
        <w:t xml:space="preserve">, </w:t>
      </w:r>
      <w:r w:rsidR="00A21A1D">
        <w:t>the four defendants</w:t>
      </w:r>
      <w:r w:rsidR="00682577">
        <w:t xml:space="preserve"> and others</w:t>
      </w:r>
      <w:r w:rsidR="00500615" w:rsidRPr="00500615">
        <w:t xml:space="preserve"> agreed to make false and fraudulent Yen LIBOR submissions for the benefit of the</w:t>
      </w:r>
      <w:r w:rsidR="005D7C46">
        <w:t>ir trading positions</w:t>
      </w:r>
      <w:r w:rsidR="00500615" w:rsidRPr="00500615">
        <w:t xml:space="preserve">.  </w:t>
      </w:r>
      <w:r w:rsidR="00B04939">
        <w:t>According to the allegations, s</w:t>
      </w:r>
      <w:r w:rsidR="00500615" w:rsidRPr="00500615">
        <w:t>ometimes Robson submitted rates at a specific level requested by a co-defendant</w:t>
      </w:r>
      <w:r>
        <w:t xml:space="preserve">, including </w:t>
      </w:r>
      <w:proofErr w:type="spellStart"/>
      <w:r>
        <w:t>Yagami</w:t>
      </w:r>
      <w:proofErr w:type="spellEnd"/>
      <w:r>
        <w:t>,</w:t>
      </w:r>
      <w:r w:rsidR="00500615" w:rsidRPr="00500615">
        <w:t xml:space="preserve"> and consistent with the co-defendant’s trading positions.  Other times, Robson made a higher or lower Yen LIBOR submission consistent with the direction requested by a co-defendant and consistent with the co-defendant’s trading positions.  On those occasions, Robson’s manipulated Yen LIBOR submissions were to the detriment of, among others, Rabobank’s counterparties to derivative contracts.</w:t>
      </w:r>
      <w:r w:rsidR="004731DB">
        <w:t xml:space="preserve">  </w:t>
      </w:r>
      <w:r w:rsidR="004731DB">
        <w:rPr>
          <w:color w:val="000000"/>
        </w:rPr>
        <w:t>Thompson, Motomura and</w:t>
      </w:r>
      <w:r w:rsidR="004731DB" w:rsidRPr="00570F9A">
        <w:rPr>
          <w:color w:val="000000"/>
        </w:rPr>
        <w:t xml:space="preserve"> </w:t>
      </w:r>
      <w:r w:rsidR="004731DB">
        <w:rPr>
          <w:color w:val="000000"/>
        </w:rPr>
        <w:t xml:space="preserve">Yagami (described in the indictment as Trader-R) made </w:t>
      </w:r>
      <w:r w:rsidR="004731DB" w:rsidRPr="00500615">
        <w:rPr>
          <w:color w:val="000000"/>
        </w:rPr>
        <w:t xml:space="preserve">requests of Robson for Yen LIBOR submissions through electronic chats and email exchanges.  </w:t>
      </w:r>
      <w:r w:rsidR="00500615" w:rsidRPr="00500615">
        <w:t xml:space="preserve">  </w:t>
      </w:r>
    </w:p>
    <w:p w:rsidR="00500615" w:rsidRPr="00500615" w:rsidRDefault="00500615" w:rsidP="003578D8">
      <w:pPr>
        <w:autoSpaceDE w:val="0"/>
        <w:autoSpaceDN w:val="0"/>
        <w:adjustRightInd w:val="0"/>
        <w:rPr>
          <w:color w:val="000000"/>
        </w:rPr>
      </w:pPr>
    </w:p>
    <w:p w:rsidR="00500615" w:rsidRPr="00500615" w:rsidRDefault="003D706F" w:rsidP="00500615">
      <w:pPr>
        <w:autoSpaceDE w:val="0"/>
        <w:autoSpaceDN w:val="0"/>
        <w:adjustRightInd w:val="0"/>
        <w:ind w:firstLine="720"/>
        <w:rPr>
          <w:color w:val="000000"/>
        </w:rPr>
      </w:pPr>
      <w:r>
        <w:rPr>
          <w:color w:val="000000"/>
        </w:rPr>
        <w:t>For example, according to court filings, on</w:t>
      </w:r>
      <w:r w:rsidRPr="00500615">
        <w:rPr>
          <w:color w:val="000000"/>
        </w:rPr>
        <w:t xml:space="preserve"> </w:t>
      </w:r>
      <w:r w:rsidR="00500615" w:rsidRPr="00500615">
        <w:rPr>
          <w:color w:val="000000"/>
        </w:rPr>
        <w:t>Sept</w:t>
      </w:r>
      <w:r w:rsidR="00B04939">
        <w:rPr>
          <w:color w:val="000000"/>
        </w:rPr>
        <w:t>.</w:t>
      </w:r>
      <w:r w:rsidR="000F34EF">
        <w:rPr>
          <w:color w:val="000000"/>
        </w:rPr>
        <w:t xml:space="preserve"> </w:t>
      </w:r>
      <w:r w:rsidR="00500615" w:rsidRPr="00500615">
        <w:rPr>
          <w:color w:val="000000"/>
        </w:rPr>
        <w:t xml:space="preserve">21, 2007, </w:t>
      </w:r>
      <w:r w:rsidR="00A21A1D">
        <w:rPr>
          <w:color w:val="000000"/>
        </w:rPr>
        <w:t>Yagami</w:t>
      </w:r>
      <w:r w:rsidR="00182ED3">
        <w:rPr>
          <w:color w:val="000000"/>
        </w:rPr>
        <w:t xml:space="preserve"> asked Robson by e</w:t>
      </w:r>
      <w:r w:rsidR="00500615" w:rsidRPr="00500615">
        <w:rPr>
          <w:color w:val="000000"/>
        </w:rPr>
        <w:t>mail, “</w:t>
      </w:r>
      <w:proofErr w:type="gramStart"/>
      <w:r w:rsidR="00500615" w:rsidRPr="00500615">
        <w:rPr>
          <w:color w:val="000000"/>
        </w:rPr>
        <w:t>wehre</w:t>
      </w:r>
      <w:proofErr w:type="gramEnd"/>
      <w:r w:rsidR="00500615" w:rsidRPr="00500615">
        <w:rPr>
          <w:color w:val="000000"/>
        </w:rPr>
        <w:t xml:space="preserve"> do you think today’s libors are?  If you can I would like 1mth higher today.”  Robson responded, “</w:t>
      </w:r>
      <w:proofErr w:type="gramStart"/>
      <w:r w:rsidR="00500615" w:rsidRPr="00500615">
        <w:rPr>
          <w:color w:val="000000"/>
        </w:rPr>
        <w:t>bookies</w:t>
      </w:r>
      <w:proofErr w:type="gramEnd"/>
      <w:r w:rsidR="00500615" w:rsidRPr="00500615">
        <w:rPr>
          <w:color w:val="000000"/>
        </w:rPr>
        <w:t xml:space="preserve"> reckon .85,” to which </w:t>
      </w:r>
      <w:r w:rsidR="00A21A1D">
        <w:rPr>
          <w:color w:val="000000"/>
        </w:rPr>
        <w:t>Yagami</w:t>
      </w:r>
      <w:r w:rsidR="00500615" w:rsidRPr="00500615">
        <w:rPr>
          <w:color w:val="000000"/>
        </w:rPr>
        <w:t xml:space="preserve"> </w:t>
      </w:r>
      <w:r w:rsidR="00F92EE0">
        <w:rPr>
          <w:color w:val="000000"/>
        </w:rPr>
        <w:t>replied</w:t>
      </w:r>
      <w:r w:rsidR="00500615" w:rsidRPr="00500615">
        <w:rPr>
          <w:color w:val="000000"/>
        </w:rPr>
        <w:t>, “I have some fixings in 1mth so would appreciate if you can put it higher mate.”  Robson answered, “</w:t>
      </w:r>
      <w:proofErr w:type="gramStart"/>
      <w:r w:rsidR="00500615" w:rsidRPr="00500615">
        <w:rPr>
          <w:color w:val="000000"/>
        </w:rPr>
        <w:t>no</w:t>
      </w:r>
      <w:proofErr w:type="gramEnd"/>
      <w:r w:rsidR="00500615" w:rsidRPr="00500615">
        <w:rPr>
          <w:color w:val="000000"/>
        </w:rPr>
        <w:t xml:space="preserve"> prob mate let me know your level.” </w:t>
      </w:r>
      <w:r w:rsidR="000F34EF">
        <w:rPr>
          <w:color w:val="000000"/>
        </w:rPr>
        <w:t xml:space="preserve"> </w:t>
      </w:r>
      <w:r w:rsidR="00500615" w:rsidRPr="00500615">
        <w:rPr>
          <w:color w:val="000000"/>
        </w:rPr>
        <w:t xml:space="preserve">After </w:t>
      </w:r>
      <w:r w:rsidR="00A21A1D">
        <w:rPr>
          <w:color w:val="000000"/>
        </w:rPr>
        <w:t>Yagami</w:t>
      </w:r>
      <w:r w:rsidR="00500615" w:rsidRPr="00500615">
        <w:rPr>
          <w:color w:val="000000"/>
        </w:rPr>
        <w:t xml:space="preserve"> asked for “0.90% for 1mth,” Robson confirmed, “sure no </w:t>
      </w:r>
      <w:proofErr w:type="gramStart"/>
      <w:r w:rsidR="00500615" w:rsidRPr="00500615">
        <w:rPr>
          <w:color w:val="000000"/>
        </w:rPr>
        <w:t>prob[</w:t>
      </w:r>
      <w:proofErr w:type="gramEnd"/>
      <w:r w:rsidR="00100681">
        <w:rPr>
          <w:color w:val="000000"/>
        </w:rPr>
        <w:t xml:space="preserve"> </w:t>
      </w:r>
      <w:r w:rsidR="00500615" w:rsidRPr="00500615">
        <w:rPr>
          <w:color w:val="000000"/>
        </w:rPr>
        <w:t>]</w:t>
      </w:r>
      <w:r w:rsidR="000F34EF">
        <w:rPr>
          <w:color w:val="000000"/>
        </w:rPr>
        <w:t xml:space="preserve"> </w:t>
      </w:r>
      <w:r w:rsidR="00500615" w:rsidRPr="00500615">
        <w:rPr>
          <w:color w:val="000000"/>
        </w:rPr>
        <w:t>I’ll probably get a few phone calls but no worries mate… there’s bigger crooks in the market than us guys!”</w:t>
      </w:r>
    </w:p>
    <w:p w:rsidR="00500615" w:rsidRPr="00956FDA" w:rsidRDefault="00500615" w:rsidP="00956FDA"/>
    <w:p w:rsidR="00500615" w:rsidRPr="00500615" w:rsidRDefault="00500615" w:rsidP="00500615">
      <w:pPr>
        <w:autoSpaceDE w:val="0"/>
        <w:autoSpaceDN w:val="0"/>
        <w:adjustRightInd w:val="0"/>
        <w:ind w:firstLine="720"/>
        <w:rPr>
          <w:color w:val="000000"/>
        </w:rPr>
      </w:pPr>
      <w:r w:rsidRPr="00500615">
        <w:rPr>
          <w:color w:val="000000"/>
        </w:rPr>
        <w:t xml:space="preserve">The </w:t>
      </w:r>
      <w:r w:rsidR="00A21A1D">
        <w:rPr>
          <w:color w:val="000000"/>
        </w:rPr>
        <w:t>indictment</w:t>
      </w:r>
      <w:r w:rsidRPr="00500615">
        <w:rPr>
          <w:color w:val="000000"/>
        </w:rPr>
        <w:t xml:space="preserve"> alleges that Robson accommodated the requests of his co-defendants.  For example, on Sept</w:t>
      </w:r>
      <w:r w:rsidR="00182ED3">
        <w:rPr>
          <w:color w:val="000000"/>
        </w:rPr>
        <w:t>.</w:t>
      </w:r>
      <w:r w:rsidRPr="00500615">
        <w:rPr>
          <w:color w:val="000000"/>
        </w:rPr>
        <w:t xml:space="preserve"> 21, 2007, after Robson </w:t>
      </w:r>
      <w:r w:rsidR="003D706F">
        <w:rPr>
          <w:color w:val="000000"/>
        </w:rPr>
        <w:t xml:space="preserve">allegedly </w:t>
      </w:r>
      <w:r w:rsidRPr="00500615">
        <w:rPr>
          <w:color w:val="000000"/>
        </w:rPr>
        <w:t xml:space="preserve">received a request from </w:t>
      </w:r>
      <w:r w:rsidR="00A21A1D">
        <w:rPr>
          <w:color w:val="000000"/>
        </w:rPr>
        <w:t>Yagami for a high 1-</w:t>
      </w:r>
      <w:r w:rsidRPr="00500615">
        <w:rPr>
          <w:color w:val="000000"/>
        </w:rPr>
        <w:t>month Yen LIBOR, Rabobank submitted a 1-month Yen LIBOR rate of 0.90, which was 7 basis points higher than the previous day</w:t>
      </w:r>
      <w:r w:rsidR="00100681">
        <w:rPr>
          <w:color w:val="000000"/>
        </w:rPr>
        <w:t xml:space="preserve"> and</w:t>
      </w:r>
      <w:r w:rsidRPr="00500615">
        <w:rPr>
          <w:color w:val="000000"/>
        </w:rPr>
        <w:t xml:space="preserve"> 5 basis </w:t>
      </w:r>
      <w:r w:rsidR="00FE60CA">
        <w:rPr>
          <w:color w:val="000000"/>
        </w:rPr>
        <w:t xml:space="preserve">points above where Robson said that </w:t>
      </w:r>
      <w:r w:rsidR="0077307B">
        <w:rPr>
          <w:color w:val="000000"/>
        </w:rPr>
        <w:t xml:space="preserve">“bookies” </w:t>
      </w:r>
      <w:r w:rsidRPr="00500615">
        <w:rPr>
          <w:color w:val="000000"/>
        </w:rPr>
        <w:t xml:space="preserve">predicted it, and </w:t>
      </w:r>
      <w:r w:rsidR="00100681">
        <w:rPr>
          <w:color w:val="000000"/>
        </w:rPr>
        <w:t xml:space="preserve">which </w:t>
      </w:r>
      <w:r w:rsidRPr="00500615">
        <w:rPr>
          <w:color w:val="000000"/>
        </w:rPr>
        <w:t xml:space="preserve">moved Rabobank’s submission from the middle </w:t>
      </w:r>
      <w:r w:rsidR="00100681">
        <w:rPr>
          <w:color w:val="000000"/>
        </w:rPr>
        <w:t xml:space="preserve">to the highest </w:t>
      </w:r>
      <w:r w:rsidRPr="00500615">
        <w:rPr>
          <w:color w:val="000000"/>
        </w:rPr>
        <w:t>of the panel.</w:t>
      </w:r>
    </w:p>
    <w:p w:rsidR="00500615" w:rsidRPr="00500615" w:rsidRDefault="00500615" w:rsidP="00500615">
      <w:pPr>
        <w:autoSpaceDE w:val="0"/>
        <w:autoSpaceDN w:val="0"/>
        <w:adjustRightInd w:val="0"/>
        <w:rPr>
          <w:color w:val="000000"/>
        </w:rPr>
      </w:pPr>
    </w:p>
    <w:p w:rsidR="00500615" w:rsidRPr="00500615" w:rsidRDefault="00FE60CA" w:rsidP="00500615">
      <w:pPr>
        <w:autoSpaceDE w:val="0"/>
        <w:autoSpaceDN w:val="0"/>
        <w:adjustRightInd w:val="0"/>
        <w:rPr>
          <w:color w:val="000000"/>
        </w:rPr>
      </w:pPr>
      <w:r>
        <w:rPr>
          <w:color w:val="000000"/>
        </w:rPr>
        <w:tab/>
        <w:t>According to court documents</w:t>
      </w:r>
      <w:r w:rsidR="00500615" w:rsidRPr="00500615">
        <w:rPr>
          <w:color w:val="000000"/>
        </w:rPr>
        <w:t xml:space="preserve">, the defendants were also aware that they were making false or fraudulent Yen LIBOR submissions.  For example, on May </w:t>
      </w:r>
      <w:r w:rsidR="00E54DBB">
        <w:rPr>
          <w:color w:val="000000"/>
        </w:rPr>
        <w:t>10</w:t>
      </w:r>
      <w:r w:rsidR="00500615" w:rsidRPr="00500615">
        <w:rPr>
          <w:color w:val="000000"/>
        </w:rPr>
        <w:t>, 2006</w:t>
      </w:r>
      <w:r w:rsidR="00182ED3">
        <w:rPr>
          <w:color w:val="000000"/>
        </w:rPr>
        <w:t>,</w:t>
      </w:r>
      <w:r w:rsidR="00500615" w:rsidRPr="00500615">
        <w:rPr>
          <w:color w:val="000000"/>
        </w:rPr>
        <w:t xml:space="preserve"> Robson </w:t>
      </w:r>
      <w:r w:rsidR="00682577">
        <w:rPr>
          <w:color w:val="000000"/>
        </w:rPr>
        <w:t xml:space="preserve">admitted in an email </w:t>
      </w:r>
      <w:r w:rsidR="00A21A1D">
        <w:rPr>
          <w:color w:val="000000"/>
        </w:rPr>
        <w:t xml:space="preserve">to Yagami </w:t>
      </w:r>
      <w:r w:rsidR="00682577">
        <w:rPr>
          <w:color w:val="000000"/>
        </w:rPr>
        <w:t>that</w:t>
      </w:r>
      <w:r w:rsidR="00500615" w:rsidRPr="00500615">
        <w:rPr>
          <w:color w:val="000000"/>
        </w:rPr>
        <w:t xml:space="preserve"> “it must be pretty embarrasing to set such a low libor. </w:t>
      </w:r>
      <w:r w:rsidR="00100681">
        <w:rPr>
          <w:color w:val="000000"/>
        </w:rPr>
        <w:t xml:space="preserve"> </w:t>
      </w:r>
      <w:r w:rsidR="00500615" w:rsidRPr="00500615">
        <w:rPr>
          <w:color w:val="000000"/>
        </w:rPr>
        <w:t>I was very embarrased to set my 6 mth – but wanted to help thomo</w:t>
      </w:r>
      <w:r w:rsidR="00310F29">
        <w:rPr>
          <w:color w:val="000000"/>
        </w:rPr>
        <w:t xml:space="preserve"> [Thompson]</w:t>
      </w:r>
      <w:r w:rsidR="00500615" w:rsidRPr="00500615">
        <w:rPr>
          <w:color w:val="000000"/>
        </w:rPr>
        <w:t xml:space="preserve">. </w:t>
      </w:r>
      <w:r w:rsidR="00100681">
        <w:rPr>
          <w:color w:val="000000"/>
        </w:rPr>
        <w:t xml:space="preserve"> </w:t>
      </w:r>
      <w:r w:rsidR="006F5CD1">
        <w:rPr>
          <w:color w:val="000000"/>
        </w:rPr>
        <w:t>T</w:t>
      </w:r>
      <w:r w:rsidR="00500615" w:rsidRPr="00500615">
        <w:rPr>
          <w:color w:val="000000"/>
        </w:rPr>
        <w:t xml:space="preserve">omorrow it will be more like 33 from me.”  </w:t>
      </w:r>
      <w:r w:rsidR="00E4538B">
        <w:rPr>
          <w:color w:val="000000"/>
        </w:rPr>
        <w:t xml:space="preserve">At times, </w:t>
      </w:r>
      <w:r w:rsidR="00500615" w:rsidRPr="00500615">
        <w:rPr>
          <w:color w:val="000000"/>
        </w:rPr>
        <w:t>Robson referred to the submissions that he submitted on behalf of his co-defendants as “ridiculously high”</w:t>
      </w:r>
      <w:r w:rsidR="00100681">
        <w:rPr>
          <w:color w:val="000000"/>
        </w:rPr>
        <w:t xml:space="preserve"> and</w:t>
      </w:r>
      <w:r w:rsidR="00500615" w:rsidRPr="00500615">
        <w:rPr>
          <w:color w:val="000000"/>
        </w:rPr>
        <w:t xml:space="preserve"> “obscenely high,” and acknowledged that his submissions would be so out of line with the other Yen LIBOR panel banks that he might receive a phone call about them from the BBA or </w:t>
      </w:r>
      <w:r w:rsidR="003467ED">
        <w:rPr>
          <w:color w:val="000000"/>
        </w:rPr>
        <w:t xml:space="preserve">Thomson </w:t>
      </w:r>
      <w:r w:rsidR="00500615" w:rsidRPr="00500615">
        <w:rPr>
          <w:color w:val="000000"/>
        </w:rPr>
        <w:t xml:space="preserve">Reuters.  </w:t>
      </w:r>
    </w:p>
    <w:p w:rsidR="00500615" w:rsidRPr="00500615" w:rsidRDefault="00500615" w:rsidP="00500615">
      <w:pPr>
        <w:autoSpaceDE w:val="0"/>
        <w:autoSpaceDN w:val="0"/>
        <w:adjustRightInd w:val="0"/>
        <w:rPr>
          <w:color w:val="000000"/>
        </w:rPr>
      </w:pPr>
    </w:p>
    <w:p w:rsidR="00500615" w:rsidRDefault="003D706F" w:rsidP="00500615">
      <w:pPr>
        <w:autoSpaceDE w:val="0"/>
        <w:autoSpaceDN w:val="0"/>
        <w:adjustRightInd w:val="0"/>
        <w:ind w:firstLine="720"/>
        <w:rPr>
          <w:color w:val="000000"/>
        </w:rPr>
      </w:pPr>
      <w:r>
        <w:rPr>
          <w:color w:val="000000"/>
        </w:rPr>
        <w:t>The charges in the indictment are merely accusations, and the defendants are presumed innocent unless and until proven guilty.</w:t>
      </w:r>
    </w:p>
    <w:p w:rsidR="003D706F" w:rsidRPr="00500615" w:rsidRDefault="003D706F" w:rsidP="00500615">
      <w:pPr>
        <w:autoSpaceDE w:val="0"/>
        <w:autoSpaceDN w:val="0"/>
        <w:adjustRightInd w:val="0"/>
        <w:ind w:firstLine="720"/>
        <w:rPr>
          <w:color w:val="000000"/>
        </w:rPr>
      </w:pPr>
    </w:p>
    <w:p w:rsidR="00500615" w:rsidRPr="00500615" w:rsidRDefault="00500615" w:rsidP="00500615">
      <w:pPr>
        <w:autoSpaceDE w:val="0"/>
        <w:autoSpaceDN w:val="0"/>
        <w:adjustRightInd w:val="0"/>
        <w:ind w:firstLine="720"/>
        <w:rPr>
          <w:color w:val="000000"/>
        </w:rPr>
      </w:pPr>
      <w:r w:rsidRPr="00500615">
        <w:rPr>
          <w:color w:val="000000"/>
        </w:rPr>
        <w:t xml:space="preserve">The investigation is being conducted by special agents, forensic accountants, and intelligence analysts </w:t>
      </w:r>
      <w:r w:rsidR="00100681">
        <w:rPr>
          <w:color w:val="000000"/>
        </w:rPr>
        <w:t>in</w:t>
      </w:r>
      <w:r w:rsidR="00100681" w:rsidRPr="00500615">
        <w:rPr>
          <w:color w:val="000000"/>
        </w:rPr>
        <w:t xml:space="preserve"> </w:t>
      </w:r>
      <w:r w:rsidRPr="00500615">
        <w:rPr>
          <w:color w:val="000000"/>
        </w:rPr>
        <w:t>the FBI’s Washington Field Office.  The prosecution is being handled by</w:t>
      </w:r>
      <w:r w:rsidR="00A21A1D">
        <w:rPr>
          <w:color w:val="000000"/>
        </w:rPr>
        <w:t xml:space="preserve"> Senior Litigation Counsel</w:t>
      </w:r>
      <w:r w:rsidR="003F3D55">
        <w:rPr>
          <w:color w:val="000000"/>
        </w:rPr>
        <w:t xml:space="preserve"> Carol L. Sipperly and Trial Attorney</w:t>
      </w:r>
      <w:r w:rsidR="00E4538B">
        <w:rPr>
          <w:color w:val="000000"/>
        </w:rPr>
        <w:t xml:space="preserve"> </w:t>
      </w:r>
      <w:r w:rsidRPr="00500615">
        <w:rPr>
          <w:color w:val="000000"/>
        </w:rPr>
        <w:t xml:space="preserve">Brian </w:t>
      </w:r>
      <w:r w:rsidR="00CA27E0">
        <w:rPr>
          <w:color w:val="000000"/>
        </w:rPr>
        <w:t xml:space="preserve">R. </w:t>
      </w:r>
      <w:r w:rsidRPr="00500615">
        <w:rPr>
          <w:color w:val="000000"/>
        </w:rPr>
        <w:t xml:space="preserve">Young of the Criminal Division’s Fraud Section, and Trial Attorney Michael </w:t>
      </w:r>
      <w:r w:rsidR="00E4538B">
        <w:rPr>
          <w:color w:val="000000"/>
        </w:rPr>
        <w:t xml:space="preserve">T. </w:t>
      </w:r>
      <w:r w:rsidRPr="00500615">
        <w:rPr>
          <w:color w:val="000000"/>
        </w:rPr>
        <w:t>Koenig of the Antitrust Division.  The Criminal Division’s Office of International Affairs has provided assistance in this matter.</w:t>
      </w:r>
    </w:p>
    <w:p w:rsidR="00500615" w:rsidRPr="00500615" w:rsidRDefault="00500615" w:rsidP="00500615">
      <w:pPr>
        <w:autoSpaceDE w:val="0"/>
        <w:autoSpaceDN w:val="0"/>
        <w:adjustRightInd w:val="0"/>
        <w:ind w:firstLine="720"/>
        <w:rPr>
          <w:color w:val="000000"/>
        </w:rPr>
      </w:pPr>
    </w:p>
    <w:p w:rsidR="00500615" w:rsidRPr="00500615" w:rsidRDefault="00500615" w:rsidP="00500615">
      <w:pPr>
        <w:autoSpaceDE w:val="0"/>
        <w:autoSpaceDN w:val="0"/>
        <w:adjustRightInd w:val="0"/>
        <w:ind w:firstLine="720"/>
        <w:rPr>
          <w:color w:val="000000"/>
        </w:rPr>
      </w:pPr>
      <w:r w:rsidRPr="00500615">
        <w:rPr>
          <w:color w:val="000000"/>
        </w:rPr>
        <w:t xml:space="preserve">The Justice Department expresses its appreciation for </w:t>
      </w:r>
      <w:r w:rsidR="003D706F" w:rsidRPr="00500615">
        <w:rPr>
          <w:color w:val="000000"/>
        </w:rPr>
        <w:t>th</w:t>
      </w:r>
      <w:r w:rsidR="003D706F">
        <w:rPr>
          <w:color w:val="000000"/>
        </w:rPr>
        <w:t>e</w:t>
      </w:r>
      <w:r w:rsidR="003D706F" w:rsidRPr="00500615">
        <w:rPr>
          <w:color w:val="000000"/>
        </w:rPr>
        <w:t xml:space="preserve"> </w:t>
      </w:r>
      <w:r w:rsidRPr="00500615">
        <w:rPr>
          <w:color w:val="000000"/>
        </w:rPr>
        <w:t>assistance</w:t>
      </w:r>
      <w:r w:rsidR="003D706F">
        <w:rPr>
          <w:color w:val="000000"/>
        </w:rPr>
        <w:t xml:space="preserve"> provided </w:t>
      </w:r>
      <w:r w:rsidR="004731DB">
        <w:rPr>
          <w:color w:val="000000"/>
        </w:rPr>
        <w:t>by</w:t>
      </w:r>
      <w:r w:rsidR="003D706F">
        <w:rPr>
          <w:color w:val="000000"/>
        </w:rPr>
        <w:t xml:space="preserve"> various enforcement agencies in the United States and abroad</w:t>
      </w:r>
      <w:r w:rsidRPr="00500615">
        <w:rPr>
          <w:color w:val="000000"/>
        </w:rPr>
        <w:t xml:space="preserve">.  </w:t>
      </w:r>
      <w:r w:rsidR="003D706F">
        <w:rPr>
          <w:color w:val="000000"/>
        </w:rPr>
        <w:t>T</w:t>
      </w:r>
      <w:r w:rsidRPr="00500615">
        <w:rPr>
          <w:color w:val="000000"/>
        </w:rPr>
        <w:t>he Commodity Futures Trading Commission’s Division of Enforcem</w:t>
      </w:r>
      <w:r w:rsidR="00F92EE0">
        <w:rPr>
          <w:color w:val="000000"/>
        </w:rPr>
        <w:t>ent referred this matter to the d</w:t>
      </w:r>
      <w:r w:rsidRPr="00500615">
        <w:rPr>
          <w:color w:val="000000"/>
        </w:rPr>
        <w:t>epartment and, along with the U.K. Financial Conduct Authority, has played a major role in the LIBOR investigation.</w:t>
      </w:r>
      <w:r w:rsidR="0090116C">
        <w:rPr>
          <w:color w:val="000000"/>
        </w:rPr>
        <w:t xml:space="preserve">  </w:t>
      </w:r>
      <w:r w:rsidR="0090116C">
        <w:t>T</w:t>
      </w:r>
      <w:r w:rsidR="0090116C" w:rsidRPr="00500615">
        <w:t xml:space="preserve">he Securities and Exchange Commission </w:t>
      </w:r>
      <w:r w:rsidR="0090116C">
        <w:t xml:space="preserve">also </w:t>
      </w:r>
      <w:r w:rsidR="0090116C" w:rsidRPr="00500615">
        <w:t>has played a significant role in the LIBOR ser</w:t>
      </w:r>
      <w:r w:rsidR="0090116C">
        <w:t>ies of investigations, and the d</w:t>
      </w:r>
      <w:r w:rsidR="0090116C" w:rsidRPr="00500615">
        <w:t xml:space="preserve">epartment expresses its appreciation to the United Kingdom’s Serious Fraud Office for its assistance and ongoing cooperation.  </w:t>
      </w:r>
      <w:r w:rsidRPr="00500615">
        <w:rPr>
          <w:color w:val="000000"/>
        </w:rPr>
        <w:t xml:space="preserve"> </w:t>
      </w:r>
      <w:r w:rsidR="00F92EE0">
        <w:t>The d</w:t>
      </w:r>
      <w:r w:rsidRPr="00500615">
        <w:t xml:space="preserve">epartment has worked closely with the Dutch Public Prosecution Service and the Dutch Central Bank in the investigation of Rabobank.  Various agencies and enforcement authorities from other nations are also participating in different aspects of the broader investigation relating to LIBOR and </w:t>
      </w:r>
      <w:r w:rsidR="00F92EE0">
        <w:t>other benchmark rates, and the d</w:t>
      </w:r>
      <w:r w:rsidRPr="00500615">
        <w:t>epartment is grateful for the</w:t>
      </w:r>
      <w:r w:rsidR="00F75C76">
        <w:t xml:space="preserve">ir cooperation and assistance. </w:t>
      </w:r>
    </w:p>
    <w:p w:rsidR="00500615" w:rsidRPr="00500615" w:rsidRDefault="00500615" w:rsidP="00500615">
      <w:pPr>
        <w:autoSpaceDE w:val="0"/>
        <w:autoSpaceDN w:val="0"/>
        <w:adjustRightInd w:val="0"/>
        <w:ind w:firstLine="720"/>
        <w:rPr>
          <w:color w:val="000000"/>
        </w:rPr>
      </w:pPr>
    </w:p>
    <w:p w:rsidR="00500615" w:rsidRPr="00500615" w:rsidRDefault="00500615" w:rsidP="00500615">
      <w:pPr>
        <w:numPr>
          <w:ilvl w:val="12"/>
          <w:numId w:val="0"/>
        </w:numPr>
        <w:ind w:firstLine="720"/>
      </w:pPr>
      <w:r w:rsidRPr="00500615">
        <w:t xml:space="preserve">This prosecution is part of efforts underway by President Barack Obama’s Financial Fraud Enforcement Task Force.  President Obama established the interagency Financial Fraud Enforcement Task Force to wage an aggressive, coordinated and proactive effort to investigate and prosecute financial crimes.  The task force includes representatives from a broad range of federal agencies, regulatory authorities, inspectors general and state and local law enforcement who, working together, bring to bear a powerful array of criminal and civil enforcement resources.  The task force is working to improve efforts across the federal executive branch, and with state and local partners, to investigate and prosecute significant financial crimes, ensure just and effective punishment for those who perpetrate financial crimes, combat discrimination in the lending and financial markets and recover proceeds for victims of financial crimes. </w:t>
      </w:r>
      <w:r w:rsidR="00182ED3">
        <w:t xml:space="preserve"> </w:t>
      </w:r>
      <w:r w:rsidRPr="00500615">
        <w:t>For more information about the task force visit:</w:t>
      </w:r>
      <w:r w:rsidR="00782BBD">
        <w:t xml:space="preserve"> www.stopfraud.com.</w:t>
      </w:r>
      <w:r w:rsidRPr="00500615">
        <w:t xml:space="preserve"> </w:t>
      </w:r>
    </w:p>
    <w:p w:rsidR="00500615" w:rsidRPr="00500615" w:rsidRDefault="00500615" w:rsidP="00500615">
      <w:pPr>
        <w:numPr>
          <w:ilvl w:val="12"/>
          <w:numId w:val="0"/>
        </w:numPr>
      </w:pPr>
    </w:p>
    <w:p w:rsidR="00500615" w:rsidRPr="00500615" w:rsidRDefault="00500615" w:rsidP="00500615">
      <w:pPr>
        <w:jc w:val="center"/>
      </w:pPr>
      <w:r w:rsidRPr="00500615">
        <w:t># # #</w:t>
      </w:r>
    </w:p>
    <w:p w:rsidR="00500615" w:rsidRPr="00500615" w:rsidRDefault="00500615" w:rsidP="00500615">
      <w:pPr>
        <w:numPr>
          <w:ilvl w:val="12"/>
          <w:numId w:val="0"/>
        </w:numPr>
      </w:pPr>
    </w:p>
    <w:p w:rsidR="00412959" w:rsidRDefault="00412959" w:rsidP="00412959">
      <w:r>
        <w:t>14-</w:t>
      </w:r>
      <w:r w:rsidR="00F07768">
        <w:t xml:space="preserve">621 </w:t>
      </w:r>
    </w:p>
    <w:sectPr w:rsidR="00412959" w:rsidSect="00022D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677" w:rsidRDefault="008C3677" w:rsidP="00B349E2">
      <w:r>
        <w:separator/>
      </w:r>
    </w:p>
  </w:endnote>
  <w:endnote w:type="continuationSeparator" w:id="0">
    <w:p w:rsidR="008C3677" w:rsidRDefault="008C3677" w:rsidP="00B349E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5" w:rsidRDefault="00DF7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5" w:rsidRDefault="00DF7A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5" w:rsidRDefault="00DF7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677" w:rsidRDefault="008C3677" w:rsidP="00B349E2">
      <w:r>
        <w:separator/>
      </w:r>
    </w:p>
  </w:footnote>
  <w:footnote w:type="continuationSeparator" w:id="0">
    <w:p w:rsidR="008C3677" w:rsidRDefault="008C3677" w:rsidP="00B34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5" w:rsidRDefault="00DF7A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5" w:rsidRDefault="00DF7A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5" w:rsidRDefault="00DF7A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64CD"/>
    <w:multiLevelType w:val="hybridMultilevel"/>
    <w:tmpl w:val="B70A8E6E"/>
    <w:lvl w:ilvl="0" w:tplc="974CB8C4">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408B7"/>
    <w:multiLevelType w:val="multilevel"/>
    <w:tmpl w:val="95B4992C"/>
    <w:lvl w:ilvl="0">
      <w:start w:val="23"/>
      <w:numFmt w:val="decimal"/>
      <w:lvlText w:val="%1."/>
      <w:lvlJc w:val="left"/>
      <w:pPr>
        <w:ind w:left="1440" w:hanging="720"/>
      </w:pPr>
      <w:rPr>
        <w:sz w:val="24"/>
        <w:szCs w:val="24"/>
      </w:r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Roman"/>
      <w:lvlText w:val="%4."/>
      <w:lvlJc w:val="right"/>
      <w:pPr>
        <w:ind w:left="2880" w:hanging="720"/>
      </w:pPr>
    </w:lvl>
    <w:lvl w:ilvl="4">
      <w:start w:val="1"/>
      <w:numFmt w:val="lowerLetter"/>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nsid w:val="6B851A47"/>
    <w:multiLevelType w:val="multilevel"/>
    <w:tmpl w:val="D1A8AE3E"/>
    <w:lvl w:ilvl="0">
      <w:start w:val="1"/>
      <w:numFmt w:val="decimal"/>
      <w:lvlText w:val="%1."/>
      <w:lvlJc w:val="left"/>
      <w:pPr>
        <w:ind w:left="0" w:firstLine="720"/>
      </w:pPr>
      <w:rPr>
        <w:rFonts w:hint="default"/>
        <w:b w:val="0"/>
        <w:i w:val="0"/>
        <w:sz w:val="24"/>
        <w:szCs w:val="24"/>
      </w:rPr>
    </w:lvl>
    <w:lvl w:ilvl="1">
      <w:start w:val="1"/>
      <w:numFmt w:val="upperLetter"/>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 w:numId="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docVars>
    <w:docVar w:name="_CITRUS_JURISDICTION" w:val="Bluebook"/>
    <w:docVar w:name="CITRUS_DOC_GUID" w:val="{F4E1BA38-8814-4E69-AAF4-8A5772700CA8}"/>
  </w:docVars>
  <w:rsids>
    <w:rsidRoot w:val="0010670C"/>
    <w:rsid w:val="000072EE"/>
    <w:rsid w:val="00015179"/>
    <w:rsid w:val="000160AB"/>
    <w:rsid w:val="00020627"/>
    <w:rsid w:val="00022D52"/>
    <w:rsid w:val="000330D2"/>
    <w:rsid w:val="00035061"/>
    <w:rsid w:val="000403D2"/>
    <w:rsid w:val="00047800"/>
    <w:rsid w:val="00050CC1"/>
    <w:rsid w:val="00050F85"/>
    <w:rsid w:val="000612E0"/>
    <w:rsid w:val="00062425"/>
    <w:rsid w:val="0006255B"/>
    <w:rsid w:val="00071770"/>
    <w:rsid w:val="00071B23"/>
    <w:rsid w:val="00076E03"/>
    <w:rsid w:val="000778EF"/>
    <w:rsid w:val="0008008C"/>
    <w:rsid w:val="00095C9E"/>
    <w:rsid w:val="000A3957"/>
    <w:rsid w:val="000B1191"/>
    <w:rsid w:val="000B5B83"/>
    <w:rsid w:val="000C35C0"/>
    <w:rsid w:val="000C5CDD"/>
    <w:rsid w:val="000C6BAD"/>
    <w:rsid w:val="000C7DC8"/>
    <w:rsid w:val="000D5469"/>
    <w:rsid w:val="000E0BDD"/>
    <w:rsid w:val="000F052C"/>
    <w:rsid w:val="000F0C1A"/>
    <w:rsid w:val="000F2EEA"/>
    <w:rsid w:val="000F34EF"/>
    <w:rsid w:val="000F7BA6"/>
    <w:rsid w:val="00100681"/>
    <w:rsid w:val="00101D39"/>
    <w:rsid w:val="0010670C"/>
    <w:rsid w:val="001114EB"/>
    <w:rsid w:val="001138D7"/>
    <w:rsid w:val="001145D5"/>
    <w:rsid w:val="00120000"/>
    <w:rsid w:val="00122DD1"/>
    <w:rsid w:val="0012327A"/>
    <w:rsid w:val="00140476"/>
    <w:rsid w:val="001415FD"/>
    <w:rsid w:val="00143AB7"/>
    <w:rsid w:val="001459C5"/>
    <w:rsid w:val="001509FD"/>
    <w:rsid w:val="0017634D"/>
    <w:rsid w:val="0017685A"/>
    <w:rsid w:val="0018106D"/>
    <w:rsid w:val="00182ED3"/>
    <w:rsid w:val="0018642A"/>
    <w:rsid w:val="001902A4"/>
    <w:rsid w:val="00191C73"/>
    <w:rsid w:val="001A0268"/>
    <w:rsid w:val="001A20E5"/>
    <w:rsid w:val="001B59C1"/>
    <w:rsid w:val="001C2BE7"/>
    <w:rsid w:val="001C7004"/>
    <w:rsid w:val="001D2615"/>
    <w:rsid w:val="001E2149"/>
    <w:rsid w:val="001E76B3"/>
    <w:rsid w:val="001F3AFC"/>
    <w:rsid w:val="001F4A44"/>
    <w:rsid w:val="00211512"/>
    <w:rsid w:val="0022027F"/>
    <w:rsid w:val="00220E45"/>
    <w:rsid w:val="002238F1"/>
    <w:rsid w:val="002263A6"/>
    <w:rsid w:val="00236062"/>
    <w:rsid w:val="00261C2F"/>
    <w:rsid w:val="00261DCC"/>
    <w:rsid w:val="00264607"/>
    <w:rsid w:val="0026612B"/>
    <w:rsid w:val="002774EC"/>
    <w:rsid w:val="00285C50"/>
    <w:rsid w:val="002860F7"/>
    <w:rsid w:val="00287F2D"/>
    <w:rsid w:val="002A5723"/>
    <w:rsid w:val="002A58AA"/>
    <w:rsid w:val="002B03D9"/>
    <w:rsid w:val="002B1C88"/>
    <w:rsid w:val="002B1E47"/>
    <w:rsid w:val="002C0450"/>
    <w:rsid w:val="002C422B"/>
    <w:rsid w:val="002C50D9"/>
    <w:rsid w:val="002C7E59"/>
    <w:rsid w:val="002F35FA"/>
    <w:rsid w:val="0030375B"/>
    <w:rsid w:val="003078D3"/>
    <w:rsid w:val="00310F29"/>
    <w:rsid w:val="00315C00"/>
    <w:rsid w:val="00323EB0"/>
    <w:rsid w:val="00334BBA"/>
    <w:rsid w:val="00340D04"/>
    <w:rsid w:val="00340EE0"/>
    <w:rsid w:val="003467ED"/>
    <w:rsid w:val="003505D0"/>
    <w:rsid w:val="00354732"/>
    <w:rsid w:val="003578D8"/>
    <w:rsid w:val="00371DF0"/>
    <w:rsid w:val="003750A2"/>
    <w:rsid w:val="00376BC9"/>
    <w:rsid w:val="00384C09"/>
    <w:rsid w:val="00394552"/>
    <w:rsid w:val="003968F6"/>
    <w:rsid w:val="00397AC5"/>
    <w:rsid w:val="003B0C17"/>
    <w:rsid w:val="003C143D"/>
    <w:rsid w:val="003D4E93"/>
    <w:rsid w:val="003D68BC"/>
    <w:rsid w:val="003D6BA1"/>
    <w:rsid w:val="003D706F"/>
    <w:rsid w:val="003E1DAB"/>
    <w:rsid w:val="003F1C37"/>
    <w:rsid w:val="003F21EF"/>
    <w:rsid w:val="003F3D55"/>
    <w:rsid w:val="003F57AE"/>
    <w:rsid w:val="003F696A"/>
    <w:rsid w:val="00401004"/>
    <w:rsid w:val="00406BA6"/>
    <w:rsid w:val="00410223"/>
    <w:rsid w:val="00412603"/>
    <w:rsid w:val="00412959"/>
    <w:rsid w:val="00424916"/>
    <w:rsid w:val="0042591D"/>
    <w:rsid w:val="00430F3F"/>
    <w:rsid w:val="00431394"/>
    <w:rsid w:val="00432166"/>
    <w:rsid w:val="00434851"/>
    <w:rsid w:val="00436FF3"/>
    <w:rsid w:val="0044726A"/>
    <w:rsid w:val="00447293"/>
    <w:rsid w:val="00450239"/>
    <w:rsid w:val="00452ED7"/>
    <w:rsid w:val="00457590"/>
    <w:rsid w:val="0046098B"/>
    <w:rsid w:val="00463CAF"/>
    <w:rsid w:val="004731DB"/>
    <w:rsid w:val="004867FC"/>
    <w:rsid w:val="0048796B"/>
    <w:rsid w:val="004940CA"/>
    <w:rsid w:val="004F3577"/>
    <w:rsid w:val="004F4B66"/>
    <w:rsid w:val="004F7AD8"/>
    <w:rsid w:val="00500615"/>
    <w:rsid w:val="00504BB2"/>
    <w:rsid w:val="0051039F"/>
    <w:rsid w:val="00515A65"/>
    <w:rsid w:val="0051786D"/>
    <w:rsid w:val="005277EE"/>
    <w:rsid w:val="00537705"/>
    <w:rsid w:val="00545DC6"/>
    <w:rsid w:val="005509CC"/>
    <w:rsid w:val="005559ED"/>
    <w:rsid w:val="00570F9A"/>
    <w:rsid w:val="005905AD"/>
    <w:rsid w:val="00597A39"/>
    <w:rsid w:val="005D7C46"/>
    <w:rsid w:val="005E4D94"/>
    <w:rsid w:val="006101C2"/>
    <w:rsid w:val="00610D1A"/>
    <w:rsid w:val="0061257A"/>
    <w:rsid w:val="006167EF"/>
    <w:rsid w:val="00616943"/>
    <w:rsid w:val="00624FDF"/>
    <w:rsid w:val="0063639F"/>
    <w:rsid w:val="00642686"/>
    <w:rsid w:val="00646952"/>
    <w:rsid w:val="006526A1"/>
    <w:rsid w:val="00653D53"/>
    <w:rsid w:val="006545BB"/>
    <w:rsid w:val="006778FA"/>
    <w:rsid w:val="00682577"/>
    <w:rsid w:val="00687061"/>
    <w:rsid w:val="00694E41"/>
    <w:rsid w:val="00695E62"/>
    <w:rsid w:val="00697392"/>
    <w:rsid w:val="006B568F"/>
    <w:rsid w:val="006B7DFA"/>
    <w:rsid w:val="006C34AD"/>
    <w:rsid w:val="006D085B"/>
    <w:rsid w:val="006D3E13"/>
    <w:rsid w:val="006D42FB"/>
    <w:rsid w:val="006F5CD1"/>
    <w:rsid w:val="00705D21"/>
    <w:rsid w:val="00720CA3"/>
    <w:rsid w:val="00727B2B"/>
    <w:rsid w:val="0073224E"/>
    <w:rsid w:val="00732B0E"/>
    <w:rsid w:val="0073349D"/>
    <w:rsid w:val="0077307B"/>
    <w:rsid w:val="007828C7"/>
    <w:rsid w:val="00782BBD"/>
    <w:rsid w:val="00782D14"/>
    <w:rsid w:val="007960A3"/>
    <w:rsid w:val="00797CA9"/>
    <w:rsid w:val="007B3B68"/>
    <w:rsid w:val="007B42F2"/>
    <w:rsid w:val="007C1CB7"/>
    <w:rsid w:val="007C4AE5"/>
    <w:rsid w:val="007D4C52"/>
    <w:rsid w:val="007D4E43"/>
    <w:rsid w:val="007D54BE"/>
    <w:rsid w:val="007D5707"/>
    <w:rsid w:val="007E1CB0"/>
    <w:rsid w:val="007E35C2"/>
    <w:rsid w:val="007F11F3"/>
    <w:rsid w:val="007F691C"/>
    <w:rsid w:val="00815B87"/>
    <w:rsid w:val="00815CE5"/>
    <w:rsid w:val="008277FB"/>
    <w:rsid w:val="00832472"/>
    <w:rsid w:val="00832510"/>
    <w:rsid w:val="00835C9D"/>
    <w:rsid w:val="00837C44"/>
    <w:rsid w:val="00837CAD"/>
    <w:rsid w:val="00843E9F"/>
    <w:rsid w:val="008545A4"/>
    <w:rsid w:val="008560F7"/>
    <w:rsid w:val="008573C7"/>
    <w:rsid w:val="00866906"/>
    <w:rsid w:val="00870620"/>
    <w:rsid w:val="008729C5"/>
    <w:rsid w:val="00892C5B"/>
    <w:rsid w:val="0089671D"/>
    <w:rsid w:val="00896FFF"/>
    <w:rsid w:val="008A2316"/>
    <w:rsid w:val="008A25AA"/>
    <w:rsid w:val="008B58F4"/>
    <w:rsid w:val="008C3677"/>
    <w:rsid w:val="008D2453"/>
    <w:rsid w:val="008E16CF"/>
    <w:rsid w:val="008F645F"/>
    <w:rsid w:val="0090116C"/>
    <w:rsid w:val="00904301"/>
    <w:rsid w:val="00907747"/>
    <w:rsid w:val="00943765"/>
    <w:rsid w:val="00947FBE"/>
    <w:rsid w:val="00950974"/>
    <w:rsid w:val="00950EE2"/>
    <w:rsid w:val="00954A6F"/>
    <w:rsid w:val="00956FDA"/>
    <w:rsid w:val="00963673"/>
    <w:rsid w:val="00967F9D"/>
    <w:rsid w:val="00970D81"/>
    <w:rsid w:val="00970DF0"/>
    <w:rsid w:val="00976FEB"/>
    <w:rsid w:val="00977401"/>
    <w:rsid w:val="00981913"/>
    <w:rsid w:val="00982E15"/>
    <w:rsid w:val="009A35E9"/>
    <w:rsid w:val="009A7EC4"/>
    <w:rsid w:val="009B4E1E"/>
    <w:rsid w:val="009C3690"/>
    <w:rsid w:val="009C47CF"/>
    <w:rsid w:val="009C510A"/>
    <w:rsid w:val="009D4BD8"/>
    <w:rsid w:val="009E5CA0"/>
    <w:rsid w:val="009F4ED2"/>
    <w:rsid w:val="00A0117C"/>
    <w:rsid w:val="00A03C16"/>
    <w:rsid w:val="00A03C7A"/>
    <w:rsid w:val="00A06BB5"/>
    <w:rsid w:val="00A21A1D"/>
    <w:rsid w:val="00A3089F"/>
    <w:rsid w:val="00A30F68"/>
    <w:rsid w:val="00A3379D"/>
    <w:rsid w:val="00A44083"/>
    <w:rsid w:val="00A446CE"/>
    <w:rsid w:val="00A517A4"/>
    <w:rsid w:val="00A55689"/>
    <w:rsid w:val="00A557C1"/>
    <w:rsid w:val="00A57DB6"/>
    <w:rsid w:val="00A63796"/>
    <w:rsid w:val="00A65B2F"/>
    <w:rsid w:val="00A65F60"/>
    <w:rsid w:val="00A66379"/>
    <w:rsid w:val="00AA635A"/>
    <w:rsid w:val="00AB228E"/>
    <w:rsid w:val="00AC2D8B"/>
    <w:rsid w:val="00AD30BF"/>
    <w:rsid w:val="00AD72C2"/>
    <w:rsid w:val="00AF3EAE"/>
    <w:rsid w:val="00AF4F78"/>
    <w:rsid w:val="00B04939"/>
    <w:rsid w:val="00B109DD"/>
    <w:rsid w:val="00B15984"/>
    <w:rsid w:val="00B15CE0"/>
    <w:rsid w:val="00B17B7A"/>
    <w:rsid w:val="00B311DF"/>
    <w:rsid w:val="00B349E2"/>
    <w:rsid w:val="00B40552"/>
    <w:rsid w:val="00B467DC"/>
    <w:rsid w:val="00B55417"/>
    <w:rsid w:val="00B562E7"/>
    <w:rsid w:val="00B56FDD"/>
    <w:rsid w:val="00B625CB"/>
    <w:rsid w:val="00B7777B"/>
    <w:rsid w:val="00B77800"/>
    <w:rsid w:val="00B90C3D"/>
    <w:rsid w:val="00B95482"/>
    <w:rsid w:val="00BA00FA"/>
    <w:rsid w:val="00BA0628"/>
    <w:rsid w:val="00BA2179"/>
    <w:rsid w:val="00BB0638"/>
    <w:rsid w:val="00BB08F9"/>
    <w:rsid w:val="00BC2083"/>
    <w:rsid w:val="00BC451E"/>
    <w:rsid w:val="00BD1B33"/>
    <w:rsid w:val="00BE064B"/>
    <w:rsid w:val="00BE6CA2"/>
    <w:rsid w:val="00C179F3"/>
    <w:rsid w:val="00C25A25"/>
    <w:rsid w:val="00C3587C"/>
    <w:rsid w:val="00C46B51"/>
    <w:rsid w:val="00C55A99"/>
    <w:rsid w:val="00C60C86"/>
    <w:rsid w:val="00C63B66"/>
    <w:rsid w:val="00C66F46"/>
    <w:rsid w:val="00C76DED"/>
    <w:rsid w:val="00C83AA2"/>
    <w:rsid w:val="00CA27E0"/>
    <w:rsid w:val="00CA4790"/>
    <w:rsid w:val="00CA51E8"/>
    <w:rsid w:val="00CA7F3B"/>
    <w:rsid w:val="00CB1B55"/>
    <w:rsid w:val="00CC088F"/>
    <w:rsid w:val="00CC3A97"/>
    <w:rsid w:val="00CC50AC"/>
    <w:rsid w:val="00CD33A4"/>
    <w:rsid w:val="00CE1397"/>
    <w:rsid w:val="00CE65AB"/>
    <w:rsid w:val="00D012C1"/>
    <w:rsid w:val="00D06521"/>
    <w:rsid w:val="00D103E4"/>
    <w:rsid w:val="00D132B3"/>
    <w:rsid w:val="00D17A49"/>
    <w:rsid w:val="00D21EE4"/>
    <w:rsid w:val="00D238C5"/>
    <w:rsid w:val="00D46FF8"/>
    <w:rsid w:val="00D54C61"/>
    <w:rsid w:val="00D85126"/>
    <w:rsid w:val="00D87A5C"/>
    <w:rsid w:val="00D908D7"/>
    <w:rsid w:val="00DB457F"/>
    <w:rsid w:val="00DC67D0"/>
    <w:rsid w:val="00DC73FB"/>
    <w:rsid w:val="00DD0685"/>
    <w:rsid w:val="00DD0F85"/>
    <w:rsid w:val="00DD2D06"/>
    <w:rsid w:val="00DD35AC"/>
    <w:rsid w:val="00DD6C7E"/>
    <w:rsid w:val="00DF7AC5"/>
    <w:rsid w:val="00E01199"/>
    <w:rsid w:val="00E242E7"/>
    <w:rsid w:val="00E3580B"/>
    <w:rsid w:val="00E40F00"/>
    <w:rsid w:val="00E4538B"/>
    <w:rsid w:val="00E45C00"/>
    <w:rsid w:val="00E50F02"/>
    <w:rsid w:val="00E516AC"/>
    <w:rsid w:val="00E53205"/>
    <w:rsid w:val="00E54DBB"/>
    <w:rsid w:val="00E770A0"/>
    <w:rsid w:val="00E80AF0"/>
    <w:rsid w:val="00E81A22"/>
    <w:rsid w:val="00E90394"/>
    <w:rsid w:val="00E93242"/>
    <w:rsid w:val="00E94F88"/>
    <w:rsid w:val="00EB453A"/>
    <w:rsid w:val="00EB5000"/>
    <w:rsid w:val="00EB7084"/>
    <w:rsid w:val="00ED6DC3"/>
    <w:rsid w:val="00EE1DD4"/>
    <w:rsid w:val="00EE4075"/>
    <w:rsid w:val="00EE63DF"/>
    <w:rsid w:val="00EE75DD"/>
    <w:rsid w:val="00F07768"/>
    <w:rsid w:val="00F1032D"/>
    <w:rsid w:val="00F11FF9"/>
    <w:rsid w:val="00F12918"/>
    <w:rsid w:val="00F31B1A"/>
    <w:rsid w:val="00F379C2"/>
    <w:rsid w:val="00F51205"/>
    <w:rsid w:val="00F651D5"/>
    <w:rsid w:val="00F71C35"/>
    <w:rsid w:val="00F75C76"/>
    <w:rsid w:val="00F8041A"/>
    <w:rsid w:val="00F83D4F"/>
    <w:rsid w:val="00F850D4"/>
    <w:rsid w:val="00F92335"/>
    <w:rsid w:val="00F92EE0"/>
    <w:rsid w:val="00F94BF7"/>
    <w:rsid w:val="00F94C87"/>
    <w:rsid w:val="00FA550A"/>
    <w:rsid w:val="00FA63E9"/>
    <w:rsid w:val="00FB13F8"/>
    <w:rsid w:val="00FB1690"/>
    <w:rsid w:val="00FB5492"/>
    <w:rsid w:val="00FB68D1"/>
    <w:rsid w:val="00FC1212"/>
    <w:rsid w:val="00FC4277"/>
    <w:rsid w:val="00FD045C"/>
    <w:rsid w:val="00FD1242"/>
    <w:rsid w:val="00FD1295"/>
    <w:rsid w:val="00FE1366"/>
    <w:rsid w:val="00FE60CA"/>
    <w:rsid w:val="00FF2D5D"/>
    <w:rsid w:val="00FF3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76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76DED"/>
    <w:pPr>
      <w:outlineLvl w:val="0"/>
    </w:pPr>
    <w:rPr>
      <w:rFonts w:eastAsia="Arial Unicode MS"/>
      <w:color w:val="000000"/>
      <w:sz w:val="24"/>
      <w:u w:color="000000"/>
    </w:rPr>
  </w:style>
  <w:style w:type="paragraph" w:styleId="BalloonText">
    <w:name w:val="Balloon Text"/>
    <w:basedOn w:val="Normal"/>
    <w:link w:val="BalloonTextChar"/>
    <w:locked/>
    <w:rsid w:val="00F94C87"/>
    <w:rPr>
      <w:rFonts w:ascii="Tahoma" w:hAnsi="Tahoma"/>
      <w:sz w:val="16"/>
      <w:szCs w:val="16"/>
      <w:lang/>
    </w:rPr>
  </w:style>
  <w:style w:type="character" w:customStyle="1" w:styleId="BalloonTextChar">
    <w:name w:val="Balloon Text Char"/>
    <w:link w:val="BalloonText"/>
    <w:rsid w:val="00F94C87"/>
    <w:rPr>
      <w:rFonts w:ascii="Tahoma" w:hAnsi="Tahoma" w:cs="Tahoma"/>
      <w:sz w:val="16"/>
      <w:szCs w:val="16"/>
    </w:rPr>
  </w:style>
  <w:style w:type="character" w:styleId="CommentReference">
    <w:name w:val="annotation reference"/>
    <w:uiPriority w:val="99"/>
    <w:locked/>
    <w:rsid w:val="00101D39"/>
    <w:rPr>
      <w:sz w:val="16"/>
      <w:szCs w:val="16"/>
    </w:rPr>
  </w:style>
  <w:style w:type="paragraph" w:styleId="CommentText">
    <w:name w:val="annotation text"/>
    <w:basedOn w:val="Normal"/>
    <w:link w:val="CommentTextChar"/>
    <w:uiPriority w:val="99"/>
    <w:locked/>
    <w:rsid w:val="00101D39"/>
    <w:rPr>
      <w:sz w:val="20"/>
      <w:szCs w:val="20"/>
    </w:rPr>
  </w:style>
  <w:style w:type="character" w:customStyle="1" w:styleId="CommentTextChar">
    <w:name w:val="Comment Text Char"/>
    <w:basedOn w:val="DefaultParagraphFont"/>
    <w:link w:val="CommentText"/>
    <w:uiPriority w:val="99"/>
    <w:rsid w:val="00101D39"/>
  </w:style>
  <w:style w:type="paragraph" w:styleId="CommentSubject">
    <w:name w:val="annotation subject"/>
    <w:basedOn w:val="CommentText"/>
    <w:next w:val="CommentText"/>
    <w:link w:val="CommentSubjectChar"/>
    <w:locked/>
    <w:rsid w:val="00101D39"/>
    <w:rPr>
      <w:b/>
      <w:bCs/>
      <w:lang/>
    </w:rPr>
  </w:style>
  <w:style w:type="character" w:customStyle="1" w:styleId="CommentSubjectChar">
    <w:name w:val="Comment Subject Char"/>
    <w:link w:val="CommentSubject"/>
    <w:rsid w:val="00101D39"/>
    <w:rPr>
      <w:b/>
      <w:bCs/>
    </w:rPr>
  </w:style>
  <w:style w:type="paragraph" w:customStyle="1" w:styleId="Level1">
    <w:name w:val="Level 1"/>
    <w:uiPriority w:val="99"/>
    <w:rsid w:val="00B349E2"/>
    <w:pPr>
      <w:autoSpaceDE w:val="0"/>
      <w:autoSpaceDN w:val="0"/>
      <w:adjustRightInd w:val="0"/>
      <w:ind w:left="720"/>
    </w:pPr>
    <w:rPr>
      <w:rFonts w:eastAsia="Calibri"/>
      <w:sz w:val="24"/>
      <w:szCs w:val="24"/>
    </w:rPr>
  </w:style>
  <w:style w:type="paragraph" w:customStyle="1" w:styleId="Level3">
    <w:name w:val="Level 3"/>
    <w:uiPriority w:val="99"/>
    <w:rsid w:val="00B349E2"/>
    <w:pPr>
      <w:autoSpaceDE w:val="0"/>
      <w:autoSpaceDN w:val="0"/>
      <w:adjustRightInd w:val="0"/>
      <w:ind w:left="2160"/>
    </w:pPr>
    <w:rPr>
      <w:rFonts w:eastAsia="Calibri"/>
      <w:sz w:val="24"/>
      <w:szCs w:val="24"/>
    </w:rPr>
  </w:style>
  <w:style w:type="paragraph" w:styleId="FootnoteText">
    <w:name w:val="footnote text"/>
    <w:basedOn w:val="Normal"/>
    <w:link w:val="FootnoteTextChar"/>
    <w:uiPriority w:val="99"/>
    <w:unhideWhenUsed/>
    <w:locked/>
    <w:rsid w:val="00B349E2"/>
    <w:pPr>
      <w:autoSpaceDE w:val="0"/>
      <w:autoSpaceDN w:val="0"/>
      <w:adjustRightInd w:val="0"/>
    </w:pPr>
    <w:rPr>
      <w:rFonts w:eastAsia="Calibri"/>
      <w:sz w:val="20"/>
      <w:szCs w:val="20"/>
      <w:lang/>
    </w:rPr>
  </w:style>
  <w:style w:type="character" w:customStyle="1" w:styleId="FootnoteTextChar">
    <w:name w:val="Footnote Text Char"/>
    <w:link w:val="FootnoteText"/>
    <w:uiPriority w:val="99"/>
    <w:rsid w:val="00B349E2"/>
    <w:rPr>
      <w:rFonts w:eastAsia="Calibri"/>
    </w:rPr>
  </w:style>
  <w:style w:type="character" w:styleId="FootnoteReference">
    <w:name w:val="footnote reference"/>
    <w:uiPriority w:val="99"/>
    <w:unhideWhenUsed/>
    <w:locked/>
    <w:rsid w:val="00B349E2"/>
    <w:rPr>
      <w:vertAlign w:val="superscript"/>
    </w:rPr>
  </w:style>
  <w:style w:type="paragraph" w:styleId="ListParagraph">
    <w:name w:val="List Paragraph"/>
    <w:basedOn w:val="Normal"/>
    <w:uiPriority w:val="34"/>
    <w:qFormat/>
    <w:rsid w:val="006C34AD"/>
    <w:pPr>
      <w:autoSpaceDE w:val="0"/>
      <w:autoSpaceDN w:val="0"/>
      <w:ind w:left="720"/>
    </w:pPr>
    <w:rPr>
      <w:rFonts w:eastAsia="Calibri"/>
      <w:sz w:val="20"/>
      <w:szCs w:val="20"/>
    </w:rPr>
  </w:style>
  <w:style w:type="character" w:styleId="Hyperlink">
    <w:name w:val="Hyperlink"/>
    <w:uiPriority w:val="99"/>
    <w:unhideWhenUsed/>
    <w:locked/>
    <w:rsid w:val="00B40552"/>
    <w:rPr>
      <w:color w:val="0000FF"/>
      <w:u w:val="single"/>
    </w:rPr>
  </w:style>
  <w:style w:type="paragraph" w:customStyle="1" w:styleId="Default">
    <w:name w:val="Default"/>
    <w:rsid w:val="00B40552"/>
    <w:pPr>
      <w:autoSpaceDE w:val="0"/>
      <w:autoSpaceDN w:val="0"/>
      <w:adjustRightInd w:val="0"/>
    </w:pPr>
    <w:rPr>
      <w:color w:val="000000"/>
      <w:sz w:val="24"/>
      <w:szCs w:val="24"/>
    </w:rPr>
  </w:style>
  <w:style w:type="paragraph" w:styleId="NormalWeb">
    <w:name w:val="Normal (Web)"/>
    <w:basedOn w:val="Normal"/>
    <w:uiPriority w:val="99"/>
    <w:unhideWhenUsed/>
    <w:locked/>
    <w:rsid w:val="001145D5"/>
    <w:pPr>
      <w:spacing w:before="100" w:beforeAutospacing="1" w:after="100" w:afterAutospacing="1"/>
    </w:pPr>
    <w:rPr>
      <w:rFonts w:eastAsia="Calibri"/>
    </w:rPr>
  </w:style>
  <w:style w:type="paragraph" w:styleId="Header">
    <w:name w:val="header"/>
    <w:basedOn w:val="Normal"/>
    <w:link w:val="HeaderChar"/>
    <w:locked/>
    <w:rsid w:val="00DF7AC5"/>
    <w:pPr>
      <w:tabs>
        <w:tab w:val="center" w:pos="4680"/>
        <w:tab w:val="right" w:pos="9360"/>
      </w:tabs>
    </w:pPr>
  </w:style>
  <w:style w:type="character" w:customStyle="1" w:styleId="HeaderChar">
    <w:name w:val="Header Char"/>
    <w:basedOn w:val="DefaultParagraphFont"/>
    <w:link w:val="Header"/>
    <w:rsid w:val="00DF7AC5"/>
    <w:rPr>
      <w:sz w:val="24"/>
      <w:szCs w:val="24"/>
    </w:rPr>
  </w:style>
  <w:style w:type="paragraph" w:styleId="Footer">
    <w:name w:val="footer"/>
    <w:basedOn w:val="Normal"/>
    <w:link w:val="FooterChar"/>
    <w:locked/>
    <w:rsid w:val="00DF7AC5"/>
    <w:pPr>
      <w:tabs>
        <w:tab w:val="center" w:pos="4680"/>
        <w:tab w:val="right" w:pos="9360"/>
      </w:tabs>
    </w:pPr>
  </w:style>
  <w:style w:type="character" w:customStyle="1" w:styleId="FooterChar">
    <w:name w:val="Footer Char"/>
    <w:basedOn w:val="DefaultParagraphFont"/>
    <w:link w:val="Footer"/>
    <w:rsid w:val="00DF7AC5"/>
    <w:rPr>
      <w:sz w:val="24"/>
      <w:szCs w:val="24"/>
    </w:rPr>
  </w:style>
</w:styles>
</file>

<file path=word/webSettings.xml><?xml version="1.0" encoding="utf-8"?>
<w:webSettings xmlns:r="http://schemas.openxmlformats.org/officeDocument/2006/relationships" xmlns:w="http://schemas.openxmlformats.org/wordprocessingml/2006/main">
  <w:divs>
    <w:div w:id="501355879">
      <w:bodyDiv w:val="1"/>
      <w:marLeft w:val="0"/>
      <w:marRight w:val="0"/>
      <w:marTop w:val="0"/>
      <w:marBottom w:val="0"/>
      <w:divBdr>
        <w:top w:val="none" w:sz="0" w:space="0" w:color="auto"/>
        <w:left w:val="none" w:sz="0" w:space="0" w:color="auto"/>
        <w:bottom w:val="none" w:sz="0" w:space="0" w:color="auto"/>
        <w:right w:val="none" w:sz="0" w:space="0" w:color="auto"/>
      </w:divBdr>
    </w:div>
    <w:div w:id="675225975">
      <w:bodyDiv w:val="1"/>
      <w:marLeft w:val="0"/>
      <w:marRight w:val="0"/>
      <w:marTop w:val="0"/>
      <w:marBottom w:val="0"/>
      <w:divBdr>
        <w:top w:val="none" w:sz="0" w:space="0" w:color="auto"/>
        <w:left w:val="none" w:sz="0" w:space="0" w:color="auto"/>
        <w:bottom w:val="none" w:sz="0" w:space="0" w:color="auto"/>
        <w:right w:val="none" w:sz="0" w:space="0" w:color="auto"/>
      </w:divBdr>
    </w:div>
    <w:div w:id="899707185">
      <w:bodyDiv w:val="1"/>
      <w:marLeft w:val="0"/>
      <w:marRight w:val="0"/>
      <w:marTop w:val="0"/>
      <w:marBottom w:val="0"/>
      <w:divBdr>
        <w:top w:val="none" w:sz="0" w:space="0" w:color="auto"/>
        <w:left w:val="none" w:sz="0" w:space="0" w:color="auto"/>
        <w:bottom w:val="none" w:sz="0" w:space="0" w:color="auto"/>
        <w:right w:val="none" w:sz="0" w:space="0" w:color="auto"/>
      </w:divBdr>
    </w:div>
    <w:div w:id="1093739948">
      <w:bodyDiv w:val="1"/>
      <w:marLeft w:val="0"/>
      <w:marRight w:val="0"/>
      <w:marTop w:val="0"/>
      <w:marBottom w:val="0"/>
      <w:divBdr>
        <w:top w:val="none" w:sz="0" w:space="0" w:color="auto"/>
        <w:left w:val="none" w:sz="0" w:space="0" w:color="auto"/>
        <w:bottom w:val="none" w:sz="0" w:space="0" w:color="auto"/>
        <w:right w:val="none" w:sz="0" w:space="0" w:color="auto"/>
      </w:divBdr>
    </w:div>
    <w:div w:id="1442532362">
      <w:bodyDiv w:val="1"/>
      <w:marLeft w:val="0"/>
      <w:marRight w:val="0"/>
      <w:marTop w:val="0"/>
      <w:marBottom w:val="0"/>
      <w:divBdr>
        <w:top w:val="none" w:sz="0" w:space="0" w:color="auto"/>
        <w:left w:val="none" w:sz="0" w:space="0" w:color="auto"/>
        <w:bottom w:val="none" w:sz="0" w:space="0" w:color="auto"/>
        <w:right w:val="none" w:sz="0" w:space="0" w:color="auto"/>
      </w:divBdr>
      <w:divsChild>
        <w:div w:id="872156497">
          <w:marLeft w:val="0"/>
          <w:marRight w:val="0"/>
          <w:marTop w:val="0"/>
          <w:marBottom w:val="0"/>
          <w:divBdr>
            <w:top w:val="none" w:sz="0" w:space="0" w:color="auto"/>
            <w:left w:val="none" w:sz="0" w:space="0" w:color="auto"/>
            <w:bottom w:val="none" w:sz="0" w:space="0" w:color="auto"/>
            <w:right w:val="none" w:sz="0" w:space="0" w:color="auto"/>
          </w:divBdr>
          <w:divsChild>
            <w:div w:id="879709668">
              <w:marLeft w:val="0"/>
              <w:marRight w:val="0"/>
              <w:marTop w:val="0"/>
              <w:marBottom w:val="0"/>
              <w:divBdr>
                <w:top w:val="none" w:sz="0" w:space="0" w:color="auto"/>
                <w:left w:val="none" w:sz="0" w:space="0" w:color="auto"/>
                <w:bottom w:val="none" w:sz="0" w:space="0" w:color="auto"/>
                <w:right w:val="none" w:sz="0" w:space="0" w:color="auto"/>
              </w:divBdr>
              <w:divsChild>
                <w:div w:id="2049258588">
                  <w:marLeft w:val="0"/>
                  <w:marRight w:val="0"/>
                  <w:marTop w:val="0"/>
                  <w:marBottom w:val="0"/>
                  <w:divBdr>
                    <w:top w:val="none" w:sz="0" w:space="0" w:color="auto"/>
                    <w:left w:val="none" w:sz="0" w:space="0" w:color="auto"/>
                    <w:bottom w:val="none" w:sz="0" w:space="0" w:color="auto"/>
                    <w:right w:val="none" w:sz="0" w:space="0" w:color="auto"/>
                  </w:divBdr>
                  <w:divsChild>
                    <w:div w:id="537860788">
                      <w:marLeft w:val="0"/>
                      <w:marRight w:val="0"/>
                      <w:marTop w:val="0"/>
                      <w:marBottom w:val="0"/>
                      <w:divBdr>
                        <w:top w:val="none" w:sz="0" w:space="0" w:color="auto"/>
                        <w:left w:val="none" w:sz="0" w:space="0" w:color="auto"/>
                        <w:bottom w:val="none" w:sz="0" w:space="0" w:color="auto"/>
                        <w:right w:val="none" w:sz="0" w:space="0" w:color="auto"/>
                      </w:divBdr>
                      <w:divsChild>
                        <w:div w:id="1060596791">
                          <w:marLeft w:val="0"/>
                          <w:marRight w:val="0"/>
                          <w:marTop w:val="0"/>
                          <w:marBottom w:val="0"/>
                          <w:divBdr>
                            <w:top w:val="none" w:sz="0" w:space="0" w:color="auto"/>
                            <w:left w:val="none" w:sz="0" w:space="0" w:color="auto"/>
                            <w:bottom w:val="none" w:sz="0" w:space="0" w:color="auto"/>
                            <w:right w:val="none" w:sz="0" w:space="0" w:color="auto"/>
                          </w:divBdr>
                          <w:divsChild>
                            <w:div w:id="341862235">
                              <w:marLeft w:val="0"/>
                              <w:marRight w:val="0"/>
                              <w:marTop w:val="0"/>
                              <w:marBottom w:val="107"/>
                              <w:divBdr>
                                <w:top w:val="none" w:sz="0" w:space="0" w:color="auto"/>
                                <w:left w:val="none" w:sz="0" w:space="0" w:color="auto"/>
                                <w:bottom w:val="none" w:sz="0" w:space="0" w:color="auto"/>
                                <w:right w:val="none" w:sz="0" w:space="0" w:color="auto"/>
                              </w:divBdr>
                            </w:div>
                            <w:div w:id="1666275084">
                              <w:marLeft w:val="0"/>
                              <w:marRight w:val="0"/>
                              <w:marTop w:val="0"/>
                              <w:marBottom w:val="0"/>
                              <w:divBdr>
                                <w:top w:val="none" w:sz="0" w:space="0" w:color="auto"/>
                                <w:left w:val="none" w:sz="0" w:space="0" w:color="auto"/>
                                <w:bottom w:val="none" w:sz="0" w:space="0" w:color="auto"/>
                                <w:right w:val="none" w:sz="0" w:space="0" w:color="auto"/>
                              </w:divBdr>
                              <w:divsChild>
                                <w:div w:id="1764492478">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816">
      <w:bodyDiv w:val="1"/>
      <w:marLeft w:val="0"/>
      <w:marRight w:val="0"/>
      <w:marTop w:val="0"/>
      <w:marBottom w:val="0"/>
      <w:divBdr>
        <w:top w:val="none" w:sz="0" w:space="0" w:color="auto"/>
        <w:left w:val="none" w:sz="0" w:space="0" w:color="auto"/>
        <w:bottom w:val="none" w:sz="0" w:space="0" w:color="auto"/>
        <w:right w:val="none" w:sz="0" w:space="0" w:color="auto"/>
      </w:divBdr>
    </w:div>
    <w:div w:id="1748529884">
      <w:bodyDiv w:val="1"/>
      <w:marLeft w:val="0"/>
      <w:marRight w:val="0"/>
      <w:marTop w:val="0"/>
      <w:marBottom w:val="0"/>
      <w:divBdr>
        <w:top w:val="none" w:sz="0" w:space="0" w:color="auto"/>
        <w:left w:val="none" w:sz="0" w:space="0" w:color="auto"/>
        <w:bottom w:val="none" w:sz="0" w:space="0" w:color="auto"/>
        <w:right w:val="none" w:sz="0" w:space="0" w:color="auto"/>
      </w:divBdr>
    </w:div>
    <w:div w:id="1897233409">
      <w:bodyDiv w:val="1"/>
      <w:marLeft w:val="0"/>
      <w:marRight w:val="0"/>
      <w:marTop w:val="0"/>
      <w:marBottom w:val="0"/>
      <w:divBdr>
        <w:top w:val="none" w:sz="0" w:space="0" w:color="auto"/>
        <w:left w:val="none" w:sz="0" w:space="0" w:color="auto"/>
        <w:bottom w:val="none" w:sz="0" w:space="0" w:color="auto"/>
        <w:right w:val="none" w:sz="0" w:space="0" w:color="auto"/>
      </w:divBdr>
    </w:div>
    <w:div w:id="1917008174">
      <w:bodyDiv w:val="1"/>
      <w:marLeft w:val="0"/>
      <w:marRight w:val="0"/>
      <w:marTop w:val="0"/>
      <w:marBottom w:val="0"/>
      <w:divBdr>
        <w:top w:val="none" w:sz="0" w:space="0" w:color="auto"/>
        <w:left w:val="none" w:sz="0" w:space="0" w:color="auto"/>
        <w:bottom w:val="none" w:sz="0" w:space="0" w:color="auto"/>
        <w:right w:val="none" w:sz="0" w:space="0" w:color="auto"/>
      </w:divBdr>
    </w:div>
    <w:div w:id="1988628278">
      <w:bodyDiv w:val="1"/>
      <w:marLeft w:val="0"/>
      <w:marRight w:val="0"/>
      <w:marTop w:val="0"/>
      <w:marBottom w:val="0"/>
      <w:divBdr>
        <w:top w:val="none" w:sz="0" w:space="0" w:color="auto"/>
        <w:left w:val="none" w:sz="0" w:space="0" w:color="auto"/>
        <w:bottom w:val="none" w:sz="0" w:space="0" w:color="auto"/>
        <w:right w:val="none" w:sz="0" w:space="0" w:color="auto"/>
      </w:divBdr>
    </w:div>
    <w:div w:id="2021227461">
      <w:bodyDiv w:val="1"/>
      <w:marLeft w:val="0"/>
      <w:marRight w:val="0"/>
      <w:marTop w:val="0"/>
      <w:marBottom w:val="0"/>
      <w:divBdr>
        <w:top w:val="none" w:sz="0" w:space="0" w:color="auto"/>
        <w:left w:val="none" w:sz="0" w:space="0" w:color="auto"/>
        <w:bottom w:val="none" w:sz="0" w:space="0" w:color="auto"/>
        <w:right w:val="none" w:sz="0" w:space="0" w:color="auto"/>
      </w:divBdr>
    </w:div>
    <w:div w:id="2068870696">
      <w:bodyDiv w:val="1"/>
      <w:marLeft w:val="0"/>
      <w:marRight w:val="0"/>
      <w:marTop w:val="0"/>
      <w:marBottom w:val="0"/>
      <w:divBdr>
        <w:top w:val="none" w:sz="0" w:space="0" w:color="auto"/>
        <w:left w:val="none" w:sz="0" w:space="0" w:color="auto"/>
        <w:bottom w:val="none" w:sz="0" w:space="0" w:color="auto"/>
        <w:right w:val="none" w:sz="0" w:space="0" w:color="auto"/>
      </w:divBdr>
      <w:divsChild>
        <w:div w:id="1523476273">
          <w:marLeft w:val="0"/>
          <w:marRight w:val="0"/>
          <w:marTop w:val="0"/>
          <w:marBottom w:val="0"/>
          <w:divBdr>
            <w:top w:val="none" w:sz="0" w:space="0" w:color="auto"/>
            <w:left w:val="none" w:sz="0" w:space="0" w:color="auto"/>
            <w:bottom w:val="none" w:sz="0" w:space="0" w:color="auto"/>
            <w:right w:val="none" w:sz="0" w:space="0" w:color="auto"/>
          </w:divBdr>
          <w:divsChild>
            <w:div w:id="576675228">
              <w:marLeft w:val="0"/>
              <w:marRight w:val="0"/>
              <w:marTop w:val="0"/>
              <w:marBottom w:val="0"/>
              <w:divBdr>
                <w:top w:val="none" w:sz="0" w:space="0" w:color="auto"/>
                <w:left w:val="none" w:sz="0" w:space="0" w:color="auto"/>
                <w:bottom w:val="none" w:sz="0" w:space="0" w:color="auto"/>
                <w:right w:val="none" w:sz="0" w:space="0" w:color="auto"/>
              </w:divBdr>
              <w:divsChild>
                <w:div w:id="357436714">
                  <w:marLeft w:val="0"/>
                  <w:marRight w:val="0"/>
                  <w:marTop w:val="0"/>
                  <w:marBottom w:val="0"/>
                  <w:divBdr>
                    <w:top w:val="none" w:sz="0" w:space="0" w:color="auto"/>
                    <w:left w:val="none" w:sz="0" w:space="0" w:color="auto"/>
                    <w:bottom w:val="none" w:sz="0" w:space="0" w:color="auto"/>
                    <w:right w:val="none" w:sz="0" w:space="0" w:color="auto"/>
                  </w:divBdr>
                  <w:divsChild>
                    <w:div w:id="1416198123">
                      <w:marLeft w:val="0"/>
                      <w:marRight w:val="0"/>
                      <w:marTop w:val="0"/>
                      <w:marBottom w:val="0"/>
                      <w:divBdr>
                        <w:top w:val="none" w:sz="0" w:space="0" w:color="auto"/>
                        <w:left w:val="none" w:sz="0" w:space="0" w:color="auto"/>
                        <w:bottom w:val="none" w:sz="0" w:space="0" w:color="auto"/>
                        <w:right w:val="none" w:sz="0" w:space="0" w:color="auto"/>
                      </w:divBdr>
                      <w:divsChild>
                        <w:div w:id="272171567">
                          <w:marLeft w:val="0"/>
                          <w:marRight w:val="0"/>
                          <w:marTop w:val="0"/>
                          <w:marBottom w:val="0"/>
                          <w:divBdr>
                            <w:top w:val="none" w:sz="0" w:space="0" w:color="auto"/>
                            <w:left w:val="none" w:sz="0" w:space="0" w:color="auto"/>
                            <w:bottom w:val="none" w:sz="0" w:space="0" w:color="auto"/>
                            <w:right w:val="none" w:sz="0" w:space="0" w:color="auto"/>
                          </w:divBdr>
                          <w:divsChild>
                            <w:div w:id="826017742">
                              <w:marLeft w:val="0"/>
                              <w:marRight w:val="0"/>
                              <w:marTop w:val="0"/>
                              <w:marBottom w:val="0"/>
                              <w:divBdr>
                                <w:top w:val="none" w:sz="0" w:space="0" w:color="auto"/>
                                <w:left w:val="none" w:sz="0" w:space="0" w:color="auto"/>
                                <w:bottom w:val="none" w:sz="0" w:space="0" w:color="auto"/>
                                <w:right w:val="none" w:sz="0" w:space="0" w:color="auto"/>
                              </w:divBdr>
                              <w:divsChild>
                                <w:div w:id="235214981">
                                  <w:marLeft w:val="0"/>
                                  <w:marRight w:val="0"/>
                                  <w:marTop w:val="133"/>
                                  <w:marBottom w:val="133"/>
                                  <w:divBdr>
                                    <w:top w:val="none" w:sz="0" w:space="0" w:color="auto"/>
                                    <w:left w:val="none" w:sz="0" w:space="0" w:color="auto"/>
                                    <w:bottom w:val="none" w:sz="0" w:space="0" w:color="auto"/>
                                    <w:right w:val="none" w:sz="0" w:space="0" w:color="auto"/>
                                  </w:divBdr>
                                </w:div>
                              </w:divsChild>
                            </w:div>
                            <w:div w:id="2033611244">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TIC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0D243-7763-46DA-AF8E-0ACDCE9C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9911</Characters>
  <Application>Microsoft Office Word</Application>
  <DocSecurity>0</DocSecurity>
  <Lines>82</Lines>
  <Paragraphs>23</Paragraphs>
  <ScaleCrop>false</ScaleCrop>
  <LinksUpToDate>false</LinksUpToDate>
  <CharactersWithSpaces>11618</CharactersWithSpaces>
  <SharedDoc>false</SharedDoc>
  <HLinks>
    <vt:vector size="6" baseType="variant">
      <vt:variant>
        <vt:i4>3080307</vt:i4>
      </vt:variant>
      <vt:variant>
        <vt:i4>0</vt:i4>
      </vt:variant>
      <vt:variant>
        <vt:i4>0</vt:i4>
      </vt:variant>
      <vt:variant>
        <vt:i4>5</vt:i4>
      </vt:variant>
      <vt:variant>
        <vt:lpwstr>http://www.justice.gov/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2014-06-10T19:04:00Z</dcterms:created>
  <dcterms:modified xsi:type="dcterms:W3CDTF">2014-06-10T19:04:00Z</dcterms:modified>
</cp:coreProperties>
</file>