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BF" w:rsidRDefault="003144BF" w:rsidP="006B2852">
      <w:pPr>
        <w:rPr>
          <w:rFonts w:cs="Mangal"/>
          <w:b/>
          <w:bCs/>
          <w:sz w:val="44"/>
          <w:szCs w:val="44"/>
        </w:rPr>
      </w:pPr>
    </w:p>
    <w:p w:rsidR="003144BF" w:rsidRDefault="003144BF" w:rsidP="006B2852">
      <w:pPr>
        <w:rPr>
          <w:rFonts w:cs="Mangal"/>
          <w:b/>
          <w:bCs/>
          <w:sz w:val="44"/>
          <w:szCs w:val="44"/>
        </w:rPr>
      </w:pPr>
    </w:p>
    <w:p w:rsidR="003144BF" w:rsidRDefault="003144BF" w:rsidP="006B2852">
      <w:pPr>
        <w:rPr>
          <w:rFonts w:cs="Mangal"/>
          <w:b/>
          <w:bCs/>
          <w:sz w:val="44"/>
          <w:szCs w:val="44"/>
        </w:rPr>
      </w:pPr>
    </w:p>
    <w:p w:rsidR="00AA2B5A" w:rsidRPr="00B04CDB" w:rsidRDefault="00AA2B5A" w:rsidP="00B937DF">
      <w:pPr>
        <w:jc w:val="center"/>
        <w:rPr>
          <w:rFonts w:cs="Mangal"/>
          <w:b/>
          <w:bCs/>
          <w:color w:val="0000FF"/>
          <w:sz w:val="28"/>
          <w:szCs w:val="28"/>
        </w:rPr>
      </w:pPr>
    </w:p>
    <w:p w:rsidR="00D519FB" w:rsidRPr="00B04CDB" w:rsidRDefault="00D519FB" w:rsidP="00D519FB">
      <w:pPr>
        <w:jc w:val="center"/>
        <w:rPr>
          <w:b/>
          <w:bCs/>
          <w:color w:val="003366"/>
          <w:sz w:val="52"/>
          <w:szCs w:val="52"/>
        </w:rPr>
      </w:pPr>
      <w:r w:rsidRPr="00B04CDB">
        <w:rPr>
          <w:b/>
          <w:bCs/>
          <w:color w:val="003366"/>
          <w:sz w:val="52"/>
          <w:szCs w:val="52"/>
        </w:rPr>
        <w:t>Tax Division</w:t>
      </w:r>
    </w:p>
    <w:p w:rsidR="00D519FB" w:rsidRPr="00B04CDB" w:rsidRDefault="00D519FB" w:rsidP="00D519FB">
      <w:pPr>
        <w:jc w:val="center"/>
        <w:rPr>
          <w:b/>
          <w:bCs/>
          <w:color w:val="003366"/>
          <w:sz w:val="52"/>
          <w:szCs w:val="52"/>
        </w:rPr>
      </w:pPr>
      <w:r w:rsidRPr="00B04CDB">
        <w:rPr>
          <w:b/>
          <w:bCs/>
          <w:color w:val="003366"/>
          <w:sz w:val="52"/>
          <w:szCs w:val="52"/>
        </w:rPr>
        <w:t>United States Department of Justice</w:t>
      </w:r>
    </w:p>
    <w:p w:rsidR="00D519FB" w:rsidRPr="00B04CDB" w:rsidRDefault="00D519FB" w:rsidP="00D519FB">
      <w:pPr>
        <w:jc w:val="center"/>
        <w:rPr>
          <w:b/>
          <w:bCs/>
          <w:color w:val="003366"/>
          <w:sz w:val="52"/>
          <w:szCs w:val="52"/>
        </w:rPr>
      </w:pPr>
    </w:p>
    <w:p w:rsidR="00D519FB" w:rsidRPr="00B04CDB" w:rsidRDefault="00D519FB" w:rsidP="00D519FB">
      <w:pPr>
        <w:jc w:val="center"/>
        <w:rPr>
          <w:b/>
          <w:bCs/>
          <w:color w:val="003366"/>
          <w:sz w:val="44"/>
          <w:szCs w:val="44"/>
        </w:rPr>
      </w:pPr>
    </w:p>
    <w:p w:rsidR="00D519FB" w:rsidRPr="00B04CDB" w:rsidRDefault="00D519FB" w:rsidP="00D519FB">
      <w:pPr>
        <w:jc w:val="center"/>
        <w:rPr>
          <w:b/>
          <w:bCs/>
          <w:color w:val="003366"/>
          <w:sz w:val="44"/>
          <w:szCs w:val="44"/>
        </w:rPr>
      </w:pPr>
    </w:p>
    <w:p w:rsidR="00A0555E" w:rsidRDefault="00A0555E" w:rsidP="00D519FB">
      <w:pPr>
        <w:jc w:val="center"/>
        <w:rPr>
          <w:b/>
          <w:bCs/>
          <w:color w:val="003366"/>
          <w:sz w:val="52"/>
          <w:szCs w:val="52"/>
        </w:rPr>
      </w:pPr>
    </w:p>
    <w:p w:rsidR="00A0555E" w:rsidRDefault="00A0555E" w:rsidP="00D519FB">
      <w:pPr>
        <w:jc w:val="center"/>
        <w:rPr>
          <w:b/>
          <w:bCs/>
          <w:color w:val="003366"/>
          <w:sz w:val="52"/>
          <w:szCs w:val="52"/>
        </w:rPr>
      </w:pPr>
    </w:p>
    <w:p w:rsidR="00D519FB" w:rsidRPr="00B04CDB" w:rsidRDefault="00D519FB" w:rsidP="00D519FB">
      <w:pPr>
        <w:jc w:val="center"/>
        <w:rPr>
          <w:b/>
          <w:bCs/>
          <w:color w:val="003366"/>
          <w:sz w:val="52"/>
          <w:szCs w:val="52"/>
        </w:rPr>
      </w:pPr>
      <w:r w:rsidRPr="00B04CDB">
        <w:rPr>
          <w:b/>
          <w:bCs/>
          <w:color w:val="003366"/>
          <w:sz w:val="52"/>
          <w:szCs w:val="52"/>
        </w:rPr>
        <w:t>FY 201</w:t>
      </w:r>
      <w:r w:rsidR="0094432A">
        <w:rPr>
          <w:b/>
          <w:bCs/>
          <w:color w:val="003366"/>
          <w:sz w:val="52"/>
          <w:szCs w:val="52"/>
        </w:rPr>
        <w:t xml:space="preserve">3 </w:t>
      </w:r>
      <w:r w:rsidR="00901F8A">
        <w:rPr>
          <w:b/>
          <w:bCs/>
          <w:color w:val="003366"/>
          <w:sz w:val="52"/>
          <w:szCs w:val="52"/>
        </w:rPr>
        <w:t>Congressional Budget</w:t>
      </w:r>
    </w:p>
    <w:p w:rsidR="00943DBD" w:rsidRDefault="00943DBD" w:rsidP="0028395B">
      <w:pPr>
        <w:jc w:val="center"/>
        <w:rPr>
          <w:b/>
          <w:bCs/>
          <w:sz w:val="52"/>
          <w:szCs w:val="52"/>
        </w:rPr>
      </w:pPr>
    </w:p>
    <w:p w:rsidR="00CE3437" w:rsidRDefault="00CE3437" w:rsidP="0028395B">
      <w:pPr>
        <w:jc w:val="center"/>
        <w:rPr>
          <w:b/>
          <w:bCs/>
          <w:color w:val="003366"/>
          <w:sz w:val="52"/>
          <w:szCs w:val="52"/>
        </w:rPr>
      </w:pPr>
    </w:p>
    <w:p w:rsidR="00B04CDB" w:rsidRPr="00B04CDB" w:rsidRDefault="00B04CDB" w:rsidP="0028395B">
      <w:pPr>
        <w:jc w:val="center"/>
        <w:rPr>
          <w:b/>
          <w:bCs/>
          <w:color w:val="003366"/>
          <w:sz w:val="52"/>
          <w:szCs w:val="52"/>
        </w:rPr>
      </w:pPr>
    </w:p>
    <w:p w:rsidR="00B04CDB" w:rsidRPr="00B04CDB" w:rsidRDefault="0020797A" w:rsidP="0028395B">
      <w:pPr>
        <w:jc w:val="center"/>
        <w:rPr>
          <w:b/>
          <w:bCs/>
          <w:color w:val="003366"/>
          <w:sz w:val="52"/>
          <w:szCs w:val="52"/>
        </w:rPr>
      </w:pPr>
      <w:r>
        <w:rPr>
          <w:b/>
          <w:bCs/>
          <w:noProof/>
          <w:color w:val="003366"/>
          <w:sz w:val="52"/>
          <w:szCs w:val="52"/>
        </w:rPr>
        <w:drawing>
          <wp:inline distT="0" distB="0" distL="0" distR="0">
            <wp:extent cx="2286000" cy="1714500"/>
            <wp:effectExtent l="0" t="0" r="0" b="0"/>
            <wp:docPr id="1" name="Picture 1" descr="tax4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x4_nobg"/>
                    <pic:cNvPicPr>
                      <a:picLocks noChangeAspect="1" noChangeArrowheads="1"/>
                    </pic:cNvPicPr>
                  </pic:nvPicPr>
                  <pic:blipFill>
                    <a:blip r:embed="rId8"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CE3437" w:rsidRDefault="00CE3437" w:rsidP="0028395B">
      <w:pPr>
        <w:jc w:val="center"/>
        <w:rPr>
          <w:b/>
          <w:bCs/>
          <w:color w:val="003366"/>
          <w:sz w:val="52"/>
          <w:szCs w:val="52"/>
        </w:rPr>
      </w:pPr>
    </w:p>
    <w:p w:rsidR="00CE3437" w:rsidRDefault="00CE3437" w:rsidP="0028395B">
      <w:pPr>
        <w:jc w:val="center"/>
        <w:rPr>
          <w:b/>
          <w:bCs/>
          <w:color w:val="003366"/>
          <w:sz w:val="52"/>
          <w:szCs w:val="52"/>
        </w:rPr>
      </w:pPr>
    </w:p>
    <w:p w:rsidR="00AA2B5A" w:rsidRPr="00B04CDB" w:rsidRDefault="00AA2B5A" w:rsidP="0028395B">
      <w:pPr>
        <w:jc w:val="center"/>
        <w:rPr>
          <w:rFonts w:cs="Mangal"/>
          <w:b/>
          <w:bCs/>
          <w:color w:val="009999"/>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FB089B" w:rsidRDefault="00FB089B"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AA2B5A" w:rsidRDefault="00AA2B5A" w:rsidP="006B2852">
      <w:pPr>
        <w:rPr>
          <w:rFonts w:cs="Mangal"/>
          <w:b/>
          <w:bCs/>
          <w:sz w:val="28"/>
          <w:szCs w:val="28"/>
        </w:rPr>
      </w:pPr>
    </w:p>
    <w:p w:rsidR="00697A23" w:rsidRDefault="00697A23" w:rsidP="006B2852">
      <w:pPr>
        <w:rPr>
          <w:rFonts w:cs="Mangal"/>
          <w:b/>
          <w:bCs/>
          <w:sz w:val="28"/>
          <w:szCs w:val="28"/>
          <w:u w:val="single"/>
        </w:rPr>
      </w:pPr>
    </w:p>
    <w:p w:rsidR="00697A23" w:rsidRDefault="00697A23" w:rsidP="006B2852">
      <w:pPr>
        <w:rPr>
          <w:rFonts w:cs="Mangal"/>
          <w:b/>
          <w:bCs/>
          <w:sz w:val="28"/>
          <w:szCs w:val="28"/>
          <w:u w:val="single"/>
        </w:rPr>
      </w:pPr>
    </w:p>
    <w:p w:rsidR="00FE4A06" w:rsidRDefault="00FE4A06" w:rsidP="006B2852">
      <w:pPr>
        <w:rPr>
          <w:rFonts w:cs="Mangal"/>
          <w:b/>
          <w:bCs/>
          <w:sz w:val="28"/>
          <w:szCs w:val="28"/>
        </w:rPr>
      </w:pPr>
    </w:p>
    <w:p w:rsidR="00FE4A06" w:rsidRDefault="00FE4A06" w:rsidP="006B2852">
      <w:pPr>
        <w:rPr>
          <w:rFonts w:cs="Mangal"/>
          <w:b/>
          <w:bCs/>
          <w:sz w:val="28"/>
          <w:szCs w:val="28"/>
        </w:rPr>
        <w:sectPr w:rsidR="00FE4A06" w:rsidSect="0033085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64" w:right="1800" w:bottom="1440" w:left="1800" w:header="720" w:footer="720" w:gutter="0"/>
          <w:pgNumType w:fmt="numberInDash" w:start="1"/>
          <w:cols w:space="720"/>
          <w:docGrid w:linePitch="360"/>
        </w:sectPr>
      </w:pPr>
    </w:p>
    <w:p w:rsidR="00420A8A" w:rsidRDefault="00420A8A" w:rsidP="003D6001">
      <w:pPr>
        <w:jc w:val="center"/>
      </w:pPr>
    </w:p>
    <w:p w:rsidR="00BA76A0" w:rsidRDefault="00BC4839" w:rsidP="00BA76A0">
      <w:pPr>
        <w:jc w:val="center"/>
        <w:rPr>
          <w:b/>
          <w:sz w:val="28"/>
          <w:szCs w:val="28"/>
        </w:rPr>
      </w:pPr>
      <w:r>
        <w:rPr>
          <w:b/>
          <w:sz w:val="28"/>
          <w:szCs w:val="28"/>
        </w:rPr>
        <w:br w:type="page"/>
      </w:r>
      <w:r w:rsidR="00D56FE3">
        <w:rPr>
          <w:b/>
          <w:sz w:val="28"/>
          <w:szCs w:val="28"/>
        </w:rPr>
        <w:lastRenderedPageBreak/>
        <w:t xml:space="preserve"> </w:t>
      </w:r>
      <w:r w:rsidR="00BA76A0" w:rsidRPr="00171B30">
        <w:rPr>
          <w:b/>
          <w:sz w:val="28"/>
          <w:szCs w:val="28"/>
        </w:rPr>
        <w:t>Table of Contents</w:t>
      </w:r>
    </w:p>
    <w:p w:rsidR="006D5F74" w:rsidRPr="00171B30" w:rsidRDefault="006D5F74" w:rsidP="00BA76A0">
      <w:pPr>
        <w:jc w:val="center"/>
        <w:rPr>
          <w:b/>
          <w:sz w:val="28"/>
          <w:szCs w:val="28"/>
        </w:rPr>
      </w:pPr>
    </w:p>
    <w:p w:rsidR="00BA76A0" w:rsidRDefault="00BA76A0" w:rsidP="00BA76A0">
      <w:pPr>
        <w:tabs>
          <w:tab w:val="left" w:leader="dot" w:pos="7920"/>
          <w:tab w:val="right" w:pos="8640"/>
        </w:tabs>
        <w:rPr>
          <w:b/>
        </w:rPr>
      </w:pPr>
    </w:p>
    <w:p w:rsidR="00BA76A0" w:rsidRDefault="00BA76A0" w:rsidP="00BA76A0">
      <w:pPr>
        <w:pStyle w:val="xl19"/>
        <w:tabs>
          <w:tab w:val="right" w:pos="8730"/>
        </w:tabs>
        <w:spacing w:before="0" w:after="0"/>
        <w:outlineLvl w:val="0"/>
        <w:rPr>
          <w:rFonts w:eastAsia="Times New Roman"/>
          <w:bCs/>
        </w:rPr>
      </w:pPr>
      <w:r>
        <w:rPr>
          <w:rFonts w:eastAsia="Times New Roman"/>
          <w:bCs/>
        </w:rPr>
        <w:tab/>
        <w:t>Page No.</w:t>
      </w:r>
    </w:p>
    <w:p w:rsidR="00BA76A0" w:rsidRDefault="00BA76A0" w:rsidP="00BA76A0">
      <w:pPr>
        <w:pStyle w:val="xl19"/>
        <w:tabs>
          <w:tab w:val="right" w:pos="8730"/>
        </w:tabs>
        <w:spacing w:before="0" w:after="0"/>
        <w:outlineLvl w:val="0"/>
        <w:rPr>
          <w:rFonts w:eastAsia="Times New Roman"/>
          <w:bCs/>
        </w:rPr>
      </w:pPr>
    </w:p>
    <w:p w:rsidR="00BA76A0" w:rsidRDefault="00BA76A0" w:rsidP="00BA76A0">
      <w:pPr>
        <w:tabs>
          <w:tab w:val="left" w:leader="dot" w:pos="7920"/>
          <w:tab w:val="right" w:pos="8640"/>
        </w:tabs>
        <w:rPr>
          <w:bCs/>
        </w:rPr>
      </w:pPr>
    </w:p>
    <w:p w:rsidR="00BA76A0" w:rsidRDefault="00BA76A0" w:rsidP="00BA76A0">
      <w:pPr>
        <w:pStyle w:val="xl19"/>
        <w:tabs>
          <w:tab w:val="left" w:leader="dot" w:pos="7920"/>
          <w:tab w:val="right" w:pos="8640"/>
        </w:tabs>
        <w:spacing w:before="0" w:after="0" w:line="480" w:lineRule="auto"/>
        <w:rPr>
          <w:b/>
          <w:bCs/>
        </w:rPr>
      </w:pPr>
      <w:r>
        <w:rPr>
          <w:b/>
          <w:bCs/>
        </w:rPr>
        <w:t>I.         Overview</w:t>
      </w:r>
      <w:r>
        <w:tab/>
      </w:r>
      <w:r>
        <w:tab/>
        <w:t>1</w:t>
      </w:r>
    </w:p>
    <w:p w:rsidR="00BA76A0" w:rsidRDefault="00BA76A0" w:rsidP="00BA76A0">
      <w:pPr>
        <w:tabs>
          <w:tab w:val="left" w:leader="dot" w:pos="7920"/>
          <w:tab w:val="right" w:pos="8640"/>
        </w:tabs>
      </w:pPr>
      <w:r w:rsidRPr="002B44B5">
        <w:rPr>
          <w:b/>
        </w:rPr>
        <w:t xml:space="preserve">II.  </w:t>
      </w:r>
      <w:r>
        <w:rPr>
          <w:b/>
        </w:rPr>
        <w:t xml:space="preserve">      </w:t>
      </w:r>
      <w:r w:rsidRPr="002B44B5">
        <w:rPr>
          <w:b/>
        </w:rPr>
        <w:t>Summary of Program Changes</w:t>
      </w:r>
      <w:r>
        <w:tab/>
      </w:r>
      <w:r>
        <w:tab/>
      </w:r>
      <w:r w:rsidR="008666E8">
        <w:t>5</w:t>
      </w:r>
    </w:p>
    <w:p w:rsidR="00524262" w:rsidRDefault="00524262" w:rsidP="00BA76A0">
      <w:pPr>
        <w:tabs>
          <w:tab w:val="left" w:leader="dot" w:pos="7920"/>
          <w:tab w:val="right" w:pos="8640"/>
        </w:tabs>
      </w:pPr>
    </w:p>
    <w:p w:rsidR="00BA76A0" w:rsidRDefault="00524262" w:rsidP="00390963">
      <w:pPr>
        <w:tabs>
          <w:tab w:val="left" w:leader="dot" w:pos="7920"/>
          <w:tab w:val="right" w:pos="8640"/>
        </w:tabs>
      </w:pPr>
      <w:r>
        <w:rPr>
          <w:b/>
        </w:rPr>
        <w:t xml:space="preserve">III.       </w:t>
      </w:r>
      <w:r w:rsidR="00BA76A0" w:rsidRPr="002B44B5">
        <w:rPr>
          <w:rFonts w:cs="Arial"/>
          <w:b/>
        </w:rPr>
        <w:t>Appropriations Language and Analysis of Appropriations Language</w:t>
      </w:r>
      <w:r w:rsidR="00BA76A0">
        <w:rPr>
          <w:rFonts w:cs="Arial"/>
        </w:rPr>
        <w:tab/>
      </w:r>
      <w:r w:rsidR="00BA76A0">
        <w:tab/>
      </w:r>
      <w:r w:rsidR="008666E8">
        <w:t>6</w:t>
      </w:r>
    </w:p>
    <w:p w:rsidR="00390963" w:rsidRDefault="00390963" w:rsidP="00390963">
      <w:pPr>
        <w:tabs>
          <w:tab w:val="left" w:leader="dot" w:pos="7920"/>
          <w:tab w:val="right" w:pos="8640"/>
        </w:tabs>
      </w:pPr>
    </w:p>
    <w:p w:rsidR="00BA76A0" w:rsidRDefault="00390963" w:rsidP="00BA76A0">
      <w:pPr>
        <w:pStyle w:val="xl19"/>
        <w:tabs>
          <w:tab w:val="left" w:leader="dot" w:pos="7920"/>
          <w:tab w:val="right" w:pos="8640"/>
        </w:tabs>
        <w:spacing w:before="0" w:after="0"/>
        <w:rPr>
          <w:b/>
          <w:bCs/>
        </w:rPr>
      </w:pPr>
      <w:r>
        <w:rPr>
          <w:rFonts w:eastAsia="Times New Roman" w:cs="Arial"/>
          <w:b/>
          <w:szCs w:val="24"/>
        </w:rPr>
        <w:t>I</w:t>
      </w:r>
      <w:r w:rsidR="00BA76A0">
        <w:rPr>
          <w:rFonts w:eastAsia="Times New Roman" w:cs="Arial"/>
          <w:b/>
          <w:szCs w:val="24"/>
        </w:rPr>
        <w:t>V</w:t>
      </w:r>
      <w:r w:rsidR="00BA76A0" w:rsidRPr="00DA1724">
        <w:rPr>
          <w:rFonts w:eastAsia="Times New Roman" w:cs="Arial"/>
          <w:b/>
          <w:szCs w:val="24"/>
        </w:rPr>
        <w:t>.</w:t>
      </w:r>
      <w:r w:rsidR="00BA76A0">
        <w:rPr>
          <w:rFonts w:eastAsia="Times New Roman" w:cs="Arial"/>
          <w:szCs w:val="24"/>
        </w:rPr>
        <w:t xml:space="preserve">      </w:t>
      </w:r>
      <w:r w:rsidR="008666E8">
        <w:rPr>
          <w:rFonts w:eastAsia="Times New Roman" w:cs="Arial"/>
          <w:szCs w:val="24"/>
        </w:rPr>
        <w:t xml:space="preserve"> </w:t>
      </w:r>
      <w:r w:rsidR="00BA76A0" w:rsidRPr="002B44B5">
        <w:rPr>
          <w:rFonts w:eastAsia="Times New Roman" w:cs="Arial"/>
          <w:b/>
          <w:szCs w:val="24"/>
        </w:rPr>
        <w:t>Decision Unit Justification</w:t>
      </w:r>
      <w:r w:rsidR="00BA76A0">
        <w:tab/>
      </w:r>
      <w:r w:rsidR="00BA76A0">
        <w:tab/>
      </w:r>
      <w:r w:rsidR="008666E8">
        <w:t>7</w:t>
      </w:r>
    </w:p>
    <w:p w:rsidR="00BA76A0" w:rsidRDefault="00BA76A0" w:rsidP="00BA76A0">
      <w:pPr>
        <w:tabs>
          <w:tab w:val="left" w:leader="dot" w:pos="7920"/>
          <w:tab w:val="right" w:pos="8640"/>
        </w:tabs>
        <w:rPr>
          <w:bCs/>
        </w:rPr>
      </w:pPr>
      <w:r>
        <w:rPr>
          <w:bCs/>
        </w:rPr>
        <w:t xml:space="preserve">     </w:t>
      </w:r>
    </w:p>
    <w:p w:rsidR="00BA76A0" w:rsidRDefault="00BA76A0" w:rsidP="00BA76A0">
      <w:pPr>
        <w:tabs>
          <w:tab w:val="left" w:leader="dot" w:pos="7920"/>
          <w:tab w:val="right" w:pos="8640"/>
        </w:tabs>
        <w:rPr>
          <w:bCs/>
        </w:rPr>
      </w:pPr>
      <w:r>
        <w:rPr>
          <w:bCs/>
        </w:rPr>
        <w:t xml:space="preserve">           </w:t>
      </w:r>
      <w:r w:rsidR="008666E8">
        <w:rPr>
          <w:bCs/>
        </w:rPr>
        <w:t xml:space="preserve"> </w:t>
      </w:r>
      <w:r>
        <w:rPr>
          <w:bCs/>
        </w:rPr>
        <w:t>A.  General Tax Matters</w:t>
      </w:r>
      <w:r>
        <w:rPr>
          <w:bCs/>
        </w:rPr>
        <w:tab/>
      </w:r>
      <w:r>
        <w:rPr>
          <w:bCs/>
        </w:rPr>
        <w:tab/>
      </w:r>
      <w:r>
        <w:rPr>
          <w:bCs/>
        </w:rPr>
        <w:tab/>
      </w:r>
    </w:p>
    <w:p w:rsidR="00BA76A0" w:rsidRDefault="00BA76A0" w:rsidP="00BA76A0">
      <w:pPr>
        <w:tabs>
          <w:tab w:val="left" w:leader="dot" w:pos="7920"/>
          <w:tab w:val="right" w:pos="8640"/>
        </w:tabs>
        <w:rPr>
          <w:bCs/>
        </w:rPr>
      </w:pPr>
      <w:r>
        <w:rPr>
          <w:bCs/>
        </w:rPr>
        <w:t xml:space="preserve">                 1.  Program Description </w:t>
      </w:r>
      <w:r>
        <w:rPr>
          <w:bCs/>
        </w:rPr>
        <w:tab/>
      </w:r>
      <w:r>
        <w:rPr>
          <w:bCs/>
        </w:rPr>
        <w:tab/>
      </w:r>
      <w:r w:rsidR="00EE143C">
        <w:rPr>
          <w:bCs/>
        </w:rPr>
        <w:t xml:space="preserve"> </w:t>
      </w:r>
      <w:r w:rsidR="008666E8">
        <w:rPr>
          <w:bCs/>
        </w:rPr>
        <w:t>8</w:t>
      </w:r>
    </w:p>
    <w:p w:rsidR="00BA76A0" w:rsidRDefault="00BA76A0" w:rsidP="00BA76A0">
      <w:pPr>
        <w:tabs>
          <w:tab w:val="left" w:leader="dot" w:pos="7920"/>
          <w:tab w:val="right" w:pos="8640"/>
        </w:tabs>
        <w:rPr>
          <w:bCs/>
        </w:rPr>
      </w:pPr>
      <w:r>
        <w:rPr>
          <w:bCs/>
        </w:rPr>
        <w:t xml:space="preserve">                 2.  Performance Tables </w:t>
      </w:r>
      <w:r>
        <w:rPr>
          <w:bCs/>
        </w:rPr>
        <w:tab/>
      </w:r>
      <w:r>
        <w:rPr>
          <w:bCs/>
        </w:rPr>
        <w:tab/>
      </w:r>
      <w:r w:rsidR="00444B77">
        <w:rPr>
          <w:bCs/>
        </w:rPr>
        <w:t>2</w:t>
      </w:r>
      <w:r w:rsidR="008666E8">
        <w:rPr>
          <w:bCs/>
        </w:rPr>
        <w:t>3</w:t>
      </w:r>
    </w:p>
    <w:p w:rsidR="00BA76A0" w:rsidRDefault="00BA76A0" w:rsidP="00BA76A0">
      <w:pPr>
        <w:tabs>
          <w:tab w:val="left" w:leader="dot" w:pos="7920"/>
          <w:tab w:val="right" w:pos="8640"/>
        </w:tabs>
        <w:rPr>
          <w:bCs/>
        </w:rPr>
      </w:pPr>
      <w:r>
        <w:rPr>
          <w:bCs/>
        </w:rPr>
        <w:t xml:space="preserve">                 3.  Performance, Resources, and Strategies </w:t>
      </w:r>
      <w:r>
        <w:rPr>
          <w:bCs/>
        </w:rPr>
        <w:tab/>
        <w:t xml:space="preserve">        2</w:t>
      </w:r>
      <w:r w:rsidR="008666E8">
        <w:rPr>
          <w:bCs/>
        </w:rPr>
        <w:t>5</w:t>
      </w:r>
    </w:p>
    <w:p w:rsidR="00BA76A0" w:rsidRDefault="00BA76A0" w:rsidP="00BA76A0">
      <w:pPr>
        <w:tabs>
          <w:tab w:val="left" w:leader="dot" w:pos="7920"/>
          <w:tab w:val="right" w:pos="8640"/>
        </w:tabs>
        <w:rPr>
          <w:bCs/>
        </w:rPr>
      </w:pPr>
      <w:r>
        <w:rPr>
          <w:bCs/>
        </w:rPr>
        <w:t xml:space="preserve">                      a. Strategies to Achieve Goal</w:t>
      </w:r>
      <w:r>
        <w:rPr>
          <w:bCs/>
        </w:rPr>
        <w:tab/>
        <w:t xml:space="preserve">        2</w:t>
      </w:r>
      <w:r w:rsidR="008666E8">
        <w:rPr>
          <w:bCs/>
        </w:rPr>
        <w:t>8</w:t>
      </w:r>
    </w:p>
    <w:p w:rsidR="008666E8" w:rsidRDefault="008666E8" w:rsidP="00BA76A0">
      <w:pPr>
        <w:tabs>
          <w:tab w:val="left" w:leader="dot" w:pos="7920"/>
          <w:tab w:val="right" w:pos="8640"/>
        </w:tabs>
        <w:rPr>
          <w:bCs/>
        </w:rPr>
      </w:pPr>
    </w:p>
    <w:p w:rsidR="008666E8" w:rsidRDefault="008666E8" w:rsidP="00BA76A0">
      <w:pPr>
        <w:tabs>
          <w:tab w:val="left" w:leader="dot" w:pos="7920"/>
          <w:tab w:val="right" w:pos="8640"/>
        </w:tabs>
        <w:rPr>
          <w:bCs/>
        </w:rPr>
      </w:pPr>
      <w:r>
        <w:rPr>
          <w:b/>
          <w:bCs/>
        </w:rPr>
        <w:t>V.       Program Offsets by Item</w:t>
      </w:r>
      <w:r>
        <w:rPr>
          <w:bCs/>
        </w:rPr>
        <w:t>…………………………………………………..</w:t>
      </w:r>
    </w:p>
    <w:p w:rsidR="008666E8" w:rsidRDefault="008666E8" w:rsidP="00BA76A0">
      <w:pPr>
        <w:tabs>
          <w:tab w:val="left" w:leader="dot" w:pos="7920"/>
          <w:tab w:val="right" w:pos="8640"/>
        </w:tabs>
        <w:rPr>
          <w:bCs/>
        </w:rPr>
      </w:pPr>
      <w:r>
        <w:rPr>
          <w:bCs/>
        </w:rPr>
        <w:t xml:space="preserve">        </w:t>
      </w:r>
    </w:p>
    <w:p w:rsidR="008666E8" w:rsidRDefault="008666E8" w:rsidP="008666E8">
      <w:pPr>
        <w:tabs>
          <w:tab w:val="left" w:leader="dot" w:pos="7920"/>
          <w:tab w:val="right" w:pos="8640"/>
        </w:tabs>
        <w:rPr>
          <w:bCs/>
        </w:rPr>
      </w:pPr>
      <w:r>
        <w:rPr>
          <w:bCs/>
        </w:rPr>
        <w:t xml:space="preserve">           A.   </w:t>
      </w:r>
      <w:r w:rsidR="00366866">
        <w:rPr>
          <w:bCs/>
        </w:rPr>
        <w:t>IT Savings………………...</w:t>
      </w:r>
      <w:r>
        <w:rPr>
          <w:bCs/>
        </w:rPr>
        <w:t>…………………………………………….        30</w:t>
      </w:r>
    </w:p>
    <w:p w:rsidR="008666E8" w:rsidRPr="008666E8" w:rsidRDefault="00366866" w:rsidP="008666E8">
      <w:pPr>
        <w:tabs>
          <w:tab w:val="left" w:leader="dot" w:pos="7920"/>
          <w:tab w:val="right" w:pos="8640"/>
        </w:tabs>
        <w:rPr>
          <w:bCs/>
        </w:rPr>
      </w:pPr>
      <w:r>
        <w:rPr>
          <w:bCs/>
        </w:rPr>
        <w:t xml:space="preserve">           </w:t>
      </w:r>
    </w:p>
    <w:p w:rsidR="00BA76A0" w:rsidRDefault="00BA76A0" w:rsidP="00BA76A0">
      <w:pPr>
        <w:tabs>
          <w:tab w:val="left" w:leader="dot" w:pos="7920"/>
          <w:tab w:val="right" w:pos="8640"/>
        </w:tabs>
      </w:pPr>
      <w:r>
        <w:rPr>
          <w:rFonts w:cs="Arial"/>
          <w:b/>
        </w:rPr>
        <w:t>V</w:t>
      </w:r>
      <w:r w:rsidR="008666E8">
        <w:rPr>
          <w:rFonts w:cs="Arial"/>
          <w:b/>
        </w:rPr>
        <w:t>I</w:t>
      </w:r>
      <w:r>
        <w:rPr>
          <w:rFonts w:cs="Arial"/>
          <w:b/>
        </w:rPr>
        <w:t>.     Exhibits</w:t>
      </w:r>
      <w:r w:rsidR="00B836F9">
        <w:t>……………………………………………………………………</w:t>
      </w:r>
      <w:r w:rsidR="00FF7AA8">
        <w:t>..</w:t>
      </w:r>
      <w:r>
        <w:t xml:space="preserve">        </w:t>
      </w:r>
    </w:p>
    <w:p w:rsidR="00BA76A0" w:rsidRDefault="00BA76A0" w:rsidP="00BA76A0">
      <w:pPr>
        <w:tabs>
          <w:tab w:val="left" w:leader="dot" w:pos="7920"/>
          <w:tab w:val="right" w:pos="8640"/>
        </w:tabs>
      </w:pPr>
    </w:p>
    <w:p w:rsidR="00BA76A0" w:rsidRDefault="00BA76A0" w:rsidP="00BA76A0">
      <w:pPr>
        <w:numPr>
          <w:ilvl w:val="0"/>
          <w:numId w:val="16"/>
        </w:numPr>
        <w:tabs>
          <w:tab w:val="left" w:leader="dot" w:pos="7920"/>
          <w:tab w:val="right" w:pos="8640"/>
        </w:tabs>
      </w:pPr>
      <w:r>
        <w:t>Organizational Chart</w:t>
      </w:r>
    </w:p>
    <w:p w:rsidR="00BA76A0" w:rsidRPr="00FE3AAB" w:rsidRDefault="00BA76A0" w:rsidP="00BA76A0">
      <w:pPr>
        <w:numPr>
          <w:ilvl w:val="0"/>
          <w:numId w:val="16"/>
        </w:numPr>
        <w:tabs>
          <w:tab w:val="left" w:leader="dot" w:pos="7920"/>
          <w:tab w:val="right" w:pos="8640"/>
        </w:tabs>
      </w:pPr>
      <w:r>
        <w:rPr>
          <w:bCs/>
        </w:rPr>
        <w:t>Summary of Requirements</w:t>
      </w:r>
    </w:p>
    <w:p w:rsidR="00BA76A0" w:rsidRPr="00FE3AAB" w:rsidRDefault="00261424" w:rsidP="00BA76A0">
      <w:pPr>
        <w:numPr>
          <w:ilvl w:val="0"/>
          <w:numId w:val="16"/>
        </w:numPr>
        <w:tabs>
          <w:tab w:val="left" w:leader="dot" w:pos="7920"/>
          <w:tab w:val="right" w:pos="8640"/>
        </w:tabs>
      </w:pPr>
      <w:r>
        <w:t>Program Increases by Decision Unit</w:t>
      </w:r>
    </w:p>
    <w:p w:rsidR="00BA76A0" w:rsidRPr="00FE3AAB" w:rsidRDefault="00BA76A0" w:rsidP="00BA76A0">
      <w:pPr>
        <w:numPr>
          <w:ilvl w:val="0"/>
          <w:numId w:val="16"/>
        </w:numPr>
        <w:tabs>
          <w:tab w:val="left" w:leader="dot" w:pos="7920"/>
          <w:tab w:val="right" w:pos="8640"/>
        </w:tabs>
      </w:pPr>
      <w:r>
        <w:rPr>
          <w:bCs/>
        </w:rPr>
        <w:t>Resources by DOJ Strategic Goal/Objective</w:t>
      </w:r>
      <w:r w:rsidR="00CB4899">
        <w:rPr>
          <w:bCs/>
        </w:rPr>
        <w:t xml:space="preserve"> </w:t>
      </w:r>
    </w:p>
    <w:p w:rsidR="00BA76A0" w:rsidRPr="00FE3AAB" w:rsidRDefault="00BA76A0" w:rsidP="00BA76A0">
      <w:pPr>
        <w:numPr>
          <w:ilvl w:val="0"/>
          <w:numId w:val="16"/>
        </w:numPr>
        <w:tabs>
          <w:tab w:val="left" w:leader="dot" w:pos="7920"/>
          <w:tab w:val="right" w:pos="8640"/>
        </w:tabs>
      </w:pPr>
      <w:r>
        <w:rPr>
          <w:bCs/>
        </w:rPr>
        <w:t>Justification for Base Adjustments</w:t>
      </w:r>
    </w:p>
    <w:p w:rsidR="00BA76A0" w:rsidRPr="00FE3AAB" w:rsidRDefault="00BA76A0" w:rsidP="00BA76A0">
      <w:pPr>
        <w:numPr>
          <w:ilvl w:val="0"/>
          <w:numId w:val="16"/>
        </w:numPr>
        <w:tabs>
          <w:tab w:val="left" w:leader="dot" w:pos="7920"/>
          <w:tab w:val="right" w:pos="8640"/>
        </w:tabs>
      </w:pPr>
      <w:r>
        <w:rPr>
          <w:bCs/>
        </w:rPr>
        <w:t>Crosswalk of 20</w:t>
      </w:r>
      <w:r w:rsidR="00CB4899">
        <w:rPr>
          <w:bCs/>
        </w:rPr>
        <w:t>10</w:t>
      </w:r>
      <w:r>
        <w:rPr>
          <w:bCs/>
        </w:rPr>
        <w:t xml:space="preserve"> Availability</w:t>
      </w:r>
    </w:p>
    <w:p w:rsidR="00BA76A0" w:rsidRPr="00FE3AAB" w:rsidRDefault="00BA76A0" w:rsidP="00BA76A0">
      <w:pPr>
        <w:numPr>
          <w:ilvl w:val="0"/>
          <w:numId w:val="16"/>
        </w:numPr>
        <w:tabs>
          <w:tab w:val="left" w:leader="dot" w:pos="7920"/>
          <w:tab w:val="right" w:pos="8640"/>
        </w:tabs>
      </w:pPr>
      <w:r>
        <w:rPr>
          <w:bCs/>
        </w:rPr>
        <w:t>Crosswalk of 20</w:t>
      </w:r>
      <w:r w:rsidR="0041121F">
        <w:rPr>
          <w:bCs/>
        </w:rPr>
        <w:t>1</w:t>
      </w:r>
      <w:r w:rsidR="00CB4899">
        <w:rPr>
          <w:bCs/>
        </w:rPr>
        <w:t>1</w:t>
      </w:r>
      <w:r>
        <w:rPr>
          <w:bCs/>
        </w:rPr>
        <w:t xml:space="preserve"> Availability</w:t>
      </w:r>
      <w:r w:rsidR="00493BAA">
        <w:rPr>
          <w:bCs/>
        </w:rPr>
        <w:t xml:space="preserve"> </w:t>
      </w:r>
    </w:p>
    <w:p w:rsidR="00BA76A0" w:rsidRPr="00FE3AAB" w:rsidRDefault="00BA76A0" w:rsidP="00BA76A0">
      <w:pPr>
        <w:numPr>
          <w:ilvl w:val="0"/>
          <w:numId w:val="16"/>
        </w:numPr>
        <w:tabs>
          <w:tab w:val="left" w:leader="dot" w:pos="7920"/>
          <w:tab w:val="right" w:pos="8640"/>
        </w:tabs>
      </w:pPr>
      <w:r>
        <w:rPr>
          <w:bCs/>
        </w:rPr>
        <w:t>Summary of Reimbursable Resources</w:t>
      </w:r>
    </w:p>
    <w:p w:rsidR="00BA76A0" w:rsidRPr="00FE3AAB" w:rsidRDefault="00BA76A0" w:rsidP="00BA76A0">
      <w:pPr>
        <w:numPr>
          <w:ilvl w:val="0"/>
          <w:numId w:val="16"/>
        </w:numPr>
        <w:tabs>
          <w:tab w:val="left" w:leader="dot" w:pos="7920"/>
          <w:tab w:val="right" w:pos="8640"/>
        </w:tabs>
      </w:pPr>
      <w:r>
        <w:rPr>
          <w:bCs/>
        </w:rPr>
        <w:t>Detail of Permanent Positions by Category</w:t>
      </w:r>
    </w:p>
    <w:p w:rsidR="00BA76A0" w:rsidRPr="00FE3AAB" w:rsidRDefault="00BA76A0" w:rsidP="00BA76A0">
      <w:pPr>
        <w:numPr>
          <w:ilvl w:val="0"/>
          <w:numId w:val="16"/>
        </w:numPr>
        <w:tabs>
          <w:tab w:val="left" w:leader="dot" w:pos="7920"/>
          <w:tab w:val="right" w:pos="8640"/>
        </w:tabs>
      </w:pPr>
      <w:r>
        <w:rPr>
          <w:bCs/>
        </w:rPr>
        <w:t>Financial Analysis of Program Changes</w:t>
      </w:r>
    </w:p>
    <w:p w:rsidR="00BA76A0" w:rsidRPr="00FE3AAB" w:rsidRDefault="00BA76A0" w:rsidP="00BA76A0">
      <w:pPr>
        <w:numPr>
          <w:ilvl w:val="0"/>
          <w:numId w:val="16"/>
        </w:numPr>
        <w:tabs>
          <w:tab w:val="left" w:leader="dot" w:pos="7920"/>
          <w:tab w:val="right" w:pos="8640"/>
        </w:tabs>
      </w:pPr>
      <w:r>
        <w:rPr>
          <w:bCs/>
        </w:rPr>
        <w:t>Summary of Requirements by Grade</w:t>
      </w:r>
    </w:p>
    <w:p w:rsidR="00BA76A0" w:rsidRPr="00FE3AAB" w:rsidRDefault="00BA76A0" w:rsidP="00BA76A0">
      <w:pPr>
        <w:numPr>
          <w:ilvl w:val="0"/>
          <w:numId w:val="16"/>
        </w:numPr>
        <w:tabs>
          <w:tab w:val="left" w:leader="dot" w:pos="7920"/>
          <w:tab w:val="right" w:pos="8640"/>
        </w:tabs>
      </w:pPr>
      <w:r>
        <w:rPr>
          <w:bCs/>
        </w:rPr>
        <w:t>Summary of Requirements by Object Class</w:t>
      </w:r>
    </w:p>
    <w:p w:rsidR="00BA76A0" w:rsidRPr="00261424" w:rsidRDefault="00786B16" w:rsidP="00BA76A0">
      <w:pPr>
        <w:numPr>
          <w:ilvl w:val="0"/>
          <w:numId w:val="16"/>
        </w:numPr>
        <w:tabs>
          <w:tab w:val="left" w:leader="dot" w:pos="7920"/>
          <w:tab w:val="right" w:pos="8640"/>
        </w:tabs>
      </w:pPr>
      <w:r>
        <w:rPr>
          <w:bCs/>
        </w:rPr>
        <w:t>Status of Congressionally Requested Studies, Reports, and Evaluations</w:t>
      </w:r>
      <w:r w:rsidR="00F455E2">
        <w:rPr>
          <w:bCs/>
        </w:rPr>
        <w:t xml:space="preserve"> </w:t>
      </w:r>
      <w:r w:rsidR="00261424">
        <w:rPr>
          <w:bCs/>
        </w:rPr>
        <w:t xml:space="preserve"> </w:t>
      </w:r>
      <w:r w:rsidR="00F455E2">
        <w:rPr>
          <w:bCs/>
        </w:rPr>
        <w:t>(</w:t>
      </w:r>
      <w:r w:rsidR="00261424">
        <w:rPr>
          <w:bCs/>
        </w:rPr>
        <w:t>Not Applicable</w:t>
      </w:r>
      <w:r w:rsidR="00F455E2">
        <w:rPr>
          <w:bCs/>
        </w:rPr>
        <w:t>)</w:t>
      </w:r>
      <w:r>
        <w:rPr>
          <w:bCs/>
        </w:rPr>
        <w:t xml:space="preserve">          </w:t>
      </w:r>
    </w:p>
    <w:p w:rsidR="00261424" w:rsidRPr="00A552DF" w:rsidRDefault="00261424" w:rsidP="00261424">
      <w:pPr>
        <w:tabs>
          <w:tab w:val="left" w:leader="dot" w:pos="7920"/>
          <w:tab w:val="right" w:pos="8640"/>
        </w:tabs>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420A8A" w:rsidRDefault="00420A8A" w:rsidP="003D6001">
      <w:pPr>
        <w:jc w:val="center"/>
      </w:pPr>
    </w:p>
    <w:p w:rsidR="002B44B5" w:rsidRDefault="002B44B5" w:rsidP="00913354">
      <w:pPr>
        <w:tabs>
          <w:tab w:val="left" w:leader="dot" w:pos="7920"/>
          <w:tab w:val="right" w:pos="8640"/>
        </w:tabs>
        <w:rPr>
          <w:bCs/>
        </w:rPr>
      </w:pPr>
    </w:p>
    <w:p w:rsidR="00FF71DA" w:rsidRDefault="00905387" w:rsidP="00905387">
      <w:pPr>
        <w:tabs>
          <w:tab w:val="left" w:leader="dot" w:pos="7920"/>
          <w:tab w:val="right" w:pos="8640"/>
        </w:tabs>
        <w:ind w:left="720"/>
        <w:rPr>
          <w:bCs/>
        </w:rPr>
      </w:pPr>
      <w:r>
        <w:rPr>
          <w:bCs/>
        </w:rPr>
        <w:t xml:space="preserve">   </w:t>
      </w:r>
    </w:p>
    <w:p w:rsidR="00E92D1E" w:rsidRDefault="00E92D1E" w:rsidP="006B2852">
      <w:pPr>
        <w:tabs>
          <w:tab w:val="left" w:leader="dot" w:pos="7920"/>
          <w:tab w:val="right" w:pos="8640"/>
        </w:tabs>
        <w:outlineLvl w:val="0"/>
        <w:rPr>
          <w:b/>
          <w:bCs/>
        </w:rPr>
      </w:pPr>
    </w:p>
    <w:p w:rsidR="00E92D1E" w:rsidRPr="00794230" w:rsidRDefault="00E92D1E" w:rsidP="006B2852">
      <w:pPr>
        <w:tabs>
          <w:tab w:val="left" w:leader="dot" w:pos="7920"/>
          <w:tab w:val="right" w:pos="8640"/>
        </w:tabs>
        <w:ind w:left="360"/>
        <w:rPr>
          <w:bCs/>
        </w:rPr>
      </w:pPr>
    </w:p>
    <w:p w:rsidR="00C768E2" w:rsidRDefault="00C768E2" w:rsidP="006B2852">
      <w:pPr>
        <w:tabs>
          <w:tab w:val="left" w:pos="1875"/>
          <w:tab w:val="center" w:pos="4320"/>
        </w:tabs>
        <w:rPr>
          <w:rFonts w:cs="Mangal"/>
          <w:b/>
          <w:bCs/>
          <w:sz w:val="28"/>
          <w:szCs w:val="28"/>
        </w:rPr>
      </w:pPr>
    </w:p>
    <w:p w:rsidR="00C768E2" w:rsidRDefault="00C768E2" w:rsidP="006B2852">
      <w:pPr>
        <w:tabs>
          <w:tab w:val="left" w:pos="1875"/>
          <w:tab w:val="center" w:pos="4320"/>
        </w:tabs>
        <w:rPr>
          <w:rFonts w:cs="Mangal"/>
          <w:b/>
          <w:bCs/>
          <w:sz w:val="28"/>
          <w:szCs w:val="28"/>
        </w:rPr>
      </w:pPr>
    </w:p>
    <w:p w:rsidR="00752052" w:rsidRPr="00752052" w:rsidRDefault="00752052" w:rsidP="006B2852">
      <w:pPr>
        <w:sectPr w:rsidR="00752052" w:rsidRPr="00752052" w:rsidSect="00A361D9">
          <w:headerReference w:type="default" r:id="rId15"/>
          <w:footerReference w:type="default" r:id="rId16"/>
          <w:type w:val="continuous"/>
          <w:pgSz w:w="12240" w:h="15840" w:code="1"/>
          <w:pgMar w:top="864" w:right="1008" w:bottom="1440" w:left="1152" w:header="720" w:footer="720" w:gutter="0"/>
          <w:pgNumType w:fmt="numberInDash" w:start="0"/>
          <w:cols w:space="720"/>
          <w:titlePg/>
          <w:docGrid w:linePitch="360"/>
        </w:sectPr>
      </w:pPr>
    </w:p>
    <w:p w:rsidR="00BA4574" w:rsidRDefault="007C6A39" w:rsidP="007C6A39">
      <w:pPr>
        <w:pStyle w:val="Heading1"/>
        <w:numPr>
          <w:ilvl w:val="0"/>
          <w:numId w:val="0"/>
        </w:numPr>
      </w:pPr>
      <w:bookmarkStart w:id="0" w:name="_Toc156366315"/>
      <w:bookmarkStart w:id="1" w:name="OLE_LINK12"/>
      <w:bookmarkStart w:id="2" w:name="OLE_LINK13"/>
      <w:r>
        <w:t xml:space="preserve">I.   </w:t>
      </w:r>
      <w:r w:rsidR="008E427F">
        <w:t>Overview</w:t>
      </w:r>
      <w:r w:rsidR="00AF7D5E">
        <w:t xml:space="preserve"> </w:t>
      </w:r>
      <w:bookmarkEnd w:id="0"/>
    </w:p>
    <w:p w:rsidR="003C3BDF" w:rsidRPr="003C3BDF" w:rsidRDefault="007C6A39" w:rsidP="00084F23">
      <w:pPr>
        <w:pStyle w:val="Heading2"/>
        <w:numPr>
          <w:ilvl w:val="0"/>
          <w:numId w:val="0"/>
        </w:numPr>
        <w:spacing w:line="360" w:lineRule="auto"/>
        <w:ind w:left="540"/>
      </w:pPr>
      <w:r>
        <w:t xml:space="preserve">A.   </w:t>
      </w:r>
      <w:r w:rsidR="006F46AE">
        <w:t>Introduction</w:t>
      </w:r>
    </w:p>
    <w:p w:rsidR="0093339A" w:rsidRDefault="000C5D6C" w:rsidP="006B2852">
      <w:pPr>
        <w:pStyle w:val="BodyText"/>
        <w:jc w:val="left"/>
      </w:pPr>
      <w:r w:rsidRPr="00B613FF">
        <w:t xml:space="preserve">The Tax Division requests a total </w:t>
      </w:r>
      <w:r w:rsidRPr="008F36E6">
        <w:t xml:space="preserve">of </w:t>
      </w:r>
      <w:r w:rsidR="00966E0B" w:rsidRPr="008F36E6">
        <w:t>6</w:t>
      </w:r>
      <w:r w:rsidR="00FE15D2">
        <w:t>23</w:t>
      </w:r>
      <w:r w:rsidRPr="008F36E6">
        <w:t xml:space="preserve"> </w:t>
      </w:r>
      <w:r w:rsidRPr="008F36E6">
        <w:rPr>
          <w:bCs/>
        </w:rPr>
        <w:t>permanent positions</w:t>
      </w:r>
      <w:r w:rsidR="00564B10" w:rsidRPr="008F36E6">
        <w:rPr>
          <w:bCs/>
        </w:rPr>
        <w:t xml:space="preserve"> (</w:t>
      </w:r>
      <w:r w:rsidR="00F65CD5" w:rsidRPr="008F36E6">
        <w:rPr>
          <w:bCs/>
        </w:rPr>
        <w:t>3</w:t>
      </w:r>
      <w:r w:rsidR="00F97BEC">
        <w:rPr>
          <w:bCs/>
        </w:rPr>
        <w:t>7</w:t>
      </w:r>
      <w:r w:rsidR="00FE15D2">
        <w:rPr>
          <w:bCs/>
        </w:rPr>
        <w:t>0</w:t>
      </w:r>
      <w:r w:rsidR="00564B10" w:rsidRPr="008F36E6">
        <w:rPr>
          <w:bCs/>
        </w:rPr>
        <w:t xml:space="preserve"> attorneys)</w:t>
      </w:r>
      <w:r w:rsidRPr="008F36E6">
        <w:t xml:space="preserve">, </w:t>
      </w:r>
      <w:r w:rsidR="00966E0B" w:rsidRPr="008F36E6">
        <w:t>5</w:t>
      </w:r>
      <w:r w:rsidR="00FE15D2">
        <w:t>7</w:t>
      </w:r>
      <w:r w:rsidR="0096500A">
        <w:t>2</w:t>
      </w:r>
      <w:r w:rsidRPr="008F36E6">
        <w:t xml:space="preserve"> </w:t>
      </w:r>
      <w:r w:rsidRPr="008F36E6">
        <w:rPr>
          <w:bCs/>
        </w:rPr>
        <w:t>full-time equivalent (FTE) work years</w:t>
      </w:r>
      <w:r w:rsidR="00174006">
        <w:rPr>
          <w:bCs/>
        </w:rPr>
        <w:t xml:space="preserve"> </w:t>
      </w:r>
      <w:r w:rsidRPr="008F36E6">
        <w:t>and $</w:t>
      </w:r>
      <w:r w:rsidR="00FE15D2">
        <w:t>106,459,000</w:t>
      </w:r>
      <w:r w:rsidRPr="008F36E6">
        <w:rPr>
          <w:bCs/>
        </w:rPr>
        <w:t xml:space="preserve"> </w:t>
      </w:r>
      <w:r w:rsidRPr="008F36E6">
        <w:t>for FY 20</w:t>
      </w:r>
      <w:r w:rsidR="008B2A38" w:rsidRPr="008F36E6">
        <w:t>1</w:t>
      </w:r>
      <w:r w:rsidR="0094432A">
        <w:t>3</w:t>
      </w:r>
      <w:r w:rsidRPr="008F36E6">
        <w:t>.</w:t>
      </w:r>
      <w:r w:rsidRPr="002E4DD4">
        <w:t xml:space="preserve">  </w:t>
      </w:r>
      <w:bookmarkStart w:id="3" w:name="OLE_LINK7"/>
    </w:p>
    <w:p w:rsidR="00424AFE" w:rsidRPr="00757B19" w:rsidRDefault="00424AFE" w:rsidP="008226E7">
      <w:pPr>
        <w:pStyle w:val="BodyText"/>
        <w:jc w:val="left"/>
      </w:pPr>
      <w:r w:rsidRPr="00757B19">
        <w:t>The Tax Division represent</w:t>
      </w:r>
      <w:r w:rsidR="00630497">
        <w:t>s</w:t>
      </w:r>
      <w:r>
        <w:t xml:space="preserve"> </w:t>
      </w:r>
      <w:r w:rsidRPr="00757B19">
        <w:t>the United States in virtually all litigation</w:t>
      </w:r>
      <w:r w:rsidR="00D4649C">
        <w:t xml:space="preserve"> </w:t>
      </w:r>
      <w:r w:rsidR="00907053">
        <w:t xml:space="preserve">– </w:t>
      </w:r>
      <w:r w:rsidR="00D4649C" w:rsidRPr="00757B19">
        <w:t xml:space="preserve">civil and criminal, trial and appellate </w:t>
      </w:r>
      <w:r w:rsidR="00907053">
        <w:t xml:space="preserve">– </w:t>
      </w:r>
      <w:r w:rsidRPr="00757B19">
        <w:t xml:space="preserve">arising under the internal revenue laws, in all state and federal courts except the United States Tax Court.  </w:t>
      </w:r>
      <w:r>
        <w:t xml:space="preserve">To </w:t>
      </w:r>
      <w:r w:rsidR="001167CE">
        <w:t xml:space="preserve">assist the Internal Revenue </w:t>
      </w:r>
      <w:r w:rsidR="00744B1E">
        <w:t>Service in</w:t>
      </w:r>
      <w:r>
        <w:t xml:space="preserve"> </w:t>
      </w:r>
      <w:r w:rsidR="001167CE">
        <w:t>effectively enforcing</w:t>
      </w:r>
      <w:r>
        <w:t xml:space="preserve"> the tax laws, </w:t>
      </w:r>
      <w:r w:rsidRPr="00757B19">
        <w:t>Tax Division</w:t>
      </w:r>
      <w:r w:rsidR="00082BBA">
        <w:t xml:space="preserve"> litigators</w:t>
      </w:r>
      <w:r w:rsidRPr="00757B19">
        <w:t xml:space="preserve"> </w:t>
      </w:r>
      <w:r w:rsidR="0093339A">
        <w:t xml:space="preserve">must </w:t>
      </w:r>
      <w:r w:rsidRPr="00757B19">
        <w:t xml:space="preserve">support </w:t>
      </w:r>
      <w:r w:rsidR="0093339A">
        <w:t>the Service’s investigations and determinations in civil cases</w:t>
      </w:r>
      <w:r w:rsidR="001167CE">
        <w:t xml:space="preserve"> and also prosecute criminal violations of the revenue laws.  </w:t>
      </w:r>
      <w:r w:rsidR="00082BBA">
        <w:t xml:space="preserve">Tax Division civil litigators </w:t>
      </w:r>
      <w:r w:rsidRPr="00757B19">
        <w:t xml:space="preserve">enforce </w:t>
      </w:r>
      <w:r w:rsidR="00082BBA">
        <w:t>the Service’s</w:t>
      </w:r>
      <w:r w:rsidR="00907053">
        <w:t xml:space="preserve"> requests for information in ongoing</w:t>
      </w:r>
      <w:r w:rsidR="00521A48">
        <w:t xml:space="preserve"> examinations</w:t>
      </w:r>
      <w:r w:rsidRPr="00757B19">
        <w:t xml:space="preserve">, and collect and </w:t>
      </w:r>
      <w:r w:rsidR="00744B1E" w:rsidRPr="00757B19">
        <w:t>defend tax</w:t>
      </w:r>
      <w:r w:rsidRPr="00757B19">
        <w:t xml:space="preserve"> assessments when the</w:t>
      </w:r>
      <w:r w:rsidR="00082BBA">
        <w:t xml:space="preserve"> Service’s</w:t>
      </w:r>
      <w:r w:rsidRPr="00757B19">
        <w:t xml:space="preserve"> examinations are complete.  At any given time, </w:t>
      </w:r>
      <w:r>
        <w:t>the Tax Division’s civil trial attorneys have</w:t>
      </w:r>
      <w:r w:rsidR="00D830AD">
        <w:t xml:space="preserve"> nearly 6</w:t>
      </w:r>
      <w:r w:rsidRPr="00757B19">
        <w:t>,</w:t>
      </w:r>
      <w:r w:rsidR="00D830AD">
        <w:t>5</w:t>
      </w:r>
      <w:r w:rsidRPr="00757B19">
        <w:t xml:space="preserve">00 civil </w:t>
      </w:r>
      <w:r w:rsidR="00CA0F5C">
        <w:t xml:space="preserve">cases </w:t>
      </w:r>
      <w:r>
        <w:t>in process.  In a</w:t>
      </w:r>
      <w:r w:rsidRPr="00757B19">
        <w:t xml:space="preserve">ny given year, </w:t>
      </w:r>
      <w:r>
        <w:t xml:space="preserve">the Tax Division’s civil appellate attorneys </w:t>
      </w:r>
      <w:r w:rsidRPr="00757B19">
        <w:t>handle about 700 civil appeals, about half of which are from decisions of the Tax Court, where IRS attorneys represent the Commissioner.</w:t>
      </w:r>
      <w:r>
        <w:t xml:space="preserve"> To help </w:t>
      </w:r>
      <w:r w:rsidRPr="005270CF">
        <w:rPr>
          <w:bCs/>
        </w:rPr>
        <w:t>achieve</w:t>
      </w:r>
      <w:r>
        <w:t xml:space="preserve"> uniformity in nationwide standards for criminal tax prosecutions, t</w:t>
      </w:r>
      <w:r w:rsidRPr="00757B19">
        <w:t xml:space="preserve">he Tax Division’s criminal prosecutors authorize </w:t>
      </w:r>
      <w:r w:rsidR="00EF1992">
        <w:t>al</w:t>
      </w:r>
      <w:r w:rsidR="0070396E">
        <w:t>most</w:t>
      </w:r>
      <w:r w:rsidR="00EF1992">
        <w:t xml:space="preserve"> all</w:t>
      </w:r>
      <w:r w:rsidRPr="00757B19">
        <w:t xml:space="preserve"> grand jury investigations and prosecutions involving violations of the internal revenue laws</w:t>
      </w:r>
      <w:r>
        <w:t>.  A</w:t>
      </w:r>
      <w:r w:rsidRPr="00757B19">
        <w:t xml:space="preserve">lone or in conjunction with Assistant United States Attorneys, </w:t>
      </w:r>
      <w:r>
        <w:t xml:space="preserve">Tax Division prosecutors </w:t>
      </w:r>
      <w:r w:rsidRPr="00757B19">
        <w:t>investigate and prosecute the</w:t>
      </w:r>
      <w:r w:rsidR="00082BBA">
        <w:t>se</w:t>
      </w:r>
      <w:r w:rsidRPr="00757B19">
        <w:t xml:space="preserve"> crimes.  In the last few years, </w:t>
      </w:r>
      <w:r w:rsidR="005270CF">
        <w:t>the Division has</w:t>
      </w:r>
      <w:r w:rsidRPr="00757B19">
        <w:t xml:space="preserve"> authorized between 1</w:t>
      </w:r>
      <w:r w:rsidR="00907053">
        <w:t>,</w:t>
      </w:r>
      <w:r w:rsidRPr="00757B19">
        <w:t>300 and 1</w:t>
      </w:r>
      <w:r w:rsidR="00907053">
        <w:t>,</w:t>
      </w:r>
      <w:r w:rsidRPr="00757B19">
        <w:t xml:space="preserve">800 criminal tax </w:t>
      </w:r>
      <w:r w:rsidR="00150A61">
        <w:t xml:space="preserve">investigations and </w:t>
      </w:r>
      <w:r w:rsidRPr="00757B19">
        <w:t xml:space="preserve">prosecutions per year.    </w:t>
      </w:r>
    </w:p>
    <w:bookmarkEnd w:id="3"/>
    <w:p w:rsidR="00155030" w:rsidRDefault="002E13A2" w:rsidP="006B2852">
      <w:pPr>
        <w:pStyle w:val="BodyText"/>
        <w:spacing w:before="240" w:after="0"/>
        <w:jc w:val="left"/>
      </w:pPr>
      <w:r>
        <w:t xml:space="preserve">The Tax Division’s litigation activities </w:t>
      </w:r>
      <w:r w:rsidR="005270CF">
        <w:t xml:space="preserve">are an </w:t>
      </w:r>
      <w:r w:rsidR="00EF1992">
        <w:t>i</w:t>
      </w:r>
      <w:r>
        <w:t xml:space="preserve">ndispensable </w:t>
      </w:r>
      <w:r w:rsidR="005270CF">
        <w:t xml:space="preserve">part of </w:t>
      </w:r>
      <w:r>
        <w:t>our Nation’s tax system.</w:t>
      </w:r>
      <w:r w:rsidR="005270CF">
        <w:t xml:space="preserve">  </w:t>
      </w:r>
      <w:r w:rsidR="000C5D6C">
        <w:t xml:space="preserve">The </w:t>
      </w:r>
      <w:r w:rsidR="002910B4">
        <w:t>Division contributes</w:t>
      </w:r>
      <w:r w:rsidR="000C5D6C">
        <w:t xml:space="preserve"> </w:t>
      </w:r>
      <w:r>
        <w:t xml:space="preserve">to tax enforcement </w:t>
      </w:r>
      <w:r w:rsidR="000C5D6C">
        <w:t xml:space="preserve">in </w:t>
      </w:r>
      <w:r w:rsidR="00511A6B">
        <w:t xml:space="preserve">many </w:t>
      </w:r>
      <w:r>
        <w:t>ways</w:t>
      </w:r>
      <w:r w:rsidR="00155030">
        <w:t>:</w:t>
      </w:r>
      <w:r w:rsidR="000C5D6C">
        <w:t xml:space="preserve"> </w:t>
      </w:r>
      <w:r w:rsidR="00950E4D">
        <w:t xml:space="preserve">by the immediate and long-term financial impact of its cases, by the salutary effect our civil and criminal litigation has on voluntary compliance with the tax laws; by ensuring fair and uniform enforcement of the tax laws; by defending IRS employees against charges arising from the conduct of their official duties; </w:t>
      </w:r>
      <w:r w:rsidR="003E1B36">
        <w:t>and by lending the financial</w:t>
      </w:r>
      <w:r w:rsidR="00EF1992">
        <w:t>-</w:t>
      </w:r>
      <w:r w:rsidR="003E1B36">
        <w:t xml:space="preserve">crimes expertise of our tax prosecutors to the enforcement of other laws </w:t>
      </w:r>
      <w:r w:rsidR="00EF1992">
        <w:t>with</w:t>
      </w:r>
      <w:r w:rsidR="003E1B36">
        <w:t xml:space="preserve"> financial aspect</w:t>
      </w:r>
      <w:r w:rsidR="00EF1992">
        <w:t>s</w:t>
      </w:r>
      <w:r w:rsidR="003E1B36">
        <w:t xml:space="preserve">.  </w:t>
      </w:r>
    </w:p>
    <w:p w:rsidR="00A60773" w:rsidRDefault="000B4F0A" w:rsidP="000B4F0A">
      <w:pPr>
        <w:pStyle w:val="BodyText"/>
        <w:spacing w:before="240" w:after="0"/>
        <w:ind w:left="360" w:hanging="360"/>
        <w:jc w:val="left"/>
      </w:pPr>
      <w:r>
        <w:t>1.</w:t>
      </w:r>
      <w:r>
        <w:tab/>
      </w:r>
      <w:r w:rsidR="003E1B36">
        <w:rPr>
          <w:b/>
          <w:i/>
        </w:rPr>
        <w:t>F</w:t>
      </w:r>
      <w:r w:rsidR="003E1B36" w:rsidRPr="00155030">
        <w:rPr>
          <w:b/>
          <w:i/>
        </w:rPr>
        <w:t xml:space="preserve">inancial </w:t>
      </w:r>
      <w:r w:rsidR="00C40481" w:rsidRPr="00155030">
        <w:rPr>
          <w:b/>
          <w:i/>
        </w:rPr>
        <w:t>Impact</w:t>
      </w:r>
      <w:r w:rsidR="003E1B36">
        <w:rPr>
          <w:b/>
          <w:i/>
        </w:rPr>
        <w:t xml:space="preserve">: </w:t>
      </w:r>
      <w:r w:rsidR="00C40481">
        <w:rPr>
          <w:b/>
          <w:i/>
        </w:rPr>
        <w:t xml:space="preserve">Immediate </w:t>
      </w:r>
      <w:r w:rsidR="003E1B36">
        <w:rPr>
          <w:b/>
          <w:i/>
        </w:rPr>
        <w:t xml:space="preserve">as well as </w:t>
      </w:r>
      <w:r w:rsidR="00C40481">
        <w:rPr>
          <w:b/>
          <w:i/>
        </w:rPr>
        <w:t>Long</w:t>
      </w:r>
      <w:r w:rsidR="003E1B36">
        <w:rPr>
          <w:b/>
          <w:i/>
        </w:rPr>
        <w:t>-</w:t>
      </w:r>
      <w:r w:rsidR="00C40481">
        <w:rPr>
          <w:b/>
          <w:i/>
        </w:rPr>
        <w:t>Term</w:t>
      </w:r>
      <w:r w:rsidR="00155030" w:rsidRPr="00155030">
        <w:rPr>
          <w:b/>
          <w:i/>
        </w:rPr>
        <w:t>.</w:t>
      </w:r>
      <w:r w:rsidR="00155030">
        <w:rPr>
          <w:i/>
        </w:rPr>
        <w:t xml:space="preserve">  </w:t>
      </w:r>
      <w:r w:rsidR="00155030">
        <w:t>T</w:t>
      </w:r>
      <w:r w:rsidR="000C5D6C">
        <w:t xml:space="preserve">he Division’s work has </w:t>
      </w:r>
      <w:r w:rsidR="008E427F">
        <w:t xml:space="preserve">an </w:t>
      </w:r>
      <w:r w:rsidR="008E427F" w:rsidRPr="00834343">
        <w:t xml:space="preserve">immediate </w:t>
      </w:r>
      <w:r w:rsidR="006B2852" w:rsidRPr="00834343">
        <w:t>financial impact</w:t>
      </w:r>
      <w:r w:rsidR="003E1B36" w:rsidRPr="00834343">
        <w:t xml:space="preserve"> </w:t>
      </w:r>
      <w:r w:rsidR="003E1B36" w:rsidRPr="003E1B36">
        <w:t>on the Federal Treasury</w:t>
      </w:r>
      <w:r w:rsidR="006B2852" w:rsidRPr="00EF1EAE">
        <w:t xml:space="preserve">.  </w:t>
      </w:r>
      <w:r w:rsidR="005270CF" w:rsidRPr="00EF1EAE">
        <w:t>F</w:t>
      </w:r>
      <w:r w:rsidR="003A1425">
        <w:t xml:space="preserve">rom </w:t>
      </w:r>
      <w:r w:rsidR="008B2A38" w:rsidRPr="00EF1EAE">
        <w:t>FY</w:t>
      </w:r>
      <w:r w:rsidR="005270CF" w:rsidRPr="00EF1EAE">
        <w:t xml:space="preserve"> 200</w:t>
      </w:r>
      <w:r w:rsidR="00210817">
        <w:t>8</w:t>
      </w:r>
      <w:r w:rsidR="008B2A38" w:rsidRPr="00EF1EAE">
        <w:t xml:space="preserve"> - </w:t>
      </w:r>
      <w:r w:rsidR="005270CF" w:rsidRPr="00EF1EAE">
        <w:t>FY 20</w:t>
      </w:r>
      <w:r w:rsidR="00064BC5">
        <w:t>1</w:t>
      </w:r>
      <w:r w:rsidR="00210817">
        <w:t>1</w:t>
      </w:r>
      <w:r w:rsidR="005270CF" w:rsidRPr="00EF1EAE">
        <w:t xml:space="preserve">, the Tax Division’s investment in attorneys has yielded a </w:t>
      </w:r>
      <w:r w:rsidR="008B2A38" w:rsidRPr="00EF1EAE">
        <w:t>1</w:t>
      </w:r>
      <w:r w:rsidR="00EA6C80">
        <w:t>4</w:t>
      </w:r>
      <w:r w:rsidR="005270CF" w:rsidRPr="00EF1EAE">
        <w:t>:1 payoff for the</w:t>
      </w:r>
      <w:r w:rsidR="005270CF" w:rsidRPr="008B2A38">
        <w:t xml:space="preserve"> Federal Treasury.</w:t>
      </w:r>
      <w:r w:rsidR="006B2852" w:rsidRPr="008B2A38">
        <w:t xml:space="preserve">  That is, taking into account </w:t>
      </w:r>
      <w:r w:rsidR="00306BFF" w:rsidRPr="008B2A38">
        <w:t xml:space="preserve">solely </w:t>
      </w:r>
      <w:r w:rsidR="006B2852" w:rsidRPr="008B2A38">
        <w:t xml:space="preserve">the tax dollars collected and the tax refunds not paid as a result of our civil tax litigation, </w:t>
      </w:r>
      <w:r w:rsidR="007C445C" w:rsidRPr="008B2A38">
        <w:t xml:space="preserve">the Division’s </w:t>
      </w:r>
      <w:r w:rsidR="00DF37C5" w:rsidRPr="008B2A38">
        <w:t xml:space="preserve">civil trial </w:t>
      </w:r>
      <w:r w:rsidR="007C445C" w:rsidRPr="008B2A38">
        <w:t xml:space="preserve">attorneys </w:t>
      </w:r>
      <w:r w:rsidR="003E1B36" w:rsidRPr="008B2A38">
        <w:t xml:space="preserve">alone </w:t>
      </w:r>
      <w:r w:rsidR="007C445C" w:rsidRPr="008B2A38">
        <w:t>have returned $</w:t>
      </w:r>
      <w:r w:rsidR="008B2A38">
        <w:t>1</w:t>
      </w:r>
      <w:r w:rsidR="00EA6C80">
        <w:t>4</w:t>
      </w:r>
      <w:r w:rsidR="007C445C" w:rsidRPr="008B2A38">
        <w:t xml:space="preserve"> for each dollar invested in </w:t>
      </w:r>
      <w:r w:rsidR="00EF1992">
        <w:t xml:space="preserve">Division </w:t>
      </w:r>
      <w:r w:rsidR="006B2852" w:rsidRPr="008B2A38">
        <w:t>attorneys</w:t>
      </w:r>
      <w:r w:rsidR="007C445C" w:rsidRPr="008B2A38">
        <w:t xml:space="preserve">.  </w:t>
      </w:r>
    </w:p>
    <w:p w:rsidR="0000074E" w:rsidRPr="005844DC" w:rsidRDefault="009524DC" w:rsidP="009524DC">
      <w:pPr>
        <w:pStyle w:val="BodyText"/>
        <w:spacing w:before="240" w:after="0"/>
        <w:ind w:left="360" w:hanging="360"/>
        <w:jc w:val="left"/>
      </w:pPr>
      <w:r>
        <w:rPr>
          <w:b/>
          <w:i/>
        </w:rPr>
        <w:t xml:space="preserve">     </w:t>
      </w:r>
      <w:r w:rsidR="00F80B76" w:rsidRPr="005844DC">
        <w:t xml:space="preserve">Yet, significant as these dollars are, they </w:t>
      </w:r>
      <w:r w:rsidR="007C445C">
        <w:t xml:space="preserve">pale in </w:t>
      </w:r>
      <w:r w:rsidR="00630497">
        <w:t xml:space="preserve">comparison </w:t>
      </w:r>
      <w:r w:rsidR="007C445C">
        <w:t xml:space="preserve">to the </w:t>
      </w:r>
      <w:r w:rsidR="007C445C" w:rsidRPr="00834343">
        <w:t>long-term financial impact</w:t>
      </w:r>
      <w:r w:rsidR="007C445C">
        <w:t xml:space="preserve"> of the Division’s work.  </w:t>
      </w:r>
      <w:r w:rsidR="00DE51AF">
        <w:t xml:space="preserve">The Division is currently defending refund suits that collectively involve </w:t>
      </w:r>
      <w:r w:rsidR="00053A04">
        <w:t>over $</w:t>
      </w:r>
      <w:r w:rsidR="00A94E47">
        <w:t>1</w:t>
      </w:r>
      <w:r w:rsidR="000F7277">
        <w:t>1</w:t>
      </w:r>
      <w:r w:rsidR="00DE51AF">
        <w:t xml:space="preserve"> billion dollars.</w:t>
      </w:r>
      <w:r w:rsidR="0000074E">
        <w:rPr>
          <w:rStyle w:val="FootnoteReference"/>
        </w:rPr>
        <w:footnoteReference w:id="1"/>
      </w:r>
      <w:r w:rsidR="0000074E">
        <w:t xml:space="preserve">  This amount measures only the amount involved in the lawsuits themselves.  It does not include the amounts at issue with the same t</w:t>
      </w:r>
      <w:r w:rsidR="0000074E" w:rsidRPr="005844DC">
        <w:t xml:space="preserve">axpayers </w:t>
      </w:r>
      <w:r w:rsidR="0000074E">
        <w:t>for other years or the amounts at issue with other taxpayers who will be bound by the outcome of the litigation.  D</w:t>
      </w:r>
      <w:r w:rsidR="0000074E" w:rsidRPr="005844DC">
        <w:t>ecisions in the Division’s cases may reduce the need for future administrative and judicial tax proceedings, by creating binding precedents that settle questions of law that govern millions of taxpayers.</w:t>
      </w:r>
      <w:r w:rsidR="0000074E">
        <w:t xml:space="preserve">  Moreover, millions more dollars are saved each year because the Division successfully defends the Government against many other tax-related suits brought by taxpayers and third parties.</w:t>
      </w:r>
    </w:p>
    <w:p w:rsidR="0000074E" w:rsidRPr="005844DC" w:rsidRDefault="000B4F0A" w:rsidP="000B4F0A">
      <w:pPr>
        <w:pStyle w:val="BodyText"/>
        <w:spacing w:before="240" w:after="0"/>
        <w:ind w:left="360" w:hanging="360"/>
        <w:jc w:val="left"/>
      </w:pPr>
      <w:r>
        <w:t>2.</w:t>
      </w:r>
      <w:r>
        <w:tab/>
      </w:r>
      <w:r w:rsidR="0000074E" w:rsidRPr="00155030">
        <w:rPr>
          <w:b/>
          <w:i/>
        </w:rPr>
        <w:t>Improving Voluntary Compliance.</w:t>
      </w:r>
      <w:r w:rsidR="0000074E">
        <w:t xml:space="preserve">  </w:t>
      </w:r>
      <w:r w:rsidR="0000074E" w:rsidRPr="005844DC">
        <w:t xml:space="preserve">The </w:t>
      </w:r>
      <w:r w:rsidR="0000074E">
        <w:t xml:space="preserve">Tax </w:t>
      </w:r>
      <w:r w:rsidR="0000074E" w:rsidRPr="005844DC">
        <w:t>Division</w:t>
      </w:r>
      <w:r w:rsidR="0000074E">
        <w:t xml:space="preserve">’s success rate in its litigation </w:t>
      </w:r>
      <w:r w:rsidR="00907053">
        <w:t xml:space="preserve">– </w:t>
      </w:r>
      <w:r w:rsidR="0000074E">
        <w:t xml:space="preserve">more </w:t>
      </w:r>
      <w:r w:rsidR="00334EBD">
        <w:t>than 90</w:t>
      </w:r>
      <w:r w:rsidR="0000074E" w:rsidRPr="005844DC">
        <w:t xml:space="preserve">% </w:t>
      </w:r>
      <w:r w:rsidR="00907053">
        <w:t xml:space="preserve">– </w:t>
      </w:r>
      <w:r w:rsidR="0000074E">
        <w:t xml:space="preserve">has </w:t>
      </w:r>
      <w:r w:rsidR="0000074E" w:rsidRPr="005844DC">
        <w:t>an enormous effect on voluntary tax compliance.</w:t>
      </w:r>
      <w:r w:rsidR="0000074E" w:rsidRPr="005844DC">
        <w:rPr>
          <w:rStyle w:val="FootnoteReference"/>
        </w:rPr>
        <w:footnoteReference w:id="2"/>
      </w:r>
      <w:r w:rsidR="0000074E" w:rsidRPr="005844DC">
        <w:t xml:space="preserve">  </w:t>
      </w:r>
      <w:r w:rsidR="0000074E">
        <w:t>B</w:t>
      </w:r>
      <w:r w:rsidR="0000074E" w:rsidRPr="005844DC">
        <w:t>y law</w:t>
      </w:r>
      <w:r w:rsidR="0000074E">
        <w:t>,</w:t>
      </w:r>
      <w:r w:rsidR="0000074E" w:rsidRPr="005844DC">
        <w:t xml:space="preserve"> </w:t>
      </w:r>
      <w:r w:rsidR="0000074E">
        <w:t xml:space="preserve">the IRS </w:t>
      </w:r>
      <w:r w:rsidR="00334EBD">
        <w:t xml:space="preserve">cannot </w:t>
      </w:r>
      <w:r w:rsidR="0000074E">
        <w:t xml:space="preserve">make </w:t>
      </w:r>
      <w:r w:rsidR="00334EBD">
        <w:t>public the</w:t>
      </w:r>
      <w:r w:rsidR="0000074E">
        <w:t xml:space="preserve"> fact of an IRS audit, or its result.  By contrast, </w:t>
      </w:r>
      <w:r w:rsidR="0000074E" w:rsidRPr="005844DC">
        <w:t xml:space="preserve">the </w:t>
      </w:r>
      <w:r w:rsidR="0000074E">
        <w:t xml:space="preserve">Tax </w:t>
      </w:r>
      <w:r w:rsidR="0000074E" w:rsidRPr="005844DC">
        <w:t>Division’s important tax litigation victories receive wide media coverage, leading to a significant multiplier effect on voluntary compliance.</w:t>
      </w:r>
      <w:r w:rsidR="0000074E" w:rsidRPr="005844DC">
        <w:rPr>
          <w:rStyle w:val="FootnoteReference"/>
        </w:rPr>
        <w:footnoteReference w:id="3"/>
      </w:r>
      <w:r w:rsidR="0000074E" w:rsidRPr="005844DC">
        <w:rPr>
          <w:vertAlign w:val="superscript"/>
        </w:rPr>
        <w:t xml:space="preserve"> </w:t>
      </w:r>
      <w:r w:rsidR="0000074E" w:rsidRPr="005844DC">
        <w:t xml:space="preserve"> </w:t>
      </w:r>
      <w:r w:rsidR="0000074E">
        <w:t xml:space="preserve">Efforts of the IRS and the Tax Division are having a positive effect on voluntary compliance.  </w:t>
      </w:r>
      <w:r w:rsidR="00A24DD7">
        <w:t xml:space="preserve">According to the most recent </w:t>
      </w:r>
      <w:r w:rsidR="00756A52">
        <w:t>survey by the IRS Oversight Board, 8</w:t>
      </w:r>
      <w:r w:rsidR="00826E6B">
        <w:t>7</w:t>
      </w:r>
      <w:r w:rsidR="00756A52">
        <w:t xml:space="preserve"> percent of those surveyed thin</w:t>
      </w:r>
      <w:r w:rsidR="003618D0">
        <w:t>k</w:t>
      </w:r>
      <w:r w:rsidR="00756A52">
        <w:t xml:space="preserve"> it is “not at all” acceptable to cheat on taxes.</w:t>
      </w:r>
      <w:r w:rsidR="0000074E">
        <w:rPr>
          <w:rStyle w:val="FootnoteReference"/>
        </w:rPr>
        <w:footnoteReference w:id="4"/>
      </w:r>
      <w:r w:rsidR="0000074E">
        <w:t xml:space="preserve"> </w:t>
      </w:r>
      <w:r w:rsidR="007F31E7">
        <w:t>Also, the Commissioner’s Voluntary Disclosure Initiative, timed to coincide with the Division’s ongoing criminal and civil enforcement concerning unreported offshore accounts, resulted in an unprecedented number of taxpayers, almost 15,000,  attempting to “return to the fold” and paying back taxes, interest and penalties due that will likely total in at least the hundreds of millions of dollars.</w:t>
      </w:r>
      <w:r w:rsidR="0000074E">
        <w:t xml:space="preserve"> </w:t>
      </w:r>
      <w:r w:rsidR="00793F00">
        <w:t xml:space="preserve">As </w:t>
      </w:r>
      <w:r w:rsidR="0000074E">
        <w:t xml:space="preserve">an integral part of the IRS’s enforcement efforts, the </w:t>
      </w:r>
      <w:r w:rsidR="00225BD3">
        <w:t xml:space="preserve">Tax </w:t>
      </w:r>
      <w:r w:rsidR="0000074E">
        <w:t xml:space="preserve">Division is partially responsible for the IRS’ ability to collect </w:t>
      </w:r>
      <w:r w:rsidR="00460601">
        <w:t>over $2</w:t>
      </w:r>
      <w:r w:rsidR="0000074E">
        <w:t xml:space="preserve"> trillion in taxes each year.</w:t>
      </w:r>
      <w:r w:rsidR="00460601">
        <w:rPr>
          <w:rStyle w:val="FootnoteReference"/>
        </w:rPr>
        <w:footnoteReference w:id="5"/>
      </w:r>
      <w:r w:rsidR="0000074E">
        <w:t xml:space="preserve">      </w:t>
      </w:r>
    </w:p>
    <w:p w:rsidR="0000074E" w:rsidRPr="005844DC" w:rsidRDefault="000B4F0A" w:rsidP="000B4F0A">
      <w:pPr>
        <w:pStyle w:val="BodyText"/>
        <w:spacing w:before="240" w:after="0"/>
        <w:ind w:left="360" w:hanging="360"/>
        <w:jc w:val="left"/>
      </w:pPr>
      <w:r>
        <w:t>3.</w:t>
      </w:r>
      <w:r>
        <w:tab/>
      </w:r>
      <w:r w:rsidR="0000074E" w:rsidRPr="00155030">
        <w:rPr>
          <w:b/>
          <w:i/>
        </w:rPr>
        <w:t>Fair and Uniform Enforcement</w:t>
      </w:r>
      <w:r w:rsidR="0000074E">
        <w:rPr>
          <w:b/>
          <w:i/>
        </w:rPr>
        <w:t xml:space="preserve"> of Tax Law</w:t>
      </w:r>
      <w:r w:rsidR="0000074E" w:rsidRPr="00155030">
        <w:rPr>
          <w:b/>
          <w:i/>
        </w:rPr>
        <w:t>.</w:t>
      </w:r>
      <w:r w:rsidR="0000074E">
        <w:t xml:space="preserve">  </w:t>
      </w:r>
      <w:r w:rsidR="0000074E" w:rsidRPr="005844DC">
        <w:t>The</w:t>
      </w:r>
      <w:r w:rsidR="0000074E">
        <w:t xml:space="preserve"> Tax</w:t>
      </w:r>
      <w:r w:rsidR="0000074E" w:rsidRPr="005844DC">
        <w:t xml:space="preserve"> Division</w:t>
      </w:r>
      <w:r w:rsidR="0000074E">
        <w:t xml:space="preserve"> </w:t>
      </w:r>
      <w:r w:rsidR="0000074E" w:rsidRPr="005844DC">
        <w:t xml:space="preserve">plays </w:t>
      </w:r>
      <w:r w:rsidR="0000074E">
        <w:t xml:space="preserve">a major role </w:t>
      </w:r>
      <w:r w:rsidR="0000074E" w:rsidRPr="005844DC">
        <w:t>in assuring the public that the tax system is enforced uniformly and fairly.  Because the Division independently reviews the merits of</w:t>
      </w:r>
      <w:r w:rsidR="0000074E">
        <w:t xml:space="preserve"> each</w:t>
      </w:r>
      <w:r w:rsidR="0000074E" w:rsidRPr="005844DC">
        <w:t xml:space="preserve"> case the Internal Revenue Service requests be brought or defended, it is able to ensure that the Government</w:t>
      </w:r>
      <w:r w:rsidR="0000074E">
        <w:t>’s</w:t>
      </w:r>
      <w:r w:rsidR="0000074E" w:rsidRPr="005844DC">
        <w:t xml:space="preserve"> litigating positions are consistent with applicable law and policy.  An observation about the Division made nearly 70 years ago still rings true today: “[T]he Department of Justice, as the Government’s chief law office, is in a position to exercise a more judicial and judicious judgment…With taxes forming a heavy and constant burden it is essential that there be this leavening influence in tax litigation.  Next to the constant availability of the courts, the existence of the Division is the greatest mainstay for the voluntary character of our tax system.”</w:t>
      </w:r>
      <w:r w:rsidR="0000074E" w:rsidRPr="005844DC">
        <w:rPr>
          <w:rStyle w:val="FootnoteReference"/>
        </w:rPr>
        <w:footnoteReference w:id="6"/>
      </w:r>
      <w:r w:rsidR="0000074E" w:rsidRPr="005844DC">
        <w:rPr>
          <w:vertAlign w:val="superscript"/>
        </w:rPr>
        <w:t xml:space="preserve"> </w:t>
      </w:r>
      <w:r w:rsidR="0000074E" w:rsidRPr="005844DC">
        <w:t xml:space="preserve"> </w:t>
      </w:r>
    </w:p>
    <w:p w:rsidR="0000074E" w:rsidRPr="005844DC" w:rsidRDefault="000B4F0A" w:rsidP="000B4F0A">
      <w:pPr>
        <w:pStyle w:val="BodyText"/>
        <w:spacing w:before="240" w:after="0"/>
        <w:ind w:left="360" w:hanging="360"/>
        <w:jc w:val="left"/>
      </w:pPr>
      <w:r>
        <w:t>4.</w:t>
      </w:r>
      <w:r>
        <w:tab/>
      </w:r>
      <w:r w:rsidR="0000074E" w:rsidRPr="00155030">
        <w:rPr>
          <w:b/>
          <w:i/>
        </w:rPr>
        <w:t>Defen</w:t>
      </w:r>
      <w:r w:rsidR="0000074E">
        <w:rPr>
          <w:b/>
          <w:i/>
        </w:rPr>
        <w:t>ding IRS Officials and the United States against Damage Suits.</w:t>
      </w:r>
      <w:r w:rsidR="0000074E">
        <w:t xml:space="preserve">  </w:t>
      </w:r>
      <w:r w:rsidR="0000074E" w:rsidRPr="005844DC">
        <w:t xml:space="preserve">The Tax Division vigorously defends IRS agents and officers, and the Government itself, against </w:t>
      </w:r>
      <w:r w:rsidR="0000074E">
        <w:t>unmeritorious</w:t>
      </w:r>
      <w:r w:rsidR="0000074E" w:rsidRPr="005844DC">
        <w:t xml:space="preserve"> damage suits.  Absent representation of the quality provided by the Division, these suits could cripple or seriously impair effective tax collection and enforcement.</w:t>
      </w:r>
    </w:p>
    <w:p w:rsidR="0000074E" w:rsidRPr="005844DC" w:rsidRDefault="000B4F0A" w:rsidP="000B4F0A">
      <w:pPr>
        <w:pStyle w:val="BodyText"/>
        <w:spacing w:before="240" w:after="0"/>
        <w:ind w:left="360" w:hanging="360"/>
        <w:jc w:val="left"/>
      </w:pPr>
      <w:r>
        <w:t>5.</w:t>
      </w:r>
      <w:r>
        <w:tab/>
      </w:r>
      <w:r w:rsidR="0000074E" w:rsidRPr="00155030">
        <w:rPr>
          <w:b/>
          <w:i/>
        </w:rPr>
        <w:t>Expertise in Complex Financial Litigation.</w:t>
      </w:r>
      <w:r w:rsidR="0000074E">
        <w:t xml:space="preserve">  </w:t>
      </w:r>
      <w:r w:rsidR="0000074E" w:rsidRPr="005844DC">
        <w:t>The Division’s investigations, prosecutions, and civil trials often involve complex financial transactions and large numbers of documents.</w:t>
      </w:r>
      <w:r w:rsidR="0000074E">
        <w:t xml:space="preserve">  T</w:t>
      </w:r>
      <w:r w:rsidR="0000074E" w:rsidRPr="005844DC">
        <w:t>he Division is able to use the unique expertise its attorneys have developed in litigating complex tax cases to assist in other important areas of law enforcement, including:</w:t>
      </w:r>
    </w:p>
    <w:p w:rsidR="0000074E" w:rsidRDefault="0000074E" w:rsidP="00C41EFB">
      <w:pPr>
        <w:pStyle w:val="BodyText"/>
        <w:numPr>
          <w:ilvl w:val="0"/>
          <w:numId w:val="7"/>
        </w:numPr>
        <w:spacing w:before="240"/>
        <w:ind w:left="720"/>
        <w:jc w:val="left"/>
      </w:pPr>
      <w:r>
        <w:t>fighting terrorism as part of the Joint Terrorism Task Force,</w:t>
      </w:r>
      <w:r w:rsidRPr="00A91F68">
        <w:t xml:space="preserve"> by</w:t>
      </w:r>
      <w:r>
        <w:rPr>
          <w:b/>
        </w:rPr>
        <w:t xml:space="preserve"> </w:t>
      </w:r>
      <w:r>
        <w:t>investigating and prosecuting people and organizations that funnel money to terrorists;</w:t>
      </w:r>
    </w:p>
    <w:p w:rsidR="0000074E" w:rsidRDefault="002B388E" w:rsidP="00C41EFB">
      <w:pPr>
        <w:pStyle w:val="BodyText"/>
        <w:numPr>
          <w:ilvl w:val="0"/>
          <w:numId w:val="7"/>
        </w:numPr>
        <w:ind w:left="720"/>
        <w:jc w:val="left"/>
      </w:pPr>
      <w:r>
        <w:t xml:space="preserve">combating </w:t>
      </w:r>
      <w:r w:rsidR="002C2472">
        <w:t>financial</w:t>
      </w:r>
      <w:r w:rsidR="0000074E">
        <w:t xml:space="preserve"> fraud</w:t>
      </w:r>
      <w:r w:rsidR="0000074E" w:rsidRPr="002158E8">
        <w:t xml:space="preserve"> </w:t>
      </w:r>
      <w:r w:rsidR="0000074E" w:rsidRPr="002158E8">
        <w:rPr>
          <w:rFonts w:cs="Mangal"/>
        </w:rPr>
        <w:t>a</w:t>
      </w:r>
      <w:r w:rsidR="0000074E" w:rsidRPr="002158E8">
        <w:t>s p</w:t>
      </w:r>
      <w:r w:rsidR="0000074E">
        <w:t xml:space="preserve">art of the President’s </w:t>
      </w:r>
      <w:bookmarkEnd w:id="1"/>
      <w:bookmarkEnd w:id="2"/>
      <w:r w:rsidR="002C2472" w:rsidRPr="002C2472">
        <w:t>Financial Fraud Enforcement Task Force</w:t>
      </w:r>
      <w:r w:rsidR="0000074E">
        <w:t xml:space="preserve">; </w:t>
      </w:r>
    </w:p>
    <w:p w:rsidR="0000074E" w:rsidRDefault="0000074E" w:rsidP="00C41EFB">
      <w:pPr>
        <w:pStyle w:val="BodyText"/>
        <w:numPr>
          <w:ilvl w:val="0"/>
          <w:numId w:val="7"/>
        </w:numPr>
        <w:ind w:left="720"/>
        <w:jc w:val="left"/>
      </w:pPr>
      <w:r>
        <w:t xml:space="preserve">stopping drug trafficking </w:t>
      </w:r>
      <w:r w:rsidRPr="003C3BDF">
        <w:rPr>
          <w:rFonts w:cs="Mangal"/>
        </w:rPr>
        <w:t xml:space="preserve">as part </w:t>
      </w:r>
      <w:r w:rsidRPr="002158E8">
        <w:t>of the Organized Crime and Drug Enforcement Task Force (OCDETF)</w:t>
      </w:r>
      <w:r>
        <w:t xml:space="preserve">; and investigating public corruption </w:t>
      </w:r>
      <w:r w:rsidRPr="00A91F68">
        <w:t>by workin</w:t>
      </w:r>
      <w:r w:rsidRPr="00084F23">
        <w:t>g</w:t>
      </w:r>
      <w:r>
        <w:rPr>
          <w:b/>
        </w:rPr>
        <w:t xml:space="preserve"> </w:t>
      </w:r>
      <w:r>
        <w:t>on prosecution te</w:t>
      </w:r>
      <w:r w:rsidR="003C3BDF">
        <w:t xml:space="preserve">ams with attorneys from various </w:t>
      </w:r>
      <w:r>
        <w:t>United States Attorney’s Offices and the Department’s Criminal Division.</w:t>
      </w:r>
    </w:p>
    <w:p w:rsidR="0000074E" w:rsidRDefault="003C3BDF" w:rsidP="00950E4D">
      <w:pPr>
        <w:pStyle w:val="BodyText"/>
        <w:spacing w:before="240" w:after="0"/>
        <w:jc w:val="left"/>
      </w:pPr>
      <w:bookmarkStart w:id="6" w:name="OLE_LINK30"/>
      <w:bookmarkStart w:id="7" w:name="OLE_LINK31"/>
      <w:r>
        <w:t>A</w:t>
      </w:r>
      <w:r w:rsidR="0000074E" w:rsidRPr="005844DC">
        <w:t xml:space="preserve"> solid infrastructure </w:t>
      </w:r>
      <w:r w:rsidR="0000074E">
        <w:t xml:space="preserve">is essential </w:t>
      </w:r>
      <w:r w:rsidR="0000074E" w:rsidRPr="005844DC">
        <w:t xml:space="preserve">to </w:t>
      </w:r>
      <w:r w:rsidR="0000074E">
        <w:t xml:space="preserve">the </w:t>
      </w:r>
      <w:r w:rsidR="0000074E" w:rsidRPr="005844DC">
        <w:t>Tax Division</w:t>
      </w:r>
      <w:r w:rsidR="0000074E">
        <w:t>’s</w:t>
      </w:r>
      <w:r w:rsidR="0000074E" w:rsidRPr="005844DC">
        <w:t xml:space="preserve"> achiev</w:t>
      </w:r>
      <w:r w:rsidR="0000074E">
        <w:t>ing</w:t>
      </w:r>
      <w:r w:rsidR="0000074E" w:rsidRPr="005844DC">
        <w:t xml:space="preserve"> the Department’s performance goals.  This infrastructure includes office automation support operations, the Justice Consolidated Office Network (JCONIIA) system within the Division, access to adequate litigation support, including courtroom presentation technologies, and the organizational and technical infrastructure to support the use of automated tools for </w:t>
      </w:r>
      <w:r w:rsidR="00907053">
        <w:t xml:space="preserve">electronic document discovery, </w:t>
      </w:r>
      <w:r w:rsidR="0000074E" w:rsidRPr="005844DC">
        <w:t>trial preparation, electronic filing, and courtroom presentation.</w:t>
      </w:r>
      <w:r w:rsidR="0000074E">
        <w:t xml:space="preserve">  The IT investment requested for FY 20</w:t>
      </w:r>
      <w:r w:rsidR="00191870">
        <w:t>1</w:t>
      </w:r>
      <w:r w:rsidR="009C25E1">
        <w:t xml:space="preserve">3 </w:t>
      </w:r>
      <w:r w:rsidR="0000074E">
        <w:t xml:space="preserve">is </w:t>
      </w:r>
      <w:r w:rsidR="0000074E" w:rsidRPr="005406A4">
        <w:t>1</w:t>
      </w:r>
      <w:r w:rsidR="004415B6">
        <w:t>6</w:t>
      </w:r>
      <w:r w:rsidR="0000074E" w:rsidRPr="005406A4">
        <w:t xml:space="preserve"> FTE and $</w:t>
      </w:r>
      <w:r w:rsidR="0003754B">
        <w:t>7,309,934</w:t>
      </w:r>
      <w:r w:rsidR="0000074E" w:rsidRPr="005406A4">
        <w:t>.</w:t>
      </w:r>
      <w:r w:rsidR="0000074E">
        <w:t xml:space="preserve">  No IT enhancements are requested for FY 20</w:t>
      </w:r>
      <w:r w:rsidR="00191870">
        <w:t>1</w:t>
      </w:r>
      <w:r w:rsidR="00C83B57">
        <w:t>3</w:t>
      </w:r>
      <w:r w:rsidR="0000074E">
        <w:t>.</w:t>
      </w:r>
      <w:bookmarkEnd w:id="6"/>
      <w:bookmarkEnd w:id="7"/>
    </w:p>
    <w:p w:rsidR="0000074E" w:rsidRDefault="00C262F4" w:rsidP="00134F50">
      <w:pPr>
        <w:pStyle w:val="BodyText"/>
        <w:spacing w:before="240" w:after="0"/>
        <w:jc w:val="left"/>
      </w:pPr>
      <w:bookmarkStart w:id="8" w:name="OLE_LINK24"/>
      <w:bookmarkStart w:id="9" w:name="OLE_LINK25"/>
      <w:r>
        <w:t>E</w:t>
      </w:r>
      <w:r w:rsidR="0000074E">
        <w:t>lectronic copies of the Department of Justice’s Congressional Budget justifications and Capital Asset Plan and Business Case exhibits can be viewed or downloaded from the Internet using the Internet address</w:t>
      </w:r>
      <w:r w:rsidR="0000074E" w:rsidRPr="000870C3">
        <w:t xml:space="preserve">: </w:t>
      </w:r>
      <w:bookmarkStart w:id="10" w:name="OLE_LINK20"/>
      <w:bookmarkStart w:id="11" w:name="OLE_LINK21"/>
      <w:r w:rsidR="00337A4D">
        <w:fldChar w:fldCharType="begin"/>
      </w:r>
      <w:r w:rsidR="00F72BBD">
        <w:instrText>HYPERLINK "http://www.justice.gov/02organizations/bpp.htm"</w:instrText>
      </w:r>
      <w:r w:rsidR="00337A4D">
        <w:fldChar w:fldCharType="separate"/>
      </w:r>
      <w:r w:rsidR="00F72BBD">
        <w:rPr>
          <w:rStyle w:val="Hyperlink"/>
        </w:rPr>
        <w:t>http://www.justice.gov/02organizations/bpp.htm</w:t>
      </w:r>
      <w:r w:rsidR="00337A4D">
        <w:fldChar w:fldCharType="end"/>
      </w:r>
      <w:r w:rsidR="00F72BBD" w:rsidRPr="00836002">
        <w:rPr>
          <w:bCs/>
        </w:rPr>
        <w:t>.</w:t>
      </w:r>
      <w:bookmarkEnd w:id="8"/>
      <w:bookmarkEnd w:id="9"/>
      <w:bookmarkEnd w:id="10"/>
      <w:bookmarkEnd w:id="11"/>
    </w:p>
    <w:p w:rsidR="0000074E" w:rsidRDefault="001A3D76" w:rsidP="001A3D76">
      <w:pPr>
        <w:pStyle w:val="Heading2"/>
        <w:numPr>
          <w:ilvl w:val="0"/>
          <w:numId w:val="0"/>
        </w:numPr>
        <w:spacing w:line="360" w:lineRule="auto"/>
        <w:ind w:left="540"/>
      </w:pPr>
      <w:r>
        <w:t xml:space="preserve">B. </w:t>
      </w:r>
      <w:r w:rsidR="0000074E">
        <w:t>Full Program Costs</w:t>
      </w:r>
    </w:p>
    <w:p w:rsidR="003C505B" w:rsidRPr="003822D9" w:rsidRDefault="003C505B" w:rsidP="003C505B">
      <w:pPr>
        <w:pStyle w:val="BodyText"/>
      </w:pPr>
      <w:r w:rsidRPr="003822D9">
        <w:t xml:space="preserve">The following is a brief summary of the Department’s Strategic Goals and Objectives in which </w:t>
      </w:r>
      <w:r>
        <w:t xml:space="preserve">the Tax Division </w:t>
      </w:r>
      <w:r w:rsidRPr="003822D9">
        <w:t xml:space="preserve">plays a role.  </w:t>
      </w:r>
    </w:p>
    <w:p w:rsidR="003C505B" w:rsidRPr="00E83614" w:rsidRDefault="003C505B" w:rsidP="003C505B">
      <w:pPr>
        <w:pStyle w:val="BodyText"/>
        <w:rPr>
          <w:u w:val="single"/>
        </w:rPr>
      </w:pPr>
      <w:r w:rsidRPr="00E83614">
        <w:rPr>
          <w:u w:val="single"/>
        </w:rPr>
        <w:t>DOJ Strategic Goal 2:  Prevent Crime, Protect the Rights of the American People, and Enforce Federal Law.</w:t>
      </w:r>
    </w:p>
    <w:p w:rsidR="003C505B" w:rsidRDefault="003C505B" w:rsidP="003C505B">
      <w:pPr>
        <w:numPr>
          <w:ilvl w:val="0"/>
          <w:numId w:val="39"/>
        </w:numPr>
        <w:autoSpaceDE w:val="0"/>
        <w:autoSpaceDN w:val="0"/>
        <w:adjustRightInd w:val="0"/>
      </w:pPr>
      <w:r>
        <w:t>Combat corruption, economic crimes, and international organized crime (2.4)</w:t>
      </w:r>
    </w:p>
    <w:p w:rsidR="003C505B" w:rsidRDefault="003C505B" w:rsidP="003C505B">
      <w:pPr>
        <w:numPr>
          <w:ilvl w:val="0"/>
          <w:numId w:val="39"/>
        </w:numPr>
        <w:autoSpaceDE w:val="0"/>
        <w:autoSpaceDN w:val="0"/>
        <w:adjustRightInd w:val="0"/>
      </w:pPr>
      <w:r>
        <w:t>Protect the federal fisc and defend the interests of the United States (2.6)</w:t>
      </w:r>
    </w:p>
    <w:p w:rsidR="003C505B" w:rsidRDefault="003C505B" w:rsidP="003C505B">
      <w:pPr>
        <w:autoSpaceDE w:val="0"/>
        <w:autoSpaceDN w:val="0"/>
        <w:adjustRightInd w:val="0"/>
      </w:pPr>
    </w:p>
    <w:p w:rsidR="0000074E" w:rsidRDefault="0000074E" w:rsidP="006B2852">
      <w:r>
        <w:t>This Strategic Goal defines the two broad programs areas:</w:t>
      </w:r>
    </w:p>
    <w:p w:rsidR="0000074E" w:rsidRDefault="0000074E" w:rsidP="006B2852"/>
    <w:p w:rsidR="0000074E" w:rsidRPr="008105E7" w:rsidRDefault="0000074E" w:rsidP="006B2852">
      <w:pPr>
        <w:numPr>
          <w:ilvl w:val="0"/>
          <w:numId w:val="6"/>
        </w:numPr>
      </w:pPr>
      <w:r>
        <w:t xml:space="preserve">Civil Tax Litigation and Appeals - </w:t>
      </w:r>
      <w:r w:rsidRPr="008105E7">
        <w:t>$</w:t>
      </w:r>
      <w:r w:rsidR="00130FBE">
        <w:t>78,779,660</w:t>
      </w:r>
    </w:p>
    <w:p w:rsidR="0000074E" w:rsidRPr="008105E7" w:rsidRDefault="0000074E" w:rsidP="006B2852">
      <w:pPr>
        <w:numPr>
          <w:ilvl w:val="0"/>
          <w:numId w:val="6"/>
        </w:numPr>
      </w:pPr>
      <w:r w:rsidRPr="008105E7">
        <w:t>Criminal Tax Prosecution and Appeals - $</w:t>
      </w:r>
      <w:r w:rsidR="00BF00DD">
        <w:t>2</w:t>
      </w:r>
      <w:r w:rsidR="00697D62">
        <w:t>7</w:t>
      </w:r>
      <w:r w:rsidR="00130FBE">
        <w:t>,679,340</w:t>
      </w:r>
    </w:p>
    <w:p w:rsidR="0000074E" w:rsidRDefault="0000074E" w:rsidP="00AE327E"/>
    <w:p w:rsidR="0000074E" w:rsidRDefault="0000074E" w:rsidP="009860F8">
      <w:pPr>
        <w:ind w:firstLine="720"/>
      </w:pPr>
      <w:r w:rsidRPr="000A07EB">
        <w:t>The FY 20</w:t>
      </w:r>
      <w:r w:rsidR="00EF5377">
        <w:t>1</w:t>
      </w:r>
      <w:r w:rsidR="008020D6">
        <w:t>3</w:t>
      </w:r>
      <w:r w:rsidRPr="000A07EB">
        <w:t xml:space="preserve"> budget request assumes</w:t>
      </w:r>
      <w:r w:rsidR="000E20C4">
        <w:t xml:space="preserve"> </w:t>
      </w:r>
      <w:r w:rsidR="00C83B8C">
        <w:t>74</w:t>
      </w:r>
      <w:r w:rsidR="00E836CE">
        <w:t xml:space="preserve">% </w:t>
      </w:r>
      <w:r w:rsidR="00E836CE" w:rsidRPr="000A07EB">
        <w:t xml:space="preserve">of the Division’s budget and expenditures can be attributed to its Civil Tax Litigation and Appeals and </w:t>
      </w:r>
      <w:r w:rsidR="00C83B8C">
        <w:t>26</w:t>
      </w:r>
      <w:r w:rsidR="00E836CE" w:rsidRPr="000A07EB">
        <w:t>% percent to Criminal Tax Prosecution and Appeals.</w:t>
      </w:r>
      <w:r>
        <w:t xml:space="preserve">  </w:t>
      </w:r>
    </w:p>
    <w:p w:rsidR="0000074E" w:rsidRDefault="0000074E" w:rsidP="006B2852"/>
    <w:p w:rsidR="00D43ABA" w:rsidRDefault="0000074E" w:rsidP="00D43ABA">
      <w:pPr>
        <w:spacing w:after="60"/>
        <w:ind w:firstLine="720"/>
      </w:pPr>
      <w:r>
        <w:t>This budget request incorporates all costs</w:t>
      </w:r>
      <w:r w:rsidR="00EB64B7">
        <w:t xml:space="preserve">, </w:t>
      </w:r>
      <w:r>
        <w:t>includ</w:t>
      </w:r>
      <w:r w:rsidR="00EB64B7">
        <w:t>ing</w:t>
      </w:r>
      <w:r>
        <w:t xml:space="preserve"> mission costs related to cases and matters, mission costs related to oversight and policy, and overhead.</w:t>
      </w:r>
      <w:bookmarkStart w:id="12" w:name="OLE_LINK26"/>
      <w:bookmarkStart w:id="13" w:name="OLE_LINK27"/>
    </w:p>
    <w:p w:rsidR="00D43ABA" w:rsidRDefault="00D43ABA" w:rsidP="00D43ABA">
      <w:pPr>
        <w:spacing w:after="60"/>
        <w:ind w:firstLine="720"/>
      </w:pPr>
    </w:p>
    <w:p w:rsidR="002772E9" w:rsidRDefault="002772E9" w:rsidP="00D43ABA">
      <w:pPr>
        <w:ind w:firstLine="720"/>
        <w:rPr>
          <w:b/>
          <w:i/>
          <w:sz w:val="28"/>
          <w:szCs w:val="28"/>
        </w:rPr>
      </w:pPr>
    </w:p>
    <w:p w:rsidR="002772E9" w:rsidRDefault="002772E9" w:rsidP="00D43ABA">
      <w:pPr>
        <w:ind w:firstLine="720"/>
        <w:rPr>
          <w:b/>
          <w:i/>
          <w:sz w:val="28"/>
          <w:szCs w:val="28"/>
        </w:rPr>
      </w:pPr>
    </w:p>
    <w:p w:rsidR="002772E9" w:rsidRDefault="002772E9" w:rsidP="00D43ABA">
      <w:pPr>
        <w:ind w:firstLine="720"/>
        <w:rPr>
          <w:b/>
          <w:i/>
          <w:sz w:val="28"/>
          <w:szCs w:val="28"/>
        </w:rPr>
      </w:pPr>
    </w:p>
    <w:p w:rsidR="00D43ABA" w:rsidRDefault="00D43ABA" w:rsidP="00D43ABA">
      <w:pPr>
        <w:ind w:firstLine="720"/>
        <w:rPr>
          <w:b/>
          <w:i/>
          <w:sz w:val="28"/>
          <w:szCs w:val="28"/>
        </w:rPr>
      </w:pPr>
      <w:r>
        <w:rPr>
          <w:b/>
          <w:i/>
          <w:sz w:val="28"/>
          <w:szCs w:val="28"/>
        </w:rPr>
        <w:t xml:space="preserve">C. </w:t>
      </w:r>
      <w:r w:rsidRPr="00E812D3">
        <w:rPr>
          <w:b/>
          <w:i/>
          <w:sz w:val="28"/>
          <w:szCs w:val="28"/>
        </w:rPr>
        <w:t>Environmental Accountability</w:t>
      </w:r>
    </w:p>
    <w:p w:rsidR="00E05FA6" w:rsidRDefault="00E05FA6" w:rsidP="00D43ABA">
      <w:pPr>
        <w:ind w:firstLine="720"/>
        <w:rPr>
          <w:b/>
          <w:i/>
          <w:sz w:val="28"/>
          <w:szCs w:val="28"/>
        </w:rPr>
      </w:pPr>
    </w:p>
    <w:p w:rsidR="00E05FA6" w:rsidRDefault="00E05FA6" w:rsidP="00E05FA6">
      <w:pPr>
        <w:ind w:firstLine="720"/>
      </w:pPr>
      <w:r w:rsidRPr="00456E44">
        <w:t>The Tax Division has in place existing policies to incorporate environmental accountability in its day-to</w:t>
      </w:r>
      <w:r>
        <w:t>-</w:t>
      </w:r>
      <w:r w:rsidRPr="00456E44">
        <w:t xml:space="preserve">day operations.  These include </w:t>
      </w:r>
      <w:r>
        <w:t xml:space="preserve">such </w:t>
      </w:r>
      <w:r w:rsidRPr="00456E44">
        <w:t>green purch</w:t>
      </w:r>
      <w:r>
        <w:t>asing policies as</w:t>
      </w:r>
      <w:r w:rsidRPr="00456E44">
        <w:t xml:space="preserve">:  (i) </w:t>
      </w:r>
      <w:r>
        <w:t>mandating</w:t>
      </w:r>
      <w:r w:rsidRPr="00456E44">
        <w:t xml:space="preserve"> the purchase of certain recycled paper products (copier/printer paper</w:t>
      </w:r>
      <w:r>
        <w:t>,</w:t>
      </w:r>
      <w:r w:rsidRPr="00456E44">
        <w:t xml:space="preserve"> paper towels) and (ii) providing </w:t>
      </w:r>
      <w:r>
        <w:t>employees</w:t>
      </w:r>
      <w:r w:rsidRPr="00456E44">
        <w:t xml:space="preserve"> responsible for purchasing office supplies training and written guidance </w:t>
      </w:r>
      <w:r>
        <w:t xml:space="preserve">on </w:t>
      </w:r>
      <w:r w:rsidRPr="00456E44">
        <w:t xml:space="preserve">green purchasing.  </w:t>
      </w:r>
      <w:r w:rsidRPr="00F32C28">
        <w:t xml:space="preserve">All </w:t>
      </w:r>
      <w:r>
        <w:t>t</w:t>
      </w:r>
      <w:r w:rsidRPr="00F32C28">
        <w:t>raining and guidance prohibits the purchase of hazardous materials that would potentially damage the environment.</w:t>
      </w:r>
      <w:r>
        <w:t xml:space="preserve">  </w:t>
      </w:r>
      <w:r w:rsidRPr="00456E44">
        <w:t>In addition, Tax reduce</w:t>
      </w:r>
      <w:r>
        <w:t>s</w:t>
      </w:r>
      <w:r w:rsidRPr="00456E44">
        <w:t> waste and environmental impact</w:t>
      </w:r>
      <w:r>
        <w:t xml:space="preserve"> by</w:t>
      </w:r>
      <w:r w:rsidRPr="00456E44">
        <w:t>:  (i) setting the default on printers to two-sided printing; (ii)  placing recycling bins for paper, glass, aluminum,</w:t>
      </w:r>
      <w:r>
        <w:t xml:space="preserve"> </w:t>
      </w:r>
      <w:r w:rsidRPr="00456E44">
        <w:t>and plastic in central locations and providing paper recycling containers for individual employee use to encourage</w:t>
      </w:r>
      <w:r>
        <w:t xml:space="preserve"> recycling; (iii) recycling </w:t>
      </w:r>
      <w:r w:rsidRPr="00456E44">
        <w:t>used printer cartridges</w:t>
      </w:r>
      <w:r>
        <w:t xml:space="preserve">; (iv) promoting circulating documents in electronic format only; (v) promoting scanning instead of photocopying; and (vi) recycling blackberrys, cell phones, laptops, computers and computer battery packs.  The Tax Division also has an environmentally friendly document destruction method where sensitive material that was previously burned is now shredded and recycled.  The Tax Division is also looking at best practices for procuring goods and services in other offices in the Department to determine how to improve our processes.   </w:t>
      </w:r>
    </w:p>
    <w:p w:rsidR="00E05FA6" w:rsidRDefault="00E05FA6" w:rsidP="00E05FA6"/>
    <w:p w:rsidR="00E05FA6" w:rsidRPr="00456E44" w:rsidRDefault="00E05FA6" w:rsidP="00E05FA6">
      <w:pPr>
        <w:ind w:firstLine="720"/>
      </w:pPr>
      <w:r>
        <w:t xml:space="preserve">The Division continues to work to reduce the environmental impact of its buildings.  </w:t>
      </w:r>
      <w:r w:rsidRPr="00F32C28">
        <w:t>The Division</w:t>
      </w:r>
      <w:r>
        <w:t xml:space="preserve"> is working </w:t>
      </w:r>
      <w:r w:rsidRPr="00F32C28">
        <w:t xml:space="preserve">with each </w:t>
      </w:r>
      <w:r>
        <w:t>b</w:t>
      </w:r>
      <w:r w:rsidRPr="00F32C28">
        <w:t>uilding’s Property Manager as they pursue Leed Certifications for their respective facilities through the General Services Administration and U.S. Green Building Counsel.</w:t>
      </w:r>
      <w:r>
        <w:t xml:space="preserve">  Tax-occupied space in the Judiciary Center Building has been retrofitted with energy-efficient light fixtures and light bulbs, and light sensors have been installed throughout the Patrick Henry Building.  T</w:t>
      </w:r>
      <w:r w:rsidRPr="00456E44">
        <w:t>ax also requests contractors who perform construction-related activities in Tax space to use green materials whenever possible.</w:t>
      </w:r>
      <w:r>
        <w:t xml:space="preserve">  </w:t>
      </w:r>
    </w:p>
    <w:p w:rsidR="00E05FA6" w:rsidRPr="00E812D3" w:rsidRDefault="00E05FA6" w:rsidP="00D43ABA">
      <w:pPr>
        <w:ind w:firstLine="720"/>
        <w:rPr>
          <w:b/>
          <w:i/>
          <w:sz w:val="28"/>
          <w:szCs w:val="28"/>
        </w:rPr>
      </w:pPr>
    </w:p>
    <w:p w:rsidR="0000074E" w:rsidRDefault="00D43ABA" w:rsidP="001A3D76">
      <w:pPr>
        <w:pStyle w:val="Heading2"/>
        <w:numPr>
          <w:ilvl w:val="0"/>
          <w:numId w:val="0"/>
        </w:numPr>
        <w:spacing w:line="360" w:lineRule="auto"/>
        <w:ind w:left="720"/>
      </w:pPr>
      <w:r>
        <w:t>D</w:t>
      </w:r>
      <w:r w:rsidR="001A3D76">
        <w:t xml:space="preserve">. </w:t>
      </w:r>
      <w:r w:rsidR="0000074E">
        <w:t>Performance Challenges</w:t>
      </w:r>
    </w:p>
    <w:p w:rsidR="0000074E" w:rsidRDefault="0000074E" w:rsidP="005C6886">
      <w:pPr>
        <w:pStyle w:val="BodyText"/>
        <w:spacing w:after="240"/>
        <w:jc w:val="left"/>
        <w:rPr>
          <w:color w:val="000000"/>
        </w:rPr>
      </w:pPr>
      <w:r w:rsidRPr="00772E0E">
        <w:t xml:space="preserve">The </w:t>
      </w:r>
      <w:r>
        <w:t xml:space="preserve">Tax </w:t>
      </w:r>
      <w:r w:rsidRPr="00772E0E">
        <w:t xml:space="preserve">Division faces </w:t>
      </w:r>
      <w:r>
        <w:t xml:space="preserve">two serious and immediate </w:t>
      </w:r>
      <w:r w:rsidRPr="00772E0E">
        <w:t xml:space="preserve">challenges </w:t>
      </w:r>
      <w:r>
        <w:t xml:space="preserve">to the accomplishment of its mission.  </w:t>
      </w:r>
    </w:p>
    <w:p w:rsidR="0000074E" w:rsidRDefault="0000074E" w:rsidP="006F2376">
      <w:pPr>
        <w:pStyle w:val="Heading3"/>
        <w:numPr>
          <w:ilvl w:val="0"/>
          <w:numId w:val="0"/>
        </w:numPr>
        <w:ind w:left="1800" w:hanging="360"/>
      </w:pPr>
      <w:r w:rsidRPr="00772307">
        <w:t xml:space="preserve">External </w:t>
      </w:r>
      <w:r>
        <w:t>–</w:t>
      </w:r>
      <w:r w:rsidRPr="00772307">
        <w:t xml:space="preserve"> </w:t>
      </w:r>
      <w:r w:rsidR="00B275C4">
        <w:t>Reducing the Tax Gap</w:t>
      </w:r>
      <w:r w:rsidR="0096775A">
        <w:t xml:space="preserve"> a</w:t>
      </w:r>
      <w:r w:rsidR="00B07736">
        <w:t>mid Increasing Globalization</w:t>
      </w:r>
      <w:r w:rsidR="0096775A">
        <w:t xml:space="preserve"> </w:t>
      </w:r>
    </w:p>
    <w:p w:rsidR="00B07736" w:rsidRDefault="00306909" w:rsidP="000C04BA">
      <w:pPr>
        <w:pStyle w:val="BodyText"/>
        <w:jc w:val="left"/>
      </w:pPr>
      <w:r>
        <w:t>The IRS collects over $2</w:t>
      </w:r>
      <w:r w:rsidR="001E66A1">
        <w:t>.2</w:t>
      </w:r>
      <w:r w:rsidR="00185D9A">
        <w:t>7</w:t>
      </w:r>
      <w:r>
        <w:t xml:space="preserve"> trillion annually.  Over $</w:t>
      </w:r>
      <w:r w:rsidR="00185D9A">
        <w:t>2.21</w:t>
      </w:r>
      <w:r>
        <w:t xml:space="preserve"> trillion (or 9</w:t>
      </w:r>
      <w:r w:rsidR="00185D9A">
        <w:t>7</w:t>
      </w:r>
      <w:r>
        <w:t>% of total collections) results from taxpayers’ voluntary compliance with the tax law; the remainder, $</w:t>
      </w:r>
      <w:r w:rsidR="001E66A1">
        <w:t>65</w:t>
      </w:r>
      <w:r>
        <w:t xml:space="preserve"> billion, comes from enforcement activity.  </w:t>
      </w:r>
      <w:r w:rsidR="000C04BA">
        <w:t xml:space="preserve">The IRS estimates that the Tax Gap – the difference between the amount of taxes owed and the amount paid voluntarily and timely </w:t>
      </w:r>
      <w:r w:rsidR="0096775A">
        <w:t xml:space="preserve">– </w:t>
      </w:r>
      <w:r w:rsidR="000C04BA">
        <w:t>is more than $3</w:t>
      </w:r>
      <w:r w:rsidR="001E66A1">
        <w:t>8</w:t>
      </w:r>
      <w:r w:rsidR="000C04BA">
        <w:t xml:space="preserve">5 billion every year.  </w:t>
      </w:r>
      <w:r w:rsidR="007459F5">
        <w:t xml:space="preserve">More recently, an independent analyst has estimated that the gross </w:t>
      </w:r>
      <w:r w:rsidR="00B035FD">
        <w:t>T</w:t>
      </w:r>
      <w:r w:rsidR="007459F5">
        <w:t xml:space="preserve">ax </w:t>
      </w:r>
      <w:r w:rsidR="00B035FD">
        <w:t>G</w:t>
      </w:r>
      <w:r w:rsidR="007459F5">
        <w:t>ap may have increased to $400 billion as of 2006.</w:t>
      </w:r>
      <w:r w:rsidR="007459F5">
        <w:rPr>
          <w:rStyle w:val="FootnoteReference"/>
        </w:rPr>
        <w:footnoteReference w:id="7"/>
      </w:r>
      <w:r w:rsidR="007459F5">
        <w:t xml:space="preserve"> </w:t>
      </w:r>
      <w:r w:rsidR="00B10720">
        <w:t xml:space="preserve"> </w:t>
      </w:r>
      <w:r w:rsidR="007513A3">
        <w:t xml:space="preserve">The IRS Oversight </w:t>
      </w:r>
      <w:r w:rsidR="00DF3867">
        <w:t>Board cited</w:t>
      </w:r>
      <w:r w:rsidR="007513A3">
        <w:t xml:space="preserve"> reducing the Tax Gap as the “most serious problem facing tax administration today</w:t>
      </w:r>
      <w:r w:rsidR="0096775A">
        <w:t>.</w:t>
      </w:r>
      <w:r w:rsidR="007513A3">
        <w:t>”</w:t>
      </w:r>
      <w:r w:rsidR="007513A3">
        <w:rPr>
          <w:rStyle w:val="FootnoteReference"/>
        </w:rPr>
        <w:footnoteReference w:id="8"/>
      </w:r>
      <w:r w:rsidR="00B07736">
        <w:t xml:space="preserve">  This</w:t>
      </w:r>
      <w:r w:rsidR="0096775A">
        <w:t xml:space="preserve"> </w:t>
      </w:r>
      <w:r w:rsidR="00B07736">
        <w:t>problem</w:t>
      </w:r>
      <w:r w:rsidR="0096775A">
        <w:t xml:space="preserve"> is </w:t>
      </w:r>
      <w:r w:rsidR="00B07736">
        <w:t xml:space="preserve">exacerbated by </w:t>
      </w:r>
      <w:r w:rsidR="0096775A">
        <w:t xml:space="preserve">the </w:t>
      </w:r>
      <w:r w:rsidR="00B07736">
        <w:t>vast increase in</w:t>
      </w:r>
      <w:r w:rsidR="00E83CD6">
        <w:t xml:space="preserve"> financial</w:t>
      </w:r>
      <w:r w:rsidR="00B07736">
        <w:t xml:space="preserve"> globalization</w:t>
      </w:r>
      <w:r w:rsidR="00805099">
        <w:t xml:space="preserve">, which </w:t>
      </w:r>
      <w:r w:rsidR="00E83CD6">
        <w:t xml:space="preserve">has expanded the opportunities for </w:t>
      </w:r>
      <w:r w:rsidR="00805099">
        <w:t xml:space="preserve">assets and income to be </w:t>
      </w:r>
      <w:r w:rsidR="00E83CD6">
        <w:t xml:space="preserve">easily </w:t>
      </w:r>
      <w:r w:rsidR="00805099">
        <w:t>hidden offshore.</w:t>
      </w:r>
    </w:p>
    <w:p w:rsidR="00B275C4" w:rsidRDefault="000C04BA" w:rsidP="000C04BA">
      <w:pPr>
        <w:pStyle w:val="BodyText"/>
        <w:jc w:val="left"/>
      </w:pPr>
      <w:r>
        <w:t xml:space="preserve">Any effort to reduce the Tax Gap requires increased enforcement.  </w:t>
      </w:r>
      <w:r w:rsidR="00B07736">
        <w:t>T</w:t>
      </w:r>
      <w:r>
        <w:t>he challenge is to narrow that gap in a way that not only collects the revenue due, but also assures the public that enforcement actions are vigorous, fair, and uniform.</w:t>
      </w:r>
    </w:p>
    <w:p w:rsidR="00D35205" w:rsidRDefault="00D35205" w:rsidP="00B275C4">
      <w:pPr>
        <w:pStyle w:val="Heading3"/>
        <w:numPr>
          <w:ilvl w:val="0"/>
          <w:numId w:val="0"/>
        </w:numPr>
        <w:ind w:left="1440"/>
      </w:pPr>
      <w:r>
        <w:t xml:space="preserve">Internal – </w:t>
      </w:r>
      <w:r w:rsidR="00780D80">
        <w:t xml:space="preserve">Funding the Cost </w:t>
      </w:r>
      <w:r w:rsidR="00DF3867">
        <w:t>of Litigation</w:t>
      </w:r>
    </w:p>
    <w:p w:rsidR="0071028B" w:rsidRDefault="0071028B" w:rsidP="00D35205"/>
    <w:p w:rsidR="0096775A" w:rsidRDefault="00D35205" w:rsidP="0096775A">
      <w:r>
        <w:tab/>
      </w:r>
      <w:r w:rsidRPr="00B52E3C">
        <w:t xml:space="preserve">The Tax Division’s workload is directly related to IRS enforcement efforts.  </w:t>
      </w:r>
      <w:r w:rsidR="003935C8" w:rsidRPr="00B52E3C">
        <w:t xml:space="preserve">Historically, </w:t>
      </w:r>
      <w:r w:rsidR="003935C8">
        <w:t>an</w:t>
      </w:r>
      <w:r w:rsidR="003935C8" w:rsidRPr="00B52E3C">
        <w:t xml:space="preserve"> increase in IRS enforcement activity leads to increased</w:t>
      </w:r>
      <w:r w:rsidR="003935C8" w:rsidRPr="001C35BE">
        <w:t xml:space="preserve"> Division workload, with a lag time of about two years.  </w:t>
      </w:r>
      <w:r w:rsidR="003935C8">
        <w:t xml:space="preserve"> </w:t>
      </w:r>
      <w:r w:rsidRPr="00B52E3C">
        <w:t>Congress increased the IRS’s enforcement budget by $</w:t>
      </w:r>
      <w:r w:rsidR="00DF3EB5">
        <w:t>337</w:t>
      </w:r>
      <w:r w:rsidRPr="00B52E3C">
        <w:t xml:space="preserve"> million</w:t>
      </w:r>
      <w:r w:rsidR="00B13B59">
        <w:t xml:space="preserve"> in FY 200</w:t>
      </w:r>
      <w:r w:rsidR="00DF3EB5">
        <w:t>9</w:t>
      </w:r>
      <w:r w:rsidR="00FC7FD2">
        <w:t xml:space="preserve"> and</w:t>
      </w:r>
      <w:r w:rsidR="00F44861">
        <w:t xml:space="preserve"> </w:t>
      </w:r>
      <w:r w:rsidR="00BA2EA0">
        <w:t>an additional</w:t>
      </w:r>
      <w:r w:rsidR="00B13B59">
        <w:t xml:space="preserve"> </w:t>
      </w:r>
      <w:r w:rsidRPr="00B52E3C">
        <w:t>$</w:t>
      </w:r>
      <w:r w:rsidR="00DF3EB5">
        <w:t>387</w:t>
      </w:r>
      <w:r w:rsidRPr="00B52E3C">
        <w:t xml:space="preserve"> million </w:t>
      </w:r>
      <w:r w:rsidR="00B13B59">
        <w:t>in FY 20</w:t>
      </w:r>
      <w:r w:rsidR="00DF3EB5">
        <w:t>10</w:t>
      </w:r>
      <w:r w:rsidR="00FC7FD2">
        <w:t>.</w:t>
      </w:r>
      <w:r w:rsidRPr="00B52E3C">
        <w:t xml:space="preserve">   </w:t>
      </w:r>
      <w:r w:rsidR="0096775A">
        <w:t>Moreover, it is expected that the Division’s case mix</w:t>
      </w:r>
      <w:r w:rsidR="00907053">
        <w:t xml:space="preserve"> </w:t>
      </w:r>
      <w:r w:rsidR="0096775A">
        <w:t>–</w:t>
      </w:r>
      <w:r w:rsidR="00907053">
        <w:t xml:space="preserve"> </w:t>
      </w:r>
      <w:r w:rsidR="0096775A">
        <w:t xml:space="preserve">both civil and </w:t>
      </w:r>
      <w:r w:rsidR="00907053">
        <w:t xml:space="preserve">criminal </w:t>
      </w:r>
      <w:r w:rsidR="0096775A">
        <w:t>–</w:t>
      </w:r>
      <w:r w:rsidR="00907053">
        <w:t xml:space="preserve"> </w:t>
      </w:r>
      <w:r w:rsidR="0096775A">
        <w:t>will continue to become increasingly complex, as the IRS focuses its enforcement efforts on offshore issues and on taxpayer populations with more sophisticated tax issues, such as flow-through entities, high-income individuals, and corporations.</w:t>
      </w:r>
      <w:r w:rsidR="0096775A">
        <w:rPr>
          <w:rStyle w:val="FootnoteReference"/>
        </w:rPr>
        <w:footnoteReference w:id="9"/>
      </w:r>
    </w:p>
    <w:p w:rsidR="00A81821" w:rsidRDefault="00A81821" w:rsidP="0096775A"/>
    <w:p w:rsidR="00780D80" w:rsidRDefault="00780D80" w:rsidP="0096775A"/>
    <w:bookmarkEnd w:id="12"/>
    <w:bookmarkEnd w:id="13"/>
    <w:p w:rsidR="00F214B7" w:rsidRDefault="00F214B7" w:rsidP="00F214B7">
      <w:pPr>
        <w:rPr>
          <w:b/>
          <w:sz w:val="28"/>
          <w:szCs w:val="28"/>
        </w:rPr>
      </w:pPr>
      <w:r>
        <w:rPr>
          <w:b/>
          <w:sz w:val="28"/>
          <w:szCs w:val="28"/>
        </w:rPr>
        <w:t>II</w:t>
      </w:r>
      <w:r w:rsidR="00AA2AA6">
        <w:rPr>
          <w:b/>
          <w:sz w:val="28"/>
          <w:szCs w:val="28"/>
        </w:rPr>
        <w:t>. Summary</w:t>
      </w:r>
      <w:r>
        <w:rPr>
          <w:b/>
          <w:sz w:val="28"/>
          <w:szCs w:val="28"/>
        </w:rPr>
        <w:t xml:space="preserve"> of Program Changes</w:t>
      </w:r>
      <w:r w:rsidR="002F6AFC">
        <w:rPr>
          <w:b/>
          <w:sz w:val="28"/>
          <w:szCs w:val="28"/>
        </w:rPr>
        <w:t xml:space="preserve"> </w:t>
      </w:r>
      <w:r w:rsidR="001D76A3">
        <w:rPr>
          <w:b/>
          <w:sz w:val="28"/>
          <w:szCs w:val="28"/>
        </w:rPr>
        <w:t xml:space="preserve">   </w:t>
      </w:r>
    </w:p>
    <w:p w:rsidR="00D35205" w:rsidRPr="00F35573" w:rsidRDefault="00D35205" w:rsidP="00EC12C8">
      <w:pPr>
        <w:pStyle w:val="BodyText"/>
      </w:pPr>
    </w:p>
    <w:p w:rsidR="002A67ED" w:rsidRDefault="002A67ED" w:rsidP="006B2852">
      <w:pPr>
        <w:rPr>
          <w:b/>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1"/>
        <w:gridCol w:w="4647"/>
        <w:gridCol w:w="720"/>
        <w:gridCol w:w="720"/>
        <w:gridCol w:w="1080"/>
        <w:gridCol w:w="810"/>
      </w:tblGrid>
      <w:tr w:rsidR="004B2219" w:rsidTr="00D46A29">
        <w:trPr>
          <w:cantSplit/>
        </w:trPr>
        <w:tc>
          <w:tcPr>
            <w:tcW w:w="1761" w:type="dxa"/>
            <w:vMerge w:val="restart"/>
            <w:shd w:val="clear" w:color="auto" w:fill="D9D9D9"/>
          </w:tcPr>
          <w:p w:rsidR="004B2219" w:rsidRPr="00281BD8" w:rsidRDefault="004B2219" w:rsidP="00D46A29">
            <w:pPr>
              <w:pStyle w:val="BodyText"/>
              <w:jc w:val="center"/>
              <w:rPr>
                <w:bCs/>
              </w:rPr>
            </w:pPr>
          </w:p>
          <w:p w:rsidR="004B2219" w:rsidRPr="00281BD8" w:rsidRDefault="004B2219" w:rsidP="00D46A29">
            <w:pPr>
              <w:pStyle w:val="BodyText"/>
              <w:ind w:firstLine="0"/>
              <w:rPr>
                <w:bCs/>
              </w:rPr>
            </w:pPr>
            <w:r w:rsidRPr="00281BD8">
              <w:rPr>
                <w:bCs/>
              </w:rPr>
              <w:t>Item Name</w:t>
            </w:r>
          </w:p>
        </w:tc>
        <w:tc>
          <w:tcPr>
            <w:tcW w:w="7167" w:type="dxa"/>
            <w:gridSpan w:val="4"/>
            <w:shd w:val="clear" w:color="auto" w:fill="D9D9D9"/>
          </w:tcPr>
          <w:p w:rsidR="004B2219" w:rsidRPr="00281BD8" w:rsidRDefault="004B2219" w:rsidP="00D46A29">
            <w:pPr>
              <w:pStyle w:val="BodyText"/>
              <w:jc w:val="center"/>
              <w:rPr>
                <w:bCs/>
              </w:rPr>
            </w:pPr>
          </w:p>
          <w:p w:rsidR="004B2219" w:rsidRPr="00281BD8" w:rsidRDefault="004B2219" w:rsidP="00D46A29">
            <w:pPr>
              <w:pStyle w:val="BodyText"/>
              <w:jc w:val="center"/>
              <w:rPr>
                <w:bCs/>
              </w:rPr>
            </w:pPr>
            <w:r w:rsidRPr="00281BD8">
              <w:rPr>
                <w:bCs/>
              </w:rPr>
              <w:t>Description</w:t>
            </w:r>
          </w:p>
        </w:tc>
        <w:tc>
          <w:tcPr>
            <w:tcW w:w="810" w:type="dxa"/>
            <w:vMerge w:val="restart"/>
            <w:shd w:val="clear" w:color="auto" w:fill="D9D9D9"/>
          </w:tcPr>
          <w:p w:rsidR="004B2219" w:rsidRPr="00281BD8" w:rsidRDefault="004B2219" w:rsidP="00D46A29">
            <w:pPr>
              <w:pStyle w:val="BodyText"/>
              <w:jc w:val="center"/>
              <w:rPr>
                <w:bCs/>
              </w:rPr>
            </w:pPr>
          </w:p>
          <w:p w:rsidR="004B2219" w:rsidRPr="00281BD8" w:rsidRDefault="004B2219" w:rsidP="00D46A29">
            <w:pPr>
              <w:pStyle w:val="BodyText"/>
              <w:jc w:val="center"/>
              <w:rPr>
                <w:bCs/>
              </w:rPr>
            </w:pPr>
            <w:r>
              <w:rPr>
                <w:bCs/>
              </w:rPr>
              <w:t>PPage</w:t>
            </w:r>
          </w:p>
        </w:tc>
      </w:tr>
      <w:tr w:rsidR="004B2219" w:rsidTr="00D46A29">
        <w:trPr>
          <w:cantSplit/>
        </w:trPr>
        <w:tc>
          <w:tcPr>
            <w:tcW w:w="1761" w:type="dxa"/>
            <w:vMerge/>
          </w:tcPr>
          <w:p w:rsidR="004B2219" w:rsidRPr="00281BD8" w:rsidRDefault="004B2219" w:rsidP="00D46A29">
            <w:pPr>
              <w:pStyle w:val="BodyText"/>
              <w:jc w:val="center"/>
              <w:rPr>
                <w:bCs/>
              </w:rPr>
            </w:pPr>
          </w:p>
        </w:tc>
        <w:tc>
          <w:tcPr>
            <w:tcW w:w="4647" w:type="dxa"/>
          </w:tcPr>
          <w:p w:rsidR="004B2219" w:rsidRPr="00281BD8" w:rsidRDefault="004B2219" w:rsidP="00D46A29">
            <w:pPr>
              <w:pStyle w:val="BodyText"/>
              <w:jc w:val="center"/>
              <w:rPr>
                <w:bCs/>
              </w:rPr>
            </w:pPr>
          </w:p>
        </w:tc>
        <w:tc>
          <w:tcPr>
            <w:tcW w:w="720" w:type="dxa"/>
            <w:shd w:val="clear" w:color="auto" w:fill="F3F3F3"/>
          </w:tcPr>
          <w:p w:rsidR="004B2219" w:rsidRPr="00281BD8" w:rsidRDefault="004B2219" w:rsidP="00D46A29">
            <w:pPr>
              <w:pStyle w:val="BodyText"/>
              <w:jc w:val="center"/>
              <w:rPr>
                <w:bCs/>
              </w:rPr>
            </w:pPr>
          </w:p>
          <w:p w:rsidR="004B2219" w:rsidRPr="00281BD8" w:rsidRDefault="004B2219" w:rsidP="00D46A29">
            <w:pPr>
              <w:pStyle w:val="BodyText"/>
              <w:ind w:firstLine="0"/>
              <w:rPr>
                <w:bCs/>
              </w:rPr>
            </w:pPr>
            <w:r w:rsidRPr="00281BD8">
              <w:rPr>
                <w:bCs/>
              </w:rPr>
              <w:t>Pos.</w:t>
            </w:r>
          </w:p>
        </w:tc>
        <w:tc>
          <w:tcPr>
            <w:tcW w:w="720" w:type="dxa"/>
            <w:shd w:val="clear" w:color="auto" w:fill="F3F3F3"/>
          </w:tcPr>
          <w:p w:rsidR="004B2219" w:rsidRPr="00281BD8" w:rsidRDefault="004B2219" w:rsidP="00D46A29">
            <w:pPr>
              <w:pStyle w:val="BodyText"/>
              <w:jc w:val="center"/>
              <w:rPr>
                <w:bCs/>
              </w:rPr>
            </w:pPr>
          </w:p>
          <w:p w:rsidR="004B2219" w:rsidRPr="00281BD8" w:rsidRDefault="004B2219" w:rsidP="00D46A29">
            <w:pPr>
              <w:pStyle w:val="BodyText"/>
              <w:ind w:firstLine="0"/>
              <w:rPr>
                <w:bCs/>
              </w:rPr>
            </w:pPr>
            <w:r w:rsidRPr="00281BD8">
              <w:rPr>
                <w:bCs/>
              </w:rPr>
              <w:t>FTE</w:t>
            </w:r>
          </w:p>
        </w:tc>
        <w:tc>
          <w:tcPr>
            <w:tcW w:w="1080" w:type="dxa"/>
            <w:shd w:val="clear" w:color="auto" w:fill="F3F3F3"/>
          </w:tcPr>
          <w:p w:rsidR="004B2219" w:rsidRPr="00281BD8" w:rsidRDefault="004B2219" w:rsidP="00D46A29">
            <w:pPr>
              <w:pStyle w:val="BodyText"/>
              <w:ind w:firstLine="0"/>
              <w:rPr>
                <w:bCs/>
              </w:rPr>
            </w:pPr>
            <w:r w:rsidRPr="00281BD8">
              <w:rPr>
                <w:bCs/>
              </w:rPr>
              <w:t>Dollars ($000)</w:t>
            </w:r>
          </w:p>
        </w:tc>
        <w:tc>
          <w:tcPr>
            <w:tcW w:w="810" w:type="dxa"/>
            <w:vMerge/>
          </w:tcPr>
          <w:p w:rsidR="004B2219" w:rsidRPr="00281BD8" w:rsidRDefault="004B2219" w:rsidP="00D46A29">
            <w:pPr>
              <w:pStyle w:val="BodyText"/>
              <w:jc w:val="center"/>
              <w:rPr>
                <w:bCs/>
              </w:rPr>
            </w:pPr>
          </w:p>
        </w:tc>
      </w:tr>
      <w:tr w:rsidR="004B2219" w:rsidTr="00D46A29">
        <w:tc>
          <w:tcPr>
            <w:tcW w:w="1761" w:type="dxa"/>
          </w:tcPr>
          <w:p w:rsidR="004B2219" w:rsidRPr="00281BD8" w:rsidRDefault="004B2219" w:rsidP="00D46A29">
            <w:pPr>
              <w:pStyle w:val="BodyText"/>
              <w:rPr>
                <w:bCs/>
              </w:rPr>
            </w:pPr>
          </w:p>
        </w:tc>
        <w:tc>
          <w:tcPr>
            <w:tcW w:w="4647" w:type="dxa"/>
            <w:vAlign w:val="center"/>
          </w:tcPr>
          <w:p w:rsidR="004B2219" w:rsidRPr="00281BD8" w:rsidRDefault="004B2219" w:rsidP="00D46A29">
            <w:pPr>
              <w:pStyle w:val="BodyText"/>
              <w:ind w:firstLine="0"/>
              <w:rPr>
                <w:bCs/>
              </w:rPr>
            </w:pPr>
          </w:p>
        </w:tc>
        <w:tc>
          <w:tcPr>
            <w:tcW w:w="720" w:type="dxa"/>
            <w:vAlign w:val="center"/>
          </w:tcPr>
          <w:p w:rsidR="004B2219" w:rsidRPr="00281BD8" w:rsidRDefault="004B2219" w:rsidP="00D46A29">
            <w:pPr>
              <w:pStyle w:val="BodyText"/>
              <w:jc w:val="center"/>
              <w:rPr>
                <w:bCs/>
              </w:rPr>
            </w:pPr>
          </w:p>
        </w:tc>
        <w:tc>
          <w:tcPr>
            <w:tcW w:w="720" w:type="dxa"/>
            <w:vAlign w:val="center"/>
          </w:tcPr>
          <w:p w:rsidR="004B2219" w:rsidRPr="00281BD8" w:rsidRDefault="004B2219" w:rsidP="00D46A29">
            <w:pPr>
              <w:pStyle w:val="BodyText"/>
              <w:jc w:val="center"/>
              <w:rPr>
                <w:bCs/>
              </w:rPr>
            </w:pPr>
          </w:p>
        </w:tc>
        <w:tc>
          <w:tcPr>
            <w:tcW w:w="1080" w:type="dxa"/>
            <w:vAlign w:val="center"/>
          </w:tcPr>
          <w:p w:rsidR="004B2219" w:rsidRPr="00281BD8" w:rsidRDefault="004B2219" w:rsidP="00D46A29">
            <w:pPr>
              <w:pStyle w:val="BodyText"/>
              <w:ind w:firstLine="0"/>
              <w:rPr>
                <w:bCs/>
              </w:rPr>
            </w:pPr>
          </w:p>
        </w:tc>
        <w:tc>
          <w:tcPr>
            <w:tcW w:w="810" w:type="dxa"/>
            <w:vAlign w:val="center"/>
          </w:tcPr>
          <w:p w:rsidR="004B2219" w:rsidRPr="00281BD8" w:rsidRDefault="004B2219" w:rsidP="00D46A29">
            <w:pPr>
              <w:pStyle w:val="BodyText"/>
              <w:jc w:val="center"/>
              <w:rPr>
                <w:bCs/>
              </w:rPr>
            </w:pPr>
          </w:p>
        </w:tc>
      </w:tr>
      <w:tr w:rsidR="004B2219" w:rsidTr="00D46A29">
        <w:tc>
          <w:tcPr>
            <w:tcW w:w="1761" w:type="dxa"/>
            <w:tcBorders>
              <w:top w:val="single" w:sz="4" w:space="0" w:color="auto"/>
              <w:left w:val="single" w:sz="4" w:space="0" w:color="auto"/>
              <w:bottom w:val="single" w:sz="4" w:space="0" w:color="auto"/>
              <w:right w:val="single" w:sz="4" w:space="0" w:color="auto"/>
            </w:tcBorders>
          </w:tcPr>
          <w:p w:rsidR="004B2219" w:rsidRPr="00281BD8" w:rsidRDefault="004B2219" w:rsidP="00D46A29">
            <w:pPr>
              <w:pStyle w:val="BodyText"/>
              <w:rPr>
                <w:bCs/>
              </w:rPr>
            </w:pPr>
          </w:p>
          <w:p w:rsidR="004B2219" w:rsidRPr="00281BD8" w:rsidRDefault="004B2219" w:rsidP="00D46A29">
            <w:pPr>
              <w:pStyle w:val="BodyText"/>
              <w:ind w:firstLine="0"/>
              <w:rPr>
                <w:bCs/>
              </w:rPr>
            </w:pPr>
            <w:r>
              <w:rPr>
                <w:bCs/>
              </w:rPr>
              <w:t>IT Savings</w:t>
            </w:r>
          </w:p>
          <w:p w:rsidR="004B2219" w:rsidRPr="00281BD8" w:rsidRDefault="004B2219" w:rsidP="00D46A29">
            <w:pPr>
              <w:pStyle w:val="BodyText"/>
              <w:rPr>
                <w:bCs/>
              </w:rPr>
            </w:pPr>
          </w:p>
        </w:tc>
        <w:tc>
          <w:tcPr>
            <w:tcW w:w="4647" w:type="dxa"/>
            <w:tcBorders>
              <w:top w:val="single" w:sz="4" w:space="0" w:color="auto"/>
              <w:left w:val="single" w:sz="4" w:space="0" w:color="auto"/>
              <w:bottom w:val="single" w:sz="4" w:space="0" w:color="auto"/>
              <w:right w:val="single" w:sz="4" w:space="0" w:color="auto"/>
            </w:tcBorders>
            <w:vAlign w:val="center"/>
          </w:tcPr>
          <w:p w:rsidR="004B2219" w:rsidRPr="00281BD8" w:rsidRDefault="004B2219" w:rsidP="00D46A29">
            <w:pPr>
              <w:pStyle w:val="BodyText"/>
              <w:ind w:firstLine="0"/>
              <w:rPr>
                <w:bCs/>
              </w:rPr>
            </w:pPr>
            <w:r>
              <w:rPr>
                <w:bCs/>
              </w:rPr>
              <w:t>Increase IT management efficiency and comply with OMB’s direction to reform IT management activities, which will result in an offset of $106,000</w:t>
            </w:r>
            <w:r w:rsidRPr="00281BD8">
              <w:rPr>
                <w:bCs/>
              </w:rPr>
              <w:t>.</w:t>
            </w:r>
          </w:p>
        </w:tc>
        <w:tc>
          <w:tcPr>
            <w:tcW w:w="720" w:type="dxa"/>
            <w:tcBorders>
              <w:top w:val="single" w:sz="4" w:space="0" w:color="auto"/>
              <w:left w:val="single" w:sz="4" w:space="0" w:color="auto"/>
              <w:bottom w:val="single" w:sz="4" w:space="0" w:color="auto"/>
              <w:right w:val="single" w:sz="4" w:space="0" w:color="auto"/>
            </w:tcBorders>
            <w:vAlign w:val="center"/>
          </w:tcPr>
          <w:p w:rsidR="004B2219" w:rsidRPr="00281BD8" w:rsidRDefault="004B2219" w:rsidP="00D46A29">
            <w:pPr>
              <w:pStyle w:val="BodyText"/>
              <w:jc w:val="center"/>
              <w:rPr>
                <w:bCs/>
              </w:rPr>
            </w:pPr>
            <w:r w:rsidRPr="00281BD8">
              <w:rPr>
                <w:bCs/>
              </w:rPr>
              <w:t xml:space="preserve"> 0</w:t>
            </w:r>
          </w:p>
        </w:tc>
        <w:tc>
          <w:tcPr>
            <w:tcW w:w="720" w:type="dxa"/>
            <w:tcBorders>
              <w:top w:val="single" w:sz="4" w:space="0" w:color="auto"/>
              <w:left w:val="single" w:sz="4" w:space="0" w:color="auto"/>
              <w:bottom w:val="single" w:sz="4" w:space="0" w:color="auto"/>
              <w:right w:val="single" w:sz="4" w:space="0" w:color="auto"/>
            </w:tcBorders>
            <w:vAlign w:val="center"/>
          </w:tcPr>
          <w:p w:rsidR="004B2219" w:rsidRPr="00281BD8" w:rsidRDefault="004B2219" w:rsidP="00D46A29">
            <w:pPr>
              <w:pStyle w:val="BodyText"/>
              <w:jc w:val="center"/>
              <w:rPr>
                <w:bCs/>
              </w:rPr>
            </w:pPr>
            <w:r w:rsidRPr="00281BD8">
              <w:rPr>
                <w:bCs/>
              </w:rPr>
              <w:t>0</w:t>
            </w:r>
            <w:r>
              <w:rPr>
                <w:bCs/>
              </w:rPr>
              <w:t>0</w:t>
            </w:r>
            <w:r w:rsidRPr="00281BD8">
              <w:rPr>
                <w:bCs/>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4B2219" w:rsidRDefault="004B2219" w:rsidP="00D46A29">
            <w:pPr>
              <w:pStyle w:val="BodyText"/>
              <w:ind w:firstLine="0"/>
              <w:jc w:val="center"/>
              <w:rPr>
                <w:bCs/>
              </w:rPr>
            </w:pPr>
          </w:p>
          <w:p w:rsidR="004B2219" w:rsidRPr="00281BD8" w:rsidRDefault="004B2219" w:rsidP="00D46A29">
            <w:pPr>
              <w:pStyle w:val="BodyText"/>
              <w:ind w:firstLine="0"/>
              <w:jc w:val="center"/>
              <w:rPr>
                <w:bCs/>
              </w:rPr>
            </w:pPr>
            <w:r>
              <w:rPr>
                <w:bCs/>
              </w:rPr>
              <w:t>-</w:t>
            </w:r>
            <w:r w:rsidRPr="00281BD8">
              <w:rPr>
                <w:bCs/>
              </w:rPr>
              <w:t>$</w:t>
            </w:r>
            <w:r>
              <w:rPr>
                <w:bCs/>
              </w:rPr>
              <w:t>106</w:t>
            </w:r>
            <w:r w:rsidRPr="00281BD8">
              <w:rPr>
                <w:bCs/>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4B2219" w:rsidRPr="00281BD8" w:rsidRDefault="004B2219" w:rsidP="00D46A29">
            <w:pPr>
              <w:pStyle w:val="BodyText"/>
              <w:jc w:val="center"/>
              <w:rPr>
                <w:bCs/>
              </w:rPr>
            </w:pPr>
            <w:r>
              <w:rPr>
                <w:bCs/>
              </w:rPr>
              <w:t>311</w:t>
            </w:r>
          </w:p>
        </w:tc>
      </w:tr>
    </w:tbl>
    <w:p w:rsidR="0000074E" w:rsidRDefault="00A81821" w:rsidP="006B2852">
      <w:pPr>
        <w:rPr>
          <w:b/>
          <w:sz w:val="28"/>
          <w:szCs w:val="28"/>
        </w:rPr>
      </w:pPr>
      <w:r>
        <w:rPr>
          <w:b/>
          <w:sz w:val="28"/>
          <w:szCs w:val="28"/>
        </w:rPr>
        <w:br w:type="page"/>
      </w:r>
      <w:r w:rsidR="0000074E">
        <w:rPr>
          <w:b/>
          <w:sz w:val="28"/>
          <w:szCs w:val="28"/>
        </w:rPr>
        <w:t>I</w:t>
      </w:r>
      <w:r w:rsidR="00390963">
        <w:rPr>
          <w:b/>
          <w:sz w:val="28"/>
          <w:szCs w:val="28"/>
        </w:rPr>
        <w:t>II</w:t>
      </w:r>
      <w:r w:rsidR="005E0521">
        <w:rPr>
          <w:b/>
          <w:sz w:val="28"/>
          <w:szCs w:val="28"/>
        </w:rPr>
        <w:t>. Appropriations</w:t>
      </w:r>
      <w:r w:rsidR="0000074E">
        <w:rPr>
          <w:b/>
          <w:sz w:val="28"/>
          <w:szCs w:val="28"/>
        </w:rPr>
        <w:t xml:space="preserve"> Language and Analysis of appropriations Language</w:t>
      </w:r>
    </w:p>
    <w:p w:rsidR="00390963" w:rsidRDefault="00390963" w:rsidP="006B2852">
      <w:pPr>
        <w:rPr>
          <w:b/>
          <w:sz w:val="28"/>
          <w:szCs w:val="28"/>
        </w:rPr>
      </w:pPr>
    </w:p>
    <w:p w:rsidR="00390963" w:rsidRPr="00390963" w:rsidRDefault="00390963" w:rsidP="006B2852">
      <w:pPr>
        <w:rPr>
          <w:b/>
        </w:rPr>
      </w:pPr>
      <w:r>
        <w:rPr>
          <w:b/>
          <w:sz w:val="28"/>
          <w:szCs w:val="28"/>
        </w:rPr>
        <w:t xml:space="preserve">        </w:t>
      </w:r>
      <w:r w:rsidR="007C701C">
        <w:rPr>
          <w:b/>
        </w:rPr>
        <w:t>Please refer to the General Legal Activities</w:t>
      </w:r>
      <w:r w:rsidR="00366866">
        <w:rPr>
          <w:b/>
        </w:rPr>
        <w:t xml:space="preserve"> </w:t>
      </w:r>
      <w:r w:rsidR="007C701C">
        <w:rPr>
          <w:b/>
        </w:rPr>
        <w:t>Consolidated Justifications.</w:t>
      </w:r>
    </w:p>
    <w:p w:rsidR="0000074E" w:rsidRPr="00344507" w:rsidRDefault="00A81821" w:rsidP="006B2852">
      <w:pPr>
        <w:rPr>
          <w:b/>
          <w:sz w:val="28"/>
          <w:szCs w:val="28"/>
        </w:rPr>
      </w:pPr>
      <w:r>
        <w:rPr>
          <w:b/>
          <w:sz w:val="28"/>
          <w:szCs w:val="28"/>
        </w:rPr>
        <w:br w:type="page"/>
      </w:r>
      <w:r w:rsidR="00AA2AA6">
        <w:rPr>
          <w:b/>
          <w:sz w:val="28"/>
          <w:szCs w:val="28"/>
        </w:rPr>
        <w:t>I</w:t>
      </w:r>
      <w:r w:rsidR="0000074E" w:rsidRPr="00344507">
        <w:rPr>
          <w:b/>
          <w:sz w:val="28"/>
          <w:szCs w:val="28"/>
        </w:rPr>
        <w:t xml:space="preserve">V. Decision Unit Justification </w:t>
      </w:r>
    </w:p>
    <w:p w:rsidR="0000074E" w:rsidRDefault="0000074E" w:rsidP="006B2852">
      <w:pPr>
        <w:rPr>
          <w:b/>
          <w:sz w:val="28"/>
          <w:szCs w:val="28"/>
        </w:rPr>
      </w:pPr>
    </w:p>
    <w:p w:rsidR="006512B5" w:rsidRPr="00344507" w:rsidRDefault="006512B5" w:rsidP="006B2852">
      <w:pPr>
        <w:rPr>
          <w:b/>
          <w:sz w:val="28"/>
          <w:szCs w:val="28"/>
        </w:rPr>
      </w:pPr>
    </w:p>
    <w:p w:rsidR="00E128C8" w:rsidRDefault="00E128C8" w:rsidP="00523B95">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E7699E" w:rsidTr="00D46A29">
        <w:tc>
          <w:tcPr>
            <w:tcW w:w="4968" w:type="dxa"/>
          </w:tcPr>
          <w:p w:rsidR="00E7699E" w:rsidRDefault="00E7699E" w:rsidP="00D46A29">
            <w:pPr>
              <w:pStyle w:val="Title"/>
              <w:ind w:left="0"/>
              <w:jc w:val="left"/>
              <w:rPr>
                <w:iCs/>
              </w:rPr>
            </w:pPr>
            <w:r>
              <w:rPr>
                <w:iCs/>
              </w:rPr>
              <w:t>Tax Division</w:t>
            </w:r>
          </w:p>
        </w:tc>
        <w:tc>
          <w:tcPr>
            <w:tcW w:w="1260" w:type="dxa"/>
          </w:tcPr>
          <w:p w:rsidR="00E7699E" w:rsidRDefault="00E7699E" w:rsidP="00D46A29">
            <w:pPr>
              <w:pStyle w:val="Title"/>
              <w:ind w:left="0"/>
              <w:rPr>
                <w:i w:val="0"/>
              </w:rPr>
            </w:pPr>
            <w:r>
              <w:rPr>
                <w:i w:val="0"/>
              </w:rPr>
              <w:t>Perm. Pos.</w:t>
            </w:r>
          </w:p>
        </w:tc>
        <w:tc>
          <w:tcPr>
            <w:tcW w:w="1260" w:type="dxa"/>
          </w:tcPr>
          <w:p w:rsidR="00E7699E" w:rsidRDefault="00E7699E" w:rsidP="00D46A29">
            <w:pPr>
              <w:pStyle w:val="Title"/>
              <w:ind w:left="0"/>
              <w:rPr>
                <w:i w:val="0"/>
              </w:rPr>
            </w:pPr>
            <w:r>
              <w:rPr>
                <w:i w:val="0"/>
              </w:rPr>
              <w:t>FTE</w:t>
            </w:r>
          </w:p>
        </w:tc>
        <w:tc>
          <w:tcPr>
            <w:tcW w:w="2088" w:type="dxa"/>
          </w:tcPr>
          <w:p w:rsidR="00E7699E" w:rsidRDefault="00E7699E" w:rsidP="00D46A29">
            <w:pPr>
              <w:pStyle w:val="Title"/>
              <w:ind w:left="0"/>
              <w:rPr>
                <w:i w:val="0"/>
              </w:rPr>
            </w:pPr>
            <w:r>
              <w:rPr>
                <w:i w:val="0"/>
              </w:rPr>
              <w:t>Amount</w:t>
            </w:r>
          </w:p>
        </w:tc>
      </w:tr>
      <w:tr w:rsidR="00E7699E" w:rsidTr="00D46A29">
        <w:tc>
          <w:tcPr>
            <w:tcW w:w="4968" w:type="dxa"/>
          </w:tcPr>
          <w:p w:rsidR="00E7699E" w:rsidRDefault="00E7699E" w:rsidP="00D46A29">
            <w:pPr>
              <w:pStyle w:val="Title"/>
              <w:ind w:left="0"/>
              <w:jc w:val="left"/>
              <w:rPr>
                <w:b w:val="0"/>
                <w:bCs/>
                <w:i w:val="0"/>
              </w:rPr>
            </w:pPr>
            <w:r>
              <w:rPr>
                <w:b w:val="0"/>
                <w:bCs/>
                <w:i w:val="0"/>
              </w:rPr>
              <w:t xml:space="preserve">2011 Enacted </w:t>
            </w:r>
          </w:p>
        </w:tc>
        <w:tc>
          <w:tcPr>
            <w:tcW w:w="1260" w:type="dxa"/>
            <w:vAlign w:val="center"/>
          </w:tcPr>
          <w:p w:rsidR="00E7699E" w:rsidRDefault="00E7699E" w:rsidP="00D46A29">
            <w:pPr>
              <w:pStyle w:val="Title"/>
              <w:ind w:left="0"/>
              <w:jc w:val="right"/>
              <w:rPr>
                <w:b w:val="0"/>
                <w:bCs/>
                <w:i w:val="0"/>
              </w:rPr>
            </w:pPr>
            <w:r>
              <w:rPr>
                <w:b w:val="0"/>
                <w:bCs/>
                <w:i w:val="0"/>
              </w:rPr>
              <w:t>639</w:t>
            </w:r>
          </w:p>
        </w:tc>
        <w:tc>
          <w:tcPr>
            <w:tcW w:w="1260" w:type="dxa"/>
            <w:vAlign w:val="center"/>
          </w:tcPr>
          <w:p w:rsidR="00E7699E" w:rsidRDefault="00E7699E" w:rsidP="00D46A29">
            <w:pPr>
              <w:pStyle w:val="Title"/>
              <w:ind w:left="0"/>
              <w:jc w:val="right"/>
              <w:rPr>
                <w:b w:val="0"/>
                <w:bCs/>
                <w:i w:val="0"/>
              </w:rPr>
            </w:pPr>
            <w:r>
              <w:rPr>
                <w:b w:val="0"/>
                <w:bCs/>
                <w:i w:val="0"/>
              </w:rPr>
              <w:t>582</w:t>
            </w:r>
          </w:p>
        </w:tc>
        <w:tc>
          <w:tcPr>
            <w:tcW w:w="2088" w:type="dxa"/>
            <w:vAlign w:val="center"/>
          </w:tcPr>
          <w:p w:rsidR="00E7699E" w:rsidRDefault="00E7699E" w:rsidP="00D46A29">
            <w:pPr>
              <w:pStyle w:val="Title"/>
              <w:ind w:left="0"/>
              <w:jc w:val="right"/>
              <w:rPr>
                <w:b w:val="0"/>
                <w:bCs/>
                <w:i w:val="0"/>
              </w:rPr>
            </w:pPr>
            <w:r>
              <w:rPr>
                <w:b w:val="0"/>
                <w:bCs/>
                <w:i w:val="0"/>
              </w:rPr>
              <w:t>104,877,000</w:t>
            </w:r>
          </w:p>
        </w:tc>
      </w:tr>
      <w:tr w:rsidR="00E7699E" w:rsidTr="00D46A29">
        <w:tc>
          <w:tcPr>
            <w:tcW w:w="4968" w:type="dxa"/>
          </w:tcPr>
          <w:p w:rsidR="00E7699E" w:rsidRDefault="00E7699E" w:rsidP="00D46A29">
            <w:pPr>
              <w:pStyle w:val="Title"/>
              <w:ind w:left="0"/>
              <w:jc w:val="left"/>
              <w:rPr>
                <w:b w:val="0"/>
                <w:bCs/>
                <w:i w:val="0"/>
              </w:rPr>
            </w:pPr>
            <w:r>
              <w:rPr>
                <w:b w:val="0"/>
                <w:bCs/>
                <w:i w:val="0"/>
              </w:rPr>
              <w:t xml:space="preserve">2012 Enacted </w:t>
            </w:r>
          </w:p>
        </w:tc>
        <w:tc>
          <w:tcPr>
            <w:tcW w:w="1260" w:type="dxa"/>
            <w:vAlign w:val="center"/>
          </w:tcPr>
          <w:p w:rsidR="00E7699E" w:rsidRDefault="00E7699E" w:rsidP="00D46A29">
            <w:pPr>
              <w:pStyle w:val="Title"/>
              <w:ind w:left="0"/>
              <w:jc w:val="right"/>
              <w:rPr>
                <w:b w:val="0"/>
                <w:bCs/>
                <w:i w:val="0"/>
              </w:rPr>
            </w:pPr>
            <w:r>
              <w:rPr>
                <w:b w:val="0"/>
                <w:bCs/>
                <w:i w:val="0"/>
              </w:rPr>
              <w:t>639</w:t>
            </w:r>
          </w:p>
        </w:tc>
        <w:tc>
          <w:tcPr>
            <w:tcW w:w="1260" w:type="dxa"/>
            <w:vAlign w:val="center"/>
          </w:tcPr>
          <w:p w:rsidR="00E7699E" w:rsidRDefault="00E7699E" w:rsidP="00D46A29">
            <w:pPr>
              <w:pStyle w:val="Title"/>
              <w:ind w:left="0"/>
              <w:jc w:val="right"/>
              <w:rPr>
                <w:b w:val="0"/>
                <w:bCs/>
                <w:i w:val="0"/>
              </w:rPr>
            </w:pPr>
            <w:r>
              <w:rPr>
                <w:b w:val="0"/>
                <w:bCs/>
                <w:i w:val="0"/>
              </w:rPr>
              <w:t>582</w:t>
            </w:r>
          </w:p>
        </w:tc>
        <w:tc>
          <w:tcPr>
            <w:tcW w:w="2088" w:type="dxa"/>
            <w:vAlign w:val="center"/>
          </w:tcPr>
          <w:p w:rsidR="00E7699E" w:rsidRDefault="00E7699E" w:rsidP="00D46A29">
            <w:pPr>
              <w:pStyle w:val="Title"/>
              <w:ind w:left="0"/>
              <w:jc w:val="right"/>
              <w:rPr>
                <w:b w:val="0"/>
                <w:bCs/>
                <w:i w:val="0"/>
              </w:rPr>
            </w:pPr>
            <w:r>
              <w:rPr>
                <w:b w:val="0"/>
                <w:bCs/>
                <w:i w:val="0"/>
              </w:rPr>
              <w:t>104,877,000</w:t>
            </w:r>
          </w:p>
        </w:tc>
      </w:tr>
      <w:tr w:rsidR="00E7699E" w:rsidTr="00D46A29">
        <w:tc>
          <w:tcPr>
            <w:tcW w:w="4968" w:type="dxa"/>
          </w:tcPr>
          <w:p w:rsidR="00E7699E" w:rsidRDefault="00E7699E" w:rsidP="00D46A29">
            <w:pPr>
              <w:pStyle w:val="Title"/>
              <w:ind w:left="0"/>
              <w:jc w:val="left"/>
              <w:rPr>
                <w:b w:val="0"/>
                <w:bCs/>
                <w:i w:val="0"/>
              </w:rPr>
            </w:pPr>
            <w:r>
              <w:rPr>
                <w:b w:val="0"/>
                <w:bCs/>
                <w:i w:val="0"/>
              </w:rPr>
              <w:t>Adjustments to Base and Technical Adjustments</w:t>
            </w:r>
          </w:p>
        </w:tc>
        <w:tc>
          <w:tcPr>
            <w:tcW w:w="1260" w:type="dxa"/>
            <w:vAlign w:val="center"/>
          </w:tcPr>
          <w:p w:rsidR="00E7699E" w:rsidRDefault="00E7699E" w:rsidP="00D46A29">
            <w:pPr>
              <w:pStyle w:val="Title"/>
              <w:ind w:left="0"/>
              <w:jc w:val="right"/>
              <w:rPr>
                <w:b w:val="0"/>
                <w:bCs/>
                <w:i w:val="0"/>
              </w:rPr>
            </w:pPr>
            <w:r>
              <w:rPr>
                <w:b w:val="0"/>
                <w:bCs/>
                <w:i w:val="0"/>
              </w:rPr>
              <w:t>-16</w:t>
            </w:r>
          </w:p>
        </w:tc>
        <w:tc>
          <w:tcPr>
            <w:tcW w:w="1260" w:type="dxa"/>
            <w:vAlign w:val="center"/>
          </w:tcPr>
          <w:p w:rsidR="00E7699E" w:rsidRDefault="00E7699E" w:rsidP="00D46A29">
            <w:pPr>
              <w:pStyle w:val="Title"/>
              <w:ind w:left="0"/>
              <w:jc w:val="right"/>
              <w:rPr>
                <w:b w:val="0"/>
                <w:bCs/>
                <w:i w:val="0"/>
              </w:rPr>
            </w:pPr>
            <w:r>
              <w:rPr>
                <w:b w:val="0"/>
                <w:bCs/>
                <w:i w:val="0"/>
              </w:rPr>
              <w:t>-10</w:t>
            </w:r>
          </w:p>
        </w:tc>
        <w:tc>
          <w:tcPr>
            <w:tcW w:w="2088" w:type="dxa"/>
            <w:vAlign w:val="center"/>
          </w:tcPr>
          <w:p w:rsidR="00E7699E" w:rsidRDefault="00E7699E" w:rsidP="00D46A29">
            <w:pPr>
              <w:pStyle w:val="Title"/>
              <w:ind w:left="0"/>
              <w:jc w:val="right"/>
              <w:rPr>
                <w:b w:val="0"/>
                <w:bCs/>
                <w:i w:val="0"/>
              </w:rPr>
            </w:pPr>
            <w:r>
              <w:rPr>
                <w:b w:val="0"/>
                <w:bCs/>
                <w:i w:val="0"/>
              </w:rPr>
              <w:t>106,565,000</w:t>
            </w:r>
          </w:p>
        </w:tc>
      </w:tr>
      <w:tr w:rsidR="00E7699E" w:rsidTr="00D46A29">
        <w:tc>
          <w:tcPr>
            <w:tcW w:w="4968" w:type="dxa"/>
          </w:tcPr>
          <w:p w:rsidR="00E7699E" w:rsidRDefault="00E7699E" w:rsidP="00D46A29">
            <w:pPr>
              <w:pStyle w:val="Title"/>
              <w:ind w:left="0"/>
              <w:jc w:val="left"/>
              <w:rPr>
                <w:b w:val="0"/>
                <w:bCs/>
                <w:i w:val="0"/>
              </w:rPr>
            </w:pPr>
            <w:r>
              <w:rPr>
                <w:b w:val="0"/>
                <w:bCs/>
                <w:i w:val="0"/>
              </w:rPr>
              <w:t>2013 Current Services</w:t>
            </w:r>
          </w:p>
        </w:tc>
        <w:tc>
          <w:tcPr>
            <w:tcW w:w="1260" w:type="dxa"/>
            <w:vAlign w:val="center"/>
          </w:tcPr>
          <w:p w:rsidR="00E7699E" w:rsidRDefault="00E7699E" w:rsidP="00D46A29">
            <w:pPr>
              <w:pStyle w:val="Title"/>
              <w:ind w:left="0"/>
              <w:jc w:val="right"/>
              <w:rPr>
                <w:b w:val="0"/>
                <w:bCs/>
                <w:i w:val="0"/>
              </w:rPr>
            </w:pPr>
            <w:r>
              <w:rPr>
                <w:b w:val="0"/>
                <w:bCs/>
                <w:i w:val="0"/>
              </w:rPr>
              <w:t>0</w:t>
            </w:r>
          </w:p>
        </w:tc>
        <w:tc>
          <w:tcPr>
            <w:tcW w:w="1260" w:type="dxa"/>
            <w:vAlign w:val="center"/>
          </w:tcPr>
          <w:p w:rsidR="00E7699E" w:rsidRDefault="00E7699E" w:rsidP="00D46A29">
            <w:pPr>
              <w:pStyle w:val="Title"/>
              <w:ind w:left="0"/>
              <w:jc w:val="right"/>
              <w:rPr>
                <w:b w:val="0"/>
                <w:bCs/>
                <w:i w:val="0"/>
              </w:rPr>
            </w:pPr>
            <w:r>
              <w:rPr>
                <w:b w:val="0"/>
                <w:bCs/>
                <w:i w:val="0"/>
              </w:rPr>
              <w:t>0</w:t>
            </w:r>
          </w:p>
        </w:tc>
        <w:tc>
          <w:tcPr>
            <w:tcW w:w="2088" w:type="dxa"/>
            <w:vAlign w:val="center"/>
          </w:tcPr>
          <w:p w:rsidR="00E7699E" w:rsidRDefault="00E7699E" w:rsidP="00D46A29">
            <w:pPr>
              <w:pStyle w:val="Title"/>
              <w:ind w:left="0"/>
              <w:jc w:val="right"/>
              <w:rPr>
                <w:b w:val="0"/>
                <w:bCs/>
                <w:i w:val="0"/>
              </w:rPr>
            </w:pPr>
            <w:r>
              <w:rPr>
                <w:b w:val="0"/>
                <w:bCs/>
                <w:i w:val="0"/>
              </w:rPr>
              <w:t>106,565,000</w:t>
            </w:r>
          </w:p>
        </w:tc>
      </w:tr>
      <w:tr w:rsidR="00E7699E" w:rsidTr="00D46A29">
        <w:tc>
          <w:tcPr>
            <w:tcW w:w="4968" w:type="dxa"/>
            <w:tcBorders>
              <w:bottom w:val="single" w:sz="4" w:space="0" w:color="auto"/>
            </w:tcBorders>
          </w:tcPr>
          <w:p w:rsidR="00E7699E" w:rsidRDefault="00E7699E" w:rsidP="00D46A29">
            <w:pPr>
              <w:pStyle w:val="Title"/>
              <w:ind w:left="0"/>
              <w:jc w:val="left"/>
              <w:rPr>
                <w:b w:val="0"/>
                <w:bCs/>
                <w:i w:val="0"/>
              </w:rPr>
            </w:pPr>
            <w:r>
              <w:rPr>
                <w:b w:val="0"/>
                <w:bCs/>
                <w:i w:val="0"/>
              </w:rPr>
              <w:t>2013 Program Increases</w:t>
            </w:r>
          </w:p>
        </w:tc>
        <w:tc>
          <w:tcPr>
            <w:tcW w:w="1260"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0</w:t>
            </w:r>
          </w:p>
        </w:tc>
        <w:tc>
          <w:tcPr>
            <w:tcW w:w="1260"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0</w:t>
            </w:r>
          </w:p>
        </w:tc>
        <w:tc>
          <w:tcPr>
            <w:tcW w:w="2088"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0</w:t>
            </w:r>
          </w:p>
        </w:tc>
      </w:tr>
      <w:tr w:rsidR="00E7699E" w:rsidTr="00D46A29">
        <w:tc>
          <w:tcPr>
            <w:tcW w:w="4968" w:type="dxa"/>
            <w:tcBorders>
              <w:bottom w:val="single" w:sz="4" w:space="0" w:color="auto"/>
            </w:tcBorders>
          </w:tcPr>
          <w:p w:rsidR="00E7699E" w:rsidRDefault="00E7699E" w:rsidP="00D46A29">
            <w:pPr>
              <w:pStyle w:val="Title"/>
              <w:ind w:left="0"/>
              <w:jc w:val="left"/>
              <w:rPr>
                <w:b w:val="0"/>
                <w:bCs/>
                <w:i w:val="0"/>
              </w:rPr>
            </w:pPr>
            <w:r>
              <w:rPr>
                <w:b w:val="0"/>
                <w:bCs/>
                <w:i w:val="0"/>
              </w:rPr>
              <w:t>2013 Program Offsets</w:t>
            </w:r>
          </w:p>
        </w:tc>
        <w:tc>
          <w:tcPr>
            <w:tcW w:w="1260"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0</w:t>
            </w:r>
          </w:p>
        </w:tc>
        <w:tc>
          <w:tcPr>
            <w:tcW w:w="1260"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0</w:t>
            </w:r>
          </w:p>
        </w:tc>
        <w:tc>
          <w:tcPr>
            <w:tcW w:w="2088"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106,000</w:t>
            </w:r>
          </w:p>
        </w:tc>
      </w:tr>
      <w:tr w:rsidR="00E7699E" w:rsidTr="00D46A29">
        <w:tc>
          <w:tcPr>
            <w:tcW w:w="4968" w:type="dxa"/>
            <w:tcBorders>
              <w:bottom w:val="single" w:sz="4" w:space="0" w:color="auto"/>
            </w:tcBorders>
          </w:tcPr>
          <w:p w:rsidR="00E7699E" w:rsidRDefault="00E7699E" w:rsidP="00D46A29">
            <w:pPr>
              <w:pStyle w:val="Title"/>
              <w:ind w:left="0"/>
              <w:jc w:val="left"/>
              <w:rPr>
                <w:b w:val="0"/>
                <w:bCs/>
                <w:i w:val="0"/>
              </w:rPr>
            </w:pPr>
            <w:r>
              <w:rPr>
                <w:b w:val="0"/>
                <w:bCs/>
                <w:i w:val="0"/>
              </w:rPr>
              <w:t>2013 Request</w:t>
            </w:r>
          </w:p>
        </w:tc>
        <w:tc>
          <w:tcPr>
            <w:tcW w:w="1260"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623</w:t>
            </w:r>
          </w:p>
        </w:tc>
        <w:tc>
          <w:tcPr>
            <w:tcW w:w="1260"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572</w:t>
            </w:r>
          </w:p>
        </w:tc>
        <w:tc>
          <w:tcPr>
            <w:tcW w:w="2088" w:type="dxa"/>
            <w:tcBorders>
              <w:bottom w:val="single" w:sz="4" w:space="0" w:color="auto"/>
            </w:tcBorders>
            <w:vAlign w:val="center"/>
          </w:tcPr>
          <w:p w:rsidR="00E7699E" w:rsidRDefault="00E7699E" w:rsidP="00D46A29">
            <w:pPr>
              <w:pStyle w:val="Title"/>
              <w:ind w:left="0"/>
              <w:jc w:val="right"/>
              <w:rPr>
                <w:b w:val="0"/>
                <w:bCs/>
                <w:i w:val="0"/>
              </w:rPr>
            </w:pPr>
            <w:r>
              <w:rPr>
                <w:b w:val="0"/>
                <w:bCs/>
                <w:i w:val="0"/>
              </w:rPr>
              <w:t>106,459,000</w:t>
            </w:r>
          </w:p>
        </w:tc>
      </w:tr>
      <w:tr w:rsidR="00E7699E" w:rsidTr="00D46A29">
        <w:tc>
          <w:tcPr>
            <w:tcW w:w="4968" w:type="dxa"/>
            <w:shd w:val="clear" w:color="auto" w:fill="E6E6E6"/>
          </w:tcPr>
          <w:p w:rsidR="00E7699E" w:rsidRDefault="00E7699E" w:rsidP="00D46A29">
            <w:pPr>
              <w:pStyle w:val="Title"/>
              <w:ind w:left="0"/>
              <w:jc w:val="left"/>
              <w:rPr>
                <w:b w:val="0"/>
                <w:bCs/>
                <w:i w:val="0"/>
              </w:rPr>
            </w:pPr>
            <w:r>
              <w:rPr>
                <w:i w:val="0"/>
              </w:rPr>
              <w:t>Total Change 2012-2013</w:t>
            </w:r>
          </w:p>
        </w:tc>
        <w:tc>
          <w:tcPr>
            <w:tcW w:w="1260" w:type="dxa"/>
            <w:shd w:val="clear" w:color="auto" w:fill="E6E6E6"/>
            <w:vAlign w:val="center"/>
          </w:tcPr>
          <w:p w:rsidR="00E7699E" w:rsidRDefault="00E7699E" w:rsidP="00D46A29">
            <w:pPr>
              <w:pStyle w:val="Title"/>
              <w:ind w:left="0"/>
              <w:jc w:val="right"/>
              <w:rPr>
                <w:b w:val="0"/>
                <w:bCs/>
                <w:i w:val="0"/>
              </w:rPr>
            </w:pPr>
            <w:r>
              <w:rPr>
                <w:b w:val="0"/>
                <w:bCs/>
                <w:i w:val="0"/>
              </w:rPr>
              <w:t>-16</w:t>
            </w:r>
          </w:p>
        </w:tc>
        <w:tc>
          <w:tcPr>
            <w:tcW w:w="1260" w:type="dxa"/>
            <w:shd w:val="clear" w:color="auto" w:fill="E6E6E6"/>
            <w:vAlign w:val="center"/>
          </w:tcPr>
          <w:p w:rsidR="00E7699E" w:rsidRDefault="00E7699E" w:rsidP="00D46A29">
            <w:pPr>
              <w:pStyle w:val="Title"/>
              <w:ind w:left="0"/>
              <w:jc w:val="right"/>
              <w:rPr>
                <w:b w:val="0"/>
                <w:bCs/>
                <w:i w:val="0"/>
              </w:rPr>
            </w:pPr>
            <w:r>
              <w:rPr>
                <w:b w:val="0"/>
                <w:bCs/>
                <w:i w:val="0"/>
              </w:rPr>
              <w:t>-10</w:t>
            </w:r>
          </w:p>
        </w:tc>
        <w:tc>
          <w:tcPr>
            <w:tcW w:w="2088" w:type="dxa"/>
            <w:shd w:val="clear" w:color="auto" w:fill="E6E6E6"/>
            <w:vAlign w:val="center"/>
          </w:tcPr>
          <w:p w:rsidR="00E7699E" w:rsidRDefault="00E7699E" w:rsidP="00D46A29">
            <w:pPr>
              <w:pStyle w:val="Title"/>
              <w:ind w:left="0"/>
              <w:jc w:val="right"/>
              <w:rPr>
                <w:b w:val="0"/>
                <w:bCs/>
                <w:i w:val="0"/>
              </w:rPr>
            </w:pPr>
            <w:r>
              <w:rPr>
                <w:b w:val="0"/>
                <w:bCs/>
                <w:i w:val="0"/>
              </w:rPr>
              <w:t>1,582,000</w:t>
            </w:r>
          </w:p>
        </w:tc>
      </w:tr>
    </w:tbl>
    <w:p w:rsidR="00E970B9" w:rsidRDefault="00E970B9" w:rsidP="00E970B9">
      <w:pPr>
        <w:pStyle w:val="Title"/>
        <w:ind w:left="0"/>
        <w:jc w:val="left"/>
        <w:rPr>
          <w:i w:val="0"/>
        </w:rPr>
      </w:pPr>
    </w:p>
    <w:p w:rsidR="006512B5" w:rsidRDefault="006512B5" w:rsidP="00E970B9">
      <w:pPr>
        <w:pStyle w:val="Title"/>
        <w:ind w:left="0"/>
        <w:jc w:val="left"/>
        <w:rPr>
          <w:i w:val="0"/>
        </w:rPr>
      </w:pPr>
    </w:p>
    <w:p w:rsidR="006512B5" w:rsidRDefault="006512B5" w:rsidP="00E970B9">
      <w:pPr>
        <w:pStyle w:val="Title"/>
        <w:ind w:left="0"/>
        <w:jc w:val="left"/>
        <w:rPr>
          <w:i w:val="0"/>
        </w:rPr>
      </w:pPr>
    </w:p>
    <w:p w:rsidR="006512B5" w:rsidRDefault="006512B5" w:rsidP="00E970B9">
      <w:pPr>
        <w:pStyle w:val="Title"/>
        <w:ind w:left="0"/>
        <w:jc w:val="left"/>
        <w:rPr>
          <w:i w:val="0"/>
        </w:rPr>
      </w:pPr>
    </w:p>
    <w:p w:rsidR="00A81821" w:rsidRDefault="00A81821" w:rsidP="007B7FDB">
      <w:pPr>
        <w:rPr>
          <w:b/>
          <w:color w:val="FF0000"/>
        </w:rPr>
      </w:pPr>
    </w:p>
    <w:p w:rsidR="0000074E" w:rsidRDefault="00A81821" w:rsidP="007B7FDB">
      <w:pPr>
        <w:rPr>
          <w:b/>
        </w:rPr>
      </w:pPr>
      <w:r>
        <w:rPr>
          <w:b/>
          <w:color w:val="FF0000"/>
        </w:rPr>
        <w:br w:type="page"/>
      </w:r>
      <w:r w:rsidR="0000074E">
        <w:rPr>
          <w:b/>
          <w:color w:val="FF0000"/>
        </w:rPr>
        <w:t xml:space="preserve"> </w:t>
      </w:r>
      <w:r w:rsidR="0000074E">
        <w:rPr>
          <w:b/>
        </w:rPr>
        <w:t>1.  PROGRAM DESCRIPTION</w:t>
      </w:r>
    </w:p>
    <w:p w:rsidR="0000074E" w:rsidRPr="00B653F3" w:rsidRDefault="0000074E" w:rsidP="006B2852">
      <w:pPr>
        <w:ind w:firstLine="720"/>
        <w:rPr>
          <w:b/>
        </w:rPr>
      </w:pPr>
    </w:p>
    <w:p w:rsidR="0000074E" w:rsidRPr="00B653F3" w:rsidRDefault="007B7FDB" w:rsidP="007B7FDB">
      <w:pPr>
        <w:pStyle w:val="Heading4"/>
        <w:numPr>
          <w:ilvl w:val="0"/>
          <w:numId w:val="36"/>
        </w:numPr>
      </w:pPr>
      <w:r>
        <w:t xml:space="preserve"> </w:t>
      </w:r>
      <w:r w:rsidR="0000074E" w:rsidRPr="00B653F3">
        <w:t>CIVIL TAX LITIGATION</w:t>
      </w:r>
    </w:p>
    <w:p w:rsidR="0000074E" w:rsidRPr="00AB6461" w:rsidRDefault="0000074E" w:rsidP="006B2852"/>
    <w:p w:rsidR="0000074E" w:rsidRDefault="0000074E" w:rsidP="00820DB7">
      <w:pPr>
        <w:pStyle w:val="BodyText"/>
        <w:spacing w:after="240"/>
        <w:jc w:val="left"/>
      </w:pPr>
      <w:r>
        <w:t xml:space="preserve">The Tax Division is responsible for </w:t>
      </w:r>
      <w:r w:rsidR="00856965">
        <w:t xml:space="preserve">litigating </w:t>
      </w:r>
      <w:r>
        <w:t xml:space="preserve">all matters arising under the internal revenue laws in all state and federal trial courts, except the Tax Court, and in appeals from all trial courts, including the Tax Court.  Tax Division trial attorneys </w:t>
      </w:r>
      <w:r w:rsidRPr="00E0512B">
        <w:rPr>
          <w:u w:val="single"/>
        </w:rPr>
        <w:t>defend</w:t>
      </w:r>
      <w:r>
        <w:t xml:space="preserve"> the United States in suits brought against it relating to the tax laws, including tax shelter cases, refund suits, and other suits seeking monetary or other relief.  Tax Division trial attorneys also </w:t>
      </w:r>
      <w:r w:rsidRPr="00E0512B">
        <w:rPr>
          <w:u w:val="single"/>
        </w:rPr>
        <w:t>bring</w:t>
      </w:r>
      <w:r>
        <w:t xml:space="preserve"> suits that the IRS has requested, including suits to stop tax scam promoters and preparers; suits to collect unpaid taxes; and suits to allow the IRS to obtain information needed for tax enforcement.  Tax Division Civil Appellate attorneys represent the United States in all appeals from trial court decisions.  </w:t>
      </w:r>
    </w:p>
    <w:p w:rsidR="0000074E" w:rsidRDefault="0000074E" w:rsidP="006F2376">
      <w:pPr>
        <w:pStyle w:val="body"/>
        <w:keepNext/>
        <w:rPr>
          <w:u w:val="single"/>
        </w:rPr>
      </w:pPr>
      <w:r>
        <w:rPr>
          <w:b/>
        </w:rPr>
        <w:t xml:space="preserve">Halting </w:t>
      </w:r>
      <w:r w:rsidRPr="00153E10">
        <w:rPr>
          <w:b/>
        </w:rPr>
        <w:t>the Spread of Tax Shelters</w:t>
      </w:r>
    </w:p>
    <w:p w:rsidR="008862B3" w:rsidRDefault="0000074E" w:rsidP="008862B3">
      <w:pPr>
        <w:pStyle w:val="BodyText"/>
        <w:jc w:val="left"/>
      </w:pPr>
      <w:r>
        <w:t>The proliferation of abusive tax shelters is a significant problem confronting our tax system. Abusive tax shelters for large corporations and high-income individuals cost the government billions of dollars annually, according to Treasury Department estimates</w:t>
      </w:r>
      <w:r w:rsidR="00584B41">
        <w:t>.</w:t>
      </w:r>
      <w:r w:rsidR="008862B3" w:rsidRPr="00A26B32">
        <w:rPr>
          <w:vertAlign w:val="superscript"/>
        </w:rPr>
        <w:t xml:space="preserve"> </w:t>
      </w:r>
    </w:p>
    <w:p w:rsidR="00D52C75" w:rsidRDefault="0000074E" w:rsidP="006B2852">
      <w:pPr>
        <w:pStyle w:val="BodyText"/>
        <w:jc w:val="left"/>
      </w:pPr>
      <w:r>
        <w:t>Tax shelter</w:t>
      </w:r>
      <w:r w:rsidR="00E93B0B">
        <w:t xml:space="preserve"> litigation is among the most sophisticated and important litigation being handled by the Tax Division.  Tax shelters are designed to generate large purpo</w:t>
      </w:r>
      <w:r w:rsidR="00EF1992">
        <w:t>rt</w:t>
      </w:r>
      <w:r w:rsidR="00E93B0B">
        <w:t xml:space="preserve">ed tax benefits using multiple entities and complex financial transactions that lack a real business purpose or any real economic substance.  </w:t>
      </w:r>
      <w:r w:rsidR="00D52C75">
        <w:t>Shelter case</w:t>
      </w:r>
      <w:r>
        <w:t xml:space="preserve">s </w:t>
      </w:r>
      <w:r w:rsidR="00D52C75">
        <w:t xml:space="preserve">often </w:t>
      </w:r>
      <w:r>
        <w:t>involve well-disguised transactions</w:t>
      </w:r>
      <w:r w:rsidR="00D52C75">
        <w:t xml:space="preserve"> and tax-indifferent parties located in other countries, making discovery difficult and expensive to pursue.  Successfully defending in federal trial and appellate courts the IRS’s disallowance of sham tax benefits is critical to the government’s efforts to combat abusive tax shelters.  </w:t>
      </w:r>
      <w:r>
        <w:t>Because t</w:t>
      </w:r>
      <w:r w:rsidR="00D52C75">
        <w:t>ax shelters typically involve enormous sums of money and often attract significant media attention, a coordinated and effective effort is essential to prevent substantial losses to the Treasury and deter future use of such tax shelters by other taxpayers.</w:t>
      </w:r>
      <w:r w:rsidR="00D52C75" w:rsidDel="00D52C75">
        <w:t xml:space="preserve"> </w:t>
      </w:r>
    </w:p>
    <w:p w:rsidR="0000074E" w:rsidRPr="002D36AF" w:rsidRDefault="0000074E" w:rsidP="006B2852">
      <w:pPr>
        <w:pStyle w:val="BodyText"/>
        <w:jc w:val="left"/>
        <w:rPr>
          <w:color w:val="000000"/>
        </w:rPr>
      </w:pPr>
      <w:r>
        <w:t>The Tax Division plays a critical role in the government</w:t>
      </w:r>
      <w:r>
        <w:rPr>
          <w:rFonts w:ascii="WP TypographicSymbols" w:hAnsi="WP TypographicSymbols"/>
        </w:rPr>
        <w:sym w:font="WP TypographicSymbols" w:char="003D"/>
      </w:r>
      <w:r>
        <w:t>s efforts to combat abusive tax shelters by defending</w:t>
      </w:r>
      <w:r w:rsidRPr="001B352B">
        <w:t xml:space="preserve"> </w:t>
      </w:r>
      <w:r>
        <w:t xml:space="preserve">in federal trial and appellate courts the IRS’s disallowance of sham tax benefits.  The cases the Division defends directly involve millions of dollars in tax revenue, and affect billions of dollars of tax revenue owed by other taxpayers.  </w:t>
      </w:r>
      <w:r w:rsidRPr="00EA5BC3">
        <w:rPr>
          <w:color w:val="000000"/>
        </w:rPr>
        <w:t>For example, the Division prevailed</w:t>
      </w:r>
      <w:r>
        <w:rPr>
          <w:color w:val="000000"/>
        </w:rPr>
        <w:t xml:space="preserve"> </w:t>
      </w:r>
      <w:r w:rsidR="00B2015C">
        <w:rPr>
          <w:color w:val="000000"/>
        </w:rPr>
        <w:t xml:space="preserve">in the first </w:t>
      </w:r>
      <w:r w:rsidR="0081231C">
        <w:rPr>
          <w:color w:val="000000"/>
        </w:rPr>
        <w:t>DAD</w:t>
      </w:r>
      <w:r w:rsidR="0081231C">
        <w:rPr>
          <w:rStyle w:val="FootnoteReference"/>
          <w:color w:val="000000"/>
        </w:rPr>
        <w:footnoteReference w:id="10"/>
      </w:r>
      <w:r w:rsidR="0081231C">
        <w:rPr>
          <w:color w:val="000000"/>
        </w:rPr>
        <w:t xml:space="preserve"> </w:t>
      </w:r>
      <w:r w:rsidR="008862B3">
        <w:rPr>
          <w:color w:val="000000"/>
        </w:rPr>
        <w:t>s</w:t>
      </w:r>
      <w:r w:rsidR="00B2015C">
        <w:rPr>
          <w:color w:val="000000"/>
        </w:rPr>
        <w:t>helter case to be tried</w:t>
      </w:r>
      <w:r w:rsidR="006F5D26">
        <w:rPr>
          <w:color w:val="000000"/>
        </w:rPr>
        <w:t xml:space="preserve">, </w:t>
      </w:r>
      <w:r w:rsidR="006F5D26" w:rsidRPr="00E62855">
        <w:rPr>
          <w:b/>
          <w:i/>
          <w:color w:val="000000"/>
        </w:rPr>
        <w:t>Southgate</w:t>
      </w:r>
      <w:r w:rsidR="0081231C">
        <w:rPr>
          <w:b/>
          <w:i/>
          <w:color w:val="000000"/>
        </w:rPr>
        <w:t xml:space="preserve"> Master Fund LLC v. United States </w:t>
      </w:r>
      <w:r w:rsidR="0081231C">
        <w:rPr>
          <w:color w:val="000000"/>
        </w:rPr>
        <w:t xml:space="preserve">(N.D. Tex. 2009), </w:t>
      </w:r>
      <w:r w:rsidR="0081231C">
        <w:rPr>
          <w:i/>
          <w:color w:val="000000"/>
        </w:rPr>
        <w:t>app. pending</w:t>
      </w:r>
      <w:r w:rsidR="00B60019">
        <w:rPr>
          <w:color w:val="000000"/>
        </w:rPr>
        <w:t xml:space="preserve"> (5</w:t>
      </w:r>
      <w:r w:rsidR="00B60019" w:rsidRPr="00B60019">
        <w:rPr>
          <w:color w:val="000000"/>
          <w:vertAlign w:val="superscript"/>
        </w:rPr>
        <w:t>th</w:t>
      </w:r>
      <w:r w:rsidR="00B60019">
        <w:rPr>
          <w:color w:val="000000"/>
        </w:rPr>
        <w:t xml:space="preserve"> Cir.).</w:t>
      </w:r>
      <w:r w:rsidR="0081231C">
        <w:rPr>
          <w:color w:val="000000"/>
        </w:rPr>
        <w:t xml:space="preserve">  The taxpayer’s claimed losses from the DAD shelter exceeded $1.</w:t>
      </w:r>
      <w:r w:rsidR="00E62855">
        <w:rPr>
          <w:color w:val="000000"/>
        </w:rPr>
        <w:t>1</w:t>
      </w:r>
      <w:r w:rsidR="0081231C">
        <w:rPr>
          <w:color w:val="000000"/>
        </w:rPr>
        <w:t xml:space="preserve"> billion.  </w:t>
      </w:r>
      <w:r w:rsidR="00752C34">
        <w:rPr>
          <w:color w:val="000000"/>
        </w:rPr>
        <w:t xml:space="preserve">The Division has about ten other DAD shelter cases pending.  </w:t>
      </w:r>
      <w:r w:rsidR="002D36AF">
        <w:rPr>
          <w:color w:val="000000"/>
        </w:rPr>
        <w:t xml:space="preserve">In </w:t>
      </w:r>
      <w:r w:rsidR="002D36AF">
        <w:rPr>
          <w:b/>
          <w:i/>
          <w:color w:val="000000"/>
        </w:rPr>
        <w:t>Nevada Partners v. United States</w:t>
      </w:r>
      <w:r w:rsidR="002D36AF">
        <w:rPr>
          <w:color w:val="000000"/>
        </w:rPr>
        <w:t xml:space="preserve"> (S.D. Miss. 2010), the court determined that the KPMG-marketed FOCUS tax shelter transaction</w:t>
      </w:r>
      <w:r w:rsidR="002D36AF">
        <w:rPr>
          <w:rStyle w:val="FootnoteReference"/>
          <w:color w:val="000000"/>
        </w:rPr>
        <w:footnoteReference w:id="11"/>
      </w:r>
      <w:r w:rsidR="002D36AF">
        <w:rPr>
          <w:color w:val="000000"/>
        </w:rPr>
        <w:t xml:space="preserve"> </w:t>
      </w:r>
      <w:r w:rsidR="00964F06">
        <w:rPr>
          <w:color w:val="000000"/>
        </w:rPr>
        <w:t>“</w:t>
      </w:r>
      <w:r w:rsidR="002D36AF">
        <w:rPr>
          <w:color w:val="000000"/>
        </w:rPr>
        <w:t>lacked economic substance</w:t>
      </w:r>
      <w:r w:rsidR="00964F06">
        <w:rPr>
          <w:color w:val="000000"/>
        </w:rPr>
        <w:t xml:space="preserve"> and served no other purpose than to provide the structure through which [the taxpayer] could . . . reduc[e] . . . his tax burden.”  The court disallowed the sham losses</w:t>
      </w:r>
      <w:r w:rsidR="002D36AF">
        <w:rPr>
          <w:color w:val="000000"/>
        </w:rPr>
        <w:t xml:space="preserve"> and imposed a 20% penalty. </w:t>
      </w:r>
    </w:p>
    <w:p w:rsidR="0000074E" w:rsidRDefault="009F6BE6" w:rsidP="00226374">
      <w:pPr>
        <w:pStyle w:val="body"/>
      </w:pPr>
      <w:r w:rsidRPr="003B5CFF">
        <w:t>A</w:t>
      </w:r>
      <w:r w:rsidR="0000074E" w:rsidRPr="003B5CFF">
        <w:t xml:space="preserve">s of </w:t>
      </w:r>
      <w:r w:rsidR="002D6375" w:rsidRPr="003B5CFF">
        <w:t>J</w:t>
      </w:r>
      <w:r w:rsidR="0028389D">
        <w:t>anuary 15, 2010,</w:t>
      </w:r>
      <w:r w:rsidR="00116886" w:rsidRPr="003B5CFF">
        <w:t xml:space="preserve"> </w:t>
      </w:r>
      <w:r w:rsidR="0000074E" w:rsidRPr="003B5CFF">
        <w:t xml:space="preserve">the Division had </w:t>
      </w:r>
      <w:r w:rsidR="002D6375" w:rsidRPr="003B5CFF">
        <w:t>7</w:t>
      </w:r>
      <w:r w:rsidR="0028389D">
        <w:t>8</w:t>
      </w:r>
      <w:r w:rsidR="0000074E" w:rsidRPr="003B5CFF">
        <w:t xml:space="preserve"> groups of </w:t>
      </w:r>
      <w:r w:rsidR="008D6870" w:rsidRPr="003B5CFF">
        <w:t xml:space="preserve">tax shelter </w:t>
      </w:r>
      <w:r w:rsidR="0000074E" w:rsidRPr="003B5CFF">
        <w:t>cases.</w:t>
      </w:r>
      <w:r w:rsidR="00C377B5" w:rsidRPr="003B5CFF">
        <w:rPr>
          <w:rStyle w:val="FootnoteReference"/>
          <w:color w:val="000000"/>
        </w:rPr>
        <w:footnoteReference w:id="12"/>
      </w:r>
      <w:r w:rsidR="00C377B5" w:rsidRPr="003B5CFF">
        <w:rPr>
          <w:color w:val="000000"/>
        </w:rPr>
        <w:t xml:space="preserve"> </w:t>
      </w:r>
      <w:r w:rsidR="0000074E" w:rsidRPr="003B5CFF">
        <w:t xml:space="preserve"> </w:t>
      </w:r>
      <w:r w:rsidR="004D1CE4" w:rsidRPr="003B5CFF">
        <w:t>In FY 20</w:t>
      </w:r>
      <w:r w:rsidR="00C25460">
        <w:t>10</w:t>
      </w:r>
      <w:r w:rsidR="004D1CE4" w:rsidRPr="003B5CFF">
        <w:t xml:space="preserve">, the Division had </w:t>
      </w:r>
      <w:r w:rsidR="00C25460">
        <w:t>five</w:t>
      </w:r>
      <w:r w:rsidR="00E2736C" w:rsidRPr="003B5CFF">
        <w:t xml:space="preserve"> tax </w:t>
      </w:r>
      <w:r w:rsidR="00B5658D" w:rsidRPr="003B5CFF">
        <w:t>shelter trials, each requiring a team staffed by experienced attorneys</w:t>
      </w:r>
      <w:r w:rsidR="004D1CE4" w:rsidRPr="003B5CFF">
        <w:t>.</w:t>
      </w:r>
      <w:r w:rsidR="007723B4" w:rsidRPr="003B5CFF">
        <w:t xml:space="preserve"> </w:t>
      </w:r>
      <w:r w:rsidR="0000074E" w:rsidRPr="003B5CFF">
        <w:t>The Tax Division anticipates that tax shelters will continue</w:t>
      </w:r>
      <w:r w:rsidR="0000074E">
        <w:t xml:space="preserve"> to be contested in the federal district courts and in the Court of Federal Claims</w:t>
      </w:r>
      <w:r w:rsidR="007723B4">
        <w:t xml:space="preserve"> over the next several years</w:t>
      </w:r>
      <w:r w:rsidR="0000074E">
        <w:t xml:space="preserve">.  </w:t>
      </w:r>
    </w:p>
    <w:p w:rsidR="00897AF4" w:rsidRPr="00EB1A0A" w:rsidRDefault="00897AF4" w:rsidP="00897AF4">
      <w:pPr>
        <w:pStyle w:val="body"/>
        <w:ind w:left="720" w:firstLine="0"/>
        <w:rPr>
          <w:b/>
        </w:rPr>
      </w:pPr>
      <w:bookmarkStart w:id="14" w:name="OLE_LINK10"/>
      <w:bookmarkStart w:id="15" w:name="OLE_LINK11"/>
      <w:r>
        <w:rPr>
          <w:b/>
        </w:rPr>
        <w:t>Using John Doe Summonses to Track Down Owners of Unreported Offshore Accounts</w:t>
      </w:r>
    </w:p>
    <w:p w:rsidR="00897AF4" w:rsidRDefault="00897AF4" w:rsidP="00897AF4">
      <w:pPr>
        <w:pStyle w:val="NormalWeb"/>
        <w:ind w:firstLine="720"/>
      </w:pPr>
      <w:r>
        <w:t>The Tax Division is assisting the IRS in attempting to obtain more information about United States persons who maintain undeclared foreign accounts.   This assistance primarily takes the form of obtaining court authorization for the IRS to serve John Doe summonses</w:t>
      </w:r>
      <w:r w:rsidR="009F36E2">
        <w:t xml:space="preserve"> — a summons issued to obtain the identities of unknown taxpayers</w:t>
      </w:r>
      <w:r>
        <w:t xml:space="preserve"> </w:t>
      </w:r>
      <w:r w:rsidR="009F36E2">
        <w:t xml:space="preserve">— </w:t>
      </w:r>
      <w:r>
        <w:t>and in petitioning for judicial enforcement of the summons.</w:t>
      </w:r>
      <w:r w:rsidR="009F36E2">
        <w:rPr>
          <w:rStyle w:val="FootnoteReference"/>
        </w:rPr>
        <w:footnoteReference w:id="13"/>
      </w:r>
      <w:r w:rsidRPr="00D713BB">
        <w:t xml:space="preserve"> </w:t>
      </w:r>
    </w:p>
    <w:p w:rsidR="00897AF4" w:rsidRDefault="00337A4D" w:rsidP="00D33DC4">
      <w:pPr>
        <w:pStyle w:val="NormalWeb"/>
        <w:ind w:firstLine="720"/>
      </w:pPr>
      <w:r>
        <w:rPr>
          <w:lang w:val="en-CA"/>
        </w:rPr>
        <w:fldChar w:fldCharType="begin"/>
      </w:r>
      <w:r w:rsidR="00897AF4">
        <w:rPr>
          <w:lang w:val="en-CA"/>
        </w:rPr>
        <w:instrText xml:space="preserve"> SEQ CHAPTER \h \r 1</w:instrText>
      </w:r>
      <w:r>
        <w:rPr>
          <w:lang w:val="en-CA"/>
        </w:rPr>
        <w:fldChar w:fldCharType="end"/>
      </w:r>
      <w:r w:rsidR="00897AF4">
        <w:t xml:space="preserve">At the centerpiece of the Division’s current efforts is the John Doe summons served on the Swiss banking giant UBS, which does business in the United States.  In </w:t>
      </w:r>
      <w:r w:rsidR="00897AF4" w:rsidRPr="00023FA8">
        <w:rPr>
          <w:b/>
          <w:i/>
        </w:rPr>
        <w:t>United States v. UBS</w:t>
      </w:r>
      <w:r w:rsidR="00897AF4">
        <w:rPr>
          <w:b/>
          <w:i/>
        </w:rPr>
        <w:t>, AG</w:t>
      </w:r>
      <w:r w:rsidR="00897AF4">
        <w:t xml:space="preserve"> (S.D. Fla.), filed in July, 2008, the Tax Division successfully obtained court approval for the issuance of a John Doe summons to UBS seeking the names of U.S. account holders with undeclared accounts. The approval and issuance of the summons generated worldwide publicity.  When UBS failed to comply with the summons in full, the Tax Division in February, 2009, filed a petition to enforce the summons. </w:t>
      </w:r>
    </w:p>
    <w:p w:rsidR="005E0E16" w:rsidRDefault="005E0E16" w:rsidP="005E0E16">
      <w:pPr>
        <w:pStyle w:val="NormalWeb"/>
        <w:rPr>
          <w:color w:val="000000"/>
        </w:rPr>
      </w:pPr>
      <w:r w:rsidRPr="005E0E16">
        <w:tab/>
      </w:r>
      <w:r w:rsidRPr="005E0E16">
        <w:rPr>
          <w:color w:val="000000"/>
        </w:rPr>
        <w:t>The filing of the enforcement action</w:t>
      </w:r>
      <w:r>
        <w:rPr>
          <w:color w:val="000000"/>
        </w:rPr>
        <w:t>,</w:t>
      </w:r>
      <w:r w:rsidRPr="005E0E16">
        <w:rPr>
          <w:color w:val="000000"/>
        </w:rPr>
        <w:t xml:space="preserve"> and </w:t>
      </w:r>
      <w:r>
        <w:rPr>
          <w:color w:val="000000"/>
        </w:rPr>
        <w:t>the</w:t>
      </w:r>
      <w:r w:rsidRPr="005E0E16">
        <w:rPr>
          <w:color w:val="000000"/>
        </w:rPr>
        <w:t xml:space="preserve"> attendant pressure on the Bank and the Government of Switzerland</w:t>
      </w:r>
      <w:r>
        <w:rPr>
          <w:color w:val="000000"/>
        </w:rPr>
        <w:t>,</w:t>
      </w:r>
      <w:r w:rsidRPr="005E0E16">
        <w:rPr>
          <w:color w:val="000000"/>
        </w:rPr>
        <w:t xml:space="preserve"> resulted in an historic settlement</w:t>
      </w:r>
      <w:r>
        <w:rPr>
          <w:color w:val="000000"/>
        </w:rPr>
        <w:t>, signed on August 19, 2009.  This</w:t>
      </w:r>
      <w:r w:rsidRPr="005E0E16">
        <w:rPr>
          <w:color w:val="000000"/>
        </w:rPr>
        <w:t xml:space="preserve"> agreement</w:t>
      </w:r>
      <w:r>
        <w:rPr>
          <w:color w:val="000000"/>
        </w:rPr>
        <w:t xml:space="preserve"> has dealt</w:t>
      </w:r>
      <w:r w:rsidRPr="005E0E16">
        <w:rPr>
          <w:color w:val="000000"/>
        </w:rPr>
        <w:t xml:space="preserve"> </w:t>
      </w:r>
      <w:r>
        <w:rPr>
          <w:color w:val="000000"/>
        </w:rPr>
        <w:t xml:space="preserve">fabled </w:t>
      </w:r>
      <w:r w:rsidRPr="005E0E16">
        <w:rPr>
          <w:color w:val="000000"/>
        </w:rPr>
        <w:t xml:space="preserve">Swiss bank secrecy a devastating blow. </w:t>
      </w:r>
      <w:r>
        <w:rPr>
          <w:color w:val="000000"/>
        </w:rPr>
        <w:t xml:space="preserve"> The agreement has put in place </w:t>
      </w:r>
      <w:r w:rsidRPr="005E0E16">
        <w:rPr>
          <w:color w:val="000000"/>
        </w:rPr>
        <w:t xml:space="preserve">a </w:t>
      </w:r>
      <w:r w:rsidR="009F73D4">
        <w:rPr>
          <w:color w:val="000000"/>
        </w:rPr>
        <w:t xml:space="preserve">government-to-government </w:t>
      </w:r>
      <w:r w:rsidRPr="005E0E16">
        <w:rPr>
          <w:color w:val="000000"/>
        </w:rPr>
        <w:t xml:space="preserve">process </w:t>
      </w:r>
      <w:r>
        <w:rPr>
          <w:color w:val="000000"/>
        </w:rPr>
        <w:t>that</w:t>
      </w:r>
      <w:r w:rsidRPr="005E0E16">
        <w:rPr>
          <w:color w:val="000000"/>
        </w:rPr>
        <w:t xml:space="preserve"> should yield information on thousands of U</w:t>
      </w:r>
      <w:r>
        <w:rPr>
          <w:color w:val="000000"/>
        </w:rPr>
        <w:t>.</w:t>
      </w:r>
      <w:r w:rsidRPr="005E0E16">
        <w:rPr>
          <w:color w:val="000000"/>
        </w:rPr>
        <w:t>S</w:t>
      </w:r>
      <w:r>
        <w:rPr>
          <w:color w:val="000000"/>
        </w:rPr>
        <w:t>.</w:t>
      </w:r>
      <w:r w:rsidRPr="005E0E16">
        <w:rPr>
          <w:color w:val="000000"/>
        </w:rPr>
        <w:t xml:space="preserve"> offshore account holders who have high</w:t>
      </w:r>
      <w:r>
        <w:rPr>
          <w:color w:val="000000"/>
        </w:rPr>
        <w:t>-</w:t>
      </w:r>
      <w:r w:rsidRPr="005E0E16">
        <w:rPr>
          <w:color w:val="000000"/>
        </w:rPr>
        <w:t>value accounts in UBS</w:t>
      </w:r>
      <w:r w:rsidR="009F73D4">
        <w:rPr>
          <w:color w:val="000000"/>
        </w:rPr>
        <w:t>.  The agreement also</w:t>
      </w:r>
      <w:r w:rsidRPr="005E0E16">
        <w:rPr>
          <w:color w:val="000000"/>
        </w:rPr>
        <w:t xml:space="preserve"> provides a method for </w:t>
      </w:r>
      <w:r>
        <w:rPr>
          <w:color w:val="000000"/>
        </w:rPr>
        <w:t>the United States</w:t>
      </w:r>
      <w:r w:rsidRPr="005E0E16">
        <w:rPr>
          <w:color w:val="000000"/>
        </w:rPr>
        <w:t xml:space="preserve"> to obtain similar account information from other Swiss banks</w:t>
      </w:r>
      <w:r w:rsidR="009F73D4">
        <w:rPr>
          <w:color w:val="000000"/>
        </w:rPr>
        <w:t>.</w:t>
      </w:r>
      <w:r>
        <w:rPr>
          <w:color w:val="000000"/>
        </w:rPr>
        <w:t xml:space="preserve"> </w:t>
      </w:r>
      <w:r w:rsidR="009F73D4">
        <w:rPr>
          <w:color w:val="000000"/>
        </w:rPr>
        <w:t xml:space="preserve"> In addition, t</w:t>
      </w:r>
      <w:r>
        <w:rPr>
          <w:color w:val="000000"/>
        </w:rPr>
        <w:t>he agreement</w:t>
      </w:r>
      <w:r w:rsidRPr="005E0E16">
        <w:rPr>
          <w:color w:val="000000"/>
        </w:rPr>
        <w:t xml:space="preserve"> should serve as a template for </w:t>
      </w:r>
      <w:r w:rsidR="009F73D4">
        <w:rPr>
          <w:color w:val="000000"/>
        </w:rPr>
        <w:t xml:space="preserve">US government </w:t>
      </w:r>
      <w:r w:rsidRPr="005E0E16">
        <w:rPr>
          <w:color w:val="000000"/>
        </w:rPr>
        <w:t xml:space="preserve">actions taken in connection with banks from other countries. </w:t>
      </w:r>
    </w:p>
    <w:p w:rsidR="005E0E16" w:rsidRPr="005E0E16" w:rsidRDefault="005E0E16" w:rsidP="005E0E16">
      <w:pPr>
        <w:pStyle w:val="NormalWeb"/>
        <w:ind w:firstLine="720"/>
        <w:rPr>
          <w:color w:val="000000"/>
        </w:rPr>
      </w:pPr>
      <w:r w:rsidRPr="005E0E16">
        <w:rPr>
          <w:color w:val="000000"/>
        </w:rPr>
        <w:t xml:space="preserve">The publicity surrounding </w:t>
      </w:r>
      <w:r>
        <w:rPr>
          <w:color w:val="000000"/>
        </w:rPr>
        <w:t>the Tax Division’s</w:t>
      </w:r>
      <w:r w:rsidRPr="005E0E16">
        <w:rPr>
          <w:color w:val="000000"/>
        </w:rPr>
        <w:t xml:space="preserve"> enforcement action and </w:t>
      </w:r>
      <w:r>
        <w:rPr>
          <w:color w:val="000000"/>
        </w:rPr>
        <w:t>the subsequent</w:t>
      </w:r>
      <w:r w:rsidRPr="005E0E16">
        <w:rPr>
          <w:color w:val="000000"/>
        </w:rPr>
        <w:t xml:space="preserve"> settlement has already produced dramatic </w:t>
      </w:r>
      <w:r w:rsidR="003310CB">
        <w:rPr>
          <w:color w:val="000000"/>
        </w:rPr>
        <w:t xml:space="preserve">enforcement </w:t>
      </w:r>
      <w:r w:rsidRPr="005E0E16">
        <w:rPr>
          <w:color w:val="000000"/>
        </w:rPr>
        <w:t xml:space="preserve">results. </w:t>
      </w:r>
      <w:r>
        <w:rPr>
          <w:color w:val="000000"/>
        </w:rPr>
        <w:t xml:space="preserve"> </w:t>
      </w:r>
      <w:r w:rsidRPr="005E0E16">
        <w:rPr>
          <w:color w:val="000000"/>
        </w:rPr>
        <w:t xml:space="preserve">Because </w:t>
      </w:r>
      <w:r>
        <w:rPr>
          <w:color w:val="000000"/>
        </w:rPr>
        <w:t>of</w:t>
      </w:r>
      <w:r w:rsidRPr="005E0E16">
        <w:rPr>
          <w:color w:val="000000"/>
        </w:rPr>
        <w:t xml:space="preserve"> </w:t>
      </w:r>
      <w:r w:rsidR="003310CB">
        <w:rPr>
          <w:color w:val="000000"/>
        </w:rPr>
        <w:t>world</w:t>
      </w:r>
      <w:r w:rsidRPr="005E0E16">
        <w:rPr>
          <w:color w:val="000000"/>
        </w:rPr>
        <w:t xml:space="preserve">wide media coverage, an unprecedented number of </w:t>
      </w:r>
      <w:r w:rsidR="00C71056">
        <w:rPr>
          <w:color w:val="000000"/>
        </w:rPr>
        <w:t xml:space="preserve">U.S. taxpayers who held </w:t>
      </w:r>
      <w:r w:rsidR="003310CB">
        <w:rPr>
          <w:color w:val="000000"/>
        </w:rPr>
        <w:t xml:space="preserve">offshore </w:t>
      </w:r>
      <w:r w:rsidRPr="005E0E16">
        <w:rPr>
          <w:color w:val="000000"/>
        </w:rPr>
        <w:t>account</w:t>
      </w:r>
      <w:r w:rsidR="00C71056">
        <w:rPr>
          <w:color w:val="000000"/>
        </w:rPr>
        <w:t>s</w:t>
      </w:r>
      <w:r w:rsidRPr="005E0E16">
        <w:rPr>
          <w:color w:val="000000"/>
        </w:rPr>
        <w:t xml:space="preserve"> </w:t>
      </w:r>
      <w:r w:rsidR="00C71056">
        <w:rPr>
          <w:color w:val="000000"/>
        </w:rPr>
        <w:t xml:space="preserve">in </w:t>
      </w:r>
      <w:r w:rsidRPr="005E0E16">
        <w:rPr>
          <w:color w:val="000000"/>
        </w:rPr>
        <w:t xml:space="preserve">UBS and other foreign </w:t>
      </w:r>
      <w:r w:rsidR="00113191" w:rsidRPr="005E0E16">
        <w:rPr>
          <w:color w:val="000000"/>
        </w:rPr>
        <w:t>institutions</w:t>
      </w:r>
      <w:r w:rsidRPr="005E0E16">
        <w:rPr>
          <w:color w:val="000000"/>
        </w:rPr>
        <w:t xml:space="preserve"> availed themselves of the IRS’ voluntary disclosure program</w:t>
      </w:r>
      <w:r w:rsidR="00B7696A">
        <w:rPr>
          <w:color w:val="000000"/>
        </w:rPr>
        <w:t xml:space="preserve"> so far – nearly 18,000 to date, in an 18-month period, in contrast to fewer than 100 annually in previous years –</w:t>
      </w:r>
      <w:r w:rsidR="003310CB">
        <w:rPr>
          <w:color w:val="000000"/>
        </w:rPr>
        <w:t xml:space="preserve"> and </w:t>
      </w:r>
      <w:r w:rsidR="00B7696A">
        <w:rPr>
          <w:color w:val="000000"/>
        </w:rPr>
        <w:t xml:space="preserve">the uptick </w:t>
      </w:r>
      <w:r w:rsidRPr="005E0E16">
        <w:rPr>
          <w:color w:val="000000"/>
        </w:rPr>
        <w:t>is expected</w:t>
      </w:r>
      <w:r w:rsidR="004358ED">
        <w:rPr>
          <w:color w:val="000000"/>
        </w:rPr>
        <w:t xml:space="preserve"> </w:t>
      </w:r>
      <w:r w:rsidR="00B7696A">
        <w:rPr>
          <w:color w:val="000000"/>
        </w:rPr>
        <w:t>to continue</w:t>
      </w:r>
      <w:r w:rsidRPr="005E0E16">
        <w:rPr>
          <w:color w:val="000000"/>
        </w:rPr>
        <w:t xml:space="preserve">. </w:t>
      </w:r>
      <w:r w:rsidR="003310CB">
        <w:rPr>
          <w:color w:val="000000"/>
        </w:rPr>
        <w:t xml:space="preserve"> </w:t>
      </w:r>
      <w:r w:rsidRPr="005E0E16">
        <w:rPr>
          <w:color w:val="000000"/>
        </w:rPr>
        <w:t xml:space="preserve">Part of the voluntary disclosure program requires account holders to identify any other foreign institutions they </w:t>
      </w:r>
      <w:r w:rsidR="003310CB">
        <w:rPr>
          <w:color w:val="000000"/>
        </w:rPr>
        <w:t xml:space="preserve">have </w:t>
      </w:r>
      <w:r w:rsidRPr="005E0E16">
        <w:rPr>
          <w:color w:val="000000"/>
        </w:rPr>
        <w:t xml:space="preserve">used, and </w:t>
      </w:r>
      <w:r w:rsidR="009F73D4">
        <w:rPr>
          <w:color w:val="000000"/>
        </w:rPr>
        <w:t xml:space="preserve">also </w:t>
      </w:r>
      <w:r w:rsidRPr="005E0E16">
        <w:rPr>
          <w:color w:val="000000"/>
        </w:rPr>
        <w:t>to identify all of those who helped the account holder</w:t>
      </w:r>
      <w:r w:rsidR="009F73D4">
        <w:rPr>
          <w:color w:val="000000"/>
        </w:rPr>
        <w:t>s</w:t>
      </w:r>
      <w:r w:rsidRPr="005E0E16">
        <w:rPr>
          <w:color w:val="000000"/>
        </w:rPr>
        <w:t xml:space="preserve"> </w:t>
      </w:r>
      <w:r w:rsidR="009F73D4">
        <w:rPr>
          <w:color w:val="000000"/>
        </w:rPr>
        <w:t>conceal their accounts</w:t>
      </w:r>
      <w:r w:rsidRPr="005E0E16">
        <w:rPr>
          <w:color w:val="000000"/>
        </w:rPr>
        <w:t xml:space="preserve">. </w:t>
      </w:r>
      <w:r w:rsidR="007B57ED">
        <w:rPr>
          <w:color w:val="000000"/>
        </w:rPr>
        <w:t xml:space="preserve"> </w:t>
      </w:r>
      <w:r w:rsidR="003C7202">
        <w:rPr>
          <w:color w:val="000000"/>
        </w:rPr>
        <w:t>By strategically timing its voluntary disclosure program in tandem with</w:t>
      </w:r>
      <w:r w:rsidR="003C7202" w:rsidRPr="003C7202">
        <w:rPr>
          <w:color w:val="000000"/>
        </w:rPr>
        <w:t xml:space="preserve"> </w:t>
      </w:r>
      <w:r w:rsidR="003C7202">
        <w:rPr>
          <w:color w:val="000000"/>
        </w:rPr>
        <w:t>the Tax Division’s civil and criminal litigation efforts, t</w:t>
      </w:r>
      <w:r w:rsidR="007B57ED">
        <w:rPr>
          <w:color w:val="000000"/>
        </w:rPr>
        <w:t>he Service was able to obtain</w:t>
      </w:r>
      <w:r w:rsidR="003C7202">
        <w:rPr>
          <w:color w:val="000000"/>
        </w:rPr>
        <w:t xml:space="preserve"> significant additional</w:t>
      </w:r>
      <w:r w:rsidR="007B57ED">
        <w:rPr>
          <w:color w:val="000000"/>
        </w:rPr>
        <w:t xml:space="preserve"> </w:t>
      </w:r>
      <w:r w:rsidRPr="005E0E16">
        <w:rPr>
          <w:color w:val="000000"/>
        </w:rPr>
        <w:t xml:space="preserve">information about those who </w:t>
      </w:r>
      <w:r w:rsidR="003310CB">
        <w:rPr>
          <w:color w:val="000000"/>
        </w:rPr>
        <w:t xml:space="preserve">have </w:t>
      </w:r>
      <w:r w:rsidRPr="005E0E16">
        <w:rPr>
          <w:color w:val="000000"/>
        </w:rPr>
        <w:t>help</w:t>
      </w:r>
      <w:r w:rsidR="003310CB">
        <w:rPr>
          <w:color w:val="000000"/>
        </w:rPr>
        <w:t>ed</w:t>
      </w:r>
      <w:r w:rsidRPr="005E0E16">
        <w:rPr>
          <w:color w:val="000000"/>
        </w:rPr>
        <w:t xml:space="preserve"> to facilitate tax fraud</w:t>
      </w:r>
      <w:r w:rsidR="003C7202">
        <w:rPr>
          <w:color w:val="000000"/>
        </w:rPr>
        <w:t>, information that</w:t>
      </w:r>
      <w:r w:rsidRPr="005E0E16">
        <w:rPr>
          <w:color w:val="000000"/>
        </w:rPr>
        <w:t xml:space="preserve"> is extremely important to tax administration</w:t>
      </w:r>
      <w:r w:rsidR="00C71056">
        <w:rPr>
          <w:color w:val="000000"/>
        </w:rPr>
        <w:t xml:space="preserve"> and is expected to lead to additional investigati</w:t>
      </w:r>
      <w:r w:rsidR="00CF4DCA">
        <w:rPr>
          <w:color w:val="000000"/>
        </w:rPr>
        <w:t>on</w:t>
      </w:r>
      <w:r w:rsidR="00C71056">
        <w:rPr>
          <w:color w:val="000000"/>
        </w:rPr>
        <w:t>s</w:t>
      </w:r>
      <w:r w:rsidRPr="005E0E16">
        <w:rPr>
          <w:color w:val="000000"/>
        </w:rPr>
        <w:t xml:space="preserve">. </w:t>
      </w:r>
      <w:r w:rsidR="003310CB">
        <w:rPr>
          <w:color w:val="000000"/>
        </w:rPr>
        <w:t xml:space="preserve"> </w:t>
      </w:r>
      <w:r w:rsidR="009F73D4">
        <w:rPr>
          <w:color w:val="000000"/>
        </w:rPr>
        <w:t xml:space="preserve">Moreover, </w:t>
      </w:r>
      <w:r w:rsidRPr="005E0E16">
        <w:rPr>
          <w:color w:val="000000"/>
        </w:rPr>
        <w:t xml:space="preserve">although hard to measure, the fact that foreign bank secrecy is no longer </w:t>
      </w:r>
      <w:r w:rsidR="007B57ED">
        <w:rPr>
          <w:color w:val="000000"/>
        </w:rPr>
        <w:t xml:space="preserve">“secret” </w:t>
      </w:r>
      <w:r w:rsidRPr="005E0E16">
        <w:rPr>
          <w:color w:val="000000"/>
        </w:rPr>
        <w:t xml:space="preserve">should </w:t>
      </w:r>
      <w:r w:rsidR="009F73D4">
        <w:rPr>
          <w:color w:val="000000"/>
        </w:rPr>
        <w:t>improve voluntary compliance by dissuading</w:t>
      </w:r>
      <w:r w:rsidRPr="005E0E16">
        <w:rPr>
          <w:color w:val="000000"/>
        </w:rPr>
        <w:t xml:space="preserve"> many other taxpayers from </w:t>
      </w:r>
      <w:r w:rsidR="009F73D4">
        <w:rPr>
          <w:color w:val="000000"/>
        </w:rPr>
        <w:t xml:space="preserve">attempting to maintain hidden offshore accounts </w:t>
      </w:r>
      <w:r w:rsidRPr="005E0E16">
        <w:rPr>
          <w:color w:val="000000"/>
        </w:rPr>
        <w:t xml:space="preserve">in the first instance. </w:t>
      </w:r>
      <w:r w:rsidR="009F73D4">
        <w:rPr>
          <w:color w:val="000000"/>
        </w:rPr>
        <w:t xml:space="preserve"> </w:t>
      </w:r>
      <w:r w:rsidRPr="005E0E16">
        <w:rPr>
          <w:color w:val="000000"/>
        </w:rPr>
        <w:t xml:space="preserve">Put simply, the word is out that placing assets in foreign accounts no longer provides the protection from disclosure it once did. </w:t>
      </w:r>
    </w:p>
    <w:p w:rsidR="00897AF4" w:rsidRPr="00023FA8" w:rsidRDefault="00897AF4" w:rsidP="00897AF4">
      <w:pPr>
        <w:pStyle w:val="NormalWeb"/>
        <w:ind w:firstLine="720"/>
      </w:pPr>
      <w:r>
        <w:t xml:space="preserve">In addition to filing </w:t>
      </w:r>
      <w:r w:rsidR="003310CB">
        <w:t>the</w:t>
      </w:r>
      <w:r>
        <w:t xml:space="preserve"> John Doe summons against UBS, Tax Division attorneys have sought and won judicial approval to </w:t>
      </w:r>
      <w:r w:rsidR="003310CB">
        <w:t xml:space="preserve">use the John Doe summons process to </w:t>
      </w:r>
      <w:r>
        <w:t>gather information from credit card companies, credit card processors, and merchants where the cards were used.  With this information the IRS will be able to identify thousands of persons who have credit, charge, or debit cards issued by or paid through banks in various foreign tax haven countries and who may be</w:t>
      </w:r>
      <w:r w:rsidRPr="00D713BB">
        <w:t xml:space="preserve"> </w:t>
      </w:r>
      <w:r>
        <w:t>illegally hiding assets and income in offshore accounts.  After the Tax Division obtained approval for the IRS to seek such information from PayPal, a large internet purchase payment company, the IRS opened investigations on more than 2,200 taxpayers, and more than 1,650 settled their resulting tax liabilities with the IRS.  The government’s victories in these cases not only helped gather necessary documents to identify customers seeking to hide behind a veil of secrecy, but the surrounding publicity reassures law-abiding taxpayers that the tax laws are being enforced.</w:t>
      </w:r>
      <w:r w:rsidRPr="00F236A8">
        <w:t xml:space="preserve"> </w:t>
      </w:r>
      <w:r>
        <w:t xml:space="preserve">     </w:t>
      </w:r>
    </w:p>
    <w:p w:rsidR="00E86B6E" w:rsidRPr="00FA2B1D" w:rsidRDefault="00897AF4" w:rsidP="00BC2D10">
      <w:pPr>
        <w:spacing w:after="240"/>
      </w:pPr>
      <w:r>
        <w:tab/>
        <w:t>The IRS is</w:t>
      </w:r>
      <w:r w:rsidRPr="00E964C3">
        <w:t xml:space="preserve"> </w:t>
      </w:r>
      <w:r>
        <w:t>also</w:t>
      </w:r>
      <w:r w:rsidRPr="00F236A8">
        <w:t xml:space="preserve"> looking into taxpayers who operate businesses, either online or from a physical location, and </w:t>
      </w:r>
      <w:r>
        <w:t xml:space="preserve">who </w:t>
      </w:r>
      <w:r w:rsidRPr="00F236A8">
        <w:t xml:space="preserve">have some or all of their gross </w:t>
      </w:r>
      <w:r>
        <w:t xml:space="preserve">sales </w:t>
      </w:r>
      <w:r w:rsidRPr="00F236A8">
        <w:t xml:space="preserve">income deposited directly into a bank account maintained outside the United States. </w:t>
      </w:r>
      <w:r>
        <w:t xml:space="preserve"> As part of this effort, in </w:t>
      </w:r>
      <w:r w:rsidRPr="00F236A8">
        <w:rPr>
          <w:b/>
          <w:bCs/>
          <w:i/>
          <w:iCs/>
        </w:rPr>
        <w:t>In re John Does (Summons to First Data)</w:t>
      </w:r>
      <w:r w:rsidRPr="00F236A8">
        <w:t xml:space="preserve"> (D. Colo.)</w:t>
      </w:r>
      <w:r>
        <w:t xml:space="preserve">, </w:t>
      </w:r>
      <w:r w:rsidRPr="00F236A8">
        <w:t xml:space="preserve">the district court </w:t>
      </w:r>
      <w:r>
        <w:t>on April 15, 2009</w:t>
      </w:r>
      <w:r w:rsidR="00BC2D10">
        <w:t>,</w:t>
      </w:r>
      <w:r>
        <w:t xml:space="preserve"> </w:t>
      </w:r>
      <w:r w:rsidRPr="00F236A8">
        <w:t xml:space="preserve">issued an order authorizing service of a John Doe summons on First Data Corporation. </w:t>
      </w:r>
      <w:r>
        <w:t xml:space="preserve"> </w:t>
      </w:r>
      <w:r w:rsidRPr="00F236A8">
        <w:t xml:space="preserve">First Data </w:t>
      </w:r>
      <w:r w:rsidR="00CF4DCA">
        <w:t>issu</w:t>
      </w:r>
      <w:r w:rsidRPr="00F236A8">
        <w:t>es credit, debit, smart card, and stored-value card</w:t>
      </w:r>
      <w:r w:rsidR="00CF4DCA">
        <w:t>s,</w:t>
      </w:r>
      <w:r w:rsidRPr="00F236A8">
        <w:t xml:space="preserve">  and </w:t>
      </w:r>
      <w:r w:rsidR="00CF4DCA">
        <w:t xml:space="preserve">also provides </w:t>
      </w:r>
      <w:r w:rsidRPr="00F236A8">
        <w:t xml:space="preserve">merchant-transaction processing services, </w:t>
      </w:r>
      <w:r w:rsidR="00D16409">
        <w:t>i</w:t>
      </w:r>
      <w:r w:rsidRPr="00F236A8">
        <w:t xml:space="preserve">nternet commerce solutions, and check processing and verification services to financial institutions in thirty-seven countries, including the United States. </w:t>
      </w:r>
      <w:r>
        <w:t xml:space="preserve"> T</w:t>
      </w:r>
      <w:r w:rsidRPr="00F236A8">
        <w:t>he summons authorized by the court requests information regarding merchants that have entered into contractual relationships with First Data or its subsidiaries or affiliates</w:t>
      </w:r>
      <w:r w:rsidR="00CF4DCA">
        <w:t>,</w:t>
      </w:r>
      <w:r w:rsidRPr="00F236A8">
        <w:t xml:space="preserve"> to </w:t>
      </w:r>
      <w:r w:rsidR="00CF4DCA">
        <w:t>deposit</w:t>
      </w:r>
      <w:r w:rsidRPr="00F236A8">
        <w:t xml:space="preserve"> payment card sales to offshore merchant bank accounts</w:t>
      </w:r>
      <w:r>
        <w:t>.</w:t>
      </w:r>
      <w:r w:rsidDel="00897AF4">
        <w:rPr>
          <w:b/>
        </w:rPr>
        <w:t xml:space="preserve"> </w:t>
      </w:r>
    </w:p>
    <w:p w:rsidR="0060179A" w:rsidRPr="00E517C0" w:rsidRDefault="00FA2B1D" w:rsidP="00266B12">
      <w:pPr>
        <w:spacing w:after="240"/>
        <w:rPr>
          <w:rStyle w:val="Strong"/>
          <w:b w:val="0"/>
          <w:color w:val="0000FF"/>
        </w:rPr>
      </w:pPr>
      <w:r w:rsidRPr="00FA2B1D">
        <w:tab/>
        <w:t xml:space="preserve"> </w:t>
      </w:r>
      <w:bookmarkStart w:id="16" w:name="OLE_LINK38"/>
      <w:bookmarkStart w:id="17" w:name="OLE_LINK39"/>
      <w:bookmarkEnd w:id="14"/>
      <w:bookmarkEnd w:id="15"/>
      <w:r w:rsidR="0000074E" w:rsidRPr="00E517C0">
        <w:rPr>
          <w:b/>
        </w:rPr>
        <w:t>S</w:t>
      </w:r>
      <w:r w:rsidR="005752C5" w:rsidRPr="00E517C0">
        <w:rPr>
          <w:b/>
        </w:rPr>
        <w:t xml:space="preserve">hutting Down Tax </w:t>
      </w:r>
      <w:r w:rsidR="0000074E" w:rsidRPr="00E517C0">
        <w:rPr>
          <w:b/>
        </w:rPr>
        <w:t>Scams</w:t>
      </w:r>
      <w:r w:rsidR="005752C5" w:rsidRPr="00E517C0">
        <w:rPr>
          <w:b/>
        </w:rPr>
        <w:t xml:space="preserve"> and Fraudulent Return Preparers</w:t>
      </w:r>
    </w:p>
    <w:p w:rsidR="0060179A" w:rsidRPr="0067237A" w:rsidRDefault="0060179A" w:rsidP="0060179A">
      <w:pPr>
        <w:pStyle w:val="BodyText"/>
        <w:jc w:val="left"/>
      </w:pPr>
      <w:r w:rsidRPr="00AC01C7">
        <w:t>The Tax Division has a successful injunction program that has shut down many tax-fraud promoters and fraudulent tax</w:t>
      </w:r>
      <w:r w:rsidR="00CF4DCA">
        <w:t>-return</w:t>
      </w:r>
      <w:r w:rsidRPr="00AC01C7">
        <w:t xml:space="preserve"> preparers.  Some of the cases involved parallel criminal proceedings as well.  The promoters sued range from tax defiers selling frivolous packages that falsely promise to eliminate customers’ income tax entirely, to lawyers and accountants selling sophisticated, complex tax shelters to wealthy business owners.  Since the year 2000, the Tax Division has obtained injunctions against more than </w:t>
      </w:r>
      <w:r w:rsidR="001B2B95">
        <w:t>50</w:t>
      </w:r>
      <w:r w:rsidR="00751325">
        <w:t>0</w:t>
      </w:r>
      <w:r w:rsidRPr="00AC01C7">
        <w:t xml:space="preserve"> tax-fraud promoters and return preparers.  During FY 20</w:t>
      </w:r>
      <w:r w:rsidR="001B2B95">
        <w:t>10</w:t>
      </w:r>
      <w:r w:rsidR="00BC2D10">
        <w:t>,</w:t>
      </w:r>
      <w:r w:rsidRPr="00AC01C7">
        <w:t xml:space="preserve"> the Division has litigated </w:t>
      </w:r>
      <w:r w:rsidR="001B2B95">
        <w:t>a number of significant injunction suits</w:t>
      </w:r>
      <w:r w:rsidR="00751325">
        <w:t xml:space="preserve">, including </w:t>
      </w:r>
      <w:r w:rsidR="00751325" w:rsidRPr="004D6972">
        <w:rPr>
          <w:b/>
          <w:i/>
        </w:rPr>
        <w:t xml:space="preserve">United States v. </w:t>
      </w:r>
      <w:r w:rsidR="0067237A">
        <w:rPr>
          <w:b/>
          <w:i/>
        </w:rPr>
        <w:t>Allen Davison</w:t>
      </w:r>
      <w:r w:rsidR="00751325">
        <w:t xml:space="preserve"> (</w:t>
      </w:r>
      <w:r w:rsidR="0067237A">
        <w:t>W</w:t>
      </w:r>
      <w:r w:rsidR="00751325">
        <w:t xml:space="preserve">.D. </w:t>
      </w:r>
      <w:r w:rsidR="0067237A">
        <w:t>Mo</w:t>
      </w:r>
      <w:r w:rsidR="00751325">
        <w:t xml:space="preserve">.), in which a </w:t>
      </w:r>
      <w:r w:rsidR="00D56FE3">
        <w:t xml:space="preserve">court </w:t>
      </w:r>
      <w:r w:rsidR="00751325">
        <w:t xml:space="preserve">in </w:t>
      </w:r>
      <w:r w:rsidR="0067237A">
        <w:t>May, 2010</w:t>
      </w:r>
      <w:r w:rsidR="00D56FE3">
        <w:t xml:space="preserve">, barred </w:t>
      </w:r>
      <w:r w:rsidR="0067237A">
        <w:t>Davison, a CPA who the court found had “deliberately advised his clients to break the law, and helped them go about doing so,”</w:t>
      </w:r>
      <w:r w:rsidR="00D56FE3">
        <w:t xml:space="preserve"> from </w:t>
      </w:r>
      <w:r w:rsidR="0067237A">
        <w:t>promoting a variety of tax-fraud schemes;</w:t>
      </w:r>
      <w:r w:rsidR="007F0AD5">
        <w:t xml:space="preserve"> </w:t>
      </w:r>
      <w:r w:rsidR="0067237A">
        <w:rPr>
          <w:b/>
          <w:i/>
        </w:rPr>
        <w:t>United States v. A. Blair Stover</w:t>
      </w:r>
      <w:r w:rsidR="0067237A">
        <w:t xml:space="preserve"> (W.D. Mo.), in which a court in August, 2010, barred</w:t>
      </w:r>
      <w:r w:rsidR="007F0AD5">
        <w:t xml:space="preserve"> Stover, an attorney and equity partner in an accounting firm, from promoting a variety of improper tax schemes, which the court found, using a “very conservative estimate[],” had caused at least $100 million in tax losses</w:t>
      </w:r>
      <w:r w:rsidR="0072632B">
        <w:t xml:space="preserve">; and three related cases in Texas and Florida, </w:t>
      </w:r>
      <w:r w:rsidR="0072632B">
        <w:rPr>
          <w:b/>
          <w:i/>
        </w:rPr>
        <w:t>United States v. George Calvert</w:t>
      </w:r>
      <w:r w:rsidR="0072632B">
        <w:t xml:space="preserve"> (M.D. Fla.), </w:t>
      </w:r>
      <w:r w:rsidR="0072632B">
        <w:rPr>
          <w:b/>
          <w:i/>
        </w:rPr>
        <w:t>United States v. Sally Hand-Bostick</w:t>
      </w:r>
      <w:r w:rsidR="0072632B">
        <w:t xml:space="preserve"> (N.D. Tex.), and </w:t>
      </w:r>
      <w:r w:rsidR="0072632B">
        <w:rPr>
          <w:b/>
          <w:i/>
        </w:rPr>
        <w:t>United States v. Ronald Fontenot</w:t>
      </w:r>
      <w:r w:rsidR="0072632B">
        <w:t xml:space="preserve"> (E.D. Tex.)</w:t>
      </w:r>
      <w:r w:rsidR="0072632B">
        <w:rPr>
          <w:b/>
          <w:i/>
        </w:rPr>
        <w:t xml:space="preserve"> </w:t>
      </w:r>
      <w:r w:rsidR="0072632B">
        <w:t>in which, as of January, 2011, the Tax Division has obtained injunctions against 28 promoters and preparers who, according to the Government’s complaints, have helped customers claim more than $30 million in bogus federal income tax credits designed for producers of fuel from non-conventional sources.</w:t>
      </w:r>
    </w:p>
    <w:p w:rsidR="0060179A" w:rsidRPr="00AC01C7" w:rsidRDefault="0060179A" w:rsidP="0060179A">
      <w:pPr>
        <w:pStyle w:val="BodyText"/>
        <w:jc w:val="left"/>
      </w:pPr>
      <w:r w:rsidRPr="00AC01C7">
        <w:t xml:space="preserve">The schemes the Division </w:t>
      </w:r>
      <w:r w:rsidRPr="00AC01C7">
        <w:rPr>
          <w:rStyle w:val="bodytextchar0"/>
        </w:rPr>
        <w:t>has enjoined during the past </w:t>
      </w:r>
      <w:r w:rsidR="00751325">
        <w:rPr>
          <w:rStyle w:val="bodytextchar0"/>
        </w:rPr>
        <w:t>ten</w:t>
      </w:r>
      <w:r w:rsidRPr="00AC01C7">
        <w:rPr>
          <w:rStyle w:val="bodytextchar0"/>
        </w:rPr>
        <w:t xml:space="preserve"> years cost the Federal Treasury billion</w:t>
      </w:r>
      <w:r w:rsidR="001B2B95">
        <w:rPr>
          <w:rStyle w:val="bodytextchar0"/>
        </w:rPr>
        <w:t>s</w:t>
      </w:r>
      <w:r w:rsidRPr="00AC01C7">
        <w:rPr>
          <w:rStyle w:val="bodytextchar0"/>
        </w:rPr>
        <w:t xml:space="preserve"> in lost revenues and placed an enormous administrative burden on the IRS.  </w:t>
      </w:r>
      <w:r w:rsidRPr="00AC01C7">
        <w:t xml:space="preserve">If permitted to go unchecked, these schemes would undermine public confidence in the integrity of our tax system, and require the IRS to devote substantial resources to detecting, correcting, and collecting the resulting unpaid taxes.  </w:t>
      </w:r>
    </w:p>
    <w:p w:rsidR="0060179A" w:rsidRPr="00AC01C7" w:rsidRDefault="0060179A" w:rsidP="00935712">
      <w:pPr>
        <w:pStyle w:val="BodyText"/>
        <w:spacing w:after="240"/>
        <w:jc w:val="left"/>
        <w:rPr>
          <w:rFonts w:ascii="Garamond" w:hAnsi="Garamond" w:cs="Arial"/>
          <w:sz w:val="27"/>
          <w:szCs w:val="27"/>
        </w:rPr>
      </w:pPr>
      <w:r w:rsidRPr="00AC01C7">
        <w:t xml:space="preserve">The Tax Division continues to encourage the Internal Revenue Service to attack these schemes at their source, by targeting and investigating the promoters before they attract more customers and require more IRS examination and collection activity.  Division employees have helped train hundreds of Internal Revenue Service agents and lawyers about developing injunction and penalty cases against tax scam promoters.  </w:t>
      </w:r>
    </w:p>
    <w:p w:rsidR="0000074E" w:rsidRDefault="00A15617" w:rsidP="00BC2D10">
      <w:pPr>
        <w:pStyle w:val="BodyText"/>
        <w:spacing w:after="240"/>
        <w:jc w:val="left"/>
        <w:rPr>
          <w:b/>
        </w:rPr>
      </w:pPr>
      <w:r>
        <w:t xml:space="preserve">  </w:t>
      </w:r>
      <w:bookmarkEnd w:id="16"/>
      <w:bookmarkEnd w:id="17"/>
      <w:r w:rsidR="0000074E" w:rsidRPr="0032337E">
        <w:rPr>
          <w:b/>
        </w:rPr>
        <w:t xml:space="preserve">Assisting with </w:t>
      </w:r>
      <w:r w:rsidR="0000074E">
        <w:rPr>
          <w:b/>
        </w:rPr>
        <w:t xml:space="preserve">IRS </w:t>
      </w:r>
      <w:r w:rsidR="0000074E" w:rsidRPr="0032337E">
        <w:rPr>
          <w:b/>
        </w:rPr>
        <w:t>Information Collection</w:t>
      </w:r>
      <w:r w:rsidR="0000074E">
        <w:rPr>
          <w:b/>
        </w:rPr>
        <w:t xml:space="preserve"> and Examinations</w:t>
      </w:r>
    </w:p>
    <w:p w:rsidR="00897AF4" w:rsidRDefault="00897AF4" w:rsidP="00897AF4">
      <w:pPr>
        <w:pStyle w:val="body"/>
      </w:pPr>
      <w:r>
        <w:t>Individuals or businesses sometimes seek to thwart an IRS investigation by refusing to cooperate with IRS administrative summonses requesting information.  When that happens, the IRS frequently asks the Tax Division to bring suit in federal court seeking a court order to compel compliance with the summons.  These judicial proceedings afford the government the ability to obtain information, while also providing important procedural and substantive rights to those affected by the summons.  As the IRS increases its audit activity and criminal investigations and seeks more information from individuals who might be part of the Tax Gap, the Division anticipates being asked to enforce more of the sensitive and complicated summons cases that it currently handles.</w:t>
      </w:r>
    </w:p>
    <w:p w:rsidR="0000074E" w:rsidRDefault="0000074E" w:rsidP="00B91E5C">
      <w:pPr>
        <w:pStyle w:val="BodyText"/>
        <w:spacing w:after="240"/>
        <w:jc w:val="left"/>
      </w:pPr>
      <w:r>
        <w:t>The Tax Division’s summons enforcement work in the past few years has been very effective.  The Division spearheaded enforcing summonses aimed at identifying high-income taxpayers who were playing the audit lottery</w:t>
      </w:r>
      <w:r w:rsidRPr="00D4648C">
        <w:t xml:space="preserve">.  For example, when prominent law firms and public accounting firms began marketing tax shelters to corporations and wealthy individuals, the firms rebuffed the IRS’s requests for information that the firms were required by law to maintain and provide, essentially stalling as the clock ran out on the IRS.  </w:t>
      </w:r>
    </w:p>
    <w:p w:rsidR="0000074E" w:rsidRPr="00B91E5C" w:rsidRDefault="0000074E" w:rsidP="00B91E5C">
      <w:pPr>
        <w:pStyle w:val="BodyText"/>
        <w:spacing w:after="240"/>
        <w:jc w:val="left"/>
        <w:rPr>
          <w:b/>
        </w:rPr>
      </w:pPr>
      <w:r w:rsidRPr="00B91E5C">
        <w:rPr>
          <w:b/>
        </w:rPr>
        <w:t>Collecting Unpaid Taxes</w:t>
      </w:r>
    </w:p>
    <w:p w:rsidR="0000074E" w:rsidRDefault="003C7202" w:rsidP="006B2852">
      <w:pPr>
        <w:pStyle w:val="BodyText"/>
        <w:jc w:val="left"/>
      </w:pPr>
      <w:r>
        <w:t>T</w:t>
      </w:r>
      <w:r w:rsidR="0000074E">
        <w:t>he Division contributes significantly to closing the Tax Gap i</w:t>
      </w:r>
      <w:r w:rsidR="00565980">
        <w:t>n</w:t>
      </w:r>
      <w:r w:rsidR="0000074E">
        <w:t xml:space="preserve"> its active civil litigation to collect tax debts.  The focus and goal of this litigation is to enforce the tax laws and collect taxes that would otherwise go unpaid.  Collection suits have a direct, and positive, effect on the Treasury.  The Division typically collects more each year than its entire budget, as illustrated by the following chart.  Given that the IRS only refers</w:t>
      </w:r>
      <w:r w:rsidR="0000074E" w:rsidRPr="00FD25C6">
        <w:t xml:space="preserve"> </w:t>
      </w:r>
      <w:r w:rsidR="0000074E">
        <w:t xml:space="preserve">to the Tax Division tax debts that the IRS has been unable to collect through administrative means, the Division’s efforts are a tremendous return on investment in collecting the most difficult debts. </w:t>
      </w:r>
    </w:p>
    <w:p w:rsidR="007938DE" w:rsidRDefault="007938DE" w:rsidP="006B2852">
      <w:pPr>
        <w:pStyle w:val="BodyText"/>
        <w:jc w:val="left"/>
      </w:pPr>
    </w:p>
    <w:p w:rsidR="000C0F62" w:rsidRDefault="000C0F62" w:rsidP="006B2852">
      <w:pPr>
        <w:pStyle w:val="BodyText"/>
        <w:jc w:val="left"/>
      </w:pPr>
    </w:p>
    <w:p w:rsidR="00A05784" w:rsidRDefault="0020797A" w:rsidP="00820DB7">
      <w:pPr>
        <w:pStyle w:val="BodyText"/>
        <w:spacing w:after="240"/>
        <w:jc w:val="left"/>
      </w:pPr>
      <w:r>
        <w:rPr>
          <w:noProof/>
        </w:rPr>
        <w:drawing>
          <wp:inline distT="0" distB="0" distL="0" distR="0">
            <wp:extent cx="5486400" cy="382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486400" cy="3829050"/>
                    </a:xfrm>
                    <a:prstGeom prst="rect">
                      <a:avLst/>
                    </a:prstGeom>
                    <a:noFill/>
                    <a:ln w="9525">
                      <a:noFill/>
                      <a:miter lim="800000"/>
                      <a:headEnd/>
                      <a:tailEnd/>
                    </a:ln>
                  </pic:spPr>
                </pic:pic>
              </a:graphicData>
            </a:graphic>
          </wp:inline>
        </w:drawing>
      </w:r>
    </w:p>
    <w:p w:rsidR="0000074E" w:rsidRDefault="0000074E" w:rsidP="00820DB7">
      <w:pPr>
        <w:pStyle w:val="BodyText"/>
        <w:spacing w:after="240"/>
        <w:jc w:val="left"/>
      </w:pPr>
      <w:r>
        <w:t>While the direct return alone is impressive, the Division’s collection litigation also brings substantial indirect benefits.  It assures honest taxpayers that those who engage in illegal activity will suffer the consequences</w:t>
      </w:r>
      <w:r w:rsidR="00EE03A8">
        <w:t xml:space="preserve"> while b</w:t>
      </w:r>
      <w:r>
        <w:t>oost</w:t>
      </w:r>
      <w:r w:rsidR="00EE03A8">
        <w:t xml:space="preserve">ing </w:t>
      </w:r>
      <w:r>
        <w:t xml:space="preserve">voluntary compliance by warning scofflaws.  </w:t>
      </w:r>
    </w:p>
    <w:p w:rsidR="0000074E" w:rsidRPr="00885F49" w:rsidRDefault="0000074E" w:rsidP="00820DB7">
      <w:pPr>
        <w:pStyle w:val="body"/>
        <w:keepNext/>
        <w:rPr>
          <w:b/>
        </w:rPr>
      </w:pPr>
      <w:r>
        <w:rPr>
          <w:b/>
        </w:rPr>
        <w:t>Defending the United States</w:t>
      </w:r>
    </w:p>
    <w:p w:rsidR="0000074E" w:rsidRDefault="0000074E" w:rsidP="006B2852">
      <w:pPr>
        <w:pStyle w:val="BodyText"/>
        <w:jc w:val="left"/>
      </w:pPr>
      <w:bookmarkStart w:id="18" w:name="OLE_LINK1"/>
      <w:bookmarkStart w:id="19" w:name="OLE_LINK4"/>
      <w:r>
        <w:t xml:space="preserve">Tax cases filed </w:t>
      </w:r>
      <w:r w:rsidRPr="00E7000A">
        <w:rPr>
          <w:u w:val="single"/>
        </w:rPr>
        <w:t>against</w:t>
      </w:r>
      <w:r>
        <w:t xml:space="preserve"> the United States comprise nearly </w:t>
      </w:r>
      <w:r w:rsidR="004E5EE5">
        <w:t>71</w:t>
      </w:r>
      <w:r w:rsidRPr="00EC374C">
        <w:t>%</w:t>
      </w:r>
      <w:r>
        <w:t xml:space="preserve"> of the Division’s caseload, both in the number of cases to be litigated and in the number of attorney work hours devoted to them each year.  </w:t>
      </w:r>
      <w:bookmarkEnd w:id="18"/>
      <w:bookmarkEnd w:id="19"/>
      <w:r w:rsidRPr="00C63E9F">
        <w:t xml:space="preserve"> </w:t>
      </w:r>
      <w:r>
        <w:t xml:space="preserve">The </w:t>
      </w:r>
      <w:r w:rsidRPr="00C63E9F">
        <w:t xml:space="preserve">Division </w:t>
      </w:r>
      <w:r>
        <w:t xml:space="preserve">has no choice but to </w:t>
      </w:r>
      <w:r w:rsidRPr="00C63E9F">
        <w:t>defend these lawsuits, which</w:t>
      </w:r>
      <w:r>
        <w:t xml:space="preserve"> include requests for refund of taxes, challenges to federal tax liens, claims of unauthorized disclosure</w:t>
      </w:r>
      <w:r w:rsidR="003C7202">
        <w:t>,</w:t>
      </w:r>
      <w:r>
        <w:t xml:space="preserve"> and allegations of wrongdoing by IRS agents. The Division’s representation of the government saves the Treasury hundreds of millions of dollars annually by retaining money that taxpayers seek to have refunded and by ensuring that spurious damages claims are denied.  As of September 30, 200</w:t>
      </w:r>
      <w:r w:rsidR="00733AC8">
        <w:t>9</w:t>
      </w:r>
      <w:r>
        <w:t xml:space="preserve">, the Division was defending tax refund cases worth </w:t>
      </w:r>
      <w:r w:rsidR="00DA72BA">
        <w:t xml:space="preserve">approximately </w:t>
      </w:r>
      <w:r>
        <w:t>$</w:t>
      </w:r>
      <w:r w:rsidR="00733AC8">
        <w:t>10.1</w:t>
      </w:r>
      <w:r>
        <w:t xml:space="preserve"> billion to the Federal Treasury.</w:t>
      </w:r>
      <w:r w:rsidR="00122A78">
        <w:rPr>
          <w:rStyle w:val="FootnoteReference"/>
        </w:rPr>
        <w:footnoteReference w:id="14"/>
      </w:r>
    </w:p>
    <w:p w:rsidR="0000074E" w:rsidRPr="00023FA8" w:rsidRDefault="003C7202" w:rsidP="00023FA8">
      <w:pPr>
        <w:pStyle w:val="body"/>
        <w:rPr>
          <w:rFonts w:ascii="Garamond" w:hAnsi="Garamond" w:cs="Times New Roman"/>
          <w:sz w:val="27"/>
          <w:szCs w:val="27"/>
        </w:rPr>
      </w:pPr>
      <w:r>
        <w:t>Many of these refund suits, like the</w:t>
      </w:r>
      <w:r w:rsidR="0000074E" w:rsidRPr="00D4648C">
        <w:t xml:space="preserve"> sophisticated tax shelter</w:t>
      </w:r>
      <w:r>
        <w:t xml:space="preserve"> cases described earlier, involve issues that affect many individual taxpayers and involve large sums</w:t>
      </w:r>
      <w:r w:rsidR="0000074E" w:rsidRPr="00D4648C">
        <w:t xml:space="preserve">.  For example, the Tax Division is currently </w:t>
      </w:r>
      <w:r w:rsidR="006535A8">
        <w:t xml:space="preserve">litigating the issue whether universal service support payments received by taxpayers in the telecommunications industry </w:t>
      </w:r>
      <w:r w:rsidR="002F2432">
        <w:t>a</w:t>
      </w:r>
      <w:r w:rsidR="006535A8" w:rsidRPr="006535A8">
        <w:rPr>
          <w:rFonts w:cs="Times New Roman"/>
        </w:rPr>
        <w:t>re to be treated as taxable income</w:t>
      </w:r>
      <w:r w:rsidR="002F2432">
        <w:rPr>
          <w:rFonts w:cs="Times New Roman"/>
        </w:rPr>
        <w:t>, or may be treated as nontaxable contributions to capital</w:t>
      </w:r>
      <w:r w:rsidR="006535A8" w:rsidRPr="006535A8">
        <w:rPr>
          <w:rFonts w:cs="Times New Roman"/>
        </w:rPr>
        <w:t xml:space="preserve">.  </w:t>
      </w:r>
      <w:r w:rsidR="006535A8">
        <w:rPr>
          <w:rFonts w:cs="Times New Roman"/>
        </w:rPr>
        <w:t xml:space="preserve">The United States </w:t>
      </w:r>
      <w:r w:rsidR="006E1611">
        <w:rPr>
          <w:rFonts w:cs="Times New Roman"/>
        </w:rPr>
        <w:t xml:space="preserve">has </w:t>
      </w:r>
      <w:r w:rsidR="006535A8">
        <w:rPr>
          <w:rFonts w:cs="Times New Roman"/>
        </w:rPr>
        <w:t xml:space="preserve">prevailed on this issue in </w:t>
      </w:r>
      <w:r w:rsidR="006535A8" w:rsidRPr="00521A48">
        <w:rPr>
          <w:rFonts w:cs="Times New Roman"/>
          <w:b/>
          <w:i/>
        </w:rPr>
        <w:t>United States v. Coastal Utilities, Inc.</w:t>
      </w:r>
      <w:r w:rsidR="006535A8">
        <w:rPr>
          <w:rFonts w:cs="Times New Roman"/>
        </w:rPr>
        <w:t xml:space="preserve"> (11</w:t>
      </w:r>
      <w:r w:rsidR="006535A8" w:rsidRPr="006535A8">
        <w:rPr>
          <w:rFonts w:cs="Times New Roman"/>
          <w:vertAlign w:val="superscript"/>
        </w:rPr>
        <w:t>th</w:t>
      </w:r>
      <w:r w:rsidR="006535A8">
        <w:rPr>
          <w:rFonts w:cs="Times New Roman"/>
        </w:rPr>
        <w:t xml:space="preserve"> Cir. 2008), and in </w:t>
      </w:r>
      <w:r w:rsidR="006535A8" w:rsidRPr="00521A48">
        <w:rPr>
          <w:rFonts w:cs="Times New Roman"/>
          <w:b/>
          <w:i/>
        </w:rPr>
        <w:t>AT&amp;T, Inc. v. United States</w:t>
      </w:r>
      <w:r w:rsidR="006535A8">
        <w:rPr>
          <w:rFonts w:cs="Times New Roman"/>
        </w:rPr>
        <w:t xml:space="preserve"> (</w:t>
      </w:r>
      <w:r w:rsidR="00B60019">
        <w:rPr>
          <w:rFonts w:cs="Times New Roman"/>
        </w:rPr>
        <w:t>5</w:t>
      </w:r>
      <w:r w:rsidR="00B60019" w:rsidRPr="00B60019">
        <w:rPr>
          <w:rFonts w:cs="Times New Roman"/>
          <w:vertAlign w:val="superscript"/>
        </w:rPr>
        <w:t>th</w:t>
      </w:r>
      <w:r w:rsidR="00B60019">
        <w:rPr>
          <w:rFonts w:cs="Times New Roman"/>
        </w:rPr>
        <w:t xml:space="preserve"> Cir.</w:t>
      </w:r>
      <w:r w:rsidR="009A1782">
        <w:rPr>
          <w:rFonts w:cs="Times New Roman"/>
        </w:rPr>
        <w:t xml:space="preserve"> 2011</w:t>
      </w:r>
      <w:r w:rsidR="00B60019">
        <w:rPr>
          <w:rFonts w:cs="Times New Roman"/>
        </w:rPr>
        <w:t>)</w:t>
      </w:r>
      <w:r w:rsidR="006535A8">
        <w:rPr>
          <w:rFonts w:cs="Times New Roman"/>
        </w:rPr>
        <w:t xml:space="preserve">. </w:t>
      </w:r>
      <w:r w:rsidR="00856965">
        <w:rPr>
          <w:rFonts w:cs="Times New Roman"/>
        </w:rPr>
        <w:t xml:space="preserve">The same issue is at stake in </w:t>
      </w:r>
      <w:r w:rsidR="00856965">
        <w:rPr>
          <w:rFonts w:cs="Times New Roman"/>
          <w:b/>
          <w:i/>
        </w:rPr>
        <w:t>Sprint Nextel v. United States</w:t>
      </w:r>
      <w:r w:rsidR="00856965">
        <w:rPr>
          <w:rFonts w:cs="Times New Roman"/>
        </w:rPr>
        <w:t xml:space="preserve"> (D. Kan.).</w:t>
      </w:r>
      <w:r w:rsidR="006535A8">
        <w:rPr>
          <w:rFonts w:cs="Times New Roman"/>
          <w:i/>
        </w:rPr>
        <w:t xml:space="preserve"> </w:t>
      </w:r>
      <w:r w:rsidR="00A16F4E">
        <w:rPr>
          <w:rFonts w:cs="Times New Roman"/>
        </w:rPr>
        <w:t xml:space="preserve">Although less than $2 million was at issue in </w:t>
      </w:r>
      <w:r w:rsidR="00A16F4E">
        <w:rPr>
          <w:rFonts w:cs="Times New Roman"/>
          <w:i/>
        </w:rPr>
        <w:t xml:space="preserve">Coastal </w:t>
      </w:r>
      <w:r w:rsidR="00A16F4E" w:rsidRPr="00A16F4E">
        <w:rPr>
          <w:rFonts w:cs="Times New Roman"/>
          <w:i/>
        </w:rPr>
        <w:t>Utilities</w:t>
      </w:r>
      <w:r w:rsidR="00A16F4E">
        <w:rPr>
          <w:rFonts w:cs="Times New Roman"/>
        </w:rPr>
        <w:t xml:space="preserve">, and about $500 million in </w:t>
      </w:r>
      <w:r w:rsidR="00A16F4E" w:rsidRPr="00A16F4E">
        <w:rPr>
          <w:rFonts w:cs="Times New Roman"/>
          <w:i/>
        </w:rPr>
        <w:t>AT&amp;T</w:t>
      </w:r>
      <w:r w:rsidR="00A16F4E">
        <w:rPr>
          <w:rFonts w:cs="Times New Roman"/>
        </w:rPr>
        <w:t>, b</w:t>
      </w:r>
      <w:r w:rsidR="006535A8" w:rsidRPr="00A16F4E">
        <w:rPr>
          <w:rFonts w:cs="Times New Roman"/>
        </w:rPr>
        <w:t>illions</w:t>
      </w:r>
      <w:r w:rsidR="006535A8">
        <w:rPr>
          <w:rFonts w:cs="Times New Roman"/>
        </w:rPr>
        <w:t xml:space="preserve"> of tax dollars are at stake administratively within the telecommunications industry, and t</w:t>
      </w:r>
      <w:r w:rsidR="006535A8" w:rsidRPr="006535A8">
        <w:rPr>
          <w:rFonts w:cs="Times New Roman"/>
        </w:rPr>
        <w:t>he precedent resulting from th</w:t>
      </w:r>
      <w:r w:rsidR="006535A8">
        <w:rPr>
          <w:rFonts w:cs="Times New Roman"/>
        </w:rPr>
        <w:t>e</w:t>
      </w:r>
      <w:r w:rsidR="006535A8" w:rsidRPr="006535A8">
        <w:rPr>
          <w:rFonts w:cs="Times New Roman"/>
        </w:rPr>
        <w:t>s</w:t>
      </w:r>
      <w:r w:rsidR="006535A8">
        <w:rPr>
          <w:rFonts w:cs="Times New Roman"/>
        </w:rPr>
        <w:t>e</w:t>
      </w:r>
      <w:r w:rsidR="006535A8" w:rsidRPr="006535A8">
        <w:rPr>
          <w:rFonts w:cs="Times New Roman"/>
        </w:rPr>
        <w:t xml:space="preserve"> case</w:t>
      </w:r>
      <w:r w:rsidR="006535A8">
        <w:rPr>
          <w:rFonts w:cs="Times New Roman"/>
        </w:rPr>
        <w:t xml:space="preserve">s </w:t>
      </w:r>
      <w:r w:rsidR="006535A8" w:rsidRPr="006535A8">
        <w:rPr>
          <w:rFonts w:cs="Times New Roman"/>
        </w:rPr>
        <w:t xml:space="preserve">may have a broader impact since the contrived interpretation of </w:t>
      </w:r>
      <w:r w:rsidR="002F2432">
        <w:rPr>
          <w:rFonts w:cs="Times New Roman"/>
        </w:rPr>
        <w:t>“capital contributions”</w:t>
      </w:r>
      <w:r w:rsidR="006535A8" w:rsidRPr="006535A8">
        <w:rPr>
          <w:rFonts w:cs="Times New Roman"/>
        </w:rPr>
        <w:t xml:space="preserve"> advocated by </w:t>
      </w:r>
      <w:r w:rsidR="002F2432">
        <w:rPr>
          <w:rFonts w:cs="Times New Roman"/>
        </w:rPr>
        <w:t xml:space="preserve">the taxpayers </w:t>
      </w:r>
      <w:r w:rsidR="006535A8" w:rsidRPr="006535A8">
        <w:rPr>
          <w:rFonts w:cs="Times New Roman"/>
        </w:rPr>
        <w:t>is appearing in other industries as well</w:t>
      </w:r>
      <w:r w:rsidR="006535A8">
        <w:rPr>
          <w:rFonts w:ascii="Arial" w:hAnsi="Arial" w:cs="Arial"/>
          <w:sz w:val="20"/>
          <w:szCs w:val="20"/>
        </w:rPr>
        <w:t>.</w:t>
      </w:r>
      <w:r w:rsidR="0000074E" w:rsidRPr="00D4648C">
        <w:t xml:space="preserve"> The IRS estimates that, if the Tax Division </w:t>
      </w:r>
      <w:r w:rsidR="00023FA8">
        <w:t>is</w:t>
      </w:r>
      <w:r w:rsidR="0000074E" w:rsidRPr="00D4648C">
        <w:t xml:space="preserve"> not able to develop case law supporting the Government’s position on this issue, the Federal Treasury w</w:t>
      </w:r>
      <w:r w:rsidR="00023FA8">
        <w:t>ill</w:t>
      </w:r>
      <w:r w:rsidR="0000074E" w:rsidRPr="00D4648C">
        <w:t xml:space="preserve"> have to pay billions of dollars in refunds, and w</w:t>
      </w:r>
      <w:r w:rsidR="00023FA8">
        <w:t>ill</w:t>
      </w:r>
      <w:r w:rsidR="0000074E" w:rsidRPr="00D4648C">
        <w:t xml:space="preserve"> cease to collect billions more in future years.   </w:t>
      </w:r>
    </w:p>
    <w:p w:rsidR="0000074E" w:rsidRPr="00920766" w:rsidRDefault="0000074E" w:rsidP="00920766">
      <w:pPr>
        <w:pStyle w:val="BodyText"/>
        <w:spacing w:after="240"/>
        <w:jc w:val="left"/>
        <w:rPr>
          <w:b/>
        </w:rPr>
      </w:pPr>
      <w:r w:rsidRPr="00920766">
        <w:rPr>
          <w:b/>
        </w:rPr>
        <w:t>Civil Appellate Cases</w:t>
      </w:r>
    </w:p>
    <w:p w:rsidR="0000074E" w:rsidRPr="004A6801" w:rsidRDefault="00337A4D" w:rsidP="00B13B59">
      <w:pPr>
        <w:pStyle w:val="BodyText"/>
        <w:jc w:val="left"/>
      </w:pPr>
      <w:r w:rsidRPr="004A6801">
        <w:fldChar w:fldCharType="begin"/>
      </w:r>
      <w:r w:rsidR="0000074E" w:rsidRPr="004A6801">
        <w:instrText xml:space="preserve"> SEQ CHAPTER \h \r 1</w:instrText>
      </w:r>
      <w:r w:rsidRPr="004A6801">
        <w:fldChar w:fldCharType="end"/>
      </w:r>
      <w:r w:rsidR="0000074E" w:rsidRPr="004A6801">
        <w:t>The Tax Division</w:t>
      </w:r>
      <w:r w:rsidR="0000074E">
        <w:t>’s appellate attorneys</w:t>
      </w:r>
      <w:r w:rsidR="0000074E" w:rsidRPr="004A6801">
        <w:t xml:space="preserve"> </w:t>
      </w:r>
      <w:r w:rsidR="0000074E">
        <w:t xml:space="preserve">represent the United States in </w:t>
      </w:r>
      <w:r w:rsidR="0000074E" w:rsidRPr="004A6801">
        <w:t>all appeals involving federal tax statutes in the United States courts</w:t>
      </w:r>
      <w:r w:rsidR="0000074E">
        <w:t xml:space="preserve"> of appeals</w:t>
      </w:r>
      <w:r w:rsidR="0000074E" w:rsidRPr="004A6801">
        <w:t xml:space="preserve"> and their state government equivalents (except for appeals from the Southern District of New York).  The Division’s appellate attorneys also assist the Solicitor General of the United States by preparing initial drafts of pleadings and briefs in tax cases filed in the Supreme Court</w:t>
      </w:r>
      <w:r w:rsidR="0000074E">
        <w:t xml:space="preserve">.  </w:t>
      </w:r>
      <w:r w:rsidR="0000074E" w:rsidRPr="004A6801">
        <w:t xml:space="preserve">The Division </w:t>
      </w:r>
      <w:r w:rsidR="0000074E">
        <w:t>likewise</w:t>
      </w:r>
      <w:r w:rsidR="0000074E" w:rsidRPr="004A6801">
        <w:t xml:space="preserve"> closely reviews all </w:t>
      </w:r>
      <w:r w:rsidR="0000074E">
        <w:t xml:space="preserve">adverse </w:t>
      </w:r>
      <w:r w:rsidR="0000074E" w:rsidRPr="004A6801">
        <w:t xml:space="preserve">decisions entered by the lower courts in </w:t>
      </w:r>
      <w:r w:rsidR="0000074E">
        <w:t>tax</w:t>
      </w:r>
      <w:r w:rsidR="0000074E" w:rsidRPr="004A6801">
        <w:t xml:space="preserve"> cases to determine whether the government should appeal, and prepares a </w:t>
      </w:r>
      <w:r w:rsidR="0000074E">
        <w:t>r</w:t>
      </w:r>
      <w:r w:rsidR="0000074E" w:rsidRPr="004A6801">
        <w:t xml:space="preserve">ecommendation to the Solicitor General.  The appellate section generally recommends appeal only in those cases where there is a substantial likelihood the government will ultimately prevail or where an important principle is at stake.  </w:t>
      </w:r>
      <w:r w:rsidR="0000074E">
        <w:t>Careful</w:t>
      </w:r>
      <w:r w:rsidR="0000074E" w:rsidRPr="004A6801">
        <w:t xml:space="preserve"> review of these cases not only </w:t>
      </w:r>
      <w:r w:rsidR="0000074E">
        <w:t>ensures</w:t>
      </w:r>
      <w:r w:rsidR="0000074E" w:rsidRPr="004A6801">
        <w:t xml:space="preserve"> that Department resources are spent wisely on only meritorious appeals, but also advances the Tax Division’s mission of promoting the fair</w:t>
      </w:r>
      <w:r w:rsidR="0000074E">
        <w:t xml:space="preserve"> and</w:t>
      </w:r>
      <w:r w:rsidR="0000074E" w:rsidRPr="004A6801">
        <w:t xml:space="preserve"> correct</w:t>
      </w:r>
      <w:r w:rsidR="0000074E">
        <w:t xml:space="preserve"> development, and </w:t>
      </w:r>
      <w:r w:rsidR="0000074E" w:rsidRPr="004A6801">
        <w:t xml:space="preserve">uniform enforcement of the federal tax laws.  </w:t>
      </w:r>
    </w:p>
    <w:p w:rsidR="00AC01C7" w:rsidRPr="00DF2248" w:rsidRDefault="004C02AE" w:rsidP="00023FA8">
      <w:pPr>
        <w:pStyle w:val="BodyText"/>
        <w:jc w:val="left"/>
      </w:pPr>
      <w:bookmarkStart w:id="20" w:name="OLE_LINK40"/>
      <w:bookmarkStart w:id="21" w:name="OLE_LINK41"/>
      <w:bookmarkStart w:id="22" w:name="OLE_LINK42"/>
      <w:bookmarkStart w:id="23" w:name="OLE_LINK43"/>
      <w:r>
        <w:t>During FY 20</w:t>
      </w:r>
      <w:r w:rsidR="00030EE9">
        <w:t>10</w:t>
      </w:r>
      <w:r>
        <w:t xml:space="preserve">, the Appellate Section won (in whole or in part) over 97% of the taxpayer appeals.  </w:t>
      </w:r>
      <w:r w:rsidR="00337A4D" w:rsidRPr="00DF2248">
        <w:rPr>
          <w:lang w:val="en-CA"/>
        </w:rPr>
        <w:fldChar w:fldCharType="begin"/>
      </w:r>
      <w:r w:rsidR="00DF2248" w:rsidRPr="00DF2248">
        <w:rPr>
          <w:lang w:val="en-CA"/>
        </w:rPr>
        <w:instrText xml:space="preserve"> SEQ CHAPTER \h \r 1</w:instrText>
      </w:r>
      <w:r w:rsidR="00337A4D" w:rsidRPr="00DF2248">
        <w:rPr>
          <w:lang w:val="en-CA"/>
        </w:rPr>
        <w:fldChar w:fldCharType="end"/>
      </w:r>
      <w:r w:rsidR="00DF2248" w:rsidRPr="00DF2248">
        <w:t xml:space="preserve">Among the most important recent Appellate victories is </w:t>
      </w:r>
      <w:r w:rsidR="00DF2248" w:rsidRPr="00DF2248">
        <w:rPr>
          <w:b/>
          <w:bCs/>
          <w:i/>
          <w:iCs/>
        </w:rPr>
        <w:t>Sala v. United States</w:t>
      </w:r>
      <w:r w:rsidR="00DF2248" w:rsidRPr="00DF2248">
        <w:t xml:space="preserve"> (10th Cir. 2010), a Government appeal in which the court reversed the adverse judgment of the district court in a Son-of-BOSS tax shelter case. </w:t>
      </w:r>
      <w:r w:rsidR="00DF2248">
        <w:t xml:space="preserve"> </w:t>
      </w:r>
      <w:r w:rsidR="00DF2248" w:rsidRPr="00DF2248">
        <w:t xml:space="preserve">The court held that when a complex, multi-step transaction is designed to generate tax losses, each component of the transaction must be imbued with economic substance to pass muster for tax purposes. </w:t>
      </w:r>
      <w:r w:rsidR="00DF2248">
        <w:t xml:space="preserve"> </w:t>
      </w:r>
      <w:r w:rsidR="00DF2248" w:rsidRPr="00DF2248">
        <w:t>In</w:t>
      </w:r>
      <w:r w:rsidR="00DF2248">
        <w:t xml:space="preserve"> </w:t>
      </w:r>
      <w:r w:rsidR="00DF2248" w:rsidRPr="00DF2248">
        <w:rPr>
          <w:b/>
          <w:bCs/>
          <w:i/>
          <w:iCs/>
        </w:rPr>
        <w:t>Stobie Creek Investments v. United States</w:t>
      </w:r>
      <w:r w:rsidR="00DF2248" w:rsidRPr="00DF2248">
        <w:t xml:space="preserve"> (Fed. Cir. 2010), another Son-of-BOSS tax shelter case, the court affirmed the favorable judgment of the Court of Federal Claims on similar reasoning.</w:t>
      </w:r>
      <w:r w:rsidR="00DF2248">
        <w:t xml:space="preserve"> </w:t>
      </w:r>
      <w:r w:rsidR="00DF2248" w:rsidRPr="00DF2248">
        <w:t xml:space="preserve"> In another Government appeal, </w:t>
      </w:r>
      <w:r w:rsidR="00DF2248" w:rsidRPr="00DF2248">
        <w:rPr>
          <w:b/>
          <w:bCs/>
          <w:i/>
          <w:iCs/>
        </w:rPr>
        <w:t>Lantz v. Commissioner</w:t>
      </w:r>
      <w:r w:rsidR="00DF2248" w:rsidRPr="00DF2248">
        <w:rPr>
          <w:b/>
          <w:bCs/>
        </w:rPr>
        <w:t xml:space="preserve"> </w:t>
      </w:r>
      <w:r w:rsidR="00DF2248" w:rsidRPr="00DF2248">
        <w:t xml:space="preserve">(7th Cir. 2010), the court reversed the reviewed, adverse decision of the Tax Court and sustained the validity of a Treasury regulation that imposed a two-year time limitation on seeking equitable innocent-spouse relief. </w:t>
      </w:r>
      <w:r w:rsidR="00DF2248">
        <w:t xml:space="preserve"> </w:t>
      </w:r>
      <w:r w:rsidR="00DF2248" w:rsidRPr="00DF2248">
        <w:t xml:space="preserve">And in </w:t>
      </w:r>
      <w:r w:rsidR="00DF2248" w:rsidRPr="00DF2248">
        <w:rPr>
          <w:b/>
          <w:bCs/>
          <w:i/>
          <w:iCs/>
        </w:rPr>
        <w:t>Bluetooth SIG Inc. v. United States</w:t>
      </w:r>
      <w:r w:rsidR="00DF2248" w:rsidRPr="00DF2248">
        <w:t xml:space="preserve"> (9th Cir. 2010), the court affirmed the favorable judgment of the district court determining that Bluetooth is not exempt from federal income taxation as a non-profit business league, board of trade, or similar organization.</w:t>
      </w:r>
    </w:p>
    <w:bookmarkEnd w:id="20"/>
    <w:bookmarkEnd w:id="21"/>
    <w:p w:rsidR="002A2060" w:rsidRPr="00087B3B" w:rsidRDefault="002A2060" w:rsidP="00023FA8">
      <w:pPr>
        <w:pStyle w:val="BodyText"/>
        <w:jc w:val="left"/>
      </w:pPr>
    </w:p>
    <w:bookmarkEnd w:id="22"/>
    <w:bookmarkEnd w:id="23"/>
    <w:p w:rsidR="002A2060" w:rsidRDefault="0000074E" w:rsidP="00DB2A75">
      <w:pPr>
        <w:pStyle w:val="Heading4"/>
        <w:numPr>
          <w:ilvl w:val="0"/>
          <w:numId w:val="0"/>
        </w:numPr>
        <w:tabs>
          <w:tab w:val="left" w:pos="0"/>
        </w:tabs>
        <w:spacing w:before="0" w:after="240"/>
      </w:pPr>
      <w:r w:rsidRPr="00B653F3">
        <w:t>CRIMINAL PROSECUTIONS AND APPEALS</w:t>
      </w:r>
    </w:p>
    <w:p w:rsidR="00207C64" w:rsidRPr="00722E18" w:rsidRDefault="00207C64" w:rsidP="00207C64">
      <w:pPr>
        <w:pStyle w:val="BodyText"/>
        <w:jc w:val="left"/>
      </w:pPr>
      <w:r w:rsidRPr="00722E18">
        <w:t xml:space="preserve">The Tax Division authorizes, and either conducts or supervises, </w:t>
      </w:r>
      <w:r w:rsidR="00B739B7">
        <w:t>al</w:t>
      </w:r>
      <w:r w:rsidR="002A2060">
        <w:t>most</w:t>
      </w:r>
      <w:r w:rsidR="00B739B7">
        <w:t xml:space="preserve"> all</w:t>
      </w:r>
      <w:r w:rsidR="002A2060" w:rsidRPr="00722E18">
        <w:t xml:space="preserve"> </w:t>
      </w:r>
      <w:r w:rsidRPr="00722E18">
        <w:t xml:space="preserve">prosecutions </w:t>
      </w:r>
      <w:r>
        <w:t>arising under</w:t>
      </w:r>
      <w:r w:rsidRPr="00722E18">
        <w:t xml:space="preserve"> the federal tax laws.</w:t>
      </w:r>
      <w:r w:rsidR="002A2060">
        <w:rPr>
          <w:rStyle w:val="FootnoteReference"/>
        </w:rPr>
        <w:footnoteReference w:id="15"/>
      </w:r>
      <w:r w:rsidRPr="00722E18">
        <w:t xml:space="preserve">  The </w:t>
      </w:r>
      <w:r>
        <w:t>Division’s</w:t>
      </w:r>
      <w:r w:rsidRPr="00722E18">
        <w:t xml:space="preserve"> </w:t>
      </w:r>
      <w:r w:rsidR="002A2060">
        <w:t>twin</w:t>
      </w:r>
      <w:r w:rsidRPr="00722E18">
        <w:t xml:space="preserve"> </w:t>
      </w:r>
      <w:r w:rsidR="00CC3431">
        <w:t>criminal goal</w:t>
      </w:r>
      <w:r w:rsidR="002A2060">
        <w:t>s</w:t>
      </w:r>
      <w:r w:rsidR="00CC3431" w:rsidRPr="00722E18">
        <w:t xml:space="preserve"> </w:t>
      </w:r>
      <w:r w:rsidR="002A2060">
        <w:t>are</w:t>
      </w:r>
      <w:r w:rsidR="002A2060" w:rsidRPr="00722E18">
        <w:t xml:space="preserve"> </w:t>
      </w:r>
      <w:r w:rsidRPr="00722E18">
        <w:t xml:space="preserve">to prosecute criminal tax violations and </w:t>
      </w:r>
      <w:r>
        <w:t xml:space="preserve">to </w:t>
      </w:r>
      <w:r w:rsidRPr="00722E18">
        <w:t xml:space="preserve">promote a uniform nationwide approach to criminal tax enforcement.  </w:t>
      </w:r>
      <w:r w:rsidR="00223474" w:rsidRPr="00722E18">
        <w:t xml:space="preserve">In many cases, the Tax Division receives requests from the IRS to prosecute tax violations after the IRS has investigated them administratively.  </w:t>
      </w:r>
      <w:r w:rsidR="002A2060" w:rsidRPr="00722E18">
        <w:t>In other cases, the IRS asks the Tax Division to authorize grand jury investigations to determine whether prosecutable tax crimes have occurred.  Tax Division prosecutors review, analyze, and evaluate these referrals to assure that uniform standards of prosecution are employed and that criminal tax violations warranting prosecution are prosecuted.  After the Division authorizes tax charges, the cases are handled either by a United States Attorney’s Office</w:t>
      </w:r>
      <w:r w:rsidR="002A2060" w:rsidRPr="00D50516">
        <w:t xml:space="preserve"> (USAO)</w:t>
      </w:r>
      <w:r w:rsidR="002A2060" w:rsidRPr="00722E18">
        <w:t xml:space="preserve"> or, in complex </w:t>
      </w:r>
      <w:r w:rsidR="002A2060">
        <w:t xml:space="preserve">or multi-jurisdictional </w:t>
      </w:r>
      <w:r w:rsidR="002A2060" w:rsidRPr="00722E18">
        <w:t xml:space="preserve">cases or cases in which the USAO is recused or requests assistance, by the Tax Division’s experienced prosecutors.  In addition to their substantial litigation caseloads and review work, Tax Division prosecutors </w:t>
      </w:r>
      <w:r w:rsidR="00223474">
        <w:t xml:space="preserve">also </w:t>
      </w:r>
      <w:r w:rsidR="002A2060" w:rsidRPr="00722E18">
        <w:t>conduct training seminars for IRS criminal investigato</w:t>
      </w:r>
      <w:r w:rsidR="002A2060">
        <w:t>rs and Assistant U.S. Attorneys</w:t>
      </w:r>
      <w:r w:rsidR="002A2060" w:rsidRPr="00722E18">
        <w:t xml:space="preserve"> and often provide advice to other federal law enforcement personnel, including the DEA and FBI.</w:t>
      </w:r>
    </w:p>
    <w:p w:rsidR="00207C64" w:rsidRPr="00722E18" w:rsidRDefault="00207C64" w:rsidP="009D5194">
      <w:pPr>
        <w:pStyle w:val="BodyText"/>
        <w:shd w:val="clear" w:color="auto" w:fill="FFFFFF"/>
        <w:jc w:val="left"/>
      </w:pPr>
      <w:r w:rsidRPr="003B5CFF">
        <w:rPr>
          <w:rStyle w:val="BodyTextChar"/>
        </w:rPr>
        <w:t xml:space="preserve">Criminal workload has </w:t>
      </w:r>
      <w:r w:rsidR="00223474" w:rsidRPr="003B5CFF">
        <w:rPr>
          <w:rStyle w:val="BodyTextChar"/>
        </w:rPr>
        <w:t xml:space="preserve">grown </w:t>
      </w:r>
      <w:r w:rsidRPr="003B5CFF">
        <w:rPr>
          <w:rStyle w:val="BodyTextChar"/>
        </w:rPr>
        <w:t xml:space="preserve">primarily due to an increasing number of complex cases.  </w:t>
      </w:r>
      <w:r w:rsidR="00A53911" w:rsidRPr="003B5CFF">
        <w:t xml:space="preserve">The sophistication of the Tax Division’s criminal cases has increased steadily over the past few years.  A greater proportion of the cases involve </w:t>
      </w:r>
      <w:r w:rsidR="00400626">
        <w:t xml:space="preserve">high net-worth </w:t>
      </w:r>
      <w:r w:rsidR="00A53911" w:rsidRPr="003B5CFF">
        <w:t>taxpayers and tax professionals who sell and implement complex tax products</w:t>
      </w:r>
      <w:r w:rsidRPr="003B5CFF">
        <w:t>.</w:t>
      </w:r>
      <w:r w:rsidR="00B13B59" w:rsidRPr="003B5CFF">
        <w:t xml:space="preserve">  </w:t>
      </w:r>
      <w:r w:rsidRPr="003B5CFF">
        <w:t xml:space="preserve">During FY </w:t>
      </w:r>
      <w:r w:rsidR="006568A0" w:rsidRPr="003B5CFF">
        <w:t>20</w:t>
      </w:r>
      <w:r w:rsidR="00140E04">
        <w:t>10</w:t>
      </w:r>
      <w:r w:rsidRPr="003B5CFF">
        <w:t xml:space="preserve">, Division criminal attorneys obtained indictments in </w:t>
      </w:r>
      <w:r w:rsidR="00140E04">
        <w:t>77</w:t>
      </w:r>
      <w:r w:rsidRPr="003B5CFF">
        <w:t xml:space="preserve"> cases</w:t>
      </w:r>
      <w:r w:rsidR="00BD3C53">
        <w:t xml:space="preserve"> and</w:t>
      </w:r>
      <w:r w:rsidR="006568A0" w:rsidRPr="003B5CFF">
        <w:t xml:space="preserve"> convictions in 1</w:t>
      </w:r>
      <w:r w:rsidR="00140E04">
        <w:t>09</w:t>
      </w:r>
      <w:r w:rsidR="006568A0" w:rsidRPr="003B5CFF">
        <w:t xml:space="preserve"> cases.  </w:t>
      </w:r>
      <w:r w:rsidRPr="00722E18">
        <w:t xml:space="preserve">  </w:t>
      </w:r>
    </w:p>
    <w:p w:rsidR="00207C64" w:rsidRPr="00722E18" w:rsidRDefault="00207C64" w:rsidP="00207C64">
      <w:pPr>
        <w:pStyle w:val="BodyText"/>
        <w:jc w:val="left"/>
      </w:pPr>
      <w:r w:rsidRPr="00722E18">
        <w:t>The Tax Division’s criminal trial attorneys investigate and prosecute individuals and corporations that attempt to evade taxes, willfully fail to file returns, submit false tax forms, or otherwise violate the federal tax laws.  They also investigate and prosecute tax violations that have been committed along with other criminal conduct, such as securities fraud, bankruptcy fraud, health</w:t>
      </w:r>
      <w:r w:rsidR="00223474">
        <w:t xml:space="preserve"> </w:t>
      </w:r>
      <w:r w:rsidRPr="00722E18">
        <w:t>c</w:t>
      </w:r>
      <w:r>
        <w:t xml:space="preserve">are fraud, organized crime, </w:t>
      </w:r>
      <w:r w:rsidRPr="00722E18">
        <w:t>public corruption</w:t>
      </w:r>
      <w:r>
        <w:t>,</w:t>
      </w:r>
      <w:r w:rsidR="00223474">
        <w:t xml:space="preserve"> mortgage fraud,</w:t>
      </w:r>
      <w:r>
        <w:t xml:space="preserve"> and </w:t>
      </w:r>
      <w:r w:rsidRPr="00722E18">
        <w:t>narcotics trafficking.  In addition, Tax Division attorneys investigate and prosecute domestic tax crimes involving international conduct, such as the illegal use of offshore trusts and foreign bank accounts to conceal taxable income and evade taxes.  They also conduct terrorism-related and Organized Crime and Drug Enforcement Task Force (OCDETF) criminal investigations, and prosecute organizers of internet scams.</w:t>
      </w:r>
    </w:p>
    <w:p w:rsidR="00207C64" w:rsidRDefault="00207C64" w:rsidP="00B13B59">
      <w:pPr>
        <w:pStyle w:val="BodyText"/>
        <w:spacing w:after="240"/>
        <w:jc w:val="left"/>
      </w:pPr>
      <w:r w:rsidRPr="00722E18">
        <w:t>The Tax Division’s Criminal Appeals and Tax Enforcement Policy Section (CATEPS) conducts appeals in criminal tax cases prosecuted by Division attorneys and supervises appeals in matters tried by the USAOs around the country.  Similar to the initial review of tax cases by criminal trial attorneys, the appellate review plays a vital role in promoting the fair, correct, and uniform enforcement of the internal revenue laws.  CATEPS also assists in negotiatin</w:t>
      </w:r>
      <w:r w:rsidR="00BD3C53">
        <w:t>g</w:t>
      </w:r>
      <w:r w:rsidRPr="00722E18">
        <w:t xml:space="preserve"> international tax assistance treaties and </w:t>
      </w:r>
      <w:r w:rsidR="00BD3C53">
        <w:t xml:space="preserve">in researching </w:t>
      </w:r>
      <w:r w:rsidRPr="00722E18">
        <w:t>policy issues, such as the application of the sentencing guidelines.</w:t>
      </w:r>
    </w:p>
    <w:p w:rsidR="00207C64" w:rsidRPr="00722E18" w:rsidRDefault="00207C64" w:rsidP="00207C64">
      <w:pPr>
        <w:keepNext/>
        <w:spacing w:after="240"/>
        <w:ind w:firstLine="720"/>
        <w:rPr>
          <w:b/>
        </w:rPr>
      </w:pPr>
      <w:r w:rsidRPr="00722E18">
        <w:rPr>
          <w:b/>
          <w:bCs/>
        </w:rPr>
        <w:t xml:space="preserve">“Pure Tax Crimes” </w:t>
      </w:r>
    </w:p>
    <w:p w:rsidR="00207C64" w:rsidRPr="00722E18" w:rsidRDefault="00207C64" w:rsidP="00207C64">
      <w:pPr>
        <w:pStyle w:val="BodyText"/>
        <w:jc w:val="left"/>
      </w:pPr>
      <w:r w:rsidRPr="00722E18">
        <w:t>The core of the Tax Division’s criminal work involves so-called “legal source income” cases.  These cases encompass tax crimes involving unpaid taxes on income earned legally (</w:t>
      </w:r>
      <w:r w:rsidRPr="00722E18">
        <w:rPr>
          <w:i/>
        </w:rPr>
        <w:t>e.g.</w:t>
      </w:r>
      <w:r w:rsidRPr="00722E18">
        <w:t xml:space="preserve">, a restaurateur who skims cash receipts or a doctor who inflates deductible expenses.)  When these cases involve difficult issues of tax law or complex methods of proof, United States Attorneys’ Offices often call upon the special skills that Tax Division prosecutors bring to the Justice Department’s goal of </w:t>
      </w:r>
      <w:r>
        <w:t xml:space="preserve">combating financial fraud and </w:t>
      </w:r>
      <w:r w:rsidRPr="00722E18">
        <w:t xml:space="preserve">reducing white-collar crime.   </w:t>
      </w:r>
    </w:p>
    <w:p w:rsidR="00207C64" w:rsidRPr="00722E18" w:rsidRDefault="00207C64" w:rsidP="00207C64">
      <w:pPr>
        <w:pStyle w:val="BodyText"/>
        <w:jc w:val="left"/>
      </w:pPr>
      <w:r w:rsidRPr="00722E18">
        <w:t>Evasion of taxes on income from legal sources significantly erodes the federal tax base.  The Division’s enforcement activities are a strong counter to that erosion, providing a significant deterrent to those who contemplate shirking their tax responsibilities.  These prosecutions often receive substantial</w:t>
      </w:r>
      <w:r>
        <w:t xml:space="preserve"> local press and media coverage</w:t>
      </w:r>
      <w:r w:rsidRPr="00722E18">
        <w:t xml:space="preserve"> and assure law-abiding citizens who pay their taxes that tax cheats are not getting away with it.  The government’s failure to vigorously prosecute such cases would undermine the confidence of law-abiding taxpayers and jeopardize the government’s ability to operate a revenue collection system whose cornerstone is voluntary compliance.</w:t>
      </w:r>
    </w:p>
    <w:p w:rsidR="00207C64" w:rsidRPr="00722E18" w:rsidRDefault="00207C64" w:rsidP="00207C64">
      <w:pPr>
        <w:pStyle w:val="BodyText"/>
        <w:jc w:val="left"/>
      </w:pPr>
      <w:r w:rsidRPr="00722E18">
        <w:t xml:space="preserve">During the past year, Division attorneys investigated and/or prosecuted cases involving tax crimes committed by individuals from all walks of life, including corporate executives, business owners, attorneys, doctors, dentists, movie actors, and others. </w:t>
      </w:r>
    </w:p>
    <w:p w:rsidR="00BD1413" w:rsidRDefault="00BD1413" w:rsidP="00BD1413">
      <w:pPr>
        <w:ind w:firstLine="720"/>
      </w:pPr>
    </w:p>
    <w:p w:rsidR="00BD1413" w:rsidRDefault="00BD1413" w:rsidP="00BD1413">
      <w:pPr>
        <w:ind w:firstLine="720"/>
      </w:pPr>
      <w:r>
        <w:t xml:space="preserve">In January 2010, in </w:t>
      </w:r>
      <w:r w:rsidRPr="00CD0060">
        <w:rPr>
          <w:b/>
          <w:i/>
        </w:rPr>
        <w:t>United States v. Pradeep Srivastava</w:t>
      </w:r>
      <w:r>
        <w:t>, (D. Md</w:t>
      </w:r>
      <w:r w:rsidR="005079BA">
        <w:t>.</w:t>
      </w:r>
      <w:r>
        <w:t>), the defendant, a cardiologist, was sentenced to nearly four years in prison</w:t>
      </w:r>
      <w:r w:rsidR="005079BA">
        <w:t xml:space="preserve">, based on his conviction for </w:t>
      </w:r>
      <w:r>
        <w:t>tax evasion and filing a false tax return.  The defendant attempted to evade more than $16 million in income taxes by filing false income tax returns that failed to report approximately $42 million in capital gains.</w:t>
      </w:r>
    </w:p>
    <w:p w:rsidR="00633C96" w:rsidRDefault="00633C96" w:rsidP="00BD1413">
      <w:pPr>
        <w:ind w:firstLine="720"/>
      </w:pPr>
    </w:p>
    <w:p w:rsidR="00633C96" w:rsidRDefault="00337A4D" w:rsidP="007D2ED4">
      <w:pPr>
        <w:ind w:firstLine="720"/>
      </w:pPr>
      <w:r w:rsidRPr="00337A4D">
        <w:rPr>
          <w:lang w:val="en-CA"/>
        </w:rPr>
        <w:fldChar w:fldCharType="begin"/>
      </w:r>
      <w:r w:rsidR="00633C96" w:rsidRPr="00633C96">
        <w:rPr>
          <w:lang w:val="en-CA"/>
        </w:rPr>
        <w:instrText xml:space="preserve"> SEQ CHAPTER \h \r 1</w:instrText>
      </w:r>
      <w:r w:rsidRPr="00633C96">
        <w:fldChar w:fldCharType="end"/>
      </w:r>
      <w:r w:rsidR="00633C96">
        <w:t>In November 2010,</w:t>
      </w:r>
      <w:r w:rsidR="007D2ED4">
        <w:t xml:space="preserve"> in</w:t>
      </w:r>
      <w:r w:rsidR="00633C96">
        <w:t xml:space="preserve"> </w:t>
      </w:r>
      <w:r w:rsidRPr="00337A4D">
        <w:rPr>
          <w:i/>
          <w:lang w:val="en-CA"/>
        </w:rPr>
        <w:fldChar w:fldCharType="begin"/>
      </w:r>
      <w:r w:rsidR="007D2ED4" w:rsidRPr="007D2ED4">
        <w:rPr>
          <w:i/>
          <w:lang w:val="en-CA"/>
        </w:rPr>
        <w:instrText xml:space="preserve"> SEQ CHAPTER \h \r 1</w:instrText>
      </w:r>
      <w:r w:rsidRPr="007D2ED4">
        <w:rPr>
          <w:i/>
        </w:rPr>
        <w:fldChar w:fldCharType="end"/>
      </w:r>
      <w:r w:rsidR="007D2ED4" w:rsidRPr="007D2ED4">
        <w:rPr>
          <w:b/>
          <w:bCs/>
          <w:i/>
          <w:u w:val="single"/>
        </w:rPr>
        <w:t>United States v. John F. Heard, et al.</w:t>
      </w:r>
      <w:r w:rsidR="007D2ED4" w:rsidRPr="007D2ED4">
        <w:rPr>
          <w:b/>
          <w:bCs/>
        </w:rPr>
        <w:t xml:space="preserve"> (S.D. TX)</w:t>
      </w:r>
      <w:r w:rsidR="007D2ED4">
        <w:rPr>
          <w:b/>
          <w:bCs/>
        </w:rPr>
        <w:t>,</w:t>
      </w:r>
      <w:r w:rsidR="007D2ED4" w:rsidRPr="007D2ED4">
        <w:rPr>
          <w:b/>
          <w:bCs/>
        </w:rPr>
        <w:t xml:space="preserve"> </w:t>
      </w:r>
      <w:r w:rsidR="00633C96" w:rsidRPr="00633C96">
        <w:t>John F. Heard Jr., Janet F. Heard, and Gary L. Lambert, along with Superior Protection Inc. (SPI), were convicted by a federal jury of conspiracy to defraud the United States of employment taxes to</w:t>
      </w:r>
      <w:r w:rsidR="007D2ED4">
        <w:t>taling more than $5.7 million.  According to court records, f</w:t>
      </w:r>
      <w:r w:rsidR="00633C96" w:rsidRPr="00633C96">
        <w:t xml:space="preserve">rom 1987 to 2004, John Heard operated numerous security companies and failed to pay employment taxes of over $5 million.  </w:t>
      </w:r>
      <w:r w:rsidR="007D2ED4">
        <w:t>He and his co-conspirators impeded the ability of the IRS to assess and collect the taxes by</w:t>
      </w:r>
      <w:r w:rsidR="00633C96" w:rsidRPr="00633C96">
        <w:t xml:space="preserve"> open</w:t>
      </w:r>
      <w:r w:rsidR="007D2ED4">
        <w:t>ing</w:t>
      </w:r>
      <w:r w:rsidR="00633C96" w:rsidRPr="00633C96">
        <w:t xml:space="preserve"> and clos</w:t>
      </w:r>
      <w:r w:rsidR="007D2ED4">
        <w:t>ing</w:t>
      </w:r>
      <w:r w:rsidR="00633C96" w:rsidRPr="00633C96">
        <w:t xml:space="preserve"> numerous corporations and us</w:t>
      </w:r>
      <w:r w:rsidR="007D2ED4">
        <w:t>ing</w:t>
      </w:r>
      <w:r w:rsidR="00633C96" w:rsidRPr="00633C96">
        <w:t xml:space="preserve"> fictitious names on tax returns, corporate documents, bank </w:t>
      </w:r>
      <w:r w:rsidR="007D2ED4">
        <w:t>documents, and payroll checks.</w:t>
      </w:r>
    </w:p>
    <w:p w:rsidR="002C533A" w:rsidRDefault="002C533A" w:rsidP="00BD1413">
      <w:pPr>
        <w:ind w:firstLine="720"/>
      </w:pPr>
    </w:p>
    <w:p w:rsidR="002C533A" w:rsidRPr="002C533A" w:rsidRDefault="002C533A" w:rsidP="002C533A">
      <w:pPr>
        <w:ind w:firstLine="720"/>
      </w:pPr>
      <w:r>
        <w:t>In November</w:t>
      </w:r>
      <w:r w:rsidRPr="002C533A">
        <w:t xml:space="preserve"> 2010, </w:t>
      </w:r>
      <w:r>
        <w:t xml:space="preserve">in </w:t>
      </w:r>
      <w:r w:rsidRPr="002C533A">
        <w:rPr>
          <w:b/>
          <w:i/>
        </w:rPr>
        <w:t>United States v. James Demuro, et ux.</w:t>
      </w:r>
      <w:r w:rsidRPr="002C533A">
        <w:t xml:space="preserve"> </w:t>
      </w:r>
      <w:r>
        <w:t xml:space="preserve">(D.N.J.), </w:t>
      </w:r>
      <w:r w:rsidRPr="002C533A">
        <w:t>a jury found James and Theresa Demuro guilty of conspiracy to defraud the United States and twenty-one counts of willful failure to pay over employment taxes in Trenton, New Jersey.  The indictment alleges that the Demuros withheld, but failed to pay over, approximately $500,000 in trust fund taxes from 2002 through 2008.  James and Theresa Demuro diverted the withheld employment taxes to pay for business and personal expenses</w:t>
      </w:r>
      <w:r>
        <w:t>.</w:t>
      </w:r>
    </w:p>
    <w:p w:rsidR="002C533A" w:rsidRDefault="002C533A" w:rsidP="00BD1413">
      <w:pPr>
        <w:ind w:firstLine="720"/>
      </w:pPr>
    </w:p>
    <w:p w:rsidR="00207C64" w:rsidRPr="00722E18" w:rsidRDefault="00B13B59" w:rsidP="0093333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pPr>
      <w:r w:rsidRPr="00722E18">
        <w:rPr>
          <w:b/>
          <w:bCs/>
        </w:rPr>
        <w:t>Combating</w:t>
      </w:r>
      <w:r w:rsidR="00207C64" w:rsidRPr="00722E18">
        <w:rPr>
          <w:b/>
          <w:bCs/>
        </w:rPr>
        <w:t xml:space="preserve"> Offshore Tax Schemes</w:t>
      </w:r>
    </w:p>
    <w:p w:rsidR="00207C64" w:rsidRPr="00722E18" w:rsidRDefault="00207C64" w:rsidP="00207C64">
      <w:pPr>
        <w:pStyle w:val="BodyText"/>
        <w:jc w:val="left"/>
      </w:pPr>
      <w:r w:rsidRPr="00722E18">
        <w:t>The Tax Division continues to play a lead role in investigati</w:t>
      </w:r>
      <w:r>
        <w:t>ons</w:t>
      </w:r>
      <w:r w:rsidRPr="00722E18">
        <w:t xml:space="preserve"> and prosecutions involving the use of foreign tax havens.  Increased technical sophistication of financial instruments and the widespread use of the internet have made it easy to instantly move money in and out of the United States, around the world, irrespective of national borders.  Using tax havens facilitates evasion of U.S. taxes and the commission of related financial crimes. </w:t>
      </w:r>
    </w:p>
    <w:p w:rsidR="00207C64" w:rsidRPr="00722E18" w:rsidRDefault="00207C64" w:rsidP="00207C64">
      <w:pPr>
        <w:pStyle w:val="BodyText"/>
        <w:jc w:val="left"/>
      </w:pPr>
      <w:r w:rsidRPr="00722E18">
        <w:t>Offshore tax schemes are often difficult to detect and prosecute</w:t>
      </w:r>
      <w:r>
        <w:t>,</w:t>
      </w:r>
      <w:r w:rsidRPr="00722E18">
        <w:t xml:space="preserve"> so the IRS </w:t>
      </w:r>
      <w:r>
        <w:t>has</w:t>
      </w:r>
      <w:r w:rsidRPr="00722E18">
        <w:t xml:space="preserve"> allocat</w:t>
      </w:r>
      <w:r>
        <w:t>ed</w:t>
      </w:r>
      <w:r w:rsidRPr="00722E18">
        <w:t xml:space="preserve"> resources to target taxpayers who engage in offshore activity for the purpose of underreporting income.  Income tax evaders and other criminals use banks located in countries that have strict bank secrecy laws and that will not, or cannot, provide assistance to investigators for the United States.  Sophisticated criminals may also use non-traditional tax haven countries, such as Latvia.  Despite these difficulties, the Division has been successful in prosecuting these tax cheats.</w:t>
      </w:r>
    </w:p>
    <w:p w:rsidR="00207C64" w:rsidRPr="00722E18" w:rsidRDefault="00207C64" w:rsidP="00207C64">
      <w:pPr>
        <w:pStyle w:val="BodyText"/>
        <w:jc w:val="left"/>
      </w:pPr>
      <w:r w:rsidRPr="00722E18">
        <w:t xml:space="preserve">In February 2009, in </w:t>
      </w:r>
      <w:r w:rsidRPr="00722E18">
        <w:rPr>
          <w:b/>
          <w:i/>
        </w:rPr>
        <w:t>United States v. UBS AG</w:t>
      </w:r>
      <w:r w:rsidRPr="00722E18">
        <w:t xml:space="preserve"> (S.D. F</w:t>
      </w:r>
      <w:r w:rsidR="006F5C2F">
        <w:t>la.</w:t>
      </w:r>
      <w:r w:rsidRPr="00722E18">
        <w:t xml:space="preserve">), </w:t>
      </w:r>
      <w:r w:rsidRPr="00722E18">
        <w:rPr>
          <w:bCs/>
          <w:color w:val="000000"/>
        </w:rPr>
        <w:t xml:space="preserve">UBS AG, Switzerland’s largest bank, entered into a deferred prosecution agreement, admitting guilt on charges of conspiring to defraud the United States by impeding the IRS.  As part of the agreement, UBS, based on an order by the Swiss Financial Markets Supervisory Authority, agreed to immediately provide the United States with the identities of, and account information for, </w:t>
      </w:r>
      <w:r w:rsidR="005079BA">
        <w:rPr>
          <w:bCs/>
          <w:color w:val="000000"/>
        </w:rPr>
        <w:t>a number of</w:t>
      </w:r>
      <w:r w:rsidRPr="00722E18">
        <w:rPr>
          <w:bCs/>
          <w:color w:val="000000"/>
        </w:rPr>
        <w:t xml:space="preserve"> United States customers of UBS’s cross-border business.  Under the agreement, UBS exit</w:t>
      </w:r>
      <w:r w:rsidR="00B7696A">
        <w:rPr>
          <w:bCs/>
          <w:color w:val="000000"/>
        </w:rPr>
        <w:t>ed</w:t>
      </w:r>
      <w:r w:rsidRPr="00722E18">
        <w:rPr>
          <w:bCs/>
          <w:color w:val="000000"/>
        </w:rPr>
        <w:t xml:space="preserve"> the business of providing banking services to United States customers with undeclared accounts and </w:t>
      </w:r>
      <w:r w:rsidR="00B7696A">
        <w:rPr>
          <w:bCs/>
          <w:color w:val="000000"/>
        </w:rPr>
        <w:t xml:space="preserve">paid </w:t>
      </w:r>
      <w:r w:rsidRPr="00722E18">
        <w:rPr>
          <w:bCs/>
          <w:color w:val="000000"/>
        </w:rPr>
        <w:t>$780 million in fines, penalties, interest, and restitution.</w:t>
      </w:r>
    </w:p>
    <w:p w:rsidR="00BC5AA6" w:rsidRDefault="00B7696A" w:rsidP="00975DF3">
      <w:pPr>
        <w:ind w:firstLine="720"/>
      </w:pPr>
      <w:r>
        <w:rPr>
          <w:lang w:val="en-CA"/>
        </w:rPr>
        <w:t xml:space="preserve">The prosecution results so far have been encouraging.  </w:t>
      </w:r>
      <w:r w:rsidR="00337A4D">
        <w:rPr>
          <w:lang w:val="en-CA"/>
        </w:rPr>
        <w:fldChar w:fldCharType="begin"/>
      </w:r>
      <w:r>
        <w:rPr>
          <w:lang w:val="en-CA"/>
        </w:rPr>
        <w:instrText xml:space="preserve"> SEQ CHAPTER \h \r 1</w:instrText>
      </w:r>
      <w:r w:rsidR="00337A4D">
        <w:rPr>
          <w:lang w:val="en-CA"/>
        </w:rPr>
        <w:fldChar w:fldCharType="end"/>
      </w:r>
      <w:r>
        <w:rPr>
          <w:lang w:val="en-CA"/>
        </w:rPr>
        <w:t>As of January, 2011</w:t>
      </w:r>
      <w:r>
        <w:t>, approximately 150 grand jury investigations of UBS clients have been initiated, 24 cases have been charged with 6 awaiting trial, 18 guilty pleas having been entered and a number of facilitators who helped clients hide assets offshore have been indicted. </w:t>
      </w:r>
      <w:r w:rsidR="00400626">
        <w:t xml:space="preserve"> </w:t>
      </w:r>
      <w:r>
        <w:t>In addition, grand jury investigations have been opened into 8 additional offshore banks across the world, with 3 clients already convicted (two after lengthy jury trial</w:t>
      </w:r>
      <w:r w:rsidR="00400626">
        <w:t>s</w:t>
      </w:r>
      <w:r>
        <w:t xml:space="preserve">) and a number of facilitators who helped clients hide assets offshore at those banks having been indicted. </w:t>
      </w:r>
      <w:r w:rsidR="00207C64" w:rsidRPr="00722E18">
        <w:t xml:space="preserve">For example, in </w:t>
      </w:r>
      <w:r w:rsidR="006568A0">
        <w:t>August, 2009</w:t>
      </w:r>
      <w:r w:rsidR="00207C64" w:rsidRPr="00722E18">
        <w:t xml:space="preserve">, in </w:t>
      </w:r>
      <w:r w:rsidR="00207C64" w:rsidRPr="00722E18">
        <w:rPr>
          <w:b/>
          <w:i/>
        </w:rPr>
        <w:t xml:space="preserve">United States v. Bradley Birkenfeld, et. al., </w:t>
      </w:r>
      <w:r w:rsidR="00207C64" w:rsidRPr="00722E18">
        <w:t>(S.D. F</w:t>
      </w:r>
      <w:r w:rsidR="006F5C2F">
        <w:t>la.</w:t>
      </w:r>
      <w:r w:rsidR="00207C64" w:rsidRPr="00722E18">
        <w:t xml:space="preserve">), Birkenfeld, a former UBS banker, </w:t>
      </w:r>
      <w:r w:rsidR="006568A0">
        <w:t>was sentenced to 40 months in prison following his June 2008</w:t>
      </w:r>
      <w:r w:rsidR="00987EF8">
        <w:t>,</w:t>
      </w:r>
      <w:r w:rsidR="006568A0">
        <w:t xml:space="preserve"> guilty plea </w:t>
      </w:r>
      <w:r w:rsidR="00207C64" w:rsidRPr="00722E18">
        <w:t xml:space="preserve">to conspiring with an American billionaire real estate developer, Swiss bankers, and his co-defendant, Mario Staggl, to help the developer evade paying $7.2 million in taxes by assisting in concealing $200 million of assets in Switzerland and Liechtenstein.  In his plea Birkenfeld admitted that between 2001 and 2006, while employed as a director in the private banking division of Swiss bank UBS, he routinely traveled to and had contacts within the United States to help wealthy Americans conceal their ownership in assets held offshore and evade paying taxes on the income generated from those assets. </w:t>
      </w:r>
      <w:r w:rsidR="00207C64">
        <w:t xml:space="preserve"> </w:t>
      </w:r>
      <w:r w:rsidR="00CD0060">
        <w:t xml:space="preserve">In </w:t>
      </w:r>
      <w:r w:rsidR="00337A4D">
        <w:rPr>
          <w:lang w:val="en-CA"/>
        </w:rPr>
        <w:fldChar w:fldCharType="begin"/>
      </w:r>
      <w:r w:rsidR="00BC5AA6">
        <w:rPr>
          <w:lang w:val="en-CA"/>
        </w:rPr>
        <w:instrText xml:space="preserve"> SEQ CHAPTER \h \r 1</w:instrText>
      </w:r>
      <w:r w:rsidR="00337A4D">
        <w:rPr>
          <w:lang w:val="en-CA"/>
        </w:rPr>
        <w:fldChar w:fldCharType="end"/>
      </w:r>
      <w:r w:rsidR="00CD0060">
        <w:t xml:space="preserve">August </w:t>
      </w:r>
      <w:r w:rsidR="00BC5AA6">
        <w:t xml:space="preserve">2009, </w:t>
      </w:r>
      <w:r w:rsidR="00CD0060">
        <w:t xml:space="preserve">in </w:t>
      </w:r>
      <w:r w:rsidR="00CD0060" w:rsidRPr="00CD0060">
        <w:rPr>
          <w:b/>
          <w:i/>
        </w:rPr>
        <w:t>United States v. Hansruedi Schumacher, et al.</w:t>
      </w:r>
      <w:r w:rsidR="00CD0060">
        <w:t xml:space="preserve"> (S.D. Fla.), </w:t>
      </w:r>
      <w:r w:rsidR="00BC5AA6">
        <w:t xml:space="preserve">a grand jury returned an indictment charging </w:t>
      </w:r>
      <w:r w:rsidR="00CD0060">
        <w:t>the defendants</w:t>
      </w:r>
      <w:r w:rsidR="00BC5AA6">
        <w:t xml:space="preserve"> with conspiracy to defraud the United States.  Schumacher </w:t>
      </w:r>
      <w:r w:rsidR="00CD0060">
        <w:t xml:space="preserve">allegedly </w:t>
      </w:r>
      <w:r w:rsidR="00BC5AA6">
        <w:t xml:space="preserve">worked as an executive manager at Neue Zuercher Bank ("NZB"), a Swiss private bank located in Zurich, </w:t>
      </w:r>
      <w:r w:rsidR="00B7102E">
        <w:t>while</w:t>
      </w:r>
      <w:r w:rsidR="00BC5AA6">
        <w:t xml:space="preserve"> Rickenbach </w:t>
      </w:r>
      <w:r w:rsidR="00CD0060">
        <w:t xml:space="preserve">allegedly </w:t>
      </w:r>
      <w:r w:rsidR="00BC5AA6">
        <w:t xml:space="preserve">worked as a Swiss attorney who provided legal advice and services to U.S. clients.  Schumacher and Rickenbach </w:t>
      </w:r>
      <w:r w:rsidR="00CD0060">
        <w:t xml:space="preserve">allegedly </w:t>
      </w:r>
      <w:r w:rsidR="00BC5AA6">
        <w:t xml:space="preserve">assisted American clients in concealing income and assets in Switzerland from United States </w:t>
      </w:r>
      <w:r w:rsidR="00911E24">
        <w:t>authorities, by</w:t>
      </w:r>
      <w:r w:rsidR="00CD0060">
        <w:t xml:space="preserve"> creating</w:t>
      </w:r>
      <w:r w:rsidR="00BC5AA6">
        <w:t xml:space="preserve"> false and nominee offshore entities to hide the assets while their clients retained control over investment decisions</w:t>
      </w:r>
      <w:r w:rsidR="00B7102E">
        <w:t>, by serving</w:t>
      </w:r>
      <w:r w:rsidR="00BC5AA6">
        <w:t xml:space="preserve"> </w:t>
      </w:r>
      <w:r w:rsidR="00B7102E">
        <w:t xml:space="preserve">as </w:t>
      </w:r>
      <w:r w:rsidR="00BC5AA6">
        <w:t xml:space="preserve">cash </w:t>
      </w:r>
      <w:r w:rsidR="00B7102E">
        <w:t xml:space="preserve">couriers for their </w:t>
      </w:r>
      <w:r w:rsidR="00911E24">
        <w:t>clients, and</w:t>
      </w:r>
      <w:r w:rsidR="00BC5AA6">
        <w:t xml:space="preserve"> </w:t>
      </w:r>
      <w:r w:rsidR="00B7102E">
        <w:t xml:space="preserve">by </w:t>
      </w:r>
      <w:r w:rsidR="00BC5AA6">
        <w:t xml:space="preserve">creating </w:t>
      </w:r>
      <w:r w:rsidR="00B7102E">
        <w:t>sham documents to disguise ownership and repatriation</w:t>
      </w:r>
      <w:r w:rsidR="00911E24">
        <w:t>.</w:t>
      </w:r>
      <w:r w:rsidR="00BC5AA6">
        <w:t xml:space="preserve">  </w:t>
      </w:r>
    </w:p>
    <w:p w:rsidR="00975DF3" w:rsidRDefault="00975DF3" w:rsidP="00975DF3">
      <w:pPr>
        <w:ind w:firstLine="720"/>
      </w:pPr>
    </w:p>
    <w:p w:rsidR="002C533A" w:rsidRPr="002C533A" w:rsidRDefault="00775632" w:rsidP="002C533A">
      <w:pPr>
        <w:ind w:firstLine="720"/>
      </w:pPr>
      <w:r w:rsidRPr="00D50516">
        <w:rPr>
          <w:lang w:val="en-CA"/>
        </w:rPr>
        <w:t xml:space="preserve">The Division </w:t>
      </w:r>
      <w:r w:rsidR="001971F2">
        <w:rPr>
          <w:lang w:val="en-CA"/>
        </w:rPr>
        <w:t>continues to prosecute</w:t>
      </w:r>
      <w:r w:rsidRPr="00D50516">
        <w:rPr>
          <w:lang w:val="en-CA"/>
        </w:rPr>
        <w:t xml:space="preserve"> </w:t>
      </w:r>
      <w:r>
        <w:rPr>
          <w:lang w:val="en-CA"/>
        </w:rPr>
        <w:t xml:space="preserve">UBS </w:t>
      </w:r>
      <w:r w:rsidRPr="00D50516">
        <w:rPr>
          <w:lang w:val="en-CA"/>
        </w:rPr>
        <w:t>clients</w:t>
      </w:r>
      <w:r>
        <w:rPr>
          <w:lang w:val="en-CA"/>
        </w:rPr>
        <w:t>,</w:t>
      </w:r>
      <w:r w:rsidRPr="00D50516">
        <w:rPr>
          <w:lang w:val="en-CA"/>
        </w:rPr>
        <w:t xml:space="preserve"> using information obtained through the deferred prosecution agreement.  For example, </w:t>
      </w:r>
      <w:r w:rsidR="00337A4D">
        <w:rPr>
          <w:lang w:val="en-CA"/>
        </w:rPr>
        <w:fldChar w:fldCharType="begin"/>
      </w:r>
      <w:r w:rsidR="001971F2">
        <w:rPr>
          <w:lang w:val="en-CA"/>
        </w:rPr>
        <w:instrText xml:space="preserve"> SEQ CHAPTER \h \r 1</w:instrText>
      </w:r>
      <w:r w:rsidR="00337A4D">
        <w:rPr>
          <w:lang w:val="en-CA"/>
        </w:rPr>
        <w:fldChar w:fldCharType="end"/>
      </w:r>
      <w:r w:rsidR="00911E24">
        <w:rPr>
          <w:lang w:val="en-CA"/>
        </w:rPr>
        <w:t>in</w:t>
      </w:r>
      <w:r w:rsidR="001971F2">
        <w:t xml:space="preserve"> April 2010, in </w:t>
      </w:r>
      <w:r w:rsidR="001971F2" w:rsidRPr="001971F2">
        <w:rPr>
          <w:b/>
          <w:i/>
        </w:rPr>
        <w:t>United States v. Harry Abrahamsen</w:t>
      </w:r>
      <w:r w:rsidR="001971F2">
        <w:t xml:space="preserve"> (D.N.J.), the defendant pleaded guilty to failing to file a Report of Foreign Bank and Financial Account (FBAR) on income he earned on a UBS bank account, and underreporting personal and business income, resulting in a tax loss of between $325,000</w:t>
      </w:r>
      <w:r w:rsidR="00911E24">
        <w:t xml:space="preserve"> </w:t>
      </w:r>
      <w:r w:rsidR="001971F2">
        <w:t xml:space="preserve">and $550,000.  Also in April 2010, in </w:t>
      </w:r>
      <w:r w:rsidR="001971F2" w:rsidRPr="001971F2">
        <w:rPr>
          <w:b/>
          <w:i/>
        </w:rPr>
        <w:t>United States v. Paul Zabczuk</w:t>
      </w:r>
      <w:r w:rsidR="001971F2">
        <w:t xml:space="preserve"> (S.D. Fla.), the defendant pleaded guilty to filing a false tax return on which he failed to report an offshore UBS bank account and also failed to report income earned on that account.  </w:t>
      </w:r>
      <w:r w:rsidR="005079BA">
        <w:t>And i</w:t>
      </w:r>
      <w:r w:rsidR="001971F2">
        <w:t xml:space="preserve">n April 2010, in </w:t>
      </w:r>
      <w:r w:rsidR="00337A4D" w:rsidRPr="002E40C7">
        <w:rPr>
          <w:b/>
          <w:i/>
          <w:lang w:val="en-CA"/>
        </w:rPr>
        <w:fldChar w:fldCharType="begin"/>
      </w:r>
      <w:r w:rsidR="001971F2" w:rsidRPr="002E40C7">
        <w:rPr>
          <w:b/>
          <w:i/>
          <w:lang w:val="en-CA"/>
        </w:rPr>
        <w:instrText xml:space="preserve"> SEQ CHAPTER \h \r 1</w:instrText>
      </w:r>
      <w:r w:rsidR="00337A4D" w:rsidRPr="002E40C7">
        <w:rPr>
          <w:b/>
          <w:i/>
          <w:lang w:val="en-CA"/>
        </w:rPr>
        <w:fldChar w:fldCharType="end"/>
      </w:r>
      <w:r w:rsidR="001971F2" w:rsidRPr="002E40C7">
        <w:rPr>
          <w:b/>
          <w:i/>
        </w:rPr>
        <w:t>United States v. Jack Barouh</w:t>
      </w:r>
      <w:r w:rsidR="001971F2" w:rsidRPr="002E40C7">
        <w:rPr>
          <w:b/>
        </w:rPr>
        <w:t xml:space="preserve"> </w:t>
      </w:r>
      <w:r w:rsidR="001971F2" w:rsidRPr="005079BA">
        <w:t>(S.D. Fla.),</w:t>
      </w:r>
      <w:r w:rsidR="001971F2">
        <w:t xml:space="preserve"> the defendant was sentenced to 10 months in jail for filing a false 2007 tax return in which he failed to report </w:t>
      </w:r>
      <w:r w:rsidR="000973F2">
        <w:t>his</w:t>
      </w:r>
      <w:r w:rsidR="001971F2">
        <w:t xml:space="preserve"> financial accounts at UBS.  The tax loss associated with two of the accounts </w:t>
      </w:r>
      <w:r w:rsidR="000973F2">
        <w:t>approximated</w:t>
      </w:r>
      <w:r w:rsidR="001971F2">
        <w:t xml:space="preserve"> $736,269.  </w:t>
      </w:r>
      <w:r w:rsidR="002C533A">
        <w:t xml:space="preserve">In November 2010, in </w:t>
      </w:r>
      <w:r w:rsidR="002C533A" w:rsidRPr="002C533A">
        <w:rPr>
          <w:b/>
          <w:i/>
        </w:rPr>
        <w:t>United States v. Jeffrey Chatfield</w:t>
      </w:r>
      <w:r w:rsidR="002C533A" w:rsidRPr="002C533A">
        <w:rPr>
          <w:b/>
        </w:rPr>
        <w:t xml:space="preserve"> </w:t>
      </w:r>
      <w:r w:rsidR="002C533A">
        <w:t>(S.D. Ca</w:t>
      </w:r>
      <w:r w:rsidR="00B7696A">
        <w:t>l</w:t>
      </w:r>
      <w:r w:rsidR="002C533A">
        <w:t xml:space="preserve">.), </w:t>
      </w:r>
      <w:r w:rsidR="002C533A" w:rsidRPr="002C533A">
        <w:t xml:space="preserve">Chatfield pleaded guilty </w:t>
      </w:r>
      <w:r w:rsidR="002C533A">
        <w:t>to</w:t>
      </w:r>
      <w:r w:rsidR="002C533A" w:rsidRPr="002C533A">
        <w:t xml:space="preserve"> filing a false tax return related to a Swiss bank account that he maintained at UBS.  According to court documents and statements made in court, Chatfield </w:t>
      </w:r>
      <w:r w:rsidR="00400626">
        <w:t xml:space="preserve">used a series of offshore banks to conceal nearly $1 million in accounts held in the names of nominee entities.  </w:t>
      </w:r>
    </w:p>
    <w:p w:rsidR="001971F2" w:rsidRDefault="001971F2" w:rsidP="00975DF3">
      <w:pPr>
        <w:ind w:firstLine="720"/>
      </w:pPr>
    </w:p>
    <w:p w:rsidR="00A856D8" w:rsidRDefault="00DC37DC" w:rsidP="00A856D8">
      <w:pPr>
        <w:ind w:firstLine="720"/>
      </w:pPr>
      <w:r>
        <w:t xml:space="preserve">Prosecutions have not been limited to bankers and </w:t>
      </w:r>
      <w:r w:rsidR="000973F2">
        <w:t xml:space="preserve">UBS </w:t>
      </w:r>
      <w:r>
        <w:t>customers.</w:t>
      </w:r>
      <w:r w:rsidR="00A856D8">
        <w:rPr>
          <w:lang w:val="en-CA"/>
        </w:rPr>
        <w:t xml:space="preserve">  I</w:t>
      </w:r>
      <w:r w:rsidR="00A856D8">
        <w:t>n December</w:t>
      </w:r>
      <w:r w:rsidR="00A856D8" w:rsidRPr="00A856D8">
        <w:t xml:space="preserve"> 2010</w:t>
      </w:r>
      <w:r w:rsidR="00A856D8">
        <w:t xml:space="preserve">, in </w:t>
      </w:r>
      <w:r w:rsidR="00A856D8" w:rsidRPr="00A856D8">
        <w:rPr>
          <w:b/>
          <w:bCs/>
          <w:i/>
        </w:rPr>
        <w:t>United States v. Renzo Gadola</w:t>
      </w:r>
      <w:r w:rsidR="00A856D8">
        <w:t xml:space="preserve"> (S.D. Fla.)</w:t>
      </w:r>
      <w:r w:rsidR="00A856D8" w:rsidRPr="00A856D8">
        <w:t xml:space="preserve">, </w:t>
      </w:r>
      <w:r w:rsidR="00A856D8">
        <w:t>G</w:t>
      </w:r>
      <w:r w:rsidR="00A856D8" w:rsidRPr="00A856D8">
        <w:t xml:space="preserve">adola </w:t>
      </w:r>
      <w:r w:rsidR="008E3598">
        <w:t>pleaded guilty to</w:t>
      </w:r>
      <w:r w:rsidR="00A856D8" w:rsidRPr="00A856D8">
        <w:t xml:space="preserve"> conspiring to defraud the United States.  Gadola is a citizen and resident of Switzerland and worked at UBS AG as a private banker from approximately 1995 to 2008.  Gadola is a registered investment advisor with the SEC and currently works as an independent investment advisor in Switzerland.  According to the charging document, Gadola worked with a former UBS banker to manage undeclared accounts for United States clients.  The former UBS banker refused to travel to the United States out of concern of being arrested due to his cross-border banking activities, so the two arranged that Gadola would travel to the United States to meet with the clients.  On November 6, 2010, Gadola met in a Miami hotel with a Mississippi client of the former UBS banker.  The client had an undeclared account at Basler Kantonalbank, a regional bank in Switzerland.  Gadola advised </w:t>
      </w:r>
      <w:r w:rsidR="00A856D8">
        <w:t>one</w:t>
      </w:r>
      <w:r w:rsidR="00A856D8" w:rsidRPr="00A856D8">
        <w:t xml:space="preserve"> client not to disclose </w:t>
      </w:r>
      <w:r w:rsidR="00A856D8">
        <w:t>his</w:t>
      </w:r>
      <w:r w:rsidR="00A856D8" w:rsidRPr="00A856D8">
        <w:t xml:space="preserve"> account at Basler Kantonalbank to United States authorities, indicating that the likelihood that anyone would find out about the account </w:t>
      </w:r>
      <w:r w:rsidR="00A856D8">
        <w:t>wa</w:t>
      </w:r>
      <w:r w:rsidR="00A856D8" w:rsidRPr="00A856D8">
        <w:t>s “practically zero percent” and that there was no "paper trail" associated with the account.  Gadola was arrested on November 8, 2010.</w:t>
      </w:r>
    </w:p>
    <w:p w:rsidR="00B7696A" w:rsidRPr="00A856D8" w:rsidRDefault="00B7696A" w:rsidP="00A856D8">
      <w:pPr>
        <w:ind w:firstLine="720"/>
        <w:rPr>
          <w:lang w:val="en-CA"/>
        </w:rPr>
      </w:pPr>
    </w:p>
    <w:p w:rsidR="00DC37DC" w:rsidRPr="00DC37DC" w:rsidRDefault="00DC37DC" w:rsidP="00975DF3">
      <w:pPr>
        <w:ind w:firstLine="720"/>
      </w:pPr>
      <w:r>
        <w:t xml:space="preserve"> </w:t>
      </w:r>
      <w:r w:rsidR="000973F2">
        <w:t xml:space="preserve"> </w:t>
      </w:r>
      <w:r w:rsidR="00400626">
        <w:t xml:space="preserve">In October 2010, a jury found defendants Mauricio Cohen-Assor and his son, Leon Cohen-Levy, guilty on charges they conspired to defraud the United States, </w:t>
      </w:r>
      <w:r w:rsidR="00225FAB">
        <w:t xml:space="preserve"> in </w:t>
      </w:r>
      <w:r>
        <w:rPr>
          <w:b/>
          <w:i/>
        </w:rPr>
        <w:t>United States v. Cohen-</w:t>
      </w:r>
      <w:r w:rsidR="00225FAB">
        <w:rPr>
          <w:b/>
          <w:i/>
        </w:rPr>
        <w:t>Assor, et al.</w:t>
      </w:r>
      <w:r w:rsidR="00225FAB">
        <w:rPr>
          <w:b/>
        </w:rPr>
        <w:t xml:space="preserve"> </w:t>
      </w:r>
      <w:r w:rsidR="00225FAB" w:rsidRPr="000973F2">
        <w:t>(S.D. Fla.)</w:t>
      </w:r>
      <w:r w:rsidR="00225FAB">
        <w:t xml:space="preserve">. </w:t>
      </w:r>
      <w:r w:rsidR="003250A1">
        <w:t xml:space="preserve"> </w:t>
      </w:r>
      <w:r w:rsidR="00225FAB">
        <w:t>The defendants, who were developers and owners of several residential hotels, made extensive use of nominee entities formed in tax haven jurisdictions, including the Bahamas, the British Virgin Islands, Panama, Liechtenstein and Switzerland,</w:t>
      </w:r>
      <w:r w:rsidR="002E40C7">
        <w:t xml:space="preserve"> and an account opened at a private bank affiliated with a large international banking firm, all </w:t>
      </w:r>
      <w:r w:rsidR="00225FAB">
        <w:t xml:space="preserve">in order to defraud the United States concerning, among other things, </w:t>
      </w:r>
      <w:r w:rsidR="003250A1">
        <w:t>taxes pertaining to $33 million in capital gains</w:t>
      </w:r>
      <w:r w:rsidR="00225FAB">
        <w:t>.</w:t>
      </w:r>
    </w:p>
    <w:p w:rsidR="00775632" w:rsidRDefault="00775632" w:rsidP="00775632">
      <w:pPr>
        <w:ind w:firstLine="720"/>
      </w:pPr>
    </w:p>
    <w:p w:rsidR="00207C64" w:rsidRPr="00722E18" w:rsidRDefault="00207C64" w:rsidP="00933335">
      <w:pPr>
        <w:pStyle w:val="Heading2"/>
        <w:numPr>
          <w:ilvl w:val="0"/>
          <w:numId w:val="0"/>
        </w:numPr>
        <w:spacing w:before="0" w:after="240"/>
        <w:ind w:left="1080" w:hanging="360"/>
        <w:rPr>
          <w:rFonts w:cs="Times New Roman"/>
          <w:i w:val="0"/>
          <w:sz w:val="24"/>
          <w:szCs w:val="24"/>
        </w:rPr>
      </w:pPr>
      <w:r w:rsidRPr="00722E18">
        <w:rPr>
          <w:rFonts w:cs="Times New Roman"/>
          <w:i w:val="0"/>
          <w:sz w:val="24"/>
          <w:szCs w:val="24"/>
        </w:rPr>
        <w:t xml:space="preserve">Prosecuting Abusive Promotions </w:t>
      </w:r>
    </w:p>
    <w:p w:rsidR="00612078" w:rsidRDefault="00207C64" w:rsidP="00207C64">
      <w:pPr>
        <w:ind w:firstLine="720"/>
      </w:pPr>
      <w:r w:rsidRPr="00722E18">
        <w:t xml:space="preserve">The Division is actively engaged in prosecuting the promotion or use of fraudulent tax shelters and other schemes to evade taxes and hide assets.  The number of taxpayers who use these bogus schemes to improperly reduce, or totally evade, their federal income tax liabilities has increased significantly in recent years.  Some schemes use domestic or foreign trusts to evade taxes.  Promoters of these schemes often use the </w:t>
      </w:r>
      <w:r w:rsidR="00B13B59">
        <w:t>i</w:t>
      </w:r>
      <w:r w:rsidRPr="00722E18">
        <w:t>nternet to aggressively market these trusts to the public, and rely upon strained, if not demonstrably false, interpretations of the tax laws.  Employing what they often call “asset protection trusts” (ostensibly designed to guard an individual’s assets from legitimate creditors, including the IRS), these promoters are in fact assisting</w:t>
      </w:r>
      <w:r>
        <w:t xml:space="preserve"> </w:t>
      </w:r>
      <w:r w:rsidRPr="00722E18">
        <w:t>taxpayers to fraudulently assign income and conceal ownership of income-producing assets in order to evade paying their taxes.</w:t>
      </w:r>
    </w:p>
    <w:p w:rsidR="00612078" w:rsidRDefault="00612078" w:rsidP="00207C64">
      <w:pPr>
        <w:ind w:firstLine="720"/>
      </w:pPr>
    </w:p>
    <w:p w:rsidR="002E1091" w:rsidRDefault="00612078" w:rsidP="00975DF3">
      <w:pPr>
        <w:spacing w:after="240"/>
        <w:ind w:firstLine="720"/>
      </w:pPr>
      <w:r w:rsidRPr="00722E18">
        <w:t xml:space="preserve">In </w:t>
      </w:r>
      <w:r w:rsidR="003D52FC">
        <w:t>January, 2011</w:t>
      </w:r>
      <w:r w:rsidRPr="00722E18">
        <w:t>,</w:t>
      </w:r>
      <w:r w:rsidR="003D52FC">
        <w:t xml:space="preserve"> in</w:t>
      </w:r>
      <w:r w:rsidRPr="00722E18">
        <w:t xml:space="preserve"> </w:t>
      </w:r>
      <w:r w:rsidR="003D52FC">
        <w:rPr>
          <w:b/>
          <w:i/>
        </w:rPr>
        <w:t>United States v. Homer Richardson</w:t>
      </w:r>
      <w:r w:rsidR="003D52FC">
        <w:t xml:space="preserve"> (S.D. Ohio), Richardson was sentenced to 30 months in prison after having pleaded guilty to corruptly impeding the due administration of the tax laws and to four counts of filing false tax returns for himself and others. </w:t>
      </w:r>
      <w:r w:rsidRPr="00722E18">
        <w:t xml:space="preserve"> </w:t>
      </w:r>
      <w:r w:rsidR="003D52FC">
        <w:t>Richardson marketed and sold to high-net-worth taxpayers sham domestic and foreign trusts through the Aegis Company</w:t>
      </w:r>
      <w:r w:rsidR="003D52FC">
        <w:rPr>
          <w:b/>
          <w:i/>
        </w:rPr>
        <w:t xml:space="preserve">.  </w:t>
      </w:r>
      <w:r w:rsidR="002E1091" w:rsidRPr="00722E18">
        <w:t xml:space="preserve">The Chicago-based </w:t>
      </w:r>
      <w:r w:rsidR="002E1091">
        <w:t xml:space="preserve">Aegis </w:t>
      </w:r>
      <w:r w:rsidR="002E1091" w:rsidRPr="00722E18">
        <w:t>investigation has resulted in nationwide convictions of more than 30 defendants, with charges pending against approximately 30 other defendants around the country.</w:t>
      </w:r>
      <w:r w:rsidR="002E1091">
        <w:t xml:space="preserve">  </w:t>
      </w:r>
    </w:p>
    <w:p w:rsidR="00612078" w:rsidRDefault="003D52FC" w:rsidP="001A7C85">
      <w:pPr>
        <w:ind w:firstLine="720"/>
      </w:pPr>
      <w:r>
        <w:rPr>
          <w:lang w:val="en-CA"/>
        </w:rPr>
        <w:t>I</w:t>
      </w:r>
      <w:r w:rsidR="00612078">
        <w:rPr>
          <w:lang w:val="en-CA"/>
        </w:rPr>
        <w:t xml:space="preserve">n </w:t>
      </w:r>
      <w:r w:rsidR="00337A4D">
        <w:rPr>
          <w:lang w:val="en-CA"/>
        </w:rPr>
        <w:fldChar w:fldCharType="begin"/>
      </w:r>
      <w:r w:rsidR="00612078">
        <w:rPr>
          <w:lang w:val="en-CA"/>
        </w:rPr>
        <w:instrText xml:space="preserve"> SEQ CHAPTER \h \r 1</w:instrText>
      </w:r>
      <w:r w:rsidR="00337A4D">
        <w:rPr>
          <w:lang w:val="en-CA"/>
        </w:rPr>
        <w:fldChar w:fldCharType="end"/>
      </w:r>
      <w:r w:rsidR="00A45AD8">
        <w:t>October 2009</w:t>
      </w:r>
      <w:r w:rsidR="00982408">
        <w:t xml:space="preserve"> and April 2010</w:t>
      </w:r>
      <w:r w:rsidR="00612078">
        <w:t xml:space="preserve">, in </w:t>
      </w:r>
      <w:r w:rsidR="00612078" w:rsidRPr="00612078">
        <w:rPr>
          <w:b/>
          <w:i/>
        </w:rPr>
        <w:t>United States v. David Plummer, et al.</w:t>
      </w:r>
      <w:r w:rsidR="00612078">
        <w:t xml:space="preserve"> (D. Ore</w:t>
      </w:r>
      <w:r w:rsidR="00E31C6B">
        <w:t>.</w:t>
      </w:r>
      <w:r w:rsidR="00612078">
        <w:t>), Davi</w:t>
      </w:r>
      <w:r w:rsidR="00982408">
        <w:t xml:space="preserve">d Plummer, Spencer Plummer, </w:t>
      </w:r>
      <w:r w:rsidR="00612078">
        <w:t>Terry Green</w:t>
      </w:r>
      <w:r w:rsidR="00982408">
        <w:t>, and John Parrott,</w:t>
      </w:r>
      <w:r w:rsidR="00612078">
        <w:t xml:space="preserve"> each pleaded guilty to conspiracy to defraud the United States.  The defendants operated, through ClassicStar, LLC, a tax shelter called the Mare Lease Program. The shelter purported to take advantage of a provision of the Tax Code allowing taxpayers who are engaged in a farming activity, in this case breeding thoroughbred horses, to fully deduct prepaid expenses in the year that the expenses are incurred.  Taxpayers were wealthy investors who paid only 10% of the supposed breeding expenses in cash and borrowed the rest from a bogus lender.  Investors nationwide claimed false farming expenses in the amount of $595,727,692.</w:t>
      </w:r>
      <w:r w:rsidR="00E31C6B" w:rsidDel="00E31C6B">
        <w:t xml:space="preserve"> </w:t>
      </w:r>
    </w:p>
    <w:p w:rsidR="00C866A9" w:rsidRDefault="00C866A9" w:rsidP="00E31C6B">
      <w:pPr>
        <w:ind w:firstLine="720"/>
      </w:pPr>
    </w:p>
    <w:p w:rsidR="00671399" w:rsidRDefault="00671399" w:rsidP="00671399">
      <w:pPr>
        <w:ind w:firstLine="720"/>
      </w:pPr>
      <w:r>
        <w:t xml:space="preserve">In April 2010, in </w:t>
      </w:r>
      <w:r w:rsidRPr="00671399">
        <w:rPr>
          <w:b/>
          <w:i/>
        </w:rPr>
        <w:t>United States v. Michael C. Cooper</w:t>
      </w:r>
      <w:r>
        <w:t xml:space="preserve"> (D. Kan</w:t>
      </w:r>
      <w:r w:rsidR="00E31C6B">
        <w:t>.</w:t>
      </w:r>
      <w:r>
        <w:t>), the defendant was sentenced on tax and other charges to 20 years in prison, forfeiture of $75 million in assets, and restitution to the IRS of $10.5 million</w:t>
      </w:r>
      <w:r w:rsidR="00BD1122">
        <w:t>, for his conviction on</w:t>
      </w:r>
      <w:r>
        <w:t xml:space="preserve"> multiple charges including conspiracy, mail fraud, wire fraud, and money laundering.  Cooper was the ringleader of Renaissance, the Tax People, </w:t>
      </w:r>
      <w:r w:rsidR="009834BC">
        <w:t>a</w:t>
      </w:r>
      <w:r>
        <w:t xml:space="preserve"> multilevel marketing company that specialized in </w:t>
      </w:r>
      <w:r w:rsidR="00E31C6B">
        <w:t>selling</w:t>
      </w:r>
      <w:r>
        <w:t xml:space="preserve"> home-based business packages that </w:t>
      </w:r>
      <w:r w:rsidR="00BD1122">
        <w:t xml:space="preserve">falsely </w:t>
      </w:r>
      <w:r>
        <w:t xml:space="preserve">promised tax benefits.  Cooper and others conspired to defraud Renaissance </w:t>
      </w:r>
      <w:r w:rsidR="00BD1122">
        <w:t xml:space="preserve">customers </w:t>
      </w:r>
      <w:r>
        <w:t>of $70,000,000</w:t>
      </w:r>
      <w:r w:rsidR="00E31C6B">
        <w:t>,</w:t>
      </w:r>
      <w:r>
        <w:t xml:space="preserve"> and conspired to defraud the IRS through various means, including the preparation of false federal income tax returns.</w:t>
      </w:r>
    </w:p>
    <w:p w:rsidR="00671399" w:rsidRPr="00722E18" w:rsidRDefault="00671399" w:rsidP="00671399">
      <w:pPr>
        <w:ind w:firstLine="720"/>
      </w:pPr>
    </w:p>
    <w:p w:rsidR="00207C64" w:rsidRPr="00722E18" w:rsidRDefault="00207C64" w:rsidP="00207C64">
      <w:pPr>
        <w:keepNext/>
        <w:spacing w:after="240"/>
        <w:rPr>
          <w:b/>
        </w:rPr>
      </w:pPr>
      <w:r w:rsidRPr="00722E18">
        <w:tab/>
      </w:r>
      <w:r w:rsidRPr="00722E18">
        <w:rPr>
          <w:b/>
        </w:rPr>
        <w:t>Return-Preparer Fraud</w:t>
      </w:r>
    </w:p>
    <w:p w:rsidR="00207C64" w:rsidRPr="00722E18" w:rsidRDefault="00207C64" w:rsidP="00207C64">
      <w:pPr>
        <w:pStyle w:val="BodyText"/>
        <w:spacing w:after="240"/>
        <w:jc w:val="left"/>
      </w:pPr>
      <w:r w:rsidRPr="00722E18">
        <w:t xml:space="preserve">Corrupt accountants and unscrupulous tax return preparers present a serious law enforcement concern.  Some accountants and return preparers dupe unwitting clients into filing fraudulent returns, while others serve as willing “enablers,” providing a veneer of legitimacy for clients predisposed to cheat.  In either case, the professionals often commit a large number of frauds, and their status as professionals may be perceived as legitimizing tax evasion, thereby promoting disrespect for the law.  Tax Division attorneys vigorously investigate and prosecute such cases. </w:t>
      </w:r>
      <w:r w:rsidR="002E40C7">
        <w:t xml:space="preserve">During the 2010 filing season, the Division aggressively supported an IRS’ return preparer initiative designed to educate return preparers and detect and prosecute unlawful schemes and wrongdoers.  </w:t>
      </w:r>
    </w:p>
    <w:p w:rsidR="00982408" w:rsidRDefault="00207C64" w:rsidP="008C6812">
      <w:pPr>
        <w:ind w:firstLine="720"/>
        <w:rPr>
          <w:color w:val="100216"/>
        </w:rPr>
      </w:pPr>
      <w:r w:rsidRPr="00722E18">
        <w:t xml:space="preserve">For example, </w:t>
      </w:r>
      <w:r w:rsidR="00982408">
        <w:t xml:space="preserve">in August 2010, in </w:t>
      </w:r>
      <w:r w:rsidR="00982408">
        <w:rPr>
          <w:b/>
          <w:i/>
        </w:rPr>
        <w:t>United States v. Stephen A. Favato</w:t>
      </w:r>
      <w:r w:rsidR="00982408">
        <w:t xml:space="preserve"> (D.N.J.), a jury convicted Favato, </w:t>
      </w:r>
      <w:r w:rsidR="00982408">
        <w:rPr>
          <w:color w:val="100216"/>
        </w:rPr>
        <w:t xml:space="preserve">a tax partner in the Woodbridge, New Jersey, office of BDO Seidman, L.L.P., of corruptly endeavoring to obstruct and impede the due administration of the Internal Revenue laws and willfully aiding and assisting in the preparation and filing of a false tax return.  The indictment alleged that Favato counseled his client, the president of a fragrance manufacturer for which Favato and his firm prepared corporate income tax returns, to have his employer reduce his salary payments significantly and to have this compensation paid to the client’s limited liability company in the form of purported lease payments for the client’s yacht, when in fact the employer had not leased the yacht.  This enabled </w:t>
      </w:r>
      <w:r w:rsidR="009A6337">
        <w:rPr>
          <w:color w:val="100216"/>
        </w:rPr>
        <w:t>the client</w:t>
      </w:r>
      <w:r w:rsidR="00982408">
        <w:rPr>
          <w:color w:val="100216"/>
        </w:rPr>
        <w:t xml:space="preserve"> to fraudulently deduct personal yacht expenses as business expenses.  In addition, Favato advised </w:t>
      </w:r>
      <w:r w:rsidR="009A6337">
        <w:rPr>
          <w:color w:val="100216"/>
        </w:rPr>
        <w:t>his client</w:t>
      </w:r>
      <w:r w:rsidR="00982408">
        <w:rPr>
          <w:color w:val="100216"/>
        </w:rPr>
        <w:t xml:space="preserve"> on how to fraudulently eliminate a portion of the g</w:t>
      </w:r>
      <w:r w:rsidR="009A6337">
        <w:rPr>
          <w:color w:val="100216"/>
        </w:rPr>
        <w:t>ains on properties that he sold</w:t>
      </w:r>
      <w:r w:rsidR="00982408">
        <w:rPr>
          <w:color w:val="100216"/>
        </w:rPr>
        <w:t xml:space="preserve"> </w:t>
      </w:r>
      <w:r w:rsidR="009A6337">
        <w:rPr>
          <w:color w:val="100216"/>
        </w:rPr>
        <w:t>and</w:t>
      </w:r>
      <w:r w:rsidR="00982408">
        <w:rPr>
          <w:color w:val="100216"/>
        </w:rPr>
        <w:t xml:space="preserve"> to report inflated charitable contributions</w:t>
      </w:r>
      <w:r w:rsidR="009A6337">
        <w:rPr>
          <w:color w:val="100216"/>
        </w:rPr>
        <w:t>.</w:t>
      </w:r>
    </w:p>
    <w:p w:rsidR="009A6337" w:rsidRPr="00982408" w:rsidRDefault="009A6337" w:rsidP="008C6812">
      <w:pPr>
        <w:ind w:firstLine="720"/>
      </w:pPr>
    </w:p>
    <w:p w:rsidR="00E869B5" w:rsidRPr="00E869B5" w:rsidRDefault="00337A4D" w:rsidP="00E869B5">
      <w:pPr>
        <w:ind w:firstLine="720"/>
      </w:pPr>
      <w:r w:rsidRPr="00E869B5">
        <w:rPr>
          <w:lang w:val="en-CA"/>
        </w:rPr>
        <w:fldChar w:fldCharType="begin"/>
      </w:r>
      <w:r w:rsidR="00E869B5" w:rsidRPr="00E869B5">
        <w:rPr>
          <w:lang w:val="en-CA"/>
        </w:rPr>
        <w:instrText xml:space="preserve"> SEQ CHAPTER \h \r 1</w:instrText>
      </w:r>
      <w:r w:rsidRPr="00E869B5">
        <w:rPr>
          <w:lang w:val="en-CA"/>
        </w:rPr>
        <w:fldChar w:fldCharType="end"/>
      </w:r>
      <w:r w:rsidR="00E869B5">
        <w:rPr>
          <w:lang w:val="en-CA"/>
        </w:rPr>
        <w:t>I</w:t>
      </w:r>
      <w:r w:rsidR="00E869B5" w:rsidRPr="00E869B5">
        <w:t xml:space="preserve">n September 2010, </w:t>
      </w:r>
      <w:r w:rsidR="00E869B5">
        <w:t xml:space="preserve">in </w:t>
      </w:r>
      <w:r w:rsidR="00E869B5" w:rsidRPr="00E869B5">
        <w:rPr>
          <w:b/>
          <w:i/>
        </w:rPr>
        <w:t>United States v. Catherine Senninger</w:t>
      </w:r>
      <w:r w:rsidR="00E869B5" w:rsidRPr="00E869B5">
        <w:t xml:space="preserve"> </w:t>
      </w:r>
      <w:r w:rsidR="00E869B5">
        <w:t xml:space="preserve">(D.Co.), Senninger </w:t>
      </w:r>
      <w:r w:rsidR="00E869B5" w:rsidRPr="00E869B5">
        <w:t xml:space="preserve">was sentenced </w:t>
      </w:r>
      <w:r w:rsidR="00E869B5">
        <w:t xml:space="preserve">to 36 months in prison based on a jury’s verdict of </w:t>
      </w:r>
      <w:r w:rsidR="00E869B5" w:rsidRPr="00E869B5">
        <w:t xml:space="preserve">guilty on mail fraud false claims </w:t>
      </w:r>
      <w:r w:rsidR="00E869B5">
        <w:t>charges</w:t>
      </w:r>
      <w:r w:rsidR="00E869B5" w:rsidRPr="00E869B5">
        <w:t>.</w:t>
      </w:r>
      <w:r w:rsidR="00E869B5">
        <w:t xml:space="preserve">  </w:t>
      </w:r>
      <w:r w:rsidR="00E869B5" w:rsidRPr="00E869B5">
        <w:t xml:space="preserve">According to </w:t>
      </w:r>
      <w:r w:rsidR="00E869B5">
        <w:t xml:space="preserve">court records, Senninger </w:t>
      </w:r>
      <w:r w:rsidR="00E869B5" w:rsidRPr="00E869B5">
        <w:t>was a former tax auditor for the IRS who became the tax preparer for Oly</w:t>
      </w:r>
      <w:r w:rsidR="00E869B5">
        <w:t>mpia Financial and Tax Services</w:t>
      </w:r>
      <w:r w:rsidR="00E869B5" w:rsidRPr="00E869B5">
        <w:t xml:space="preserve">.  Senninger </w:t>
      </w:r>
      <w:r w:rsidR="00E869B5">
        <w:t>helped taxpayers submit</w:t>
      </w:r>
      <w:r w:rsidR="00E869B5" w:rsidRPr="00E869B5">
        <w:t xml:space="preserve"> over 100 false amended federal tax returns seeking refunds totaling approximately $250,000 and 100 f</w:t>
      </w:r>
      <w:r w:rsidR="00E869B5">
        <w:t xml:space="preserve">alse amended state tax returns </w:t>
      </w:r>
      <w:r w:rsidR="00E869B5" w:rsidRPr="00E869B5">
        <w:t>seeking refunds t</w:t>
      </w:r>
      <w:r w:rsidR="00E869B5">
        <w:t>otaling approximately $50,000.</w:t>
      </w:r>
    </w:p>
    <w:p w:rsidR="00904F87" w:rsidRDefault="00E869B5" w:rsidP="00207C64">
      <w:r w:rsidRPr="00E869B5" w:rsidDel="00E869B5">
        <w:rPr>
          <w:lang w:val="en-CA"/>
        </w:rPr>
        <w:t xml:space="preserve"> </w:t>
      </w:r>
    </w:p>
    <w:p w:rsidR="00207C64" w:rsidRPr="00722E18" w:rsidRDefault="00207C64" w:rsidP="00463BDA">
      <w:pPr>
        <w:keepNext/>
        <w:ind w:firstLine="720"/>
      </w:pPr>
      <w:r w:rsidRPr="00722E18">
        <w:rPr>
          <w:b/>
        </w:rPr>
        <w:t>National Tax Defier Initiative</w:t>
      </w:r>
      <w:r w:rsidRPr="00722E18">
        <w:tab/>
      </w:r>
    </w:p>
    <w:p w:rsidR="00207C64" w:rsidRPr="00722E18" w:rsidRDefault="00207C64" w:rsidP="00463BDA">
      <w:pPr>
        <w:keepNext/>
      </w:pPr>
    </w:p>
    <w:p w:rsidR="00A53911" w:rsidRPr="00DF3867" w:rsidRDefault="00337A4D" w:rsidP="00A53911">
      <w:r>
        <w:rPr>
          <w:lang w:val="en-CA"/>
        </w:rPr>
        <w:fldChar w:fldCharType="begin"/>
      </w:r>
      <w:r w:rsidR="00A53911">
        <w:rPr>
          <w:lang w:val="en-CA"/>
        </w:rPr>
        <w:instrText xml:space="preserve"> SEQ CHAPTER \h \r 1</w:instrText>
      </w:r>
      <w:r>
        <w:rPr>
          <w:lang w:val="en-CA"/>
        </w:rPr>
        <w:fldChar w:fldCharType="end"/>
      </w:r>
      <w:r w:rsidR="00A53911">
        <w:t> </w:t>
      </w:r>
      <w:r w:rsidR="00A53911">
        <w:tab/>
      </w:r>
      <w:r w:rsidR="00A53911" w:rsidRPr="00DF3867">
        <w:t>To reaffirm and reinvigorate the Tax Division’s commitment to investigate, pursue, and, where appropriate, prosecute those who take action to defy and deny the fundamental validity of the tax laws, in April 2008, the Tax Division launched the National Tax Defier Initiative.  </w:t>
      </w:r>
    </w:p>
    <w:p w:rsidR="00A53911" w:rsidRPr="00DF3867" w:rsidRDefault="00A53911" w:rsidP="00A53911"/>
    <w:p w:rsidR="004E0381" w:rsidRDefault="00A53911" w:rsidP="004E0381">
      <w:pPr>
        <w:ind w:firstLine="720"/>
        <w:rPr>
          <w:lang w:val="en-CA"/>
        </w:rPr>
      </w:pPr>
      <w:r w:rsidRPr="00DF3867">
        <w:t xml:space="preserve">One of the goals of the Initiative is increased coordination among IRS, Treasury Inspector General for Tax Administration (TIGTA), and the Tax Division.  This coordination allows new or recycled tax defier schemes and arguments to be quickly identified and a global, coordinated </w:t>
      </w:r>
      <w:r w:rsidR="00802A06" w:rsidRPr="00DF3867">
        <w:t>strategy developed</w:t>
      </w:r>
      <w:r w:rsidRPr="00DF3867">
        <w:t>.  For example, soon after the announcement of the Initiative, a working group of DOJ</w:t>
      </w:r>
      <w:r w:rsidR="00BB0CC3">
        <w:t xml:space="preserve"> and </w:t>
      </w:r>
      <w:r w:rsidRPr="00DF3867">
        <w:t xml:space="preserve">IRS representatives was convened to develop a response to an increase in the use of false IRS Forms 1099 as a harassment tool against state and federal government employees.  </w:t>
      </w:r>
      <w:r w:rsidR="00337A4D" w:rsidRPr="00DF3867">
        <w:rPr>
          <w:lang w:val="en-CA"/>
        </w:rPr>
        <w:fldChar w:fldCharType="begin"/>
      </w:r>
      <w:r w:rsidR="00803F9C" w:rsidRPr="00DF3867">
        <w:rPr>
          <w:lang w:val="en-CA"/>
        </w:rPr>
        <w:instrText xml:space="preserve"> SEQ CHAPTER \h \r 1</w:instrText>
      </w:r>
      <w:r w:rsidR="00337A4D" w:rsidRPr="00DF3867">
        <w:rPr>
          <w:lang w:val="en-CA"/>
        </w:rPr>
        <w:fldChar w:fldCharType="end"/>
      </w:r>
      <w:r w:rsidR="00803F9C" w:rsidRPr="00DF3867">
        <w:t xml:space="preserve">Further, in June 2009, </w:t>
      </w:r>
      <w:r w:rsidR="00BD1122">
        <w:t xml:space="preserve">the </w:t>
      </w:r>
      <w:r w:rsidR="0089770B">
        <w:t xml:space="preserve">Tax Division </w:t>
      </w:r>
      <w:r w:rsidR="0089770B" w:rsidRPr="00DF3867">
        <w:t>hosted</w:t>
      </w:r>
      <w:r w:rsidR="00803F9C" w:rsidRPr="00DF3867">
        <w:t xml:space="preserve"> a law enforcement summit related to the so-called redemption scheme, an ongoing and growing nationwide tax defier scheme.</w:t>
      </w:r>
      <w:r w:rsidR="004E0381" w:rsidRPr="004E0381">
        <w:rPr>
          <w:lang w:val="en-CA"/>
        </w:rPr>
        <w:t xml:space="preserve"> </w:t>
      </w:r>
    </w:p>
    <w:p w:rsidR="004E0381" w:rsidRPr="00DF3867" w:rsidRDefault="004E0381" w:rsidP="004E0381">
      <w:pPr>
        <w:ind w:firstLine="720"/>
        <w:rPr>
          <w:lang w:val="en-CA"/>
        </w:rPr>
      </w:pPr>
    </w:p>
    <w:p w:rsidR="004E0381" w:rsidRPr="00DF3867" w:rsidRDefault="004E0381" w:rsidP="004E0381">
      <w:pPr>
        <w:ind w:firstLine="720"/>
        <w:rPr>
          <w:lang w:val="en-CA"/>
        </w:rPr>
      </w:pPr>
      <w:r w:rsidRPr="00DF3867">
        <w:rPr>
          <w:lang w:val="en-CA"/>
        </w:rPr>
        <w:t xml:space="preserve">In </w:t>
      </w:r>
      <w:r w:rsidRPr="00DF3867">
        <w:t xml:space="preserve">March 2010, two promoters of tax defier schemes were convicted in separate cases.  In </w:t>
      </w:r>
      <w:r w:rsidRPr="00DF3867">
        <w:rPr>
          <w:b/>
          <w:bCs/>
          <w:i/>
          <w:iCs/>
        </w:rPr>
        <w:t>United States v. Carel A. Prater</w:t>
      </w:r>
      <w:r w:rsidRPr="00DF3867">
        <w:t xml:space="preserve"> (M.D. Fla.), </w:t>
      </w:r>
      <w:r>
        <w:t>Prater</w:t>
      </w:r>
      <w:r w:rsidRPr="00DF3867">
        <w:t xml:space="preserve"> was convicted of tax crimes </w:t>
      </w:r>
      <w:r>
        <w:t>arising out of</w:t>
      </w:r>
      <w:r w:rsidRPr="00DF3867">
        <w:t xml:space="preserve"> a fraudulent scheme to sell services that he claimed would legally remove his customers from the federal tax system.  He also advised his customers to conceal assets and income from the IRS by using shell limited liability companies and unincorporated business trust organizations and by transferring ownership of assets to nominees.</w:t>
      </w:r>
      <w:r w:rsidR="00060D94">
        <w:t xml:space="preserve">  In June 2010, the court sentenced Prater to 28 years in prison and ordered restitution to the IRS of $440,069.</w:t>
      </w:r>
      <w:r>
        <w:t xml:space="preserve">  </w:t>
      </w:r>
      <w:r w:rsidRPr="00DF3867">
        <w:t xml:space="preserve">In </w:t>
      </w:r>
      <w:r w:rsidRPr="00DF3867">
        <w:rPr>
          <w:b/>
          <w:bCs/>
          <w:i/>
          <w:iCs/>
        </w:rPr>
        <w:t>United States v. Joseph Sweet, et al.</w:t>
      </w:r>
      <w:r w:rsidRPr="00DF3867">
        <w:t xml:space="preserve"> (M.D. Fla.), Sweet and Jack Malone were convicted by a jury of conspiracy, impeding the IRS, and criminal contempt.  The defendants</w:t>
      </w:r>
      <w:r>
        <w:t xml:space="preserve"> promoted various illegal tax schemes</w:t>
      </w:r>
      <w:r w:rsidRPr="00DF3867">
        <w:t xml:space="preserve">, including the use of abusive unincorporated business trust organizations.  </w:t>
      </w:r>
      <w:r w:rsidR="003B67F5">
        <w:t xml:space="preserve">In June 2010, the court sentenced Malone to 60 months in prison.  </w:t>
      </w:r>
      <w:r w:rsidR="00B24AF4">
        <w:t xml:space="preserve">In October 2010, the court sentenced </w:t>
      </w:r>
      <w:r w:rsidR="003B67F5">
        <w:t xml:space="preserve">Sweet </w:t>
      </w:r>
      <w:r w:rsidR="00B24AF4">
        <w:t>to 10 years in prison</w:t>
      </w:r>
      <w:r w:rsidR="003B67F5">
        <w:t>.</w:t>
      </w:r>
    </w:p>
    <w:p w:rsidR="004E0381" w:rsidRPr="00DF3867" w:rsidRDefault="004E0381" w:rsidP="004E0381">
      <w:pPr>
        <w:ind w:firstLine="720"/>
        <w:rPr>
          <w:lang w:val="en-CA"/>
        </w:rPr>
      </w:pPr>
    </w:p>
    <w:p w:rsidR="009B1747" w:rsidRPr="009B1747" w:rsidRDefault="009B1747" w:rsidP="009B1747">
      <w:pPr>
        <w:ind w:firstLine="720"/>
      </w:pPr>
      <w:r>
        <w:rPr>
          <w:lang w:val="en-CA"/>
        </w:rPr>
        <w:t>In September</w:t>
      </w:r>
      <w:r w:rsidRPr="009B1747">
        <w:rPr>
          <w:lang w:val="en-CA"/>
        </w:rPr>
        <w:t xml:space="preserve"> 2010,</w:t>
      </w:r>
      <w:r>
        <w:rPr>
          <w:lang w:val="en-CA"/>
        </w:rPr>
        <w:t xml:space="preserve"> in</w:t>
      </w:r>
      <w:r w:rsidRPr="009B1747">
        <w:rPr>
          <w:lang w:val="en-CA"/>
        </w:rPr>
        <w:t xml:space="preserve"> </w:t>
      </w:r>
      <w:r w:rsidRPr="009B1747">
        <w:rPr>
          <w:b/>
          <w:i/>
        </w:rPr>
        <w:t>United States v. Mark and Sharon Hopkins</w:t>
      </w:r>
      <w:r>
        <w:t xml:space="preserve"> (D.N.M.),</w:t>
      </w:r>
      <w:r w:rsidRPr="009B1747">
        <w:t xml:space="preserve"> </w:t>
      </w:r>
      <w:r w:rsidRPr="009B1747">
        <w:rPr>
          <w:lang w:val="en-CA"/>
        </w:rPr>
        <w:t xml:space="preserve">a jury convicted </w:t>
      </w:r>
      <w:r>
        <w:rPr>
          <w:lang w:val="en-CA"/>
        </w:rPr>
        <w:t xml:space="preserve">emergency room physician </w:t>
      </w:r>
      <w:r w:rsidR="00337A4D" w:rsidRPr="00337A4D">
        <w:rPr>
          <w:lang w:val="en-CA"/>
        </w:rPr>
        <w:fldChar w:fldCharType="begin"/>
      </w:r>
      <w:r w:rsidRPr="009B1747">
        <w:rPr>
          <w:lang w:val="en-CA"/>
        </w:rPr>
        <w:instrText xml:space="preserve"> SEQ CHAPTER \h \r 1</w:instrText>
      </w:r>
      <w:r w:rsidR="00337A4D" w:rsidRPr="009B1747">
        <w:fldChar w:fldCharType="end"/>
      </w:r>
      <w:r w:rsidRPr="009B1747">
        <w:t xml:space="preserve">Mark E. Hopkins and his wife, Sharon J. Hopkins, </w:t>
      </w:r>
      <w:r>
        <w:t xml:space="preserve">of multiple counts of tax evasion for concealing </w:t>
      </w:r>
      <w:r w:rsidRPr="009B1747">
        <w:t xml:space="preserve">their income from the IRS.  Dr. Hopkins allegedly directed that the staffing company that employed him make his paychecks, totaling $3,049,229.00, payable to “Shalom Enterprises.”  The couple used sham entities </w:t>
      </w:r>
      <w:r>
        <w:t xml:space="preserve">that they called “pure trusts” </w:t>
      </w:r>
      <w:r w:rsidRPr="009B1747">
        <w:t>to hide their income.  The couple also set up bank accounts using fictitious EINs (employ</w:t>
      </w:r>
      <w:r>
        <w:t xml:space="preserve">er identification numbers), </w:t>
      </w:r>
      <w:r w:rsidRPr="009B1747">
        <w:t>sent threatening letters to the IRS</w:t>
      </w:r>
      <w:r>
        <w:t>,</w:t>
      </w:r>
      <w:r w:rsidRPr="009B1747">
        <w:t xml:space="preserve"> and filed documents in which Dr. Hopkins claimed to be a citizen of the Republic of Texas and Mrs. Hopkins claimed to be a citizen of the New Mexico Republic</w:t>
      </w:r>
      <w:r>
        <w:t>.</w:t>
      </w:r>
      <w:r w:rsidRPr="009B1747">
        <w:t xml:space="preserve"> </w:t>
      </w:r>
    </w:p>
    <w:p w:rsidR="009A6337" w:rsidRDefault="009A6337" w:rsidP="004E0381">
      <w:pPr>
        <w:ind w:firstLine="720"/>
      </w:pPr>
    </w:p>
    <w:p w:rsidR="00A856D8" w:rsidRPr="00A856D8" w:rsidRDefault="00A856D8" w:rsidP="00A856D8">
      <w:pPr>
        <w:ind w:firstLine="720"/>
      </w:pPr>
      <w:r>
        <w:t>In October</w:t>
      </w:r>
      <w:r w:rsidRPr="00A856D8">
        <w:t xml:space="preserve"> 2010, </w:t>
      </w:r>
      <w:r>
        <w:t xml:space="preserve">in </w:t>
      </w:r>
      <w:r w:rsidRPr="00A856D8">
        <w:rPr>
          <w:b/>
          <w:i/>
        </w:rPr>
        <w:t>United States v. Claudia Hirmer, et al.</w:t>
      </w:r>
      <w:r w:rsidRPr="00A856D8">
        <w:t xml:space="preserve"> </w:t>
      </w:r>
      <w:r>
        <w:t xml:space="preserve">(N.D. Fla.) </w:t>
      </w:r>
      <w:r w:rsidRPr="00A856D8">
        <w:t xml:space="preserve">a federal judge in Pensacola, Florida, sentenced Mark and Claudia Hirmer to 15 and 20 years in prison, respectively.  </w:t>
      </w:r>
      <w:r>
        <w:t>A</w:t>
      </w:r>
      <w:r w:rsidRPr="00A856D8">
        <w:t xml:space="preserve"> jury found them guilty of tax, wire fraud</w:t>
      </w:r>
      <w:r>
        <w:t>,</w:t>
      </w:r>
      <w:r w:rsidRPr="00A856D8">
        <w:t xml:space="preserve"> and money laundering charges following a month-long trial.  The defendants promoted fraudulent schemes under the umbrella organization Pinnacle Quest International (PQI).   Some of the PQI vendors, such as Southern Oregon Resource Center for Education (SORCE), sold bogus strategies for tax evasion.   For fees starting at $10,000, SORCE assisted its customers </w:t>
      </w:r>
      <w:r>
        <w:t xml:space="preserve">in </w:t>
      </w:r>
      <w:r w:rsidRPr="00A856D8">
        <w:t>creat</w:t>
      </w:r>
      <w:r>
        <w:t>ing</w:t>
      </w:r>
      <w:r w:rsidRPr="00A856D8">
        <w:t xml:space="preserve"> a series of sham business entities in the United States and Panama.  Other tax-related PQI vendors denied the legitimacy of the income tax system and provided customers with a purported “reliance defense” that consisted of a paper trail of frivolous correspondence.  Another PQI vendor, MYICIS, operated a computerized “warehouse bank” that allowed its clients to hide their assets.  MYICIS had over 3,000 clients and close to $100 million </w:t>
      </w:r>
      <w:r>
        <w:t>in deposits over three years.</w:t>
      </w:r>
    </w:p>
    <w:p w:rsidR="00A856D8" w:rsidRDefault="00A856D8" w:rsidP="004E0381">
      <w:pPr>
        <w:ind w:firstLine="720"/>
      </w:pPr>
    </w:p>
    <w:p w:rsidR="009A6337" w:rsidRPr="009A6337" w:rsidRDefault="009A6337" w:rsidP="004E0381">
      <w:pPr>
        <w:ind w:firstLine="720"/>
      </w:pPr>
      <w:r>
        <w:t xml:space="preserve">In August 2010, in </w:t>
      </w:r>
      <w:r>
        <w:rPr>
          <w:b/>
          <w:i/>
        </w:rPr>
        <w:t>United States v. Eddie Ray Kahn, et al.</w:t>
      </w:r>
      <w:r>
        <w:t xml:space="preserve"> (D.D.C.), the court sentenced Kahn,</w:t>
      </w:r>
      <w:r w:rsidRPr="009A6337">
        <w:t xml:space="preserve"> </w:t>
      </w:r>
      <w:r w:rsidRPr="00BC43D2">
        <w:t>the leader of the Florida-based American Rights Litigators/Guiding Light of God Ministries</w:t>
      </w:r>
      <w:r>
        <w:t xml:space="preserve">, to serve 20 years in prison for developing and selling </w:t>
      </w:r>
      <w:r w:rsidRPr="00BC43D2">
        <w:t>tax de</w:t>
      </w:r>
      <w:r w:rsidRPr="00BC43D2">
        <w:softHyphen/>
        <w:t xml:space="preserve">fier schemes to more than 4,000 customers.  These customers were located in all fifty states, the District of Columbia, and several foreign countries.  The tax defier schemes consisted mainly of false and fictitious documents, which were mass </w:t>
      </w:r>
      <w:r w:rsidRPr="00BC43D2">
        <w:softHyphen/>
        <w:t>produced and mailed to government offices across the United States, especially to the IRS and the United States Treasury.</w:t>
      </w:r>
    </w:p>
    <w:p w:rsidR="00803F9C" w:rsidRPr="00DF3867" w:rsidRDefault="00803F9C" w:rsidP="00803F9C"/>
    <w:p w:rsidR="00A53911" w:rsidRPr="00DF3867" w:rsidRDefault="00A53911" w:rsidP="00803F9C">
      <w:pPr>
        <w:ind w:firstLine="720"/>
      </w:pPr>
      <w:r w:rsidRPr="00DF3867">
        <w:t xml:space="preserve">Individuals who have been </w:t>
      </w:r>
      <w:r w:rsidR="004E0381">
        <w:t>convicted of</w:t>
      </w:r>
      <w:r w:rsidRPr="00DF3867">
        <w:t xml:space="preserve"> tax defier schemes include not just </w:t>
      </w:r>
      <w:r w:rsidR="004E0381">
        <w:t>promoters, but also customers.</w:t>
      </w:r>
      <w:r w:rsidR="00DF3867">
        <w:t xml:space="preserve">  </w:t>
      </w:r>
      <w:r w:rsidR="00803F9C" w:rsidRPr="00DF3867">
        <w:t>For example, i</w:t>
      </w:r>
      <w:r w:rsidRPr="00DF3867">
        <w:t xml:space="preserve">n April 2010, in </w:t>
      </w:r>
      <w:r w:rsidRPr="00DF3867">
        <w:rPr>
          <w:b/>
          <w:bCs/>
          <w:i/>
          <w:iCs/>
          <w:lang w:val="en-CA"/>
        </w:rPr>
        <w:t>United States v. Lindsey Springer, et al.</w:t>
      </w:r>
      <w:r w:rsidR="007B1DAE">
        <w:rPr>
          <w:lang w:val="en-CA"/>
        </w:rPr>
        <w:t xml:space="preserve"> (N.D. Okla.</w:t>
      </w:r>
      <w:r w:rsidRPr="00DF3867">
        <w:rPr>
          <w:lang w:val="en-CA"/>
        </w:rPr>
        <w:t xml:space="preserve">), </w:t>
      </w:r>
      <w:r w:rsidR="00BD1122">
        <w:rPr>
          <w:lang w:val="en-CA"/>
        </w:rPr>
        <w:t>Springer,</w:t>
      </w:r>
      <w:r w:rsidRPr="00DF3867">
        <w:t xml:space="preserve"> a businessman, and Oscar Amos Stilley, an attorney, were each sentenced on tax charges to 15 years in prison</w:t>
      </w:r>
      <w:r w:rsidR="00BD1122">
        <w:t xml:space="preserve">, upon their conviction for </w:t>
      </w:r>
      <w:r w:rsidRPr="00DF3867">
        <w:rPr>
          <w:lang w:val="en-CA"/>
        </w:rPr>
        <w:t xml:space="preserve">conspiracy, tax evasion and failure to file tax returns.  Springer earned income by assisting individuals in their civil and criminal interactions with the Internal Revenue Service but, in an attempt to evade his federal income tax responsibilities, he characterized his earnings as donations.  Stilley conspired with Springer to evade the assessment, payment, and collection of Springer’s federal income taxes by </w:t>
      </w:r>
      <w:r w:rsidR="007B1DAE">
        <w:rPr>
          <w:lang w:val="en-CA"/>
        </w:rPr>
        <w:t>allowing Springer to use</w:t>
      </w:r>
      <w:r w:rsidRPr="00DF3867">
        <w:rPr>
          <w:lang w:val="en-CA"/>
        </w:rPr>
        <w:t xml:space="preserve"> Stilley’s credit card and lawyer trust account.</w:t>
      </w:r>
    </w:p>
    <w:p w:rsidR="00A53911" w:rsidRPr="00DF3867" w:rsidRDefault="00A53911" w:rsidP="00A53911">
      <w:pPr>
        <w:ind w:firstLine="720"/>
      </w:pPr>
    </w:p>
    <w:p w:rsidR="00A53911" w:rsidRDefault="00A53911" w:rsidP="00A53911">
      <w:pPr>
        <w:ind w:firstLine="720"/>
        <w:rPr>
          <w:lang w:val="en-CA"/>
        </w:rPr>
      </w:pPr>
      <w:r w:rsidRPr="00DF3867">
        <w:rPr>
          <w:lang w:val="en-CA"/>
        </w:rPr>
        <w:t xml:space="preserve"> In November 2009, a Las Vegas businessman who espoused tax defier arguments was sentenced to 15 years in prison in </w:t>
      </w:r>
      <w:r w:rsidRPr="00DF3867">
        <w:rPr>
          <w:b/>
          <w:bCs/>
          <w:i/>
          <w:iCs/>
          <w:lang w:val="en-CA"/>
        </w:rPr>
        <w:t>United States v. Robert Kahre, et al.</w:t>
      </w:r>
      <w:r w:rsidRPr="00DF3867">
        <w:rPr>
          <w:lang w:val="en-CA"/>
        </w:rPr>
        <w:t xml:space="preserve"> (D. Nev.)</w:t>
      </w:r>
      <w:r w:rsidR="00DF3867">
        <w:rPr>
          <w:lang w:val="en-CA"/>
        </w:rPr>
        <w:t xml:space="preserve">  </w:t>
      </w:r>
      <w:r w:rsidRPr="00DF3867">
        <w:rPr>
          <w:lang w:val="en-CA"/>
        </w:rPr>
        <w:t>Following a three-month trial in August 2009, Kahre and three others were convicted of multiple felony tax crimes, including conspiracy to defraud the IRS, tax evasion, and hiding assets from the IRS.  Between 1997 and 2003, Kahre owned and operated six construction businesses with hundreds of employees and provided a payroll service to approximately 35 other construction contractors.  Robert and Lori Kahre devised and used a payroll scheme that concealed and disguised the true amount of income received by his employees and the employees of the companies for which he provided payroll services. During the course of the scheme, cash wage</w:t>
      </w:r>
      <w:r w:rsidR="007B1DAE">
        <w:rPr>
          <w:lang w:val="en-CA"/>
        </w:rPr>
        <w:t>s</w:t>
      </w:r>
      <w:r w:rsidRPr="00DF3867">
        <w:rPr>
          <w:lang w:val="en-CA"/>
        </w:rPr>
        <w:t xml:space="preserve"> of at least $25 million were paid to Robert Kahre’s employees and cash payments of approximately $95 million were paid to employees of the other contractors.</w:t>
      </w:r>
      <w:r w:rsidR="007B1DAE">
        <w:rPr>
          <w:lang w:val="en-CA"/>
        </w:rPr>
        <w:t xml:space="preserve">  </w:t>
      </w:r>
      <w:r w:rsidRPr="00DF3867">
        <w:rPr>
          <w:lang w:val="en-CA"/>
        </w:rPr>
        <w:t>No federal tax withholdings were made from the pay</w:t>
      </w:r>
      <w:r w:rsidR="00C9775D">
        <w:rPr>
          <w:lang w:val="en-CA"/>
        </w:rPr>
        <w:t xml:space="preserve"> </w:t>
      </w:r>
      <w:r w:rsidRPr="00DF3867">
        <w:rPr>
          <w:lang w:val="en-CA"/>
        </w:rPr>
        <w:t>checks, and the wages were not reported to the IRS.</w:t>
      </w:r>
    </w:p>
    <w:p w:rsidR="00982408" w:rsidRPr="00DF3867" w:rsidRDefault="00982408" w:rsidP="00A53911">
      <w:pPr>
        <w:ind w:firstLine="720"/>
        <w:rPr>
          <w:lang w:val="en-CA"/>
        </w:rPr>
      </w:pPr>
    </w:p>
    <w:p w:rsidR="00207C64" w:rsidRPr="00722E18" w:rsidRDefault="00207C64" w:rsidP="00207C64">
      <w:pPr>
        <w:ind w:firstLine="720"/>
        <w:rPr>
          <w:b/>
        </w:rPr>
      </w:pPr>
      <w:r w:rsidRPr="00722E18">
        <w:rPr>
          <w:b/>
        </w:rPr>
        <w:t>War on Terrorism</w:t>
      </w:r>
    </w:p>
    <w:p w:rsidR="00207C64" w:rsidRPr="00722E18" w:rsidRDefault="00207C64" w:rsidP="00207C64">
      <w:pPr>
        <w:rPr>
          <w:b/>
        </w:rPr>
      </w:pPr>
    </w:p>
    <w:p w:rsidR="00207C64" w:rsidRPr="00722E18" w:rsidRDefault="00207C64" w:rsidP="00207C64">
      <w:pPr>
        <w:pStyle w:val="BodyText"/>
        <w:spacing w:after="240"/>
        <w:jc w:val="left"/>
      </w:pPr>
      <w:r w:rsidRPr="00722E18">
        <w:t xml:space="preserve">Tax Division attorneys play an important role in the fight against international terrorism.  </w:t>
      </w:r>
      <w:r w:rsidR="00750FBE">
        <w:t>Tax Division attorneys lend their expertise to attorneys at the National Security Division and at the U.S. Attorney’s Offices in prosecuting</w:t>
      </w:r>
      <w:r w:rsidR="00212D6D">
        <w:t xml:space="preserve"> </w:t>
      </w:r>
      <w:r w:rsidR="00750FBE">
        <w:t>those who take advantage of</w:t>
      </w:r>
      <w:r w:rsidRPr="00722E18">
        <w:t xml:space="preserve"> the tax laws to fund terrorism, </w:t>
      </w:r>
      <w:r w:rsidR="00750FBE">
        <w:t>including</w:t>
      </w:r>
      <w:r w:rsidRPr="00722E18">
        <w:t xml:space="preserve"> through the use</w:t>
      </w:r>
      <w:r w:rsidR="00750FBE">
        <w:t xml:space="preserve"> </w:t>
      </w:r>
      <w:r w:rsidRPr="00722E18">
        <w:t xml:space="preserve">of </w:t>
      </w:r>
      <w:r w:rsidR="00750FBE">
        <w:t>tax-exempt organizations</w:t>
      </w:r>
      <w:r w:rsidRPr="00722E18">
        <w:t xml:space="preserve">.  </w:t>
      </w:r>
      <w:r w:rsidR="00212D6D">
        <w:t>A</w:t>
      </w:r>
      <w:r w:rsidRPr="00722E18">
        <w:t xml:space="preserve"> </w:t>
      </w:r>
      <w:r w:rsidR="00212D6D">
        <w:t xml:space="preserve">Tax Division </w:t>
      </w:r>
      <w:r w:rsidRPr="00722E18">
        <w:t>Senior Litigation Counsel</w:t>
      </w:r>
      <w:r w:rsidR="00212D6D">
        <w:t xml:space="preserve"> is responsible for managing </w:t>
      </w:r>
      <w:r w:rsidRPr="00722E18">
        <w:t>matters associated with counter-terrorism and terrorist-financing and to lead teams of attorneys in investigating, developing, and prosecuting criminal tax cases with a nexus to counter-terrorism and terrorism financing.</w:t>
      </w:r>
    </w:p>
    <w:p w:rsidR="00207C64" w:rsidRPr="00722E18" w:rsidRDefault="00207C64" w:rsidP="00207C64">
      <w:pPr>
        <w:pStyle w:val="BodyText"/>
        <w:spacing w:after="0"/>
        <w:jc w:val="left"/>
        <w:rPr>
          <w:b/>
        </w:rPr>
      </w:pPr>
      <w:r w:rsidRPr="00722E18">
        <w:rPr>
          <w:b/>
        </w:rPr>
        <w:t>Corporate Fraud and other Financial Crimes</w:t>
      </w:r>
    </w:p>
    <w:p w:rsidR="00207C64" w:rsidRPr="00722E18" w:rsidRDefault="00207C64" w:rsidP="00207C64">
      <w:pPr>
        <w:pStyle w:val="BodyText"/>
        <w:spacing w:after="0"/>
        <w:jc w:val="left"/>
        <w:rPr>
          <w:b/>
        </w:rPr>
      </w:pPr>
    </w:p>
    <w:p w:rsidR="00D10CC7" w:rsidRDefault="00207C64" w:rsidP="00D10CC7">
      <w:pPr>
        <w:ind w:firstLine="720"/>
      </w:pPr>
      <w:r>
        <w:t>T</w:t>
      </w:r>
      <w:r w:rsidRPr="00722E18">
        <w:t xml:space="preserve">hrough the President’s </w:t>
      </w:r>
      <w:r w:rsidR="002C2472" w:rsidRPr="002C2472">
        <w:t>Financial Fraud Enforcement Task Force</w:t>
      </w:r>
      <w:r w:rsidRPr="00722E18">
        <w:t>, the Tax Division investigates and prosecutes</w:t>
      </w:r>
      <w:r w:rsidR="002C2472">
        <w:t xml:space="preserve"> financial crimes such as</w:t>
      </w:r>
      <w:r w:rsidRPr="00722E18">
        <w:t xml:space="preserve"> corporate fraud</w:t>
      </w:r>
      <w:r w:rsidR="002C2472">
        <w:t xml:space="preserve"> and mortgage fraud</w:t>
      </w:r>
      <w:r w:rsidRPr="00722E18">
        <w:t xml:space="preserve">.  The Division also </w:t>
      </w:r>
      <w:r w:rsidR="00771420" w:rsidRPr="00722E18">
        <w:t>cooperat</w:t>
      </w:r>
      <w:r w:rsidR="00771420">
        <w:t>es</w:t>
      </w:r>
      <w:r w:rsidR="00771420" w:rsidRPr="00722E18">
        <w:t xml:space="preserve"> with other law enforcement components </w:t>
      </w:r>
      <w:r w:rsidRPr="00722E18">
        <w:t>in formulatin</w:t>
      </w:r>
      <w:r w:rsidR="00771420">
        <w:t>g</w:t>
      </w:r>
      <w:r w:rsidRPr="00722E18">
        <w:t xml:space="preserve"> national policies, programs, strategies and procedures in a coordinated attack on financial crime.</w:t>
      </w:r>
    </w:p>
    <w:p w:rsidR="00207C64" w:rsidRPr="00722E18" w:rsidRDefault="00207C64" w:rsidP="00D10CC7">
      <w:pPr>
        <w:ind w:firstLine="720"/>
      </w:pPr>
      <w:r w:rsidRPr="00722E18">
        <w:t xml:space="preserve">  </w:t>
      </w:r>
    </w:p>
    <w:p w:rsidR="0045480E" w:rsidRDefault="00207C64" w:rsidP="0045480E">
      <w:pPr>
        <w:ind w:firstLine="720"/>
      </w:pPr>
      <w:r>
        <w:t>Prosecutions of the p</w:t>
      </w:r>
      <w:r w:rsidRPr="00722E18">
        <w:t xml:space="preserve">romoters of fraudulent tax schemes include </w:t>
      </w:r>
      <w:r>
        <w:t xml:space="preserve">cases involving </w:t>
      </w:r>
      <w:r w:rsidRPr="00722E18">
        <w:t>accountants and attorneys at national firms.</w:t>
      </w:r>
      <w:r w:rsidR="00C079F4">
        <w:t xml:space="preserve">  </w:t>
      </w:r>
      <w:r w:rsidR="00337A4D">
        <w:rPr>
          <w:lang w:val="en-CA"/>
        </w:rPr>
        <w:fldChar w:fldCharType="begin"/>
      </w:r>
      <w:r w:rsidR="00CA775D">
        <w:rPr>
          <w:lang w:val="en-CA"/>
        </w:rPr>
        <w:instrText xml:space="preserve"> SEQ CHAPTER \h \r 1</w:instrText>
      </w:r>
      <w:r w:rsidR="00337A4D">
        <w:rPr>
          <w:lang w:val="en-CA"/>
        </w:rPr>
        <w:fldChar w:fldCharType="end"/>
      </w:r>
      <w:r w:rsidR="00337A4D">
        <w:rPr>
          <w:lang w:val="en-CA"/>
        </w:rPr>
        <w:fldChar w:fldCharType="begin"/>
      </w:r>
      <w:r w:rsidR="00E85443">
        <w:rPr>
          <w:lang w:val="en-CA"/>
        </w:rPr>
        <w:instrText xml:space="preserve"> SEQ CHAPTER \h \r 1</w:instrText>
      </w:r>
      <w:r w:rsidR="00337A4D">
        <w:rPr>
          <w:lang w:val="en-CA"/>
        </w:rPr>
        <w:fldChar w:fldCharType="end"/>
      </w:r>
      <w:r w:rsidR="00E85443">
        <w:rPr>
          <w:lang w:val="en-CA"/>
        </w:rPr>
        <w:t>I</w:t>
      </w:r>
      <w:r w:rsidR="00E85443">
        <w:t xml:space="preserve">n December 2009, in </w:t>
      </w:r>
      <w:r w:rsidR="00E85443" w:rsidRPr="00E85443">
        <w:rPr>
          <w:b/>
          <w:i/>
        </w:rPr>
        <w:t>United States v. Michael Parker</w:t>
      </w:r>
      <w:r w:rsidR="00E85443">
        <w:t xml:space="preserve"> (S.D. Ohio), the defendant pleaded guilty to conspiracy to defraud the United States</w:t>
      </w:r>
      <w:r w:rsidR="00C118C5">
        <w:t xml:space="preserve"> by claiming more than $240 million in fraudulent deductions related to an illegal tax shelter</w:t>
      </w:r>
      <w:r w:rsidR="00E85443">
        <w:t>.  Parker</w:t>
      </w:r>
      <w:r w:rsidR="00C118C5">
        <w:t>,</w:t>
      </w:r>
      <w:r w:rsidR="00E85443">
        <w:t xml:space="preserve"> the chief operating officer of </w:t>
      </w:r>
      <w:r w:rsidR="00C118C5">
        <w:t xml:space="preserve">an </w:t>
      </w:r>
      <w:r w:rsidR="00E85443">
        <w:t>investment</w:t>
      </w:r>
      <w:r w:rsidR="00C118C5">
        <w:t xml:space="preserve"> company, </w:t>
      </w:r>
      <w:r w:rsidR="00E85443">
        <w:t xml:space="preserve">admitted to conspiring with Daryl Haynor, an accountant who was a </w:t>
      </w:r>
      <w:r w:rsidR="00C118C5">
        <w:t xml:space="preserve">KPMG </w:t>
      </w:r>
      <w:r w:rsidR="00E85443">
        <w:t>tax partner, and Jon Flask, an attorney, to defraud the IRS with regard to</w:t>
      </w:r>
      <w:r w:rsidR="00C118C5">
        <w:t xml:space="preserve"> the</w:t>
      </w:r>
      <w:r w:rsidR="00E85443">
        <w:t xml:space="preserve"> tax shelter transactions. </w:t>
      </w:r>
    </w:p>
    <w:p w:rsidR="00C118C5" w:rsidRDefault="00C118C5" w:rsidP="0045480E">
      <w:pPr>
        <w:ind w:firstLine="720"/>
        <w:rPr>
          <w:color w:val="000000"/>
        </w:rPr>
      </w:pPr>
    </w:p>
    <w:p w:rsidR="008E3598" w:rsidRDefault="00207C64" w:rsidP="00950C4D">
      <w:pPr>
        <w:pStyle w:val="BodyText"/>
        <w:spacing w:after="240"/>
        <w:jc w:val="left"/>
        <w:rPr>
          <w:lang w:val="en-CA"/>
        </w:rPr>
      </w:pPr>
      <w:r w:rsidRPr="00722E18">
        <w:t xml:space="preserve"> </w:t>
      </w:r>
      <w:r w:rsidR="00337A4D">
        <w:rPr>
          <w:lang w:val="en-CA"/>
        </w:rPr>
        <w:fldChar w:fldCharType="begin"/>
      </w:r>
      <w:r w:rsidR="00612078">
        <w:rPr>
          <w:lang w:val="en-CA"/>
        </w:rPr>
        <w:instrText xml:space="preserve"> SEQ CHAPTER \h \r 1</w:instrText>
      </w:r>
      <w:r w:rsidR="00337A4D">
        <w:rPr>
          <w:lang w:val="en-CA"/>
        </w:rPr>
        <w:fldChar w:fldCharType="end"/>
      </w:r>
      <w:r w:rsidR="00612078">
        <w:t xml:space="preserve">In January 2010, in </w:t>
      </w:r>
      <w:r w:rsidR="00612078">
        <w:rPr>
          <w:b/>
          <w:i/>
        </w:rPr>
        <w:t>United States v. Robert Coplan, et al.</w:t>
      </w:r>
      <w:r w:rsidR="00612078">
        <w:t xml:space="preserve"> (S.D. N.Y.), Coplan and Martin Nissenbaum were sentenced to 36 and 30 months in prison, respectively.  </w:t>
      </w:r>
      <w:r w:rsidR="00337A4D">
        <w:rPr>
          <w:lang w:val="en-CA"/>
        </w:rPr>
        <w:fldChar w:fldCharType="begin"/>
      </w:r>
      <w:r w:rsidR="00612078">
        <w:rPr>
          <w:lang w:val="en-CA"/>
        </w:rPr>
        <w:instrText xml:space="preserve"> SEQ CHAPTER \h \r 1</w:instrText>
      </w:r>
      <w:r w:rsidR="00337A4D">
        <w:rPr>
          <w:lang w:val="en-CA"/>
        </w:rPr>
        <w:fldChar w:fldCharType="end"/>
      </w:r>
      <w:r w:rsidR="00612078">
        <w:t xml:space="preserve">Richard Shapiro and Brian Vaughn were sentenced to 28 months and 20 months in prison, respectively.  </w:t>
      </w:r>
      <w:r w:rsidR="00C866A9">
        <w:t xml:space="preserve">In May 2009, Robert Coplan, Martin Nissenbaum, Richard Shapiro, and Brian Vaughn, each a current or former partner of the accounting firm Ernst &amp; Young (E&amp;Y), were found guilty following a ten-week jury trial of conspiracy, tax evasion and other charges relating to the design, marketing and implementation of tax shelters sold by E&amp;Y.  All four defendants, as members of E&amp;Y’s national individual tax shelter </w:t>
      </w:r>
      <w:r w:rsidR="009834BC">
        <w:t>group</w:t>
      </w:r>
      <w:r w:rsidR="00C866A9">
        <w:t xml:space="preserve"> led an effort to design and market tax shelter transactions used by wealthy individuals to eliminate, reduce</w:t>
      </w:r>
      <w:r w:rsidR="00C118C5">
        <w:t>,</w:t>
      </w:r>
      <w:r w:rsidR="00C866A9">
        <w:t xml:space="preserve"> or defer tax liabilities on annual income that generally exceeded $10 or $20 million.  Between 1999 and 2002, tax shelter transactions implemented by the defendants and their co-conspirators generated billions of dollars in non-economic or paper tax losses that were used to offset actual income or gain recognized by the firm’s clients.  The defendants and their co-conspirators, which included tax, accounting and financial industry professionals, and law firms, design</w:t>
      </w:r>
      <w:r w:rsidR="00C118C5">
        <w:t>ed</w:t>
      </w:r>
      <w:r w:rsidR="00C866A9">
        <w:t>, implement</w:t>
      </w:r>
      <w:r w:rsidR="00C118C5">
        <w:t>ed,</w:t>
      </w:r>
      <w:r w:rsidR="00C866A9">
        <w:t xml:space="preserve"> and defend</w:t>
      </w:r>
      <w:r w:rsidR="00C118C5">
        <w:t>ed</w:t>
      </w:r>
      <w:r w:rsidR="00C866A9">
        <w:t xml:space="preserve"> the transactions in ways intended to conceal the true facts and circumstances from the IRS.</w:t>
      </w:r>
    </w:p>
    <w:p w:rsidR="00771420" w:rsidRDefault="00337A4D" w:rsidP="008E3598">
      <w:pPr>
        <w:pStyle w:val="BodyText"/>
        <w:spacing w:after="240"/>
        <w:rPr>
          <w:lang w:val="en-CA"/>
        </w:rPr>
      </w:pPr>
      <w:r w:rsidRPr="008E3598">
        <w:rPr>
          <w:lang w:val="en-CA"/>
        </w:rPr>
        <w:fldChar w:fldCharType="begin"/>
      </w:r>
      <w:r w:rsidR="008E3598" w:rsidRPr="008E3598">
        <w:rPr>
          <w:lang w:val="en-CA"/>
        </w:rPr>
        <w:instrText xml:space="preserve"> SEQ CHAPTER \h \r 1</w:instrText>
      </w:r>
      <w:r w:rsidRPr="008E3598">
        <w:rPr>
          <w:lang w:val="en-CA"/>
        </w:rPr>
        <w:fldChar w:fldCharType="end"/>
      </w:r>
      <w:r w:rsidR="008E3598">
        <w:rPr>
          <w:lang w:val="en-CA"/>
        </w:rPr>
        <w:t xml:space="preserve">In January </w:t>
      </w:r>
      <w:r w:rsidR="008E3598" w:rsidRPr="008E3598">
        <w:rPr>
          <w:lang w:val="en-CA"/>
        </w:rPr>
        <w:t xml:space="preserve">2011, </w:t>
      </w:r>
      <w:r w:rsidR="008E3598">
        <w:rPr>
          <w:lang w:val="en-CA"/>
        </w:rPr>
        <w:t xml:space="preserve">in </w:t>
      </w:r>
      <w:r w:rsidR="008E3598" w:rsidRPr="008E3598">
        <w:rPr>
          <w:b/>
          <w:i/>
        </w:rPr>
        <w:t>United States v. John Ohle and William Bradley</w:t>
      </w:r>
      <w:r w:rsidR="008E3598">
        <w:t xml:space="preserve"> (S.D.N.Y.) </w:t>
      </w:r>
      <w:r w:rsidR="008E3598" w:rsidRPr="008E3598">
        <w:rPr>
          <w:lang w:val="en-CA"/>
        </w:rPr>
        <w:t xml:space="preserve">a federal court sentenced </w:t>
      </w:r>
      <w:r w:rsidR="008E3598" w:rsidRPr="008E3598">
        <w:t xml:space="preserve">John Ohle to five years in prison and sentenced William Bradley to one year in prison for conspiracy to defraud the IRS and to commit bank fraud and wire fraud.  On </w:t>
      </w:r>
      <w:r w:rsidR="008E3598" w:rsidRPr="008E3598">
        <w:rPr>
          <w:lang w:val="en-CA"/>
        </w:rPr>
        <w:t xml:space="preserve">June 2, 2010, a jury convicted the pair.  </w:t>
      </w:r>
      <w:r w:rsidR="008E3598" w:rsidRPr="008E3598">
        <w:t>The jury also found Ohle guilty of tax evasion.  Ohle, an attorney and CPA, was the former head of the Chicago office of a bank’s estate and tax planning group for high net worth individuals.  Ohle and others created and sold a fraudulent tax shelter called HOMER (short for “Hedged Options Monetiza</w:t>
      </w:r>
      <w:r w:rsidR="008E3598" w:rsidRPr="008E3598">
        <w:softHyphen/>
        <w:t>tion of Economic Remainder”).  The HOMER shelter gener</w:t>
      </w:r>
      <w:r w:rsidR="008E3598" w:rsidRPr="008E3598">
        <w:softHyphen/>
        <w:t>ated more than $400,000,000 in phony losses and evaded more than $100,000,000 in taxes.  Ohle, Bradley, and others fraud</w:t>
      </w:r>
      <w:r w:rsidR="008E3598" w:rsidRPr="008E3598">
        <w:softHyphen/>
        <w:t>ulen</w:t>
      </w:r>
      <w:r w:rsidR="008E3598" w:rsidRPr="008E3598">
        <w:softHyphen/>
        <w:t>tly obtained HOMER referral fees by submitting over $1. 2 million in false invoices that fraud</w:t>
      </w:r>
      <w:r w:rsidR="008E3598" w:rsidRPr="008E3598">
        <w:softHyphen/>
        <w:t xml:space="preserve">ulently claimed entitlement to referral fees in a number of HOMER transactions, when in fact they had nothing </w:t>
      </w:r>
      <w:r w:rsidR="008E3598">
        <w:t>to do with those transactions.</w:t>
      </w:r>
    </w:p>
    <w:p w:rsidR="00C079F4" w:rsidRDefault="00771420" w:rsidP="00950C4D">
      <w:pPr>
        <w:pStyle w:val="BodyText"/>
        <w:spacing w:after="240"/>
        <w:jc w:val="left"/>
      </w:pPr>
      <w:r>
        <w:rPr>
          <w:lang w:val="en-CA"/>
        </w:rPr>
        <w:t>Mortgage fraud is a growing part of the Tax Division’s criminal case load.  For example, in</w:t>
      </w:r>
      <w:r w:rsidR="0044376D">
        <w:rPr>
          <w:lang w:val="en-CA"/>
        </w:rPr>
        <w:t xml:space="preserve"> July 2010, in</w:t>
      </w:r>
      <w:r>
        <w:rPr>
          <w:lang w:val="en-CA"/>
        </w:rPr>
        <w:t xml:space="preserve"> </w:t>
      </w:r>
      <w:r>
        <w:rPr>
          <w:b/>
          <w:i/>
          <w:lang w:val="en-CA"/>
        </w:rPr>
        <w:t>United States v. Thomas E. Parenteau, et al</w:t>
      </w:r>
      <w:r>
        <w:rPr>
          <w:i/>
          <w:lang w:val="en-CA"/>
        </w:rPr>
        <w:t xml:space="preserve">. </w:t>
      </w:r>
      <w:r>
        <w:rPr>
          <w:lang w:val="en-CA"/>
        </w:rPr>
        <w:t xml:space="preserve">(S.D. Ohio), </w:t>
      </w:r>
      <w:r w:rsidR="0044376D">
        <w:rPr>
          <w:lang w:val="en-CA"/>
        </w:rPr>
        <w:t>a jury convicted Parenteau of 11 counts of conspiracy and money laundering related</w:t>
      </w:r>
      <w:r>
        <w:rPr>
          <w:lang w:val="en-CA"/>
        </w:rPr>
        <w:t xml:space="preserve"> to negotiating and participating in real estate deals in which </w:t>
      </w:r>
      <w:r w:rsidR="0044376D">
        <w:rPr>
          <w:lang w:val="en-CA"/>
        </w:rPr>
        <w:t>he and his co-defendants</w:t>
      </w:r>
      <w:r>
        <w:rPr>
          <w:lang w:val="en-CA"/>
        </w:rPr>
        <w:t xml:space="preserve"> sold luxury homes for a falsely inflated purchase price from the builder in exchange for an undisclosed or disguised kickback.  In many of the transactions, the buyers misrepresented their income and assets in order to obtain financing of the inflated purchase price.  </w:t>
      </w:r>
      <w:r>
        <w:t xml:space="preserve">This scheme was designed to defraud lending institutions out of millions of dollars.  </w:t>
      </w:r>
      <w:r w:rsidR="000643A1">
        <w:t>Parenteau is awaiting sentencing.</w:t>
      </w:r>
    </w:p>
    <w:p w:rsidR="00207C64" w:rsidRPr="00722E18" w:rsidRDefault="00207C64" w:rsidP="00207C64">
      <w:pPr>
        <w:pStyle w:val="BodyText"/>
        <w:spacing w:after="240"/>
        <w:jc w:val="left"/>
        <w:rPr>
          <w:b/>
        </w:rPr>
      </w:pPr>
      <w:r w:rsidRPr="00722E18">
        <w:rPr>
          <w:b/>
        </w:rPr>
        <w:t>Illegal Source Income</w:t>
      </w:r>
    </w:p>
    <w:p w:rsidR="00207C64" w:rsidRDefault="00207C64" w:rsidP="00207C64">
      <w:pPr>
        <w:pStyle w:val="BodyText"/>
        <w:jc w:val="left"/>
      </w:pPr>
      <w:r w:rsidRPr="00722E18">
        <w:t>Tax Division attorneys also play significant roles in investigating and prosecuting tax violations committed in the course of other criminal conduct.  Where criminals evade taxes on income from illegal sources, tax charges provide a valuable complement to charges for the underlying criminal activity.</w:t>
      </w:r>
    </w:p>
    <w:p w:rsidR="008A4404" w:rsidRPr="000F6F9C" w:rsidRDefault="00C07299" w:rsidP="00E03869">
      <w:pPr>
        <w:pStyle w:val="BodyText"/>
        <w:spacing w:after="240"/>
        <w:ind w:firstLine="0"/>
        <w:jc w:val="left"/>
      </w:pPr>
      <w:r>
        <w:tab/>
      </w:r>
      <w:r w:rsidR="008A4404">
        <w:t xml:space="preserve">In October 2009, in </w:t>
      </w:r>
      <w:r w:rsidR="008A4404">
        <w:rPr>
          <w:b/>
          <w:i/>
        </w:rPr>
        <w:t>United States v. Sims Lawson, Jr.</w:t>
      </w:r>
      <w:r w:rsidR="008A4404">
        <w:t xml:space="preserve"> (N.D. A</w:t>
      </w:r>
      <w:r w:rsidR="00C118C5">
        <w:t>la.</w:t>
      </w:r>
      <w:r w:rsidR="008A4404">
        <w:t xml:space="preserve">), Lawson was sentenced to 70 months in prison for three counts of filing false tax returns in connection </w:t>
      </w:r>
      <w:r w:rsidR="00C118C5">
        <w:t>his failure to report income</w:t>
      </w:r>
      <w:r w:rsidR="003A68FA">
        <w:t xml:space="preserve"> he </w:t>
      </w:r>
      <w:r w:rsidR="008A4404">
        <w:t xml:space="preserve">embezzled from an estate that he managed.  </w:t>
      </w:r>
      <w:r w:rsidR="000643A1">
        <w:t>I</w:t>
      </w:r>
      <w:r w:rsidR="00C9775D">
        <w:t xml:space="preserve">n August 2009, in </w:t>
      </w:r>
      <w:r w:rsidR="00C9775D">
        <w:rPr>
          <w:b/>
          <w:i/>
        </w:rPr>
        <w:t xml:space="preserve">United States v. Shirland Fitzgerald </w:t>
      </w:r>
      <w:r w:rsidR="00C9775D" w:rsidRPr="00C118C5">
        <w:t>(W.D. V</w:t>
      </w:r>
      <w:r w:rsidR="00C118C5">
        <w:t>a.</w:t>
      </w:r>
      <w:r w:rsidR="00C9775D" w:rsidRPr="00C118C5">
        <w:t>),</w:t>
      </w:r>
      <w:r w:rsidR="00C9775D">
        <w:t xml:space="preserve"> following a jury trial, </w:t>
      </w:r>
      <w:r w:rsidR="00C118C5">
        <w:t>Fitzgerald</w:t>
      </w:r>
      <w:r w:rsidR="003A68FA" w:rsidRPr="000F6F9C">
        <w:t xml:space="preserve">, who operated a car dealership, </w:t>
      </w:r>
      <w:r w:rsidR="00C9775D" w:rsidRPr="000F6F9C">
        <w:t>was sentenced to 140 months’ imprisonment and forfeited $1 million. Fitzgerald</w:t>
      </w:r>
      <w:r w:rsidR="003A68FA">
        <w:t xml:space="preserve"> </w:t>
      </w:r>
      <w:r w:rsidR="00C9775D" w:rsidRPr="000F6F9C">
        <w:t xml:space="preserve">had </w:t>
      </w:r>
      <w:r w:rsidR="003A68FA" w:rsidRPr="000F6F9C">
        <w:t>used a complex scheme involving nominee purchasers, fictitious receipts and bills of sale, and structuring of cash deposits</w:t>
      </w:r>
      <w:r w:rsidR="003A68FA">
        <w:t>,</w:t>
      </w:r>
      <w:r w:rsidR="00C9775D" w:rsidRPr="000F6F9C">
        <w:t xml:space="preserve"> to launder drug dealers</w:t>
      </w:r>
      <w:r w:rsidR="003A68FA">
        <w:t>’</w:t>
      </w:r>
      <w:r w:rsidR="00C9775D" w:rsidRPr="000F6F9C">
        <w:t xml:space="preserve"> drug proceeds through the sale of luxury automobiles.</w:t>
      </w:r>
    </w:p>
    <w:p w:rsidR="0052622F" w:rsidRPr="00E63849" w:rsidRDefault="00337A4D" w:rsidP="00E03869">
      <w:pPr>
        <w:spacing w:after="240"/>
        <w:ind w:firstLine="720"/>
        <w:rPr>
          <w:b/>
          <w:sz w:val="20"/>
          <w:szCs w:val="20"/>
        </w:rPr>
      </w:pPr>
      <w:r w:rsidRPr="00E63849">
        <w:rPr>
          <w:b/>
          <w:lang w:val="en-CA"/>
        </w:rPr>
        <w:fldChar w:fldCharType="begin"/>
      </w:r>
      <w:r w:rsidR="0052622F" w:rsidRPr="00E63849">
        <w:rPr>
          <w:b/>
          <w:lang w:val="en-CA"/>
        </w:rPr>
        <w:instrText xml:space="preserve"> SEQ CHAPTER \h \r 1</w:instrText>
      </w:r>
      <w:r w:rsidRPr="00E63849">
        <w:rPr>
          <w:b/>
          <w:lang w:val="en-CA"/>
        </w:rPr>
        <w:fldChar w:fldCharType="end"/>
      </w:r>
      <w:r w:rsidR="0052622F" w:rsidRPr="00E63849">
        <w:rPr>
          <w:b/>
        </w:rPr>
        <w:t>International Cooperation to Investigate Evasion of U.S. Taxes</w:t>
      </w:r>
    </w:p>
    <w:p w:rsidR="0052622F" w:rsidRDefault="0052622F" w:rsidP="0052622F">
      <w:pPr>
        <w:spacing w:before="99"/>
        <w:ind w:firstLine="720"/>
      </w:pPr>
      <w:r>
        <w:t>The Tax Division regularly provides advice and assistance to United States Attorneys</w:t>
      </w:r>
      <w:r w:rsidR="00273D87">
        <w:t xml:space="preserve"> </w:t>
      </w:r>
      <w:r>
        <w:t xml:space="preserve">and IRS agents seeking extradition, information, and cooperation from other countries for both civil and criminal investigations and cases.  Occasionally, the Tax Division provides assistance to attorneys from other agencies and offices of the United States government, including the Federal Bureau of Investigation, the Securities and Exchange Commission, and the Department of Homeland Security.  </w:t>
      </w:r>
      <w:r w:rsidR="00E83CD6">
        <w:t xml:space="preserve">The Tax Division is also working closely with IRS Criminal Investigation - International to develop a nationwide continuing professional education class for Special Agents concerning international tax matters. </w:t>
      </w:r>
    </w:p>
    <w:p w:rsidR="0052622F" w:rsidRDefault="0052622F" w:rsidP="0052622F">
      <w:pPr>
        <w:rPr>
          <w:sz w:val="20"/>
          <w:szCs w:val="20"/>
        </w:rPr>
      </w:pPr>
    </w:p>
    <w:p w:rsidR="0052622F" w:rsidRDefault="003A68FA" w:rsidP="0052622F">
      <w:pPr>
        <w:ind w:firstLine="720"/>
        <w:rPr>
          <w:sz w:val="20"/>
          <w:szCs w:val="20"/>
        </w:rPr>
      </w:pPr>
      <w:r>
        <w:t>In addition, the</w:t>
      </w:r>
      <w:r w:rsidR="0052622F">
        <w:t xml:space="preserve"> Tax Division works to increase cooperation with foreign nations, recognizing that reciprocal engagements ultimately further the Division’s mission.  For example, the Division has participated in consultations both with France and Canada in an effort to improve the exchange of information under our income tax treaties with those countries.  The Division periodically hosts visiting delegations </w:t>
      </w:r>
      <w:r w:rsidR="00E83CD6">
        <w:t xml:space="preserve">of tax officials </w:t>
      </w:r>
      <w:r w:rsidR="0052622F">
        <w:t>from countries interested in learning more about federal tax enforcement in the United States.  The Division continues to work to increase cooperation between the United States and countries in Latin America and the Caribbean by providing instructors for the International Law Enforcement Academy in El Salvador.</w:t>
      </w:r>
    </w:p>
    <w:p w:rsidR="0052622F" w:rsidRDefault="0052622F" w:rsidP="0052622F"/>
    <w:p w:rsidR="00207C64" w:rsidRDefault="00C07299" w:rsidP="00212345">
      <w:pPr>
        <w:pStyle w:val="BodyText"/>
        <w:spacing w:after="240"/>
        <w:ind w:firstLine="0"/>
        <w:jc w:val="left"/>
      </w:pPr>
      <w:r>
        <w:tab/>
      </w:r>
      <w:r w:rsidR="0052622F">
        <w:t>The Tax Division is an important partner in the U.S. negotiating team for Double Taxation Conventions, Tax Information Exchange Agreements, and other international agreements concerning tax information.  Recently, the Tax Division participated in the historic negotiations that led to the signing of Tax Information Exchange Agreements with the Principality of Liechtenstein and with Gibraltar.  The Tax Division is also involved in negotiations with the governments of Switzerland and Luxembourg concerning historic changes to the exchange of information provisions in our income tax treaties with those countries.  Other negotiations are ongoing.</w:t>
      </w:r>
      <w:r w:rsidR="00207C64" w:rsidRPr="00722E18">
        <w:t xml:space="preserve">  </w:t>
      </w:r>
    </w:p>
    <w:p w:rsidR="00207C64" w:rsidRPr="00722E18" w:rsidRDefault="00207C64" w:rsidP="00800A59">
      <w:pPr>
        <w:pStyle w:val="BodyText"/>
        <w:spacing w:after="240"/>
        <w:jc w:val="left"/>
        <w:rPr>
          <w:b/>
        </w:rPr>
      </w:pPr>
      <w:r w:rsidRPr="00722E18">
        <w:rPr>
          <w:b/>
        </w:rPr>
        <w:t>Civil/Criminal Coordination</w:t>
      </w:r>
    </w:p>
    <w:p w:rsidR="00232590" w:rsidRPr="00722E18" w:rsidRDefault="00232590" w:rsidP="00232590">
      <w:pPr>
        <w:pStyle w:val="BodyText"/>
        <w:spacing w:before="240" w:after="0"/>
        <w:jc w:val="left"/>
      </w:pPr>
      <w:r w:rsidRPr="00722E18">
        <w:t>Finally, as part of its effort to stop abusive tax scheme promotions, the Division uses parallel civil and criminal proceedings</w:t>
      </w:r>
      <w:r w:rsidR="003A68FA">
        <w:t>, to pursue both civil injunctions and criminal prosecutions against those who promote illegal schemes</w:t>
      </w:r>
      <w:r w:rsidRPr="00722E18">
        <w:t xml:space="preserve">.  </w:t>
      </w:r>
      <w:r w:rsidR="00BC4839">
        <w:t xml:space="preserve">To ensure that the IRS and Division attorneys make maximum use of all available legal remedies, the Division has created a </w:t>
      </w:r>
      <w:r w:rsidR="00BC4839" w:rsidRPr="00E44CA2">
        <w:t xml:space="preserve">Special Counsel for </w:t>
      </w:r>
      <w:r w:rsidR="00BC4839">
        <w:t>c</w:t>
      </w:r>
      <w:r w:rsidR="00BC4839" w:rsidRPr="00E44CA2">
        <w:t>ivil/</w:t>
      </w:r>
      <w:r w:rsidR="00BC4839">
        <w:t>c</w:t>
      </w:r>
      <w:r w:rsidR="00BC4839" w:rsidRPr="00E44CA2">
        <w:t>riminal coordination</w:t>
      </w:r>
      <w:r w:rsidR="00937B9F">
        <w:t>.  The Special Counsel</w:t>
      </w:r>
      <w:r w:rsidR="00BC4839" w:rsidRPr="00E44CA2">
        <w:t xml:space="preserve"> provide</w:t>
      </w:r>
      <w:r w:rsidR="00BC4839">
        <w:t xml:space="preserve">s </w:t>
      </w:r>
      <w:r w:rsidR="00BC4839" w:rsidRPr="00E44CA2">
        <w:t>agents and attorneys</w:t>
      </w:r>
      <w:r w:rsidR="00BC4839">
        <w:t xml:space="preserve"> with one-on-one</w:t>
      </w:r>
      <w:r w:rsidR="00BC4839" w:rsidRPr="00E44CA2">
        <w:t xml:space="preserve"> assistance in </w:t>
      </w:r>
      <w:r w:rsidR="00BC4839">
        <w:t xml:space="preserve">handling </w:t>
      </w:r>
      <w:r w:rsidR="00BC4839" w:rsidRPr="00E44CA2">
        <w:t xml:space="preserve">parallel </w:t>
      </w:r>
      <w:r w:rsidR="00BC4839">
        <w:t xml:space="preserve">civil and criminal </w:t>
      </w:r>
      <w:r w:rsidR="00BC4839" w:rsidRPr="00E44CA2">
        <w:t>proceedings</w:t>
      </w:r>
      <w:r w:rsidR="00BC4839">
        <w:t>,</w:t>
      </w:r>
      <w:r w:rsidR="00BC4839" w:rsidRPr="00E44CA2">
        <w:t xml:space="preserve"> </w:t>
      </w:r>
      <w:r w:rsidR="00937B9F">
        <w:t xml:space="preserve">leads an IRS-DOJ working group formed to promote better coordination of parallel proceedings, </w:t>
      </w:r>
      <w:r w:rsidR="00BC4839">
        <w:t>conducts training for IRS and Division attorneys</w:t>
      </w:r>
      <w:r w:rsidR="00937B9F">
        <w:t>,</w:t>
      </w:r>
      <w:r w:rsidR="00BC4839">
        <w:t xml:space="preserve"> and</w:t>
      </w:r>
      <w:r w:rsidR="00BC4839" w:rsidRPr="00E44CA2">
        <w:t xml:space="preserve"> participat</w:t>
      </w:r>
      <w:r w:rsidR="00BC4839">
        <w:t>es</w:t>
      </w:r>
      <w:r w:rsidR="00BC4839" w:rsidRPr="00E44CA2">
        <w:t xml:space="preserve"> in</w:t>
      </w:r>
      <w:r w:rsidR="00BC4839">
        <w:t xml:space="preserve"> various bar</w:t>
      </w:r>
      <w:r w:rsidR="00BC4839" w:rsidRPr="00E44CA2">
        <w:t xml:space="preserve"> panels.</w:t>
      </w:r>
      <w:r w:rsidR="00BC4839">
        <w:t xml:space="preserve">  The Division</w:t>
      </w:r>
      <w:r w:rsidR="00BC4839" w:rsidRPr="00E44CA2">
        <w:t xml:space="preserve"> </w:t>
      </w:r>
      <w:r w:rsidR="00BC4839">
        <w:t xml:space="preserve">also maintains an online resource library on criminal tax prosecutions and parallel proceedings.  </w:t>
      </w:r>
    </w:p>
    <w:p w:rsidR="00232590" w:rsidRDefault="00232590" w:rsidP="00232590"/>
    <w:p w:rsidR="00207C64" w:rsidRPr="00722E18" w:rsidRDefault="00207C64" w:rsidP="00207C64">
      <w:pPr>
        <w:pStyle w:val="BodyText"/>
        <w:spacing w:after="240"/>
        <w:jc w:val="left"/>
      </w:pPr>
    </w:p>
    <w:p w:rsidR="00574405" w:rsidRDefault="00574405" w:rsidP="006B2852">
      <w:pPr>
        <w:pStyle w:val="BodyText"/>
        <w:tabs>
          <w:tab w:val="left" w:pos="720"/>
          <w:tab w:val="left" w:pos="1800"/>
        </w:tabs>
        <w:ind w:firstLine="187"/>
        <w:jc w:val="left"/>
        <w:sectPr w:rsidR="00574405" w:rsidSect="00F762CC">
          <w:headerReference w:type="even" r:id="rId18"/>
          <w:headerReference w:type="default" r:id="rId19"/>
          <w:footerReference w:type="even" r:id="rId20"/>
          <w:footerReference w:type="default" r:id="rId21"/>
          <w:headerReference w:type="first" r:id="rId22"/>
          <w:footerReference w:type="first" r:id="rId23"/>
          <w:pgSz w:w="12240" w:h="15840" w:code="1"/>
          <w:pgMar w:top="864" w:right="1008" w:bottom="1440" w:left="1152" w:header="720" w:footer="720" w:gutter="0"/>
          <w:pgNumType w:fmt="numberInDash" w:start="1"/>
          <w:cols w:space="720"/>
          <w:titlePg/>
          <w:docGrid w:linePitch="360"/>
        </w:sectPr>
      </w:pPr>
      <w:bookmarkStart w:id="24" w:name="BM_1_"/>
      <w:bookmarkStart w:id="25" w:name="OLE_LINK52"/>
      <w:bookmarkStart w:id="26" w:name="OLE_LINK53"/>
      <w:bookmarkEnd w:id="24"/>
    </w:p>
    <w:bookmarkEnd w:id="25"/>
    <w:bookmarkEnd w:id="26"/>
    <w:p w:rsidR="00C40193" w:rsidRDefault="0020797A" w:rsidP="004B451E">
      <w:pPr>
        <w:pStyle w:val="Heading3"/>
        <w:numPr>
          <w:ilvl w:val="0"/>
          <w:numId w:val="0"/>
        </w:numPr>
      </w:pPr>
      <w:r>
        <w:rPr>
          <w:noProof/>
        </w:rPr>
        <w:drawing>
          <wp:inline distT="0" distB="0" distL="0" distR="0">
            <wp:extent cx="8963025" cy="53340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8963025" cy="5334000"/>
                    </a:xfrm>
                    <a:prstGeom prst="rect">
                      <a:avLst/>
                    </a:prstGeom>
                    <a:noFill/>
                    <a:ln w="9525">
                      <a:noFill/>
                      <a:miter lim="800000"/>
                      <a:headEnd/>
                      <a:tailEnd/>
                    </a:ln>
                  </pic:spPr>
                </pic:pic>
              </a:graphicData>
            </a:graphic>
          </wp:inline>
        </w:drawing>
      </w:r>
      <w:r w:rsidR="008E0937">
        <w:br w:type="page"/>
      </w:r>
      <w:bookmarkStart w:id="27" w:name="_Toc156366325"/>
      <w:r w:rsidR="00C40193">
        <w:t>PERFORMANCE MEASURE TABLE</w:t>
      </w:r>
    </w:p>
    <w:p w:rsidR="00AC51F9" w:rsidRDefault="00AC51F9" w:rsidP="00AC51F9"/>
    <w:p w:rsidR="00AC51F9" w:rsidRDefault="00AC51F9" w:rsidP="00AC51F9"/>
    <w:p w:rsidR="00AC51F9" w:rsidRDefault="00AC51F9" w:rsidP="00AC51F9"/>
    <w:p w:rsidR="00AC51F9" w:rsidRPr="00AC51F9" w:rsidRDefault="00AC51F9" w:rsidP="00AC51F9"/>
    <w:p w:rsidR="00CC4802" w:rsidRDefault="00CC4802" w:rsidP="00CC4802"/>
    <w:p w:rsidR="00CC4802" w:rsidRDefault="00CC4802" w:rsidP="00CC4802"/>
    <w:p w:rsidR="00066D60" w:rsidRPr="00C634C1" w:rsidRDefault="0020797A" w:rsidP="00CC4802">
      <w:pPr>
        <w:rPr>
          <w:noProof/>
        </w:rPr>
      </w:pPr>
      <w:r>
        <w:rPr>
          <w:noProof/>
        </w:rPr>
        <w:drawing>
          <wp:inline distT="0" distB="0" distL="0" distR="0">
            <wp:extent cx="8610600" cy="28289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8610600" cy="2828925"/>
                    </a:xfrm>
                    <a:prstGeom prst="rect">
                      <a:avLst/>
                    </a:prstGeom>
                    <a:noFill/>
                    <a:ln w="9525">
                      <a:noFill/>
                      <a:miter lim="800000"/>
                      <a:headEnd/>
                      <a:tailEnd/>
                    </a:ln>
                  </pic:spPr>
                </pic:pic>
              </a:graphicData>
            </a:graphic>
          </wp:inline>
        </w:drawing>
      </w:r>
    </w:p>
    <w:p w:rsidR="00CC4802" w:rsidRPr="00CC4802" w:rsidRDefault="00CC4802" w:rsidP="00CC4802"/>
    <w:bookmarkEnd w:id="27"/>
    <w:p w:rsidR="00671B76" w:rsidRDefault="00671B76" w:rsidP="004B451E">
      <w:pPr>
        <w:pStyle w:val="Heading3"/>
        <w:numPr>
          <w:ilvl w:val="0"/>
          <w:numId w:val="0"/>
        </w:numPr>
      </w:pPr>
    </w:p>
    <w:p w:rsidR="003729B5" w:rsidRDefault="003729B5" w:rsidP="006B2852">
      <w:pPr>
        <w:rPr>
          <w:rFonts w:ascii="Arial" w:hAnsi="Arial" w:cs="Arial"/>
          <w:sz w:val="16"/>
          <w:szCs w:val="16"/>
        </w:rPr>
      </w:pPr>
    </w:p>
    <w:p w:rsidR="008E0937" w:rsidRDefault="008E0937" w:rsidP="00C40193">
      <w:pPr>
        <w:pStyle w:val="BodyText"/>
        <w:ind w:firstLine="0"/>
        <w:jc w:val="left"/>
      </w:pPr>
    </w:p>
    <w:p w:rsidR="00C273CD" w:rsidRPr="00C40193" w:rsidRDefault="00C273CD" w:rsidP="006B2852">
      <w:pPr>
        <w:pStyle w:val="BodyText"/>
        <w:jc w:val="left"/>
        <w:rPr>
          <w:rFonts w:ascii="Arial" w:hAnsi="Arial" w:cs="Arial"/>
          <w:sz w:val="20"/>
          <w:szCs w:val="20"/>
        </w:rPr>
        <w:sectPr w:rsidR="00C273CD" w:rsidRPr="00C40193" w:rsidSect="00A361D9">
          <w:headerReference w:type="default" r:id="rId26"/>
          <w:footerReference w:type="default" r:id="rId27"/>
          <w:pgSz w:w="15840" w:h="12240" w:orient="landscape" w:code="1"/>
          <w:pgMar w:top="1152" w:right="864" w:bottom="1440" w:left="864" w:header="720" w:footer="720" w:gutter="0"/>
          <w:pgNumType w:fmt="numberInDash"/>
          <w:cols w:space="720"/>
          <w:titlePg/>
          <w:docGrid w:linePitch="360"/>
        </w:sectPr>
      </w:pPr>
    </w:p>
    <w:p w:rsidR="00823CD9" w:rsidRDefault="00823CD9" w:rsidP="006B2852">
      <w:pPr>
        <w:pStyle w:val="NormalIndent"/>
        <w:rPr>
          <w:b/>
          <w:bCs/>
        </w:rPr>
      </w:pPr>
      <w:r>
        <w:rPr>
          <w:b/>
          <w:bCs/>
        </w:rPr>
        <w:t xml:space="preserve">3.  </w:t>
      </w:r>
      <w:r w:rsidRPr="007A4CB8">
        <w:rPr>
          <w:b/>
          <w:bCs/>
        </w:rPr>
        <w:t>Performance, Resources, and Strategies</w:t>
      </w:r>
    </w:p>
    <w:p w:rsidR="001B1B92" w:rsidRDefault="001B1B92" w:rsidP="006B2852">
      <w:pPr>
        <w:pStyle w:val="NormalIndent"/>
        <w:rPr>
          <w:b/>
          <w:bCs/>
        </w:rPr>
      </w:pPr>
    </w:p>
    <w:p w:rsidR="001B1B92" w:rsidRDefault="001B1B92" w:rsidP="00C35F1A">
      <w:pPr>
        <w:ind w:firstLine="720"/>
      </w:pPr>
      <w:r w:rsidRPr="000A07EB">
        <w:t xml:space="preserve">The General Tax </w:t>
      </w:r>
      <w:r w:rsidR="00C94FCD" w:rsidRPr="000A07EB">
        <w:t xml:space="preserve">Matters </w:t>
      </w:r>
      <w:r w:rsidRPr="000A07EB">
        <w:t xml:space="preserve">Decision Unit contributes to the Department’s Strategic Goal </w:t>
      </w:r>
      <w:r w:rsidR="008109E2" w:rsidRPr="000A07EB">
        <w:t>2</w:t>
      </w:r>
      <w:r w:rsidRPr="000A07EB">
        <w:t xml:space="preserve">:  </w:t>
      </w:r>
      <w:r w:rsidR="00C94FCD" w:rsidRPr="000A07EB">
        <w:t xml:space="preserve">Prevent Crime, </w:t>
      </w:r>
      <w:r w:rsidRPr="000A07EB">
        <w:t>Enforce Federal Laws</w:t>
      </w:r>
      <w:r w:rsidR="00C94FCD" w:rsidRPr="000A07EB">
        <w:t>,</w:t>
      </w:r>
      <w:r w:rsidRPr="000A07EB">
        <w:t xml:space="preserve"> and Represent the Rights and Interests of the American People.  Within this Goal, the Decision Unit’s resources specifically address Strategic Objective 2.</w:t>
      </w:r>
      <w:r w:rsidR="00C94FCD" w:rsidRPr="000A07EB">
        <w:t>7</w:t>
      </w:r>
      <w:r w:rsidRPr="000A07EB">
        <w:t xml:space="preserve">:  </w:t>
      </w:r>
      <w:r w:rsidR="00C94FCD" w:rsidRPr="000A07EB">
        <w:t>Vigorously e</w:t>
      </w:r>
      <w:r w:rsidRPr="000A07EB">
        <w:t>nforce</w:t>
      </w:r>
      <w:r w:rsidR="00C94FCD" w:rsidRPr="000A07EB">
        <w:t xml:space="preserve"> and</w:t>
      </w:r>
      <w:r w:rsidRPr="000A07EB">
        <w:t xml:space="preserve"> </w:t>
      </w:r>
      <w:r w:rsidR="00C94FCD" w:rsidRPr="000A07EB">
        <w:t>r</w:t>
      </w:r>
      <w:r w:rsidRPr="000A07EB">
        <w:t xml:space="preserve">epresent the </w:t>
      </w:r>
      <w:r w:rsidR="00C94FCD" w:rsidRPr="000A07EB">
        <w:t>i</w:t>
      </w:r>
      <w:r w:rsidRPr="000A07EB">
        <w:t xml:space="preserve">nterests of the United States in </w:t>
      </w:r>
      <w:r w:rsidR="00C94FCD" w:rsidRPr="000A07EB">
        <w:t>a</w:t>
      </w:r>
      <w:r w:rsidRPr="000A07EB">
        <w:t xml:space="preserve">ll </w:t>
      </w:r>
      <w:r w:rsidR="00C94FCD" w:rsidRPr="000A07EB">
        <w:t>m</w:t>
      </w:r>
      <w:r w:rsidRPr="000A07EB">
        <w:t xml:space="preserve">atters </w:t>
      </w:r>
      <w:r w:rsidR="00C94FCD" w:rsidRPr="000A07EB">
        <w:t>over w</w:t>
      </w:r>
      <w:r w:rsidRPr="000A07EB">
        <w:t xml:space="preserve">hich the Department has </w:t>
      </w:r>
      <w:r w:rsidR="00C94FCD" w:rsidRPr="000A07EB">
        <w:t>j</w:t>
      </w:r>
      <w:r w:rsidRPr="000A07EB">
        <w:t>urisdiction.</w:t>
      </w:r>
    </w:p>
    <w:p w:rsidR="001B1B92" w:rsidRDefault="001B1B92" w:rsidP="001B1B92"/>
    <w:p w:rsidR="00C908DB" w:rsidRDefault="00337A4D" w:rsidP="006B2852">
      <w:pPr>
        <w:pStyle w:val="BodyText"/>
        <w:jc w:val="left"/>
      </w:pPr>
      <w:r>
        <w:rPr>
          <w:noProof/>
        </w:rPr>
        <w:pict>
          <v:shapetype id="_x0000_t202" coordsize="21600,21600" o:spt="202" path="m,l,21600r21600,l21600,xe">
            <v:stroke joinstyle="miter"/>
            <v:path gradientshapeok="t" o:connecttype="rect"/>
          </v:shapetype>
          <v:shape id="_x0000_s4486" type="#_x0000_t202" style="position:absolute;left:0;text-align:left;margin-left:0;margin-top:160.2pt;width:198pt;height:477pt;z-index:-251659776;mso-wrap-distance-bottom:7.2pt;mso-position-vertical-relative:page" wrapcoords="-78 -37 -78 21563 21678 21563 21678 -37 -78 -37" o:allowoverlap="f" strokecolor="#969696">
            <v:textbox style="mso-next-textbox:#_x0000_s4486">
              <w:txbxContent>
                <w:p w:rsidR="00B51CB5" w:rsidRPr="00C90A8E" w:rsidRDefault="00B51CB5" w:rsidP="00823CD9">
                  <w:pPr>
                    <w:ind w:right="233"/>
                    <w:jc w:val="center"/>
                    <w:rPr>
                      <w:b/>
                    </w:rPr>
                  </w:pPr>
                  <w:r w:rsidRPr="00C90A8E">
                    <w:rPr>
                      <w:b/>
                    </w:rPr>
                    <w:t>Cases Favorably Resolved (TAX)</w:t>
                  </w:r>
                </w:p>
                <w:p w:rsidR="00B51CB5" w:rsidRDefault="00B51CB5" w:rsidP="00823CD9">
                  <w:pPr>
                    <w:ind w:right="50"/>
                    <w:jc w:val="both"/>
                    <w:rPr>
                      <w:sz w:val="16"/>
                      <w:szCs w:val="16"/>
                    </w:rPr>
                  </w:pPr>
                </w:p>
                <w:p w:rsidR="00B51CB5" w:rsidRDefault="0020797A" w:rsidP="00823CD9">
                  <w:pPr>
                    <w:ind w:right="233"/>
                    <w:jc w:val="both"/>
                    <w:rPr>
                      <w:sz w:val="16"/>
                      <w:szCs w:val="16"/>
                    </w:rPr>
                  </w:pPr>
                  <w:r>
                    <w:rPr>
                      <w:noProof/>
                      <w:sz w:val="16"/>
                      <w:szCs w:val="16"/>
                    </w:rPr>
                    <w:drawing>
                      <wp:inline distT="0" distB="0" distL="0" distR="0">
                        <wp:extent cx="2428875" cy="19431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51CB5" w:rsidRDefault="00B51CB5" w:rsidP="00823CD9">
                  <w:pPr>
                    <w:ind w:right="233"/>
                    <w:jc w:val="both"/>
                    <w:rPr>
                      <w:sz w:val="16"/>
                      <w:szCs w:val="16"/>
                    </w:rPr>
                  </w:pPr>
                </w:p>
                <w:p w:rsidR="00B51CB5" w:rsidRDefault="00B51CB5" w:rsidP="00823CD9">
                  <w:pPr>
                    <w:ind w:right="233"/>
                    <w:jc w:val="both"/>
                    <w:rPr>
                      <w:sz w:val="16"/>
                    </w:rPr>
                  </w:pPr>
                  <w:r>
                    <w:rPr>
                      <w:b/>
                      <w:sz w:val="16"/>
                      <w:szCs w:val="16"/>
                    </w:rPr>
                    <w:t>Data Definition</w:t>
                  </w:r>
                  <w:r>
                    <w:rPr>
                      <w:sz w:val="16"/>
                      <w:szCs w:val="16"/>
                    </w:rPr>
                    <w:t xml:space="preserve">: Favorable civil resolutions are through a judgment or settlement.  Each civil decision is classified as a Government win, partial win, or taxpayer win; for this report, success occurs if the Government wins in total or in part.   Criminal cases are favorably resolved by </w:t>
                  </w:r>
                  <w:r>
                    <w:rPr>
                      <w:sz w:val="16"/>
                    </w:rPr>
                    <w:t xml:space="preserve">convictions which includes defendants convicted after trial or by plea agreement at the trial court level in prosecutions in which the Tax Division has provided litigation assistance at the request of a USAO.  </w:t>
                  </w:r>
                </w:p>
                <w:p w:rsidR="00B51CB5" w:rsidRDefault="00B51CB5" w:rsidP="00823CD9">
                  <w:pPr>
                    <w:ind w:right="233"/>
                    <w:jc w:val="both"/>
                    <w:rPr>
                      <w:b/>
                      <w:sz w:val="14"/>
                    </w:rPr>
                  </w:pPr>
                </w:p>
                <w:p w:rsidR="00B51CB5" w:rsidRDefault="00B51CB5" w:rsidP="00AA4AF5">
                  <w:pPr>
                    <w:ind w:right="233"/>
                    <w:jc w:val="both"/>
                    <w:rPr>
                      <w:sz w:val="16"/>
                    </w:rPr>
                  </w:pPr>
                  <w:r>
                    <w:rPr>
                      <w:b/>
                      <w:sz w:val="16"/>
                    </w:rPr>
                    <w:t xml:space="preserve">Data Collection and Storage: </w:t>
                  </w:r>
                  <w:r>
                    <w:rPr>
                      <w:sz w:val="16"/>
                    </w:rPr>
                    <w:t xml:space="preserve">The Tax Division utilizes a litigation case management system called TaxDoc. </w:t>
                  </w:r>
                </w:p>
                <w:p w:rsidR="00B51CB5" w:rsidRDefault="00B51CB5" w:rsidP="00AA4AF5">
                  <w:pPr>
                    <w:ind w:right="233"/>
                    <w:jc w:val="both"/>
                    <w:rPr>
                      <w:sz w:val="16"/>
                    </w:rPr>
                  </w:pPr>
                </w:p>
                <w:p w:rsidR="00B51CB5" w:rsidRDefault="00B51CB5" w:rsidP="00AA4AF5">
                  <w:pPr>
                    <w:ind w:right="233"/>
                    <w:jc w:val="both"/>
                    <w:rPr>
                      <w:rFonts w:cs="Arial"/>
                      <w:sz w:val="16"/>
                      <w:szCs w:val="16"/>
                    </w:rPr>
                  </w:pPr>
                  <w:r>
                    <w:rPr>
                      <w:b/>
                      <w:sz w:val="16"/>
                    </w:rPr>
                    <w:t xml:space="preserve">Data Validation and Verification: </w:t>
                  </w:r>
                  <w:r>
                    <w:rPr>
                      <w:rFonts w:cs="Arial"/>
                      <w:sz w:val="16"/>
                      <w:szCs w:val="16"/>
                    </w:rPr>
                    <w:t>The Tax Division has established procedures to collect and record reliable and relevant data in TaxDoc. Management uses the data to set goals, manage cases and project workload. The statistics in this table are provided on a monthly basis to Division management for their review.</w:t>
                  </w:r>
                </w:p>
                <w:p w:rsidR="00B51CB5" w:rsidRDefault="00B51CB5" w:rsidP="00AA4AF5">
                  <w:pPr>
                    <w:ind w:right="233"/>
                    <w:jc w:val="both"/>
                    <w:rPr>
                      <w:sz w:val="16"/>
                    </w:rPr>
                  </w:pPr>
                </w:p>
                <w:p w:rsidR="00B51CB5" w:rsidRPr="00764B9B" w:rsidRDefault="00B51CB5" w:rsidP="00AA4AF5">
                  <w:pPr>
                    <w:ind w:right="233"/>
                    <w:jc w:val="both"/>
                    <w:rPr>
                      <w:sz w:val="16"/>
                      <w:szCs w:val="16"/>
                    </w:rPr>
                  </w:pPr>
                  <w:r w:rsidRPr="008C34BD">
                    <w:rPr>
                      <w:b/>
                      <w:sz w:val="16"/>
                      <w:szCs w:val="16"/>
                    </w:rPr>
                    <w:t xml:space="preserve">Data Limitations:  </w:t>
                  </w:r>
                  <w:r w:rsidRPr="008C34BD">
                    <w:rPr>
                      <w:sz w:val="16"/>
                      <w:szCs w:val="16"/>
                    </w:rPr>
                    <w:t xml:space="preserve">The Tax Division lacks historical data on some activities that are now tracked in the case management system. </w:t>
                  </w:r>
                  <w:r>
                    <w:rPr>
                      <w:sz w:val="16"/>
                      <w:szCs w:val="16"/>
                    </w:rPr>
                    <w:t xml:space="preserve"> </w:t>
                  </w:r>
                  <w:r w:rsidRPr="008C34BD">
                    <w:rPr>
                      <w:sz w:val="16"/>
                      <w:szCs w:val="16"/>
                    </w:rPr>
                    <w:t xml:space="preserve">The information system may cause variations in the way some statistics are presented.  </w:t>
                  </w:r>
                </w:p>
                <w:p w:rsidR="00B51CB5" w:rsidRPr="00764B9B" w:rsidRDefault="00B51CB5" w:rsidP="00463349">
                  <w:pPr>
                    <w:ind w:right="233"/>
                    <w:jc w:val="both"/>
                    <w:rPr>
                      <w:szCs w:val="16"/>
                    </w:rPr>
                  </w:pPr>
                </w:p>
              </w:txbxContent>
            </v:textbox>
            <w10:wrap type="square" anchory="page"/>
          </v:shape>
        </w:pict>
      </w:r>
      <w:r w:rsidR="0004138E" w:rsidRPr="0004138E">
        <w:t>The goals of the Tax Division are to increase voluntary compliance, maintain public confidence in the integrity of the tax system, and promote the sound development of law</w:t>
      </w:r>
      <w:r w:rsidR="0004138E">
        <w:t>.</w:t>
      </w:r>
    </w:p>
    <w:p w:rsidR="005E6826" w:rsidRDefault="005E6826" w:rsidP="006B2852">
      <w:pPr>
        <w:pStyle w:val="BodyText"/>
        <w:jc w:val="left"/>
      </w:pPr>
    </w:p>
    <w:p w:rsidR="005E6826" w:rsidRDefault="005E6826" w:rsidP="00EF1E82">
      <w:pPr>
        <w:pStyle w:val="BodyText"/>
        <w:spacing w:after="240"/>
        <w:ind w:firstLine="0"/>
        <w:jc w:val="left"/>
        <w:rPr>
          <w:bCs/>
          <w:iCs/>
        </w:rPr>
      </w:pPr>
      <w:r w:rsidRPr="009314A5">
        <w:rPr>
          <w:b/>
          <w:i/>
        </w:rPr>
        <w:t>Performance Measure</w:t>
      </w:r>
      <w:r w:rsidR="0074187D">
        <w:rPr>
          <w:b/>
          <w:i/>
        </w:rPr>
        <w:t xml:space="preserve"> 1</w:t>
      </w:r>
      <w:r w:rsidRPr="009314A5">
        <w:rPr>
          <w:b/>
          <w:i/>
        </w:rPr>
        <w:t xml:space="preserve">:  </w:t>
      </w:r>
      <w:r w:rsidRPr="009314A5">
        <w:t xml:space="preserve">Percentage of </w:t>
      </w:r>
      <w:r w:rsidRPr="009314A5">
        <w:rPr>
          <w:bCs/>
          <w:iCs/>
        </w:rPr>
        <w:t>Cases Favorably Resolved</w:t>
      </w:r>
    </w:p>
    <w:p w:rsidR="00782A1D" w:rsidRDefault="00782A1D" w:rsidP="006B2852">
      <w:pPr>
        <w:pStyle w:val="BodyText"/>
        <w:ind w:firstLine="0"/>
        <w:jc w:val="left"/>
        <w:rPr>
          <w:bCs/>
          <w:iCs/>
        </w:rPr>
      </w:pPr>
      <w:r>
        <w:rPr>
          <w:b/>
          <w:bCs/>
          <w:i/>
          <w:iCs/>
        </w:rPr>
        <w:t>FY 20</w:t>
      </w:r>
      <w:r w:rsidR="00A865A3">
        <w:rPr>
          <w:b/>
          <w:bCs/>
          <w:i/>
          <w:iCs/>
        </w:rPr>
        <w:t>1</w:t>
      </w:r>
      <w:r w:rsidR="00D44DC3">
        <w:rPr>
          <w:b/>
          <w:bCs/>
          <w:i/>
          <w:iCs/>
        </w:rPr>
        <w:t>1</w:t>
      </w:r>
      <w:r>
        <w:rPr>
          <w:b/>
          <w:bCs/>
          <w:i/>
          <w:iCs/>
        </w:rPr>
        <w:t xml:space="preserve"> Target:  </w:t>
      </w:r>
      <w:r>
        <w:rPr>
          <w:bCs/>
          <w:iCs/>
        </w:rPr>
        <w:t>90% for Civil Trial and 95% for Criminal.</w:t>
      </w:r>
    </w:p>
    <w:p w:rsidR="005E6826" w:rsidRDefault="005E6826" w:rsidP="006B2852">
      <w:pPr>
        <w:pStyle w:val="BodyText"/>
        <w:ind w:firstLine="0"/>
        <w:jc w:val="left"/>
      </w:pPr>
      <w:r w:rsidRPr="00921AFE">
        <w:rPr>
          <w:rFonts w:cs="Arial"/>
          <w:b/>
          <w:i/>
        </w:rPr>
        <w:t>Discussion:</w:t>
      </w:r>
      <w:r w:rsidR="00921AFE">
        <w:rPr>
          <w:rFonts w:cs="Arial"/>
          <w:b/>
          <w:i/>
        </w:rPr>
        <w:t xml:space="preserve">  </w:t>
      </w:r>
      <w:r>
        <w:t>T</w:t>
      </w:r>
      <w:r w:rsidRPr="009314A5">
        <w:t xml:space="preserve">he </w:t>
      </w:r>
      <w:r>
        <w:t xml:space="preserve">outcome </w:t>
      </w:r>
      <w:r w:rsidRPr="009314A5">
        <w:t xml:space="preserve">measure for this decision unit is favorable resolution of all cases.   </w:t>
      </w:r>
      <w:r>
        <w:t>T</w:t>
      </w:r>
      <w:r w:rsidRPr="009314A5">
        <w:t>he Department of Justice</w:t>
      </w:r>
      <w:r>
        <w:t xml:space="preserve"> Strategic Plan sets </w:t>
      </w:r>
      <w:r w:rsidR="008009B4">
        <w:t xml:space="preserve">Department-wide </w:t>
      </w:r>
      <w:r w:rsidRPr="009314A5">
        <w:t xml:space="preserve">goals for the litigating components: </w:t>
      </w:r>
      <w:r w:rsidR="00BF6727">
        <w:t xml:space="preserve"> </w:t>
      </w:r>
      <w:r w:rsidRPr="009314A5">
        <w:t>90</w:t>
      </w:r>
      <w:r>
        <w:t>%</w:t>
      </w:r>
      <w:r w:rsidRPr="009314A5">
        <w:t xml:space="preserve"> of criminal cases favorably resolved Department-wide and 80</w:t>
      </w:r>
      <w:r>
        <w:t>%</w:t>
      </w:r>
      <w:r w:rsidRPr="009314A5">
        <w:t xml:space="preserve"> of civil cases favorably resolved</w:t>
      </w:r>
      <w:r w:rsidR="008009B4">
        <w:t xml:space="preserve">.  </w:t>
      </w:r>
      <w:r w:rsidRPr="009314A5">
        <w:t>As illustrated in the char</w:t>
      </w:r>
      <w:r>
        <w:t>t</w:t>
      </w:r>
      <w:r w:rsidRPr="009314A5">
        <w:t xml:space="preserve"> “Cases Favorably Resolved (TAX),” the Tax Division has exceeded the Department’s goal for the last several years.  In FY 20</w:t>
      </w:r>
      <w:r w:rsidR="00B61E05">
        <w:t>1</w:t>
      </w:r>
      <w:r w:rsidR="00D44DC3">
        <w:t>1</w:t>
      </w:r>
      <w:r w:rsidRPr="009314A5">
        <w:t xml:space="preserve">, </w:t>
      </w:r>
      <w:r>
        <w:t>favorable outcomes were achieved in 9</w:t>
      </w:r>
      <w:r w:rsidR="00B61E05">
        <w:t>7</w:t>
      </w:r>
      <w:r>
        <w:t xml:space="preserve">% of all civil and </w:t>
      </w:r>
      <w:r w:rsidR="0014291E">
        <w:t>97</w:t>
      </w:r>
      <w:r w:rsidRPr="009314A5">
        <w:t>% of all criminal cases</w:t>
      </w:r>
      <w:r>
        <w:t xml:space="preserve"> litigated by the Tax Division</w:t>
      </w:r>
      <w:r w:rsidRPr="009314A5">
        <w:t>, including non-tax cases.</w:t>
      </w:r>
      <w:r w:rsidR="00D44DC3">
        <w:t xml:space="preserve">  </w:t>
      </w:r>
    </w:p>
    <w:p w:rsidR="005E6826" w:rsidRDefault="005E6826" w:rsidP="006B2852">
      <w:pPr>
        <w:ind w:firstLine="720"/>
      </w:pPr>
    </w:p>
    <w:p w:rsidR="00823CD9" w:rsidRPr="009314A5" w:rsidRDefault="0004138E" w:rsidP="006B2852">
      <w:pPr>
        <w:ind w:firstLine="720"/>
      </w:pPr>
      <w:r w:rsidRPr="0004138E">
        <w:t xml:space="preserve"> </w:t>
      </w:r>
    </w:p>
    <w:p w:rsidR="005E6826" w:rsidRDefault="005E6826" w:rsidP="006B2852">
      <w:pPr>
        <w:ind w:firstLine="720"/>
      </w:pPr>
    </w:p>
    <w:p w:rsidR="005E6826" w:rsidRDefault="005E6826" w:rsidP="006B2852">
      <w:pPr>
        <w:ind w:firstLine="720"/>
      </w:pPr>
    </w:p>
    <w:p w:rsidR="005E6826" w:rsidRDefault="005E6826" w:rsidP="006B2852">
      <w:pPr>
        <w:ind w:firstLine="720"/>
      </w:pPr>
    </w:p>
    <w:p w:rsidR="005E6826" w:rsidRDefault="005E6826" w:rsidP="006B2852">
      <w:pPr>
        <w:ind w:firstLine="720"/>
      </w:pPr>
    </w:p>
    <w:p w:rsidR="005E6826" w:rsidRDefault="005E6826" w:rsidP="006B2852">
      <w:pPr>
        <w:ind w:firstLine="720"/>
      </w:pPr>
    </w:p>
    <w:p w:rsidR="005E6826" w:rsidRDefault="00337A4D" w:rsidP="00EF1E82">
      <w:pPr>
        <w:spacing w:after="240"/>
        <w:ind w:left="2160"/>
      </w:pPr>
      <w:r>
        <w:rPr>
          <w:noProof/>
        </w:rPr>
        <w:pict>
          <v:shape id="_x0000_s4489" type="#_x0000_t202" style="position:absolute;left:0;text-align:left;margin-left:-9pt;margin-top:52.2pt;width:220.85pt;height:658.4pt;z-index:-251658752;mso-wrap-distance-bottom:7.2pt;mso-position-vertical-relative:page" wrapcoords="-72 -28 -72 21572 21672 21572 21672 -28 -72 -28" o:allowoverlap="f" strokecolor="#969696">
            <v:textbox style="mso-next-textbox:#_x0000_s4489">
              <w:txbxContent>
                <w:p w:rsidR="00B51CB5" w:rsidRDefault="00B51CB5" w:rsidP="009C43BD">
                  <w:pPr>
                    <w:jc w:val="both"/>
                    <w:rPr>
                      <w:rFonts w:ascii="Arial" w:hAnsi="Arial" w:cs="Arial"/>
                      <w:b/>
                      <w:sz w:val="16"/>
                    </w:rPr>
                  </w:pPr>
                </w:p>
                <w:p w:rsidR="00B51CB5" w:rsidRPr="00874035" w:rsidRDefault="00B51CB5" w:rsidP="009C43BD">
                  <w:pPr>
                    <w:jc w:val="center"/>
                    <w:rPr>
                      <w:rFonts w:ascii="Arial" w:hAnsi="Arial" w:cs="Arial"/>
                      <w:b/>
                      <w:sz w:val="16"/>
                    </w:rPr>
                  </w:pPr>
                  <w:r w:rsidRPr="00874035">
                    <w:rPr>
                      <w:rFonts w:ascii="Arial" w:hAnsi="Arial" w:cs="Arial"/>
                      <w:b/>
                      <w:sz w:val="16"/>
                    </w:rPr>
                    <w:t>Investigation and Prosecution Referrals</w:t>
                  </w:r>
                  <w:r>
                    <w:rPr>
                      <w:rFonts w:ascii="Arial" w:hAnsi="Arial" w:cs="Arial"/>
                      <w:b/>
                      <w:sz w:val="16"/>
                    </w:rPr>
                    <w:t xml:space="preserve"> </w:t>
                  </w:r>
                  <w:r w:rsidRPr="00874035">
                    <w:rPr>
                      <w:rFonts w:ascii="Arial" w:hAnsi="Arial" w:cs="Arial"/>
                      <w:b/>
                      <w:sz w:val="16"/>
                    </w:rPr>
                    <w:t>Authorized</w:t>
                  </w:r>
                </w:p>
                <w:p w:rsidR="00B51CB5" w:rsidRDefault="00B51CB5" w:rsidP="009C43BD">
                  <w:pPr>
                    <w:jc w:val="both"/>
                    <w:rPr>
                      <w:b/>
                      <w:sz w:val="16"/>
                    </w:rPr>
                  </w:pPr>
                </w:p>
                <w:p w:rsidR="00B51CB5" w:rsidRDefault="00B51CB5" w:rsidP="009C43BD">
                  <w:pPr>
                    <w:jc w:val="both"/>
                    <w:rPr>
                      <w:b/>
                      <w:sz w:val="16"/>
                    </w:rPr>
                  </w:pPr>
                </w:p>
                <w:p w:rsidR="00B51CB5" w:rsidRDefault="00B51CB5" w:rsidP="009C43BD">
                  <w:pPr>
                    <w:jc w:val="both"/>
                    <w:rPr>
                      <w:b/>
                      <w:sz w:val="16"/>
                    </w:rPr>
                  </w:pPr>
                </w:p>
                <w:p w:rsidR="00B51CB5" w:rsidRDefault="00B51CB5" w:rsidP="009C43BD">
                  <w:pPr>
                    <w:jc w:val="both"/>
                    <w:rPr>
                      <w:b/>
                      <w:sz w:val="16"/>
                    </w:rPr>
                  </w:pPr>
                </w:p>
                <w:p w:rsidR="00B51CB5" w:rsidRDefault="00B51CB5" w:rsidP="009C43BD">
                  <w:pPr>
                    <w:jc w:val="both"/>
                    <w:rPr>
                      <w:b/>
                      <w:sz w:val="16"/>
                    </w:rPr>
                  </w:pPr>
                </w:p>
                <w:p w:rsidR="00B51CB5" w:rsidRDefault="00B51CB5" w:rsidP="009C43BD">
                  <w:pPr>
                    <w:jc w:val="both"/>
                    <w:rPr>
                      <w:b/>
                      <w:sz w:val="16"/>
                    </w:rPr>
                  </w:pPr>
                </w:p>
                <w:p w:rsidR="00B51CB5" w:rsidRDefault="00B51CB5" w:rsidP="009C43BD">
                  <w:pPr>
                    <w:jc w:val="both"/>
                    <w:rPr>
                      <w:b/>
                      <w:sz w:val="16"/>
                    </w:rPr>
                  </w:pPr>
                </w:p>
                <w:p w:rsidR="00B51CB5" w:rsidRDefault="00B51CB5" w:rsidP="009C43BD">
                  <w:pPr>
                    <w:jc w:val="both"/>
                    <w:rPr>
                      <w:b/>
                      <w:sz w:val="16"/>
                    </w:rPr>
                  </w:pPr>
                </w:p>
                <w:p w:rsidR="00B51CB5" w:rsidRDefault="00B51CB5" w:rsidP="009C43BD">
                  <w:pPr>
                    <w:jc w:val="both"/>
                    <w:rPr>
                      <w:sz w:val="16"/>
                    </w:rPr>
                  </w:pPr>
                  <w:r w:rsidRPr="0090182D">
                    <w:rPr>
                      <w:b/>
                      <w:sz w:val="16"/>
                    </w:rPr>
                    <w:object w:dxaOrig="45" w:dyaOrig="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5pt;height:117.5pt" o:ole="">
                        <v:imagedata r:id="rId29" o:title=""/>
                        <o:lock v:ext="edit" aspectratio="f"/>
                      </v:shape>
                      <o:OLEObject Type="Embed" ProgID="PowerPoint.Slide.8" ShapeID="_x0000_i1026" DrawAspect="Content" ObjectID="_1390219481" r:id="rId30"/>
                    </w:object>
                  </w:r>
                </w:p>
                <w:p w:rsidR="00B51CB5" w:rsidRDefault="0020797A" w:rsidP="009C43BD">
                  <w:pPr>
                    <w:jc w:val="both"/>
                    <w:rPr>
                      <w:b/>
                      <w:sz w:val="16"/>
                    </w:rPr>
                  </w:pPr>
                  <w:r>
                    <w:rPr>
                      <w:b/>
                      <w:noProof/>
                      <w:sz w:val="16"/>
                    </w:rPr>
                    <w:drawing>
                      <wp:inline distT="0" distB="0" distL="0" distR="0">
                        <wp:extent cx="2638425" cy="2524125"/>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51CB5" w:rsidRDefault="00B51CB5" w:rsidP="009C43BD">
                  <w:pPr>
                    <w:jc w:val="both"/>
                    <w:rPr>
                      <w:b/>
                      <w:sz w:val="16"/>
                    </w:rPr>
                  </w:pPr>
                </w:p>
                <w:p w:rsidR="00B51CB5" w:rsidRDefault="00B51CB5" w:rsidP="009C43BD">
                  <w:pPr>
                    <w:jc w:val="both"/>
                    <w:rPr>
                      <w:b/>
                      <w:sz w:val="16"/>
                    </w:rPr>
                  </w:pPr>
                </w:p>
                <w:p w:rsidR="00B51CB5" w:rsidRDefault="00B51CB5" w:rsidP="009C43BD">
                  <w:pPr>
                    <w:jc w:val="both"/>
                    <w:rPr>
                      <w:sz w:val="16"/>
                    </w:rPr>
                  </w:pPr>
                  <w:r>
                    <w:rPr>
                      <w:b/>
                      <w:sz w:val="16"/>
                    </w:rPr>
                    <w:t xml:space="preserve">Data Definition:  </w:t>
                  </w:r>
                  <w:r>
                    <w:rPr>
                      <w:sz w:val="16"/>
                      <w:u w:val="single"/>
                    </w:rPr>
                    <w:t>Investigation and Prosecution Referrals</w:t>
                  </w:r>
                  <w:r>
                    <w:rPr>
                      <w:sz w:val="16"/>
                    </w:rPr>
                    <w:t xml:space="preserve"> are grand jury investigation and criminal prosecution requests referred to the Tax Division for review to ensure that federal criminal tax enforcement standards are met.  The number of prosecution referrals authorized is a defendant count; investigations may involve one or more targets.  </w:t>
                  </w:r>
                  <w:r>
                    <w:rPr>
                      <w:sz w:val="16"/>
                      <w:u w:val="single"/>
                    </w:rPr>
                    <w:t>The Success Rate</w:t>
                  </w:r>
                  <w:r>
                    <w:rPr>
                      <w:sz w:val="16"/>
                    </w:rPr>
                    <w:t xml:space="preserve"> is convictions divided by the total of convictions and acquittals.  “Convictions” includes defendants convicted after trial or by plea agreement at the trial court level in criminal tax prosecutions in which the Tax Division has provided litigation assistance at the request of a USAO.  Defendants acquitted are defendants acquitted in the district court in cases in which the Tax Division provided litigation assistance.  </w:t>
                  </w:r>
                </w:p>
                <w:p w:rsidR="00B51CB5" w:rsidRDefault="00B51CB5" w:rsidP="009C43BD">
                  <w:pPr>
                    <w:jc w:val="both"/>
                    <w:rPr>
                      <w:sz w:val="16"/>
                    </w:rPr>
                  </w:pPr>
                </w:p>
                <w:p w:rsidR="00B51CB5" w:rsidRDefault="00B51CB5" w:rsidP="009C43BD">
                  <w:pPr>
                    <w:jc w:val="both"/>
                    <w:rPr>
                      <w:sz w:val="16"/>
                    </w:rPr>
                  </w:pPr>
                  <w:r>
                    <w:rPr>
                      <w:b/>
                      <w:sz w:val="16"/>
                    </w:rPr>
                    <w:t xml:space="preserve">Data Collection and Storage: </w:t>
                  </w:r>
                  <w:r>
                    <w:rPr>
                      <w:sz w:val="16"/>
                    </w:rPr>
                    <w:t>The Tax Division utilizes a litigation case management system known as TaxDoc. The Division periodically reviews the complement of indicators that are tracked.</w:t>
                  </w:r>
                </w:p>
                <w:p w:rsidR="00B51CB5" w:rsidRDefault="00B51CB5" w:rsidP="009C43BD">
                  <w:pPr>
                    <w:jc w:val="both"/>
                    <w:rPr>
                      <w:sz w:val="16"/>
                    </w:rPr>
                  </w:pPr>
                </w:p>
                <w:p w:rsidR="00B51CB5" w:rsidRDefault="00B51CB5" w:rsidP="009C43BD">
                  <w:pPr>
                    <w:jc w:val="both"/>
                    <w:rPr>
                      <w:sz w:val="16"/>
                    </w:rPr>
                  </w:pPr>
                  <w:r>
                    <w:rPr>
                      <w:b/>
                      <w:sz w:val="16"/>
                    </w:rPr>
                    <w:t xml:space="preserve">Data Validation and Verification: </w:t>
                  </w:r>
                  <w:r>
                    <w:rPr>
                      <w:sz w:val="16"/>
                    </w:rPr>
                    <w:t xml:space="preserve">There are procedures to collect and record pertinent data, enabling Section Chiefs to make projections and set goals based on complete, accurate and relevant statistics. </w:t>
                  </w:r>
                </w:p>
                <w:p w:rsidR="00B51CB5" w:rsidRDefault="00B51CB5" w:rsidP="009C43BD">
                  <w:pPr>
                    <w:jc w:val="both"/>
                    <w:rPr>
                      <w:sz w:val="16"/>
                    </w:rPr>
                  </w:pPr>
                </w:p>
                <w:p w:rsidR="00B51CB5" w:rsidRDefault="00B51CB5" w:rsidP="009C43BD">
                  <w:pPr>
                    <w:jc w:val="both"/>
                  </w:pPr>
                  <w:r>
                    <w:rPr>
                      <w:b/>
                      <w:sz w:val="16"/>
                    </w:rPr>
                    <w:t xml:space="preserve">Data Limitations: </w:t>
                  </w:r>
                  <w:r>
                    <w:rPr>
                      <w:sz w:val="16"/>
                    </w:rPr>
                    <w:t xml:space="preserve">The Tax Division lacks historical data on some activities that are tracked in the case management system.   </w:t>
                  </w:r>
                </w:p>
                <w:p w:rsidR="00B51CB5" w:rsidRDefault="00B51CB5" w:rsidP="00EB7670">
                  <w:pPr>
                    <w:jc w:val="both"/>
                  </w:pPr>
                </w:p>
              </w:txbxContent>
            </v:textbox>
            <w10:wrap type="square" anchory="page"/>
          </v:shape>
        </w:pict>
      </w:r>
      <w:r w:rsidR="00433B9E" w:rsidRPr="008F055B">
        <w:rPr>
          <w:b/>
          <w:i/>
        </w:rPr>
        <w:t>Performance</w:t>
      </w:r>
      <w:r w:rsidR="00433B9E" w:rsidRPr="00433B9E">
        <w:rPr>
          <w:b/>
          <w:i/>
        </w:rPr>
        <w:t xml:space="preserve"> Measure</w:t>
      </w:r>
      <w:r w:rsidR="0074187D">
        <w:rPr>
          <w:b/>
          <w:i/>
        </w:rPr>
        <w:t xml:space="preserve"> 2</w:t>
      </w:r>
      <w:r w:rsidR="00433B9E" w:rsidRPr="00433B9E">
        <w:rPr>
          <w:b/>
          <w:i/>
        </w:rPr>
        <w:t xml:space="preserve">: </w:t>
      </w:r>
      <w:r w:rsidR="00433B9E" w:rsidRPr="00433B9E">
        <w:t xml:space="preserve"> </w:t>
      </w:r>
      <w:r w:rsidR="00C5768D">
        <w:t xml:space="preserve">Criminal </w:t>
      </w:r>
      <w:r w:rsidR="005E6826" w:rsidRPr="00433B9E">
        <w:t>Investigation</w:t>
      </w:r>
      <w:r w:rsidR="00433B9E" w:rsidRPr="00433B9E">
        <w:t xml:space="preserve"> and Prosecution Referrals</w:t>
      </w:r>
      <w:r w:rsidR="005E6826" w:rsidRPr="00433B9E">
        <w:t xml:space="preserve"> </w:t>
      </w:r>
      <w:r w:rsidR="00C5768D">
        <w:t>Authorized</w:t>
      </w:r>
      <w:r w:rsidR="00472FD9">
        <w:t xml:space="preserve"> </w:t>
      </w:r>
    </w:p>
    <w:p w:rsidR="005E6826" w:rsidRDefault="0020797A" w:rsidP="00EF1E82">
      <w:pPr>
        <w:spacing w:after="120"/>
      </w:pPr>
      <w:r>
        <w:rPr>
          <w:noProof/>
        </w:rPr>
        <w:drawing>
          <wp:anchor distT="0" distB="0" distL="114300" distR="114300" simplePos="0" relativeHeight="251655680" behindDoc="0" locked="0" layoutInCell="1" allowOverlap="1">
            <wp:simplePos x="0" y="0"/>
            <wp:positionH relativeFrom="column">
              <wp:posOffset>-3038475</wp:posOffset>
            </wp:positionH>
            <wp:positionV relativeFrom="paragraph">
              <wp:posOffset>13970</wp:posOffset>
            </wp:positionV>
            <wp:extent cx="2946400" cy="2294255"/>
            <wp:effectExtent l="0" t="0" r="635" b="0"/>
            <wp:wrapNone/>
            <wp:docPr id="2426" name="Object 24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5E6826">
        <w:rPr>
          <w:b/>
          <w:i/>
        </w:rPr>
        <w:t>FY 20</w:t>
      </w:r>
      <w:r w:rsidR="00A865A3">
        <w:rPr>
          <w:b/>
          <w:i/>
        </w:rPr>
        <w:t>1</w:t>
      </w:r>
      <w:r w:rsidR="00AD7C78">
        <w:rPr>
          <w:b/>
          <w:i/>
        </w:rPr>
        <w:t>1</w:t>
      </w:r>
      <w:r w:rsidR="005E6826" w:rsidRPr="009314A5">
        <w:rPr>
          <w:b/>
          <w:i/>
        </w:rPr>
        <w:t xml:space="preserve"> </w:t>
      </w:r>
      <w:r w:rsidR="00782A1D">
        <w:rPr>
          <w:b/>
          <w:i/>
        </w:rPr>
        <w:t>Target</w:t>
      </w:r>
      <w:r w:rsidR="005E6826" w:rsidRPr="009314A5">
        <w:rPr>
          <w:b/>
          <w:i/>
        </w:rPr>
        <w:t xml:space="preserve">: </w:t>
      </w:r>
      <w:r w:rsidR="009E08D1">
        <w:t>N/A</w:t>
      </w:r>
      <w:r w:rsidR="005E6826" w:rsidRPr="009314A5">
        <w:t xml:space="preserve"> </w:t>
      </w:r>
    </w:p>
    <w:p w:rsidR="00D024EA" w:rsidRDefault="00D024EA" w:rsidP="00F22A47">
      <w:r>
        <w:rPr>
          <w:b/>
          <w:i/>
        </w:rPr>
        <w:t xml:space="preserve">Discussion: </w:t>
      </w:r>
      <w:r>
        <w:t xml:space="preserve">The Tax Division also measures the </w:t>
      </w:r>
    </w:p>
    <w:p w:rsidR="00F22A47" w:rsidRDefault="009834BC" w:rsidP="00F22A47">
      <w:pPr>
        <w:spacing w:after="120"/>
      </w:pPr>
      <w:r>
        <w:t>Number</w:t>
      </w:r>
      <w:r w:rsidR="00D024EA">
        <w:t xml:space="preserve"> of</w:t>
      </w:r>
      <w:r w:rsidR="00F22A47">
        <w:t xml:space="preserve"> authorized investigation and </w:t>
      </w:r>
      <w:r w:rsidR="00B82F1F">
        <w:t>prosecution</w:t>
      </w:r>
      <w:r w:rsidR="00F22A47">
        <w:t xml:space="preserve"> referrals in </w:t>
      </w:r>
      <w:r w:rsidR="00F22A47" w:rsidRPr="009314A5">
        <w:t xml:space="preserve">criminal cases. </w:t>
      </w:r>
      <w:r w:rsidR="00F22A47" w:rsidRPr="00E34DF4">
        <w:t>In FY 20</w:t>
      </w:r>
      <w:r w:rsidR="00350AFA">
        <w:t>1</w:t>
      </w:r>
      <w:r w:rsidR="00472FD9">
        <w:t>1</w:t>
      </w:r>
      <w:r w:rsidR="00F22A47" w:rsidRPr="00E34DF4">
        <w:t xml:space="preserve">, the Division authorized </w:t>
      </w:r>
      <w:r w:rsidR="00350AFA">
        <w:t>8</w:t>
      </w:r>
      <w:r w:rsidR="00472FD9">
        <w:t>50</w:t>
      </w:r>
      <w:r w:rsidR="00F22A47" w:rsidRPr="00E34DF4">
        <w:t xml:space="preserve"> grand jury investigations and 1,</w:t>
      </w:r>
      <w:r w:rsidR="00472FD9">
        <w:t>470</w:t>
      </w:r>
      <w:r w:rsidR="00F22A47" w:rsidRPr="00E34DF4">
        <w:t xml:space="preserve"> prosecutions of individual defendants</w:t>
      </w:r>
      <w:r w:rsidR="00472FD9">
        <w:t>.</w:t>
      </w:r>
      <w:r w:rsidR="00AD7C78">
        <w:t xml:space="preserve"> </w:t>
      </w:r>
      <w:r w:rsidR="00F22A47" w:rsidRPr="0003617B">
        <w:t>Changes in the number of authorized investigations are largely proportional to the number</w:t>
      </w:r>
      <w:r w:rsidR="00F22A47" w:rsidRPr="009314A5">
        <w:t xml:space="preserve"> of investigations initiated by the Internal Revenue Service.  </w:t>
      </w:r>
    </w:p>
    <w:p w:rsidR="00F22A47" w:rsidRDefault="00F22A47" w:rsidP="00F22A47">
      <w:pPr>
        <w:pStyle w:val="BodyText"/>
        <w:jc w:val="left"/>
      </w:pPr>
      <w:r w:rsidRPr="009314A5">
        <w:t>Consistent with Department guidance, there is no FY 20</w:t>
      </w:r>
      <w:r>
        <w:t>1</w:t>
      </w:r>
      <w:r w:rsidR="00AD7C78">
        <w:t>2</w:t>
      </w:r>
      <w:r w:rsidRPr="009314A5">
        <w:t xml:space="preserve"> or FY 20</w:t>
      </w:r>
      <w:r>
        <w:t>1</w:t>
      </w:r>
      <w:r w:rsidR="00AD7C78">
        <w:t>3</w:t>
      </w:r>
      <w:r w:rsidRPr="009314A5">
        <w:t xml:space="preserve"> performance goal for authorized investigations and prosecutions.  </w:t>
      </w:r>
      <w:r>
        <w:t xml:space="preserve"> </w:t>
      </w:r>
    </w:p>
    <w:p w:rsidR="00463BDA" w:rsidRDefault="00463BDA" w:rsidP="00F22A47">
      <w:pPr>
        <w:pStyle w:val="BodyText"/>
        <w:jc w:val="left"/>
      </w:pPr>
    </w:p>
    <w:p w:rsidR="00450CC2" w:rsidRDefault="00450CC2" w:rsidP="006B2852">
      <w:r>
        <w:rPr>
          <w:b/>
          <w:i/>
        </w:rPr>
        <w:t>Performance Measure</w:t>
      </w:r>
      <w:r w:rsidR="008B7E49">
        <w:rPr>
          <w:b/>
          <w:i/>
        </w:rPr>
        <w:t xml:space="preserve"> 3</w:t>
      </w:r>
      <w:r>
        <w:rPr>
          <w:b/>
          <w:i/>
        </w:rPr>
        <w:t xml:space="preserve">:  </w:t>
      </w:r>
      <w:r>
        <w:t>Success Rate for Criminal Tax Cases</w:t>
      </w:r>
    </w:p>
    <w:p w:rsidR="002F60A9" w:rsidRDefault="002F60A9" w:rsidP="006B2852"/>
    <w:p w:rsidR="002F60A9" w:rsidRPr="002F60A9" w:rsidRDefault="002F60A9" w:rsidP="002F60A9">
      <w:pPr>
        <w:spacing w:after="120"/>
      </w:pPr>
      <w:r>
        <w:rPr>
          <w:b/>
          <w:i/>
        </w:rPr>
        <w:t>FY 20</w:t>
      </w:r>
      <w:r w:rsidR="00A865A3">
        <w:rPr>
          <w:b/>
          <w:i/>
        </w:rPr>
        <w:t>1</w:t>
      </w:r>
      <w:r w:rsidR="00093167">
        <w:rPr>
          <w:b/>
          <w:i/>
        </w:rPr>
        <w:t>1</w:t>
      </w:r>
      <w:r>
        <w:rPr>
          <w:b/>
          <w:i/>
        </w:rPr>
        <w:t xml:space="preserve"> Target:  </w:t>
      </w:r>
      <w:r>
        <w:t>95%</w:t>
      </w:r>
    </w:p>
    <w:p w:rsidR="001307F6" w:rsidRDefault="00CA7E50" w:rsidP="006B2852">
      <w:pPr>
        <w:autoSpaceDE w:val="0"/>
        <w:autoSpaceDN w:val="0"/>
        <w:adjustRightInd w:val="0"/>
      </w:pPr>
      <w:r w:rsidRPr="00921AFE">
        <w:rPr>
          <w:b/>
          <w:i/>
        </w:rPr>
        <w:t>Discussion:</w:t>
      </w:r>
      <w:r w:rsidR="00921AFE">
        <w:rPr>
          <w:b/>
          <w:i/>
        </w:rPr>
        <w:t xml:space="preserve">  </w:t>
      </w:r>
      <w:r w:rsidR="005D17A9">
        <w:t>T</w:t>
      </w:r>
      <w:r w:rsidR="005D17A9" w:rsidRPr="009314A5">
        <w:t>he Tax Division</w:t>
      </w:r>
      <w:r w:rsidR="005D17A9">
        <w:t xml:space="preserve">’s Criminal Trial Sections </w:t>
      </w:r>
      <w:r w:rsidR="005D17A9" w:rsidRPr="009314A5">
        <w:t>assume responsibility for some cases at the request of the USAOs</w:t>
      </w:r>
      <w:r w:rsidR="008B7E49">
        <w:t>, generally</w:t>
      </w:r>
      <w:r w:rsidR="005D17A9" w:rsidRPr="009314A5">
        <w:t xml:space="preserve"> multi-</w:t>
      </w:r>
      <w:r w:rsidR="005D17A9" w:rsidRPr="00C737DA">
        <w:rPr>
          <w:b/>
          <w:sz w:val="16"/>
          <w:szCs w:val="16"/>
        </w:rPr>
        <w:t xml:space="preserve"> </w:t>
      </w:r>
      <w:r w:rsidR="005D17A9" w:rsidRPr="009314A5">
        <w:t>jurisdictional investigations and prosecutions, and cases with significant regional or national importance.</w:t>
      </w:r>
      <w:r w:rsidR="00CE4579">
        <w:t xml:space="preserve"> </w:t>
      </w:r>
      <w:r w:rsidR="005D17A9" w:rsidRPr="009314A5">
        <w:t xml:space="preserve">Although many </w:t>
      </w:r>
      <w:r w:rsidR="005D17A9">
        <w:t>of these</w:t>
      </w:r>
      <w:r w:rsidR="005D17A9" w:rsidRPr="009314A5">
        <w:t xml:space="preserve"> cases are difficult to prosecute, the Division has</w:t>
      </w:r>
      <w:r w:rsidR="00CE4579">
        <w:t xml:space="preserve"> </w:t>
      </w:r>
      <w:r w:rsidR="005D17A9" w:rsidRPr="009314A5">
        <w:t xml:space="preserve">maintained a conviction rate at or greater than 95%. </w:t>
      </w:r>
      <w:r w:rsidR="005D17A9">
        <w:t xml:space="preserve"> </w:t>
      </w:r>
      <w:r w:rsidR="005D17A9" w:rsidRPr="009314A5">
        <w:t>In FY 20</w:t>
      </w:r>
      <w:r w:rsidR="001E7982">
        <w:t>1</w:t>
      </w:r>
      <w:r w:rsidR="002F68C9">
        <w:t>1</w:t>
      </w:r>
      <w:r w:rsidR="005D17A9" w:rsidRPr="009314A5">
        <w:t>, the</w:t>
      </w:r>
      <w:r w:rsidR="00CE4579">
        <w:t xml:space="preserve"> </w:t>
      </w:r>
      <w:r w:rsidR="005D17A9" w:rsidRPr="009314A5">
        <w:t>Division</w:t>
      </w:r>
      <w:r w:rsidR="005D17A9">
        <w:t>’s</w:t>
      </w:r>
      <w:r w:rsidR="005D17A9" w:rsidRPr="009314A5">
        <w:t xml:space="preserve"> conviction rate was </w:t>
      </w:r>
      <w:r w:rsidR="002F68C9">
        <w:t>97</w:t>
      </w:r>
      <w:r w:rsidR="005D17A9" w:rsidRPr="009314A5">
        <w:t>% in tax cases.</w:t>
      </w:r>
      <w:r w:rsidR="00B6140A">
        <w:t xml:space="preserve">  </w:t>
      </w:r>
    </w:p>
    <w:p w:rsidR="008F3658" w:rsidRDefault="001307F6" w:rsidP="006B2852">
      <w:pPr>
        <w:autoSpaceDE w:val="0"/>
        <w:autoSpaceDN w:val="0"/>
        <w:adjustRightInd w:val="0"/>
      </w:pPr>
      <w:r>
        <w:tab/>
      </w:r>
      <w:r w:rsidR="00704EF7">
        <w:t xml:space="preserve"> </w:t>
      </w:r>
    </w:p>
    <w:p w:rsidR="00A865A3" w:rsidRDefault="00704EF7" w:rsidP="001307F6">
      <w:pPr>
        <w:autoSpaceDE w:val="0"/>
        <w:autoSpaceDN w:val="0"/>
        <w:adjustRightInd w:val="0"/>
      </w:pPr>
      <w:r>
        <w:t xml:space="preserve"> </w:t>
      </w:r>
      <w:r w:rsidR="001307F6">
        <w:tab/>
      </w:r>
      <w:r w:rsidR="005D17A9">
        <w:t>For</w:t>
      </w:r>
      <w:r w:rsidR="00C869CE">
        <w:t xml:space="preserve"> </w:t>
      </w:r>
      <w:r w:rsidR="005D17A9">
        <w:t>FY 20</w:t>
      </w:r>
      <w:r w:rsidR="00670E47">
        <w:t>1</w:t>
      </w:r>
      <w:r w:rsidR="00093167">
        <w:t>1</w:t>
      </w:r>
      <w:r w:rsidR="00444410">
        <w:t>, FY</w:t>
      </w:r>
      <w:r w:rsidR="00E34DF4">
        <w:t xml:space="preserve"> 201</w:t>
      </w:r>
      <w:r w:rsidR="00093167">
        <w:t>2</w:t>
      </w:r>
      <w:r w:rsidR="00E34DF4">
        <w:t>,</w:t>
      </w:r>
      <w:r w:rsidR="00A865A3">
        <w:t xml:space="preserve"> and FY 201</w:t>
      </w:r>
      <w:r w:rsidR="00093167">
        <w:t>3</w:t>
      </w:r>
      <w:r w:rsidR="00A865A3">
        <w:t>,</w:t>
      </w:r>
      <w:r w:rsidR="005D17A9">
        <w:t xml:space="preserve"> </w:t>
      </w:r>
      <w:r w:rsidR="005D17A9" w:rsidRPr="009314A5">
        <w:t xml:space="preserve">the Tax Division has established a </w:t>
      </w:r>
      <w:r w:rsidR="005D17A9">
        <w:t xml:space="preserve">conviction rate </w:t>
      </w:r>
      <w:r w:rsidR="005D17A9" w:rsidRPr="009314A5">
        <w:t>goal of 95%.  While the Tax Division is very proud of its</w:t>
      </w:r>
      <w:r w:rsidR="00AD5442">
        <w:t xml:space="preserve"> conviction rate,</w:t>
      </w:r>
      <w:r w:rsidR="005D17A9" w:rsidRPr="009314A5">
        <w:t xml:space="preserve"> </w:t>
      </w:r>
      <w:r w:rsidR="00A865A3" w:rsidRPr="009314A5">
        <w:t>the emphasis is on uniform and fair enforcement of the tax laws.</w:t>
      </w:r>
    </w:p>
    <w:p w:rsidR="005D17A9" w:rsidRDefault="005D17A9" w:rsidP="006B2852">
      <w:pPr>
        <w:ind w:right="-18" w:firstLine="720"/>
      </w:pPr>
    </w:p>
    <w:p w:rsidR="005D17A9" w:rsidRDefault="005D17A9" w:rsidP="006B2852">
      <w:pPr>
        <w:autoSpaceDE w:val="0"/>
        <w:autoSpaceDN w:val="0"/>
        <w:adjustRightInd w:val="0"/>
      </w:pPr>
    </w:p>
    <w:p w:rsidR="008B7E49" w:rsidRDefault="008B7E49" w:rsidP="006B2852">
      <w:pPr>
        <w:autoSpaceDE w:val="0"/>
        <w:autoSpaceDN w:val="0"/>
        <w:adjustRightInd w:val="0"/>
        <w:rPr>
          <w:b/>
        </w:rPr>
      </w:pPr>
    </w:p>
    <w:p w:rsidR="008B7E49" w:rsidRDefault="008B7E49" w:rsidP="006B2852">
      <w:pPr>
        <w:autoSpaceDE w:val="0"/>
        <w:autoSpaceDN w:val="0"/>
        <w:adjustRightInd w:val="0"/>
        <w:rPr>
          <w:b/>
        </w:rPr>
      </w:pPr>
    </w:p>
    <w:p w:rsidR="008B7E49" w:rsidRDefault="008B7E49" w:rsidP="006B2852">
      <w:pPr>
        <w:autoSpaceDE w:val="0"/>
        <w:autoSpaceDN w:val="0"/>
        <w:adjustRightInd w:val="0"/>
        <w:rPr>
          <w:b/>
        </w:rPr>
      </w:pPr>
    </w:p>
    <w:p w:rsidR="00DF3867" w:rsidRDefault="00DF3867" w:rsidP="006B2852">
      <w:pPr>
        <w:autoSpaceDE w:val="0"/>
        <w:autoSpaceDN w:val="0"/>
        <w:adjustRightInd w:val="0"/>
        <w:rPr>
          <w:b/>
          <w:i/>
        </w:rPr>
      </w:pPr>
    </w:p>
    <w:p w:rsidR="00DF3867" w:rsidRDefault="00DF3867" w:rsidP="006B2852">
      <w:pPr>
        <w:autoSpaceDE w:val="0"/>
        <w:autoSpaceDN w:val="0"/>
        <w:adjustRightInd w:val="0"/>
        <w:rPr>
          <w:b/>
          <w:i/>
        </w:rPr>
      </w:pPr>
    </w:p>
    <w:p w:rsidR="00DF3867" w:rsidRDefault="00DF3867" w:rsidP="006B2852">
      <w:pPr>
        <w:autoSpaceDE w:val="0"/>
        <w:autoSpaceDN w:val="0"/>
        <w:adjustRightInd w:val="0"/>
        <w:rPr>
          <w:b/>
          <w:i/>
        </w:rPr>
      </w:pPr>
    </w:p>
    <w:p w:rsidR="00DF3867" w:rsidRDefault="00DF3867" w:rsidP="006B2852">
      <w:pPr>
        <w:autoSpaceDE w:val="0"/>
        <w:autoSpaceDN w:val="0"/>
        <w:adjustRightInd w:val="0"/>
        <w:rPr>
          <w:b/>
          <w:i/>
        </w:rPr>
      </w:pPr>
    </w:p>
    <w:p w:rsidR="00DF3867" w:rsidRDefault="00DF3867" w:rsidP="006B2852">
      <w:pPr>
        <w:autoSpaceDE w:val="0"/>
        <w:autoSpaceDN w:val="0"/>
        <w:adjustRightInd w:val="0"/>
        <w:rPr>
          <w:b/>
          <w:i/>
        </w:rPr>
      </w:pPr>
    </w:p>
    <w:p w:rsidR="00450CC2" w:rsidRDefault="00337A4D" w:rsidP="006B2852">
      <w:pPr>
        <w:autoSpaceDE w:val="0"/>
        <w:autoSpaceDN w:val="0"/>
        <w:adjustRightInd w:val="0"/>
      </w:pPr>
      <w:r>
        <w:rPr>
          <w:noProof/>
        </w:rPr>
        <w:pict>
          <v:shape id="_x0000_s4499" type="#_x0000_t202" style="position:absolute;margin-left:324pt;margin-top:-6.6pt;width:204.1pt;height:675pt;z-index:251658752;mso-wrap-distance-bottom:7.2pt" strokecolor="#969696">
            <v:textbox style="mso-next-textbox:#_x0000_s4499">
              <w:txbxContent>
                <w:p w:rsidR="00B51CB5" w:rsidRDefault="00B51CB5" w:rsidP="004B1C26">
                  <w:pPr>
                    <w:jc w:val="center"/>
                    <w:rPr>
                      <w:b/>
                      <w:bCs/>
                      <w:sz w:val="20"/>
                      <w:szCs w:val="20"/>
                    </w:rPr>
                  </w:pPr>
                </w:p>
                <w:p w:rsidR="00B51CB5" w:rsidRDefault="00B51CB5" w:rsidP="004B1C26">
                  <w:pPr>
                    <w:jc w:val="center"/>
                    <w:rPr>
                      <w:b/>
                      <w:bCs/>
                      <w:sz w:val="20"/>
                      <w:szCs w:val="20"/>
                    </w:rPr>
                  </w:pPr>
                  <w:r w:rsidRPr="00F37379">
                    <w:rPr>
                      <w:b/>
                      <w:bCs/>
                      <w:sz w:val="20"/>
                      <w:szCs w:val="20"/>
                    </w:rPr>
                    <w:t>Civil Cases Successfully Litigated [TAX]</w:t>
                  </w:r>
                </w:p>
                <w:p w:rsidR="00B51CB5" w:rsidRPr="00F37379" w:rsidRDefault="00B51CB5" w:rsidP="004B1C26">
                  <w:pPr>
                    <w:rPr>
                      <w:sz w:val="20"/>
                      <w:szCs w:val="20"/>
                    </w:rPr>
                  </w:pPr>
                </w:p>
                <w:p w:rsidR="00B51CB5" w:rsidRDefault="0020797A" w:rsidP="004B1C26">
                  <w:pPr>
                    <w:jc w:val="both"/>
                    <w:rPr>
                      <w:b/>
                      <w:sz w:val="20"/>
                      <w:szCs w:val="20"/>
                    </w:rPr>
                  </w:pPr>
                  <w:r>
                    <w:rPr>
                      <w:noProof/>
                    </w:rPr>
                    <w:drawing>
                      <wp:inline distT="0" distB="0" distL="0" distR="0">
                        <wp:extent cx="2380890" cy="2208362"/>
                        <wp:effectExtent l="0" t="0" r="36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D5B8E" w:rsidRDefault="00DD5B8E" w:rsidP="004B1C26">
                  <w:pPr>
                    <w:jc w:val="both"/>
                    <w:rPr>
                      <w:b/>
                      <w:sz w:val="20"/>
                      <w:szCs w:val="20"/>
                    </w:rPr>
                  </w:pPr>
                </w:p>
                <w:p w:rsidR="00B51CB5" w:rsidRDefault="00B51CB5" w:rsidP="004B1C26">
                  <w:pPr>
                    <w:autoSpaceDE w:val="0"/>
                    <w:autoSpaceDN w:val="0"/>
                    <w:adjustRightInd w:val="0"/>
                    <w:jc w:val="center"/>
                    <w:rPr>
                      <w:b/>
                      <w:sz w:val="20"/>
                      <w:szCs w:val="20"/>
                    </w:rPr>
                  </w:pPr>
                  <w:r w:rsidRPr="00F37379">
                    <w:rPr>
                      <w:b/>
                      <w:sz w:val="20"/>
                      <w:szCs w:val="20"/>
                    </w:rPr>
                    <w:t>Tax Debts Collected and Dollars Retained</w:t>
                  </w:r>
                  <w:r>
                    <w:rPr>
                      <w:b/>
                      <w:sz w:val="20"/>
                      <w:szCs w:val="20"/>
                    </w:rPr>
                    <w:t xml:space="preserve"> </w:t>
                  </w:r>
                </w:p>
                <w:p w:rsidR="00B51CB5" w:rsidRPr="00F37379" w:rsidRDefault="00B51CB5" w:rsidP="004B1C26">
                  <w:pPr>
                    <w:autoSpaceDE w:val="0"/>
                    <w:autoSpaceDN w:val="0"/>
                    <w:adjustRightInd w:val="0"/>
                    <w:jc w:val="center"/>
                    <w:rPr>
                      <w:b/>
                      <w:sz w:val="20"/>
                      <w:szCs w:val="20"/>
                    </w:rPr>
                  </w:pPr>
                  <w:r>
                    <w:rPr>
                      <w:b/>
                      <w:sz w:val="20"/>
                      <w:szCs w:val="20"/>
                    </w:rPr>
                    <w:t>($s in Millions)</w:t>
                  </w:r>
                </w:p>
                <w:p w:rsidR="00B51CB5" w:rsidRDefault="00B51CB5" w:rsidP="004B1C26">
                  <w:pPr>
                    <w:autoSpaceDE w:val="0"/>
                    <w:autoSpaceDN w:val="0"/>
                    <w:adjustRightInd w:val="0"/>
                    <w:jc w:val="both"/>
                    <w:rPr>
                      <w:b/>
                      <w:sz w:val="16"/>
                    </w:rPr>
                  </w:pPr>
                </w:p>
                <w:p w:rsidR="00B51CB5" w:rsidRDefault="00361201" w:rsidP="004B1C26">
                  <w:pPr>
                    <w:autoSpaceDE w:val="0"/>
                    <w:autoSpaceDN w:val="0"/>
                    <w:adjustRightInd w:val="0"/>
                    <w:jc w:val="both"/>
                    <w:rPr>
                      <w:b/>
                      <w:sz w:val="16"/>
                    </w:rPr>
                  </w:pPr>
                  <w:r w:rsidRPr="00361201">
                    <w:rPr>
                      <w:b/>
                      <w:noProof/>
                      <w:sz w:val="16"/>
                    </w:rPr>
                    <w:drawing>
                      <wp:inline distT="0" distB="0" distL="0" distR="0">
                        <wp:extent cx="2361840" cy="2113472"/>
                        <wp:effectExtent l="19050" t="0" r="36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51CB5" w:rsidRPr="00D345CF" w:rsidRDefault="00B51CB5" w:rsidP="004B1C26">
                  <w:pPr>
                    <w:autoSpaceDE w:val="0"/>
                    <w:autoSpaceDN w:val="0"/>
                    <w:adjustRightInd w:val="0"/>
                    <w:jc w:val="both"/>
                    <w:rPr>
                      <w:sz w:val="16"/>
                      <w:szCs w:val="16"/>
                    </w:rPr>
                  </w:pPr>
                  <w:r w:rsidRPr="00D345CF">
                    <w:rPr>
                      <w:b/>
                      <w:sz w:val="16"/>
                      <w:szCs w:val="16"/>
                    </w:rPr>
                    <w:t>Data Definition</w:t>
                  </w:r>
                  <w:r w:rsidRPr="00D345CF">
                    <w:rPr>
                      <w:sz w:val="16"/>
                      <w:szCs w:val="16"/>
                    </w:rPr>
                    <w:t xml:space="preserve">: A </w:t>
                  </w:r>
                  <w:r w:rsidRPr="00D345CF">
                    <w:rPr>
                      <w:b/>
                      <w:sz w:val="16"/>
                      <w:szCs w:val="16"/>
                    </w:rPr>
                    <w:t>decision</w:t>
                  </w:r>
                  <w:r w:rsidRPr="00D345CF">
                    <w:rPr>
                      <w:sz w:val="16"/>
                      <w:szCs w:val="16"/>
                    </w:rPr>
                    <w:t xml:space="preserve"> is the resolution of a claim through judgment or other court order. Each decision is classified as a Government win, partial win, or taxpayer win; for this report, success occurs if the Government wins in whole or in part.  Appellate cases are classified as Taxpayer Appeals, Government Appeals, or Cross Appeals.  The number of Government or Cross Appeals is generally less than 10% of the number of taxpayer appeals.  </w:t>
                  </w:r>
                  <w:r w:rsidRPr="00D345CF">
                    <w:rPr>
                      <w:b/>
                      <w:sz w:val="16"/>
                      <w:szCs w:val="16"/>
                    </w:rPr>
                    <w:t>Tax Debts Collected</w:t>
                  </w:r>
                  <w:r w:rsidRPr="00D345CF">
                    <w:rPr>
                      <w:sz w:val="16"/>
                      <w:szCs w:val="16"/>
                    </w:rPr>
                    <w:t xml:space="preserve"> represents dollars collected on pending civil cases and outstanding judgments.  </w:t>
                  </w:r>
                  <w:r w:rsidRPr="00D345CF">
                    <w:rPr>
                      <w:b/>
                      <w:sz w:val="16"/>
                      <w:szCs w:val="16"/>
                    </w:rPr>
                    <w:t>Tax Dollars Retained</w:t>
                  </w:r>
                  <w:r w:rsidRPr="00D345CF">
                    <w:rPr>
                      <w:sz w:val="16"/>
                      <w:szCs w:val="16"/>
                    </w:rPr>
                    <w:t xml:space="preserve"> represents the difference between claim amount sought and received by opposing parties in refund suits closed during the period.</w:t>
                  </w:r>
                </w:p>
                <w:p w:rsidR="00B51CB5" w:rsidRPr="00D345CF" w:rsidRDefault="00B51CB5" w:rsidP="004B1C26">
                  <w:pPr>
                    <w:autoSpaceDE w:val="0"/>
                    <w:autoSpaceDN w:val="0"/>
                    <w:adjustRightInd w:val="0"/>
                    <w:jc w:val="both"/>
                    <w:rPr>
                      <w:b/>
                      <w:sz w:val="16"/>
                      <w:szCs w:val="16"/>
                    </w:rPr>
                  </w:pPr>
                </w:p>
                <w:p w:rsidR="00B51CB5" w:rsidRPr="00D345CF" w:rsidRDefault="00B51CB5" w:rsidP="004B1C26">
                  <w:pPr>
                    <w:jc w:val="both"/>
                    <w:rPr>
                      <w:sz w:val="16"/>
                      <w:szCs w:val="16"/>
                    </w:rPr>
                  </w:pPr>
                  <w:r w:rsidRPr="00D345CF">
                    <w:rPr>
                      <w:b/>
                      <w:sz w:val="16"/>
                      <w:szCs w:val="16"/>
                    </w:rPr>
                    <w:t xml:space="preserve">Data Collection and Storage: </w:t>
                  </w:r>
                  <w:r w:rsidRPr="00D345CF">
                    <w:rPr>
                      <w:sz w:val="16"/>
                      <w:szCs w:val="16"/>
                    </w:rPr>
                    <w:t xml:space="preserve">The Tax Division utilizes a case management system known as TaxDoc. </w:t>
                  </w:r>
                </w:p>
                <w:p w:rsidR="00B51CB5" w:rsidRPr="00D345CF" w:rsidRDefault="00B51CB5" w:rsidP="004B1C26">
                  <w:pPr>
                    <w:jc w:val="both"/>
                    <w:rPr>
                      <w:sz w:val="16"/>
                      <w:szCs w:val="16"/>
                    </w:rPr>
                  </w:pPr>
                </w:p>
                <w:p w:rsidR="00B51CB5" w:rsidRPr="00D345CF" w:rsidRDefault="00B51CB5" w:rsidP="004B1C26">
                  <w:pPr>
                    <w:autoSpaceDE w:val="0"/>
                    <w:autoSpaceDN w:val="0"/>
                    <w:adjustRightInd w:val="0"/>
                    <w:rPr>
                      <w:rFonts w:cs="Arial"/>
                      <w:sz w:val="16"/>
                      <w:szCs w:val="16"/>
                    </w:rPr>
                  </w:pPr>
                  <w:r w:rsidRPr="00D345CF">
                    <w:rPr>
                      <w:b/>
                      <w:sz w:val="16"/>
                      <w:szCs w:val="16"/>
                    </w:rPr>
                    <w:t xml:space="preserve">Data Validation and Verification: </w:t>
                  </w:r>
                  <w:r w:rsidRPr="00D345CF">
                    <w:rPr>
                      <w:sz w:val="16"/>
                      <w:szCs w:val="16"/>
                    </w:rPr>
                    <w:t>The Tax Division</w:t>
                  </w:r>
                  <w:r w:rsidRPr="00D345CF">
                    <w:rPr>
                      <w:rFonts w:cs="Arial"/>
                      <w:sz w:val="16"/>
                      <w:szCs w:val="16"/>
                    </w:rPr>
                    <w:t xml:space="preserve"> has established procedures to collect and record reliable and relevant data in TaxDoc. Management uses the data to set goals, manage cases and project workload. The statistics in this table are provided on a monthly basis to Division management for their review.</w:t>
                  </w:r>
                </w:p>
                <w:p w:rsidR="00B51CB5" w:rsidRPr="00D345CF" w:rsidRDefault="00B51CB5" w:rsidP="004B1C26">
                  <w:pPr>
                    <w:jc w:val="both"/>
                    <w:rPr>
                      <w:sz w:val="16"/>
                      <w:szCs w:val="16"/>
                    </w:rPr>
                  </w:pPr>
                </w:p>
                <w:p w:rsidR="00B51CB5" w:rsidRPr="00D345CF" w:rsidRDefault="00B51CB5" w:rsidP="004B1C26">
                  <w:pPr>
                    <w:rPr>
                      <w:sz w:val="16"/>
                      <w:szCs w:val="16"/>
                    </w:rPr>
                  </w:pPr>
                  <w:r w:rsidRPr="00D345CF">
                    <w:rPr>
                      <w:b/>
                      <w:sz w:val="16"/>
                      <w:szCs w:val="16"/>
                    </w:rPr>
                    <w:t xml:space="preserve">Data Limitations:  </w:t>
                  </w:r>
                  <w:r w:rsidRPr="00D345CF">
                    <w:rPr>
                      <w:rFonts w:cs="Arial"/>
                      <w:bCs/>
                      <w:iCs/>
                      <w:sz w:val="16"/>
                      <w:szCs w:val="16"/>
                    </w:rPr>
                    <w:t>The Tax Debts Collected and Dollars Retained indicator fluctuates in response to the type and stage of litigation resolved during the year</w:t>
                  </w:r>
                  <w:r>
                    <w:rPr>
                      <w:sz w:val="16"/>
                      <w:szCs w:val="16"/>
                    </w:rPr>
                    <w:t>.</w:t>
                  </w:r>
                </w:p>
              </w:txbxContent>
            </v:textbox>
            <w10:wrap type="square"/>
          </v:shape>
        </w:pict>
      </w:r>
      <w:r w:rsidR="00450CC2" w:rsidRPr="002B3DB9">
        <w:rPr>
          <w:b/>
          <w:i/>
        </w:rPr>
        <w:t>Performance Measure</w:t>
      </w:r>
      <w:r w:rsidR="008B7E49" w:rsidRPr="002B3DB9">
        <w:rPr>
          <w:b/>
          <w:i/>
        </w:rPr>
        <w:t xml:space="preserve"> 4</w:t>
      </w:r>
      <w:r w:rsidR="00450CC2" w:rsidRPr="002B3DB9">
        <w:rPr>
          <w:b/>
          <w:i/>
        </w:rPr>
        <w:t xml:space="preserve">:  </w:t>
      </w:r>
      <w:r w:rsidR="00450CC2" w:rsidRPr="002B3DB9">
        <w:t>Civil Cases Successfully Litigated</w:t>
      </w:r>
      <w:r w:rsidR="00474AE8">
        <w:t xml:space="preserve"> </w:t>
      </w:r>
    </w:p>
    <w:p w:rsidR="00450CC2" w:rsidRDefault="00450CC2" w:rsidP="006B2852">
      <w:pPr>
        <w:autoSpaceDE w:val="0"/>
        <w:autoSpaceDN w:val="0"/>
        <w:adjustRightInd w:val="0"/>
      </w:pPr>
    </w:p>
    <w:p w:rsidR="00450CC2" w:rsidRPr="002F60A9" w:rsidRDefault="00450CC2" w:rsidP="006B2852">
      <w:pPr>
        <w:ind w:right="-18"/>
      </w:pPr>
      <w:bookmarkStart w:id="28" w:name="OLE_LINK8"/>
      <w:bookmarkStart w:id="29" w:name="OLE_LINK9"/>
      <w:r w:rsidRPr="002F60A9">
        <w:rPr>
          <w:b/>
          <w:i/>
        </w:rPr>
        <w:t>FY 20</w:t>
      </w:r>
      <w:r w:rsidR="00A865A3">
        <w:rPr>
          <w:b/>
          <w:i/>
        </w:rPr>
        <w:t>1</w:t>
      </w:r>
      <w:r w:rsidR="00093167">
        <w:rPr>
          <w:b/>
          <w:i/>
        </w:rPr>
        <w:t>1</w:t>
      </w:r>
      <w:r w:rsidRPr="002F60A9">
        <w:rPr>
          <w:b/>
          <w:i/>
        </w:rPr>
        <w:t xml:space="preserve"> Target: </w:t>
      </w:r>
      <w:r w:rsidRPr="002F60A9">
        <w:t xml:space="preserve"> Trial Courts – 90% </w:t>
      </w:r>
    </w:p>
    <w:p w:rsidR="00450CC2" w:rsidRPr="002F60A9" w:rsidRDefault="00450CC2" w:rsidP="006B2852">
      <w:pPr>
        <w:ind w:right="-18"/>
      </w:pPr>
      <w:r w:rsidRPr="002F60A9">
        <w:t xml:space="preserve">                             Taxpayer Appeals – 85% </w:t>
      </w:r>
    </w:p>
    <w:p w:rsidR="00450CC2" w:rsidRDefault="00450CC2" w:rsidP="002F60A9">
      <w:pPr>
        <w:spacing w:after="120"/>
        <w:ind w:right="-14"/>
      </w:pPr>
      <w:r w:rsidRPr="002F60A9">
        <w:t xml:space="preserve">                            </w:t>
      </w:r>
      <w:r w:rsidR="00CA7E50" w:rsidRPr="002F60A9">
        <w:t xml:space="preserve"> </w:t>
      </w:r>
      <w:r w:rsidRPr="002F60A9">
        <w:t>Government and Cross Appeals – 60%</w:t>
      </w:r>
    </w:p>
    <w:bookmarkEnd w:id="28"/>
    <w:bookmarkEnd w:id="29"/>
    <w:p w:rsidR="003E2F52" w:rsidRDefault="003E2F52" w:rsidP="003E2F52">
      <w:pPr>
        <w:spacing w:after="120"/>
        <w:ind w:right="-14"/>
      </w:pPr>
    </w:p>
    <w:p w:rsidR="003E2F52" w:rsidRDefault="003E2F52" w:rsidP="007E3253">
      <w:pPr>
        <w:ind w:right="-18"/>
      </w:pPr>
      <w:r w:rsidRPr="00921AFE">
        <w:rPr>
          <w:b/>
          <w:i/>
        </w:rPr>
        <w:t>Discussion:</w:t>
      </w:r>
      <w:r>
        <w:t xml:space="preserve">  </w:t>
      </w:r>
      <w:r>
        <w:rPr>
          <w:b/>
          <w:i/>
        </w:rPr>
        <w:t xml:space="preserve"> </w:t>
      </w:r>
      <w:r w:rsidRPr="009314A5">
        <w:t>For civil cases, the Tax Division measures cases successfully litigated, in total or in part, by the resolution of a claim through judgment o</w:t>
      </w:r>
      <w:r>
        <w:t xml:space="preserve">r other court order.       </w:t>
      </w:r>
    </w:p>
    <w:p w:rsidR="003E2F52" w:rsidRDefault="003E2F52" w:rsidP="003E2F52">
      <w:pPr>
        <w:ind w:right="-18" w:firstLine="720"/>
        <w:rPr>
          <w:bCs/>
          <w:iCs/>
        </w:rPr>
      </w:pPr>
    </w:p>
    <w:p w:rsidR="00816E57" w:rsidRPr="00816E57" w:rsidRDefault="003E2F52" w:rsidP="007E3253">
      <w:pPr>
        <w:ind w:firstLine="720"/>
      </w:pPr>
      <w:r w:rsidRPr="00816E57">
        <w:rPr>
          <w:bCs/>
          <w:iCs/>
        </w:rPr>
        <w:t>We anticipate that maintaining this level of success will result in legal precedent that provides taxpayers, including individuals, businesses and industries, with guidance regarding their tax obligations; the collection of significant tax revenues; and the protection of the government against unfounded taxpayer claims.</w:t>
      </w:r>
      <w:r w:rsidR="00816E57" w:rsidRPr="00816E57">
        <w:rPr>
          <w:bCs/>
          <w:iCs/>
        </w:rPr>
        <w:t xml:space="preserve">  </w:t>
      </w:r>
      <w:r w:rsidR="00816E57" w:rsidRPr="00816E57">
        <w:t>Many of the government appeals (and cross-appeals) during the reporting period involve the same (or similar) issues, so that a loss in a single case affects the outcome of multiple appeals.</w:t>
      </w:r>
    </w:p>
    <w:p w:rsidR="00E96A30" w:rsidRDefault="00E96A30" w:rsidP="003E2F52">
      <w:pPr>
        <w:ind w:right="-18" w:firstLine="720"/>
        <w:rPr>
          <w:bCs/>
          <w:iCs/>
        </w:rPr>
      </w:pPr>
    </w:p>
    <w:p w:rsidR="00E96A30" w:rsidRDefault="004358ED" w:rsidP="003E2F52">
      <w:pPr>
        <w:ind w:right="-18" w:firstLine="720"/>
        <w:rPr>
          <w:bCs/>
          <w:iCs/>
        </w:rPr>
      </w:pPr>
      <w:r>
        <w:rPr>
          <w:bCs/>
          <w:iCs/>
        </w:rPr>
        <w:t xml:space="preserve">During </w:t>
      </w:r>
      <w:r w:rsidR="00093167">
        <w:rPr>
          <w:bCs/>
          <w:iCs/>
        </w:rPr>
        <w:t xml:space="preserve">the </w:t>
      </w:r>
      <w:r>
        <w:rPr>
          <w:bCs/>
          <w:iCs/>
        </w:rPr>
        <w:t>FY</w:t>
      </w:r>
      <w:r w:rsidR="00E96A30">
        <w:rPr>
          <w:bCs/>
          <w:iCs/>
        </w:rPr>
        <w:t xml:space="preserve"> 201</w:t>
      </w:r>
      <w:r w:rsidR="00093167">
        <w:rPr>
          <w:bCs/>
          <w:iCs/>
        </w:rPr>
        <w:t>1</w:t>
      </w:r>
      <w:r w:rsidR="00E96A30">
        <w:rPr>
          <w:bCs/>
          <w:iCs/>
        </w:rPr>
        <w:t>, the Division won the following percentages of cases decided:</w:t>
      </w:r>
    </w:p>
    <w:p w:rsidR="00E96A30" w:rsidRDefault="00E96A30" w:rsidP="003E2F52">
      <w:pPr>
        <w:ind w:right="-18" w:firstLine="720"/>
        <w:rPr>
          <w:bCs/>
          <w:iCs/>
        </w:rPr>
      </w:pPr>
    </w:p>
    <w:p w:rsidR="00E96A30" w:rsidRDefault="00E96A30" w:rsidP="003E2F52">
      <w:pPr>
        <w:ind w:right="-18" w:firstLine="720"/>
        <w:rPr>
          <w:bCs/>
          <w:iCs/>
        </w:rPr>
      </w:pPr>
      <w:r>
        <w:rPr>
          <w:bCs/>
          <w:iCs/>
        </w:rPr>
        <w:tab/>
        <w:t xml:space="preserve">Trial Courts </w:t>
      </w:r>
      <w:r w:rsidR="00A80A7F">
        <w:rPr>
          <w:bCs/>
          <w:iCs/>
        </w:rPr>
        <w:t>– 9</w:t>
      </w:r>
      <w:r w:rsidR="001E5912">
        <w:rPr>
          <w:bCs/>
          <w:iCs/>
        </w:rPr>
        <w:t>7</w:t>
      </w:r>
      <w:r w:rsidR="00A80A7F">
        <w:rPr>
          <w:bCs/>
          <w:iCs/>
        </w:rPr>
        <w:t>%</w:t>
      </w:r>
    </w:p>
    <w:p w:rsidR="00E96A30" w:rsidRDefault="00E96A30" w:rsidP="003E2F52">
      <w:pPr>
        <w:ind w:right="-18" w:firstLine="720"/>
        <w:rPr>
          <w:bCs/>
          <w:iCs/>
        </w:rPr>
      </w:pPr>
      <w:r>
        <w:rPr>
          <w:bCs/>
          <w:iCs/>
        </w:rPr>
        <w:tab/>
        <w:t xml:space="preserve">Taxpayer Appeals </w:t>
      </w:r>
      <w:r w:rsidR="00A80A7F">
        <w:rPr>
          <w:bCs/>
          <w:iCs/>
        </w:rPr>
        <w:t>–</w:t>
      </w:r>
      <w:r>
        <w:rPr>
          <w:bCs/>
          <w:iCs/>
        </w:rPr>
        <w:t xml:space="preserve"> </w:t>
      </w:r>
      <w:r w:rsidR="00093167">
        <w:rPr>
          <w:bCs/>
          <w:iCs/>
        </w:rPr>
        <w:t>9</w:t>
      </w:r>
      <w:r w:rsidR="00147736">
        <w:rPr>
          <w:bCs/>
          <w:iCs/>
        </w:rPr>
        <w:t>6</w:t>
      </w:r>
      <w:r w:rsidR="00A80A7F">
        <w:rPr>
          <w:bCs/>
          <w:iCs/>
        </w:rPr>
        <w:t>%</w:t>
      </w:r>
    </w:p>
    <w:p w:rsidR="00E96A30" w:rsidRDefault="00E96A30" w:rsidP="003E2F52">
      <w:pPr>
        <w:ind w:right="-18" w:firstLine="720"/>
        <w:rPr>
          <w:bCs/>
          <w:iCs/>
        </w:rPr>
      </w:pPr>
      <w:r>
        <w:rPr>
          <w:bCs/>
          <w:iCs/>
        </w:rPr>
        <w:tab/>
        <w:t xml:space="preserve">Government and Cross Appeals </w:t>
      </w:r>
      <w:r w:rsidR="00A80A7F">
        <w:rPr>
          <w:bCs/>
          <w:iCs/>
        </w:rPr>
        <w:t>–</w:t>
      </w:r>
      <w:r>
        <w:rPr>
          <w:bCs/>
          <w:iCs/>
        </w:rPr>
        <w:t xml:space="preserve"> </w:t>
      </w:r>
      <w:r w:rsidR="00147736">
        <w:rPr>
          <w:bCs/>
          <w:iCs/>
        </w:rPr>
        <w:t>59</w:t>
      </w:r>
      <w:r w:rsidR="00A80A7F">
        <w:rPr>
          <w:bCs/>
          <w:iCs/>
        </w:rPr>
        <w:t>%</w:t>
      </w:r>
    </w:p>
    <w:p w:rsidR="00816E57" w:rsidRDefault="00816E57" w:rsidP="003E2F52">
      <w:pPr>
        <w:ind w:right="-18" w:firstLine="720"/>
        <w:rPr>
          <w:bCs/>
          <w:iCs/>
        </w:rPr>
      </w:pPr>
    </w:p>
    <w:p w:rsidR="003E2F52" w:rsidRDefault="003E2F52" w:rsidP="003E2F52">
      <w:pPr>
        <w:ind w:right="-18" w:firstLine="720"/>
        <w:rPr>
          <w:bCs/>
          <w:iCs/>
        </w:rPr>
      </w:pPr>
    </w:p>
    <w:p w:rsidR="006F425E" w:rsidRPr="0003617B" w:rsidRDefault="006F425E" w:rsidP="006B2852">
      <w:pPr>
        <w:ind w:right="-18"/>
        <w:rPr>
          <w:bCs/>
          <w:iCs/>
        </w:rPr>
      </w:pPr>
      <w:r w:rsidRPr="0003617B">
        <w:rPr>
          <w:b/>
          <w:bCs/>
          <w:i/>
          <w:iCs/>
        </w:rPr>
        <w:t>Performance Measure</w:t>
      </w:r>
      <w:r w:rsidR="008B7E49" w:rsidRPr="0003617B">
        <w:rPr>
          <w:b/>
          <w:bCs/>
          <w:i/>
          <w:iCs/>
        </w:rPr>
        <w:t xml:space="preserve"> 5</w:t>
      </w:r>
      <w:r w:rsidRPr="0003617B">
        <w:rPr>
          <w:b/>
          <w:bCs/>
          <w:i/>
          <w:iCs/>
        </w:rPr>
        <w:t xml:space="preserve">:  </w:t>
      </w:r>
      <w:r w:rsidRPr="0003617B">
        <w:rPr>
          <w:bCs/>
          <w:iCs/>
        </w:rPr>
        <w:t xml:space="preserve">Tax Dollars Collected and Retained </w:t>
      </w:r>
    </w:p>
    <w:p w:rsidR="006F425E" w:rsidRPr="0003617B" w:rsidRDefault="006F425E" w:rsidP="006B2852">
      <w:pPr>
        <w:ind w:right="-18"/>
        <w:rPr>
          <w:b/>
          <w:bCs/>
          <w:i/>
          <w:iCs/>
        </w:rPr>
      </w:pPr>
    </w:p>
    <w:p w:rsidR="006F425E" w:rsidRDefault="006F425E" w:rsidP="003E2F52">
      <w:pPr>
        <w:spacing w:after="120"/>
        <w:ind w:right="-14"/>
        <w:rPr>
          <w:bCs/>
          <w:iCs/>
        </w:rPr>
      </w:pPr>
      <w:r w:rsidRPr="0003617B">
        <w:rPr>
          <w:b/>
          <w:bCs/>
          <w:i/>
          <w:iCs/>
        </w:rPr>
        <w:t>FY 20</w:t>
      </w:r>
      <w:r w:rsidR="00887F9C">
        <w:rPr>
          <w:b/>
          <w:bCs/>
          <w:i/>
          <w:iCs/>
        </w:rPr>
        <w:t>1</w:t>
      </w:r>
      <w:r w:rsidR="00142F54">
        <w:rPr>
          <w:b/>
          <w:bCs/>
          <w:i/>
          <w:iCs/>
        </w:rPr>
        <w:t>1</w:t>
      </w:r>
      <w:r w:rsidRPr="0003617B">
        <w:rPr>
          <w:b/>
          <w:bCs/>
          <w:i/>
          <w:iCs/>
        </w:rPr>
        <w:t xml:space="preserve"> </w:t>
      </w:r>
      <w:r w:rsidR="00CF364D" w:rsidRPr="0003617B">
        <w:rPr>
          <w:b/>
          <w:bCs/>
          <w:i/>
          <w:iCs/>
        </w:rPr>
        <w:t>Target</w:t>
      </w:r>
      <w:r w:rsidRPr="0003617B">
        <w:rPr>
          <w:b/>
          <w:bCs/>
          <w:i/>
          <w:iCs/>
        </w:rPr>
        <w:t xml:space="preserve">:  </w:t>
      </w:r>
      <w:r w:rsidR="009E08D1" w:rsidRPr="0003617B">
        <w:rPr>
          <w:bCs/>
          <w:iCs/>
        </w:rPr>
        <w:t>N/A</w:t>
      </w:r>
    </w:p>
    <w:p w:rsidR="006F425E" w:rsidRPr="0003617B" w:rsidRDefault="006F425E" w:rsidP="006B2852">
      <w:pPr>
        <w:ind w:right="-18"/>
        <w:rPr>
          <w:b/>
          <w:bCs/>
          <w:iCs/>
        </w:rPr>
      </w:pPr>
    </w:p>
    <w:p w:rsidR="005955D7" w:rsidRDefault="006F425E" w:rsidP="006B2852">
      <w:pPr>
        <w:rPr>
          <w:bCs/>
          <w:iCs/>
        </w:rPr>
      </w:pPr>
      <w:r w:rsidRPr="0003617B">
        <w:rPr>
          <w:b/>
          <w:bCs/>
          <w:i/>
          <w:iCs/>
        </w:rPr>
        <w:t xml:space="preserve">Discussion:  </w:t>
      </w:r>
      <w:r w:rsidR="00823CD9" w:rsidRPr="0003617B">
        <w:t>The Tax Division</w:t>
      </w:r>
      <w:r w:rsidR="00823CD9" w:rsidRPr="0003617B">
        <w:rPr>
          <w:bCs/>
          <w:iCs/>
        </w:rPr>
        <w:t xml:space="preserve"> collects substantial amounts for the federal government in affirmative litigation</w:t>
      </w:r>
      <w:r w:rsidR="008B7E49" w:rsidRPr="0003617B">
        <w:rPr>
          <w:bCs/>
          <w:iCs/>
        </w:rPr>
        <w:t>,</w:t>
      </w:r>
      <w:r w:rsidR="00823CD9" w:rsidRPr="0003617B">
        <w:rPr>
          <w:bCs/>
          <w:iCs/>
        </w:rPr>
        <w:t xml:space="preserve"> and retains even more substantial amounts in defensive tax refund and other litigation. For </w:t>
      </w:r>
      <w:r w:rsidR="00823CD9" w:rsidRPr="0003617B">
        <w:t>FY 20</w:t>
      </w:r>
      <w:r w:rsidR="00266B4C">
        <w:t>1</w:t>
      </w:r>
      <w:r w:rsidR="00C56852">
        <w:t>1</w:t>
      </w:r>
      <w:r w:rsidR="00823CD9" w:rsidRPr="0003617B">
        <w:t xml:space="preserve">, </w:t>
      </w:r>
      <w:r w:rsidR="00823CD9" w:rsidRPr="0003617B">
        <w:rPr>
          <w:bCs/>
          <w:iCs/>
        </w:rPr>
        <w:t>the Division collected $</w:t>
      </w:r>
      <w:r w:rsidR="00D2578C">
        <w:rPr>
          <w:bCs/>
          <w:iCs/>
        </w:rPr>
        <w:t>112</w:t>
      </w:r>
      <w:r w:rsidR="00823CD9" w:rsidRPr="0003617B">
        <w:t xml:space="preserve"> million and </w:t>
      </w:r>
      <w:r w:rsidR="00823CD9" w:rsidRPr="0003617B">
        <w:rPr>
          <w:bCs/>
          <w:iCs/>
        </w:rPr>
        <w:t>retained $</w:t>
      </w:r>
      <w:r w:rsidR="00D2578C">
        <w:rPr>
          <w:bCs/>
          <w:iCs/>
        </w:rPr>
        <w:t>440</w:t>
      </w:r>
      <w:r w:rsidR="00CD4480" w:rsidRPr="0003617B">
        <w:rPr>
          <w:bCs/>
          <w:iCs/>
        </w:rPr>
        <w:t xml:space="preserve"> </w:t>
      </w:r>
      <w:r w:rsidR="00823CD9" w:rsidRPr="0003617B">
        <w:t>million.</w:t>
      </w:r>
      <w:r w:rsidR="005E125E">
        <w:t xml:space="preserve">  </w:t>
      </w:r>
    </w:p>
    <w:p w:rsidR="004D4C2C" w:rsidRDefault="004D4C2C" w:rsidP="006B2852">
      <w:pPr>
        <w:rPr>
          <w:bCs/>
          <w:iCs/>
        </w:rPr>
      </w:pPr>
    </w:p>
    <w:p w:rsidR="003A7530" w:rsidRDefault="00823CD9" w:rsidP="006B2852">
      <w:pPr>
        <w:ind w:firstLine="720"/>
      </w:pPr>
      <w:r w:rsidRPr="009314A5">
        <w:t>In addition</w:t>
      </w:r>
      <w:r w:rsidR="005955D7">
        <w:t xml:space="preserve"> to this measurable impact</w:t>
      </w:r>
      <w:r w:rsidRPr="009314A5">
        <w:t xml:space="preserve">, </w:t>
      </w:r>
      <w:r w:rsidR="005955D7">
        <w:t>the Division’s</w:t>
      </w:r>
      <w:r w:rsidRPr="009314A5">
        <w:t xml:space="preserve"> litigation affects the revenue at issue in many cases being handled administratively by the IRS</w:t>
      </w:r>
      <w:r w:rsidR="001746D2">
        <w:t>, and determines tax liabilities of litigants for many tax years not in suit.</w:t>
      </w:r>
      <w:r w:rsidR="001746D2" w:rsidRPr="009314A5">
        <w:t xml:space="preserve">  </w:t>
      </w:r>
      <w:r w:rsidR="005955D7">
        <w:t xml:space="preserve">Its litigation successes also foster overall compliance with the tax laws. </w:t>
      </w:r>
      <w:r w:rsidRPr="009314A5">
        <w:t>This substantial financial impact is a consequence of the Division’s consistent and impartial</w:t>
      </w:r>
      <w:r w:rsidR="00A772E4">
        <w:t xml:space="preserve"> </w:t>
      </w:r>
      <w:r w:rsidRPr="009314A5">
        <w:t>enforcement of the tax laws.  The D</w:t>
      </w:r>
      <w:r w:rsidR="008B7E49">
        <w:t>ivision</w:t>
      </w:r>
      <w:r w:rsidRPr="009314A5">
        <w:t xml:space="preserve"> does not measure the</w:t>
      </w:r>
      <w:r w:rsidR="005955D7">
        <w:t>se indirect effects of its litigation.</w:t>
      </w:r>
      <w:r w:rsidRPr="009314A5">
        <w:t xml:space="preserve"> </w:t>
      </w:r>
    </w:p>
    <w:p w:rsidR="00AE2801" w:rsidRDefault="00AE2801" w:rsidP="006B28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sectPr w:rsidR="00AE2801" w:rsidSect="00C35F1A">
          <w:pgSz w:w="12240" w:h="15840" w:code="1"/>
          <w:pgMar w:top="864" w:right="990" w:bottom="864" w:left="1152" w:header="720" w:footer="720" w:gutter="0"/>
          <w:pgNumType w:fmt="numberInDash"/>
          <w:cols w:space="720"/>
          <w:titlePg/>
          <w:docGrid w:linePitch="360"/>
        </w:sectPr>
      </w:pPr>
    </w:p>
    <w:p w:rsidR="00823CD9" w:rsidRPr="00670008" w:rsidRDefault="00CA463D" w:rsidP="006B28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Pr>
          <w:rFonts w:cs="Arial"/>
          <w:b/>
          <w:szCs w:val="24"/>
        </w:rPr>
        <w:tab/>
      </w:r>
      <w:r w:rsidR="00331F84" w:rsidRPr="00670008">
        <w:rPr>
          <w:rFonts w:ascii="Times New Roman" w:hAnsi="Times New Roman"/>
          <w:b/>
          <w:szCs w:val="24"/>
        </w:rPr>
        <w:t>a. Strategies</w:t>
      </w:r>
      <w:r w:rsidR="00823CD9" w:rsidRPr="00670008">
        <w:rPr>
          <w:rFonts w:ascii="Times New Roman" w:hAnsi="Times New Roman"/>
          <w:b/>
          <w:szCs w:val="24"/>
        </w:rPr>
        <w:t xml:space="preserve"> to Achieve the FY 20</w:t>
      </w:r>
      <w:r w:rsidR="00D65F9D" w:rsidRPr="00670008">
        <w:rPr>
          <w:rFonts w:ascii="Times New Roman" w:hAnsi="Times New Roman"/>
          <w:b/>
          <w:szCs w:val="24"/>
        </w:rPr>
        <w:t>1</w:t>
      </w:r>
      <w:r w:rsidR="000F7277">
        <w:rPr>
          <w:rFonts w:ascii="Times New Roman" w:hAnsi="Times New Roman"/>
          <w:b/>
          <w:szCs w:val="24"/>
        </w:rPr>
        <w:t>3</w:t>
      </w:r>
      <w:r w:rsidR="004245B8" w:rsidRPr="00670008">
        <w:rPr>
          <w:rFonts w:ascii="Times New Roman" w:hAnsi="Times New Roman"/>
          <w:b/>
          <w:szCs w:val="24"/>
        </w:rPr>
        <w:t xml:space="preserve"> </w:t>
      </w:r>
      <w:r w:rsidR="00823CD9" w:rsidRPr="00670008">
        <w:rPr>
          <w:rFonts w:ascii="Times New Roman" w:hAnsi="Times New Roman"/>
          <w:b/>
          <w:szCs w:val="24"/>
        </w:rPr>
        <w:t>Goal</w:t>
      </w:r>
      <w:r w:rsidR="00EA3113" w:rsidRPr="00670008">
        <w:rPr>
          <w:rFonts w:ascii="Times New Roman" w:hAnsi="Times New Roman"/>
          <w:b/>
          <w:szCs w:val="24"/>
        </w:rPr>
        <w:t>s</w:t>
      </w:r>
      <w:r w:rsidR="00823CD9" w:rsidRPr="00670008">
        <w:rPr>
          <w:rFonts w:ascii="Times New Roman" w:hAnsi="Times New Roman"/>
          <w:b/>
          <w:szCs w:val="24"/>
        </w:rPr>
        <w:t>:</w:t>
      </w:r>
    </w:p>
    <w:p w:rsidR="00823CD9" w:rsidRPr="009314A5" w:rsidRDefault="00823CD9" w:rsidP="006B28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D77B14" w:rsidRPr="00E16D87" w:rsidRDefault="00823CD9" w:rsidP="005C5249">
      <w:pPr>
        <w:pStyle w:val="BodyText"/>
        <w:spacing w:after="240"/>
        <w:jc w:val="left"/>
      </w:pPr>
      <w:r w:rsidRPr="009314A5">
        <w:t xml:space="preserve">With </w:t>
      </w:r>
      <w:r w:rsidR="005312D7">
        <w:t xml:space="preserve">the </w:t>
      </w:r>
      <w:r w:rsidRPr="009314A5">
        <w:t>resources requested for FY 20</w:t>
      </w:r>
      <w:r w:rsidR="008D6582">
        <w:t>1</w:t>
      </w:r>
      <w:r w:rsidR="000F7277">
        <w:t>3</w:t>
      </w:r>
      <w:r w:rsidRPr="009314A5">
        <w:t>, the Division will concentrate on curtailing the activity of promoters, enablers</w:t>
      </w:r>
      <w:r w:rsidR="00D469B0">
        <w:t>,</w:t>
      </w:r>
      <w:r w:rsidRPr="009314A5">
        <w:t xml:space="preserve"> </w:t>
      </w:r>
      <w:r w:rsidR="008D6582">
        <w:t xml:space="preserve">tax defiers, </w:t>
      </w:r>
      <w:r w:rsidRPr="009314A5">
        <w:t>and tax professionals (including return preparers, accountants</w:t>
      </w:r>
      <w:r w:rsidR="00C908DB">
        <w:t>,</w:t>
      </w:r>
      <w:r w:rsidRPr="009314A5">
        <w:t xml:space="preserve"> and lawyers) who help others avoid taxes illegally</w:t>
      </w:r>
      <w:r w:rsidR="00CD3DE4">
        <w:t>.</w:t>
      </w:r>
      <w:r w:rsidR="00783E8A">
        <w:t xml:space="preserve">  </w:t>
      </w:r>
      <w:bookmarkStart w:id="30" w:name="OLE_LINK5"/>
      <w:bookmarkStart w:id="31" w:name="OLE_LINK6"/>
      <w:r w:rsidR="0038320C">
        <w:t xml:space="preserve">The Division’s long-standing coordinated approach to tax enforcement is a particularly effective component to the Administration’s goal to reduce the Tax Gap.  Because the Tax Division’s work already encompasses the elements of an effective tax enforcement program, the organization is well suited to expand existing programs with greater benefits in return.  </w:t>
      </w:r>
      <w:bookmarkEnd w:id="30"/>
      <w:bookmarkEnd w:id="31"/>
      <w:r w:rsidR="00D77B14" w:rsidRPr="000A07EB">
        <w:t>With the implementation of the</w:t>
      </w:r>
      <w:r w:rsidR="004317D1" w:rsidRPr="000A07EB">
        <w:t xml:space="preserve"> </w:t>
      </w:r>
      <w:r w:rsidR="00D77B14" w:rsidRPr="000A07EB">
        <w:t>strategies</w:t>
      </w:r>
      <w:r w:rsidR="004317D1" w:rsidRPr="000A07EB">
        <w:t xml:space="preserve"> discussed below</w:t>
      </w:r>
      <w:r w:rsidR="00D77B14" w:rsidRPr="000A07EB">
        <w:t>, the Tax Division will be well positioned to meet or exceed the Departmental outcome measure</w:t>
      </w:r>
      <w:r w:rsidR="00D469B0">
        <w:t>, “</w:t>
      </w:r>
      <w:r w:rsidR="00D77B14" w:rsidRPr="000A07EB">
        <w:t>Percentage of Cases Favorabl</w:t>
      </w:r>
      <w:r w:rsidR="0005444C" w:rsidRPr="000A07EB">
        <w:t>y</w:t>
      </w:r>
      <w:r w:rsidR="00D77B14" w:rsidRPr="000A07EB">
        <w:t xml:space="preserve"> Resolved</w:t>
      </w:r>
      <w:r w:rsidR="00CA7ACE">
        <w:t>.</w:t>
      </w:r>
      <w:r w:rsidR="00D469B0">
        <w:t>”</w:t>
      </w:r>
      <w:r w:rsidR="00414594">
        <w:t xml:space="preserve">  To grow and retain its experienced-attorney workforce, the Division will continue to promote in-house training, both formal and informal, and to foster a collegial and professional work culture in which attorneys are encouraged to assume responsibility for increasingly sophisticated litigation.</w:t>
      </w:r>
    </w:p>
    <w:p w:rsidR="00823CD9" w:rsidRPr="00D77B14" w:rsidRDefault="00823CD9" w:rsidP="00D77B14">
      <w:pPr>
        <w:rPr>
          <w:b/>
          <w:u w:val="single"/>
        </w:rPr>
      </w:pPr>
      <w:r w:rsidRPr="00D77B14">
        <w:rPr>
          <w:b/>
          <w:u w:val="single"/>
        </w:rPr>
        <w:t xml:space="preserve">Civil Litigation </w:t>
      </w:r>
    </w:p>
    <w:p w:rsidR="00D77B14" w:rsidRPr="00D77B14" w:rsidRDefault="00D77B14" w:rsidP="00D77B14"/>
    <w:p w:rsidR="00823CD9" w:rsidRPr="009314A5" w:rsidRDefault="00823CD9" w:rsidP="00B74AF4">
      <w:pPr>
        <w:pStyle w:val="BodyText"/>
        <w:spacing w:after="240"/>
        <w:jc w:val="left"/>
      </w:pPr>
      <w:r w:rsidRPr="009314A5">
        <w:t xml:space="preserve">The Tax Division’s primary civil strategy to </w:t>
      </w:r>
      <w:r w:rsidR="004005A1">
        <w:t xml:space="preserve">achieve its goals </w:t>
      </w:r>
      <w:r w:rsidRPr="009314A5">
        <w:t xml:space="preserve">is to litigate federal civil tax cases filed by and against taxpayers in the federal courts.  Through this litigation, the Division </w:t>
      </w:r>
      <w:r w:rsidR="00C908DB">
        <w:t xml:space="preserve">ensures </w:t>
      </w:r>
      <w:r w:rsidRPr="009314A5">
        <w:t xml:space="preserve">the tax laws are properly enforced, </w:t>
      </w:r>
      <w:r w:rsidR="00CD3DE4">
        <w:t xml:space="preserve">by </w:t>
      </w:r>
      <w:r w:rsidRPr="009314A5">
        <w:t xml:space="preserve">targeting particularly acute tax enforcement problems that threaten tax administration. </w:t>
      </w:r>
      <w:r w:rsidR="00B74AF4">
        <w:t xml:space="preserve"> In carrying out its mission</w:t>
      </w:r>
      <w:r w:rsidR="00B74AF4" w:rsidRPr="009314A5">
        <w:t xml:space="preserve">, the Tax Division conducts in each civil tax case an independent review of the IRS’s views and administrative determinations to </w:t>
      </w:r>
      <w:r w:rsidR="00B74AF4">
        <w:t xml:space="preserve">help </w:t>
      </w:r>
      <w:r w:rsidR="00B74AF4" w:rsidRPr="009314A5">
        <w:t xml:space="preserve">ensure that the Government’s position is consistent with applicable law and policy.  This independence, backed by a willingness to engage in aggressive litigation where appropriate, </w:t>
      </w:r>
      <w:r w:rsidR="00B74AF4">
        <w:t>promotes the effective</w:t>
      </w:r>
      <w:r w:rsidR="00B74AF4" w:rsidRPr="009314A5">
        <w:t xml:space="preserve"> collection of taxes owed, while also serving as a check against potential abuses in tax administration. </w:t>
      </w:r>
      <w:r w:rsidRPr="009314A5">
        <w:t xml:space="preserve"> </w:t>
      </w:r>
    </w:p>
    <w:p w:rsidR="00823CD9" w:rsidRPr="009314A5" w:rsidRDefault="00823CD9" w:rsidP="006B2852">
      <w:pPr>
        <w:pStyle w:val="BodyText"/>
        <w:jc w:val="left"/>
      </w:pPr>
      <w:r w:rsidRPr="009314A5">
        <w:t xml:space="preserve">The Tax Division </w:t>
      </w:r>
      <w:r>
        <w:t xml:space="preserve">defends the Federal Treasury against tax refund claims arising from </w:t>
      </w:r>
      <w:r w:rsidRPr="009314A5">
        <w:t>complex and abusive corporate and individual tax shelters</w:t>
      </w:r>
      <w:r>
        <w:t xml:space="preserve"> that are estimated to </w:t>
      </w:r>
      <w:r w:rsidRPr="009314A5">
        <w:t>cost the Treasury billion</w:t>
      </w:r>
      <w:r w:rsidR="00182100">
        <w:t>s</w:t>
      </w:r>
      <w:r w:rsidR="00F44861">
        <w:t xml:space="preserve"> of dollars</w:t>
      </w:r>
      <w:r>
        <w:t xml:space="preserve"> </w:t>
      </w:r>
      <w:r w:rsidRPr="009314A5">
        <w:t xml:space="preserve">annually.  </w:t>
      </w:r>
      <w:r w:rsidR="00182100">
        <w:t>Individual</w:t>
      </w:r>
      <w:r>
        <w:t xml:space="preserve"> cases</w:t>
      </w:r>
      <w:r w:rsidRPr="009314A5">
        <w:t xml:space="preserve"> </w:t>
      </w:r>
      <w:r w:rsidR="00182100">
        <w:t>frequently</w:t>
      </w:r>
      <w:r>
        <w:t xml:space="preserve"> </w:t>
      </w:r>
      <w:r w:rsidR="00A55FAC" w:rsidRPr="009314A5">
        <w:t>involve</w:t>
      </w:r>
      <w:r w:rsidRPr="009314A5">
        <w:t xml:space="preserve"> millions of dollars</w:t>
      </w:r>
      <w:r>
        <w:t xml:space="preserve">, and their outcomes affect </w:t>
      </w:r>
      <w:r w:rsidR="00182100">
        <w:t xml:space="preserve">many </w:t>
      </w:r>
      <w:r>
        <w:t xml:space="preserve">similarly situated taxpayers </w:t>
      </w:r>
      <w:r w:rsidR="00857B8A">
        <w:t xml:space="preserve">and </w:t>
      </w:r>
      <w:r>
        <w:t>issue</w:t>
      </w:r>
      <w:r w:rsidR="00857B8A">
        <w:t>s</w:t>
      </w:r>
      <w:r>
        <w:t xml:space="preserve">.  </w:t>
      </w:r>
      <w:r w:rsidRPr="009314A5">
        <w:t xml:space="preserve">  </w:t>
      </w:r>
    </w:p>
    <w:p w:rsidR="00823CD9" w:rsidRPr="009314A5" w:rsidRDefault="00823CD9" w:rsidP="006B2852">
      <w:pPr>
        <w:pStyle w:val="BodyText"/>
        <w:jc w:val="left"/>
      </w:pPr>
      <w:r w:rsidRPr="00643414">
        <w:t xml:space="preserve">The IRS received significant additional funding for enforcement efforts in FY </w:t>
      </w:r>
      <w:r w:rsidR="003E1C86" w:rsidRPr="00643414">
        <w:t>200</w:t>
      </w:r>
      <w:r w:rsidR="00F44861">
        <w:t>9</w:t>
      </w:r>
      <w:r w:rsidR="00643414" w:rsidRPr="00643414">
        <w:t xml:space="preserve"> and    FY 20</w:t>
      </w:r>
      <w:r w:rsidR="00F44861">
        <w:t>10</w:t>
      </w:r>
      <w:r w:rsidR="003E1C86" w:rsidRPr="00643414">
        <w:t>,</w:t>
      </w:r>
      <w:r w:rsidRPr="00643414">
        <w:t xml:space="preserve"> a large portion of which is dedicated to </w:t>
      </w:r>
      <w:r w:rsidR="00643414" w:rsidRPr="00643414">
        <w:t>the IRS strategic plan goal, “Enhance Enforcement of the Tax Law</w:t>
      </w:r>
      <w:r w:rsidR="0007002C">
        <w:t>.</w:t>
      </w:r>
      <w:r w:rsidR="00643414" w:rsidRPr="00643414">
        <w:t>”</w:t>
      </w:r>
      <w:r w:rsidRPr="00643414">
        <w:t xml:space="preserve">  In addition to stepping up audits and investigations, the IRS is increasing its use of “settlement initiatives,” under which the IRS publicly states the terms to which it would agree to resolve disputes concerning the taxes (and penalties and interest) owing as a result of specific abusive transactions.  Tax Division litigation directly supports the effectiveness of IRS settlement initiatives.  Its summons enforcement litigation has required shelter promoters to turn over customer lists and transaction documents, permitting the IRS to identify shelter participants who otherwise might evade detection.  </w:t>
      </w:r>
      <w:r w:rsidR="000960FC">
        <w:t xml:space="preserve">The civil John Doe summons enforcement proceeding against the Swiss bank UBS was a major factor in the successful IRS voluntary disclosure initiative, discussed earlier.  </w:t>
      </w:r>
      <w:r w:rsidRPr="00643414">
        <w:t>In addition, the Division’s litigation challenging the merits of abusive tax shelters allows the IRS to assert the credible threat that shelter participants will lose</w:t>
      </w:r>
      <w:r w:rsidRPr="009314A5">
        <w:t xml:space="preserve"> in court, </w:t>
      </w:r>
      <w:r w:rsidR="001746D2">
        <w:t>thereby encouraging settlement</w:t>
      </w:r>
      <w:r w:rsidR="000960FC">
        <w:t xml:space="preserve"> on terms favorable to the Government</w:t>
      </w:r>
      <w:r w:rsidRPr="009314A5">
        <w:t xml:space="preserve">.  </w:t>
      </w:r>
    </w:p>
    <w:p w:rsidR="00823CD9" w:rsidRPr="009314A5" w:rsidRDefault="00823CD9" w:rsidP="006B2852">
      <w:pPr>
        <w:pStyle w:val="BodyText"/>
        <w:jc w:val="left"/>
      </w:pPr>
      <w:r w:rsidRPr="009314A5">
        <w:t xml:space="preserve">The Division also has renewed efforts to target fraudulent tax schemes and those who create and promote them.  The Division has obtained numerous injunctions against promoters of </w:t>
      </w:r>
      <w:r w:rsidR="001746D2">
        <w:t>these</w:t>
      </w:r>
      <w:r w:rsidRPr="009314A5">
        <w:t xml:space="preserve"> schemes and has obtained enforcement of IRS administrative summonses seeking information and documents about the schemes, their promoters and participants.  During the last several years, the Division sued to enjoin dozens of tax-scheme promoters</w:t>
      </w:r>
      <w:r w:rsidR="009D39AA">
        <w:t xml:space="preserve"> </w:t>
      </w:r>
      <w:r w:rsidR="000B4F36">
        <w:t>–</w:t>
      </w:r>
      <w:r w:rsidR="009D39AA">
        <w:t xml:space="preserve"> w</w:t>
      </w:r>
      <w:r w:rsidRPr="009314A5">
        <w:t>ho cost the Treasury billions of dollars each year by pushing bogus tax advice (</w:t>
      </w:r>
      <w:r w:rsidRPr="009314A5">
        <w:rPr>
          <w:i/>
        </w:rPr>
        <w:t>e.g.</w:t>
      </w:r>
      <w:r w:rsidRPr="009314A5">
        <w:t xml:space="preserve">, tax credits for slavery reparations; claims that income earned within </w:t>
      </w:r>
      <w:r>
        <w:t xml:space="preserve">the </w:t>
      </w:r>
      <w:r w:rsidRPr="009314A5">
        <w:t xml:space="preserve">United States </w:t>
      </w:r>
      <w:r>
        <w:t xml:space="preserve">was </w:t>
      </w:r>
      <w:r w:rsidRPr="009314A5">
        <w:t xml:space="preserve">not subject to federal taxation) over the </w:t>
      </w:r>
      <w:r w:rsidR="0083720E">
        <w:t>i</w:t>
      </w:r>
      <w:r w:rsidRPr="009314A5">
        <w:t>nternet and in the media</w:t>
      </w:r>
      <w:r w:rsidR="000B4F36">
        <w:t xml:space="preserve"> – </w:t>
      </w:r>
      <w:r w:rsidRPr="009314A5">
        <w:t xml:space="preserve">and has obtained court orders shutting down several multimillion-dollar schemes.  </w:t>
      </w:r>
    </w:p>
    <w:p w:rsidR="00B74AF4" w:rsidRDefault="00823CD9" w:rsidP="00B74AF4">
      <w:pPr>
        <w:pStyle w:val="BodyText"/>
        <w:jc w:val="left"/>
      </w:pPr>
      <w:r w:rsidRPr="009314A5">
        <w:t>The Tax Division also deals with the fallout from abusive promotions, defending the Government in the hundreds of new cases brought each year that involve frivolous tax-</w:t>
      </w:r>
      <w:r w:rsidR="00E271E9">
        <w:t>defier</w:t>
      </w:r>
      <w:r w:rsidR="00E271E9" w:rsidRPr="009314A5">
        <w:t xml:space="preserve"> </w:t>
      </w:r>
      <w:r w:rsidRPr="009314A5">
        <w:t>claims</w:t>
      </w:r>
      <w:r w:rsidR="000B4F36">
        <w:t xml:space="preserve"> – </w:t>
      </w:r>
      <w:r w:rsidRPr="009314A5">
        <w:t xml:space="preserve">many of them the same claims targeted through the Division’s injunction suits.  Vigorous and successful defense of these cases is essential to preserve public confidence in the tax system and to </w:t>
      </w:r>
      <w:r>
        <w:t>assure</w:t>
      </w:r>
      <w:r w:rsidRPr="009314A5">
        <w:t xml:space="preserve"> that honest taxpayers are not discouraged from voluntarily paying their taxes by the perception that those who engage in illegal tax-</w:t>
      </w:r>
      <w:r w:rsidR="00E271E9">
        <w:t>defier</w:t>
      </w:r>
      <w:r w:rsidR="00E271E9" w:rsidRPr="009314A5">
        <w:t xml:space="preserve"> </w:t>
      </w:r>
      <w:r w:rsidRPr="009314A5">
        <w:t>activity have “gotten away with it.”  The Division works closely with the IRS to identify holders of bank accounts in offshore, tax haven countries that are used to evade taxes, thus facilitating the prosecution of account-holders who have committed U.S. tax law violations.  As part of an IRS</w:t>
      </w:r>
      <w:r w:rsidR="000B4F36">
        <w:t xml:space="preserve"> Offshore Compliance</w:t>
      </w:r>
      <w:r w:rsidRPr="009314A5">
        <w:t xml:space="preserve"> </w:t>
      </w:r>
      <w:r w:rsidR="000B4F36">
        <w:t>I</w:t>
      </w:r>
      <w:r w:rsidRPr="009314A5">
        <w:t xml:space="preserve">nitiative, the Tax Division has obtained court orders allowing the IRS to identify U.S. taxpayers who use credit cards issued by offshore banks in tax haven countries by obtaining data from major credit card companies, companies that process credit card </w:t>
      </w:r>
      <w:r w:rsidR="00A344A3" w:rsidRPr="009314A5">
        <w:t>transactions</w:t>
      </w:r>
      <w:r w:rsidRPr="009314A5">
        <w:t xml:space="preserve"> and merchants and retailers where the credit cards were used.  The Division also handl</w:t>
      </w:r>
      <w:r w:rsidR="000B4F36">
        <w:t>es</w:t>
      </w:r>
      <w:r w:rsidRPr="009314A5">
        <w:t xml:space="preserve"> collection and other enforcement actions against taxpayers identified through th</w:t>
      </w:r>
      <w:r w:rsidR="00E31C6B">
        <w:t>at</w:t>
      </w:r>
      <w:r w:rsidRPr="009314A5">
        <w:t xml:space="preserve"> </w:t>
      </w:r>
      <w:r w:rsidR="00E31C6B">
        <w:t>i</w:t>
      </w:r>
      <w:r w:rsidRPr="009314A5">
        <w:t>nitiative.</w:t>
      </w:r>
    </w:p>
    <w:p w:rsidR="00B74AF4" w:rsidRDefault="00B74AF4" w:rsidP="00B74AF4">
      <w:pPr>
        <w:pStyle w:val="BodyText"/>
        <w:ind w:firstLine="0"/>
        <w:jc w:val="left"/>
      </w:pPr>
    </w:p>
    <w:p w:rsidR="00823CD9" w:rsidRDefault="00823CD9" w:rsidP="00B74AF4">
      <w:pPr>
        <w:pStyle w:val="BodyText"/>
        <w:ind w:firstLine="0"/>
        <w:jc w:val="left"/>
        <w:rPr>
          <w:b/>
          <w:u w:val="single"/>
        </w:rPr>
      </w:pPr>
      <w:r w:rsidRPr="009314A5">
        <w:rPr>
          <w:b/>
          <w:u w:val="single"/>
        </w:rPr>
        <w:t>Criminal Enforcement</w:t>
      </w:r>
    </w:p>
    <w:p w:rsidR="00FE26C3" w:rsidRDefault="00FE26C3" w:rsidP="006B2852">
      <w:pPr>
        <w:pStyle w:val="BodyText"/>
        <w:jc w:val="left"/>
      </w:pPr>
      <w:r>
        <w:t>The Division’s criminal enforcement strategy is to vigorously and consistently enforce the criminal tax laws in order to punish offenders, deter future violations</w:t>
      </w:r>
      <w:r w:rsidR="00FB5FE0">
        <w:t>,</w:t>
      </w:r>
      <w:r>
        <w:t xml:space="preserve"> and reassure honest taxpayers that they will not bear an undue share of the federal tax burden.  </w:t>
      </w:r>
    </w:p>
    <w:p w:rsidR="00823CD9" w:rsidRPr="009314A5" w:rsidRDefault="00823CD9" w:rsidP="006B2852">
      <w:pPr>
        <w:pStyle w:val="BodyText"/>
        <w:jc w:val="left"/>
      </w:pPr>
      <w:r w:rsidRPr="009314A5">
        <w:t xml:space="preserve">The Division’s criminal prosecution activity has matched the vigor of its civil litigation efforts, with a similar increased focus on abusive tax schemes and their promoters.  The Division has obtained numerous convictions of promoters of large and complex schemes that were widely marketed.  Several recent indictments of promoters illustrate the continuing commitment to </w:t>
      </w:r>
      <w:r>
        <w:t>resolving</w:t>
      </w:r>
      <w:r w:rsidRPr="009314A5">
        <w:t xml:space="preserve"> this growing problem.  The schemes identified in these cases involve a variety of illegal practices, including the use of offshore accounts to evade tax</w:t>
      </w:r>
      <w:r>
        <w:t>es</w:t>
      </w:r>
      <w:r w:rsidRPr="009314A5">
        <w:t xml:space="preserve">, the refusal by employers to pay withholding taxes on employee wages, bogus trust arrangements, and </w:t>
      </w:r>
      <w:r>
        <w:t>abusive tax shelters</w:t>
      </w:r>
      <w:r w:rsidRPr="009314A5">
        <w:t xml:space="preserve">.  </w:t>
      </w:r>
      <w:r>
        <w:t>Additionally</w:t>
      </w:r>
      <w:r w:rsidRPr="009314A5">
        <w:t>, the Tax Division has redoubled</w:t>
      </w:r>
      <w:r>
        <w:t xml:space="preserve"> its</w:t>
      </w:r>
      <w:r w:rsidRPr="009314A5">
        <w:t xml:space="preserve"> efforts to </w:t>
      </w:r>
      <w:r>
        <w:t>prosecute</w:t>
      </w:r>
      <w:r w:rsidRPr="009314A5">
        <w:t xml:space="preserve"> tax crime involving income from a legal source—such as the consultant who reports only part of his income, the restaurant owner who skims from the cash register, or the doctor who keeps two sets of bookkeeping records.  The IRS estimates that hundreds of millions in tax revenue is lost yearly through the evasion of taxes on income from legal sources. </w:t>
      </w:r>
    </w:p>
    <w:p w:rsidR="00DA237D" w:rsidRDefault="00670008" w:rsidP="00DA4554">
      <w:pPr>
        <w:pStyle w:val="BodyText"/>
        <w:ind w:firstLine="0"/>
        <w:jc w:val="left"/>
      </w:pPr>
      <w:r>
        <w:tab/>
      </w:r>
      <w:r w:rsidR="00823CD9" w:rsidRPr="009314A5">
        <w:t xml:space="preserve">The Division also concentrates on several other </w:t>
      </w:r>
      <w:r w:rsidR="00A06F2D">
        <w:t>types of tax law violations</w:t>
      </w:r>
      <w:r w:rsidR="00823CD9" w:rsidRPr="009314A5">
        <w:t xml:space="preserve">.  Every year, the Division prosecutes a number of tax </w:t>
      </w:r>
      <w:r w:rsidR="007532D9">
        <w:t>defiers</w:t>
      </w:r>
      <w:r w:rsidR="00823CD9" w:rsidRPr="009314A5">
        <w:t xml:space="preserve"> who </w:t>
      </w:r>
      <w:r w:rsidR="00A06F2D">
        <w:t xml:space="preserve">evade taxes </w:t>
      </w:r>
      <w:r w:rsidR="00823CD9" w:rsidRPr="009314A5">
        <w:t xml:space="preserve">and harass IRS employees.  It also investigates and prosecutes tax violations occurring in the course of other criminal conduct, such as narcotics trafficking (supporting the Organized Crime and Drug Enforcement Task Force (OCDETF)), corporate fraud, securities fraud, bankruptcy fraud, health care fraud, </w:t>
      </w:r>
      <w:r w:rsidR="00E83CD6">
        <w:t xml:space="preserve">mortgage fraud, </w:t>
      </w:r>
      <w:r w:rsidR="00823CD9" w:rsidRPr="009314A5">
        <w:t>organized crime, public corruption</w:t>
      </w:r>
      <w:r w:rsidR="00E83CD6">
        <w:t>,</w:t>
      </w:r>
      <w:r w:rsidR="00823CD9" w:rsidRPr="009314A5">
        <w:t xml:space="preserve"> and terrorism.  </w:t>
      </w:r>
      <w:bookmarkStart w:id="32" w:name="EffectiveCivilLoadBegin"/>
      <w:bookmarkStart w:id="33" w:name="EffectiveCivilLoadEnd"/>
      <w:bookmarkEnd w:id="32"/>
      <w:bookmarkEnd w:id="33"/>
    </w:p>
    <w:p w:rsidR="00B51CB5" w:rsidRDefault="00B51CB5" w:rsidP="00DA4554">
      <w:pPr>
        <w:pStyle w:val="BodyText"/>
        <w:ind w:firstLine="0"/>
        <w:jc w:val="left"/>
      </w:pPr>
    </w:p>
    <w:p w:rsidR="00B51CB5" w:rsidRDefault="00B51CB5" w:rsidP="00B51CB5">
      <w:pPr>
        <w:spacing w:after="200" w:line="276" w:lineRule="auto"/>
        <w:jc w:val="center"/>
        <w:rPr>
          <w:rFonts w:ascii="Calibri" w:hAnsi="Calibri"/>
          <w:b/>
          <w:sz w:val="28"/>
          <w:szCs w:val="28"/>
          <w:lang w:val="en-CA"/>
        </w:rPr>
      </w:pPr>
    </w:p>
    <w:p w:rsidR="00B51CB5" w:rsidRDefault="00B51CB5" w:rsidP="00B51CB5">
      <w:pPr>
        <w:spacing w:after="200" w:line="276" w:lineRule="auto"/>
        <w:jc w:val="center"/>
        <w:rPr>
          <w:rFonts w:ascii="Calibri" w:hAnsi="Calibri"/>
          <w:b/>
          <w:sz w:val="28"/>
          <w:szCs w:val="28"/>
          <w:lang w:val="en-CA"/>
        </w:rPr>
      </w:pPr>
    </w:p>
    <w:p w:rsidR="00B51CB5" w:rsidRPr="00B51CB5" w:rsidRDefault="00B51CB5" w:rsidP="00B51CB5">
      <w:pPr>
        <w:spacing w:after="200" w:line="276" w:lineRule="auto"/>
        <w:jc w:val="center"/>
      </w:pPr>
      <w:r w:rsidRPr="00B51CB5">
        <w:rPr>
          <w:b/>
          <w:sz w:val="28"/>
          <w:szCs w:val="28"/>
          <w:lang w:val="en-CA"/>
        </w:rPr>
        <w:t>Program Offsets</w:t>
      </w:r>
    </w:p>
    <w:p w:rsidR="00B51CB5" w:rsidRPr="00B51CB5" w:rsidRDefault="00B51CB5" w:rsidP="00B51CB5">
      <w:pPr>
        <w:pStyle w:val="BodyText"/>
      </w:pPr>
    </w:p>
    <w:p w:rsidR="00B51CB5" w:rsidRPr="00A5776E" w:rsidRDefault="00B51CB5" w:rsidP="00B51CB5">
      <w:pPr>
        <w:pStyle w:val="xl19"/>
        <w:spacing w:before="0" w:after="0"/>
        <w:jc w:val="both"/>
        <w:rPr>
          <w:b/>
          <w:bCs/>
          <w:szCs w:val="24"/>
        </w:rPr>
      </w:pPr>
      <w:r w:rsidRPr="00A5776E">
        <w:rPr>
          <w:b/>
          <w:bCs/>
          <w:szCs w:val="24"/>
        </w:rPr>
        <w:t>Item Name:</w:t>
      </w:r>
      <w:r w:rsidRPr="00A5776E">
        <w:rPr>
          <w:b/>
          <w:bCs/>
          <w:szCs w:val="24"/>
        </w:rPr>
        <w:tab/>
      </w:r>
      <w:r w:rsidRPr="00A5776E">
        <w:rPr>
          <w:b/>
          <w:bCs/>
          <w:szCs w:val="24"/>
        </w:rPr>
        <w:tab/>
      </w:r>
      <w:r w:rsidRPr="00A5776E">
        <w:rPr>
          <w:b/>
          <w:bCs/>
          <w:szCs w:val="24"/>
        </w:rPr>
        <w:tab/>
      </w:r>
      <w:r w:rsidR="004B2219" w:rsidRPr="00A5776E">
        <w:rPr>
          <w:b/>
          <w:bCs/>
          <w:szCs w:val="24"/>
          <w:u w:val="single"/>
        </w:rPr>
        <w:t>IT Savings</w:t>
      </w:r>
    </w:p>
    <w:p w:rsidR="00B51CB5" w:rsidRPr="00A5776E" w:rsidRDefault="00B51CB5" w:rsidP="00B51CB5">
      <w:pPr>
        <w:pStyle w:val="xl19"/>
        <w:tabs>
          <w:tab w:val="left" w:pos="3420"/>
          <w:tab w:val="right" w:pos="8640"/>
        </w:tabs>
        <w:spacing w:before="0" w:after="0"/>
        <w:jc w:val="both"/>
        <w:rPr>
          <w:rFonts w:eastAsia="Times New Roman"/>
          <w:szCs w:val="24"/>
        </w:rPr>
      </w:pPr>
    </w:p>
    <w:p w:rsidR="00B51CB5" w:rsidRPr="00A5776E" w:rsidRDefault="00B51CB5" w:rsidP="00B51CB5">
      <w:pPr>
        <w:pStyle w:val="xl19"/>
        <w:spacing w:before="0" w:after="0"/>
        <w:jc w:val="both"/>
        <w:rPr>
          <w:rFonts w:eastAsia="Times New Roman"/>
          <w:szCs w:val="24"/>
        </w:rPr>
      </w:pPr>
      <w:r w:rsidRPr="00A5776E">
        <w:rPr>
          <w:rFonts w:eastAsia="Times New Roman"/>
          <w:szCs w:val="24"/>
        </w:rPr>
        <w:t>Budget Decision Unit:</w:t>
      </w:r>
      <w:r w:rsidRPr="00A5776E">
        <w:rPr>
          <w:rFonts w:eastAsia="Times New Roman"/>
          <w:szCs w:val="24"/>
        </w:rPr>
        <w:tab/>
      </w:r>
      <w:r w:rsidRPr="00A5776E">
        <w:rPr>
          <w:rFonts w:eastAsia="Times New Roman"/>
          <w:szCs w:val="24"/>
        </w:rPr>
        <w:tab/>
        <w:t>Legal Representation</w:t>
      </w:r>
    </w:p>
    <w:p w:rsidR="00B51CB5" w:rsidRPr="00A5776E" w:rsidRDefault="00B51CB5" w:rsidP="00B51CB5">
      <w:pPr>
        <w:ind w:left="2880" w:hanging="2880"/>
        <w:jc w:val="both"/>
      </w:pPr>
      <w:r w:rsidRPr="00A5776E">
        <w:t>Strategic Goal &amp; Objective:</w:t>
      </w:r>
      <w:r w:rsidRPr="00A5776E">
        <w:tab/>
        <w:t>2.</w:t>
      </w:r>
      <w:r w:rsidR="00F6323A">
        <w:t>6</w:t>
      </w:r>
      <w:r w:rsidRPr="00A5776E">
        <w:t xml:space="preserve"> - </w:t>
      </w:r>
      <w:r w:rsidR="0027688B">
        <w:t xml:space="preserve">Protect the federal fisc and defend the interests of the United States </w:t>
      </w:r>
    </w:p>
    <w:p w:rsidR="00B51CB5" w:rsidRPr="00A5776E" w:rsidRDefault="00B51CB5" w:rsidP="00B51CB5">
      <w:pPr>
        <w:ind w:left="2880" w:hanging="2880"/>
        <w:jc w:val="both"/>
      </w:pPr>
    </w:p>
    <w:p w:rsidR="00B51CB5" w:rsidRPr="00A5776E" w:rsidRDefault="00B51CB5" w:rsidP="00B51CB5">
      <w:pPr>
        <w:pStyle w:val="xl19"/>
        <w:tabs>
          <w:tab w:val="left" w:pos="2880"/>
          <w:tab w:val="right" w:pos="4320"/>
        </w:tabs>
        <w:spacing w:before="0" w:after="0"/>
        <w:jc w:val="both"/>
        <w:rPr>
          <w:szCs w:val="24"/>
          <w:u w:val="single"/>
        </w:rPr>
      </w:pPr>
      <w:r w:rsidRPr="00A5776E">
        <w:rPr>
          <w:szCs w:val="24"/>
        </w:rPr>
        <w:t>Ranking:</w:t>
      </w:r>
      <w:r w:rsidRPr="00A5776E">
        <w:rPr>
          <w:szCs w:val="24"/>
        </w:rPr>
        <w:tab/>
      </w:r>
      <w:r w:rsidRPr="00A5776E">
        <w:rPr>
          <w:szCs w:val="24"/>
          <w:u w:val="single"/>
        </w:rPr>
        <w:t>N/A</w:t>
      </w:r>
    </w:p>
    <w:p w:rsidR="00B51CB5" w:rsidRPr="00A5776E" w:rsidRDefault="00B51CB5" w:rsidP="00B51CB5">
      <w:pPr>
        <w:pStyle w:val="xl19"/>
        <w:spacing w:before="0" w:after="0"/>
        <w:jc w:val="both"/>
        <w:rPr>
          <w:rFonts w:eastAsia="Times New Roman"/>
          <w:szCs w:val="24"/>
        </w:rPr>
      </w:pPr>
    </w:p>
    <w:p w:rsidR="00B51CB5" w:rsidRPr="00A5776E" w:rsidRDefault="00B51CB5" w:rsidP="00B51CB5">
      <w:pPr>
        <w:pStyle w:val="xl19"/>
        <w:spacing w:before="0" w:after="0"/>
        <w:ind w:left="2160" w:hanging="2160"/>
        <w:jc w:val="both"/>
        <w:rPr>
          <w:szCs w:val="24"/>
        </w:rPr>
      </w:pPr>
      <w:r w:rsidRPr="00A5776E">
        <w:rPr>
          <w:szCs w:val="24"/>
        </w:rPr>
        <w:t>Program Reduction:</w:t>
      </w:r>
      <w:r w:rsidRPr="00A5776E">
        <w:rPr>
          <w:szCs w:val="24"/>
        </w:rPr>
        <w:tab/>
        <w:t xml:space="preserve">   </w:t>
      </w:r>
      <w:r w:rsidRPr="00A5776E">
        <w:rPr>
          <w:szCs w:val="24"/>
        </w:rPr>
        <w:tab/>
      </w:r>
      <w:r w:rsidR="00237D51">
        <w:rPr>
          <w:szCs w:val="24"/>
        </w:rPr>
        <w:t>Dollars (</w:t>
      </w:r>
      <w:r w:rsidR="00A12D43">
        <w:rPr>
          <w:szCs w:val="24"/>
        </w:rPr>
        <w:t>$</w:t>
      </w:r>
      <w:r w:rsidR="004B2219" w:rsidRPr="00A5776E">
        <w:rPr>
          <w:szCs w:val="24"/>
          <w:u w:val="single"/>
        </w:rPr>
        <w:t>106,000</w:t>
      </w:r>
      <w:r w:rsidR="00237D51">
        <w:rPr>
          <w:szCs w:val="24"/>
          <w:u w:val="single"/>
        </w:rPr>
        <w:t>)</w:t>
      </w:r>
    </w:p>
    <w:p w:rsidR="00B51CB5" w:rsidRPr="00A5776E" w:rsidRDefault="00B51CB5" w:rsidP="00B51CB5">
      <w:pPr>
        <w:pStyle w:val="xl19"/>
        <w:spacing w:before="0" w:after="0"/>
        <w:ind w:left="2160" w:hanging="2160"/>
        <w:jc w:val="both"/>
      </w:pPr>
      <w:r w:rsidRPr="00A5776E">
        <w:rPr>
          <w:szCs w:val="24"/>
        </w:rPr>
        <w:t xml:space="preserve">                                  </w:t>
      </w:r>
    </w:p>
    <w:p w:rsidR="00B51CB5" w:rsidRDefault="00B51CB5" w:rsidP="00B51CB5">
      <w:pPr>
        <w:jc w:val="both"/>
        <w:rPr>
          <w:u w:val="single"/>
        </w:rPr>
      </w:pPr>
      <w:r w:rsidRPr="00A5776E">
        <w:rPr>
          <w:u w:val="single"/>
        </w:rPr>
        <w:t>Description of Item</w:t>
      </w:r>
    </w:p>
    <w:p w:rsidR="00AD29BB" w:rsidRDefault="00AD29BB" w:rsidP="00B51CB5">
      <w:pPr>
        <w:jc w:val="both"/>
        <w:rPr>
          <w:u w:val="single"/>
        </w:rPr>
      </w:pPr>
    </w:p>
    <w:p w:rsidR="00FD55F1" w:rsidRPr="00A5776E" w:rsidRDefault="00FD55F1" w:rsidP="00FD55F1">
      <w:pPr>
        <w:rPr>
          <w:u w:val="single"/>
        </w:rPr>
      </w:pPr>
      <w:r w:rsidRPr="00A5776E">
        <w:rPr>
          <w:rFonts w:cs="Calibri"/>
        </w:rPr>
        <w:t xml:space="preserve">As part of its effort to increase IT management efficiency and comply with OMB’s direction to reform IT management activities, the Department is implementing a cost saving initiative as well as IT transformation projects.  To support cost savings, the Department is developing an infrastructure to enable DOJ components to better collaborate on IT contracting; which should result in lower IT expenditures.  In FY 2013 the Department anticipates realizing </w:t>
      </w:r>
      <w:r w:rsidR="00AD29BB">
        <w:rPr>
          <w:rFonts w:cs="Calibri"/>
        </w:rPr>
        <w:t>s</w:t>
      </w:r>
      <w:r w:rsidRPr="00A5776E">
        <w:rPr>
          <w:rFonts w:cs="Calibri"/>
        </w:rPr>
        <w:t>avings on all direct non-personnel IT spending through IT contracting collaboration.  These savings will not only support greater management efficiency within components but will also support OMB’s IT Reform plan by providing resources to support major initiatives in Cybersecurity, data center consolidation, and enterprise e-mail systems. </w:t>
      </w:r>
    </w:p>
    <w:p w:rsidR="00FD55F1" w:rsidRPr="00B51CB5" w:rsidRDefault="00FD55F1" w:rsidP="00B51CB5">
      <w:pPr>
        <w:jc w:val="both"/>
        <w:rPr>
          <w:color w:val="632423"/>
          <w:u w:val="single"/>
        </w:rPr>
      </w:pPr>
    </w:p>
    <w:sectPr w:rsidR="00FD55F1" w:rsidRPr="00B51CB5" w:rsidSect="00A361D9">
      <w:pgSz w:w="12240" w:h="15840" w:code="1"/>
      <w:pgMar w:top="864" w:right="1440" w:bottom="864" w:left="1152"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27D" w:rsidRDefault="00F4727D">
      <w:r>
        <w:separator/>
      </w:r>
    </w:p>
  </w:endnote>
  <w:endnote w:type="continuationSeparator" w:id="0">
    <w:p w:rsidR="00F4727D" w:rsidRDefault="00F47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337A4D" w:rsidP="00A1081E">
    <w:pPr>
      <w:pStyle w:val="Footer"/>
      <w:framePr w:wrap="around" w:vAnchor="text" w:hAnchor="margin" w:xAlign="center" w:y="1"/>
      <w:rPr>
        <w:rStyle w:val="PageNumber"/>
      </w:rPr>
    </w:pPr>
    <w:r>
      <w:rPr>
        <w:rStyle w:val="PageNumber"/>
      </w:rPr>
      <w:fldChar w:fldCharType="begin"/>
    </w:r>
    <w:r w:rsidR="00B51CB5">
      <w:rPr>
        <w:rStyle w:val="PageNumber"/>
      </w:rPr>
      <w:instrText xml:space="preserve">PAGE  </w:instrText>
    </w:r>
    <w:r>
      <w:rPr>
        <w:rStyle w:val="PageNumber"/>
      </w:rPr>
      <w:fldChar w:fldCharType="separate"/>
    </w:r>
    <w:r w:rsidR="00B51CB5">
      <w:rPr>
        <w:rStyle w:val="PageNumber"/>
        <w:noProof/>
      </w:rPr>
      <w:t>- 26 -</w:t>
    </w:r>
    <w:r>
      <w:rPr>
        <w:rStyle w:val="PageNumber"/>
      </w:rPr>
      <w:fldChar w:fldCharType="end"/>
    </w:r>
  </w:p>
  <w:p w:rsidR="00B51CB5" w:rsidRPr="0031600B" w:rsidRDefault="00337A4D" w:rsidP="0031600B">
    <w:pPr>
      <w:pStyle w:val="Footer"/>
      <w:jc w:val="right"/>
    </w:pPr>
    <w:r>
      <w:rPr>
        <w:sz w:val="14"/>
      </w:rPr>
      <w:fldChar w:fldCharType="begin"/>
    </w:r>
    <w:r w:rsidR="00B51CB5">
      <w:rPr>
        <w:sz w:val="14"/>
      </w:rPr>
      <w:instrText xml:space="preserve"> DOCPROPERTY  YCFooter \* MERGEFORMAT </w:instrText>
    </w:r>
    <w:r>
      <w:rPr>
        <w:sz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Pr="00A60B13" w:rsidRDefault="00337A4D" w:rsidP="00A60B13">
    <w:pPr>
      <w:pStyle w:val="Footer"/>
      <w:jc w:val="right"/>
    </w:pPr>
    <w:r>
      <w:rPr>
        <w:sz w:val="14"/>
      </w:rPr>
      <w:fldChar w:fldCharType="begin"/>
    </w:r>
    <w:r w:rsidR="00B51CB5">
      <w:rPr>
        <w:sz w:val="14"/>
      </w:rPr>
      <w:instrText xml:space="preserve"> DOCPROPERTY  YCFooter \* MERGEFORMAT </w:instrText>
    </w:r>
    <w:r>
      <w:rPr>
        <w:sz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B51CB5" w:rsidP="00CD328B">
    <w:pPr>
      <w:pStyle w:val="Footer"/>
      <w:tabs>
        <w:tab w:val="center" w:pos="5040"/>
        <w:tab w:val="left" w:pos="6255"/>
        <w:tab w:val="left" w:pos="6660"/>
      </w:tabs>
      <w:rPr>
        <w:rStyle w:val="PageNumber"/>
      </w:rPr>
    </w:pPr>
    <w:r>
      <w:rPr>
        <w:rStyle w:val="PageNumber"/>
      </w:rPr>
      <w:tab/>
    </w:r>
    <w:r>
      <w:rPr>
        <w:rStyle w:val="PageNumber"/>
      </w:rPr>
      <w:tab/>
    </w:r>
    <w:r w:rsidR="00337A4D" w:rsidRPr="00A361D9">
      <w:rPr>
        <w:rStyle w:val="PageNumber"/>
      </w:rPr>
      <w:fldChar w:fldCharType="begin"/>
    </w:r>
    <w:r w:rsidRPr="00A361D9">
      <w:rPr>
        <w:rStyle w:val="PageNumber"/>
      </w:rPr>
      <w:instrText xml:space="preserve"> PAGE </w:instrText>
    </w:r>
    <w:r w:rsidR="00337A4D" w:rsidRPr="00A361D9">
      <w:rPr>
        <w:rStyle w:val="PageNumber"/>
      </w:rPr>
      <w:fldChar w:fldCharType="separate"/>
    </w:r>
    <w:r w:rsidR="00901F8A">
      <w:rPr>
        <w:rStyle w:val="PageNumber"/>
        <w:noProof/>
      </w:rPr>
      <w:t>- 0 -</w:t>
    </w:r>
    <w:r w:rsidR="00337A4D" w:rsidRPr="00A361D9">
      <w:rPr>
        <w:rStyle w:val="PageNumber"/>
      </w:rPr>
      <w:fldChar w:fldCharType="end"/>
    </w:r>
    <w:r>
      <w:rPr>
        <w:rStyle w:val="PageNumber"/>
      </w:rPr>
      <w:tab/>
    </w:r>
    <w:r>
      <w:rPr>
        <w:rStyle w:val="PageNumber"/>
      </w:rPr>
      <w:tab/>
    </w:r>
  </w:p>
  <w:p w:rsidR="00B51CB5" w:rsidRDefault="00B51CB5" w:rsidP="00450CC2">
    <w:pPr>
      <w:pStyle w:val="Footer"/>
      <w:tabs>
        <w:tab w:val="center" w:pos="5040"/>
        <w:tab w:val="left" w:pos="6255"/>
        <w:tab w:val="left" w:pos="6660"/>
      </w:tabs>
      <w:jc w:val="right"/>
    </w:pPr>
    <w:r w:rsidRPr="00EC511D">
      <w:t xml:space="preserve"> </w:t>
    </w:r>
  </w:p>
  <w:p w:rsidR="00B51CB5" w:rsidRPr="001E3555" w:rsidRDefault="00337A4D" w:rsidP="001E3555">
    <w:pPr>
      <w:pStyle w:val="Footer"/>
      <w:tabs>
        <w:tab w:val="center" w:pos="5040"/>
        <w:tab w:val="left" w:pos="6255"/>
        <w:tab w:val="left" w:pos="6660"/>
      </w:tabs>
      <w:jc w:val="right"/>
    </w:pPr>
    <w:r>
      <w:rPr>
        <w:sz w:val="14"/>
      </w:rPr>
      <w:fldChar w:fldCharType="begin"/>
    </w:r>
    <w:r w:rsidR="00B51CB5">
      <w:rPr>
        <w:sz w:val="14"/>
      </w:rPr>
      <w:instrText xml:space="preserve"> DOCPROPERTY  YCFooter \* MERGEFORMAT </w:instrText>
    </w:r>
    <w:r>
      <w:rPr>
        <w:sz w:val="1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Pr="001E3555" w:rsidRDefault="00B51CB5" w:rsidP="001E3555">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337A4D" w:rsidP="001B29C1">
    <w:pPr>
      <w:pStyle w:val="Footer"/>
      <w:framePr w:wrap="around" w:vAnchor="text" w:hAnchor="margin" w:xAlign="center" w:y="1"/>
      <w:rPr>
        <w:rStyle w:val="PageNumber"/>
      </w:rPr>
    </w:pPr>
    <w:r>
      <w:rPr>
        <w:rStyle w:val="PageNumber"/>
      </w:rPr>
      <w:fldChar w:fldCharType="begin"/>
    </w:r>
    <w:r w:rsidR="00B51CB5">
      <w:rPr>
        <w:rStyle w:val="PageNumber"/>
      </w:rPr>
      <w:instrText xml:space="preserve">PAGE  </w:instrText>
    </w:r>
    <w:r>
      <w:rPr>
        <w:rStyle w:val="PageNumber"/>
      </w:rPr>
      <w:fldChar w:fldCharType="separate"/>
    </w:r>
    <w:r w:rsidR="00B51CB5">
      <w:rPr>
        <w:rStyle w:val="PageNumber"/>
        <w:noProof/>
      </w:rPr>
      <w:t>- 26 -</w:t>
    </w:r>
    <w:r>
      <w:rPr>
        <w:rStyle w:val="PageNumber"/>
      </w:rPr>
      <w:fldChar w:fldCharType="end"/>
    </w:r>
  </w:p>
  <w:p w:rsidR="00B51CB5" w:rsidRPr="00D41054" w:rsidRDefault="00337A4D" w:rsidP="00C3148F">
    <w:pPr>
      <w:pStyle w:val="Footer"/>
      <w:ind w:right="360"/>
      <w:jc w:val="right"/>
    </w:pPr>
    <w:r>
      <w:rPr>
        <w:sz w:val="14"/>
      </w:rPr>
      <w:fldChar w:fldCharType="begin"/>
    </w:r>
    <w:r w:rsidR="00B51CB5">
      <w:rPr>
        <w:sz w:val="14"/>
      </w:rPr>
      <w:instrText xml:space="preserve"> DOCPROPERTY  YCFooter \* MERGEFORMAT </w:instrText>
    </w:r>
    <w:r>
      <w:rPr>
        <w:sz w:val="1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337A4D" w:rsidP="00A60B13">
    <w:pPr>
      <w:pStyle w:val="Footer"/>
      <w:framePr w:wrap="around" w:vAnchor="text" w:hAnchor="margin" w:xAlign="center" w:y="1"/>
      <w:rPr>
        <w:rStyle w:val="PageNumber"/>
      </w:rPr>
    </w:pPr>
    <w:r>
      <w:rPr>
        <w:rStyle w:val="PageNumber"/>
      </w:rPr>
      <w:fldChar w:fldCharType="begin"/>
    </w:r>
    <w:r w:rsidR="00B51CB5">
      <w:rPr>
        <w:rStyle w:val="PageNumber"/>
      </w:rPr>
      <w:instrText xml:space="preserve">PAGE  </w:instrText>
    </w:r>
    <w:r>
      <w:rPr>
        <w:rStyle w:val="PageNumber"/>
      </w:rPr>
      <w:fldChar w:fldCharType="separate"/>
    </w:r>
    <w:r w:rsidR="00DD5B8E">
      <w:rPr>
        <w:rStyle w:val="PageNumber"/>
        <w:noProof/>
      </w:rPr>
      <w:t>- 22 -</w:t>
    </w:r>
    <w:r>
      <w:rPr>
        <w:rStyle w:val="PageNumber"/>
      </w:rPr>
      <w:fldChar w:fldCharType="end"/>
    </w:r>
  </w:p>
  <w:p w:rsidR="00B51CB5" w:rsidRPr="00A60B13" w:rsidRDefault="00337A4D" w:rsidP="00A60B13">
    <w:pPr>
      <w:pStyle w:val="Footer"/>
      <w:ind w:right="360"/>
      <w:jc w:val="right"/>
    </w:pPr>
    <w:r>
      <w:rPr>
        <w:rStyle w:val="PageNumber"/>
        <w:sz w:val="14"/>
      </w:rPr>
      <w:fldChar w:fldCharType="begin"/>
    </w:r>
    <w:r w:rsidR="00B51CB5">
      <w:rPr>
        <w:rStyle w:val="PageNumber"/>
        <w:sz w:val="14"/>
      </w:rPr>
      <w:instrText xml:space="preserve"> DOCPROPERTY  YCFooter \* MERGEFORMAT </w:instrText>
    </w:r>
    <w:r>
      <w:rPr>
        <w:rStyle w:val="PageNumber"/>
        <w:sz w:val="1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337A4D" w:rsidP="000C0337">
    <w:pPr>
      <w:pStyle w:val="Footer"/>
      <w:jc w:val="center"/>
      <w:rPr>
        <w:rStyle w:val="PageNumber"/>
      </w:rPr>
    </w:pPr>
    <w:r>
      <w:rPr>
        <w:rStyle w:val="PageNumber"/>
      </w:rPr>
      <w:fldChar w:fldCharType="begin"/>
    </w:r>
    <w:r w:rsidR="00B51CB5">
      <w:rPr>
        <w:rStyle w:val="PageNumber"/>
      </w:rPr>
      <w:instrText xml:space="preserve"> PAGE </w:instrText>
    </w:r>
    <w:r>
      <w:rPr>
        <w:rStyle w:val="PageNumber"/>
      </w:rPr>
      <w:fldChar w:fldCharType="separate"/>
    </w:r>
    <w:r w:rsidR="00DD5B8E">
      <w:rPr>
        <w:rStyle w:val="PageNumber"/>
        <w:noProof/>
      </w:rPr>
      <w:t>- 28 -</w:t>
    </w:r>
    <w:r>
      <w:rPr>
        <w:rStyle w:val="PageNumber"/>
      </w:rPr>
      <w:fldChar w:fldCharType="end"/>
    </w:r>
  </w:p>
  <w:p w:rsidR="00B51CB5" w:rsidRDefault="00B51CB5" w:rsidP="001A23A5">
    <w:pPr>
      <w:pStyle w:val="Footer"/>
      <w:jc w:val="right"/>
      <w:rPr>
        <w:sz w:val="14"/>
      </w:rPr>
    </w:pPr>
    <w:r w:rsidRPr="001A23A5">
      <w:rPr>
        <w:sz w:val="14"/>
      </w:rPr>
      <w:t xml:space="preserve"> </w:t>
    </w:r>
  </w:p>
  <w:p w:rsidR="00B51CB5" w:rsidRPr="00A60B13" w:rsidRDefault="00337A4D" w:rsidP="00A60B13">
    <w:pPr>
      <w:pStyle w:val="Footer"/>
      <w:jc w:val="right"/>
    </w:pPr>
    <w:r>
      <w:rPr>
        <w:sz w:val="14"/>
      </w:rPr>
      <w:fldChar w:fldCharType="begin"/>
    </w:r>
    <w:r w:rsidR="00B51CB5">
      <w:rPr>
        <w:sz w:val="14"/>
      </w:rPr>
      <w:instrText xml:space="preserve"> DOCPROPERTY  YCFooter \* MERGEFORMAT </w:instrText>
    </w:r>
    <w:r>
      <w:rPr>
        <w:sz w:val="1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337A4D" w:rsidP="001B29C1">
    <w:pPr>
      <w:pStyle w:val="Footer"/>
      <w:framePr w:wrap="around" w:vAnchor="text" w:hAnchor="margin" w:xAlign="center" w:y="1"/>
      <w:rPr>
        <w:rStyle w:val="PageNumber"/>
      </w:rPr>
    </w:pPr>
    <w:r>
      <w:rPr>
        <w:rStyle w:val="PageNumber"/>
      </w:rPr>
      <w:fldChar w:fldCharType="begin"/>
    </w:r>
    <w:r w:rsidR="00B51CB5">
      <w:rPr>
        <w:rStyle w:val="PageNumber"/>
      </w:rPr>
      <w:instrText xml:space="preserve">PAGE  </w:instrText>
    </w:r>
    <w:r>
      <w:rPr>
        <w:rStyle w:val="PageNumber"/>
      </w:rPr>
      <w:fldChar w:fldCharType="separate"/>
    </w:r>
    <w:r w:rsidR="00DD5B8E">
      <w:rPr>
        <w:rStyle w:val="PageNumber"/>
        <w:noProof/>
      </w:rPr>
      <w:t>- 27 -</w:t>
    </w:r>
    <w:r>
      <w:rPr>
        <w:rStyle w:val="PageNumber"/>
      </w:rPr>
      <w:fldChar w:fldCharType="end"/>
    </w:r>
  </w:p>
  <w:p w:rsidR="00B51CB5" w:rsidRDefault="00B51CB5" w:rsidP="004B5870">
    <w:pPr>
      <w:pStyle w:val="Footer"/>
      <w:jc w:val="center"/>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27D" w:rsidRDefault="00F4727D">
      <w:r>
        <w:separator/>
      </w:r>
    </w:p>
  </w:footnote>
  <w:footnote w:type="continuationSeparator" w:id="0">
    <w:p w:rsidR="00F4727D" w:rsidRDefault="00F4727D">
      <w:r>
        <w:continuationSeparator/>
      </w:r>
    </w:p>
  </w:footnote>
  <w:footnote w:id="1">
    <w:p w:rsidR="00B51CB5" w:rsidRDefault="00B51CB5">
      <w:pPr>
        <w:pStyle w:val="FootnoteText"/>
      </w:pPr>
      <w:r>
        <w:rPr>
          <w:rStyle w:val="FootnoteReference"/>
        </w:rPr>
        <w:footnoteRef/>
      </w:r>
      <w:r>
        <w:t xml:space="preserve">   See IRS Tax Stats – 20</w:t>
      </w:r>
      <w:r w:rsidR="000F7277">
        <w:t>10</w:t>
      </w:r>
      <w:r>
        <w:t xml:space="preserve"> Data Book, </w:t>
      </w:r>
      <w:r w:rsidR="000F7277" w:rsidRPr="000F7277">
        <w:t>http://www.irs.gov/taxstats/article/0,,id=102174,00.html</w:t>
      </w:r>
      <w:r>
        <w:t xml:space="preserve">, Table 27. </w:t>
      </w:r>
    </w:p>
  </w:footnote>
  <w:footnote w:id="2">
    <w:p w:rsidR="00B51CB5" w:rsidRDefault="00B51CB5" w:rsidP="00604DCE">
      <w:pPr>
        <w:pStyle w:val="FootnoteText"/>
        <w:rPr>
          <w:color w:val="000000"/>
        </w:rPr>
      </w:pPr>
      <w:r>
        <w:rPr>
          <w:rStyle w:val="FootnoteReference"/>
        </w:rPr>
        <w:footnoteRef/>
      </w:r>
      <w:r>
        <w:t xml:space="preserve">   </w:t>
      </w:r>
      <w:r w:rsidRPr="00EF069C">
        <w:rPr>
          <w:color w:val="000000"/>
        </w:rPr>
        <w:t xml:space="preserve">A widely regarded study concluded that the marginal indirect revenue-to-cost ratio of a criminal conviction is more than 16 to 1.  While no </w:t>
      </w:r>
      <w:r>
        <w:rPr>
          <w:color w:val="000000"/>
        </w:rPr>
        <w:t>comparable</w:t>
      </w:r>
      <w:r w:rsidRPr="00EF069C">
        <w:rPr>
          <w:color w:val="000000"/>
        </w:rPr>
        <w:t xml:space="preserve"> study of civil litigation exists, the same research suggests that </w:t>
      </w:r>
      <w:r>
        <w:rPr>
          <w:color w:val="000000"/>
        </w:rPr>
        <w:t xml:space="preserve">IRS </w:t>
      </w:r>
      <w:r w:rsidRPr="00EF069C">
        <w:rPr>
          <w:color w:val="000000"/>
        </w:rPr>
        <w:t>civil audits -- the results of which are not publicly disclosed -- have an indirect effect on revenue that is more than 10 times the adjustments proposed in those audits.</w:t>
      </w:r>
      <w:r>
        <w:rPr>
          <w:color w:val="000000"/>
        </w:rPr>
        <w:t xml:space="preserve">  </w:t>
      </w:r>
      <w:r w:rsidRPr="00481DD0">
        <w:rPr>
          <w:color w:val="000000"/>
        </w:rPr>
        <w:t xml:space="preserve">Alan H. Plumley, </w:t>
      </w:r>
      <w:r w:rsidRPr="00481DD0">
        <w:rPr>
          <w:i/>
          <w:color w:val="000000"/>
        </w:rPr>
        <w:t>The Determinants of Individual Income Tax Compliance</w:t>
      </w:r>
      <w:r w:rsidRPr="00481DD0">
        <w:rPr>
          <w:color w:val="000000"/>
        </w:rPr>
        <w:t>, p</w:t>
      </w:r>
      <w:r>
        <w:rPr>
          <w:color w:val="000000"/>
        </w:rPr>
        <w:t>p</w:t>
      </w:r>
      <w:r w:rsidRPr="00481DD0">
        <w:rPr>
          <w:color w:val="000000"/>
        </w:rPr>
        <w:t xml:space="preserve">. </w:t>
      </w:r>
      <w:r>
        <w:rPr>
          <w:color w:val="000000"/>
        </w:rPr>
        <w:t xml:space="preserve">35, </w:t>
      </w:r>
      <w:r w:rsidRPr="00481DD0">
        <w:rPr>
          <w:color w:val="000000"/>
        </w:rPr>
        <w:t>40, Internal Revenue Service Publication 1916 (1996).</w:t>
      </w:r>
    </w:p>
    <w:p w:rsidR="00B51CB5" w:rsidRDefault="00B51CB5" w:rsidP="00604DCE">
      <w:pPr>
        <w:pStyle w:val="FootnoteText"/>
      </w:pPr>
      <w:r w:rsidRPr="00481DD0">
        <w:rPr>
          <w:color w:val="000000"/>
        </w:rPr>
        <w:t xml:space="preserve">  </w:t>
      </w:r>
    </w:p>
  </w:footnote>
  <w:footnote w:id="3">
    <w:p w:rsidR="00B51CB5" w:rsidRDefault="00B51CB5" w:rsidP="00604DCE">
      <w:pPr>
        <w:pStyle w:val="FootnoteText"/>
      </w:pPr>
      <w:r>
        <w:rPr>
          <w:rStyle w:val="FootnoteReference"/>
        </w:rPr>
        <w:footnoteRef/>
      </w:r>
      <w:r>
        <w:t xml:space="preserve">   “The IRS ... found that taxpayers who heard about IRS audit activity via the media [rather than through word of mouth] were less likely to cheat...”  Leandra Lederman, </w:t>
      </w:r>
      <w:r>
        <w:rPr>
          <w:i/>
        </w:rPr>
        <w:t>The Interplay Between Norms and Compliance</w:t>
      </w:r>
      <w:r>
        <w:t xml:space="preserve">, 64 Ohio. St. L. J. 1453, 1494-95 (2003), </w:t>
      </w:r>
      <w:r>
        <w:rPr>
          <w:i/>
        </w:rPr>
        <w:t>quoting</w:t>
      </w:r>
      <w:r>
        <w:t xml:space="preserve"> Robert M. Melia, </w:t>
      </w:r>
      <w:r w:rsidRPr="00284B36">
        <w:rPr>
          <w:i/>
        </w:rPr>
        <w:t>Is the Pen Mightier than the Audit?</w:t>
      </w:r>
      <w:r>
        <w:t xml:space="preserve">, 34 Tax Notes 1309, 1310 (1987). </w:t>
      </w:r>
    </w:p>
    <w:p w:rsidR="00B51CB5" w:rsidRDefault="00B51CB5" w:rsidP="00604DCE">
      <w:pPr>
        <w:pStyle w:val="FootnoteText"/>
      </w:pPr>
      <w:r>
        <w:t xml:space="preserve"> </w:t>
      </w:r>
    </w:p>
  </w:footnote>
  <w:footnote w:id="4">
    <w:p w:rsidR="00B51CB5" w:rsidRDefault="00B51CB5" w:rsidP="004A6BB9">
      <w:pPr>
        <w:pStyle w:val="NormalWeb"/>
        <w:spacing w:before="0" w:beforeAutospacing="0" w:after="0" w:afterAutospacing="0"/>
        <w:ind w:firstLine="0"/>
        <w:rPr>
          <w:sz w:val="20"/>
          <w:szCs w:val="20"/>
        </w:rPr>
      </w:pPr>
      <w:r w:rsidRPr="00633A71">
        <w:rPr>
          <w:sz w:val="16"/>
          <w:szCs w:val="16"/>
        </w:rPr>
        <w:t>4</w:t>
      </w:r>
      <w:r>
        <w:t xml:space="preserve">   </w:t>
      </w:r>
      <w:r w:rsidRPr="002F06E6">
        <w:rPr>
          <w:i/>
          <w:sz w:val="20"/>
          <w:szCs w:val="20"/>
        </w:rPr>
        <w:t>See</w:t>
      </w:r>
      <w:r w:rsidRPr="002F06E6">
        <w:rPr>
          <w:sz w:val="20"/>
          <w:szCs w:val="20"/>
        </w:rPr>
        <w:t xml:space="preserve"> IRS Oversight Board</w:t>
      </w:r>
      <w:r>
        <w:rPr>
          <w:sz w:val="20"/>
          <w:szCs w:val="20"/>
        </w:rPr>
        <w:t xml:space="preserve"> 2010 Taxpayer Attitude Survey</w:t>
      </w:r>
      <w:r w:rsidRPr="002F06E6">
        <w:rPr>
          <w:sz w:val="20"/>
          <w:szCs w:val="20"/>
        </w:rPr>
        <w:t xml:space="preserve">, </w:t>
      </w:r>
      <w:r>
        <w:rPr>
          <w:sz w:val="20"/>
          <w:szCs w:val="20"/>
        </w:rPr>
        <w:t>January</w:t>
      </w:r>
      <w:r w:rsidRPr="002F06E6">
        <w:rPr>
          <w:sz w:val="20"/>
          <w:szCs w:val="20"/>
        </w:rPr>
        <w:t>, 20</w:t>
      </w:r>
      <w:r>
        <w:rPr>
          <w:sz w:val="20"/>
          <w:szCs w:val="20"/>
        </w:rPr>
        <w:t xml:space="preserve">11, </w:t>
      </w:r>
      <w:bookmarkStart w:id="4" w:name="OLE_LINK14"/>
      <w:bookmarkStart w:id="5" w:name="OLE_LINK15"/>
      <w:r w:rsidR="00337A4D">
        <w:rPr>
          <w:sz w:val="20"/>
          <w:szCs w:val="20"/>
        </w:rPr>
        <w:fldChar w:fldCharType="begin"/>
      </w:r>
      <w:r>
        <w:rPr>
          <w:sz w:val="20"/>
          <w:szCs w:val="20"/>
        </w:rPr>
        <w:instrText xml:space="preserve"> HYPERLINK "</w:instrText>
      </w:r>
      <w:r w:rsidRPr="002F06E6">
        <w:rPr>
          <w:sz w:val="20"/>
          <w:szCs w:val="20"/>
        </w:rPr>
        <w:instrText>http://www.</w:instrText>
      </w:r>
      <w:r>
        <w:rPr>
          <w:sz w:val="20"/>
          <w:szCs w:val="20"/>
        </w:rPr>
        <w:instrText xml:space="preserve">treas.gov/irsob/board-reports.shtml" </w:instrText>
      </w:r>
      <w:r w:rsidR="00337A4D">
        <w:rPr>
          <w:sz w:val="20"/>
          <w:szCs w:val="20"/>
        </w:rPr>
        <w:fldChar w:fldCharType="separate"/>
      </w:r>
      <w:r w:rsidRPr="004A0F08">
        <w:rPr>
          <w:rStyle w:val="Hyperlink"/>
          <w:sz w:val="20"/>
          <w:szCs w:val="20"/>
        </w:rPr>
        <w:t>http://www.treas.gov/irsob/board-reports.shtml</w:t>
      </w:r>
      <w:bookmarkEnd w:id="4"/>
      <w:bookmarkEnd w:id="5"/>
      <w:r w:rsidR="00337A4D">
        <w:rPr>
          <w:sz w:val="20"/>
          <w:szCs w:val="20"/>
        </w:rPr>
        <w:fldChar w:fldCharType="end"/>
      </w:r>
      <w:r>
        <w:rPr>
          <w:sz w:val="20"/>
          <w:szCs w:val="20"/>
        </w:rPr>
        <w:t>.</w:t>
      </w:r>
    </w:p>
    <w:p w:rsidR="00B51CB5" w:rsidRPr="002F06E6" w:rsidRDefault="00B51CB5" w:rsidP="004A6BB9">
      <w:pPr>
        <w:pStyle w:val="NormalWeb"/>
        <w:spacing w:before="0" w:beforeAutospacing="0" w:after="0" w:afterAutospacing="0"/>
        <w:ind w:firstLine="0"/>
        <w:rPr>
          <w:sz w:val="20"/>
          <w:szCs w:val="20"/>
        </w:rPr>
      </w:pPr>
    </w:p>
  </w:footnote>
  <w:footnote w:id="5">
    <w:p w:rsidR="00B51CB5" w:rsidRDefault="00B51CB5" w:rsidP="00BC4839">
      <w:pPr>
        <w:pStyle w:val="NormalWeb"/>
        <w:spacing w:before="0" w:beforeAutospacing="0" w:after="0" w:afterAutospacing="0"/>
        <w:ind w:firstLine="0"/>
        <w:rPr>
          <w:sz w:val="20"/>
          <w:szCs w:val="20"/>
        </w:rPr>
      </w:pPr>
      <w:r>
        <w:rPr>
          <w:rStyle w:val="FootnoteReference"/>
        </w:rPr>
        <w:footnoteRef/>
      </w:r>
      <w:r>
        <w:t xml:space="preserve">   </w:t>
      </w:r>
      <w:r w:rsidRPr="00460601">
        <w:rPr>
          <w:i/>
          <w:sz w:val="20"/>
          <w:szCs w:val="20"/>
        </w:rPr>
        <w:t>See</w:t>
      </w:r>
      <w:r w:rsidRPr="00460601">
        <w:rPr>
          <w:sz w:val="20"/>
          <w:szCs w:val="20"/>
        </w:rPr>
        <w:t xml:space="preserve"> Internal Revenue Service Data Book, 200</w:t>
      </w:r>
      <w:r>
        <w:rPr>
          <w:sz w:val="20"/>
          <w:szCs w:val="20"/>
        </w:rPr>
        <w:t>9</w:t>
      </w:r>
      <w:r w:rsidRPr="00460601">
        <w:rPr>
          <w:sz w:val="20"/>
          <w:szCs w:val="20"/>
        </w:rPr>
        <w:t xml:space="preserve">, Table 1, available at </w:t>
      </w:r>
      <w:hyperlink r:id="rId1" w:history="1">
        <w:r w:rsidRPr="00460601">
          <w:rPr>
            <w:rStyle w:val="Hyperlink"/>
            <w:sz w:val="20"/>
            <w:szCs w:val="20"/>
          </w:rPr>
          <w:t>www.irs.taxstats</w:t>
        </w:r>
      </w:hyperlink>
      <w:r w:rsidRPr="00460601">
        <w:rPr>
          <w:sz w:val="20"/>
          <w:szCs w:val="20"/>
        </w:rPr>
        <w:t xml:space="preserve">.  From the </w:t>
      </w:r>
      <w:r>
        <w:rPr>
          <w:sz w:val="20"/>
          <w:szCs w:val="20"/>
        </w:rPr>
        <w:t>w</w:t>
      </w:r>
      <w:r w:rsidRPr="00460601">
        <w:rPr>
          <w:sz w:val="20"/>
          <w:szCs w:val="20"/>
        </w:rPr>
        <w:t>ebsite, select “IRS Data Books” in the “Products, Publications, &amp; Papers” section.</w:t>
      </w:r>
    </w:p>
    <w:p w:rsidR="00B51CB5" w:rsidRPr="00460601" w:rsidRDefault="00B51CB5" w:rsidP="00BC4839">
      <w:pPr>
        <w:pStyle w:val="NormalWeb"/>
        <w:spacing w:before="0" w:beforeAutospacing="0" w:after="0" w:afterAutospacing="0"/>
        <w:ind w:firstLine="0"/>
      </w:pPr>
    </w:p>
  </w:footnote>
  <w:footnote w:id="6">
    <w:p w:rsidR="00B51CB5" w:rsidRDefault="00B51CB5" w:rsidP="00801B66">
      <w:pPr>
        <w:pStyle w:val="BodyText"/>
        <w:ind w:firstLine="0"/>
        <w:jc w:val="left"/>
        <w:rPr>
          <w:color w:val="000000"/>
        </w:rPr>
      </w:pPr>
      <w:r>
        <w:rPr>
          <w:rStyle w:val="FootnoteReference"/>
        </w:rPr>
        <w:footnoteRef/>
      </w:r>
      <w:r>
        <w:t xml:space="preserve">  </w:t>
      </w:r>
      <w:r w:rsidRPr="00801B66">
        <w:rPr>
          <w:sz w:val="20"/>
          <w:szCs w:val="20"/>
        </w:rPr>
        <w:t xml:space="preserve">Lucius A. Buck, </w:t>
      </w:r>
      <w:r w:rsidRPr="00801B66">
        <w:rPr>
          <w:i/>
          <w:sz w:val="20"/>
          <w:szCs w:val="20"/>
        </w:rPr>
        <w:t>Federal Tax Litigation and the Tax Division of the Department of Justice</w:t>
      </w:r>
      <w:r w:rsidRPr="00801B66">
        <w:rPr>
          <w:sz w:val="20"/>
          <w:szCs w:val="20"/>
        </w:rPr>
        <w:t>, 27 Va. L. Rev. 873, 888 (1940).</w:t>
      </w:r>
      <w:r>
        <w:t xml:space="preserve">  </w:t>
      </w:r>
    </w:p>
    <w:p w:rsidR="00B51CB5" w:rsidRDefault="00B51CB5">
      <w:pPr>
        <w:pStyle w:val="FootnoteText"/>
      </w:pPr>
    </w:p>
  </w:footnote>
  <w:footnote w:id="7">
    <w:p w:rsidR="00B51CB5" w:rsidRDefault="00B51CB5">
      <w:pPr>
        <w:pStyle w:val="FootnoteText"/>
      </w:pPr>
      <w:r>
        <w:rPr>
          <w:rStyle w:val="FootnoteReference"/>
        </w:rPr>
        <w:footnoteRef/>
      </w:r>
      <w:r>
        <w:t xml:space="preserve"> See Toder, Eric, “Reducing the Tax Gap:  The Illusion of Pain-Free Deficit Reduction,” </w:t>
      </w:r>
      <w:hyperlink r:id="rId2" w:history="1">
        <w:r w:rsidRPr="004A0F08">
          <w:rPr>
            <w:rStyle w:val="Hyperlink"/>
          </w:rPr>
          <w:t>http://www.urban.org/publications/411496.html</w:t>
        </w:r>
      </w:hyperlink>
      <w:r>
        <w:t>.</w:t>
      </w:r>
    </w:p>
    <w:p w:rsidR="00B51CB5" w:rsidRDefault="00B51CB5">
      <w:pPr>
        <w:pStyle w:val="FootnoteText"/>
      </w:pPr>
    </w:p>
  </w:footnote>
  <w:footnote w:id="8">
    <w:p w:rsidR="00B51CB5" w:rsidRDefault="00B51CB5">
      <w:pPr>
        <w:pStyle w:val="FootnoteText"/>
      </w:pPr>
      <w:r>
        <w:rPr>
          <w:rStyle w:val="FootnoteReference"/>
        </w:rPr>
        <w:footnoteRef/>
      </w:r>
      <w:r>
        <w:t xml:space="preserve"> IRS Oversight Board, FY 2009 Budget Recommendation, Special Report, March 2008.</w:t>
      </w:r>
    </w:p>
    <w:p w:rsidR="00B51CB5" w:rsidRDefault="00B51CB5">
      <w:pPr>
        <w:pStyle w:val="FootnoteText"/>
      </w:pPr>
    </w:p>
  </w:footnote>
  <w:footnote w:id="9">
    <w:p w:rsidR="00B51CB5" w:rsidRPr="003935C8" w:rsidRDefault="00B51CB5" w:rsidP="0096775A">
      <w:pPr>
        <w:pStyle w:val="FootnoteText"/>
      </w:pPr>
      <w:r>
        <w:rPr>
          <w:rStyle w:val="FootnoteReference"/>
        </w:rPr>
        <w:footnoteRef/>
      </w:r>
      <w:r>
        <w:t xml:space="preserve"> </w:t>
      </w:r>
      <w:r>
        <w:rPr>
          <w:i/>
        </w:rPr>
        <w:t>See</w:t>
      </w:r>
      <w:r>
        <w:t xml:space="preserve"> IRS Strategic Plan 2009-2013 at 21-22, available at </w:t>
      </w:r>
      <w:hyperlink r:id="rId3" w:history="1">
        <w:r w:rsidRPr="004A0F08">
          <w:rPr>
            <w:rStyle w:val="Hyperlink"/>
          </w:rPr>
          <w:t>http://www.irs.gov/pub/irs-pdf/p3744.pdf</w:t>
        </w:r>
      </w:hyperlink>
      <w:r>
        <w:t>.</w:t>
      </w:r>
    </w:p>
  </w:footnote>
  <w:footnote w:id="10">
    <w:p w:rsidR="00B51CB5" w:rsidRDefault="00B51CB5">
      <w:pPr>
        <w:pStyle w:val="FootnoteText"/>
      </w:pPr>
      <w:r>
        <w:rPr>
          <w:rStyle w:val="FootnoteReference"/>
        </w:rPr>
        <w:footnoteRef/>
      </w:r>
      <w:r>
        <w:t xml:space="preserve">   A taxpayer participating in a Distressed Asset/Debt (DAD) shelter purchases, for a small amount of money, an interest in a partnership that contains foreign non-performing (distressed) assets.  When some recognition event occurs that triggers a loss, the distressed assets are treated as if they had a basis equal to their original purported cost basis.</w:t>
      </w:r>
    </w:p>
    <w:p w:rsidR="00B51CB5" w:rsidRDefault="00B51CB5">
      <w:pPr>
        <w:pStyle w:val="FootnoteText"/>
      </w:pPr>
    </w:p>
  </w:footnote>
  <w:footnote w:id="11">
    <w:p w:rsidR="00B51CB5" w:rsidRDefault="00B51CB5">
      <w:pPr>
        <w:pStyle w:val="FootnoteText"/>
      </w:pPr>
      <w:r>
        <w:rPr>
          <w:rStyle w:val="FootnoteReference"/>
        </w:rPr>
        <w:footnoteRef/>
      </w:r>
      <w:r>
        <w:t xml:space="preserve">   The FOCUS (“Family Office Customized”) tax shelter involves a series of preplanned transactions using foreign-currency straddles and a three-tiered partnership structure to create sham losses, which are intended to offset capital gains.</w:t>
      </w:r>
    </w:p>
    <w:p w:rsidR="00B51CB5" w:rsidRDefault="00B51CB5">
      <w:pPr>
        <w:pStyle w:val="FootnoteText"/>
      </w:pPr>
    </w:p>
  </w:footnote>
  <w:footnote w:id="12">
    <w:p w:rsidR="00B51CB5" w:rsidRPr="004C02AE" w:rsidRDefault="00B51CB5" w:rsidP="00C377B5">
      <w:pPr>
        <w:pStyle w:val="FootnoteText"/>
      </w:pPr>
      <w:r>
        <w:rPr>
          <w:rStyle w:val="FootnoteReference"/>
        </w:rPr>
        <w:footnoteRef/>
      </w:r>
      <w:r>
        <w:t xml:space="preserve"> The Tax Division treats as one “group” two or more tax shelter cases that involve the same scheme and/or the same promoter, are handled by the same opposing lawyer(s), and are filed in the same judicial district, whether or not the cases have been consolidated by the court</w:t>
      </w:r>
      <w:r w:rsidRPr="00D4648C">
        <w:t xml:space="preserve">.  For example, the 91 so-called Presidio cases pending in the Northern District of California, each involving a “Son of BOSS” tax shelter, facilitated by the same promoter, are treated as one group.  </w:t>
      </w:r>
    </w:p>
    <w:p w:rsidR="00B51CB5" w:rsidRDefault="00B51CB5" w:rsidP="00C377B5">
      <w:pPr>
        <w:pStyle w:val="FootnoteText"/>
      </w:pPr>
    </w:p>
  </w:footnote>
  <w:footnote w:id="13">
    <w:p w:rsidR="00B51CB5" w:rsidRDefault="00B51CB5">
      <w:pPr>
        <w:pStyle w:val="FootnoteText"/>
      </w:pPr>
      <w:r>
        <w:rPr>
          <w:rStyle w:val="FootnoteReference"/>
        </w:rPr>
        <w:footnoteRef/>
      </w:r>
      <w:r>
        <w:t xml:space="preserve">   </w:t>
      </w:r>
      <w:r>
        <w:rPr>
          <w:lang w:val="en-CA"/>
        </w:rPr>
        <w:t>Before</w:t>
      </w:r>
      <w:r>
        <w:t xml:space="preserve"> the IRS may serve a John Doe summons, it must obtain authorization from a federal district court judge in an </w:t>
      </w:r>
      <w:r w:rsidRPr="009F36E2">
        <w:rPr>
          <w:i/>
        </w:rPr>
        <w:t>ex parte</w:t>
      </w:r>
      <w:r>
        <w:t xml:space="preserve"> court proceeding.  At the court proceeding, the Government must establish that  (1) the summons relates to the investigation of a particular person or ascertainable group or class of persons; (2) there is a reasonable basis for believing that such person or group or class of persons may fail or may have failed to comply with any provision of any internal revenue law; and (3) the information sought to be obtained from the records or testimony (and the identity of the person or persons with respect to whose liability the summons is issued) is not readily available from other sources.</w:t>
      </w:r>
    </w:p>
  </w:footnote>
  <w:footnote w:id="14">
    <w:p w:rsidR="00B51CB5" w:rsidRDefault="00B51CB5" w:rsidP="00122A78">
      <w:pPr>
        <w:pStyle w:val="FootnoteText"/>
      </w:pPr>
      <w:r>
        <w:rPr>
          <w:rStyle w:val="FootnoteReference"/>
        </w:rPr>
        <w:footnoteRef/>
      </w:r>
      <w:r>
        <w:t xml:space="preserve"> See IRS 2009 statistics, </w:t>
      </w:r>
      <w:hyperlink r:id="rId4" w:history="1">
        <w:r w:rsidRPr="008B5EAD">
          <w:rPr>
            <w:rStyle w:val="Hyperlink"/>
          </w:rPr>
          <w:t>www.irs.gov/taxstats/article/0,,id=211513,00.html</w:t>
        </w:r>
      </w:hyperlink>
      <w:r>
        <w:t xml:space="preserve">, Table 27. </w:t>
      </w:r>
    </w:p>
    <w:p w:rsidR="00B51CB5" w:rsidRDefault="00B51CB5" w:rsidP="00122A78">
      <w:pPr>
        <w:pStyle w:val="FootnoteText"/>
      </w:pPr>
    </w:p>
    <w:p w:rsidR="00B51CB5" w:rsidRDefault="00B51CB5">
      <w:pPr>
        <w:pStyle w:val="FootnoteText"/>
      </w:pPr>
    </w:p>
  </w:footnote>
  <w:footnote w:id="15">
    <w:p w:rsidR="00B51CB5" w:rsidRDefault="00B51CB5">
      <w:pPr>
        <w:pStyle w:val="FootnoteText"/>
      </w:pPr>
      <w:r>
        <w:rPr>
          <w:rStyle w:val="FootnoteReference"/>
        </w:rPr>
        <w:footnoteRef/>
      </w:r>
      <w:r>
        <w:t xml:space="preserve">  The Tax Division does not review or supervise most excise tax cases, which are the responsibility of the Criminal Division.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8E" w:rsidRDefault="00DD5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8E" w:rsidRDefault="00DD5B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8E" w:rsidRDefault="00DD5B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B51CB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B51CB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Pr="00400844" w:rsidRDefault="00B51CB5" w:rsidP="00F762CC">
    <w:pPr>
      <w:pStyle w:val="Header"/>
      <w:jc w:val="right"/>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Default="00B51CB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B5" w:rsidRPr="00400844" w:rsidRDefault="00B51CB5" w:rsidP="00EB4F60">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823604"/>
    <w:lvl w:ilvl="0">
      <w:start w:val="1"/>
      <w:numFmt w:val="decimal"/>
      <w:lvlText w:val="%1."/>
      <w:lvlJc w:val="left"/>
      <w:pPr>
        <w:tabs>
          <w:tab w:val="num" w:pos="1800"/>
        </w:tabs>
        <w:ind w:left="1800" w:hanging="360"/>
      </w:pPr>
    </w:lvl>
  </w:abstractNum>
  <w:abstractNum w:abstractNumId="1">
    <w:nsid w:val="FFFFFF7D"/>
    <w:multiLevelType w:val="singleLevel"/>
    <w:tmpl w:val="323A571E"/>
    <w:lvl w:ilvl="0">
      <w:start w:val="1"/>
      <w:numFmt w:val="decimal"/>
      <w:lvlText w:val="%1."/>
      <w:lvlJc w:val="left"/>
      <w:pPr>
        <w:tabs>
          <w:tab w:val="num" w:pos="1440"/>
        </w:tabs>
        <w:ind w:left="1440" w:hanging="360"/>
      </w:pPr>
    </w:lvl>
  </w:abstractNum>
  <w:abstractNum w:abstractNumId="2">
    <w:nsid w:val="FFFFFF7E"/>
    <w:multiLevelType w:val="singleLevel"/>
    <w:tmpl w:val="243A1D88"/>
    <w:lvl w:ilvl="0">
      <w:start w:val="1"/>
      <w:numFmt w:val="decimal"/>
      <w:lvlText w:val="%1."/>
      <w:lvlJc w:val="left"/>
      <w:pPr>
        <w:tabs>
          <w:tab w:val="num" w:pos="1080"/>
        </w:tabs>
        <w:ind w:left="1080" w:hanging="360"/>
      </w:pPr>
    </w:lvl>
  </w:abstractNum>
  <w:abstractNum w:abstractNumId="3">
    <w:nsid w:val="FFFFFF7F"/>
    <w:multiLevelType w:val="singleLevel"/>
    <w:tmpl w:val="EC16ABC4"/>
    <w:lvl w:ilvl="0">
      <w:start w:val="1"/>
      <w:numFmt w:val="decimal"/>
      <w:lvlText w:val="%1."/>
      <w:lvlJc w:val="left"/>
      <w:pPr>
        <w:tabs>
          <w:tab w:val="num" w:pos="720"/>
        </w:tabs>
        <w:ind w:left="720" w:hanging="360"/>
      </w:pPr>
    </w:lvl>
  </w:abstractNum>
  <w:abstractNum w:abstractNumId="4">
    <w:nsid w:val="FFFFFF80"/>
    <w:multiLevelType w:val="singleLevel"/>
    <w:tmpl w:val="B2866F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E4009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826D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5320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6265FC"/>
    <w:lvl w:ilvl="0">
      <w:start w:val="1"/>
      <w:numFmt w:val="decimal"/>
      <w:lvlText w:val="%1."/>
      <w:lvlJc w:val="left"/>
      <w:pPr>
        <w:tabs>
          <w:tab w:val="num" w:pos="360"/>
        </w:tabs>
        <w:ind w:left="360" w:hanging="360"/>
      </w:pPr>
    </w:lvl>
  </w:abstractNum>
  <w:abstractNum w:abstractNumId="9">
    <w:nsid w:val="FFFFFF89"/>
    <w:multiLevelType w:val="singleLevel"/>
    <w:tmpl w:val="7CC04586"/>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multilevel"/>
    <w:tmpl w:val="00000000"/>
    <w:name w:val="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C10A05"/>
    <w:multiLevelType w:val="hybridMultilevel"/>
    <w:tmpl w:val="093EFA4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026927D0"/>
    <w:multiLevelType w:val="hybridMultilevel"/>
    <w:tmpl w:val="2DD00AFE"/>
    <w:lvl w:ilvl="0" w:tplc="23EC8F76">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5E01169"/>
    <w:multiLevelType w:val="hybridMultilevel"/>
    <w:tmpl w:val="38BC037E"/>
    <w:lvl w:ilvl="0" w:tplc="23EC8F76">
      <w:start w:val="1"/>
      <w:numFmt w:val="upperLetter"/>
      <w:lvlText w:val="%1."/>
      <w:lvlJc w:val="left"/>
      <w:pPr>
        <w:tabs>
          <w:tab w:val="num" w:pos="1140"/>
        </w:tabs>
        <w:ind w:left="1140" w:hanging="42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9774E4B"/>
    <w:multiLevelType w:val="hybridMultilevel"/>
    <w:tmpl w:val="D26E5EF2"/>
    <w:lvl w:ilvl="0" w:tplc="23EC8F76">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09FD6E53"/>
    <w:multiLevelType w:val="hybridMultilevel"/>
    <w:tmpl w:val="8E2CAB4C"/>
    <w:lvl w:ilvl="0" w:tplc="23EC8F76">
      <w:start w:val="1"/>
      <w:numFmt w:val="upperLetter"/>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0DCE4193"/>
    <w:multiLevelType w:val="hybridMultilevel"/>
    <w:tmpl w:val="CD42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5C65B1"/>
    <w:multiLevelType w:val="hybridMultilevel"/>
    <w:tmpl w:val="2D0A68B6"/>
    <w:lvl w:ilvl="0" w:tplc="23EC8F76">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4983D3E"/>
    <w:multiLevelType w:val="hybridMultilevel"/>
    <w:tmpl w:val="42F641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17F36800"/>
    <w:multiLevelType w:val="hybridMultilevel"/>
    <w:tmpl w:val="A13635C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8047E17"/>
    <w:multiLevelType w:val="hybridMultilevel"/>
    <w:tmpl w:val="F32CA22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ECD53A4"/>
    <w:multiLevelType w:val="hybridMultilevel"/>
    <w:tmpl w:val="E014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F302240"/>
    <w:multiLevelType w:val="multilevel"/>
    <w:tmpl w:val="260E66FC"/>
    <w:lvl w:ilvl="0">
      <w:start w:val="1"/>
      <w:numFmt w:val="upperRoman"/>
      <w:pStyle w:val="Heading1"/>
      <w:lvlText w:val="%1."/>
      <w:lvlJc w:val="left"/>
      <w:pPr>
        <w:tabs>
          <w:tab w:val="num" w:pos="2340"/>
        </w:tabs>
        <w:ind w:left="198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nsid w:val="21CC4699"/>
    <w:multiLevelType w:val="hybridMultilevel"/>
    <w:tmpl w:val="19D2D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1F74490"/>
    <w:multiLevelType w:val="hybridMultilevel"/>
    <w:tmpl w:val="F476F7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2F7F4ECC"/>
    <w:multiLevelType w:val="hybridMultilevel"/>
    <w:tmpl w:val="3D3C81E0"/>
    <w:lvl w:ilvl="0" w:tplc="23EC8F76">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B60EA0"/>
    <w:multiLevelType w:val="hybridMultilevel"/>
    <w:tmpl w:val="D228C612"/>
    <w:lvl w:ilvl="0" w:tplc="007E1D00">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7">
    <w:nsid w:val="3535704A"/>
    <w:multiLevelType w:val="hybridMultilevel"/>
    <w:tmpl w:val="6F64E29C"/>
    <w:lvl w:ilvl="0" w:tplc="58481BC4">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8">
    <w:nsid w:val="3DB50E6D"/>
    <w:multiLevelType w:val="hybridMultilevel"/>
    <w:tmpl w:val="9CF4A63A"/>
    <w:lvl w:ilvl="0" w:tplc="B1C8E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224E71"/>
    <w:multiLevelType w:val="hybridMultilevel"/>
    <w:tmpl w:val="F0FEC6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7F544F3"/>
    <w:multiLevelType w:val="hybridMultilevel"/>
    <w:tmpl w:val="DAA0ECFC"/>
    <w:lvl w:ilvl="0" w:tplc="E2C67F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D0C15D7"/>
    <w:multiLevelType w:val="hybridMultilevel"/>
    <w:tmpl w:val="1D828736"/>
    <w:lvl w:ilvl="0" w:tplc="23EC8F76">
      <w:start w:val="1"/>
      <w:numFmt w:val="upperLetter"/>
      <w:lvlText w:val="%1."/>
      <w:lvlJc w:val="left"/>
      <w:pPr>
        <w:tabs>
          <w:tab w:val="num" w:pos="1080"/>
        </w:tabs>
        <w:ind w:left="1080" w:hanging="4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2">
    <w:nsid w:val="586E3EBB"/>
    <w:multiLevelType w:val="hybridMultilevel"/>
    <w:tmpl w:val="76CE3416"/>
    <w:lvl w:ilvl="0" w:tplc="CDB6418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nsid w:val="59F30740"/>
    <w:multiLevelType w:val="hybridMultilevel"/>
    <w:tmpl w:val="E4449D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B38309B"/>
    <w:multiLevelType w:val="hybridMultilevel"/>
    <w:tmpl w:val="B1A0C7AE"/>
    <w:lvl w:ilvl="0" w:tplc="04090003">
      <w:start w:val="1"/>
      <w:numFmt w:val="bullet"/>
      <w:lvlText w:val="o"/>
      <w:lvlJc w:val="left"/>
      <w:pPr>
        <w:tabs>
          <w:tab w:val="num" w:pos="840"/>
        </w:tabs>
        <w:ind w:left="840" w:hanging="360"/>
      </w:pPr>
      <w:rPr>
        <w:rFonts w:ascii="Courier New" w:hAnsi="Courier New" w:cs="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nsid w:val="5C3D5B4C"/>
    <w:multiLevelType w:val="hybridMultilevel"/>
    <w:tmpl w:val="9D4E2AF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4958DA"/>
    <w:multiLevelType w:val="hybridMultilevel"/>
    <w:tmpl w:val="C840F4A6"/>
    <w:lvl w:ilvl="0" w:tplc="5F14D6CC">
      <w:start w:val="1"/>
      <w:numFmt w:val="bullet"/>
      <w:pStyle w:val="AAG-SUM-INDENT1"/>
      <w:lvlText w:val=""/>
      <w:lvlJc w:val="left"/>
      <w:pPr>
        <w:tabs>
          <w:tab w:val="num" w:pos="720"/>
        </w:tabs>
        <w:ind w:left="720" w:hanging="360"/>
      </w:pPr>
      <w:rPr>
        <w:rFonts w:ascii="Symbol" w:hAnsi="Symbol" w:hint="default"/>
      </w:rPr>
    </w:lvl>
    <w:lvl w:ilvl="1" w:tplc="F2C4D8FC" w:tentative="1">
      <w:start w:val="1"/>
      <w:numFmt w:val="bullet"/>
      <w:lvlText w:val="o"/>
      <w:lvlJc w:val="left"/>
      <w:pPr>
        <w:tabs>
          <w:tab w:val="num" w:pos="1440"/>
        </w:tabs>
        <w:ind w:left="1440" w:hanging="360"/>
      </w:pPr>
      <w:rPr>
        <w:rFonts w:ascii="Courier New" w:hAnsi="Courier New" w:cs="Courier New" w:hint="default"/>
      </w:rPr>
    </w:lvl>
    <w:lvl w:ilvl="2" w:tplc="D2BABDF4" w:tentative="1">
      <w:start w:val="1"/>
      <w:numFmt w:val="bullet"/>
      <w:lvlText w:val=""/>
      <w:lvlJc w:val="left"/>
      <w:pPr>
        <w:tabs>
          <w:tab w:val="num" w:pos="2160"/>
        </w:tabs>
        <w:ind w:left="2160" w:hanging="360"/>
      </w:pPr>
      <w:rPr>
        <w:rFonts w:ascii="Wingdings" w:hAnsi="Wingdings" w:hint="default"/>
      </w:rPr>
    </w:lvl>
    <w:lvl w:ilvl="3" w:tplc="D180CC82" w:tentative="1">
      <w:start w:val="1"/>
      <w:numFmt w:val="bullet"/>
      <w:lvlText w:val=""/>
      <w:lvlJc w:val="left"/>
      <w:pPr>
        <w:tabs>
          <w:tab w:val="num" w:pos="2880"/>
        </w:tabs>
        <w:ind w:left="2880" w:hanging="360"/>
      </w:pPr>
      <w:rPr>
        <w:rFonts w:ascii="Symbol" w:hAnsi="Symbol" w:hint="default"/>
      </w:rPr>
    </w:lvl>
    <w:lvl w:ilvl="4" w:tplc="479468BE" w:tentative="1">
      <w:start w:val="1"/>
      <w:numFmt w:val="bullet"/>
      <w:lvlText w:val="o"/>
      <w:lvlJc w:val="left"/>
      <w:pPr>
        <w:tabs>
          <w:tab w:val="num" w:pos="3600"/>
        </w:tabs>
        <w:ind w:left="3600" w:hanging="360"/>
      </w:pPr>
      <w:rPr>
        <w:rFonts w:ascii="Courier New" w:hAnsi="Courier New" w:cs="Courier New" w:hint="default"/>
      </w:rPr>
    </w:lvl>
    <w:lvl w:ilvl="5" w:tplc="B55AC38E" w:tentative="1">
      <w:start w:val="1"/>
      <w:numFmt w:val="bullet"/>
      <w:lvlText w:val=""/>
      <w:lvlJc w:val="left"/>
      <w:pPr>
        <w:tabs>
          <w:tab w:val="num" w:pos="4320"/>
        </w:tabs>
        <w:ind w:left="4320" w:hanging="360"/>
      </w:pPr>
      <w:rPr>
        <w:rFonts w:ascii="Wingdings" w:hAnsi="Wingdings" w:hint="default"/>
      </w:rPr>
    </w:lvl>
    <w:lvl w:ilvl="6" w:tplc="99085566" w:tentative="1">
      <w:start w:val="1"/>
      <w:numFmt w:val="bullet"/>
      <w:lvlText w:val=""/>
      <w:lvlJc w:val="left"/>
      <w:pPr>
        <w:tabs>
          <w:tab w:val="num" w:pos="5040"/>
        </w:tabs>
        <w:ind w:left="5040" w:hanging="360"/>
      </w:pPr>
      <w:rPr>
        <w:rFonts w:ascii="Symbol" w:hAnsi="Symbol" w:hint="default"/>
      </w:rPr>
    </w:lvl>
    <w:lvl w:ilvl="7" w:tplc="AE022288" w:tentative="1">
      <w:start w:val="1"/>
      <w:numFmt w:val="bullet"/>
      <w:lvlText w:val="o"/>
      <w:lvlJc w:val="left"/>
      <w:pPr>
        <w:tabs>
          <w:tab w:val="num" w:pos="5760"/>
        </w:tabs>
        <w:ind w:left="5760" w:hanging="360"/>
      </w:pPr>
      <w:rPr>
        <w:rFonts w:ascii="Courier New" w:hAnsi="Courier New" w:cs="Courier New" w:hint="default"/>
      </w:rPr>
    </w:lvl>
    <w:lvl w:ilvl="8" w:tplc="3028DD28" w:tentative="1">
      <w:start w:val="1"/>
      <w:numFmt w:val="bullet"/>
      <w:lvlText w:val=""/>
      <w:lvlJc w:val="left"/>
      <w:pPr>
        <w:tabs>
          <w:tab w:val="num" w:pos="6480"/>
        </w:tabs>
        <w:ind w:left="6480" w:hanging="360"/>
      </w:pPr>
      <w:rPr>
        <w:rFonts w:ascii="Wingdings" w:hAnsi="Wingdings" w:hint="default"/>
      </w:rPr>
    </w:lvl>
  </w:abstractNum>
  <w:abstractNum w:abstractNumId="37">
    <w:nsid w:val="6F626256"/>
    <w:multiLevelType w:val="hybridMultilevel"/>
    <w:tmpl w:val="ACFCC36A"/>
    <w:lvl w:ilvl="0" w:tplc="23EC8F76">
      <w:start w:val="1"/>
      <w:numFmt w:val="upperLetter"/>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12B3C2E"/>
    <w:multiLevelType w:val="hybridMultilevel"/>
    <w:tmpl w:val="095A1F2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6B2EE0A">
      <w:start w:val="1"/>
      <w:numFmt w:val="bullet"/>
      <w:pStyle w:val="AAG-SUM-BULLET"/>
      <w:lvlText w:val="o"/>
      <w:lvlJc w:val="left"/>
      <w:pPr>
        <w:tabs>
          <w:tab w:val="num" w:pos="1080"/>
        </w:tabs>
        <w:ind w:left="108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9D0D9E"/>
    <w:multiLevelType w:val="hybridMultilevel"/>
    <w:tmpl w:val="109EFA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24"/>
  </w:num>
  <w:num w:numId="3">
    <w:abstractNumId w:val="36"/>
  </w:num>
  <w:num w:numId="4">
    <w:abstractNumId w:val="21"/>
  </w:num>
  <w:num w:numId="5">
    <w:abstractNumId w:val="19"/>
  </w:num>
  <w:num w:numId="6">
    <w:abstractNumId w:val="18"/>
  </w:num>
  <w:num w:numId="7">
    <w:abstractNumId w:val="33"/>
  </w:num>
  <w:num w:numId="8">
    <w:abstractNumId w:val="39"/>
  </w:num>
  <w:num w:numId="9">
    <w:abstractNumId w:val="13"/>
  </w:num>
  <w:num w:numId="10">
    <w:abstractNumId w:val="14"/>
  </w:num>
  <w:num w:numId="11">
    <w:abstractNumId w:val="25"/>
  </w:num>
  <w:num w:numId="12">
    <w:abstractNumId w:val="37"/>
  </w:num>
  <w:num w:numId="13">
    <w:abstractNumId w:val="12"/>
  </w:num>
  <w:num w:numId="14">
    <w:abstractNumId w:val="15"/>
  </w:num>
  <w:num w:numId="15">
    <w:abstractNumId w:val="17"/>
  </w:num>
  <w:num w:numId="16">
    <w:abstractNumId w:val="31"/>
  </w:num>
  <w:num w:numId="17">
    <w:abstractNumId w:val="20"/>
  </w:num>
  <w:num w:numId="18">
    <w:abstractNumId w:val="3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3"/>
  </w:num>
  <w:num w:numId="31">
    <w:abstractNumId w:val="34"/>
  </w:num>
  <w:num w:numId="32">
    <w:abstractNumId w:val="38"/>
  </w:num>
  <w:num w:numId="33">
    <w:abstractNumId w:val="29"/>
  </w:num>
  <w:num w:numId="34">
    <w:abstractNumId w:val="27"/>
  </w:num>
  <w:num w:numId="35">
    <w:abstractNumId w:val="26"/>
  </w:num>
  <w:num w:numId="36">
    <w:abstractNumId w:val="28"/>
  </w:num>
  <w:num w:numId="37">
    <w:abstractNumId w:val="32"/>
  </w:num>
  <w:num w:numId="38">
    <w:abstractNumId w:val="30"/>
  </w:num>
  <w:num w:numId="39">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4"/>
  <w:defaultTabStop w:val="720"/>
  <w:characterSpacingControl w:val="doNotCompress"/>
  <w:hdrShapeDefaults>
    <o:shapedefaults v:ext="edit" spidmax="38913"/>
  </w:hdrShapeDefaults>
  <w:footnotePr>
    <w:footnote w:id="-1"/>
    <w:footnote w:id="0"/>
  </w:footnotePr>
  <w:endnotePr>
    <w:endnote w:id="-1"/>
    <w:endnote w:id="0"/>
  </w:endnotePr>
  <w:compat/>
  <w:rsids>
    <w:rsidRoot w:val="00BD0FCC"/>
    <w:rsid w:val="0000074E"/>
    <w:rsid w:val="0000166E"/>
    <w:rsid w:val="00001810"/>
    <w:rsid w:val="00001EDA"/>
    <w:rsid w:val="00002CA0"/>
    <w:rsid w:val="000033C6"/>
    <w:rsid w:val="0000428C"/>
    <w:rsid w:val="0000511D"/>
    <w:rsid w:val="000051B7"/>
    <w:rsid w:val="000055E8"/>
    <w:rsid w:val="0000573E"/>
    <w:rsid w:val="000068CC"/>
    <w:rsid w:val="00006965"/>
    <w:rsid w:val="00006C77"/>
    <w:rsid w:val="00006DCA"/>
    <w:rsid w:val="00007A24"/>
    <w:rsid w:val="00010842"/>
    <w:rsid w:val="00011041"/>
    <w:rsid w:val="0001107A"/>
    <w:rsid w:val="00011707"/>
    <w:rsid w:val="000118CC"/>
    <w:rsid w:val="0001295D"/>
    <w:rsid w:val="00012D6E"/>
    <w:rsid w:val="000135D5"/>
    <w:rsid w:val="00013D39"/>
    <w:rsid w:val="00014DB5"/>
    <w:rsid w:val="00015508"/>
    <w:rsid w:val="00015C33"/>
    <w:rsid w:val="000169C2"/>
    <w:rsid w:val="00017D3E"/>
    <w:rsid w:val="000212A9"/>
    <w:rsid w:val="00021858"/>
    <w:rsid w:val="00021ED8"/>
    <w:rsid w:val="00021F0F"/>
    <w:rsid w:val="000223E4"/>
    <w:rsid w:val="00023FA8"/>
    <w:rsid w:val="000240D4"/>
    <w:rsid w:val="0002423B"/>
    <w:rsid w:val="00025A16"/>
    <w:rsid w:val="00025C79"/>
    <w:rsid w:val="000267A8"/>
    <w:rsid w:val="00026AC1"/>
    <w:rsid w:val="00027166"/>
    <w:rsid w:val="00027626"/>
    <w:rsid w:val="0002769E"/>
    <w:rsid w:val="00027B16"/>
    <w:rsid w:val="00027D20"/>
    <w:rsid w:val="00027E14"/>
    <w:rsid w:val="00027F17"/>
    <w:rsid w:val="00030CED"/>
    <w:rsid w:val="00030EE9"/>
    <w:rsid w:val="0003128D"/>
    <w:rsid w:val="00031906"/>
    <w:rsid w:val="00032691"/>
    <w:rsid w:val="00032D60"/>
    <w:rsid w:val="00033A95"/>
    <w:rsid w:val="00033D77"/>
    <w:rsid w:val="00034958"/>
    <w:rsid w:val="00034E2D"/>
    <w:rsid w:val="00035FF3"/>
    <w:rsid w:val="00036114"/>
    <w:rsid w:val="00036116"/>
    <w:rsid w:val="0003617B"/>
    <w:rsid w:val="00036277"/>
    <w:rsid w:val="00036C99"/>
    <w:rsid w:val="00036EC6"/>
    <w:rsid w:val="000373E0"/>
    <w:rsid w:val="0003754B"/>
    <w:rsid w:val="00037F9D"/>
    <w:rsid w:val="000402F1"/>
    <w:rsid w:val="0004044B"/>
    <w:rsid w:val="000405E9"/>
    <w:rsid w:val="00040826"/>
    <w:rsid w:val="00040B26"/>
    <w:rsid w:val="000410D4"/>
    <w:rsid w:val="0004138E"/>
    <w:rsid w:val="0004149B"/>
    <w:rsid w:val="00041911"/>
    <w:rsid w:val="00041D42"/>
    <w:rsid w:val="000421F4"/>
    <w:rsid w:val="00043130"/>
    <w:rsid w:val="00043F85"/>
    <w:rsid w:val="0004406F"/>
    <w:rsid w:val="000453D7"/>
    <w:rsid w:val="00045DFD"/>
    <w:rsid w:val="00046403"/>
    <w:rsid w:val="00047058"/>
    <w:rsid w:val="00047105"/>
    <w:rsid w:val="0004760D"/>
    <w:rsid w:val="00047A8D"/>
    <w:rsid w:val="00047B07"/>
    <w:rsid w:val="00047B1E"/>
    <w:rsid w:val="00047E0F"/>
    <w:rsid w:val="0005078A"/>
    <w:rsid w:val="00050ACD"/>
    <w:rsid w:val="00050B58"/>
    <w:rsid w:val="00051412"/>
    <w:rsid w:val="00051837"/>
    <w:rsid w:val="00051E30"/>
    <w:rsid w:val="00053A04"/>
    <w:rsid w:val="00053AB2"/>
    <w:rsid w:val="0005444C"/>
    <w:rsid w:val="000546B4"/>
    <w:rsid w:val="00054C2D"/>
    <w:rsid w:val="0005535C"/>
    <w:rsid w:val="00055AC5"/>
    <w:rsid w:val="00055DDE"/>
    <w:rsid w:val="00055F0B"/>
    <w:rsid w:val="00056168"/>
    <w:rsid w:val="00056246"/>
    <w:rsid w:val="0005783E"/>
    <w:rsid w:val="00060A76"/>
    <w:rsid w:val="00060D94"/>
    <w:rsid w:val="000610CB"/>
    <w:rsid w:val="0006113E"/>
    <w:rsid w:val="000616BF"/>
    <w:rsid w:val="00061977"/>
    <w:rsid w:val="00061987"/>
    <w:rsid w:val="000619F9"/>
    <w:rsid w:val="000625EC"/>
    <w:rsid w:val="00062E1F"/>
    <w:rsid w:val="00063E67"/>
    <w:rsid w:val="000643A1"/>
    <w:rsid w:val="00064BC5"/>
    <w:rsid w:val="000668B9"/>
    <w:rsid w:val="00066B10"/>
    <w:rsid w:val="00066B4B"/>
    <w:rsid w:val="00066D60"/>
    <w:rsid w:val="00067C8E"/>
    <w:rsid w:val="0007002C"/>
    <w:rsid w:val="0007051C"/>
    <w:rsid w:val="000708A9"/>
    <w:rsid w:val="000711AF"/>
    <w:rsid w:val="00071FB5"/>
    <w:rsid w:val="00072385"/>
    <w:rsid w:val="000726A0"/>
    <w:rsid w:val="0007272A"/>
    <w:rsid w:val="000728A1"/>
    <w:rsid w:val="000729AD"/>
    <w:rsid w:val="00072E04"/>
    <w:rsid w:val="00073494"/>
    <w:rsid w:val="0007362C"/>
    <w:rsid w:val="000737DD"/>
    <w:rsid w:val="00073F81"/>
    <w:rsid w:val="00074526"/>
    <w:rsid w:val="00074F68"/>
    <w:rsid w:val="00074FC0"/>
    <w:rsid w:val="00075B65"/>
    <w:rsid w:val="00075EF9"/>
    <w:rsid w:val="00077071"/>
    <w:rsid w:val="00080410"/>
    <w:rsid w:val="00081088"/>
    <w:rsid w:val="00081416"/>
    <w:rsid w:val="0008180F"/>
    <w:rsid w:val="00081949"/>
    <w:rsid w:val="00081F5C"/>
    <w:rsid w:val="000826BB"/>
    <w:rsid w:val="00082BBA"/>
    <w:rsid w:val="00082F9F"/>
    <w:rsid w:val="000839BE"/>
    <w:rsid w:val="00083A78"/>
    <w:rsid w:val="000840D1"/>
    <w:rsid w:val="00084A69"/>
    <w:rsid w:val="00084F23"/>
    <w:rsid w:val="000854D4"/>
    <w:rsid w:val="00085F58"/>
    <w:rsid w:val="00086310"/>
    <w:rsid w:val="00086B30"/>
    <w:rsid w:val="00086FD8"/>
    <w:rsid w:val="000870C3"/>
    <w:rsid w:val="00087B3B"/>
    <w:rsid w:val="000903C2"/>
    <w:rsid w:val="0009057D"/>
    <w:rsid w:val="00091800"/>
    <w:rsid w:val="00093167"/>
    <w:rsid w:val="00093CE9"/>
    <w:rsid w:val="00093E31"/>
    <w:rsid w:val="00095172"/>
    <w:rsid w:val="00095F87"/>
    <w:rsid w:val="000960FC"/>
    <w:rsid w:val="0009656A"/>
    <w:rsid w:val="000972BB"/>
    <w:rsid w:val="000973F2"/>
    <w:rsid w:val="00097B8C"/>
    <w:rsid w:val="000A07EB"/>
    <w:rsid w:val="000A088E"/>
    <w:rsid w:val="000A1011"/>
    <w:rsid w:val="000A129A"/>
    <w:rsid w:val="000A18A7"/>
    <w:rsid w:val="000A3882"/>
    <w:rsid w:val="000A4307"/>
    <w:rsid w:val="000A4386"/>
    <w:rsid w:val="000A5149"/>
    <w:rsid w:val="000A5263"/>
    <w:rsid w:val="000A62CB"/>
    <w:rsid w:val="000A651B"/>
    <w:rsid w:val="000A65B7"/>
    <w:rsid w:val="000A745B"/>
    <w:rsid w:val="000B0C67"/>
    <w:rsid w:val="000B0D87"/>
    <w:rsid w:val="000B10AB"/>
    <w:rsid w:val="000B164A"/>
    <w:rsid w:val="000B1A94"/>
    <w:rsid w:val="000B1FBD"/>
    <w:rsid w:val="000B29B4"/>
    <w:rsid w:val="000B2C1C"/>
    <w:rsid w:val="000B3B81"/>
    <w:rsid w:val="000B3CCF"/>
    <w:rsid w:val="000B4066"/>
    <w:rsid w:val="000B45A8"/>
    <w:rsid w:val="000B46D7"/>
    <w:rsid w:val="000B4F0A"/>
    <w:rsid w:val="000B4F36"/>
    <w:rsid w:val="000B51BA"/>
    <w:rsid w:val="000B561A"/>
    <w:rsid w:val="000B64FB"/>
    <w:rsid w:val="000B69A8"/>
    <w:rsid w:val="000B6D95"/>
    <w:rsid w:val="000B6ED3"/>
    <w:rsid w:val="000B6F10"/>
    <w:rsid w:val="000B76B8"/>
    <w:rsid w:val="000B7DC9"/>
    <w:rsid w:val="000B7FC6"/>
    <w:rsid w:val="000C0337"/>
    <w:rsid w:val="000C04BA"/>
    <w:rsid w:val="000C0BEA"/>
    <w:rsid w:val="000C0F62"/>
    <w:rsid w:val="000C1477"/>
    <w:rsid w:val="000C19EE"/>
    <w:rsid w:val="000C234E"/>
    <w:rsid w:val="000C324F"/>
    <w:rsid w:val="000C475E"/>
    <w:rsid w:val="000C52EF"/>
    <w:rsid w:val="000C5D6C"/>
    <w:rsid w:val="000C612D"/>
    <w:rsid w:val="000C6288"/>
    <w:rsid w:val="000C6A54"/>
    <w:rsid w:val="000C6EF1"/>
    <w:rsid w:val="000C7399"/>
    <w:rsid w:val="000D0192"/>
    <w:rsid w:val="000D031B"/>
    <w:rsid w:val="000D0523"/>
    <w:rsid w:val="000D0860"/>
    <w:rsid w:val="000D1148"/>
    <w:rsid w:val="000D143D"/>
    <w:rsid w:val="000D1D41"/>
    <w:rsid w:val="000D1E2F"/>
    <w:rsid w:val="000D22ED"/>
    <w:rsid w:val="000D235A"/>
    <w:rsid w:val="000D2AE8"/>
    <w:rsid w:val="000D3B89"/>
    <w:rsid w:val="000D42BB"/>
    <w:rsid w:val="000D4455"/>
    <w:rsid w:val="000D46B7"/>
    <w:rsid w:val="000D579A"/>
    <w:rsid w:val="000D5A11"/>
    <w:rsid w:val="000D5F9D"/>
    <w:rsid w:val="000D7045"/>
    <w:rsid w:val="000D7655"/>
    <w:rsid w:val="000D7A40"/>
    <w:rsid w:val="000E156B"/>
    <w:rsid w:val="000E187E"/>
    <w:rsid w:val="000E2050"/>
    <w:rsid w:val="000E20C4"/>
    <w:rsid w:val="000E2853"/>
    <w:rsid w:val="000E28C4"/>
    <w:rsid w:val="000E2C78"/>
    <w:rsid w:val="000E47D2"/>
    <w:rsid w:val="000E4B66"/>
    <w:rsid w:val="000E5BD8"/>
    <w:rsid w:val="000F026C"/>
    <w:rsid w:val="000F07AD"/>
    <w:rsid w:val="000F0D32"/>
    <w:rsid w:val="000F1AE4"/>
    <w:rsid w:val="000F208D"/>
    <w:rsid w:val="000F2351"/>
    <w:rsid w:val="000F2A08"/>
    <w:rsid w:val="000F2ADB"/>
    <w:rsid w:val="000F2C5D"/>
    <w:rsid w:val="000F3BEC"/>
    <w:rsid w:val="000F3F68"/>
    <w:rsid w:val="000F4604"/>
    <w:rsid w:val="000F48E1"/>
    <w:rsid w:val="000F4B83"/>
    <w:rsid w:val="000F52EC"/>
    <w:rsid w:val="000F547C"/>
    <w:rsid w:val="000F61B1"/>
    <w:rsid w:val="000F6F9C"/>
    <w:rsid w:val="000F7277"/>
    <w:rsid w:val="000F732F"/>
    <w:rsid w:val="000F7D63"/>
    <w:rsid w:val="0010071B"/>
    <w:rsid w:val="0010139C"/>
    <w:rsid w:val="00101432"/>
    <w:rsid w:val="001024E7"/>
    <w:rsid w:val="001024FF"/>
    <w:rsid w:val="00102772"/>
    <w:rsid w:val="00102813"/>
    <w:rsid w:val="00102D20"/>
    <w:rsid w:val="0010333B"/>
    <w:rsid w:val="00103420"/>
    <w:rsid w:val="001034DB"/>
    <w:rsid w:val="001039ED"/>
    <w:rsid w:val="00103B7D"/>
    <w:rsid w:val="00103DAA"/>
    <w:rsid w:val="00103ECA"/>
    <w:rsid w:val="00104603"/>
    <w:rsid w:val="00104747"/>
    <w:rsid w:val="00105718"/>
    <w:rsid w:val="0010581D"/>
    <w:rsid w:val="00105822"/>
    <w:rsid w:val="00105834"/>
    <w:rsid w:val="00105B83"/>
    <w:rsid w:val="00107A64"/>
    <w:rsid w:val="00110A41"/>
    <w:rsid w:val="0011180F"/>
    <w:rsid w:val="00111CA0"/>
    <w:rsid w:val="00112073"/>
    <w:rsid w:val="00113191"/>
    <w:rsid w:val="0011324D"/>
    <w:rsid w:val="00114516"/>
    <w:rsid w:val="00114958"/>
    <w:rsid w:val="00115DA7"/>
    <w:rsid w:val="00115E64"/>
    <w:rsid w:val="00115E71"/>
    <w:rsid w:val="00115FF5"/>
    <w:rsid w:val="001165F3"/>
    <w:rsid w:val="001167CE"/>
    <w:rsid w:val="00116886"/>
    <w:rsid w:val="00116BA3"/>
    <w:rsid w:val="00116E82"/>
    <w:rsid w:val="00116F45"/>
    <w:rsid w:val="001206F9"/>
    <w:rsid w:val="00121139"/>
    <w:rsid w:val="001225EA"/>
    <w:rsid w:val="00122A78"/>
    <w:rsid w:val="00122AF7"/>
    <w:rsid w:val="00122B3A"/>
    <w:rsid w:val="00123990"/>
    <w:rsid w:val="00123C31"/>
    <w:rsid w:val="00123DB0"/>
    <w:rsid w:val="001244E3"/>
    <w:rsid w:val="00130595"/>
    <w:rsid w:val="001307F6"/>
    <w:rsid w:val="00130953"/>
    <w:rsid w:val="00130FBE"/>
    <w:rsid w:val="00132124"/>
    <w:rsid w:val="0013237D"/>
    <w:rsid w:val="00132FDC"/>
    <w:rsid w:val="00132FEA"/>
    <w:rsid w:val="001331A2"/>
    <w:rsid w:val="00133270"/>
    <w:rsid w:val="001336CE"/>
    <w:rsid w:val="00133861"/>
    <w:rsid w:val="001338F0"/>
    <w:rsid w:val="00134A89"/>
    <w:rsid w:val="00134E1F"/>
    <w:rsid w:val="00134E28"/>
    <w:rsid w:val="00134F50"/>
    <w:rsid w:val="001353AB"/>
    <w:rsid w:val="001353C8"/>
    <w:rsid w:val="0013656D"/>
    <w:rsid w:val="0013718F"/>
    <w:rsid w:val="00137C63"/>
    <w:rsid w:val="00137F3C"/>
    <w:rsid w:val="001400DE"/>
    <w:rsid w:val="0014031C"/>
    <w:rsid w:val="00140858"/>
    <w:rsid w:val="00140D90"/>
    <w:rsid w:val="00140E04"/>
    <w:rsid w:val="00141C0C"/>
    <w:rsid w:val="00141C59"/>
    <w:rsid w:val="001423FF"/>
    <w:rsid w:val="001428F6"/>
    <w:rsid w:val="0014291E"/>
    <w:rsid w:val="00142EA8"/>
    <w:rsid w:val="00142F54"/>
    <w:rsid w:val="0014339B"/>
    <w:rsid w:val="00143B44"/>
    <w:rsid w:val="00143EB4"/>
    <w:rsid w:val="0014456D"/>
    <w:rsid w:val="0014469B"/>
    <w:rsid w:val="0014516B"/>
    <w:rsid w:val="0014532D"/>
    <w:rsid w:val="00145457"/>
    <w:rsid w:val="00145835"/>
    <w:rsid w:val="001468F9"/>
    <w:rsid w:val="00147465"/>
    <w:rsid w:val="00147515"/>
    <w:rsid w:val="00147736"/>
    <w:rsid w:val="0014796A"/>
    <w:rsid w:val="001501EF"/>
    <w:rsid w:val="00150A61"/>
    <w:rsid w:val="00151EAE"/>
    <w:rsid w:val="00152D80"/>
    <w:rsid w:val="0015361B"/>
    <w:rsid w:val="00153B80"/>
    <w:rsid w:val="00153C49"/>
    <w:rsid w:val="00154AA3"/>
    <w:rsid w:val="00155030"/>
    <w:rsid w:val="00156F58"/>
    <w:rsid w:val="001570A7"/>
    <w:rsid w:val="00157310"/>
    <w:rsid w:val="00157663"/>
    <w:rsid w:val="00157EE8"/>
    <w:rsid w:val="00161861"/>
    <w:rsid w:val="00161E7C"/>
    <w:rsid w:val="001624D9"/>
    <w:rsid w:val="00162599"/>
    <w:rsid w:val="0016272C"/>
    <w:rsid w:val="00162AA2"/>
    <w:rsid w:val="00162D62"/>
    <w:rsid w:val="00162F0B"/>
    <w:rsid w:val="001630A8"/>
    <w:rsid w:val="0016336A"/>
    <w:rsid w:val="0016352B"/>
    <w:rsid w:val="001637D8"/>
    <w:rsid w:val="0016442B"/>
    <w:rsid w:val="00164489"/>
    <w:rsid w:val="00164792"/>
    <w:rsid w:val="0016650D"/>
    <w:rsid w:val="00166546"/>
    <w:rsid w:val="00166BFB"/>
    <w:rsid w:val="00166F12"/>
    <w:rsid w:val="00167626"/>
    <w:rsid w:val="00167AC5"/>
    <w:rsid w:val="00167D07"/>
    <w:rsid w:val="00167EA4"/>
    <w:rsid w:val="00167FBE"/>
    <w:rsid w:val="00167FEA"/>
    <w:rsid w:val="00170537"/>
    <w:rsid w:val="00170B9A"/>
    <w:rsid w:val="00170D24"/>
    <w:rsid w:val="001717C5"/>
    <w:rsid w:val="001718C0"/>
    <w:rsid w:val="0017190B"/>
    <w:rsid w:val="00171ADC"/>
    <w:rsid w:val="00171B30"/>
    <w:rsid w:val="00171C3D"/>
    <w:rsid w:val="001724E6"/>
    <w:rsid w:val="001725EE"/>
    <w:rsid w:val="00173390"/>
    <w:rsid w:val="00173545"/>
    <w:rsid w:val="0017389F"/>
    <w:rsid w:val="0017391D"/>
    <w:rsid w:val="00174006"/>
    <w:rsid w:val="0017439A"/>
    <w:rsid w:val="001746D2"/>
    <w:rsid w:val="00174DEF"/>
    <w:rsid w:val="001756EE"/>
    <w:rsid w:val="001765EE"/>
    <w:rsid w:val="0017680A"/>
    <w:rsid w:val="00180EE9"/>
    <w:rsid w:val="0018118E"/>
    <w:rsid w:val="0018183E"/>
    <w:rsid w:val="0018192F"/>
    <w:rsid w:val="00182100"/>
    <w:rsid w:val="001821D3"/>
    <w:rsid w:val="001830AE"/>
    <w:rsid w:val="001838C5"/>
    <w:rsid w:val="00183BCD"/>
    <w:rsid w:val="0018405F"/>
    <w:rsid w:val="001845F9"/>
    <w:rsid w:val="0018466F"/>
    <w:rsid w:val="00184915"/>
    <w:rsid w:val="001854BE"/>
    <w:rsid w:val="00185706"/>
    <w:rsid w:val="001858BC"/>
    <w:rsid w:val="00185982"/>
    <w:rsid w:val="00185D9A"/>
    <w:rsid w:val="00186743"/>
    <w:rsid w:val="00186A37"/>
    <w:rsid w:val="00186DD6"/>
    <w:rsid w:val="00187EFB"/>
    <w:rsid w:val="001903D6"/>
    <w:rsid w:val="00191870"/>
    <w:rsid w:val="001924DF"/>
    <w:rsid w:val="00192A0D"/>
    <w:rsid w:val="00192B70"/>
    <w:rsid w:val="001932AD"/>
    <w:rsid w:val="001936C9"/>
    <w:rsid w:val="00194046"/>
    <w:rsid w:val="0019434F"/>
    <w:rsid w:val="00194749"/>
    <w:rsid w:val="001953B8"/>
    <w:rsid w:val="00195AD9"/>
    <w:rsid w:val="00196878"/>
    <w:rsid w:val="00196A8C"/>
    <w:rsid w:val="001971C7"/>
    <w:rsid w:val="001971F2"/>
    <w:rsid w:val="001976F4"/>
    <w:rsid w:val="001A027F"/>
    <w:rsid w:val="001A0384"/>
    <w:rsid w:val="001A03AD"/>
    <w:rsid w:val="001A0E5A"/>
    <w:rsid w:val="001A1395"/>
    <w:rsid w:val="001A15A3"/>
    <w:rsid w:val="001A19FD"/>
    <w:rsid w:val="001A1DC8"/>
    <w:rsid w:val="001A2068"/>
    <w:rsid w:val="001A21DF"/>
    <w:rsid w:val="001A23A5"/>
    <w:rsid w:val="001A25C7"/>
    <w:rsid w:val="001A291C"/>
    <w:rsid w:val="001A2A5E"/>
    <w:rsid w:val="001A2AF4"/>
    <w:rsid w:val="001A3401"/>
    <w:rsid w:val="001A3D76"/>
    <w:rsid w:val="001A49B6"/>
    <w:rsid w:val="001A54C4"/>
    <w:rsid w:val="001A7139"/>
    <w:rsid w:val="001A7C51"/>
    <w:rsid w:val="001A7C85"/>
    <w:rsid w:val="001A7E71"/>
    <w:rsid w:val="001B0A0A"/>
    <w:rsid w:val="001B1B92"/>
    <w:rsid w:val="001B2080"/>
    <w:rsid w:val="001B25C6"/>
    <w:rsid w:val="001B29C1"/>
    <w:rsid w:val="001B2B95"/>
    <w:rsid w:val="001B2D91"/>
    <w:rsid w:val="001B352B"/>
    <w:rsid w:val="001B3FC1"/>
    <w:rsid w:val="001B448B"/>
    <w:rsid w:val="001B48F7"/>
    <w:rsid w:val="001B5350"/>
    <w:rsid w:val="001B5667"/>
    <w:rsid w:val="001B59C8"/>
    <w:rsid w:val="001B5BC3"/>
    <w:rsid w:val="001B5C4E"/>
    <w:rsid w:val="001B6ECA"/>
    <w:rsid w:val="001B7E0C"/>
    <w:rsid w:val="001C0EFF"/>
    <w:rsid w:val="001C17CB"/>
    <w:rsid w:val="001C1C81"/>
    <w:rsid w:val="001C23A3"/>
    <w:rsid w:val="001C298B"/>
    <w:rsid w:val="001C2EEB"/>
    <w:rsid w:val="001C35BE"/>
    <w:rsid w:val="001C3AE7"/>
    <w:rsid w:val="001C400C"/>
    <w:rsid w:val="001C41E9"/>
    <w:rsid w:val="001C4BC2"/>
    <w:rsid w:val="001C4EBF"/>
    <w:rsid w:val="001C5237"/>
    <w:rsid w:val="001C52E1"/>
    <w:rsid w:val="001C67A5"/>
    <w:rsid w:val="001C6A45"/>
    <w:rsid w:val="001D0065"/>
    <w:rsid w:val="001D026D"/>
    <w:rsid w:val="001D3744"/>
    <w:rsid w:val="001D41B1"/>
    <w:rsid w:val="001D4558"/>
    <w:rsid w:val="001D468E"/>
    <w:rsid w:val="001D48C7"/>
    <w:rsid w:val="001D579D"/>
    <w:rsid w:val="001D6455"/>
    <w:rsid w:val="001D67E2"/>
    <w:rsid w:val="001D6F7D"/>
    <w:rsid w:val="001D76A3"/>
    <w:rsid w:val="001E0431"/>
    <w:rsid w:val="001E07A2"/>
    <w:rsid w:val="001E109A"/>
    <w:rsid w:val="001E167A"/>
    <w:rsid w:val="001E2A2F"/>
    <w:rsid w:val="001E2AFB"/>
    <w:rsid w:val="001E2B30"/>
    <w:rsid w:val="001E2D35"/>
    <w:rsid w:val="001E3555"/>
    <w:rsid w:val="001E3905"/>
    <w:rsid w:val="001E401D"/>
    <w:rsid w:val="001E539C"/>
    <w:rsid w:val="001E5908"/>
    <w:rsid w:val="001E5912"/>
    <w:rsid w:val="001E5F50"/>
    <w:rsid w:val="001E66A1"/>
    <w:rsid w:val="001E70E0"/>
    <w:rsid w:val="001E7982"/>
    <w:rsid w:val="001F0675"/>
    <w:rsid w:val="001F0BFF"/>
    <w:rsid w:val="001F0D77"/>
    <w:rsid w:val="001F18D9"/>
    <w:rsid w:val="001F1D60"/>
    <w:rsid w:val="001F26A3"/>
    <w:rsid w:val="001F2E4A"/>
    <w:rsid w:val="001F347E"/>
    <w:rsid w:val="001F39FD"/>
    <w:rsid w:val="001F4102"/>
    <w:rsid w:val="001F411C"/>
    <w:rsid w:val="001F461A"/>
    <w:rsid w:val="001F50C1"/>
    <w:rsid w:val="001F56FE"/>
    <w:rsid w:val="001F63D7"/>
    <w:rsid w:val="001F64C4"/>
    <w:rsid w:val="001F6975"/>
    <w:rsid w:val="00200719"/>
    <w:rsid w:val="00200B2B"/>
    <w:rsid w:val="00202B86"/>
    <w:rsid w:val="002031F5"/>
    <w:rsid w:val="00204058"/>
    <w:rsid w:val="00204C68"/>
    <w:rsid w:val="00204FCE"/>
    <w:rsid w:val="00205209"/>
    <w:rsid w:val="002063C2"/>
    <w:rsid w:val="0020667D"/>
    <w:rsid w:val="00206C6F"/>
    <w:rsid w:val="00206D07"/>
    <w:rsid w:val="00207518"/>
    <w:rsid w:val="0020759E"/>
    <w:rsid w:val="002075D7"/>
    <w:rsid w:val="0020795F"/>
    <w:rsid w:val="0020797A"/>
    <w:rsid w:val="00207C64"/>
    <w:rsid w:val="00207FDD"/>
    <w:rsid w:val="0021007B"/>
    <w:rsid w:val="00210482"/>
    <w:rsid w:val="00210817"/>
    <w:rsid w:val="00210968"/>
    <w:rsid w:val="00210CA3"/>
    <w:rsid w:val="0021112F"/>
    <w:rsid w:val="0021120A"/>
    <w:rsid w:val="00211270"/>
    <w:rsid w:val="00211596"/>
    <w:rsid w:val="002119BD"/>
    <w:rsid w:val="00212081"/>
    <w:rsid w:val="002121BC"/>
    <w:rsid w:val="00212345"/>
    <w:rsid w:val="00212B55"/>
    <w:rsid w:val="00212D6D"/>
    <w:rsid w:val="0021453D"/>
    <w:rsid w:val="00214A64"/>
    <w:rsid w:val="002152F2"/>
    <w:rsid w:val="00215683"/>
    <w:rsid w:val="00215EB5"/>
    <w:rsid w:val="00216053"/>
    <w:rsid w:val="00216EAB"/>
    <w:rsid w:val="002171D4"/>
    <w:rsid w:val="00220425"/>
    <w:rsid w:val="002209FC"/>
    <w:rsid w:val="00220C29"/>
    <w:rsid w:val="0022136A"/>
    <w:rsid w:val="002215EC"/>
    <w:rsid w:val="00221A17"/>
    <w:rsid w:val="00222185"/>
    <w:rsid w:val="00222186"/>
    <w:rsid w:val="00222315"/>
    <w:rsid w:val="00222559"/>
    <w:rsid w:val="002229DD"/>
    <w:rsid w:val="002233CD"/>
    <w:rsid w:val="00223474"/>
    <w:rsid w:val="002237BB"/>
    <w:rsid w:val="002238E3"/>
    <w:rsid w:val="002250D2"/>
    <w:rsid w:val="002254ED"/>
    <w:rsid w:val="002257DE"/>
    <w:rsid w:val="00225BD3"/>
    <w:rsid w:val="00225FAB"/>
    <w:rsid w:val="002262C9"/>
    <w:rsid w:val="00226374"/>
    <w:rsid w:val="0022703D"/>
    <w:rsid w:val="00227FD7"/>
    <w:rsid w:val="0023095B"/>
    <w:rsid w:val="00231929"/>
    <w:rsid w:val="00231CAC"/>
    <w:rsid w:val="002320D2"/>
    <w:rsid w:val="00232590"/>
    <w:rsid w:val="00232710"/>
    <w:rsid w:val="00233893"/>
    <w:rsid w:val="00233AE4"/>
    <w:rsid w:val="002355D0"/>
    <w:rsid w:val="00235616"/>
    <w:rsid w:val="002356AE"/>
    <w:rsid w:val="00235A75"/>
    <w:rsid w:val="00237A0C"/>
    <w:rsid w:val="00237D51"/>
    <w:rsid w:val="0024041A"/>
    <w:rsid w:val="002404B3"/>
    <w:rsid w:val="00240A92"/>
    <w:rsid w:val="00241B76"/>
    <w:rsid w:val="00241C06"/>
    <w:rsid w:val="00242925"/>
    <w:rsid w:val="00242986"/>
    <w:rsid w:val="00243506"/>
    <w:rsid w:val="00243822"/>
    <w:rsid w:val="00243F14"/>
    <w:rsid w:val="002457E5"/>
    <w:rsid w:val="0024610D"/>
    <w:rsid w:val="00246122"/>
    <w:rsid w:val="00246237"/>
    <w:rsid w:val="00246D9C"/>
    <w:rsid w:val="00246F1F"/>
    <w:rsid w:val="00246F48"/>
    <w:rsid w:val="00246F52"/>
    <w:rsid w:val="00247158"/>
    <w:rsid w:val="00247899"/>
    <w:rsid w:val="00247999"/>
    <w:rsid w:val="00247D0D"/>
    <w:rsid w:val="00250C4E"/>
    <w:rsid w:val="00250D89"/>
    <w:rsid w:val="00251D0C"/>
    <w:rsid w:val="002523E1"/>
    <w:rsid w:val="00252531"/>
    <w:rsid w:val="0025293F"/>
    <w:rsid w:val="00252BED"/>
    <w:rsid w:val="00253643"/>
    <w:rsid w:val="00254734"/>
    <w:rsid w:val="002549BB"/>
    <w:rsid w:val="00255639"/>
    <w:rsid w:val="00255F73"/>
    <w:rsid w:val="00256142"/>
    <w:rsid w:val="002562BF"/>
    <w:rsid w:val="002568E5"/>
    <w:rsid w:val="00256A1E"/>
    <w:rsid w:val="00256BEB"/>
    <w:rsid w:val="002573C1"/>
    <w:rsid w:val="00257519"/>
    <w:rsid w:val="00257621"/>
    <w:rsid w:val="002579C0"/>
    <w:rsid w:val="00260EE1"/>
    <w:rsid w:val="00261424"/>
    <w:rsid w:val="002618B8"/>
    <w:rsid w:val="0026202F"/>
    <w:rsid w:val="002620DF"/>
    <w:rsid w:val="00262387"/>
    <w:rsid w:val="0026279D"/>
    <w:rsid w:val="00262C86"/>
    <w:rsid w:val="00263087"/>
    <w:rsid w:val="0026325D"/>
    <w:rsid w:val="00263399"/>
    <w:rsid w:val="00264B38"/>
    <w:rsid w:val="0026518F"/>
    <w:rsid w:val="00265A92"/>
    <w:rsid w:val="00265AF4"/>
    <w:rsid w:val="00266293"/>
    <w:rsid w:val="002665B0"/>
    <w:rsid w:val="00266B12"/>
    <w:rsid w:val="00266B4C"/>
    <w:rsid w:val="00266D6B"/>
    <w:rsid w:val="00266E46"/>
    <w:rsid w:val="0026770A"/>
    <w:rsid w:val="00267B03"/>
    <w:rsid w:val="00270544"/>
    <w:rsid w:val="00270C8A"/>
    <w:rsid w:val="00271890"/>
    <w:rsid w:val="002718AA"/>
    <w:rsid w:val="00271A4F"/>
    <w:rsid w:val="00271AFB"/>
    <w:rsid w:val="00271C69"/>
    <w:rsid w:val="00273272"/>
    <w:rsid w:val="002734D8"/>
    <w:rsid w:val="002737E0"/>
    <w:rsid w:val="00273D87"/>
    <w:rsid w:val="00274B44"/>
    <w:rsid w:val="0027543C"/>
    <w:rsid w:val="00275E9A"/>
    <w:rsid w:val="0027688B"/>
    <w:rsid w:val="002769CA"/>
    <w:rsid w:val="002772E9"/>
    <w:rsid w:val="0027738D"/>
    <w:rsid w:val="00277BB8"/>
    <w:rsid w:val="00280199"/>
    <w:rsid w:val="002812D1"/>
    <w:rsid w:val="00281662"/>
    <w:rsid w:val="002816CD"/>
    <w:rsid w:val="0028185A"/>
    <w:rsid w:val="00281BD8"/>
    <w:rsid w:val="00282825"/>
    <w:rsid w:val="00282AB4"/>
    <w:rsid w:val="00282C60"/>
    <w:rsid w:val="0028389D"/>
    <w:rsid w:val="0028395B"/>
    <w:rsid w:val="00283B02"/>
    <w:rsid w:val="00284A96"/>
    <w:rsid w:val="0028514C"/>
    <w:rsid w:val="002865E8"/>
    <w:rsid w:val="002873B7"/>
    <w:rsid w:val="002877AB"/>
    <w:rsid w:val="00287E57"/>
    <w:rsid w:val="002910B4"/>
    <w:rsid w:val="00291929"/>
    <w:rsid w:val="00291CA3"/>
    <w:rsid w:val="00292F17"/>
    <w:rsid w:val="00293818"/>
    <w:rsid w:val="00293F95"/>
    <w:rsid w:val="00294819"/>
    <w:rsid w:val="00294CE1"/>
    <w:rsid w:val="002960FB"/>
    <w:rsid w:val="002977F8"/>
    <w:rsid w:val="00297C0E"/>
    <w:rsid w:val="002A01D6"/>
    <w:rsid w:val="002A036E"/>
    <w:rsid w:val="002A06B1"/>
    <w:rsid w:val="002A0B03"/>
    <w:rsid w:val="002A0B95"/>
    <w:rsid w:val="002A0DA2"/>
    <w:rsid w:val="002A1492"/>
    <w:rsid w:val="002A1A84"/>
    <w:rsid w:val="002A1B51"/>
    <w:rsid w:val="002A2060"/>
    <w:rsid w:val="002A2143"/>
    <w:rsid w:val="002A2173"/>
    <w:rsid w:val="002A270B"/>
    <w:rsid w:val="002A37BD"/>
    <w:rsid w:val="002A3B4F"/>
    <w:rsid w:val="002A43E2"/>
    <w:rsid w:val="002A4549"/>
    <w:rsid w:val="002A45FC"/>
    <w:rsid w:val="002A47B9"/>
    <w:rsid w:val="002A5476"/>
    <w:rsid w:val="002A55C3"/>
    <w:rsid w:val="002A5EE0"/>
    <w:rsid w:val="002A5F73"/>
    <w:rsid w:val="002A6140"/>
    <w:rsid w:val="002A619C"/>
    <w:rsid w:val="002A67ED"/>
    <w:rsid w:val="002A6955"/>
    <w:rsid w:val="002A72DC"/>
    <w:rsid w:val="002A7926"/>
    <w:rsid w:val="002A79BE"/>
    <w:rsid w:val="002A7A7D"/>
    <w:rsid w:val="002B004D"/>
    <w:rsid w:val="002B00DD"/>
    <w:rsid w:val="002B0368"/>
    <w:rsid w:val="002B07DA"/>
    <w:rsid w:val="002B0FE2"/>
    <w:rsid w:val="002B10EF"/>
    <w:rsid w:val="002B1B00"/>
    <w:rsid w:val="002B1B93"/>
    <w:rsid w:val="002B3608"/>
    <w:rsid w:val="002B388E"/>
    <w:rsid w:val="002B3DB9"/>
    <w:rsid w:val="002B443C"/>
    <w:rsid w:val="002B44B5"/>
    <w:rsid w:val="002B4608"/>
    <w:rsid w:val="002B474D"/>
    <w:rsid w:val="002B4F70"/>
    <w:rsid w:val="002B5273"/>
    <w:rsid w:val="002B5D13"/>
    <w:rsid w:val="002B5F4E"/>
    <w:rsid w:val="002B64AE"/>
    <w:rsid w:val="002B66EE"/>
    <w:rsid w:val="002B6EED"/>
    <w:rsid w:val="002B7C17"/>
    <w:rsid w:val="002B7DBA"/>
    <w:rsid w:val="002B7E78"/>
    <w:rsid w:val="002C08B6"/>
    <w:rsid w:val="002C0C22"/>
    <w:rsid w:val="002C107C"/>
    <w:rsid w:val="002C1203"/>
    <w:rsid w:val="002C190A"/>
    <w:rsid w:val="002C22F0"/>
    <w:rsid w:val="002C2472"/>
    <w:rsid w:val="002C2F02"/>
    <w:rsid w:val="002C3033"/>
    <w:rsid w:val="002C3D04"/>
    <w:rsid w:val="002C40B4"/>
    <w:rsid w:val="002C4141"/>
    <w:rsid w:val="002C4D80"/>
    <w:rsid w:val="002C4EA5"/>
    <w:rsid w:val="002C533A"/>
    <w:rsid w:val="002C5B4E"/>
    <w:rsid w:val="002C5ECA"/>
    <w:rsid w:val="002C7407"/>
    <w:rsid w:val="002C793E"/>
    <w:rsid w:val="002C7C78"/>
    <w:rsid w:val="002D0075"/>
    <w:rsid w:val="002D183C"/>
    <w:rsid w:val="002D2735"/>
    <w:rsid w:val="002D3102"/>
    <w:rsid w:val="002D3549"/>
    <w:rsid w:val="002D36AF"/>
    <w:rsid w:val="002D3849"/>
    <w:rsid w:val="002D3E33"/>
    <w:rsid w:val="002D4BFF"/>
    <w:rsid w:val="002D6369"/>
    <w:rsid w:val="002D6375"/>
    <w:rsid w:val="002D647B"/>
    <w:rsid w:val="002D64EC"/>
    <w:rsid w:val="002D72CD"/>
    <w:rsid w:val="002D776C"/>
    <w:rsid w:val="002D7861"/>
    <w:rsid w:val="002E1091"/>
    <w:rsid w:val="002E114C"/>
    <w:rsid w:val="002E13A2"/>
    <w:rsid w:val="002E196D"/>
    <w:rsid w:val="002E197C"/>
    <w:rsid w:val="002E1A97"/>
    <w:rsid w:val="002E1F07"/>
    <w:rsid w:val="002E2E2D"/>
    <w:rsid w:val="002E3172"/>
    <w:rsid w:val="002E3410"/>
    <w:rsid w:val="002E40C7"/>
    <w:rsid w:val="002E4909"/>
    <w:rsid w:val="002E4DD4"/>
    <w:rsid w:val="002E55F1"/>
    <w:rsid w:val="002E5C62"/>
    <w:rsid w:val="002E5F8C"/>
    <w:rsid w:val="002E64F1"/>
    <w:rsid w:val="002E6734"/>
    <w:rsid w:val="002E7011"/>
    <w:rsid w:val="002E7560"/>
    <w:rsid w:val="002E77C3"/>
    <w:rsid w:val="002F04B3"/>
    <w:rsid w:val="002F06E6"/>
    <w:rsid w:val="002F0934"/>
    <w:rsid w:val="002F0F5C"/>
    <w:rsid w:val="002F1055"/>
    <w:rsid w:val="002F1F0F"/>
    <w:rsid w:val="002F1F16"/>
    <w:rsid w:val="002F1F76"/>
    <w:rsid w:val="002F2432"/>
    <w:rsid w:val="002F2D9A"/>
    <w:rsid w:val="002F30E6"/>
    <w:rsid w:val="002F38FD"/>
    <w:rsid w:val="002F3C60"/>
    <w:rsid w:val="002F43BF"/>
    <w:rsid w:val="002F4875"/>
    <w:rsid w:val="002F4CC9"/>
    <w:rsid w:val="002F4EB6"/>
    <w:rsid w:val="002F501E"/>
    <w:rsid w:val="002F5FE5"/>
    <w:rsid w:val="002F60A9"/>
    <w:rsid w:val="002F68C9"/>
    <w:rsid w:val="002F6AFC"/>
    <w:rsid w:val="002F6CFD"/>
    <w:rsid w:val="002F6DEF"/>
    <w:rsid w:val="002F7900"/>
    <w:rsid w:val="002F7D27"/>
    <w:rsid w:val="00300215"/>
    <w:rsid w:val="00300336"/>
    <w:rsid w:val="0030033B"/>
    <w:rsid w:val="00300A03"/>
    <w:rsid w:val="00302AA1"/>
    <w:rsid w:val="003036D8"/>
    <w:rsid w:val="00304209"/>
    <w:rsid w:val="003045DA"/>
    <w:rsid w:val="00305261"/>
    <w:rsid w:val="003056DB"/>
    <w:rsid w:val="00305BA0"/>
    <w:rsid w:val="00305C93"/>
    <w:rsid w:val="00306214"/>
    <w:rsid w:val="003062C5"/>
    <w:rsid w:val="00306909"/>
    <w:rsid w:val="00306BFF"/>
    <w:rsid w:val="00306C97"/>
    <w:rsid w:val="00306EF2"/>
    <w:rsid w:val="00307B36"/>
    <w:rsid w:val="00307BF7"/>
    <w:rsid w:val="0031123A"/>
    <w:rsid w:val="003113A5"/>
    <w:rsid w:val="003115B6"/>
    <w:rsid w:val="00311E29"/>
    <w:rsid w:val="00312A1E"/>
    <w:rsid w:val="00313159"/>
    <w:rsid w:val="0031319D"/>
    <w:rsid w:val="00313659"/>
    <w:rsid w:val="003136D7"/>
    <w:rsid w:val="003144BF"/>
    <w:rsid w:val="00314602"/>
    <w:rsid w:val="00314B4C"/>
    <w:rsid w:val="00314BD1"/>
    <w:rsid w:val="003156AB"/>
    <w:rsid w:val="0031600B"/>
    <w:rsid w:val="003164F6"/>
    <w:rsid w:val="00316614"/>
    <w:rsid w:val="00316779"/>
    <w:rsid w:val="00316EDA"/>
    <w:rsid w:val="003173CE"/>
    <w:rsid w:val="00317B5E"/>
    <w:rsid w:val="0032007D"/>
    <w:rsid w:val="003200F0"/>
    <w:rsid w:val="003207D0"/>
    <w:rsid w:val="003218DE"/>
    <w:rsid w:val="0032337E"/>
    <w:rsid w:val="0032381D"/>
    <w:rsid w:val="003250A1"/>
    <w:rsid w:val="0032548D"/>
    <w:rsid w:val="00326559"/>
    <w:rsid w:val="00326CB2"/>
    <w:rsid w:val="00326F18"/>
    <w:rsid w:val="00327569"/>
    <w:rsid w:val="0033000D"/>
    <w:rsid w:val="003303E3"/>
    <w:rsid w:val="0033085B"/>
    <w:rsid w:val="00330CEC"/>
    <w:rsid w:val="00330F14"/>
    <w:rsid w:val="003310CB"/>
    <w:rsid w:val="00331F84"/>
    <w:rsid w:val="00331F87"/>
    <w:rsid w:val="0033222D"/>
    <w:rsid w:val="00332C0D"/>
    <w:rsid w:val="0033309E"/>
    <w:rsid w:val="00333A7E"/>
    <w:rsid w:val="00333C3F"/>
    <w:rsid w:val="00334EBD"/>
    <w:rsid w:val="003376B9"/>
    <w:rsid w:val="00337913"/>
    <w:rsid w:val="00337934"/>
    <w:rsid w:val="00337949"/>
    <w:rsid w:val="00337A4D"/>
    <w:rsid w:val="00340234"/>
    <w:rsid w:val="003403F3"/>
    <w:rsid w:val="00340D97"/>
    <w:rsid w:val="003412B6"/>
    <w:rsid w:val="00341F7E"/>
    <w:rsid w:val="00341FAF"/>
    <w:rsid w:val="003422B0"/>
    <w:rsid w:val="00342CFD"/>
    <w:rsid w:val="00342F44"/>
    <w:rsid w:val="003439D5"/>
    <w:rsid w:val="00343CAF"/>
    <w:rsid w:val="00343CCB"/>
    <w:rsid w:val="00344507"/>
    <w:rsid w:val="00344FA7"/>
    <w:rsid w:val="003453F1"/>
    <w:rsid w:val="00345803"/>
    <w:rsid w:val="00345985"/>
    <w:rsid w:val="00346D9D"/>
    <w:rsid w:val="00346DAF"/>
    <w:rsid w:val="003476FD"/>
    <w:rsid w:val="00347BFD"/>
    <w:rsid w:val="003501E0"/>
    <w:rsid w:val="00350346"/>
    <w:rsid w:val="00350AFA"/>
    <w:rsid w:val="00350B96"/>
    <w:rsid w:val="00350DCE"/>
    <w:rsid w:val="00351001"/>
    <w:rsid w:val="00351833"/>
    <w:rsid w:val="00352AA7"/>
    <w:rsid w:val="00352ACD"/>
    <w:rsid w:val="003545C0"/>
    <w:rsid w:val="00354E59"/>
    <w:rsid w:val="00355A90"/>
    <w:rsid w:val="0035628E"/>
    <w:rsid w:val="003563BD"/>
    <w:rsid w:val="003564B0"/>
    <w:rsid w:val="00357FCB"/>
    <w:rsid w:val="00360FD0"/>
    <w:rsid w:val="00361201"/>
    <w:rsid w:val="003618D0"/>
    <w:rsid w:val="0036200E"/>
    <w:rsid w:val="00362031"/>
    <w:rsid w:val="0036222E"/>
    <w:rsid w:val="003629CE"/>
    <w:rsid w:val="00363306"/>
    <w:rsid w:val="00363653"/>
    <w:rsid w:val="00363702"/>
    <w:rsid w:val="003643B5"/>
    <w:rsid w:val="00365B81"/>
    <w:rsid w:val="003660EF"/>
    <w:rsid w:val="0036621A"/>
    <w:rsid w:val="00366866"/>
    <w:rsid w:val="00366F68"/>
    <w:rsid w:val="003673B5"/>
    <w:rsid w:val="00367571"/>
    <w:rsid w:val="00370290"/>
    <w:rsid w:val="00370316"/>
    <w:rsid w:val="00370D9B"/>
    <w:rsid w:val="00371C55"/>
    <w:rsid w:val="00372004"/>
    <w:rsid w:val="00372409"/>
    <w:rsid w:val="003729B5"/>
    <w:rsid w:val="00372E61"/>
    <w:rsid w:val="00373170"/>
    <w:rsid w:val="00373921"/>
    <w:rsid w:val="003749E6"/>
    <w:rsid w:val="00374D89"/>
    <w:rsid w:val="0037520E"/>
    <w:rsid w:val="003758F9"/>
    <w:rsid w:val="00375F69"/>
    <w:rsid w:val="00376728"/>
    <w:rsid w:val="00380D68"/>
    <w:rsid w:val="00380F15"/>
    <w:rsid w:val="003813AB"/>
    <w:rsid w:val="00381634"/>
    <w:rsid w:val="00382063"/>
    <w:rsid w:val="0038320C"/>
    <w:rsid w:val="00383AB1"/>
    <w:rsid w:val="00383C4D"/>
    <w:rsid w:val="003841D1"/>
    <w:rsid w:val="003843B3"/>
    <w:rsid w:val="00384686"/>
    <w:rsid w:val="00384A0C"/>
    <w:rsid w:val="00384B5D"/>
    <w:rsid w:val="003850C5"/>
    <w:rsid w:val="00385A79"/>
    <w:rsid w:val="00386DD5"/>
    <w:rsid w:val="003873B8"/>
    <w:rsid w:val="003874C4"/>
    <w:rsid w:val="0038754B"/>
    <w:rsid w:val="003904FB"/>
    <w:rsid w:val="00390963"/>
    <w:rsid w:val="00391EB6"/>
    <w:rsid w:val="00392C73"/>
    <w:rsid w:val="00393374"/>
    <w:rsid w:val="003935C8"/>
    <w:rsid w:val="003936CE"/>
    <w:rsid w:val="00394154"/>
    <w:rsid w:val="00394FDE"/>
    <w:rsid w:val="0039508F"/>
    <w:rsid w:val="00395117"/>
    <w:rsid w:val="00395922"/>
    <w:rsid w:val="00396E22"/>
    <w:rsid w:val="00396E5A"/>
    <w:rsid w:val="00396F46"/>
    <w:rsid w:val="0039727A"/>
    <w:rsid w:val="00397CEB"/>
    <w:rsid w:val="003A003B"/>
    <w:rsid w:val="003A0FAA"/>
    <w:rsid w:val="003A0FD5"/>
    <w:rsid w:val="003A1425"/>
    <w:rsid w:val="003A151C"/>
    <w:rsid w:val="003A1AB5"/>
    <w:rsid w:val="003A2784"/>
    <w:rsid w:val="003A2BE3"/>
    <w:rsid w:val="003A2C2D"/>
    <w:rsid w:val="003A30AC"/>
    <w:rsid w:val="003A3CCF"/>
    <w:rsid w:val="003A5191"/>
    <w:rsid w:val="003A5832"/>
    <w:rsid w:val="003A5B16"/>
    <w:rsid w:val="003A5F1B"/>
    <w:rsid w:val="003A63B6"/>
    <w:rsid w:val="003A68FA"/>
    <w:rsid w:val="003A6BD6"/>
    <w:rsid w:val="003A6E15"/>
    <w:rsid w:val="003A6E85"/>
    <w:rsid w:val="003A7107"/>
    <w:rsid w:val="003A7530"/>
    <w:rsid w:val="003A7E42"/>
    <w:rsid w:val="003B061A"/>
    <w:rsid w:val="003B1309"/>
    <w:rsid w:val="003B2E21"/>
    <w:rsid w:val="003B3772"/>
    <w:rsid w:val="003B4BF3"/>
    <w:rsid w:val="003B5AD0"/>
    <w:rsid w:val="003B5CFF"/>
    <w:rsid w:val="003B67F5"/>
    <w:rsid w:val="003B6A71"/>
    <w:rsid w:val="003C0294"/>
    <w:rsid w:val="003C037D"/>
    <w:rsid w:val="003C0D20"/>
    <w:rsid w:val="003C1559"/>
    <w:rsid w:val="003C180F"/>
    <w:rsid w:val="003C2576"/>
    <w:rsid w:val="003C2628"/>
    <w:rsid w:val="003C37BF"/>
    <w:rsid w:val="003C3B95"/>
    <w:rsid w:val="003C3BDF"/>
    <w:rsid w:val="003C49DA"/>
    <w:rsid w:val="003C505B"/>
    <w:rsid w:val="003C5DEC"/>
    <w:rsid w:val="003C5F24"/>
    <w:rsid w:val="003C6C3C"/>
    <w:rsid w:val="003C7202"/>
    <w:rsid w:val="003C7DB3"/>
    <w:rsid w:val="003D02A9"/>
    <w:rsid w:val="003D042C"/>
    <w:rsid w:val="003D1517"/>
    <w:rsid w:val="003D187F"/>
    <w:rsid w:val="003D1D7D"/>
    <w:rsid w:val="003D1ED1"/>
    <w:rsid w:val="003D2346"/>
    <w:rsid w:val="003D3086"/>
    <w:rsid w:val="003D3B1C"/>
    <w:rsid w:val="003D46E4"/>
    <w:rsid w:val="003D4FD4"/>
    <w:rsid w:val="003D52FC"/>
    <w:rsid w:val="003D58CD"/>
    <w:rsid w:val="003D5ECE"/>
    <w:rsid w:val="003D6001"/>
    <w:rsid w:val="003D67D8"/>
    <w:rsid w:val="003D7160"/>
    <w:rsid w:val="003D7FC9"/>
    <w:rsid w:val="003E0091"/>
    <w:rsid w:val="003E059F"/>
    <w:rsid w:val="003E05F0"/>
    <w:rsid w:val="003E062D"/>
    <w:rsid w:val="003E0D6A"/>
    <w:rsid w:val="003E10DE"/>
    <w:rsid w:val="003E13ED"/>
    <w:rsid w:val="003E1B36"/>
    <w:rsid w:val="003E1C86"/>
    <w:rsid w:val="003E2F52"/>
    <w:rsid w:val="003E34AA"/>
    <w:rsid w:val="003E3972"/>
    <w:rsid w:val="003E3D69"/>
    <w:rsid w:val="003E41FD"/>
    <w:rsid w:val="003E535B"/>
    <w:rsid w:val="003E7BB4"/>
    <w:rsid w:val="003F00AF"/>
    <w:rsid w:val="003F13BF"/>
    <w:rsid w:val="003F14B4"/>
    <w:rsid w:val="003F21BF"/>
    <w:rsid w:val="003F22E1"/>
    <w:rsid w:val="003F26DF"/>
    <w:rsid w:val="003F2851"/>
    <w:rsid w:val="003F286A"/>
    <w:rsid w:val="003F2960"/>
    <w:rsid w:val="003F30E4"/>
    <w:rsid w:val="003F389F"/>
    <w:rsid w:val="003F3AE1"/>
    <w:rsid w:val="003F43F1"/>
    <w:rsid w:val="003F50C0"/>
    <w:rsid w:val="003F560D"/>
    <w:rsid w:val="003F61E6"/>
    <w:rsid w:val="003F6269"/>
    <w:rsid w:val="003F690B"/>
    <w:rsid w:val="004005A1"/>
    <w:rsid w:val="00400626"/>
    <w:rsid w:val="00400844"/>
    <w:rsid w:val="00400D1C"/>
    <w:rsid w:val="00400D6F"/>
    <w:rsid w:val="004011E6"/>
    <w:rsid w:val="00402113"/>
    <w:rsid w:val="00402FB7"/>
    <w:rsid w:val="00403856"/>
    <w:rsid w:val="00403E9E"/>
    <w:rsid w:val="00403FD2"/>
    <w:rsid w:val="00404086"/>
    <w:rsid w:val="00404F7C"/>
    <w:rsid w:val="00405205"/>
    <w:rsid w:val="0040572C"/>
    <w:rsid w:val="0040597C"/>
    <w:rsid w:val="00405DB5"/>
    <w:rsid w:val="00406820"/>
    <w:rsid w:val="00406C59"/>
    <w:rsid w:val="00406E27"/>
    <w:rsid w:val="004077BF"/>
    <w:rsid w:val="00407DC7"/>
    <w:rsid w:val="0041078C"/>
    <w:rsid w:val="00410CAD"/>
    <w:rsid w:val="0041121F"/>
    <w:rsid w:val="00411773"/>
    <w:rsid w:val="004117FE"/>
    <w:rsid w:val="00411FC1"/>
    <w:rsid w:val="00412030"/>
    <w:rsid w:val="00412448"/>
    <w:rsid w:val="0041324D"/>
    <w:rsid w:val="0041402E"/>
    <w:rsid w:val="00414594"/>
    <w:rsid w:val="004148C7"/>
    <w:rsid w:val="00414FCB"/>
    <w:rsid w:val="00415193"/>
    <w:rsid w:val="00415478"/>
    <w:rsid w:val="00415CC7"/>
    <w:rsid w:val="0041633B"/>
    <w:rsid w:val="00416CEA"/>
    <w:rsid w:val="00420022"/>
    <w:rsid w:val="00420A8A"/>
    <w:rsid w:val="00420DE5"/>
    <w:rsid w:val="00421106"/>
    <w:rsid w:val="00421134"/>
    <w:rsid w:val="004216BB"/>
    <w:rsid w:val="004217C4"/>
    <w:rsid w:val="00422100"/>
    <w:rsid w:val="004224DE"/>
    <w:rsid w:val="0042281F"/>
    <w:rsid w:val="00423134"/>
    <w:rsid w:val="00423783"/>
    <w:rsid w:val="00423C50"/>
    <w:rsid w:val="00424026"/>
    <w:rsid w:val="004245B8"/>
    <w:rsid w:val="004245D0"/>
    <w:rsid w:val="00424948"/>
    <w:rsid w:val="00424AFE"/>
    <w:rsid w:val="00425FFF"/>
    <w:rsid w:val="00426182"/>
    <w:rsid w:val="00426781"/>
    <w:rsid w:val="0042763A"/>
    <w:rsid w:val="00427CD0"/>
    <w:rsid w:val="0043018D"/>
    <w:rsid w:val="0043067C"/>
    <w:rsid w:val="00430C97"/>
    <w:rsid w:val="004317D1"/>
    <w:rsid w:val="00431B94"/>
    <w:rsid w:val="00431E93"/>
    <w:rsid w:val="00432BE5"/>
    <w:rsid w:val="004330D0"/>
    <w:rsid w:val="00433B2F"/>
    <w:rsid w:val="00433B9E"/>
    <w:rsid w:val="0043551B"/>
    <w:rsid w:val="0043553F"/>
    <w:rsid w:val="00435746"/>
    <w:rsid w:val="004358ED"/>
    <w:rsid w:val="00435C25"/>
    <w:rsid w:val="00436710"/>
    <w:rsid w:val="00437A34"/>
    <w:rsid w:val="00437D37"/>
    <w:rsid w:val="00440EC9"/>
    <w:rsid w:val="00440F35"/>
    <w:rsid w:val="004415B6"/>
    <w:rsid w:val="0044194E"/>
    <w:rsid w:val="0044218E"/>
    <w:rsid w:val="00442E3D"/>
    <w:rsid w:val="00442E58"/>
    <w:rsid w:val="00443593"/>
    <w:rsid w:val="0044376D"/>
    <w:rsid w:val="00444410"/>
    <w:rsid w:val="0044496A"/>
    <w:rsid w:val="00444ABF"/>
    <w:rsid w:val="00444B77"/>
    <w:rsid w:val="00444DBF"/>
    <w:rsid w:val="00445142"/>
    <w:rsid w:val="00445381"/>
    <w:rsid w:val="00445A90"/>
    <w:rsid w:val="00445EA5"/>
    <w:rsid w:val="0044643E"/>
    <w:rsid w:val="0044675D"/>
    <w:rsid w:val="00447A43"/>
    <w:rsid w:val="00450447"/>
    <w:rsid w:val="00450CC2"/>
    <w:rsid w:val="0045137C"/>
    <w:rsid w:val="00451E25"/>
    <w:rsid w:val="00451ED3"/>
    <w:rsid w:val="00451EEB"/>
    <w:rsid w:val="0045367C"/>
    <w:rsid w:val="0045396E"/>
    <w:rsid w:val="004539E9"/>
    <w:rsid w:val="00453ADB"/>
    <w:rsid w:val="00453F99"/>
    <w:rsid w:val="00453FDC"/>
    <w:rsid w:val="0045480E"/>
    <w:rsid w:val="00455DA9"/>
    <w:rsid w:val="004565B9"/>
    <w:rsid w:val="00456843"/>
    <w:rsid w:val="00456958"/>
    <w:rsid w:val="00456E44"/>
    <w:rsid w:val="00456EC9"/>
    <w:rsid w:val="00457DD1"/>
    <w:rsid w:val="00460027"/>
    <w:rsid w:val="0046035C"/>
    <w:rsid w:val="0046053A"/>
    <w:rsid w:val="00460601"/>
    <w:rsid w:val="00460683"/>
    <w:rsid w:val="0046105D"/>
    <w:rsid w:val="00461673"/>
    <w:rsid w:val="00461CCE"/>
    <w:rsid w:val="004625A3"/>
    <w:rsid w:val="00462690"/>
    <w:rsid w:val="00462C4E"/>
    <w:rsid w:val="00463349"/>
    <w:rsid w:val="00463BDA"/>
    <w:rsid w:val="00463FB9"/>
    <w:rsid w:val="00464638"/>
    <w:rsid w:val="00465764"/>
    <w:rsid w:val="00465CCA"/>
    <w:rsid w:val="00465D09"/>
    <w:rsid w:val="00465ED9"/>
    <w:rsid w:val="00466847"/>
    <w:rsid w:val="00466C78"/>
    <w:rsid w:val="00466CB3"/>
    <w:rsid w:val="00466F10"/>
    <w:rsid w:val="00467071"/>
    <w:rsid w:val="00467F95"/>
    <w:rsid w:val="004705A7"/>
    <w:rsid w:val="004708CC"/>
    <w:rsid w:val="00471802"/>
    <w:rsid w:val="004719B2"/>
    <w:rsid w:val="00471D3E"/>
    <w:rsid w:val="00472AA8"/>
    <w:rsid w:val="00472FD9"/>
    <w:rsid w:val="0047357F"/>
    <w:rsid w:val="00473B79"/>
    <w:rsid w:val="00473E8B"/>
    <w:rsid w:val="00474579"/>
    <w:rsid w:val="0047459E"/>
    <w:rsid w:val="00474AE8"/>
    <w:rsid w:val="004754B9"/>
    <w:rsid w:val="004757E3"/>
    <w:rsid w:val="00475CA0"/>
    <w:rsid w:val="00475E46"/>
    <w:rsid w:val="00476143"/>
    <w:rsid w:val="00476958"/>
    <w:rsid w:val="00476F55"/>
    <w:rsid w:val="00477C3F"/>
    <w:rsid w:val="0048000A"/>
    <w:rsid w:val="00480E7F"/>
    <w:rsid w:val="00480FA5"/>
    <w:rsid w:val="004811F6"/>
    <w:rsid w:val="0048149E"/>
    <w:rsid w:val="004815DF"/>
    <w:rsid w:val="0048181A"/>
    <w:rsid w:val="00481A5B"/>
    <w:rsid w:val="00482062"/>
    <w:rsid w:val="00482FC4"/>
    <w:rsid w:val="004831EE"/>
    <w:rsid w:val="004835F4"/>
    <w:rsid w:val="004842F0"/>
    <w:rsid w:val="00484CA1"/>
    <w:rsid w:val="00485445"/>
    <w:rsid w:val="0048568C"/>
    <w:rsid w:val="00486E68"/>
    <w:rsid w:val="00487538"/>
    <w:rsid w:val="00490D7F"/>
    <w:rsid w:val="00491314"/>
    <w:rsid w:val="00492379"/>
    <w:rsid w:val="0049273D"/>
    <w:rsid w:val="00492C5E"/>
    <w:rsid w:val="0049339B"/>
    <w:rsid w:val="004934DA"/>
    <w:rsid w:val="00493840"/>
    <w:rsid w:val="00493BAA"/>
    <w:rsid w:val="00494E96"/>
    <w:rsid w:val="00495647"/>
    <w:rsid w:val="00495B77"/>
    <w:rsid w:val="00496A05"/>
    <w:rsid w:val="00497364"/>
    <w:rsid w:val="00497D30"/>
    <w:rsid w:val="00497DA0"/>
    <w:rsid w:val="004A0C0A"/>
    <w:rsid w:val="004A0DC3"/>
    <w:rsid w:val="004A17B9"/>
    <w:rsid w:val="004A1825"/>
    <w:rsid w:val="004A1C4B"/>
    <w:rsid w:val="004A22D2"/>
    <w:rsid w:val="004A3333"/>
    <w:rsid w:val="004A3700"/>
    <w:rsid w:val="004A49BE"/>
    <w:rsid w:val="004A5CE4"/>
    <w:rsid w:val="004A636A"/>
    <w:rsid w:val="004A6676"/>
    <w:rsid w:val="004A6BB9"/>
    <w:rsid w:val="004A6DFA"/>
    <w:rsid w:val="004A7EDF"/>
    <w:rsid w:val="004B021E"/>
    <w:rsid w:val="004B06C0"/>
    <w:rsid w:val="004B09A1"/>
    <w:rsid w:val="004B0D20"/>
    <w:rsid w:val="004B1C26"/>
    <w:rsid w:val="004B1D46"/>
    <w:rsid w:val="004B2219"/>
    <w:rsid w:val="004B260C"/>
    <w:rsid w:val="004B2D40"/>
    <w:rsid w:val="004B2FBC"/>
    <w:rsid w:val="004B2FCD"/>
    <w:rsid w:val="004B38E8"/>
    <w:rsid w:val="004B3FAD"/>
    <w:rsid w:val="004B40DE"/>
    <w:rsid w:val="004B451E"/>
    <w:rsid w:val="004B45A8"/>
    <w:rsid w:val="004B5159"/>
    <w:rsid w:val="004B524B"/>
    <w:rsid w:val="004B5431"/>
    <w:rsid w:val="004B5870"/>
    <w:rsid w:val="004B6C6A"/>
    <w:rsid w:val="004B6E24"/>
    <w:rsid w:val="004C02AE"/>
    <w:rsid w:val="004C03AC"/>
    <w:rsid w:val="004C047E"/>
    <w:rsid w:val="004C0D8A"/>
    <w:rsid w:val="004C168C"/>
    <w:rsid w:val="004C190E"/>
    <w:rsid w:val="004C1DEA"/>
    <w:rsid w:val="004C26A5"/>
    <w:rsid w:val="004C2803"/>
    <w:rsid w:val="004C30B0"/>
    <w:rsid w:val="004C321E"/>
    <w:rsid w:val="004C3FDA"/>
    <w:rsid w:val="004C43D2"/>
    <w:rsid w:val="004C4B30"/>
    <w:rsid w:val="004C4F87"/>
    <w:rsid w:val="004C5626"/>
    <w:rsid w:val="004C5CC3"/>
    <w:rsid w:val="004C5EDD"/>
    <w:rsid w:val="004C6420"/>
    <w:rsid w:val="004C6617"/>
    <w:rsid w:val="004C746F"/>
    <w:rsid w:val="004C75AF"/>
    <w:rsid w:val="004D0354"/>
    <w:rsid w:val="004D04FD"/>
    <w:rsid w:val="004D0513"/>
    <w:rsid w:val="004D0655"/>
    <w:rsid w:val="004D06B9"/>
    <w:rsid w:val="004D0960"/>
    <w:rsid w:val="004D0AFF"/>
    <w:rsid w:val="004D16B4"/>
    <w:rsid w:val="004D1C47"/>
    <w:rsid w:val="004D1CE4"/>
    <w:rsid w:val="004D1F53"/>
    <w:rsid w:val="004D20B0"/>
    <w:rsid w:val="004D2A0E"/>
    <w:rsid w:val="004D31DB"/>
    <w:rsid w:val="004D362C"/>
    <w:rsid w:val="004D499D"/>
    <w:rsid w:val="004D4C2C"/>
    <w:rsid w:val="004D59F2"/>
    <w:rsid w:val="004D5A8C"/>
    <w:rsid w:val="004D5CCF"/>
    <w:rsid w:val="004D6972"/>
    <w:rsid w:val="004D6F6B"/>
    <w:rsid w:val="004D72A9"/>
    <w:rsid w:val="004E0381"/>
    <w:rsid w:val="004E04C5"/>
    <w:rsid w:val="004E10F7"/>
    <w:rsid w:val="004E2240"/>
    <w:rsid w:val="004E2FC1"/>
    <w:rsid w:val="004E3729"/>
    <w:rsid w:val="004E3848"/>
    <w:rsid w:val="004E4583"/>
    <w:rsid w:val="004E479F"/>
    <w:rsid w:val="004E4B72"/>
    <w:rsid w:val="004E4C14"/>
    <w:rsid w:val="004E520C"/>
    <w:rsid w:val="004E5EE5"/>
    <w:rsid w:val="004E619C"/>
    <w:rsid w:val="004E61A0"/>
    <w:rsid w:val="004E6922"/>
    <w:rsid w:val="004E71F1"/>
    <w:rsid w:val="004E7BAA"/>
    <w:rsid w:val="004E7DC5"/>
    <w:rsid w:val="004F0438"/>
    <w:rsid w:val="004F1073"/>
    <w:rsid w:val="004F1A37"/>
    <w:rsid w:val="004F20B1"/>
    <w:rsid w:val="004F25F4"/>
    <w:rsid w:val="004F30F8"/>
    <w:rsid w:val="004F348F"/>
    <w:rsid w:val="004F3B8F"/>
    <w:rsid w:val="004F3E79"/>
    <w:rsid w:val="004F4C48"/>
    <w:rsid w:val="004F4FBF"/>
    <w:rsid w:val="004F5D8B"/>
    <w:rsid w:val="004F696E"/>
    <w:rsid w:val="00500954"/>
    <w:rsid w:val="00500EDC"/>
    <w:rsid w:val="00501710"/>
    <w:rsid w:val="005018E5"/>
    <w:rsid w:val="00502B7E"/>
    <w:rsid w:val="00502C8A"/>
    <w:rsid w:val="00503012"/>
    <w:rsid w:val="00503675"/>
    <w:rsid w:val="00503B2F"/>
    <w:rsid w:val="00505079"/>
    <w:rsid w:val="00506597"/>
    <w:rsid w:val="005079BA"/>
    <w:rsid w:val="00507D28"/>
    <w:rsid w:val="00510106"/>
    <w:rsid w:val="00510F72"/>
    <w:rsid w:val="005114EF"/>
    <w:rsid w:val="005115E4"/>
    <w:rsid w:val="00511A6B"/>
    <w:rsid w:val="00511B64"/>
    <w:rsid w:val="005123A8"/>
    <w:rsid w:val="00512AB7"/>
    <w:rsid w:val="00512B1E"/>
    <w:rsid w:val="00512EF3"/>
    <w:rsid w:val="00513226"/>
    <w:rsid w:val="00514154"/>
    <w:rsid w:val="00514C11"/>
    <w:rsid w:val="0051564E"/>
    <w:rsid w:val="00515D8F"/>
    <w:rsid w:val="005162A0"/>
    <w:rsid w:val="005162BC"/>
    <w:rsid w:val="00516484"/>
    <w:rsid w:val="00516A0A"/>
    <w:rsid w:val="00516B07"/>
    <w:rsid w:val="00517A01"/>
    <w:rsid w:val="00517F71"/>
    <w:rsid w:val="00520CCE"/>
    <w:rsid w:val="00520DB9"/>
    <w:rsid w:val="005216A8"/>
    <w:rsid w:val="00521874"/>
    <w:rsid w:val="00521A48"/>
    <w:rsid w:val="00521F7D"/>
    <w:rsid w:val="00521FE2"/>
    <w:rsid w:val="005232F5"/>
    <w:rsid w:val="005234CD"/>
    <w:rsid w:val="00523A7F"/>
    <w:rsid w:val="00523B95"/>
    <w:rsid w:val="00524262"/>
    <w:rsid w:val="0052498B"/>
    <w:rsid w:val="00524FFC"/>
    <w:rsid w:val="0052622F"/>
    <w:rsid w:val="005270CF"/>
    <w:rsid w:val="0053043E"/>
    <w:rsid w:val="0053099E"/>
    <w:rsid w:val="005312D7"/>
    <w:rsid w:val="005325A8"/>
    <w:rsid w:val="005325C0"/>
    <w:rsid w:val="00532D93"/>
    <w:rsid w:val="00533F3F"/>
    <w:rsid w:val="005351C8"/>
    <w:rsid w:val="005351E0"/>
    <w:rsid w:val="00535CB4"/>
    <w:rsid w:val="00535D05"/>
    <w:rsid w:val="005360C6"/>
    <w:rsid w:val="00536ADF"/>
    <w:rsid w:val="0053735E"/>
    <w:rsid w:val="005374CA"/>
    <w:rsid w:val="00537DDE"/>
    <w:rsid w:val="00537F9E"/>
    <w:rsid w:val="005406A4"/>
    <w:rsid w:val="0054174D"/>
    <w:rsid w:val="00541BDD"/>
    <w:rsid w:val="0054363F"/>
    <w:rsid w:val="00543AD2"/>
    <w:rsid w:val="00544DFC"/>
    <w:rsid w:val="00545A8B"/>
    <w:rsid w:val="00546C6A"/>
    <w:rsid w:val="0054711E"/>
    <w:rsid w:val="005477E2"/>
    <w:rsid w:val="00550640"/>
    <w:rsid w:val="00550C3F"/>
    <w:rsid w:val="00550D6D"/>
    <w:rsid w:val="00551460"/>
    <w:rsid w:val="005514F3"/>
    <w:rsid w:val="005516E9"/>
    <w:rsid w:val="00552317"/>
    <w:rsid w:val="0055255C"/>
    <w:rsid w:val="00552E23"/>
    <w:rsid w:val="005535B5"/>
    <w:rsid w:val="00553B29"/>
    <w:rsid w:val="005542C8"/>
    <w:rsid w:val="00554AC2"/>
    <w:rsid w:val="005554E5"/>
    <w:rsid w:val="00555517"/>
    <w:rsid w:val="00556F9E"/>
    <w:rsid w:val="005576B9"/>
    <w:rsid w:val="00557ADA"/>
    <w:rsid w:val="00557F91"/>
    <w:rsid w:val="00560E82"/>
    <w:rsid w:val="00560F9E"/>
    <w:rsid w:val="00561739"/>
    <w:rsid w:val="005620D1"/>
    <w:rsid w:val="00562154"/>
    <w:rsid w:val="0056230B"/>
    <w:rsid w:val="00562600"/>
    <w:rsid w:val="00562BDE"/>
    <w:rsid w:val="00562E76"/>
    <w:rsid w:val="00563014"/>
    <w:rsid w:val="00564B10"/>
    <w:rsid w:val="00564B73"/>
    <w:rsid w:val="005652AD"/>
    <w:rsid w:val="00565980"/>
    <w:rsid w:val="00565F6F"/>
    <w:rsid w:val="00566405"/>
    <w:rsid w:val="00566549"/>
    <w:rsid w:val="00566871"/>
    <w:rsid w:val="00567832"/>
    <w:rsid w:val="0057003E"/>
    <w:rsid w:val="0057023C"/>
    <w:rsid w:val="005703ED"/>
    <w:rsid w:val="005706D8"/>
    <w:rsid w:val="00570B44"/>
    <w:rsid w:val="00572D51"/>
    <w:rsid w:val="005731A5"/>
    <w:rsid w:val="005736B7"/>
    <w:rsid w:val="00573DC0"/>
    <w:rsid w:val="00574405"/>
    <w:rsid w:val="005752C5"/>
    <w:rsid w:val="005760C1"/>
    <w:rsid w:val="005767DA"/>
    <w:rsid w:val="00576A82"/>
    <w:rsid w:val="00577335"/>
    <w:rsid w:val="00577CC9"/>
    <w:rsid w:val="00577F24"/>
    <w:rsid w:val="005808F8"/>
    <w:rsid w:val="00581777"/>
    <w:rsid w:val="00581886"/>
    <w:rsid w:val="00582438"/>
    <w:rsid w:val="005824B0"/>
    <w:rsid w:val="00582E4E"/>
    <w:rsid w:val="00583071"/>
    <w:rsid w:val="005839E3"/>
    <w:rsid w:val="00583CF2"/>
    <w:rsid w:val="005844DC"/>
    <w:rsid w:val="005845EB"/>
    <w:rsid w:val="00584706"/>
    <w:rsid w:val="005849B1"/>
    <w:rsid w:val="00584B41"/>
    <w:rsid w:val="00584FD1"/>
    <w:rsid w:val="00586D38"/>
    <w:rsid w:val="005874BB"/>
    <w:rsid w:val="00587CE6"/>
    <w:rsid w:val="0059065B"/>
    <w:rsid w:val="005917CC"/>
    <w:rsid w:val="00591898"/>
    <w:rsid w:val="005926E9"/>
    <w:rsid w:val="0059287A"/>
    <w:rsid w:val="005940DD"/>
    <w:rsid w:val="00594D98"/>
    <w:rsid w:val="00594EB0"/>
    <w:rsid w:val="00594F90"/>
    <w:rsid w:val="00595565"/>
    <w:rsid w:val="005955D7"/>
    <w:rsid w:val="0059562F"/>
    <w:rsid w:val="0059589B"/>
    <w:rsid w:val="0059592E"/>
    <w:rsid w:val="00595A1E"/>
    <w:rsid w:val="00596321"/>
    <w:rsid w:val="00596526"/>
    <w:rsid w:val="005974CE"/>
    <w:rsid w:val="00597757"/>
    <w:rsid w:val="00597966"/>
    <w:rsid w:val="005979C2"/>
    <w:rsid w:val="005A0106"/>
    <w:rsid w:val="005A105C"/>
    <w:rsid w:val="005A1B98"/>
    <w:rsid w:val="005A46D3"/>
    <w:rsid w:val="005A6676"/>
    <w:rsid w:val="005A70F5"/>
    <w:rsid w:val="005A762D"/>
    <w:rsid w:val="005A7864"/>
    <w:rsid w:val="005A7F30"/>
    <w:rsid w:val="005B002C"/>
    <w:rsid w:val="005B066D"/>
    <w:rsid w:val="005B094C"/>
    <w:rsid w:val="005B388F"/>
    <w:rsid w:val="005B4069"/>
    <w:rsid w:val="005B4C9F"/>
    <w:rsid w:val="005B53C4"/>
    <w:rsid w:val="005B5986"/>
    <w:rsid w:val="005B60C6"/>
    <w:rsid w:val="005B60F3"/>
    <w:rsid w:val="005B64F8"/>
    <w:rsid w:val="005B682B"/>
    <w:rsid w:val="005B7356"/>
    <w:rsid w:val="005B7445"/>
    <w:rsid w:val="005B79CA"/>
    <w:rsid w:val="005B7FAE"/>
    <w:rsid w:val="005C080B"/>
    <w:rsid w:val="005C186E"/>
    <w:rsid w:val="005C3A8A"/>
    <w:rsid w:val="005C3BDA"/>
    <w:rsid w:val="005C4475"/>
    <w:rsid w:val="005C4978"/>
    <w:rsid w:val="005C4CDE"/>
    <w:rsid w:val="005C5249"/>
    <w:rsid w:val="005C577D"/>
    <w:rsid w:val="005C5977"/>
    <w:rsid w:val="005C6075"/>
    <w:rsid w:val="005C63AC"/>
    <w:rsid w:val="005C64FC"/>
    <w:rsid w:val="005C67EE"/>
    <w:rsid w:val="005C6886"/>
    <w:rsid w:val="005C6EBA"/>
    <w:rsid w:val="005C761D"/>
    <w:rsid w:val="005C76B7"/>
    <w:rsid w:val="005C76DF"/>
    <w:rsid w:val="005C7E37"/>
    <w:rsid w:val="005D052F"/>
    <w:rsid w:val="005D0BAD"/>
    <w:rsid w:val="005D126C"/>
    <w:rsid w:val="005D17A9"/>
    <w:rsid w:val="005D19B0"/>
    <w:rsid w:val="005D1C82"/>
    <w:rsid w:val="005D2144"/>
    <w:rsid w:val="005D21F9"/>
    <w:rsid w:val="005D2472"/>
    <w:rsid w:val="005D2CD7"/>
    <w:rsid w:val="005D3CCF"/>
    <w:rsid w:val="005D52A2"/>
    <w:rsid w:val="005D571E"/>
    <w:rsid w:val="005D5CAA"/>
    <w:rsid w:val="005D63F8"/>
    <w:rsid w:val="005D6563"/>
    <w:rsid w:val="005D65EE"/>
    <w:rsid w:val="005D6EEA"/>
    <w:rsid w:val="005D7146"/>
    <w:rsid w:val="005D7552"/>
    <w:rsid w:val="005D765F"/>
    <w:rsid w:val="005E011D"/>
    <w:rsid w:val="005E01AE"/>
    <w:rsid w:val="005E0521"/>
    <w:rsid w:val="005E0B54"/>
    <w:rsid w:val="005E0B56"/>
    <w:rsid w:val="005E0E16"/>
    <w:rsid w:val="005E125E"/>
    <w:rsid w:val="005E1E61"/>
    <w:rsid w:val="005E2002"/>
    <w:rsid w:val="005E3A73"/>
    <w:rsid w:val="005E49FA"/>
    <w:rsid w:val="005E524A"/>
    <w:rsid w:val="005E53A5"/>
    <w:rsid w:val="005E556E"/>
    <w:rsid w:val="005E5693"/>
    <w:rsid w:val="005E5B34"/>
    <w:rsid w:val="005E6826"/>
    <w:rsid w:val="005E74C8"/>
    <w:rsid w:val="005E7755"/>
    <w:rsid w:val="005E792D"/>
    <w:rsid w:val="005E79C5"/>
    <w:rsid w:val="005E7C72"/>
    <w:rsid w:val="005F043F"/>
    <w:rsid w:val="005F06F0"/>
    <w:rsid w:val="005F1694"/>
    <w:rsid w:val="005F16BD"/>
    <w:rsid w:val="005F2327"/>
    <w:rsid w:val="005F2663"/>
    <w:rsid w:val="005F2B77"/>
    <w:rsid w:val="005F2D0C"/>
    <w:rsid w:val="005F398F"/>
    <w:rsid w:val="005F3AE1"/>
    <w:rsid w:val="005F3D75"/>
    <w:rsid w:val="005F3FD5"/>
    <w:rsid w:val="005F4A1F"/>
    <w:rsid w:val="005F4BB1"/>
    <w:rsid w:val="005F5692"/>
    <w:rsid w:val="005F6F68"/>
    <w:rsid w:val="006003EE"/>
    <w:rsid w:val="00600D86"/>
    <w:rsid w:val="0060179A"/>
    <w:rsid w:val="006017B5"/>
    <w:rsid w:val="00601D65"/>
    <w:rsid w:val="006028B0"/>
    <w:rsid w:val="00603392"/>
    <w:rsid w:val="006038A9"/>
    <w:rsid w:val="006040CD"/>
    <w:rsid w:val="0060410E"/>
    <w:rsid w:val="00604965"/>
    <w:rsid w:val="00604DCE"/>
    <w:rsid w:val="0060578D"/>
    <w:rsid w:val="006063A6"/>
    <w:rsid w:val="00606499"/>
    <w:rsid w:val="006065A2"/>
    <w:rsid w:val="0060707A"/>
    <w:rsid w:val="0060731F"/>
    <w:rsid w:val="0060775B"/>
    <w:rsid w:val="0061030F"/>
    <w:rsid w:val="006105AC"/>
    <w:rsid w:val="006105BC"/>
    <w:rsid w:val="0061093D"/>
    <w:rsid w:val="00610C80"/>
    <w:rsid w:val="006118A1"/>
    <w:rsid w:val="00611BD6"/>
    <w:rsid w:val="00611C2D"/>
    <w:rsid w:val="00611CE9"/>
    <w:rsid w:val="00611F2E"/>
    <w:rsid w:val="00611F78"/>
    <w:rsid w:val="00612078"/>
    <w:rsid w:val="0061238A"/>
    <w:rsid w:val="00612C98"/>
    <w:rsid w:val="00612EB4"/>
    <w:rsid w:val="00613813"/>
    <w:rsid w:val="00613E61"/>
    <w:rsid w:val="0061455C"/>
    <w:rsid w:val="00615009"/>
    <w:rsid w:val="00615252"/>
    <w:rsid w:val="006152DD"/>
    <w:rsid w:val="00615CED"/>
    <w:rsid w:val="00615CF9"/>
    <w:rsid w:val="00615E68"/>
    <w:rsid w:val="00616017"/>
    <w:rsid w:val="006160FC"/>
    <w:rsid w:val="006162EB"/>
    <w:rsid w:val="00616725"/>
    <w:rsid w:val="006174B8"/>
    <w:rsid w:val="00617621"/>
    <w:rsid w:val="00617EE7"/>
    <w:rsid w:val="00620A4E"/>
    <w:rsid w:val="00620D58"/>
    <w:rsid w:val="006212FD"/>
    <w:rsid w:val="00621493"/>
    <w:rsid w:val="0062181E"/>
    <w:rsid w:val="00621CD3"/>
    <w:rsid w:val="00622AA1"/>
    <w:rsid w:val="00623BB1"/>
    <w:rsid w:val="00623DAF"/>
    <w:rsid w:val="006245FF"/>
    <w:rsid w:val="00625299"/>
    <w:rsid w:val="0062572A"/>
    <w:rsid w:val="00625C8B"/>
    <w:rsid w:val="00626D6C"/>
    <w:rsid w:val="00630397"/>
    <w:rsid w:val="00630497"/>
    <w:rsid w:val="0063088A"/>
    <w:rsid w:val="00630967"/>
    <w:rsid w:val="00630B30"/>
    <w:rsid w:val="00630B65"/>
    <w:rsid w:val="00631861"/>
    <w:rsid w:val="0063201C"/>
    <w:rsid w:val="00632C0E"/>
    <w:rsid w:val="00633A71"/>
    <w:rsid w:val="00633C96"/>
    <w:rsid w:val="00633F30"/>
    <w:rsid w:val="00634F56"/>
    <w:rsid w:val="00634F7F"/>
    <w:rsid w:val="00635336"/>
    <w:rsid w:val="00635416"/>
    <w:rsid w:val="006358B3"/>
    <w:rsid w:val="00635968"/>
    <w:rsid w:val="00636030"/>
    <w:rsid w:val="00636AB4"/>
    <w:rsid w:val="0063751B"/>
    <w:rsid w:val="00637E39"/>
    <w:rsid w:val="00640401"/>
    <w:rsid w:val="006405B4"/>
    <w:rsid w:val="00640E1A"/>
    <w:rsid w:val="00641ED0"/>
    <w:rsid w:val="00643414"/>
    <w:rsid w:val="00643773"/>
    <w:rsid w:val="00644106"/>
    <w:rsid w:val="00644CF9"/>
    <w:rsid w:val="00644DAD"/>
    <w:rsid w:val="00645979"/>
    <w:rsid w:val="00645C54"/>
    <w:rsid w:val="00645E1A"/>
    <w:rsid w:val="00645E90"/>
    <w:rsid w:val="006471A7"/>
    <w:rsid w:val="006472A4"/>
    <w:rsid w:val="00647903"/>
    <w:rsid w:val="00647CC2"/>
    <w:rsid w:val="006506AD"/>
    <w:rsid w:val="006508CF"/>
    <w:rsid w:val="006512B5"/>
    <w:rsid w:val="0065161C"/>
    <w:rsid w:val="006528F2"/>
    <w:rsid w:val="006529F3"/>
    <w:rsid w:val="00653569"/>
    <w:rsid w:val="00653571"/>
    <w:rsid w:val="006535A8"/>
    <w:rsid w:val="00653C0D"/>
    <w:rsid w:val="006541A3"/>
    <w:rsid w:val="00654415"/>
    <w:rsid w:val="00654A39"/>
    <w:rsid w:val="00654AB9"/>
    <w:rsid w:val="00654BA5"/>
    <w:rsid w:val="00654E3B"/>
    <w:rsid w:val="00655DA0"/>
    <w:rsid w:val="00655F76"/>
    <w:rsid w:val="006568A0"/>
    <w:rsid w:val="00656FAA"/>
    <w:rsid w:val="0065753F"/>
    <w:rsid w:val="00657837"/>
    <w:rsid w:val="0066168A"/>
    <w:rsid w:val="00662B30"/>
    <w:rsid w:val="006635E5"/>
    <w:rsid w:val="00663EF3"/>
    <w:rsid w:val="006641A1"/>
    <w:rsid w:val="00664699"/>
    <w:rsid w:val="00664723"/>
    <w:rsid w:val="00664F72"/>
    <w:rsid w:val="00665127"/>
    <w:rsid w:val="00665F43"/>
    <w:rsid w:val="006664F9"/>
    <w:rsid w:val="00667DF7"/>
    <w:rsid w:val="00670008"/>
    <w:rsid w:val="006703E3"/>
    <w:rsid w:val="00670E47"/>
    <w:rsid w:val="006711E9"/>
    <w:rsid w:val="00671399"/>
    <w:rsid w:val="006719DC"/>
    <w:rsid w:val="00671A4C"/>
    <w:rsid w:val="00671B76"/>
    <w:rsid w:val="00671ECF"/>
    <w:rsid w:val="00671F3C"/>
    <w:rsid w:val="0067237A"/>
    <w:rsid w:val="00672B8D"/>
    <w:rsid w:val="00672D1B"/>
    <w:rsid w:val="00673187"/>
    <w:rsid w:val="00673DD1"/>
    <w:rsid w:val="00674618"/>
    <w:rsid w:val="00675203"/>
    <w:rsid w:val="00675929"/>
    <w:rsid w:val="00675985"/>
    <w:rsid w:val="00675E18"/>
    <w:rsid w:val="00676CFF"/>
    <w:rsid w:val="006770BD"/>
    <w:rsid w:val="00681511"/>
    <w:rsid w:val="00681A50"/>
    <w:rsid w:val="00681EC5"/>
    <w:rsid w:val="0068261C"/>
    <w:rsid w:val="00682A33"/>
    <w:rsid w:val="00683B51"/>
    <w:rsid w:val="00684831"/>
    <w:rsid w:val="006850DD"/>
    <w:rsid w:val="0068548D"/>
    <w:rsid w:val="00685A42"/>
    <w:rsid w:val="00686A4D"/>
    <w:rsid w:val="00686E39"/>
    <w:rsid w:val="00687BB7"/>
    <w:rsid w:val="00687EAB"/>
    <w:rsid w:val="006907A1"/>
    <w:rsid w:val="006907FF"/>
    <w:rsid w:val="00690AD2"/>
    <w:rsid w:val="006912E3"/>
    <w:rsid w:val="00691663"/>
    <w:rsid w:val="006919AC"/>
    <w:rsid w:val="0069229A"/>
    <w:rsid w:val="00693520"/>
    <w:rsid w:val="00693668"/>
    <w:rsid w:val="006936D5"/>
    <w:rsid w:val="00695A28"/>
    <w:rsid w:val="00696052"/>
    <w:rsid w:val="00696B74"/>
    <w:rsid w:val="006973D1"/>
    <w:rsid w:val="00697A23"/>
    <w:rsid w:val="00697D62"/>
    <w:rsid w:val="006A0626"/>
    <w:rsid w:val="006A06F9"/>
    <w:rsid w:val="006A0868"/>
    <w:rsid w:val="006A105E"/>
    <w:rsid w:val="006A21CD"/>
    <w:rsid w:val="006A2258"/>
    <w:rsid w:val="006A22F3"/>
    <w:rsid w:val="006A23D5"/>
    <w:rsid w:val="006A2777"/>
    <w:rsid w:val="006A2E13"/>
    <w:rsid w:val="006A307F"/>
    <w:rsid w:val="006A30F3"/>
    <w:rsid w:val="006A3134"/>
    <w:rsid w:val="006A31B6"/>
    <w:rsid w:val="006A363F"/>
    <w:rsid w:val="006A3C6D"/>
    <w:rsid w:val="006A3DE2"/>
    <w:rsid w:val="006A56B4"/>
    <w:rsid w:val="006A6BEC"/>
    <w:rsid w:val="006A7537"/>
    <w:rsid w:val="006A7C21"/>
    <w:rsid w:val="006A7E68"/>
    <w:rsid w:val="006A7F58"/>
    <w:rsid w:val="006B0431"/>
    <w:rsid w:val="006B045C"/>
    <w:rsid w:val="006B0B5A"/>
    <w:rsid w:val="006B129D"/>
    <w:rsid w:val="006B1CFB"/>
    <w:rsid w:val="006B225D"/>
    <w:rsid w:val="006B2426"/>
    <w:rsid w:val="006B2852"/>
    <w:rsid w:val="006B2A00"/>
    <w:rsid w:val="006B36BC"/>
    <w:rsid w:val="006B37D1"/>
    <w:rsid w:val="006B397D"/>
    <w:rsid w:val="006B4226"/>
    <w:rsid w:val="006B4769"/>
    <w:rsid w:val="006B4BED"/>
    <w:rsid w:val="006B59CA"/>
    <w:rsid w:val="006B69EC"/>
    <w:rsid w:val="006B7174"/>
    <w:rsid w:val="006B7704"/>
    <w:rsid w:val="006B7837"/>
    <w:rsid w:val="006B791A"/>
    <w:rsid w:val="006C10AF"/>
    <w:rsid w:val="006C1BF6"/>
    <w:rsid w:val="006C243F"/>
    <w:rsid w:val="006C29FF"/>
    <w:rsid w:val="006C41D4"/>
    <w:rsid w:val="006C41F9"/>
    <w:rsid w:val="006C43B8"/>
    <w:rsid w:val="006C490D"/>
    <w:rsid w:val="006C5116"/>
    <w:rsid w:val="006C5148"/>
    <w:rsid w:val="006C5515"/>
    <w:rsid w:val="006C5C06"/>
    <w:rsid w:val="006C5DBA"/>
    <w:rsid w:val="006C647F"/>
    <w:rsid w:val="006C6CF5"/>
    <w:rsid w:val="006C7119"/>
    <w:rsid w:val="006C72DA"/>
    <w:rsid w:val="006C7CDE"/>
    <w:rsid w:val="006C7F9C"/>
    <w:rsid w:val="006D0570"/>
    <w:rsid w:val="006D0CF5"/>
    <w:rsid w:val="006D19B7"/>
    <w:rsid w:val="006D1A81"/>
    <w:rsid w:val="006D1BC1"/>
    <w:rsid w:val="006D373C"/>
    <w:rsid w:val="006D3DB2"/>
    <w:rsid w:val="006D418E"/>
    <w:rsid w:val="006D474D"/>
    <w:rsid w:val="006D5043"/>
    <w:rsid w:val="006D565D"/>
    <w:rsid w:val="006D56B0"/>
    <w:rsid w:val="006D56E5"/>
    <w:rsid w:val="006D599C"/>
    <w:rsid w:val="006D5C0C"/>
    <w:rsid w:val="006D5F3D"/>
    <w:rsid w:val="006D5F74"/>
    <w:rsid w:val="006D6BE5"/>
    <w:rsid w:val="006D6E4E"/>
    <w:rsid w:val="006D7A48"/>
    <w:rsid w:val="006D7A55"/>
    <w:rsid w:val="006D7D2D"/>
    <w:rsid w:val="006E00C8"/>
    <w:rsid w:val="006E00FA"/>
    <w:rsid w:val="006E05CC"/>
    <w:rsid w:val="006E092D"/>
    <w:rsid w:val="006E1611"/>
    <w:rsid w:val="006E1A4F"/>
    <w:rsid w:val="006E1C7D"/>
    <w:rsid w:val="006E1F98"/>
    <w:rsid w:val="006E27F9"/>
    <w:rsid w:val="006E40A5"/>
    <w:rsid w:val="006E4498"/>
    <w:rsid w:val="006E53EE"/>
    <w:rsid w:val="006E5FF7"/>
    <w:rsid w:val="006E6B66"/>
    <w:rsid w:val="006E74D5"/>
    <w:rsid w:val="006E77C0"/>
    <w:rsid w:val="006E78AD"/>
    <w:rsid w:val="006E7B15"/>
    <w:rsid w:val="006E7D11"/>
    <w:rsid w:val="006F01AA"/>
    <w:rsid w:val="006F0308"/>
    <w:rsid w:val="006F0520"/>
    <w:rsid w:val="006F0EC3"/>
    <w:rsid w:val="006F1D1C"/>
    <w:rsid w:val="006F1F16"/>
    <w:rsid w:val="006F236E"/>
    <w:rsid w:val="006F2376"/>
    <w:rsid w:val="006F2846"/>
    <w:rsid w:val="006F2C86"/>
    <w:rsid w:val="006F3035"/>
    <w:rsid w:val="006F425E"/>
    <w:rsid w:val="006F4545"/>
    <w:rsid w:val="006F46AE"/>
    <w:rsid w:val="006F46C9"/>
    <w:rsid w:val="006F5741"/>
    <w:rsid w:val="006F584D"/>
    <w:rsid w:val="006F5ACA"/>
    <w:rsid w:val="006F5C2F"/>
    <w:rsid w:val="006F5D26"/>
    <w:rsid w:val="006F5D79"/>
    <w:rsid w:val="006F61EC"/>
    <w:rsid w:val="006F63E2"/>
    <w:rsid w:val="006F6F32"/>
    <w:rsid w:val="006F78AE"/>
    <w:rsid w:val="006F7FBF"/>
    <w:rsid w:val="00700735"/>
    <w:rsid w:val="00700AB7"/>
    <w:rsid w:val="00700BCC"/>
    <w:rsid w:val="007019AB"/>
    <w:rsid w:val="00702EBA"/>
    <w:rsid w:val="00702EDA"/>
    <w:rsid w:val="007030B0"/>
    <w:rsid w:val="00703129"/>
    <w:rsid w:val="00703824"/>
    <w:rsid w:val="0070396E"/>
    <w:rsid w:val="00703A17"/>
    <w:rsid w:val="00703E6F"/>
    <w:rsid w:val="007043D5"/>
    <w:rsid w:val="007046EF"/>
    <w:rsid w:val="0070493E"/>
    <w:rsid w:val="00704DF3"/>
    <w:rsid w:val="00704EF7"/>
    <w:rsid w:val="00705490"/>
    <w:rsid w:val="00705571"/>
    <w:rsid w:val="00705962"/>
    <w:rsid w:val="0070620A"/>
    <w:rsid w:val="00706752"/>
    <w:rsid w:val="0070675D"/>
    <w:rsid w:val="007068C4"/>
    <w:rsid w:val="00706C74"/>
    <w:rsid w:val="007078B5"/>
    <w:rsid w:val="00707E7E"/>
    <w:rsid w:val="00707FCD"/>
    <w:rsid w:val="0071028B"/>
    <w:rsid w:val="00710DB1"/>
    <w:rsid w:val="007116BB"/>
    <w:rsid w:val="00711B5C"/>
    <w:rsid w:val="007124B2"/>
    <w:rsid w:val="007125BE"/>
    <w:rsid w:val="00713A3F"/>
    <w:rsid w:val="007142A5"/>
    <w:rsid w:val="007151CC"/>
    <w:rsid w:val="0071574E"/>
    <w:rsid w:val="00715A83"/>
    <w:rsid w:val="0071665E"/>
    <w:rsid w:val="00717759"/>
    <w:rsid w:val="00717796"/>
    <w:rsid w:val="007177A6"/>
    <w:rsid w:val="007201B1"/>
    <w:rsid w:val="007202F3"/>
    <w:rsid w:val="00720369"/>
    <w:rsid w:val="007204AA"/>
    <w:rsid w:val="00720659"/>
    <w:rsid w:val="00720C1A"/>
    <w:rsid w:val="00721027"/>
    <w:rsid w:val="0072158E"/>
    <w:rsid w:val="00721736"/>
    <w:rsid w:val="00721F11"/>
    <w:rsid w:val="0072217C"/>
    <w:rsid w:val="007221D4"/>
    <w:rsid w:val="00722200"/>
    <w:rsid w:val="00722ED5"/>
    <w:rsid w:val="00723445"/>
    <w:rsid w:val="00723867"/>
    <w:rsid w:val="007241D1"/>
    <w:rsid w:val="00724383"/>
    <w:rsid w:val="00724796"/>
    <w:rsid w:val="00725885"/>
    <w:rsid w:val="0072632B"/>
    <w:rsid w:val="00726BD1"/>
    <w:rsid w:val="00727625"/>
    <w:rsid w:val="0072769B"/>
    <w:rsid w:val="00727E88"/>
    <w:rsid w:val="00730B0E"/>
    <w:rsid w:val="007314C5"/>
    <w:rsid w:val="007321B2"/>
    <w:rsid w:val="00732251"/>
    <w:rsid w:val="0073318A"/>
    <w:rsid w:val="00733AC8"/>
    <w:rsid w:val="00734188"/>
    <w:rsid w:val="0073491F"/>
    <w:rsid w:val="00734DE9"/>
    <w:rsid w:val="00735002"/>
    <w:rsid w:val="007351E3"/>
    <w:rsid w:val="00735475"/>
    <w:rsid w:val="007354CD"/>
    <w:rsid w:val="00735BFE"/>
    <w:rsid w:val="007366C2"/>
    <w:rsid w:val="00736D1E"/>
    <w:rsid w:val="00737461"/>
    <w:rsid w:val="00740D5F"/>
    <w:rsid w:val="0074187D"/>
    <w:rsid w:val="00741EF3"/>
    <w:rsid w:val="00742358"/>
    <w:rsid w:val="007429C3"/>
    <w:rsid w:val="007443B3"/>
    <w:rsid w:val="007445C1"/>
    <w:rsid w:val="00744B1E"/>
    <w:rsid w:val="007453DE"/>
    <w:rsid w:val="007459F5"/>
    <w:rsid w:val="00745A62"/>
    <w:rsid w:val="00745D9C"/>
    <w:rsid w:val="00745E32"/>
    <w:rsid w:val="0074697D"/>
    <w:rsid w:val="00746CE2"/>
    <w:rsid w:val="00746DEE"/>
    <w:rsid w:val="00747228"/>
    <w:rsid w:val="007478BE"/>
    <w:rsid w:val="0075012F"/>
    <w:rsid w:val="00750FBE"/>
    <w:rsid w:val="007512BF"/>
    <w:rsid w:val="00751325"/>
    <w:rsid w:val="007513A3"/>
    <w:rsid w:val="00751AB5"/>
    <w:rsid w:val="00752052"/>
    <w:rsid w:val="007529C0"/>
    <w:rsid w:val="00752AD8"/>
    <w:rsid w:val="00752C34"/>
    <w:rsid w:val="00752F27"/>
    <w:rsid w:val="007532D9"/>
    <w:rsid w:val="00753391"/>
    <w:rsid w:val="00753614"/>
    <w:rsid w:val="00753681"/>
    <w:rsid w:val="0075385E"/>
    <w:rsid w:val="00753999"/>
    <w:rsid w:val="00753C7D"/>
    <w:rsid w:val="00756632"/>
    <w:rsid w:val="007568B0"/>
    <w:rsid w:val="00756A52"/>
    <w:rsid w:val="007575F8"/>
    <w:rsid w:val="007576A2"/>
    <w:rsid w:val="00757983"/>
    <w:rsid w:val="00757CDD"/>
    <w:rsid w:val="00757E71"/>
    <w:rsid w:val="00760459"/>
    <w:rsid w:val="0076051C"/>
    <w:rsid w:val="00760819"/>
    <w:rsid w:val="00760EDB"/>
    <w:rsid w:val="00761F4F"/>
    <w:rsid w:val="0076251C"/>
    <w:rsid w:val="00762C74"/>
    <w:rsid w:val="0076364E"/>
    <w:rsid w:val="00763E12"/>
    <w:rsid w:val="00763FDB"/>
    <w:rsid w:val="0076468A"/>
    <w:rsid w:val="00764B9B"/>
    <w:rsid w:val="00765413"/>
    <w:rsid w:val="0076580D"/>
    <w:rsid w:val="0076591B"/>
    <w:rsid w:val="00765A24"/>
    <w:rsid w:val="00767072"/>
    <w:rsid w:val="00767CE5"/>
    <w:rsid w:val="00767D5D"/>
    <w:rsid w:val="007705B2"/>
    <w:rsid w:val="0077139D"/>
    <w:rsid w:val="00771420"/>
    <w:rsid w:val="00771465"/>
    <w:rsid w:val="0077146F"/>
    <w:rsid w:val="00772168"/>
    <w:rsid w:val="00772307"/>
    <w:rsid w:val="007723B4"/>
    <w:rsid w:val="00772E0E"/>
    <w:rsid w:val="00772F46"/>
    <w:rsid w:val="00773397"/>
    <w:rsid w:val="007736CB"/>
    <w:rsid w:val="0077372E"/>
    <w:rsid w:val="00773820"/>
    <w:rsid w:val="00773A7E"/>
    <w:rsid w:val="00773BE4"/>
    <w:rsid w:val="00774120"/>
    <w:rsid w:val="0077465B"/>
    <w:rsid w:val="007747E5"/>
    <w:rsid w:val="007747F8"/>
    <w:rsid w:val="0077494F"/>
    <w:rsid w:val="0077513B"/>
    <w:rsid w:val="007751E9"/>
    <w:rsid w:val="0077549A"/>
    <w:rsid w:val="00775632"/>
    <w:rsid w:val="007757F2"/>
    <w:rsid w:val="00775E56"/>
    <w:rsid w:val="00776152"/>
    <w:rsid w:val="00776903"/>
    <w:rsid w:val="00780D80"/>
    <w:rsid w:val="0078120D"/>
    <w:rsid w:val="00781C29"/>
    <w:rsid w:val="007821B9"/>
    <w:rsid w:val="00782526"/>
    <w:rsid w:val="00782A1D"/>
    <w:rsid w:val="007833A9"/>
    <w:rsid w:val="00783986"/>
    <w:rsid w:val="00783E8A"/>
    <w:rsid w:val="0078437C"/>
    <w:rsid w:val="007846DE"/>
    <w:rsid w:val="00785687"/>
    <w:rsid w:val="00785A8B"/>
    <w:rsid w:val="00786356"/>
    <w:rsid w:val="007863B2"/>
    <w:rsid w:val="00786960"/>
    <w:rsid w:val="00786B16"/>
    <w:rsid w:val="00787282"/>
    <w:rsid w:val="007900B9"/>
    <w:rsid w:val="007908F6"/>
    <w:rsid w:val="00791358"/>
    <w:rsid w:val="00791954"/>
    <w:rsid w:val="0079246D"/>
    <w:rsid w:val="00792FFC"/>
    <w:rsid w:val="0079315D"/>
    <w:rsid w:val="0079350E"/>
    <w:rsid w:val="0079351F"/>
    <w:rsid w:val="007938DE"/>
    <w:rsid w:val="00793F00"/>
    <w:rsid w:val="00794220"/>
    <w:rsid w:val="00794385"/>
    <w:rsid w:val="00794C4D"/>
    <w:rsid w:val="00794F43"/>
    <w:rsid w:val="007950B1"/>
    <w:rsid w:val="00795F02"/>
    <w:rsid w:val="007960F5"/>
    <w:rsid w:val="007964CC"/>
    <w:rsid w:val="0079667C"/>
    <w:rsid w:val="00797C1D"/>
    <w:rsid w:val="007A0249"/>
    <w:rsid w:val="007A09FD"/>
    <w:rsid w:val="007A1279"/>
    <w:rsid w:val="007A164A"/>
    <w:rsid w:val="007A1737"/>
    <w:rsid w:val="007A2E52"/>
    <w:rsid w:val="007A36BF"/>
    <w:rsid w:val="007A39FF"/>
    <w:rsid w:val="007A41F8"/>
    <w:rsid w:val="007A426D"/>
    <w:rsid w:val="007A4603"/>
    <w:rsid w:val="007A48C5"/>
    <w:rsid w:val="007A4CB8"/>
    <w:rsid w:val="007A51A2"/>
    <w:rsid w:val="007A520A"/>
    <w:rsid w:val="007A5641"/>
    <w:rsid w:val="007A596B"/>
    <w:rsid w:val="007A5989"/>
    <w:rsid w:val="007A6045"/>
    <w:rsid w:val="007A66BA"/>
    <w:rsid w:val="007A6FB2"/>
    <w:rsid w:val="007A73C6"/>
    <w:rsid w:val="007A7507"/>
    <w:rsid w:val="007A76A6"/>
    <w:rsid w:val="007A7BA8"/>
    <w:rsid w:val="007A7DA5"/>
    <w:rsid w:val="007B0EFA"/>
    <w:rsid w:val="007B1AE3"/>
    <w:rsid w:val="007B1DAE"/>
    <w:rsid w:val="007B271B"/>
    <w:rsid w:val="007B2A6C"/>
    <w:rsid w:val="007B37F4"/>
    <w:rsid w:val="007B3A7B"/>
    <w:rsid w:val="007B4CF6"/>
    <w:rsid w:val="007B507C"/>
    <w:rsid w:val="007B56AF"/>
    <w:rsid w:val="007B57ED"/>
    <w:rsid w:val="007B58EE"/>
    <w:rsid w:val="007B5971"/>
    <w:rsid w:val="007B629D"/>
    <w:rsid w:val="007B6432"/>
    <w:rsid w:val="007B7A45"/>
    <w:rsid w:val="007B7FDB"/>
    <w:rsid w:val="007C0155"/>
    <w:rsid w:val="007C030C"/>
    <w:rsid w:val="007C097F"/>
    <w:rsid w:val="007C110C"/>
    <w:rsid w:val="007C1290"/>
    <w:rsid w:val="007C1355"/>
    <w:rsid w:val="007C26BF"/>
    <w:rsid w:val="007C2980"/>
    <w:rsid w:val="007C2A02"/>
    <w:rsid w:val="007C36C0"/>
    <w:rsid w:val="007C3803"/>
    <w:rsid w:val="007C3BA3"/>
    <w:rsid w:val="007C445C"/>
    <w:rsid w:val="007C49FD"/>
    <w:rsid w:val="007C5153"/>
    <w:rsid w:val="007C5517"/>
    <w:rsid w:val="007C5F36"/>
    <w:rsid w:val="007C5FF7"/>
    <w:rsid w:val="007C6806"/>
    <w:rsid w:val="007C6A39"/>
    <w:rsid w:val="007C6F55"/>
    <w:rsid w:val="007C7016"/>
    <w:rsid w:val="007C701C"/>
    <w:rsid w:val="007C779D"/>
    <w:rsid w:val="007C7B97"/>
    <w:rsid w:val="007C7CF2"/>
    <w:rsid w:val="007D065B"/>
    <w:rsid w:val="007D07A4"/>
    <w:rsid w:val="007D15FF"/>
    <w:rsid w:val="007D1BB8"/>
    <w:rsid w:val="007D1D6E"/>
    <w:rsid w:val="007D23D0"/>
    <w:rsid w:val="007D2685"/>
    <w:rsid w:val="007D27E3"/>
    <w:rsid w:val="007D2AF3"/>
    <w:rsid w:val="007D2ED4"/>
    <w:rsid w:val="007D2F78"/>
    <w:rsid w:val="007D38DB"/>
    <w:rsid w:val="007D4838"/>
    <w:rsid w:val="007D4A87"/>
    <w:rsid w:val="007D4FC8"/>
    <w:rsid w:val="007D5B4F"/>
    <w:rsid w:val="007D5BBE"/>
    <w:rsid w:val="007D5D64"/>
    <w:rsid w:val="007D5D72"/>
    <w:rsid w:val="007D61A8"/>
    <w:rsid w:val="007D6561"/>
    <w:rsid w:val="007E02D4"/>
    <w:rsid w:val="007E0319"/>
    <w:rsid w:val="007E0E8E"/>
    <w:rsid w:val="007E110D"/>
    <w:rsid w:val="007E12D8"/>
    <w:rsid w:val="007E2576"/>
    <w:rsid w:val="007E2709"/>
    <w:rsid w:val="007E3179"/>
    <w:rsid w:val="007E3253"/>
    <w:rsid w:val="007E3A21"/>
    <w:rsid w:val="007E3B31"/>
    <w:rsid w:val="007E441F"/>
    <w:rsid w:val="007E44A1"/>
    <w:rsid w:val="007E5288"/>
    <w:rsid w:val="007E5E36"/>
    <w:rsid w:val="007F0307"/>
    <w:rsid w:val="007F04FE"/>
    <w:rsid w:val="007F0856"/>
    <w:rsid w:val="007F0A7B"/>
    <w:rsid w:val="007F0AD5"/>
    <w:rsid w:val="007F0F4B"/>
    <w:rsid w:val="007F15DA"/>
    <w:rsid w:val="007F1F0C"/>
    <w:rsid w:val="007F29BE"/>
    <w:rsid w:val="007F31E7"/>
    <w:rsid w:val="007F33F9"/>
    <w:rsid w:val="007F386B"/>
    <w:rsid w:val="007F3BDE"/>
    <w:rsid w:val="007F3F88"/>
    <w:rsid w:val="007F402A"/>
    <w:rsid w:val="007F416A"/>
    <w:rsid w:val="007F4896"/>
    <w:rsid w:val="007F519B"/>
    <w:rsid w:val="007F5C1D"/>
    <w:rsid w:val="007F6151"/>
    <w:rsid w:val="007F6820"/>
    <w:rsid w:val="007F687C"/>
    <w:rsid w:val="007F742F"/>
    <w:rsid w:val="008004D8"/>
    <w:rsid w:val="0080058B"/>
    <w:rsid w:val="00800652"/>
    <w:rsid w:val="00800686"/>
    <w:rsid w:val="008009B4"/>
    <w:rsid w:val="00800A59"/>
    <w:rsid w:val="00800DAC"/>
    <w:rsid w:val="00800E4D"/>
    <w:rsid w:val="00801242"/>
    <w:rsid w:val="008015CE"/>
    <w:rsid w:val="008017F7"/>
    <w:rsid w:val="00801B66"/>
    <w:rsid w:val="00801FAC"/>
    <w:rsid w:val="008020D6"/>
    <w:rsid w:val="00802837"/>
    <w:rsid w:val="00802905"/>
    <w:rsid w:val="00802A06"/>
    <w:rsid w:val="00802F04"/>
    <w:rsid w:val="00803314"/>
    <w:rsid w:val="00803AC3"/>
    <w:rsid w:val="00803F9C"/>
    <w:rsid w:val="00804458"/>
    <w:rsid w:val="0080452C"/>
    <w:rsid w:val="00805099"/>
    <w:rsid w:val="0080544B"/>
    <w:rsid w:val="0080568A"/>
    <w:rsid w:val="008064DF"/>
    <w:rsid w:val="008066A2"/>
    <w:rsid w:val="00806735"/>
    <w:rsid w:val="00806A46"/>
    <w:rsid w:val="00806C75"/>
    <w:rsid w:val="00806D17"/>
    <w:rsid w:val="00807F8C"/>
    <w:rsid w:val="00807FF3"/>
    <w:rsid w:val="008103C4"/>
    <w:rsid w:val="008105E7"/>
    <w:rsid w:val="00810617"/>
    <w:rsid w:val="008109E2"/>
    <w:rsid w:val="00811755"/>
    <w:rsid w:val="00811D89"/>
    <w:rsid w:val="008120C7"/>
    <w:rsid w:val="0081231C"/>
    <w:rsid w:val="0081236D"/>
    <w:rsid w:val="008123D3"/>
    <w:rsid w:val="00812455"/>
    <w:rsid w:val="0081248C"/>
    <w:rsid w:val="008125BD"/>
    <w:rsid w:val="00813852"/>
    <w:rsid w:val="00814496"/>
    <w:rsid w:val="008147FB"/>
    <w:rsid w:val="00814818"/>
    <w:rsid w:val="008149C6"/>
    <w:rsid w:val="008152EB"/>
    <w:rsid w:val="008162FB"/>
    <w:rsid w:val="0081672C"/>
    <w:rsid w:val="00816E57"/>
    <w:rsid w:val="00816E76"/>
    <w:rsid w:val="0081768B"/>
    <w:rsid w:val="00817CFE"/>
    <w:rsid w:val="00817F22"/>
    <w:rsid w:val="008202D3"/>
    <w:rsid w:val="00820DB7"/>
    <w:rsid w:val="00821883"/>
    <w:rsid w:val="008226E7"/>
    <w:rsid w:val="00822A74"/>
    <w:rsid w:val="00822A7D"/>
    <w:rsid w:val="00822BBD"/>
    <w:rsid w:val="0082301D"/>
    <w:rsid w:val="00823A89"/>
    <w:rsid w:val="00823CD9"/>
    <w:rsid w:val="00824278"/>
    <w:rsid w:val="0082445F"/>
    <w:rsid w:val="00824570"/>
    <w:rsid w:val="00824AC1"/>
    <w:rsid w:val="00824C59"/>
    <w:rsid w:val="00824DF7"/>
    <w:rsid w:val="00824F23"/>
    <w:rsid w:val="00825EE1"/>
    <w:rsid w:val="008260F8"/>
    <w:rsid w:val="0082618C"/>
    <w:rsid w:val="00826258"/>
    <w:rsid w:val="008269D8"/>
    <w:rsid w:val="00826E6B"/>
    <w:rsid w:val="00827397"/>
    <w:rsid w:val="008275C6"/>
    <w:rsid w:val="00830E67"/>
    <w:rsid w:val="00831594"/>
    <w:rsid w:val="00832D41"/>
    <w:rsid w:val="008331D7"/>
    <w:rsid w:val="0083349D"/>
    <w:rsid w:val="00833D6F"/>
    <w:rsid w:val="00834343"/>
    <w:rsid w:val="008347AC"/>
    <w:rsid w:val="0083487F"/>
    <w:rsid w:val="00834BAF"/>
    <w:rsid w:val="00834C95"/>
    <w:rsid w:val="008351AD"/>
    <w:rsid w:val="008351E8"/>
    <w:rsid w:val="00836902"/>
    <w:rsid w:val="00836BBD"/>
    <w:rsid w:val="00836EDB"/>
    <w:rsid w:val="00836F3F"/>
    <w:rsid w:val="00837089"/>
    <w:rsid w:val="0083720E"/>
    <w:rsid w:val="00837379"/>
    <w:rsid w:val="00840306"/>
    <w:rsid w:val="0084131F"/>
    <w:rsid w:val="00842214"/>
    <w:rsid w:val="0084286D"/>
    <w:rsid w:val="008435CF"/>
    <w:rsid w:val="00843E9F"/>
    <w:rsid w:val="008441C4"/>
    <w:rsid w:val="008446B4"/>
    <w:rsid w:val="00844DDA"/>
    <w:rsid w:val="00844ECC"/>
    <w:rsid w:val="00845862"/>
    <w:rsid w:val="00846259"/>
    <w:rsid w:val="00846537"/>
    <w:rsid w:val="00846E96"/>
    <w:rsid w:val="00847269"/>
    <w:rsid w:val="0084748E"/>
    <w:rsid w:val="008475C8"/>
    <w:rsid w:val="00850309"/>
    <w:rsid w:val="008503EF"/>
    <w:rsid w:val="00850452"/>
    <w:rsid w:val="008507FC"/>
    <w:rsid w:val="00850B05"/>
    <w:rsid w:val="00850E6D"/>
    <w:rsid w:val="008513CD"/>
    <w:rsid w:val="008514E5"/>
    <w:rsid w:val="00851AEB"/>
    <w:rsid w:val="00851EE4"/>
    <w:rsid w:val="0085205E"/>
    <w:rsid w:val="00852F35"/>
    <w:rsid w:val="00853D34"/>
    <w:rsid w:val="00853DB7"/>
    <w:rsid w:val="00854759"/>
    <w:rsid w:val="00855237"/>
    <w:rsid w:val="008554D4"/>
    <w:rsid w:val="00855DEE"/>
    <w:rsid w:val="00856965"/>
    <w:rsid w:val="00857512"/>
    <w:rsid w:val="0085769E"/>
    <w:rsid w:val="0085796F"/>
    <w:rsid w:val="00857B8A"/>
    <w:rsid w:val="00860507"/>
    <w:rsid w:val="00860854"/>
    <w:rsid w:val="00860BAB"/>
    <w:rsid w:val="00861BD4"/>
    <w:rsid w:val="0086366B"/>
    <w:rsid w:val="0086369B"/>
    <w:rsid w:val="00863CD4"/>
    <w:rsid w:val="008642C2"/>
    <w:rsid w:val="008648A8"/>
    <w:rsid w:val="008648C5"/>
    <w:rsid w:val="00864E47"/>
    <w:rsid w:val="00864FD2"/>
    <w:rsid w:val="00866213"/>
    <w:rsid w:val="008666E8"/>
    <w:rsid w:val="008669D7"/>
    <w:rsid w:val="00866BAA"/>
    <w:rsid w:val="00867CC6"/>
    <w:rsid w:val="00867F04"/>
    <w:rsid w:val="00870132"/>
    <w:rsid w:val="0087073F"/>
    <w:rsid w:val="0087184A"/>
    <w:rsid w:val="00871A4D"/>
    <w:rsid w:val="00871A67"/>
    <w:rsid w:val="00871DEF"/>
    <w:rsid w:val="0087292E"/>
    <w:rsid w:val="00874035"/>
    <w:rsid w:val="00874411"/>
    <w:rsid w:val="00874637"/>
    <w:rsid w:val="00874715"/>
    <w:rsid w:val="008753FC"/>
    <w:rsid w:val="00876189"/>
    <w:rsid w:val="008772A7"/>
    <w:rsid w:val="008778FF"/>
    <w:rsid w:val="00882225"/>
    <w:rsid w:val="00882360"/>
    <w:rsid w:val="008823CB"/>
    <w:rsid w:val="008826ED"/>
    <w:rsid w:val="0088366C"/>
    <w:rsid w:val="008838DA"/>
    <w:rsid w:val="008843B8"/>
    <w:rsid w:val="00884430"/>
    <w:rsid w:val="00885069"/>
    <w:rsid w:val="00885FBA"/>
    <w:rsid w:val="00886193"/>
    <w:rsid w:val="00886223"/>
    <w:rsid w:val="008862B3"/>
    <w:rsid w:val="008863F5"/>
    <w:rsid w:val="00886957"/>
    <w:rsid w:val="00887BC7"/>
    <w:rsid w:val="00887F9C"/>
    <w:rsid w:val="0089191B"/>
    <w:rsid w:val="008922BA"/>
    <w:rsid w:val="00892662"/>
    <w:rsid w:val="008929D3"/>
    <w:rsid w:val="008933C4"/>
    <w:rsid w:val="00894ABC"/>
    <w:rsid w:val="00895F38"/>
    <w:rsid w:val="00896384"/>
    <w:rsid w:val="00896F3E"/>
    <w:rsid w:val="0089770B"/>
    <w:rsid w:val="00897745"/>
    <w:rsid w:val="00897AF4"/>
    <w:rsid w:val="008A0409"/>
    <w:rsid w:val="008A071A"/>
    <w:rsid w:val="008A0C58"/>
    <w:rsid w:val="008A1104"/>
    <w:rsid w:val="008A12D8"/>
    <w:rsid w:val="008A1B80"/>
    <w:rsid w:val="008A1F3A"/>
    <w:rsid w:val="008A2EB7"/>
    <w:rsid w:val="008A3C72"/>
    <w:rsid w:val="008A4404"/>
    <w:rsid w:val="008A4C57"/>
    <w:rsid w:val="008A5248"/>
    <w:rsid w:val="008A58D9"/>
    <w:rsid w:val="008A62CA"/>
    <w:rsid w:val="008A67ED"/>
    <w:rsid w:val="008A6C88"/>
    <w:rsid w:val="008A7719"/>
    <w:rsid w:val="008B1A0E"/>
    <w:rsid w:val="008B1EE7"/>
    <w:rsid w:val="008B1FEE"/>
    <w:rsid w:val="008B2323"/>
    <w:rsid w:val="008B2544"/>
    <w:rsid w:val="008B2723"/>
    <w:rsid w:val="008B2A38"/>
    <w:rsid w:val="008B3DFE"/>
    <w:rsid w:val="008B50E5"/>
    <w:rsid w:val="008B5A94"/>
    <w:rsid w:val="008B6D2B"/>
    <w:rsid w:val="008B7012"/>
    <w:rsid w:val="008B7502"/>
    <w:rsid w:val="008B75ED"/>
    <w:rsid w:val="008B7E49"/>
    <w:rsid w:val="008C0273"/>
    <w:rsid w:val="008C0D7F"/>
    <w:rsid w:val="008C1018"/>
    <w:rsid w:val="008C1F76"/>
    <w:rsid w:val="008C254B"/>
    <w:rsid w:val="008C3362"/>
    <w:rsid w:val="008C34BD"/>
    <w:rsid w:val="008C37F2"/>
    <w:rsid w:val="008C41D6"/>
    <w:rsid w:val="008C4286"/>
    <w:rsid w:val="008C42E0"/>
    <w:rsid w:val="008C4F7E"/>
    <w:rsid w:val="008C558D"/>
    <w:rsid w:val="008C65EB"/>
    <w:rsid w:val="008C66D9"/>
    <w:rsid w:val="008C67A0"/>
    <w:rsid w:val="008C6812"/>
    <w:rsid w:val="008C6EB5"/>
    <w:rsid w:val="008D0244"/>
    <w:rsid w:val="008D1389"/>
    <w:rsid w:val="008D1CFC"/>
    <w:rsid w:val="008D241F"/>
    <w:rsid w:val="008D282A"/>
    <w:rsid w:val="008D2C65"/>
    <w:rsid w:val="008D2CAF"/>
    <w:rsid w:val="008D3FE6"/>
    <w:rsid w:val="008D4CF6"/>
    <w:rsid w:val="008D507B"/>
    <w:rsid w:val="008D5689"/>
    <w:rsid w:val="008D57EC"/>
    <w:rsid w:val="008D5A90"/>
    <w:rsid w:val="008D6582"/>
    <w:rsid w:val="008D65E8"/>
    <w:rsid w:val="008D6870"/>
    <w:rsid w:val="008D6AA3"/>
    <w:rsid w:val="008D6EF4"/>
    <w:rsid w:val="008D73C3"/>
    <w:rsid w:val="008D7D0B"/>
    <w:rsid w:val="008E0937"/>
    <w:rsid w:val="008E13E6"/>
    <w:rsid w:val="008E14F8"/>
    <w:rsid w:val="008E186D"/>
    <w:rsid w:val="008E1A0F"/>
    <w:rsid w:val="008E1E53"/>
    <w:rsid w:val="008E1E78"/>
    <w:rsid w:val="008E29BE"/>
    <w:rsid w:val="008E3598"/>
    <w:rsid w:val="008E427F"/>
    <w:rsid w:val="008E4AFA"/>
    <w:rsid w:val="008E5637"/>
    <w:rsid w:val="008E5AEB"/>
    <w:rsid w:val="008E662D"/>
    <w:rsid w:val="008E66A7"/>
    <w:rsid w:val="008E73CB"/>
    <w:rsid w:val="008E75AC"/>
    <w:rsid w:val="008F013C"/>
    <w:rsid w:val="008F01AE"/>
    <w:rsid w:val="008F055B"/>
    <w:rsid w:val="008F126C"/>
    <w:rsid w:val="008F1F3C"/>
    <w:rsid w:val="008F2E22"/>
    <w:rsid w:val="008F3658"/>
    <w:rsid w:val="008F36E6"/>
    <w:rsid w:val="008F3A98"/>
    <w:rsid w:val="008F3C0B"/>
    <w:rsid w:val="008F417A"/>
    <w:rsid w:val="008F4825"/>
    <w:rsid w:val="008F4868"/>
    <w:rsid w:val="008F5230"/>
    <w:rsid w:val="008F774D"/>
    <w:rsid w:val="009001C0"/>
    <w:rsid w:val="009006CB"/>
    <w:rsid w:val="00901346"/>
    <w:rsid w:val="009017EF"/>
    <w:rsid w:val="00901C29"/>
    <w:rsid w:val="00901CA1"/>
    <w:rsid w:val="00901F8A"/>
    <w:rsid w:val="00902336"/>
    <w:rsid w:val="009023B9"/>
    <w:rsid w:val="00902503"/>
    <w:rsid w:val="00902604"/>
    <w:rsid w:val="00903072"/>
    <w:rsid w:val="00903203"/>
    <w:rsid w:val="00903980"/>
    <w:rsid w:val="00903F42"/>
    <w:rsid w:val="00904914"/>
    <w:rsid w:val="00904BE1"/>
    <w:rsid w:val="00904F87"/>
    <w:rsid w:val="00904FA8"/>
    <w:rsid w:val="00905387"/>
    <w:rsid w:val="00905697"/>
    <w:rsid w:val="0090629D"/>
    <w:rsid w:val="00907053"/>
    <w:rsid w:val="0090710C"/>
    <w:rsid w:val="00907414"/>
    <w:rsid w:val="009078D9"/>
    <w:rsid w:val="00907CD5"/>
    <w:rsid w:val="009105A5"/>
    <w:rsid w:val="009115C2"/>
    <w:rsid w:val="00911E24"/>
    <w:rsid w:val="009127C4"/>
    <w:rsid w:val="00912940"/>
    <w:rsid w:val="00912CE1"/>
    <w:rsid w:val="00913354"/>
    <w:rsid w:val="00913418"/>
    <w:rsid w:val="009141BC"/>
    <w:rsid w:val="009143B3"/>
    <w:rsid w:val="009144A3"/>
    <w:rsid w:val="00914B1D"/>
    <w:rsid w:val="00915A5C"/>
    <w:rsid w:val="00915B73"/>
    <w:rsid w:val="009163C5"/>
    <w:rsid w:val="009167E1"/>
    <w:rsid w:val="0091719D"/>
    <w:rsid w:val="00917729"/>
    <w:rsid w:val="009177C3"/>
    <w:rsid w:val="00917861"/>
    <w:rsid w:val="00920766"/>
    <w:rsid w:val="00920B3D"/>
    <w:rsid w:val="009215F2"/>
    <w:rsid w:val="00921825"/>
    <w:rsid w:val="00921AFE"/>
    <w:rsid w:val="00922258"/>
    <w:rsid w:val="00922966"/>
    <w:rsid w:val="00923B49"/>
    <w:rsid w:val="0092467D"/>
    <w:rsid w:val="00924CA3"/>
    <w:rsid w:val="00924E4C"/>
    <w:rsid w:val="00925030"/>
    <w:rsid w:val="0092530E"/>
    <w:rsid w:val="009266EF"/>
    <w:rsid w:val="00926AAA"/>
    <w:rsid w:val="00927069"/>
    <w:rsid w:val="00927BEE"/>
    <w:rsid w:val="00930835"/>
    <w:rsid w:val="009312AF"/>
    <w:rsid w:val="009314A5"/>
    <w:rsid w:val="009314A7"/>
    <w:rsid w:val="009322F3"/>
    <w:rsid w:val="009323AD"/>
    <w:rsid w:val="00933335"/>
    <w:rsid w:val="0093339A"/>
    <w:rsid w:val="00933B35"/>
    <w:rsid w:val="009340D7"/>
    <w:rsid w:val="0093425B"/>
    <w:rsid w:val="009342C4"/>
    <w:rsid w:val="009343C7"/>
    <w:rsid w:val="00934A3F"/>
    <w:rsid w:val="00934BF2"/>
    <w:rsid w:val="0093503C"/>
    <w:rsid w:val="00935712"/>
    <w:rsid w:val="009358F3"/>
    <w:rsid w:val="00936D07"/>
    <w:rsid w:val="00936DF3"/>
    <w:rsid w:val="00937B9F"/>
    <w:rsid w:val="00940009"/>
    <w:rsid w:val="00940B81"/>
    <w:rsid w:val="00940DFC"/>
    <w:rsid w:val="00941706"/>
    <w:rsid w:val="00941CDE"/>
    <w:rsid w:val="0094241C"/>
    <w:rsid w:val="00943C4F"/>
    <w:rsid w:val="00943DBD"/>
    <w:rsid w:val="00943F58"/>
    <w:rsid w:val="0094432A"/>
    <w:rsid w:val="009447B1"/>
    <w:rsid w:val="00944C1B"/>
    <w:rsid w:val="00944F27"/>
    <w:rsid w:val="00944FA2"/>
    <w:rsid w:val="00946108"/>
    <w:rsid w:val="0094613B"/>
    <w:rsid w:val="00947703"/>
    <w:rsid w:val="00947AB3"/>
    <w:rsid w:val="009506E1"/>
    <w:rsid w:val="009508C0"/>
    <w:rsid w:val="00950C2E"/>
    <w:rsid w:val="00950C4D"/>
    <w:rsid w:val="00950E4D"/>
    <w:rsid w:val="009515DC"/>
    <w:rsid w:val="00951DD0"/>
    <w:rsid w:val="00951E70"/>
    <w:rsid w:val="009524DC"/>
    <w:rsid w:val="009533EC"/>
    <w:rsid w:val="00953DAC"/>
    <w:rsid w:val="0095470A"/>
    <w:rsid w:val="009547E8"/>
    <w:rsid w:val="009548B2"/>
    <w:rsid w:val="00954C1B"/>
    <w:rsid w:val="009556BC"/>
    <w:rsid w:val="009559F3"/>
    <w:rsid w:val="009569FB"/>
    <w:rsid w:val="00960199"/>
    <w:rsid w:val="0096104D"/>
    <w:rsid w:val="009617C1"/>
    <w:rsid w:val="0096182D"/>
    <w:rsid w:val="00961ABD"/>
    <w:rsid w:val="009627F2"/>
    <w:rsid w:val="00963042"/>
    <w:rsid w:val="009637DB"/>
    <w:rsid w:val="00963C06"/>
    <w:rsid w:val="0096405E"/>
    <w:rsid w:val="00964237"/>
    <w:rsid w:val="009646CC"/>
    <w:rsid w:val="00964DB5"/>
    <w:rsid w:val="00964F06"/>
    <w:rsid w:val="0096500A"/>
    <w:rsid w:val="0096509F"/>
    <w:rsid w:val="0096572A"/>
    <w:rsid w:val="009663B5"/>
    <w:rsid w:val="00966E0B"/>
    <w:rsid w:val="009672C8"/>
    <w:rsid w:val="0096760D"/>
    <w:rsid w:val="0096775A"/>
    <w:rsid w:val="00967F55"/>
    <w:rsid w:val="00970063"/>
    <w:rsid w:val="009711EF"/>
    <w:rsid w:val="00972016"/>
    <w:rsid w:val="0097258B"/>
    <w:rsid w:val="00972E38"/>
    <w:rsid w:val="009737E9"/>
    <w:rsid w:val="009739E9"/>
    <w:rsid w:val="00974229"/>
    <w:rsid w:val="00974D69"/>
    <w:rsid w:val="00974DBB"/>
    <w:rsid w:val="00974E50"/>
    <w:rsid w:val="00975DF3"/>
    <w:rsid w:val="00975EBB"/>
    <w:rsid w:val="009766A2"/>
    <w:rsid w:val="0097680A"/>
    <w:rsid w:val="00976E74"/>
    <w:rsid w:val="009806E1"/>
    <w:rsid w:val="009812BF"/>
    <w:rsid w:val="00981758"/>
    <w:rsid w:val="00982408"/>
    <w:rsid w:val="00982C5B"/>
    <w:rsid w:val="00982DF3"/>
    <w:rsid w:val="009834BC"/>
    <w:rsid w:val="00983DF3"/>
    <w:rsid w:val="009846D5"/>
    <w:rsid w:val="009858A6"/>
    <w:rsid w:val="009860F8"/>
    <w:rsid w:val="009862F3"/>
    <w:rsid w:val="00986637"/>
    <w:rsid w:val="009874DD"/>
    <w:rsid w:val="009879D7"/>
    <w:rsid w:val="00987CF7"/>
    <w:rsid w:val="00987D04"/>
    <w:rsid w:val="00987EF8"/>
    <w:rsid w:val="009913BD"/>
    <w:rsid w:val="009914C3"/>
    <w:rsid w:val="00991757"/>
    <w:rsid w:val="00992010"/>
    <w:rsid w:val="0099345F"/>
    <w:rsid w:val="00993E10"/>
    <w:rsid w:val="00993EC8"/>
    <w:rsid w:val="00994E89"/>
    <w:rsid w:val="00995655"/>
    <w:rsid w:val="009977BB"/>
    <w:rsid w:val="00997D1D"/>
    <w:rsid w:val="009A01CE"/>
    <w:rsid w:val="009A06E2"/>
    <w:rsid w:val="009A09FD"/>
    <w:rsid w:val="009A0C16"/>
    <w:rsid w:val="009A0D34"/>
    <w:rsid w:val="009A1071"/>
    <w:rsid w:val="009A1421"/>
    <w:rsid w:val="009A1782"/>
    <w:rsid w:val="009A1B94"/>
    <w:rsid w:val="009A2911"/>
    <w:rsid w:val="009A40DE"/>
    <w:rsid w:val="009A487B"/>
    <w:rsid w:val="009A48BE"/>
    <w:rsid w:val="009A51E0"/>
    <w:rsid w:val="009A57E6"/>
    <w:rsid w:val="009A6337"/>
    <w:rsid w:val="009A656E"/>
    <w:rsid w:val="009A669B"/>
    <w:rsid w:val="009A6AC6"/>
    <w:rsid w:val="009A6F79"/>
    <w:rsid w:val="009A7574"/>
    <w:rsid w:val="009A77FC"/>
    <w:rsid w:val="009B02A7"/>
    <w:rsid w:val="009B0684"/>
    <w:rsid w:val="009B0690"/>
    <w:rsid w:val="009B0EBE"/>
    <w:rsid w:val="009B1663"/>
    <w:rsid w:val="009B1747"/>
    <w:rsid w:val="009B1ED9"/>
    <w:rsid w:val="009B3584"/>
    <w:rsid w:val="009B3A8B"/>
    <w:rsid w:val="009B4BD6"/>
    <w:rsid w:val="009B52D8"/>
    <w:rsid w:val="009B5944"/>
    <w:rsid w:val="009B5FE0"/>
    <w:rsid w:val="009B63E5"/>
    <w:rsid w:val="009B6C41"/>
    <w:rsid w:val="009B75E4"/>
    <w:rsid w:val="009B7711"/>
    <w:rsid w:val="009B7AA5"/>
    <w:rsid w:val="009C15EA"/>
    <w:rsid w:val="009C23F0"/>
    <w:rsid w:val="009C25E1"/>
    <w:rsid w:val="009C2600"/>
    <w:rsid w:val="009C330B"/>
    <w:rsid w:val="009C3987"/>
    <w:rsid w:val="009C3B98"/>
    <w:rsid w:val="009C43BD"/>
    <w:rsid w:val="009C47B1"/>
    <w:rsid w:val="009C495B"/>
    <w:rsid w:val="009C5D6D"/>
    <w:rsid w:val="009C5F21"/>
    <w:rsid w:val="009C60A2"/>
    <w:rsid w:val="009C7B36"/>
    <w:rsid w:val="009C7EE4"/>
    <w:rsid w:val="009D0435"/>
    <w:rsid w:val="009D0AA6"/>
    <w:rsid w:val="009D0D10"/>
    <w:rsid w:val="009D0E7D"/>
    <w:rsid w:val="009D0FA6"/>
    <w:rsid w:val="009D3072"/>
    <w:rsid w:val="009D31A2"/>
    <w:rsid w:val="009D39AA"/>
    <w:rsid w:val="009D3F01"/>
    <w:rsid w:val="009D4889"/>
    <w:rsid w:val="009D5194"/>
    <w:rsid w:val="009D6331"/>
    <w:rsid w:val="009D692A"/>
    <w:rsid w:val="009D6F61"/>
    <w:rsid w:val="009D750D"/>
    <w:rsid w:val="009D78F8"/>
    <w:rsid w:val="009E0273"/>
    <w:rsid w:val="009E08D1"/>
    <w:rsid w:val="009E090C"/>
    <w:rsid w:val="009E14CF"/>
    <w:rsid w:val="009E2219"/>
    <w:rsid w:val="009E3338"/>
    <w:rsid w:val="009E44A6"/>
    <w:rsid w:val="009E4A5B"/>
    <w:rsid w:val="009E4EC9"/>
    <w:rsid w:val="009E5074"/>
    <w:rsid w:val="009E598C"/>
    <w:rsid w:val="009E5AD3"/>
    <w:rsid w:val="009E634C"/>
    <w:rsid w:val="009E6382"/>
    <w:rsid w:val="009E6E3D"/>
    <w:rsid w:val="009E7FC3"/>
    <w:rsid w:val="009F0374"/>
    <w:rsid w:val="009F10B0"/>
    <w:rsid w:val="009F1B20"/>
    <w:rsid w:val="009F2875"/>
    <w:rsid w:val="009F2892"/>
    <w:rsid w:val="009F36E2"/>
    <w:rsid w:val="009F3A44"/>
    <w:rsid w:val="009F42A3"/>
    <w:rsid w:val="009F53A7"/>
    <w:rsid w:val="009F5C39"/>
    <w:rsid w:val="009F6713"/>
    <w:rsid w:val="009F6B05"/>
    <w:rsid w:val="009F6BE6"/>
    <w:rsid w:val="009F72A0"/>
    <w:rsid w:val="009F73D4"/>
    <w:rsid w:val="009F7631"/>
    <w:rsid w:val="00A0109A"/>
    <w:rsid w:val="00A01154"/>
    <w:rsid w:val="00A0122C"/>
    <w:rsid w:val="00A01B67"/>
    <w:rsid w:val="00A02007"/>
    <w:rsid w:val="00A02C97"/>
    <w:rsid w:val="00A038AF"/>
    <w:rsid w:val="00A03938"/>
    <w:rsid w:val="00A03B3C"/>
    <w:rsid w:val="00A0555E"/>
    <w:rsid w:val="00A05726"/>
    <w:rsid w:val="00A05784"/>
    <w:rsid w:val="00A060F1"/>
    <w:rsid w:val="00A06AF3"/>
    <w:rsid w:val="00A06B4E"/>
    <w:rsid w:val="00A06C10"/>
    <w:rsid w:val="00A06DC8"/>
    <w:rsid w:val="00A06F2D"/>
    <w:rsid w:val="00A077BB"/>
    <w:rsid w:val="00A07A22"/>
    <w:rsid w:val="00A1081E"/>
    <w:rsid w:val="00A11098"/>
    <w:rsid w:val="00A117D9"/>
    <w:rsid w:val="00A1239F"/>
    <w:rsid w:val="00A12557"/>
    <w:rsid w:val="00A12931"/>
    <w:rsid w:val="00A12D43"/>
    <w:rsid w:val="00A13388"/>
    <w:rsid w:val="00A13441"/>
    <w:rsid w:val="00A149CE"/>
    <w:rsid w:val="00A153AA"/>
    <w:rsid w:val="00A15617"/>
    <w:rsid w:val="00A15698"/>
    <w:rsid w:val="00A164BD"/>
    <w:rsid w:val="00A165A4"/>
    <w:rsid w:val="00A1666A"/>
    <w:rsid w:val="00A16F4E"/>
    <w:rsid w:val="00A170A7"/>
    <w:rsid w:val="00A171E8"/>
    <w:rsid w:val="00A172FC"/>
    <w:rsid w:val="00A1795D"/>
    <w:rsid w:val="00A17BB6"/>
    <w:rsid w:val="00A206D7"/>
    <w:rsid w:val="00A2097B"/>
    <w:rsid w:val="00A20B15"/>
    <w:rsid w:val="00A2105C"/>
    <w:rsid w:val="00A222DA"/>
    <w:rsid w:val="00A2262B"/>
    <w:rsid w:val="00A229EA"/>
    <w:rsid w:val="00A234A7"/>
    <w:rsid w:val="00A23CFF"/>
    <w:rsid w:val="00A24229"/>
    <w:rsid w:val="00A24473"/>
    <w:rsid w:val="00A248C3"/>
    <w:rsid w:val="00A2492B"/>
    <w:rsid w:val="00A24DD7"/>
    <w:rsid w:val="00A2577D"/>
    <w:rsid w:val="00A2595A"/>
    <w:rsid w:val="00A25BCE"/>
    <w:rsid w:val="00A26B32"/>
    <w:rsid w:val="00A2742E"/>
    <w:rsid w:val="00A301E0"/>
    <w:rsid w:val="00A30623"/>
    <w:rsid w:val="00A30E4E"/>
    <w:rsid w:val="00A31118"/>
    <w:rsid w:val="00A32680"/>
    <w:rsid w:val="00A32D34"/>
    <w:rsid w:val="00A32E5B"/>
    <w:rsid w:val="00A331FE"/>
    <w:rsid w:val="00A3323D"/>
    <w:rsid w:val="00A335C9"/>
    <w:rsid w:val="00A344A3"/>
    <w:rsid w:val="00A34668"/>
    <w:rsid w:val="00A346AE"/>
    <w:rsid w:val="00A3490E"/>
    <w:rsid w:val="00A350B8"/>
    <w:rsid w:val="00A3511B"/>
    <w:rsid w:val="00A3524A"/>
    <w:rsid w:val="00A35319"/>
    <w:rsid w:val="00A356FF"/>
    <w:rsid w:val="00A35C1A"/>
    <w:rsid w:val="00A361D9"/>
    <w:rsid w:val="00A363C1"/>
    <w:rsid w:val="00A36DC8"/>
    <w:rsid w:val="00A3721B"/>
    <w:rsid w:val="00A372CC"/>
    <w:rsid w:val="00A37301"/>
    <w:rsid w:val="00A37473"/>
    <w:rsid w:val="00A375E0"/>
    <w:rsid w:val="00A37ABC"/>
    <w:rsid w:val="00A37B2A"/>
    <w:rsid w:val="00A37BF7"/>
    <w:rsid w:val="00A4002B"/>
    <w:rsid w:val="00A40959"/>
    <w:rsid w:val="00A40F8D"/>
    <w:rsid w:val="00A41B30"/>
    <w:rsid w:val="00A456FB"/>
    <w:rsid w:val="00A45AD8"/>
    <w:rsid w:val="00A46190"/>
    <w:rsid w:val="00A46678"/>
    <w:rsid w:val="00A466C2"/>
    <w:rsid w:val="00A50F1C"/>
    <w:rsid w:val="00A515EF"/>
    <w:rsid w:val="00A5166D"/>
    <w:rsid w:val="00A5188F"/>
    <w:rsid w:val="00A51B0E"/>
    <w:rsid w:val="00A51B4C"/>
    <w:rsid w:val="00A52A1D"/>
    <w:rsid w:val="00A52BBE"/>
    <w:rsid w:val="00A52CE6"/>
    <w:rsid w:val="00A53104"/>
    <w:rsid w:val="00A53911"/>
    <w:rsid w:val="00A53E7E"/>
    <w:rsid w:val="00A54B9D"/>
    <w:rsid w:val="00A54EB7"/>
    <w:rsid w:val="00A552DF"/>
    <w:rsid w:val="00A556C1"/>
    <w:rsid w:val="00A5570C"/>
    <w:rsid w:val="00A55FAC"/>
    <w:rsid w:val="00A56B75"/>
    <w:rsid w:val="00A56BEB"/>
    <w:rsid w:val="00A5776E"/>
    <w:rsid w:val="00A577B5"/>
    <w:rsid w:val="00A578A5"/>
    <w:rsid w:val="00A578E8"/>
    <w:rsid w:val="00A60773"/>
    <w:rsid w:val="00A609CA"/>
    <w:rsid w:val="00A60B13"/>
    <w:rsid w:val="00A6102A"/>
    <w:rsid w:val="00A6136B"/>
    <w:rsid w:val="00A6161F"/>
    <w:rsid w:val="00A616E7"/>
    <w:rsid w:val="00A61A9C"/>
    <w:rsid w:val="00A6206D"/>
    <w:rsid w:val="00A621F8"/>
    <w:rsid w:val="00A62448"/>
    <w:rsid w:val="00A62609"/>
    <w:rsid w:val="00A62CF2"/>
    <w:rsid w:val="00A637BB"/>
    <w:rsid w:val="00A63DB7"/>
    <w:rsid w:val="00A641AD"/>
    <w:rsid w:val="00A6466F"/>
    <w:rsid w:val="00A649BA"/>
    <w:rsid w:val="00A667FB"/>
    <w:rsid w:val="00A67E15"/>
    <w:rsid w:val="00A70269"/>
    <w:rsid w:val="00A70560"/>
    <w:rsid w:val="00A7129C"/>
    <w:rsid w:val="00A71AA6"/>
    <w:rsid w:val="00A71E8C"/>
    <w:rsid w:val="00A71F35"/>
    <w:rsid w:val="00A72F05"/>
    <w:rsid w:val="00A73D8D"/>
    <w:rsid w:val="00A743D8"/>
    <w:rsid w:val="00A74CA7"/>
    <w:rsid w:val="00A74F75"/>
    <w:rsid w:val="00A75145"/>
    <w:rsid w:val="00A751F2"/>
    <w:rsid w:val="00A75511"/>
    <w:rsid w:val="00A7574E"/>
    <w:rsid w:val="00A75EBC"/>
    <w:rsid w:val="00A76142"/>
    <w:rsid w:val="00A772E4"/>
    <w:rsid w:val="00A80390"/>
    <w:rsid w:val="00A80A7F"/>
    <w:rsid w:val="00A81821"/>
    <w:rsid w:val="00A81E91"/>
    <w:rsid w:val="00A83439"/>
    <w:rsid w:val="00A834C8"/>
    <w:rsid w:val="00A83FFF"/>
    <w:rsid w:val="00A84367"/>
    <w:rsid w:val="00A85405"/>
    <w:rsid w:val="00A856D8"/>
    <w:rsid w:val="00A8592C"/>
    <w:rsid w:val="00A85F8F"/>
    <w:rsid w:val="00A85FFE"/>
    <w:rsid w:val="00A865A3"/>
    <w:rsid w:val="00A86731"/>
    <w:rsid w:val="00A86EC3"/>
    <w:rsid w:val="00A91032"/>
    <w:rsid w:val="00A91F68"/>
    <w:rsid w:val="00A92BF5"/>
    <w:rsid w:val="00A92D14"/>
    <w:rsid w:val="00A92D26"/>
    <w:rsid w:val="00A939B7"/>
    <w:rsid w:val="00A93F83"/>
    <w:rsid w:val="00A945C4"/>
    <w:rsid w:val="00A94A94"/>
    <w:rsid w:val="00A94E47"/>
    <w:rsid w:val="00A9570B"/>
    <w:rsid w:val="00A9601D"/>
    <w:rsid w:val="00A96547"/>
    <w:rsid w:val="00A965DD"/>
    <w:rsid w:val="00A96A06"/>
    <w:rsid w:val="00A96DE7"/>
    <w:rsid w:val="00A9716B"/>
    <w:rsid w:val="00AA074A"/>
    <w:rsid w:val="00AA0BC7"/>
    <w:rsid w:val="00AA0F71"/>
    <w:rsid w:val="00AA104E"/>
    <w:rsid w:val="00AA1429"/>
    <w:rsid w:val="00AA1BBE"/>
    <w:rsid w:val="00AA1E3D"/>
    <w:rsid w:val="00AA2912"/>
    <w:rsid w:val="00AA2A78"/>
    <w:rsid w:val="00AA2AA6"/>
    <w:rsid w:val="00AA2B5A"/>
    <w:rsid w:val="00AA30B2"/>
    <w:rsid w:val="00AA3BB1"/>
    <w:rsid w:val="00AA463C"/>
    <w:rsid w:val="00AA4A58"/>
    <w:rsid w:val="00AA4AF5"/>
    <w:rsid w:val="00AA4FAA"/>
    <w:rsid w:val="00AA5216"/>
    <w:rsid w:val="00AA5F31"/>
    <w:rsid w:val="00AA6282"/>
    <w:rsid w:val="00AA67A2"/>
    <w:rsid w:val="00AA715D"/>
    <w:rsid w:val="00AB0D94"/>
    <w:rsid w:val="00AB1A27"/>
    <w:rsid w:val="00AB1A75"/>
    <w:rsid w:val="00AB29C4"/>
    <w:rsid w:val="00AB3202"/>
    <w:rsid w:val="00AB3215"/>
    <w:rsid w:val="00AB3480"/>
    <w:rsid w:val="00AB349E"/>
    <w:rsid w:val="00AB45F5"/>
    <w:rsid w:val="00AB46E2"/>
    <w:rsid w:val="00AB4767"/>
    <w:rsid w:val="00AB48AB"/>
    <w:rsid w:val="00AB4C88"/>
    <w:rsid w:val="00AB50D7"/>
    <w:rsid w:val="00AB554B"/>
    <w:rsid w:val="00AB58F4"/>
    <w:rsid w:val="00AB6018"/>
    <w:rsid w:val="00AB6461"/>
    <w:rsid w:val="00AB67FF"/>
    <w:rsid w:val="00AB7B0F"/>
    <w:rsid w:val="00AB7CB0"/>
    <w:rsid w:val="00AB7E5E"/>
    <w:rsid w:val="00AC01C7"/>
    <w:rsid w:val="00AC0201"/>
    <w:rsid w:val="00AC044F"/>
    <w:rsid w:val="00AC09E9"/>
    <w:rsid w:val="00AC0AAB"/>
    <w:rsid w:val="00AC172A"/>
    <w:rsid w:val="00AC20DF"/>
    <w:rsid w:val="00AC241D"/>
    <w:rsid w:val="00AC2457"/>
    <w:rsid w:val="00AC256A"/>
    <w:rsid w:val="00AC2597"/>
    <w:rsid w:val="00AC2C3C"/>
    <w:rsid w:val="00AC3053"/>
    <w:rsid w:val="00AC308A"/>
    <w:rsid w:val="00AC3AA1"/>
    <w:rsid w:val="00AC3BCE"/>
    <w:rsid w:val="00AC441D"/>
    <w:rsid w:val="00AC51CA"/>
    <w:rsid w:val="00AC51F9"/>
    <w:rsid w:val="00AC5555"/>
    <w:rsid w:val="00AC621F"/>
    <w:rsid w:val="00AC77C3"/>
    <w:rsid w:val="00AC7D23"/>
    <w:rsid w:val="00AD01F7"/>
    <w:rsid w:val="00AD03AC"/>
    <w:rsid w:val="00AD0B5C"/>
    <w:rsid w:val="00AD0C58"/>
    <w:rsid w:val="00AD163B"/>
    <w:rsid w:val="00AD2380"/>
    <w:rsid w:val="00AD2508"/>
    <w:rsid w:val="00AD29BB"/>
    <w:rsid w:val="00AD3473"/>
    <w:rsid w:val="00AD4129"/>
    <w:rsid w:val="00AD47BD"/>
    <w:rsid w:val="00AD4C69"/>
    <w:rsid w:val="00AD4CE3"/>
    <w:rsid w:val="00AD5442"/>
    <w:rsid w:val="00AD5694"/>
    <w:rsid w:val="00AD5741"/>
    <w:rsid w:val="00AD62F2"/>
    <w:rsid w:val="00AD652D"/>
    <w:rsid w:val="00AD6C54"/>
    <w:rsid w:val="00AD6FF9"/>
    <w:rsid w:val="00AD7A03"/>
    <w:rsid w:val="00AD7C78"/>
    <w:rsid w:val="00AD7D74"/>
    <w:rsid w:val="00AE0A8A"/>
    <w:rsid w:val="00AE0C62"/>
    <w:rsid w:val="00AE172B"/>
    <w:rsid w:val="00AE1E7B"/>
    <w:rsid w:val="00AE1E99"/>
    <w:rsid w:val="00AE20DF"/>
    <w:rsid w:val="00AE2801"/>
    <w:rsid w:val="00AE2A56"/>
    <w:rsid w:val="00AE327E"/>
    <w:rsid w:val="00AE360C"/>
    <w:rsid w:val="00AE37EF"/>
    <w:rsid w:val="00AE3CE7"/>
    <w:rsid w:val="00AE4B27"/>
    <w:rsid w:val="00AE4C62"/>
    <w:rsid w:val="00AE5A41"/>
    <w:rsid w:val="00AE65CD"/>
    <w:rsid w:val="00AE6B9B"/>
    <w:rsid w:val="00AE71FB"/>
    <w:rsid w:val="00AE76A7"/>
    <w:rsid w:val="00AF0160"/>
    <w:rsid w:val="00AF04B1"/>
    <w:rsid w:val="00AF05BE"/>
    <w:rsid w:val="00AF0E78"/>
    <w:rsid w:val="00AF21EF"/>
    <w:rsid w:val="00AF23EC"/>
    <w:rsid w:val="00AF2E79"/>
    <w:rsid w:val="00AF314F"/>
    <w:rsid w:val="00AF352B"/>
    <w:rsid w:val="00AF4FDC"/>
    <w:rsid w:val="00AF53B8"/>
    <w:rsid w:val="00AF68F5"/>
    <w:rsid w:val="00AF745C"/>
    <w:rsid w:val="00AF7D5E"/>
    <w:rsid w:val="00B012A4"/>
    <w:rsid w:val="00B01632"/>
    <w:rsid w:val="00B02913"/>
    <w:rsid w:val="00B032D3"/>
    <w:rsid w:val="00B03331"/>
    <w:rsid w:val="00B035FD"/>
    <w:rsid w:val="00B03687"/>
    <w:rsid w:val="00B039E9"/>
    <w:rsid w:val="00B03B5C"/>
    <w:rsid w:val="00B04875"/>
    <w:rsid w:val="00B04B96"/>
    <w:rsid w:val="00B04CDB"/>
    <w:rsid w:val="00B0540D"/>
    <w:rsid w:val="00B05F84"/>
    <w:rsid w:val="00B06710"/>
    <w:rsid w:val="00B06A68"/>
    <w:rsid w:val="00B06EBC"/>
    <w:rsid w:val="00B07209"/>
    <w:rsid w:val="00B073AB"/>
    <w:rsid w:val="00B07632"/>
    <w:rsid w:val="00B07736"/>
    <w:rsid w:val="00B103E0"/>
    <w:rsid w:val="00B10652"/>
    <w:rsid w:val="00B10720"/>
    <w:rsid w:val="00B1087E"/>
    <w:rsid w:val="00B10BCC"/>
    <w:rsid w:val="00B10E84"/>
    <w:rsid w:val="00B11111"/>
    <w:rsid w:val="00B126E6"/>
    <w:rsid w:val="00B13B59"/>
    <w:rsid w:val="00B14717"/>
    <w:rsid w:val="00B14A43"/>
    <w:rsid w:val="00B1538C"/>
    <w:rsid w:val="00B154EE"/>
    <w:rsid w:val="00B15B57"/>
    <w:rsid w:val="00B15EF0"/>
    <w:rsid w:val="00B16B6D"/>
    <w:rsid w:val="00B172C3"/>
    <w:rsid w:val="00B179C1"/>
    <w:rsid w:val="00B2015C"/>
    <w:rsid w:val="00B2072F"/>
    <w:rsid w:val="00B2089F"/>
    <w:rsid w:val="00B21042"/>
    <w:rsid w:val="00B21654"/>
    <w:rsid w:val="00B21977"/>
    <w:rsid w:val="00B223F2"/>
    <w:rsid w:val="00B2277C"/>
    <w:rsid w:val="00B22B5A"/>
    <w:rsid w:val="00B22E0E"/>
    <w:rsid w:val="00B2304B"/>
    <w:rsid w:val="00B234CC"/>
    <w:rsid w:val="00B241A4"/>
    <w:rsid w:val="00B241DC"/>
    <w:rsid w:val="00B241FD"/>
    <w:rsid w:val="00B245A9"/>
    <w:rsid w:val="00B24AF4"/>
    <w:rsid w:val="00B25210"/>
    <w:rsid w:val="00B26D42"/>
    <w:rsid w:val="00B275C4"/>
    <w:rsid w:val="00B27637"/>
    <w:rsid w:val="00B27C4F"/>
    <w:rsid w:val="00B30470"/>
    <w:rsid w:val="00B30992"/>
    <w:rsid w:val="00B327E1"/>
    <w:rsid w:val="00B331F7"/>
    <w:rsid w:val="00B33D91"/>
    <w:rsid w:val="00B34211"/>
    <w:rsid w:val="00B3462C"/>
    <w:rsid w:val="00B34B93"/>
    <w:rsid w:val="00B34C7D"/>
    <w:rsid w:val="00B35F7D"/>
    <w:rsid w:val="00B361A4"/>
    <w:rsid w:val="00B37A73"/>
    <w:rsid w:val="00B40018"/>
    <w:rsid w:val="00B404A5"/>
    <w:rsid w:val="00B40D1D"/>
    <w:rsid w:val="00B40FD5"/>
    <w:rsid w:val="00B41197"/>
    <w:rsid w:val="00B4224D"/>
    <w:rsid w:val="00B423E9"/>
    <w:rsid w:val="00B428C3"/>
    <w:rsid w:val="00B4291D"/>
    <w:rsid w:val="00B43690"/>
    <w:rsid w:val="00B43A93"/>
    <w:rsid w:val="00B4423F"/>
    <w:rsid w:val="00B44FB9"/>
    <w:rsid w:val="00B451F0"/>
    <w:rsid w:val="00B4562D"/>
    <w:rsid w:val="00B457D8"/>
    <w:rsid w:val="00B46249"/>
    <w:rsid w:val="00B469F3"/>
    <w:rsid w:val="00B46BD8"/>
    <w:rsid w:val="00B47581"/>
    <w:rsid w:val="00B47F5E"/>
    <w:rsid w:val="00B50513"/>
    <w:rsid w:val="00B507B7"/>
    <w:rsid w:val="00B51474"/>
    <w:rsid w:val="00B51CB5"/>
    <w:rsid w:val="00B524F0"/>
    <w:rsid w:val="00B526EA"/>
    <w:rsid w:val="00B52AEA"/>
    <w:rsid w:val="00B52B5A"/>
    <w:rsid w:val="00B52E3C"/>
    <w:rsid w:val="00B532B6"/>
    <w:rsid w:val="00B54FE1"/>
    <w:rsid w:val="00B551B3"/>
    <w:rsid w:val="00B55363"/>
    <w:rsid w:val="00B553BC"/>
    <w:rsid w:val="00B55F06"/>
    <w:rsid w:val="00B5643A"/>
    <w:rsid w:val="00B5658D"/>
    <w:rsid w:val="00B5691D"/>
    <w:rsid w:val="00B5698A"/>
    <w:rsid w:val="00B5781E"/>
    <w:rsid w:val="00B57F97"/>
    <w:rsid w:val="00B60019"/>
    <w:rsid w:val="00B60345"/>
    <w:rsid w:val="00B61040"/>
    <w:rsid w:val="00B613FF"/>
    <w:rsid w:val="00B6140A"/>
    <w:rsid w:val="00B61E05"/>
    <w:rsid w:val="00B62098"/>
    <w:rsid w:val="00B62307"/>
    <w:rsid w:val="00B62E6F"/>
    <w:rsid w:val="00B63115"/>
    <w:rsid w:val="00B63FD3"/>
    <w:rsid w:val="00B641EE"/>
    <w:rsid w:val="00B64712"/>
    <w:rsid w:val="00B649F4"/>
    <w:rsid w:val="00B64A4C"/>
    <w:rsid w:val="00B653F3"/>
    <w:rsid w:val="00B65663"/>
    <w:rsid w:val="00B656C1"/>
    <w:rsid w:val="00B65B97"/>
    <w:rsid w:val="00B65E70"/>
    <w:rsid w:val="00B66F48"/>
    <w:rsid w:val="00B678DD"/>
    <w:rsid w:val="00B67E42"/>
    <w:rsid w:val="00B67EDE"/>
    <w:rsid w:val="00B7102E"/>
    <w:rsid w:val="00B714FE"/>
    <w:rsid w:val="00B7233E"/>
    <w:rsid w:val="00B72BD0"/>
    <w:rsid w:val="00B72D50"/>
    <w:rsid w:val="00B72E1E"/>
    <w:rsid w:val="00B739B7"/>
    <w:rsid w:val="00B73A26"/>
    <w:rsid w:val="00B73E4F"/>
    <w:rsid w:val="00B7455F"/>
    <w:rsid w:val="00B74681"/>
    <w:rsid w:val="00B74707"/>
    <w:rsid w:val="00B748E4"/>
    <w:rsid w:val="00B74AF4"/>
    <w:rsid w:val="00B75520"/>
    <w:rsid w:val="00B75F67"/>
    <w:rsid w:val="00B76381"/>
    <w:rsid w:val="00B7696A"/>
    <w:rsid w:val="00B76AFB"/>
    <w:rsid w:val="00B77966"/>
    <w:rsid w:val="00B77C65"/>
    <w:rsid w:val="00B77D59"/>
    <w:rsid w:val="00B8033E"/>
    <w:rsid w:val="00B80603"/>
    <w:rsid w:val="00B80681"/>
    <w:rsid w:val="00B80C7C"/>
    <w:rsid w:val="00B810E6"/>
    <w:rsid w:val="00B82039"/>
    <w:rsid w:val="00B82A4F"/>
    <w:rsid w:val="00B82BAB"/>
    <w:rsid w:val="00B82EC3"/>
    <w:rsid w:val="00B82F1F"/>
    <w:rsid w:val="00B82F5A"/>
    <w:rsid w:val="00B82FC3"/>
    <w:rsid w:val="00B836B4"/>
    <w:rsid w:val="00B836F9"/>
    <w:rsid w:val="00B83899"/>
    <w:rsid w:val="00B840CC"/>
    <w:rsid w:val="00B843D3"/>
    <w:rsid w:val="00B84611"/>
    <w:rsid w:val="00B84B43"/>
    <w:rsid w:val="00B84B58"/>
    <w:rsid w:val="00B84BB0"/>
    <w:rsid w:val="00B84C0B"/>
    <w:rsid w:val="00B85A90"/>
    <w:rsid w:val="00B85B50"/>
    <w:rsid w:val="00B85E14"/>
    <w:rsid w:val="00B8660C"/>
    <w:rsid w:val="00B867E0"/>
    <w:rsid w:val="00B86B47"/>
    <w:rsid w:val="00B90373"/>
    <w:rsid w:val="00B908B2"/>
    <w:rsid w:val="00B90E5B"/>
    <w:rsid w:val="00B90EE0"/>
    <w:rsid w:val="00B91E5C"/>
    <w:rsid w:val="00B92DBD"/>
    <w:rsid w:val="00B93175"/>
    <w:rsid w:val="00B937DF"/>
    <w:rsid w:val="00B93830"/>
    <w:rsid w:val="00B93B67"/>
    <w:rsid w:val="00B940BF"/>
    <w:rsid w:val="00B94145"/>
    <w:rsid w:val="00B94313"/>
    <w:rsid w:val="00B9473C"/>
    <w:rsid w:val="00B952AE"/>
    <w:rsid w:val="00B95E92"/>
    <w:rsid w:val="00B96576"/>
    <w:rsid w:val="00B9705B"/>
    <w:rsid w:val="00BA048F"/>
    <w:rsid w:val="00BA0995"/>
    <w:rsid w:val="00BA0D63"/>
    <w:rsid w:val="00BA149E"/>
    <w:rsid w:val="00BA1973"/>
    <w:rsid w:val="00BA1F0F"/>
    <w:rsid w:val="00BA242D"/>
    <w:rsid w:val="00BA2EA0"/>
    <w:rsid w:val="00BA37AD"/>
    <w:rsid w:val="00BA41ED"/>
    <w:rsid w:val="00BA4574"/>
    <w:rsid w:val="00BA493B"/>
    <w:rsid w:val="00BA4D78"/>
    <w:rsid w:val="00BA5016"/>
    <w:rsid w:val="00BA518E"/>
    <w:rsid w:val="00BA5C3D"/>
    <w:rsid w:val="00BA76A0"/>
    <w:rsid w:val="00BB0647"/>
    <w:rsid w:val="00BB0CC3"/>
    <w:rsid w:val="00BB0E7D"/>
    <w:rsid w:val="00BB142D"/>
    <w:rsid w:val="00BB19B2"/>
    <w:rsid w:val="00BB254C"/>
    <w:rsid w:val="00BB3212"/>
    <w:rsid w:val="00BB37AF"/>
    <w:rsid w:val="00BB47C6"/>
    <w:rsid w:val="00BB4BA5"/>
    <w:rsid w:val="00BB4EA8"/>
    <w:rsid w:val="00BB5215"/>
    <w:rsid w:val="00BB5601"/>
    <w:rsid w:val="00BB5805"/>
    <w:rsid w:val="00BB580A"/>
    <w:rsid w:val="00BB6CD8"/>
    <w:rsid w:val="00BB7659"/>
    <w:rsid w:val="00BC00B4"/>
    <w:rsid w:val="00BC04BF"/>
    <w:rsid w:val="00BC154B"/>
    <w:rsid w:val="00BC170B"/>
    <w:rsid w:val="00BC1B91"/>
    <w:rsid w:val="00BC2516"/>
    <w:rsid w:val="00BC2C3C"/>
    <w:rsid w:val="00BC2D10"/>
    <w:rsid w:val="00BC3033"/>
    <w:rsid w:val="00BC3AE8"/>
    <w:rsid w:val="00BC3AFE"/>
    <w:rsid w:val="00BC4570"/>
    <w:rsid w:val="00BC4839"/>
    <w:rsid w:val="00BC4F6C"/>
    <w:rsid w:val="00BC50F8"/>
    <w:rsid w:val="00BC56C4"/>
    <w:rsid w:val="00BC59EF"/>
    <w:rsid w:val="00BC5AA6"/>
    <w:rsid w:val="00BC5C41"/>
    <w:rsid w:val="00BC5D16"/>
    <w:rsid w:val="00BC6FC2"/>
    <w:rsid w:val="00BC7289"/>
    <w:rsid w:val="00BC7394"/>
    <w:rsid w:val="00BC7A2D"/>
    <w:rsid w:val="00BD077B"/>
    <w:rsid w:val="00BD0FCC"/>
    <w:rsid w:val="00BD1122"/>
    <w:rsid w:val="00BD1413"/>
    <w:rsid w:val="00BD14E3"/>
    <w:rsid w:val="00BD168D"/>
    <w:rsid w:val="00BD1F46"/>
    <w:rsid w:val="00BD20A6"/>
    <w:rsid w:val="00BD3301"/>
    <w:rsid w:val="00BD3954"/>
    <w:rsid w:val="00BD3C53"/>
    <w:rsid w:val="00BD420D"/>
    <w:rsid w:val="00BD4DFE"/>
    <w:rsid w:val="00BD4F24"/>
    <w:rsid w:val="00BD5D2A"/>
    <w:rsid w:val="00BD6C05"/>
    <w:rsid w:val="00BD7017"/>
    <w:rsid w:val="00BD7817"/>
    <w:rsid w:val="00BD7A70"/>
    <w:rsid w:val="00BD7F4A"/>
    <w:rsid w:val="00BE0669"/>
    <w:rsid w:val="00BE0A5A"/>
    <w:rsid w:val="00BE0EE0"/>
    <w:rsid w:val="00BE1777"/>
    <w:rsid w:val="00BE2BEB"/>
    <w:rsid w:val="00BE31CE"/>
    <w:rsid w:val="00BE3495"/>
    <w:rsid w:val="00BE47AE"/>
    <w:rsid w:val="00BE4F46"/>
    <w:rsid w:val="00BE5087"/>
    <w:rsid w:val="00BE5370"/>
    <w:rsid w:val="00BE539E"/>
    <w:rsid w:val="00BE6041"/>
    <w:rsid w:val="00BE622F"/>
    <w:rsid w:val="00BE66D2"/>
    <w:rsid w:val="00BE6D77"/>
    <w:rsid w:val="00BF00DD"/>
    <w:rsid w:val="00BF0686"/>
    <w:rsid w:val="00BF0FCB"/>
    <w:rsid w:val="00BF1349"/>
    <w:rsid w:val="00BF1991"/>
    <w:rsid w:val="00BF232A"/>
    <w:rsid w:val="00BF387C"/>
    <w:rsid w:val="00BF3A9C"/>
    <w:rsid w:val="00BF3B5D"/>
    <w:rsid w:val="00BF48EA"/>
    <w:rsid w:val="00BF4D58"/>
    <w:rsid w:val="00BF520B"/>
    <w:rsid w:val="00BF5A8D"/>
    <w:rsid w:val="00BF6727"/>
    <w:rsid w:val="00BF690A"/>
    <w:rsid w:val="00BF6CE0"/>
    <w:rsid w:val="00BF7680"/>
    <w:rsid w:val="00BF7D31"/>
    <w:rsid w:val="00C00648"/>
    <w:rsid w:val="00C016F7"/>
    <w:rsid w:val="00C0211C"/>
    <w:rsid w:val="00C02EB1"/>
    <w:rsid w:val="00C039A6"/>
    <w:rsid w:val="00C04BC9"/>
    <w:rsid w:val="00C04FE9"/>
    <w:rsid w:val="00C05370"/>
    <w:rsid w:val="00C06A3F"/>
    <w:rsid w:val="00C070AE"/>
    <w:rsid w:val="00C07299"/>
    <w:rsid w:val="00C075BD"/>
    <w:rsid w:val="00C07939"/>
    <w:rsid w:val="00C079F4"/>
    <w:rsid w:val="00C103FB"/>
    <w:rsid w:val="00C10475"/>
    <w:rsid w:val="00C1072F"/>
    <w:rsid w:val="00C118C5"/>
    <w:rsid w:val="00C11B94"/>
    <w:rsid w:val="00C124E3"/>
    <w:rsid w:val="00C12679"/>
    <w:rsid w:val="00C126FB"/>
    <w:rsid w:val="00C13CBB"/>
    <w:rsid w:val="00C13D82"/>
    <w:rsid w:val="00C1530D"/>
    <w:rsid w:val="00C15AF6"/>
    <w:rsid w:val="00C16750"/>
    <w:rsid w:val="00C16AD7"/>
    <w:rsid w:val="00C16B39"/>
    <w:rsid w:val="00C1756A"/>
    <w:rsid w:val="00C17ADD"/>
    <w:rsid w:val="00C17E96"/>
    <w:rsid w:val="00C200DC"/>
    <w:rsid w:val="00C20655"/>
    <w:rsid w:val="00C212A0"/>
    <w:rsid w:val="00C219CD"/>
    <w:rsid w:val="00C22216"/>
    <w:rsid w:val="00C22657"/>
    <w:rsid w:val="00C2280E"/>
    <w:rsid w:val="00C24037"/>
    <w:rsid w:val="00C24B8B"/>
    <w:rsid w:val="00C25431"/>
    <w:rsid w:val="00C25460"/>
    <w:rsid w:val="00C257D6"/>
    <w:rsid w:val="00C2591F"/>
    <w:rsid w:val="00C25ED2"/>
    <w:rsid w:val="00C25EE3"/>
    <w:rsid w:val="00C262F4"/>
    <w:rsid w:val="00C26C96"/>
    <w:rsid w:val="00C26E6D"/>
    <w:rsid w:val="00C273CD"/>
    <w:rsid w:val="00C274F3"/>
    <w:rsid w:val="00C2786E"/>
    <w:rsid w:val="00C27AFA"/>
    <w:rsid w:val="00C3080B"/>
    <w:rsid w:val="00C3148F"/>
    <w:rsid w:val="00C33933"/>
    <w:rsid w:val="00C33BE5"/>
    <w:rsid w:val="00C33CAD"/>
    <w:rsid w:val="00C33DE4"/>
    <w:rsid w:val="00C34198"/>
    <w:rsid w:val="00C348BA"/>
    <w:rsid w:val="00C348F6"/>
    <w:rsid w:val="00C35060"/>
    <w:rsid w:val="00C35293"/>
    <w:rsid w:val="00C35F1A"/>
    <w:rsid w:val="00C369E9"/>
    <w:rsid w:val="00C36F0F"/>
    <w:rsid w:val="00C37520"/>
    <w:rsid w:val="00C377B5"/>
    <w:rsid w:val="00C40193"/>
    <w:rsid w:val="00C40481"/>
    <w:rsid w:val="00C40F4C"/>
    <w:rsid w:val="00C41249"/>
    <w:rsid w:val="00C41EFB"/>
    <w:rsid w:val="00C420E1"/>
    <w:rsid w:val="00C425A5"/>
    <w:rsid w:val="00C42892"/>
    <w:rsid w:val="00C43A79"/>
    <w:rsid w:val="00C43C94"/>
    <w:rsid w:val="00C449BD"/>
    <w:rsid w:val="00C45653"/>
    <w:rsid w:val="00C45668"/>
    <w:rsid w:val="00C46042"/>
    <w:rsid w:val="00C46177"/>
    <w:rsid w:val="00C46930"/>
    <w:rsid w:val="00C46A04"/>
    <w:rsid w:val="00C46E6A"/>
    <w:rsid w:val="00C46F54"/>
    <w:rsid w:val="00C474B5"/>
    <w:rsid w:val="00C47A41"/>
    <w:rsid w:val="00C510A8"/>
    <w:rsid w:val="00C51115"/>
    <w:rsid w:val="00C5135C"/>
    <w:rsid w:val="00C5136F"/>
    <w:rsid w:val="00C51509"/>
    <w:rsid w:val="00C52124"/>
    <w:rsid w:val="00C523B4"/>
    <w:rsid w:val="00C528CB"/>
    <w:rsid w:val="00C52DF0"/>
    <w:rsid w:val="00C52EE5"/>
    <w:rsid w:val="00C537F7"/>
    <w:rsid w:val="00C539DE"/>
    <w:rsid w:val="00C54186"/>
    <w:rsid w:val="00C543CA"/>
    <w:rsid w:val="00C54408"/>
    <w:rsid w:val="00C54A7E"/>
    <w:rsid w:val="00C551AE"/>
    <w:rsid w:val="00C553DE"/>
    <w:rsid w:val="00C5557D"/>
    <w:rsid w:val="00C564F7"/>
    <w:rsid w:val="00C56852"/>
    <w:rsid w:val="00C56E09"/>
    <w:rsid w:val="00C56EE2"/>
    <w:rsid w:val="00C5768D"/>
    <w:rsid w:val="00C57D8C"/>
    <w:rsid w:val="00C6006F"/>
    <w:rsid w:val="00C60537"/>
    <w:rsid w:val="00C6090D"/>
    <w:rsid w:val="00C60A90"/>
    <w:rsid w:val="00C60C31"/>
    <w:rsid w:val="00C6177F"/>
    <w:rsid w:val="00C61AA1"/>
    <w:rsid w:val="00C6237A"/>
    <w:rsid w:val="00C6251E"/>
    <w:rsid w:val="00C627BB"/>
    <w:rsid w:val="00C62FF8"/>
    <w:rsid w:val="00C63474"/>
    <w:rsid w:val="00C6374B"/>
    <w:rsid w:val="00C63E9F"/>
    <w:rsid w:val="00C666FA"/>
    <w:rsid w:val="00C66704"/>
    <w:rsid w:val="00C66928"/>
    <w:rsid w:val="00C66DAB"/>
    <w:rsid w:val="00C67729"/>
    <w:rsid w:val="00C67BFF"/>
    <w:rsid w:val="00C700A7"/>
    <w:rsid w:val="00C71056"/>
    <w:rsid w:val="00C71F3B"/>
    <w:rsid w:val="00C72F65"/>
    <w:rsid w:val="00C72FFF"/>
    <w:rsid w:val="00C73135"/>
    <w:rsid w:val="00C733B8"/>
    <w:rsid w:val="00C73589"/>
    <w:rsid w:val="00C737DA"/>
    <w:rsid w:val="00C74DAF"/>
    <w:rsid w:val="00C755FD"/>
    <w:rsid w:val="00C758E6"/>
    <w:rsid w:val="00C76476"/>
    <w:rsid w:val="00C7662E"/>
    <w:rsid w:val="00C767E3"/>
    <w:rsid w:val="00C768E2"/>
    <w:rsid w:val="00C76B03"/>
    <w:rsid w:val="00C76C80"/>
    <w:rsid w:val="00C7736D"/>
    <w:rsid w:val="00C8182F"/>
    <w:rsid w:val="00C81A0E"/>
    <w:rsid w:val="00C81A83"/>
    <w:rsid w:val="00C82751"/>
    <w:rsid w:val="00C82EC8"/>
    <w:rsid w:val="00C834C4"/>
    <w:rsid w:val="00C838C2"/>
    <w:rsid w:val="00C83B57"/>
    <w:rsid w:val="00C83B8C"/>
    <w:rsid w:val="00C83F43"/>
    <w:rsid w:val="00C84005"/>
    <w:rsid w:val="00C84287"/>
    <w:rsid w:val="00C858FC"/>
    <w:rsid w:val="00C85C1C"/>
    <w:rsid w:val="00C85FB0"/>
    <w:rsid w:val="00C85FBA"/>
    <w:rsid w:val="00C860DD"/>
    <w:rsid w:val="00C866A9"/>
    <w:rsid w:val="00C869CE"/>
    <w:rsid w:val="00C87AC9"/>
    <w:rsid w:val="00C87DC9"/>
    <w:rsid w:val="00C87EC6"/>
    <w:rsid w:val="00C87EE6"/>
    <w:rsid w:val="00C908DB"/>
    <w:rsid w:val="00C90A8E"/>
    <w:rsid w:val="00C90FB4"/>
    <w:rsid w:val="00C915A8"/>
    <w:rsid w:val="00C91B11"/>
    <w:rsid w:val="00C92047"/>
    <w:rsid w:val="00C9253B"/>
    <w:rsid w:val="00C9298C"/>
    <w:rsid w:val="00C929C7"/>
    <w:rsid w:val="00C92DB0"/>
    <w:rsid w:val="00C93B03"/>
    <w:rsid w:val="00C93DA4"/>
    <w:rsid w:val="00C94E98"/>
    <w:rsid w:val="00C94FCD"/>
    <w:rsid w:val="00C9552D"/>
    <w:rsid w:val="00C958E0"/>
    <w:rsid w:val="00C965C4"/>
    <w:rsid w:val="00C9669D"/>
    <w:rsid w:val="00C9775D"/>
    <w:rsid w:val="00C9787F"/>
    <w:rsid w:val="00C97DFD"/>
    <w:rsid w:val="00C97F5C"/>
    <w:rsid w:val="00CA06E5"/>
    <w:rsid w:val="00CA08FB"/>
    <w:rsid w:val="00CA0F5C"/>
    <w:rsid w:val="00CA0FC9"/>
    <w:rsid w:val="00CA38D3"/>
    <w:rsid w:val="00CA3A35"/>
    <w:rsid w:val="00CA4237"/>
    <w:rsid w:val="00CA463D"/>
    <w:rsid w:val="00CA59FC"/>
    <w:rsid w:val="00CA678F"/>
    <w:rsid w:val="00CA6DB8"/>
    <w:rsid w:val="00CA6E19"/>
    <w:rsid w:val="00CA775D"/>
    <w:rsid w:val="00CA7ACE"/>
    <w:rsid w:val="00CA7E50"/>
    <w:rsid w:val="00CB0475"/>
    <w:rsid w:val="00CB0DDE"/>
    <w:rsid w:val="00CB21E4"/>
    <w:rsid w:val="00CB3027"/>
    <w:rsid w:val="00CB37EB"/>
    <w:rsid w:val="00CB3FCA"/>
    <w:rsid w:val="00CB439E"/>
    <w:rsid w:val="00CB4899"/>
    <w:rsid w:val="00CB5230"/>
    <w:rsid w:val="00CB5B4D"/>
    <w:rsid w:val="00CB6DEF"/>
    <w:rsid w:val="00CB7747"/>
    <w:rsid w:val="00CB7CC9"/>
    <w:rsid w:val="00CB7EE4"/>
    <w:rsid w:val="00CC0895"/>
    <w:rsid w:val="00CC0A45"/>
    <w:rsid w:val="00CC0A75"/>
    <w:rsid w:val="00CC0BFC"/>
    <w:rsid w:val="00CC0C90"/>
    <w:rsid w:val="00CC12D3"/>
    <w:rsid w:val="00CC185E"/>
    <w:rsid w:val="00CC1E43"/>
    <w:rsid w:val="00CC2CD3"/>
    <w:rsid w:val="00CC3431"/>
    <w:rsid w:val="00CC3626"/>
    <w:rsid w:val="00CC39E0"/>
    <w:rsid w:val="00CC3F31"/>
    <w:rsid w:val="00CC47B5"/>
    <w:rsid w:val="00CC4802"/>
    <w:rsid w:val="00CC4E66"/>
    <w:rsid w:val="00CC525E"/>
    <w:rsid w:val="00CC53DA"/>
    <w:rsid w:val="00CC650A"/>
    <w:rsid w:val="00CC7B0C"/>
    <w:rsid w:val="00CC7C8B"/>
    <w:rsid w:val="00CC7FB6"/>
    <w:rsid w:val="00CD0060"/>
    <w:rsid w:val="00CD0497"/>
    <w:rsid w:val="00CD105C"/>
    <w:rsid w:val="00CD11F4"/>
    <w:rsid w:val="00CD14E5"/>
    <w:rsid w:val="00CD17F2"/>
    <w:rsid w:val="00CD1F53"/>
    <w:rsid w:val="00CD2503"/>
    <w:rsid w:val="00CD2587"/>
    <w:rsid w:val="00CD328B"/>
    <w:rsid w:val="00CD3B86"/>
    <w:rsid w:val="00CD3DE4"/>
    <w:rsid w:val="00CD4480"/>
    <w:rsid w:val="00CD47A8"/>
    <w:rsid w:val="00CD57FE"/>
    <w:rsid w:val="00CD5B9C"/>
    <w:rsid w:val="00CD623C"/>
    <w:rsid w:val="00CD7431"/>
    <w:rsid w:val="00CD7C71"/>
    <w:rsid w:val="00CE1737"/>
    <w:rsid w:val="00CE219E"/>
    <w:rsid w:val="00CE2859"/>
    <w:rsid w:val="00CE2C4E"/>
    <w:rsid w:val="00CE3437"/>
    <w:rsid w:val="00CE3805"/>
    <w:rsid w:val="00CE3AD0"/>
    <w:rsid w:val="00CE4435"/>
    <w:rsid w:val="00CE4579"/>
    <w:rsid w:val="00CE47C2"/>
    <w:rsid w:val="00CE514C"/>
    <w:rsid w:val="00CE58E2"/>
    <w:rsid w:val="00CE5EA4"/>
    <w:rsid w:val="00CE6621"/>
    <w:rsid w:val="00CE671A"/>
    <w:rsid w:val="00CE6E3A"/>
    <w:rsid w:val="00CE7539"/>
    <w:rsid w:val="00CE7AC8"/>
    <w:rsid w:val="00CF035E"/>
    <w:rsid w:val="00CF0B78"/>
    <w:rsid w:val="00CF18F4"/>
    <w:rsid w:val="00CF2030"/>
    <w:rsid w:val="00CF216B"/>
    <w:rsid w:val="00CF22E6"/>
    <w:rsid w:val="00CF2F6F"/>
    <w:rsid w:val="00CF3356"/>
    <w:rsid w:val="00CF33B1"/>
    <w:rsid w:val="00CF364D"/>
    <w:rsid w:val="00CF3665"/>
    <w:rsid w:val="00CF3749"/>
    <w:rsid w:val="00CF3CC5"/>
    <w:rsid w:val="00CF3FB3"/>
    <w:rsid w:val="00CF4269"/>
    <w:rsid w:val="00CF4DCA"/>
    <w:rsid w:val="00CF58A7"/>
    <w:rsid w:val="00CF59EB"/>
    <w:rsid w:val="00CF62B2"/>
    <w:rsid w:val="00CF6F0A"/>
    <w:rsid w:val="00CF7138"/>
    <w:rsid w:val="00CF76CF"/>
    <w:rsid w:val="00D0194E"/>
    <w:rsid w:val="00D01C23"/>
    <w:rsid w:val="00D024EA"/>
    <w:rsid w:val="00D02C5F"/>
    <w:rsid w:val="00D048CE"/>
    <w:rsid w:val="00D05448"/>
    <w:rsid w:val="00D0574A"/>
    <w:rsid w:val="00D05A2A"/>
    <w:rsid w:val="00D05BEA"/>
    <w:rsid w:val="00D06EFD"/>
    <w:rsid w:val="00D07318"/>
    <w:rsid w:val="00D07AE2"/>
    <w:rsid w:val="00D07E98"/>
    <w:rsid w:val="00D1044A"/>
    <w:rsid w:val="00D104A3"/>
    <w:rsid w:val="00D1057B"/>
    <w:rsid w:val="00D10A84"/>
    <w:rsid w:val="00D10C00"/>
    <w:rsid w:val="00D10CC7"/>
    <w:rsid w:val="00D11208"/>
    <w:rsid w:val="00D1162B"/>
    <w:rsid w:val="00D11CD7"/>
    <w:rsid w:val="00D125AB"/>
    <w:rsid w:val="00D12CDC"/>
    <w:rsid w:val="00D13035"/>
    <w:rsid w:val="00D1325F"/>
    <w:rsid w:val="00D1351E"/>
    <w:rsid w:val="00D14572"/>
    <w:rsid w:val="00D14577"/>
    <w:rsid w:val="00D14888"/>
    <w:rsid w:val="00D1548A"/>
    <w:rsid w:val="00D15809"/>
    <w:rsid w:val="00D15EC9"/>
    <w:rsid w:val="00D15ED8"/>
    <w:rsid w:val="00D1630B"/>
    <w:rsid w:val="00D16409"/>
    <w:rsid w:val="00D1653F"/>
    <w:rsid w:val="00D17209"/>
    <w:rsid w:val="00D178DF"/>
    <w:rsid w:val="00D20BB0"/>
    <w:rsid w:val="00D2140F"/>
    <w:rsid w:val="00D219FB"/>
    <w:rsid w:val="00D21A12"/>
    <w:rsid w:val="00D21BD1"/>
    <w:rsid w:val="00D21C2F"/>
    <w:rsid w:val="00D21D09"/>
    <w:rsid w:val="00D21EC7"/>
    <w:rsid w:val="00D21F90"/>
    <w:rsid w:val="00D227D9"/>
    <w:rsid w:val="00D2282B"/>
    <w:rsid w:val="00D23665"/>
    <w:rsid w:val="00D2383A"/>
    <w:rsid w:val="00D24A50"/>
    <w:rsid w:val="00D2578C"/>
    <w:rsid w:val="00D2579B"/>
    <w:rsid w:val="00D25BD7"/>
    <w:rsid w:val="00D25E30"/>
    <w:rsid w:val="00D2632D"/>
    <w:rsid w:val="00D26547"/>
    <w:rsid w:val="00D265FB"/>
    <w:rsid w:val="00D276DB"/>
    <w:rsid w:val="00D277AE"/>
    <w:rsid w:val="00D27B6D"/>
    <w:rsid w:val="00D27BDE"/>
    <w:rsid w:val="00D27EFA"/>
    <w:rsid w:val="00D303A1"/>
    <w:rsid w:val="00D30F7B"/>
    <w:rsid w:val="00D313D5"/>
    <w:rsid w:val="00D325FB"/>
    <w:rsid w:val="00D32ADD"/>
    <w:rsid w:val="00D33DC4"/>
    <w:rsid w:val="00D345CF"/>
    <w:rsid w:val="00D34A44"/>
    <w:rsid w:val="00D34A5B"/>
    <w:rsid w:val="00D3505C"/>
    <w:rsid w:val="00D35205"/>
    <w:rsid w:val="00D35412"/>
    <w:rsid w:val="00D3578B"/>
    <w:rsid w:val="00D35980"/>
    <w:rsid w:val="00D37563"/>
    <w:rsid w:val="00D3761D"/>
    <w:rsid w:val="00D37AB3"/>
    <w:rsid w:val="00D40F21"/>
    <w:rsid w:val="00D4102D"/>
    <w:rsid w:val="00D41054"/>
    <w:rsid w:val="00D41CDF"/>
    <w:rsid w:val="00D42283"/>
    <w:rsid w:val="00D4294B"/>
    <w:rsid w:val="00D42DC7"/>
    <w:rsid w:val="00D42E67"/>
    <w:rsid w:val="00D434E7"/>
    <w:rsid w:val="00D434E9"/>
    <w:rsid w:val="00D43886"/>
    <w:rsid w:val="00D43A6F"/>
    <w:rsid w:val="00D43ABA"/>
    <w:rsid w:val="00D43AE2"/>
    <w:rsid w:val="00D43F82"/>
    <w:rsid w:val="00D44DC3"/>
    <w:rsid w:val="00D45049"/>
    <w:rsid w:val="00D4520A"/>
    <w:rsid w:val="00D4648C"/>
    <w:rsid w:val="00D4649C"/>
    <w:rsid w:val="00D469B0"/>
    <w:rsid w:val="00D46A29"/>
    <w:rsid w:val="00D46C9E"/>
    <w:rsid w:val="00D47073"/>
    <w:rsid w:val="00D47654"/>
    <w:rsid w:val="00D47870"/>
    <w:rsid w:val="00D50023"/>
    <w:rsid w:val="00D50AE6"/>
    <w:rsid w:val="00D5103D"/>
    <w:rsid w:val="00D514EB"/>
    <w:rsid w:val="00D519FB"/>
    <w:rsid w:val="00D51CBA"/>
    <w:rsid w:val="00D527A4"/>
    <w:rsid w:val="00D5290B"/>
    <w:rsid w:val="00D52C75"/>
    <w:rsid w:val="00D53774"/>
    <w:rsid w:val="00D53EC5"/>
    <w:rsid w:val="00D541CB"/>
    <w:rsid w:val="00D54935"/>
    <w:rsid w:val="00D54CE5"/>
    <w:rsid w:val="00D555D0"/>
    <w:rsid w:val="00D55A06"/>
    <w:rsid w:val="00D55D61"/>
    <w:rsid w:val="00D56D96"/>
    <w:rsid w:val="00D56FE3"/>
    <w:rsid w:val="00D57C66"/>
    <w:rsid w:val="00D57EE8"/>
    <w:rsid w:val="00D6042B"/>
    <w:rsid w:val="00D60AC2"/>
    <w:rsid w:val="00D60E75"/>
    <w:rsid w:val="00D61277"/>
    <w:rsid w:val="00D6190B"/>
    <w:rsid w:val="00D62D57"/>
    <w:rsid w:val="00D63721"/>
    <w:rsid w:val="00D637B3"/>
    <w:rsid w:val="00D63A18"/>
    <w:rsid w:val="00D641B2"/>
    <w:rsid w:val="00D64646"/>
    <w:rsid w:val="00D64907"/>
    <w:rsid w:val="00D65789"/>
    <w:rsid w:val="00D65D52"/>
    <w:rsid w:val="00D65F9D"/>
    <w:rsid w:val="00D66336"/>
    <w:rsid w:val="00D66B17"/>
    <w:rsid w:val="00D67A77"/>
    <w:rsid w:val="00D70CBF"/>
    <w:rsid w:val="00D71FA3"/>
    <w:rsid w:val="00D7334B"/>
    <w:rsid w:val="00D73C08"/>
    <w:rsid w:val="00D7531B"/>
    <w:rsid w:val="00D75488"/>
    <w:rsid w:val="00D762A5"/>
    <w:rsid w:val="00D76952"/>
    <w:rsid w:val="00D77480"/>
    <w:rsid w:val="00D774EE"/>
    <w:rsid w:val="00D777B2"/>
    <w:rsid w:val="00D778B6"/>
    <w:rsid w:val="00D7799C"/>
    <w:rsid w:val="00D77B14"/>
    <w:rsid w:val="00D77D65"/>
    <w:rsid w:val="00D812A7"/>
    <w:rsid w:val="00D81368"/>
    <w:rsid w:val="00D814E8"/>
    <w:rsid w:val="00D81776"/>
    <w:rsid w:val="00D820CB"/>
    <w:rsid w:val="00D82302"/>
    <w:rsid w:val="00D825C9"/>
    <w:rsid w:val="00D82E87"/>
    <w:rsid w:val="00D82ED1"/>
    <w:rsid w:val="00D830AD"/>
    <w:rsid w:val="00D91019"/>
    <w:rsid w:val="00D91199"/>
    <w:rsid w:val="00D91BCD"/>
    <w:rsid w:val="00D91D5C"/>
    <w:rsid w:val="00D92234"/>
    <w:rsid w:val="00D928C7"/>
    <w:rsid w:val="00D92928"/>
    <w:rsid w:val="00D92939"/>
    <w:rsid w:val="00D929B3"/>
    <w:rsid w:val="00D92AFB"/>
    <w:rsid w:val="00D9305A"/>
    <w:rsid w:val="00D93454"/>
    <w:rsid w:val="00D93496"/>
    <w:rsid w:val="00D939BD"/>
    <w:rsid w:val="00D93B4C"/>
    <w:rsid w:val="00D93E49"/>
    <w:rsid w:val="00D94774"/>
    <w:rsid w:val="00D95CD5"/>
    <w:rsid w:val="00D9642E"/>
    <w:rsid w:val="00D969CB"/>
    <w:rsid w:val="00D96E63"/>
    <w:rsid w:val="00D97454"/>
    <w:rsid w:val="00D976A4"/>
    <w:rsid w:val="00D97791"/>
    <w:rsid w:val="00DA0021"/>
    <w:rsid w:val="00DA0291"/>
    <w:rsid w:val="00DA0355"/>
    <w:rsid w:val="00DA1724"/>
    <w:rsid w:val="00DA233A"/>
    <w:rsid w:val="00DA237D"/>
    <w:rsid w:val="00DA4554"/>
    <w:rsid w:val="00DA4C8F"/>
    <w:rsid w:val="00DA5323"/>
    <w:rsid w:val="00DA5E27"/>
    <w:rsid w:val="00DA63A9"/>
    <w:rsid w:val="00DA6F78"/>
    <w:rsid w:val="00DA702C"/>
    <w:rsid w:val="00DA72BA"/>
    <w:rsid w:val="00DA753F"/>
    <w:rsid w:val="00DB01D7"/>
    <w:rsid w:val="00DB01E3"/>
    <w:rsid w:val="00DB0682"/>
    <w:rsid w:val="00DB0F1B"/>
    <w:rsid w:val="00DB161F"/>
    <w:rsid w:val="00DB1BC4"/>
    <w:rsid w:val="00DB1E3C"/>
    <w:rsid w:val="00DB1F42"/>
    <w:rsid w:val="00DB21B1"/>
    <w:rsid w:val="00DB2A75"/>
    <w:rsid w:val="00DB348C"/>
    <w:rsid w:val="00DB3AFB"/>
    <w:rsid w:val="00DB449A"/>
    <w:rsid w:val="00DB4808"/>
    <w:rsid w:val="00DB4CC7"/>
    <w:rsid w:val="00DB5F6B"/>
    <w:rsid w:val="00DB7748"/>
    <w:rsid w:val="00DC0D6C"/>
    <w:rsid w:val="00DC0E18"/>
    <w:rsid w:val="00DC10D9"/>
    <w:rsid w:val="00DC17A5"/>
    <w:rsid w:val="00DC3177"/>
    <w:rsid w:val="00DC35AD"/>
    <w:rsid w:val="00DC37DC"/>
    <w:rsid w:val="00DC3EB1"/>
    <w:rsid w:val="00DC4CBC"/>
    <w:rsid w:val="00DC50B3"/>
    <w:rsid w:val="00DC5160"/>
    <w:rsid w:val="00DC5953"/>
    <w:rsid w:val="00DC5CF7"/>
    <w:rsid w:val="00DC6E7A"/>
    <w:rsid w:val="00DD00AC"/>
    <w:rsid w:val="00DD0C14"/>
    <w:rsid w:val="00DD12B2"/>
    <w:rsid w:val="00DD1B63"/>
    <w:rsid w:val="00DD1BAC"/>
    <w:rsid w:val="00DD2068"/>
    <w:rsid w:val="00DD2DFB"/>
    <w:rsid w:val="00DD3009"/>
    <w:rsid w:val="00DD37DB"/>
    <w:rsid w:val="00DD5890"/>
    <w:rsid w:val="00DD5B8E"/>
    <w:rsid w:val="00DD5D8B"/>
    <w:rsid w:val="00DD7A31"/>
    <w:rsid w:val="00DD7EC2"/>
    <w:rsid w:val="00DE07BD"/>
    <w:rsid w:val="00DE1B83"/>
    <w:rsid w:val="00DE1ED3"/>
    <w:rsid w:val="00DE2241"/>
    <w:rsid w:val="00DE23DA"/>
    <w:rsid w:val="00DE24B0"/>
    <w:rsid w:val="00DE2C07"/>
    <w:rsid w:val="00DE2EBF"/>
    <w:rsid w:val="00DE321B"/>
    <w:rsid w:val="00DE3BAD"/>
    <w:rsid w:val="00DE51AF"/>
    <w:rsid w:val="00DE5D76"/>
    <w:rsid w:val="00DE5FC8"/>
    <w:rsid w:val="00DE655D"/>
    <w:rsid w:val="00DE7109"/>
    <w:rsid w:val="00DE731C"/>
    <w:rsid w:val="00DF024B"/>
    <w:rsid w:val="00DF16CC"/>
    <w:rsid w:val="00DF1CE4"/>
    <w:rsid w:val="00DF2156"/>
    <w:rsid w:val="00DF2248"/>
    <w:rsid w:val="00DF2433"/>
    <w:rsid w:val="00DF25DB"/>
    <w:rsid w:val="00DF2B25"/>
    <w:rsid w:val="00DF2C88"/>
    <w:rsid w:val="00DF34A2"/>
    <w:rsid w:val="00DF37C5"/>
    <w:rsid w:val="00DF3867"/>
    <w:rsid w:val="00DF3B54"/>
    <w:rsid w:val="00DF3EB5"/>
    <w:rsid w:val="00DF3F0D"/>
    <w:rsid w:val="00DF46CE"/>
    <w:rsid w:val="00DF60E0"/>
    <w:rsid w:val="00DF6318"/>
    <w:rsid w:val="00DF7081"/>
    <w:rsid w:val="00DF7F25"/>
    <w:rsid w:val="00E00C48"/>
    <w:rsid w:val="00E010F5"/>
    <w:rsid w:val="00E01DBA"/>
    <w:rsid w:val="00E02202"/>
    <w:rsid w:val="00E0273B"/>
    <w:rsid w:val="00E02D0A"/>
    <w:rsid w:val="00E031E6"/>
    <w:rsid w:val="00E032FF"/>
    <w:rsid w:val="00E03869"/>
    <w:rsid w:val="00E050F4"/>
    <w:rsid w:val="00E0512B"/>
    <w:rsid w:val="00E05223"/>
    <w:rsid w:val="00E05497"/>
    <w:rsid w:val="00E054E2"/>
    <w:rsid w:val="00E05FA6"/>
    <w:rsid w:val="00E073D0"/>
    <w:rsid w:val="00E07B77"/>
    <w:rsid w:val="00E10AE9"/>
    <w:rsid w:val="00E11983"/>
    <w:rsid w:val="00E128C8"/>
    <w:rsid w:val="00E1405C"/>
    <w:rsid w:val="00E14F49"/>
    <w:rsid w:val="00E15072"/>
    <w:rsid w:val="00E15232"/>
    <w:rsid w:val="00E15503"/>
    <w:rsid w:val="00E15666"/>
    <w:rsid w:val="00E164F5"/>
    <w:rsid w:val="00E16D87"/>
    <w:rsid w:val="00E17C95"/>
    <w:rsid w:val="00E17D5D"/>
    <w:rsid w:val="00E20A50"/>
    <w:rsid w:val="00E22C5B"/>
    <w:rsid w:val="00E24A6A"/>
    <w:rsid w:val="00E24CB7"/>
    <w:rsid w:val="00E25564"/>
    <w:rsid w:val="00E25809"/>
    <w:rsid w:val="00E26412"/>
    <w:rsid w:val="00E264C2"/>
    <w:rsid w:val="00E26BD4"/>
    <w:rsid w:val="00E271E9"/>
    <w:rsid w:val="00E2736C"/>
    <w:rsid w:val="00E27C5E"/>
    <w:rsid w:val="00E27D45"/>
    <w:rsid w:val="00E27DDE"/>
    <w:rsid w:val="00E30A51"/>
    <w:rsid w:val="00E31942"/>
    <w:rsid w:val="00E31C6B"/>
    <w:rsid w:val="00E31DDD"/>
    <w:rsid w:val="00E32640"/>
    <w:rsid w:val="00E33479"/>
    <w:rsid w:val="00E3390C"/>
    <w:rsid w:val="00E33A98"/>
    <w:rsid w:val="00E33D25"/>
    <w:rsid w:val="00E34040"/>
    <w:rsid w:val="00E3454B"/>
    <w:rsid w:val="00E346D1"/>
    <w:rsid w:val="00E34DF4"/>
    <w:rsid w:val="00E350F7"/>
    <w:rsid w:val="00E35827"/>
    <w:rsid w:val="00E36328"/>
    <w:rsid w:val="00E366E0"/>
    <w:rsid w:val="00E37897"/>
    <w:rsid w:val="00E40678"/>
    <w:rsid w:val="00E40AD9"/>
    <w:rsid w:val="00E4126A"/>
    <w:rsid w:val="00E41479"/>
    <w:rsid w:val="00E42187"/>
    <w:rsid w:val="00E4297C"/>
    <w:rsid w:val="00E431EB"/>
    <w:rsid w:val="00E43FF9"/>
    <w:rsid w:val="00E441FC"/>
    <w:rsid w:val="00E44938"/>
    <w:rsid w:val="00E454A0"/>
    <w:rsid w:val="00E4611B"/>
    <w:rsid w:val="00E4613D"/>
    <w:rsid w:val="00E47AAB"/>
    <w:rsid w:val="00E47F80"/>
    <w:rsid w:val="00E5086B"/>
    <w:rsid w:val="00E51125"/>
    <w:rsid w:val="00E517C0"/>
    <w:rsid w:val="00E52727"/>
    <w:rsid w:val="00E527CC"/>
    <w:rsid w:val="00E52EAC"/>
    <w:rsid w:val="00E535F3"/>
    <w:rsid w:val="00E53905"/>
    <w:rsid w:val="00E53BB3"/>
    <w:rsid w:val="00E53E2B"/>
    <w:rsid w:val="00E540DA"/>
    <w:rsid w:val="00E5478B"/>
    <w:rsid w:val="00E5510E"/>
    <w:rsid w:val="00E561AC"/>
    <w:rsid w:val="00E5645F"/>
    <w:rsid w:val="00E564B1"/>
    <w:rsid w:val="00E56775"/>
    <w:rsid w:val="00E56F3F"/>
    <w:rsid w:val="00E605F9"/>
    <w:rsid w:val="00E62855"/>
    <w:rsid w:val="00E62C21"/>
    <w:rsid w:val="00E6327F"/>
    <w:rsid w:val="00E632DD"/>
    <w:rsid w:val="00E64442"/>
    <w:rsid w:val="00E6448C"/>
    <w:rsid w:val="00E64AF4"/>
    <w:rsid w:val="00E64E4D"/>
    <w:rsid w:val="00E652D9"/>
    <w:rsid w:val="00E66DE2"/>
    <w:rsid w:val="00E67815"/>
    <w:rsid w:val="00E67A40"/>
    <w:rsid w:val="00E67B39"/>
    <w:rsid w:val="00E67DFD"/>
    <w:rsid w:val="00E67E09"/>
    <w:rsid w:val="00E67EAC"/>
    <w:rsid w:val="00E67EEC"/>
    <w:rsid w:val="00E7000A"/>
    <w:rsid w:val="00E71423"/>
    <w:rsid w:val="00E71FFE"/>
    <w:rsid w:val="00E720B6"/>
    <w:rsid w:val="00E72352"/>
    <w:rsid w:val="00E7247A"/>
    <w:rsid w:val="00E729B9"/>
    <w:rsid w:val="00E72E08"/>
    <w:rsid w:val="00E736AA"/>
    <w:rsid w:val="00E73858"/>
    <w:rsid w:val="00E7396D"/>
    <w:rsid w:val="00E73F8C"/>
    <w:rsid w:val="00E75401"/>
    <w:rsid w:val="00E766F7"/>
    <w:rsid w:val="00E7699E"/>
    <w:rsid w:val="00E76A81"/>
    <w:rsid w:val="00E76D2C"/>
    <w:rsid w:val="00E80B9B"/>
    <w:rsid w:val="00E80C03"/>
    <w:rsid w:val="00E80CF9"/>
    <w:rsid w:val="00E812D3"/>
    <w:rsid w:val="00E813C3"/>
    <w:rsid w:val="00E81494"/>
    <w:rsid w:val="00E814E7"/>
    <w:rsid w:val="00E81B4E"/>
    <w:rsid w:val="00E824A2"/>
    <w:rsid w:val="00E82E1A"/>
    <w:rsid w:val="00E83614"/>
    <w:rsid w:val="00E836CE"/>
    <w:rsid w:val="00E83871"/>
    <w:rsid w:val="00E838C4"/>
    <w:rsid w:val="00E839BC"/>
    <w:rsid w:val="00E83A66"/>
    <w:rsid w:val="00E83CD6"/>
    <w:rsid w:val="00E843F7"/>
    <w:rsid w:val="00E84647"/>
    <w:rsid w:val="00E84998"/>
    <w:rsid w:val="00E84D57"/>
    <w:rsid w:val="00E852AF"/>
    <w:rsid w:val="00E8534A"/>
    <w:rsid w:val="00E85443"/>
    <w:rsid w:val="00E85B27"/>
    <w:rsid w:val="00E85D63"/>
    <w:rsid w:val="00E861AA"/>
    <w:rsid w:val="00E86539"/>
    <w:rsid w:val="00E869B5"/>
    <w:rsid w:val="00E86B6E"/>
    <w:rsid w:val="00E871D8"/>
    <w:rsid w:val="00E873DA"/>
    <w:rsid w:val="00E8747F"/>
    <w:rsid w:val="00E8776F"/>
    <w:rsid w:val="00E87965"/>
    <w:rsid w:val="00E87C43"/>
    <w:rsid w:val="00E87C75"/>
    <w:rsid w:val="00E9104E"/>
    <w:rsid w:val="00E913B5"/>
    <w:rsid w:val="00E924E4"/>
    <w:rsid w:val="00E927C3"/>
    <w:rsid w:val="00E92AFA"/>
    <w:rsid w:val="00E92D1E"/>
    <w:rsid w:val="00E93115"/>
    <w:rsid w:val="00E93B0B"/>
    <w:rsid w:val="00E93B1C"/>
    <w:rsid w:val="00E93EF1"/>
    <w:rsid w:val="00E943F7"/>
    <w:rsid w:val="00E94786"/>
    <w:rsid w:val="00E94877"/>
    <w:rsid w:val="00E94A00"/>
    <w:rsid w:val="00E95164"/>
    <w:rsid w:val="00E95FB4"/>
    <w:rsid w:val="00E960DF"/>
    <w:rsid w:val="00E96875"/>
    <w:rsid w:val="00E96A30"/>
    <w:rsid w:val="00E970B9"/>
    <w:rsid w:val="00E976E0"/>
    <w:rsid w:val="00E9775F"/>
    <w:rsid w:val="00EA05BC"/>
    <w:rsid w:val="00EA0965"/>
    <w:rsid w:val="00EA0B65"/>
    <w:rsid w:val="00EA11ED"/>
    <w:rsid w:val="00EA1A87"/>
    <w:rsid w:val="00EA1BE4"/>
    <w:rsid w:val="00EA2213"/>
    <w:rsid w:val="00EA2604"/>
    <w:rsid w:val="00EA3113"/>
    <w:rsid w:val="00EA32F0"/>
    <w:rsid w:val="00EA3354"/>
    <w:rsid w:val="00EA37E8"/>
    <w:rsid w:val="00EA38BD"/>
    <w:rsid w:val="00EA3A92"/>
    <w:rsid w:val="00EA4A67"/>
    <w:rsid w:val="00EA5088"/>
    <w:rsid w:val="00EA52C5"/>
    <w:rsid w:val="00EA550A"/>
    <w:rsid w:val="00EA5E16"/>
    <w:rsid w:val="00EA6C80"/>
    <w:rsid w:val="00EA6EF4"/>
    <w:rsid w:val="00EA77BD"/>
    <w:rsid w:val="00EB0040"/>
    <w:rsid w:val="00EB0AA0"/>
    <w:rsid w:val="00EB0F2D"/>
    <w:rsid w:val="00EB106A"/>
    <w:rsid w:val="00EB13ED"/>
    <w:rsid w:val="00EB21E2"/>
    <w:rsid w:val="00EB3C8A"/>
    <w:rsid w:val="00EB4F60"/>
    <w:rsid w:val="00EB4FBE"/>
    <w:rsid w:val="00EB551C"/>
    <w:rsid w:val="00EB5647"/>
    <w:rsid w:val="00EB5753"/>
    <w:rsid w:val="00EB629B"/>
    <w:rsid w:val="00EB6466"/>
    <w:rsid w:val="00EB64B7"/>
    <w:rsid w:val="00EB6D98"/>
    <w:rsid w:val="00EB71CF"/>
    <w:rsid w:val="00EB7670"/>
    <w:rsid w:val="00EC0989"/>
    <w:rsid w:val="00EC0B40"/>
    <w:rsid w:val="00EC12C8"/>
    <w:rsid w:val="00EC1468"/>
    <w:rsid w:val="00EC1F85"/>
    <w:rsid w:val="00EC27B1"/>
    <w:rsid w:val="00EC2D5E"/>
    <w:rsid w:val="00EC300A"/>
    <w:rsid w:val="00EC374C"/>
    <w:rsid w:val="00EC3EFA"/>
    <w:rsid w:val="00EC3FBB"/>
    <w:rsid w:val="00EC46FE"/>
    <w:rsid w:val="00EC4F86"/>
    <w:rsid w:val="00EC511D"/>
    <w:rsid w:val="00EC53EB"/>
    <w:rsid w:val="00EC5BDC"/>
    <w:rsid w:val="00EC719B"/>
    <w:rsid w:val="00EC7680"/>
    <w:rsid w:val="00EC7F68"/>
    <w:rsid w:val="00ED019F"/>
    <w:rsid w:val="00ED0871"/>
    <w:rsid w:val="00ED1C17"/>
    <w:rsid w:val="00ED26C8"/>
    <w:rsid w:val="00ED2B2C"/>
    <w:rsid w:val="00ED3080"/>
    <w:rsid w:val="00ED32F9"/>
    <w:rsid w:val="00ED414F"/>
    <w:rsid w:val="00ED41C8"/>
    <w:rsid w:val="00ED4B1B"/>
    <w:rsid w:val="00ED4C1C"/>
    <w:rsid w:val="00ED60E0"/>
    <w:rsid w:val="00ED6978"/>
    <w:rsid w:val="00ED7F60"/>
    <w:rsid w:val="00EE03A8"/>
    <w:rsid w:val="00EE0A76"/>
    <w:rsid w:val="00EE0B03"/>
    <w:rsid w:val="00EE143C"/>
    <w:rsid w:val="00EE32E3"/>
    <w:rsid w:val="00EE37B3"/>
    <w:rsid w:val="00EE3BFA"/>
    <w:rsid w:val="00EE3EB8"/>
    <w:rsid w:val="00EE42B8"/>
    <w:rsid w:val="00EE4F66"/>
    <w:rsid w:val="00EE6315"/>
    <w:rsid w:val="00EE6FC1"/>
    <w:rsid w:val="00EE71A4"/>
    <w:rsid w:val="00EE7BC8"/>
    <w:rsid w:val="00EF039C"/>
    <w:rsid w:val="00EF044C"/>
    <w:rsid w:val="00EF0529"/>
    <w:rsid w:val="00EF069C"/>
    <w:rsid w:val="00EF0C07"/>
    <w:rsid w:val="00EF0E00"/>
    <w:rsid w:val="00EF1992"/>
    <w:rsid w:val="00EF1E82"/>
    <w:rsid w:val="00EF1EAE"/>
    <w:rsid w:val="00EF2B59"/>
    <w:rsid w:val="00EF3D69"/>
    <w:rsid w:val="00EF3DCF"/>
    <w:rsid w:val="00EF43D2"/>
    <w:rsid w:val="00EF4438"/>
    <w:rsid w:val="00EF4A0A"/>
    <w:rsid w:val="00EF5019"/>
    <w:rsid w:val="00EF5081"/>
    <w:rsid w:val="00EF5377"/>
    <w:rsid w:val="00EF585F"/>
    <w:rsid w:val="00EF591D"/>
    <w:rsid w:val="00EF7C44"/>
    <w:rsid w:val="00F003D4"/>
    <w:rsid w:val="00F0085F"/>
    <w:rsid w:val="00F01211"/>
    <w:rsid w:val="00F012A4"/>
    <w:rsid w:val="00F0303B"/>
    <w:rsid w:val="00F03551"/>
    <w:rsid w:val="00F053A8"/>
    <w:rsid w:val="00F06129"/>
    <w:rsid w:val="00F06B92"/>
    <w:rsid w:val="00F07DBE"/>
    <w:rsid w:val="00F07F61"/>
    <w:rsid w:val="00F07FC1"/>
    <w:rsid w:val="00F10807"/>
    <w:rsid w:val="00F10BB0"/>
    <w:rsid w:val="00F10EE1"/>
    <w:rsid w:val="00F11D6F"/>
    <w:rsid w:val="00F12338"/>
    <w:rsid w:val="00F12449"/>
    <w:rsid w:val="00F13293"/>
    <w:rsid w:val="00F132B5"/>
    <w:rsid w:val="00F132FE"/>
    <w:rsid w:val="00F14017"/>
    <w:rsid w:val="00F144DD"/>
    <w:rsid w:val="00F14CBB"/>
    <w:rsid w:val="00F1569D"/>
    <w:rsid w:val="00F1581C"/>
    <w:rsid w:val="00F16476"/>
    <w:rsid w:val="00F16BA8"/>
    <w:rsid w:val="00F16F5B"/>
    <w:rsid w:val="00F1720C"/>
    <w:rsid w:val="00F1739E"/>
    <w:rsid w:val="00F17D99"/>
    <w:rsid w:val="00F2023C"/>
    <w:rsid w:val="00F20E05"/>
    <w:rsid w:val="00F20E07"/>
    <w:rsid w:val="00F210CE"/>
    <w:rsid w:val="00F214B7"/>
    <w:rsid w:val="00F21C05"/>
    <w:rsid w:val="00F21E0F"/>
    <w:rsid w:val="00F22531"/>
    <w:rsid w:val="00F2293E"/>
    <w:rsid w:val="00F22A47"/>
    <w:rsid w:val="00F2335C"/>
    <w:rsid w:val="00F239D8"/>
    <w:rsid w:val="00F24107"/>
    <w:rsid w:val="00F24852"/>
    <w:rsid w:val="00F253A2"/>
    <w:rsid w:val="00F25425"/>
    <w:rsid w:val="00F25B84"/>
    <w:rsid w:val="00F26088"/>
    <w:rsid w:val="00F26B32"/>
    <w:rsid w:val="00F26D26"/>
    <w:rsid w:val="00F2790C"/>
    <w:rsid w:val="00F27F91"/>
    <w:rsid w:val="00F3012B"/>
    <w:rsid w:val="00F3035F"/>
    <w:rsid w:val="00F31257"/>
    <w:rsid w:val="00F31276"/>
    <w:rsid w:val="00F31322"/>
    <w:rsid w:val="00F3163C"/>
    <w:rsid w:val="00F31F5A"/>
    <w:rsid w:val="00F32367"/>
    <w:rsid w:val="00F32DEC"/>
    <w:rsid w:val="00F32EDF"/>
    <w:rsid w:val="00F335BF"/>
    <w:rsid w:val="00F33F70"/>
    <w:rsid w:val="00F3455F"/>
    <w:rsid w:val="00F34FED"/>
    <w:rsid w:val="00F35573"/>
    <w:rsid w:val="00F35A5A"/>
    <w:rsid w:val="00F36760"/>
    <w:rsid w:val="00F36E9A"/>
    <w:rsid w:val="00F3700D"/>
    <w:rsid w:val="00F37379"/>
    <w:rsid w:val="00F37B38"/>
    <w:rsid w:val="00F41640"/>
    <w:rsid w:val="00F422D5"/>
    <w:rsid w:val="00F422FA"/>
    <w:rsid w:val="00F4299D"/>
    <w:rsid w:val="00F4327C"/>
    <w:rsid w:val="00F433BC"/>
    <w:rsid w:val="00F44014"/>
    <w:rsid w:val="00F44278"/>
    <w:rsid w:val="00F44861"/>
    <w:rsid w:val="00F452F7"/>
    <w:rsid w:val="00F455E2"/>
    <w:rsid w:val="00F47238"/>
    <w:rsid w:val="00F4727D"/>
    <w:rsid w:val="00F47921"/>
    <w:rsid w:val="00F50321"/>
    <w:rsid w:val="00F5070E"/>
    <w:rsid w:val="00F521DC"/>
    <w:rsid w:val="00F52D17"/>
    <w:rsid w:val="00F53121"/>
    <w:rsid w:val="00F53A10"/>
    <w:rsid w:val="00F53BB5"/>
    <w:rsid w:val="00F540BF"/>
    <w:rsid w:val="00F54100"/>
    <w:rsid w:val="00F570CA"/>
    <w:rsid w:val="00F57EFF"/>
    <w:rsid w:val="00F60091"/>
    <w:rsid w:val="00F602EC"/>
    <w:rsid w:val="00F606F3"/>
    <w:rsid w:val="00F61069"/>
    <w:rsid w:val="00F61153"/>
    <w:rsid w:val="00F61DAC"/>
    <w:rsid w:val="00F6219F"/>
    <w:rsid w:val="00F62550"/>
    <w:rsid w:val="00F62845"/>
    <w:rsid w:val="00F62B7D"/>
    <w:rsid w:val="00F6323A"/>
    <w:rsid w:val="00F633E2"/>
    <w:rsid w:val="00F63543"/>
    <w:rsid w:val="00F63B68"/>
    <w:rsid w:val="00F641FD"/>
    <w:rsid w:val="00F6474E"/>
    <w:rsid w:val="00F65AB4"/>
    <w:rsid w:val="00F65CD5"/>
    <w:rsid w:val="00F66123"/>
    <w:rsid w:val="00F66E39"/>
    <w:rsid w:val="00F67B12"/>
    <w:rsid w:val="00F67C79"/>
    <w:rsid w:val="00F67DAB"/>
    <w:rsid w:val="00F70133"/>
    <w:rsid w:val="00F70454"/>
    <w:rsid w:val="00F7079B"/>
    <w:rsid w:val="00F71679"/>
    <w:rsid w:val="00F71FFD"/>
    <w:rsid w:val="00F72007"/>
    <w:rsid w:val="00F72698"/>
    <w:rsid w:val="00F72BBD"/>
    <w:rsid w:val="00F72CD6"/>
    <w:rsid w:val="00F72F81"/>
    <w:rsid w:val="00F72FE6"/>
    <w:rsid w:val="00F75645"/>
    <w:rsid w:val="00F75985"/>
    <w:rsid w:val="00F7613A"/>
    <w:rsid w:val="00F762CC"/>
    <w:rsid w:val="00F76534"/>
    <w:rsid w:val="00F7672C"/>
    <w:rsid w:val="00F7686B"/>
    <w:rsid w:val="00F768CC"/>
    <w:rsid w:val="00F76B09"/>
    <w:rsid w:val="00F7710F"/>
    <w:rsid w:val="00F80026"/>
    <w:rsid w:val="00F8043E"/>
    <w:rsid w:val="00F8058F"/>
    <w:rsid w:val="00F80B03"/>
    <w:rsid w:val="00F80B76"/>
    <w:rsid w:val="00F8173F"/>
    <w:rsid w:val="00F8250A"/>
    <w:rsid w:val="00F82C0D"/>
    <w:rsid w:val="00F82CA3"/>
    <w:rsid w:val="00F8361E"/>
    <w:rsid w:val="00F8398A"/>
    <w:rsid w:val="00F83B62"/>
    <w:rsid w:val="00F84740"/>
    <w:rsid w:val="00F849A0"/>
    <w:rsid w:val="00F869C0"/>
    <w:rsid w:val="00F86A4E"/>
    <w:rsid w:val="00F87A0A"/>
    <w:rsid w:val="00F87B66"/>
    <w:rsid w:val="00F87D25"/>
    <w:rsid w:val="00F91A25"/>
    <w:rsid w:val="00F9206B"/>
    <w:rsid w:val="00F92AF5"/>
    <w:rsid w:val="00F9309E"/>
    <w:rsid w:val="00F93717"/>
    <w:rsid w:val="00F93F6C"/>
    <w:rsid w:val="00F9457B"/>
    <w:rsid w:val="00F94923"/>
    <w:rsid w:val="00F95E17"/>
    <w:rsid w:val="00F95FF6"/>
    <w:rsid w:val="00F966D1"/>
    <w:rsid w:val="00F97210"/>
    <w:rsid w:val="00F97357"/>
    <w:rsid w:val="00F978CF"/>
    <w:rsid w:val="00F97BEC"/>
    <w:rsid w:val="00F97F20"/>
    <w:rsid w:val="00FA0245"/>
    <w:rsid w:val="00FA07E1"/>
    <w:rsid w:val="00FA17EC"/>
    <w:rsid w:val="00FA1E34"/>
    <w:rsid w:val="00FA21F4"/>
    <w:rsid w:val="00FA2545"/>
    <w:rsid w:val="00FA2B1D"/>
    <w:rsid w:val="00FA2D1A"/>
    <w:rsid w:val="00FA2DB3"/>
    <w:rsid w:val="00FA307E"/>
    <w:rsid w:val="00FA4C28"/>
    <w:rsid w:val="00FA4E1D"/>
    <w:rsid w:val="00FA5151"/>
    <w:rsid w:val="00FA543A"/>
    <w:rsid w:val="00FA6013"/>
    <w:rsid w:val="00FA636A"/>
    <w:rsid w:val="00FA6F2C"/>
    <w:rsid w:val="00FA723E"/>
    <w:rsid w:val="00FA7654"/>
    <w:rsid w:val="00FA7908"/>
    <w:rsid w:val="00FB089B"/>
    <w:rsid w:val="00FB0C70"/>
    <w:rsid w:val="00FB172D"/>
    <w:rsid w:val="00FB1ABF"/>
    <w:rsid w:val="00FB1B6D"/>
    <w:rsid w:val="00FB33EE"/>
    <w:rsid w:val="00FB351C"/>
    <w:rsid w:val="00FB503C"/>
    <w:rsid w:val="00FB5236"/>
    <w:rsid w:val="00FB5657"/>
    <w:rsid w:val="00FB56C5"/>
    <w:rsid w:val="00FB5E54"/>
    <w:rsid w:val="00FB5FD7"/>
    <w:rsid w:val="00FB5FE0"/>
    <w:rsid w:val="00FB6D70"/>
    <w:rsid w:val="00FB7B41"/>
    <w:rsid w:val="00FC02BD"/>
    <w:rsid w:val="00FC093A"/>
    <w:rsid w:val="00FC18F0"/>
    <w:rsid w:val="00FC21AB"/>
    <w:rsid w:val="00FC336D"/>
    <w:rsid w:val="00FC3575"/>
    <w:rsid w:val="00FC3D9B"/>
    <w:rsid w:val="00FC3F04"/>
    <w:rsid w:val="00FC405B"/>
    <w:rsid w:val="00FC4BE8"/>
    <w:rsid w:val="00FC5802"/>
    <w:rsid w:val="00FC5D40"/>
    <w:rsid w:val="00FC5FDF"/>
    <w:rsid w:val="00FC62F0"/>
    <w:rsid w:val="00FC6475"/>
    <w:rsid w:val="00FC6B1B"/>
    <w:rsid w:val="00FC724D"/>
    <w:rsid w:val="00FC72F5"/>
    <w:rsid w:val="00FC7990"/>
    <w:rsid w:val="00FC7FD2"/>
    <w:rsid w:val="00FD0B9B"/>
    <w:rsid w:val="00FD1466"/>
    <w:rsid w:val="00FD15F6"/>
    <w:rsid w:val="00FD17D1"/>
    <w:rsid w:val="00FD1877"/>
    <w:rsid w:val="00FD1B4D"/>
    <w:rsid w:val="00FD2069"/>
    <w:rsid w:val="00FD24B1"/>
    <w:rsid w:val="00FD24C7"/>
    <w:rsid w:val="00FD25C6"/>
    <w:rsid w:val="00FD39B8"/>
    <w:rsid w:val="00FD3AE1"/>
    <w:rsid w:val="00FD3AE6"/>
    <w:rsid w:val="00FD55F1"/>
    <w:rsid w:val="00FD5A6A"/>
    <w:rsid w:val="00FD638D"/>
    <w:rsid w:val="00FD6BA0"/>
    <w:rsid w:val="00FD6C62"/>
    <w:rsid w:val="00FD7177"/>
    <w:rsid w:val="00FD7AF3"/>
    <w:rsid w:val="00FD7EFF"/>
    <w:rsid w:val="00FE00FB"/>
    <w:rsid w:val="00FE0937"/>
    <w:rsid w:val="00FE104C"/>
    <w:rsid w:val="00FE15D2"/>
    <w:rsid w:val="00FE1F6A"/>
    <w:rsid w:val="00FE2676"/>
    <w:rsid w:val="00FE26C3"/>
    <w:rsid w:val="00FE35CC"/>
    <w:rsid w:val="00FE3AAB"/>
    <w:rsid w:val="00FE3E85"/>
    <w:rsid w:val="00FE425A"/>
    <w:rsid w:val="00FE4A06"/>
    <w:rsid w:val="00FE4CB7"/>
    <w:rsid w:val="00FE4D93"/>
    <w:rsid w:val="00FE6DC0"/>
    <w:rsid w:val="00FE7591"/>
    <w:rsid w:val="00FE772A"/>
    <w:rsid w:val="00FE7976"/>
    <w:rsid w:val="00FF03D9"/>
    <w:rsid w:val="00FF0679"/>
    <w:rsid w:val="00FF2355"/>
    <w:rsid w:val="00FF2704"/>
    <w:rsid w:val="00FF3387"/>
    <w:rsid w:val="00FF37E4"/>
    <w:rsid w:val="00FF3B27"/>
    <w:rsid w:val="00FF3BEE"/>
    <w:rsid w:val="00FF4072"/>
    <w:rsid w:val="00FF45C4"/>
    <w:rsid w:val="00FF5721"/>
    <w:rsid w:val="00FF633B"/>
    <w:rsid w:val="00FF6F7A"/>
    <w:rsid w:val="00FF71DA"/>
    <w:rsid w:val="00FF720E"/>
    <w:rsid w:val="00FF7780"/>
    <w:rsid w:val="00FF7AA8"/>
    <w:rsid w:val="00FF7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3,4"/>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4DF"/>
    <w:rPr>
      <w:sz w:val="24"/>
      <w:szCs w:val="24"/>
    </w:rPr>
  </w:style>
  <w:style w:type="paragraph" w:styleId="Heading1">
    <w:name w:val="heading 1"/>
    <w:basedOn w:val="Normal"/>
    <w:next w:val="Normal"/>
    <w:link w:val="Heading1Char"/>
    <w:qFormat/>
    <w:rsid w:val="001501EF"/>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635968"/>
    <w:pPr>
      <w:keepNext/>
      <w:numPr>
        <w:ilvl w:val="1"/>
        <w:numId w:val="1"/>
      </w:numPr>
      <w:spacing w:before="240" w:after="60"/>
      <w:ind w:left="1080" w:hanging="360"/>
      <w:outlineLvl w:val="1"/>
    </w:pPr>
    <w:rPr>
      <w:rFonts w:cs="Arial"/>
      <w:b/>
      <w:bCs/>
      <w:i/>
      <w:iCs/>
      <w:sz w:val="28"/>
      <w:szCs w:val="28"/>
    </w:rPr>
  </w:style>
  <w:style w:type="paragraph" w:styleId="Heading3">
    <w:name w:val="heading 3"/>
    <w:basedOn w:val="Normal"/>
    <w:next w:val="Normal"/>
    <w:qFormat/>
    <w:rsid w:val="001501EF"/>
    <w:pPr>
      <w:keepNext/>
      <w:numPr>
        <w:ilvl w:val="2"/>
        <w:numId w:val="1"/>
      </w:numPr>
      <w:spacing w:before="240" w:after="60"/>
      <w:ind w:left="1800" w:hanging="360"/>
      <w:outlineLvl w:val="2"/>
    </w:pPr>
    <w:rPr>
      <w:rFonts w:cs="Arial"/>
      <w:b/>
      <w:bCs/>
      <w:sz w:val="26"/>
      <w:szCs w:val="26"/>
    </w:rPr>
  </w:style>
  <w:style w:type="paragraph" w:styleId="Heading4">
    <w:name w:val="heading 4"/>
    <w:basedOn w:val="Normal"/>
    <w:next w:val="Normal"/>
    <w:qFormat/>
    <w:rsid w:val="001501EF"/>
    <w:pPr>
      <w:keepNext/>
      <w:numPr>
        <w:ilvl w:val="3"/>
        <w:numId w:val="1"/>
      </w:numPr>
      <w:spacing w:before="240" w:after="60"/>
      <w:ind w:left="2520" w:hanging="360"/>
      <w:outlineLvl w:val="3"/>
    </w:pPr>
    <w:rPr>
      <w:b/>
      <w:bCs/>
      <w:szCs w:val="28"/>
    </w:rPr>
  </w:style>
  <w:style w:type="paragraph" w:styleId="Heading5">
    <w:name w:val="heading 5"/>
    <w:basedOn w:val="Normal"/>
    <w:next w:val="Normal"/>
    <w:qFormat/>
    <w:rsid w:val="00635968"/>
    <w:pPr>
      <w:numPr>
        <w:ilvl w:val="4"/>
        <w:numId w:val="1"/>
      </w:numPr>
      <w:spacing w:before="240" w:after="60"/>
      <w:ind w:left="3240" w:hanging="360"/>
      <w:outlineLvl w:val="4"/>
    </w:pPr>
    <w:rPr>
      <w:b/>
      <w:bCs/>
      <w:i/>
      <w:iCs/>
      <w:szCs w:val="26"/>
    </w:rPr>
  </w:style>
  <w:style w:type="paragraph" w:styleId="Heading6">
    <w:name w:val="heading 6"/>
    <w:basedOn w:val="Normal"/>
    <w:next w:val="Normal"/>
    <w:qFormat/>
    <w:rsid w:val="00F03551"/>
    <w:pPr>
      <w:numPr>
        <w:ilvl w:val="5"/>
        <w:numId w:val="1"/>
      </w:numPr>
      <w:spacing w:before="120" w:after="120"/>
      <w:ind w:left="3960" w:hanging="360"/>
      <w:outlineLvl w:val="5"/>
    </w:pPr>
    <w:rPr>
      <w:b/>
      <w:bCs/>
      <w:sz w:val="22"/>
      <w:szCs w:val="22"/>
    </w:rPr>
  </w:style>
  <w:style w:type="paragraph" w:styleId="Heading7">
    <w:name w:val="heading 7"/>
    <w:basedOn w:val="Normal"/>
    <w:next w:val="Normal"/>
    <w:qFormat/>
    <w:rsid w:val="00C528CB"/>
    <w:pPr>
      <w:numPr>
        <w:ilvl w:val="6"/>
        <w:numId w:val="1"/>
      </w:numPr>
      <w:spacing w:before="120" w:after="120"/>
      <w:outlineLvl w:val="6"/>
    </w:pPr>
    <w:rPr>
      <w:b/>
    </w:rPr>
  </w:style>
  <w:style w:type="paragraph" w:styleId="Heading8">
    <w:name w:val="heading 8"/>
    <w:basedOn w:val="Normal"/>
    <w:next w:val="Normal"/>
    <w:qFormat/>
    <w:rsid w:val="00BD0FCC"/>
    <w:pPr>
      <w:numPr>
        <w:ilvl w:val="7"/>
        <w:numId w:val="1"/>
      </w:numPr>
      <w:spacing w:before="240" w:after="60"/>
      <w:outlineLvl w:val="7"/>
    </w:pPr>
    <w:rPr>
      <w:i/>
      <w:iCs/>
    </w:rPr>
  </w:style>
  <w:style w:type="paragraph" w:styleId="Heading9">
    <w:name w:val="heading 9"/>
    <w:basedOn w:val="Normal"/>
    <w:next w:val="Normal"/>
    <w:qFormat/>
    <w:rsid w:val="00BD0FC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2679"/>
    <w:pPr>
      <w:tabs>
        <w:tab w:val="center" w:pos="4320"/>
        <w:tab w:val="right" w:pos="8640"/>
      </w:tabs>
    </w:pPr>
  </w:style>
  <w:style w:type="character" w:styleId="PageNumber">
    <w:name w:val="page number"/>
    <w:basedOn w:val="DefaultParagraphFont"/>
    <w:rsid w:val="00C12679"/>
  </w:style>
  <w:style w:type="paragraph" w:styleId="Header">
    <w:name w:val="header"/>
    <w:basedOn w:val="Normal"/>
    <w:rsid w:val="00D43F82"/>
    <w:pPr>
      <w:tabs>
        <w:tab w:val="center" w:pos="4320"/>
        <w:tab w:val="right" w:pos="8640"/>
      </w:tabs>
    </w:pPr>
  </w:style>
  <w:style w:type="character" w:styleId="CommentReference">
    <w:name w:val="annotation reference"/>
    <w:basedOn w:val="DefaultParagraphFont"/>
    <w:rsid w:val="002977F8"/>
    <w:rPr>
      <w:sz w:val="16"/>
      <w:szCs w:val="16"/>
    </w:rPr>
  </w:style>
  <w:style w:type="paragraph" w:styleId="CommentText">
    <w:name w:val="annotation text"/>
    <w:basedOn w:val="Normal"/>
    <w:rsid w:val="002977F8"/>
    <w:rPr>
      <w:sz w:val="20"/>
      <w:szCs w:val="20"/>
    </w:rPr>
  </w:style>
  <w:style w:type="paragraph" w:styleId="CommentSubject">
    <w:name w:val="annotation subject"/>
    <w:basedOn w:val="CommentText"/>
    <w:next w:val="CommentText"/>
    <w:rsid w:val="002977F8"/>
    <w:rPr>
      <w:b/>
      <w:bCs/>
    </w:rPr>
  </w:style>
  <w:style w:type="paragraph" w:styleId="BalloonText">
    <w:name w:val="Balloon Text"/>
    <w:basedOn w:val="Normal"/>
    <w:semiHidden/>
    <w:rsid w:val="002977F8"/>
    <w:rPr>
      <w:rFonts w:ascii="Tahoma" w:hAnsi="Tahoma" w:cs="Tahoma"/>
      <w:sz w:val="16"/>
      <w:szCs w:val="16"/>
    </w:rPr>
  </w:style>
  <w:style w:type="paragraph" w:styleId="BodyText">
    <w:name w:val="Body Text"/>
    <w:basedOn w:val="Normal"/>
    <w:link w:val="BodyTextChar"/>
    <w:rsid w:val="00F03551"/>
    <w:pPr>
      <w:spacing w:after="120"/>
      <w:ind w:firstLine="720"/>
      <w:jc w:val="both"/>
    </w:pPr>
  </w:style>
  <w:style w:type="paragraph" w:styleId="FootnoteText">
    <w:name w:val="footnote text"/>
    <w:basedOn w:val="Normal"/>
    <w:semiHidden/>
    <w:rsid w:val="00E31DDD"/>
    <w:rPr>
      <w:sz w:val="20"/>
      <w:szCs w:val="20"/>
    </w:rPr>
  </w:style>
  <w:style w:type="character" w:styleId="FootnoteReference">
    <w:name w:val="footnote reference"/>
    <w:basedOn w:val="DefaultParagraphFont"/>
    <w:semiHidden/>
    <w:rsid w:val="00E31DDD"/>
    <w:rPr>
      <w:vertAlign w:val="superscript"/>
    </w:rPr>
  </w:style>
  <w:style w:type="character" w:styleId="Hyperlink">
    <w:name w:val="Hyperlink"/>
    <w:basedOn w:val="DefaultParagraphFont"/>
    <w:rsid w:val="00FD7177"/>
    <w:rPr>
      <w:color w:val="0000FF"/>
      <w:u w:val="single"/>
    </w:rPr>
  </w:style>
  <w:style w:type="paragraph" w:styleId="BlockText">
    <w:name w:val="Block Text"/>
    <w:basedOn w:val="Normal"/>
    <w:rsid w:val="00F97F20"/>
    <w:pPr>
      <w:spacing w:after="120"/>
      <w:ind w:left="1440" w:right="1440"/>
    </w:pPr>
  </w:style>
  <w:style w:type="table" w:styleId="TableGrid">
    <w:name w:val="Table Grid"/>
    <w:basedOn w:val="TableNormal"/>
    <w:rsid w:val="00133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link w:val="bodyChar"/>
    <w:rsid w:val="008E427F"/>
    <w:pPr>
      <w:widowControl w:val="0"/>
      <w:autoSpaceDE w:val="0"/>
      <w:autoSpaceDN w:val="0"/>
      <w:adjustRightInd w:val="0"/>
      <w:spacing w:after="240"/>
      <w:ind w:firstLine="720"/>
    </w:pPr>
    <w:rPr>
      <w:rFonts w:cs="Mangal"/>
    </w:rPr>
  </w:style>
  <w:style w:type="paragraph" w:styleId="BodyTextIndent">
    <w:name w:val="Body Text Indent"/>
    <w:basedOn w:val="Normal"/>
    <w:rsid w:val="006E1F98"/>
    <w:pPr>
      <w:spacing w:after="120"/>
      <w:ind w:left="360"/>
    </w:pPr>
  </w:style>
  <w:style w:type="paragraph" w:customStyle="1" w:styleId="AAG-SUM-INDENT1">
    <w:name w:val="AAG-SUM-INDENT1"/>
    <w:basedOn w:val="Normal"/>
    <w:next w:val="Normal"/>
    <w:rsid w:val="006E1F98"/>
    <w:pPr>
      <w:numPr>
        <w:numId w:val="3"/>
      </w:numPr>
    </w:pPr>
    <w:rPr>
      <w:sz w:val="28"/>
    </w:rPr>
  </w:style>
  <w:style w:type="character" w:customStyle="1" w:styleId="bodyCharChar">
    <w:name w:val="body Char Char"/>
    <w:basedOn w:val="DefaultParagraphFont"/>
    <w:rsid w:val="006E1F98"/>
    <w:rPr>
      <w:rFonts w:cs="Mangal"/>
      <w:sz w:val="24"/>
      <w:szCs w:val="24"/>
      <w:lang w:val="en-US" w:eastAsia="en-US" w:bidi="ar-SA"/>
    </w:rPr>
  </w:style>
  <w:style w:type="paragraph" w:customStyle="1" w:styleId="subhead">
    <w:name w:val="subhead"/>
    <w:basedOn w:val="Normal"/>
    <w:next w:val="Normal"/>
    <w:rsid w:val="006E1F98"/>
    <w:pPr>
      <w:keepNext/>
      <w:widowControl w:val="0"/>
      <w:autoSpaceDE w:val="0"/>
      <w:autoSpaceDN w:val="0"/>
      <w:adjustRightInd w:val="0"/>
      <w:spacing w:after="240"/>
      <w:ind w:firstLine="720"/>
      <w:jc w:val="both"/>
    </w:pPr>
    <w:rPr>
      <w:b/>
      <w:bCs/>
    </w:rPr>
  </w:style>
  <w:style w:type="paragraph" w:customStyle="1" w:styleId="level1">
    <w:name w:val="_level1"/>
    <w:basedOn w:val="Normal"/>
    <w:rsid w:val="00145457"/>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440" w:hanging="360"/>
      <w:outlineLvl w:val="0"/>
    </w:pPr>
  </w:style>
  <w:style w:type="paragraph" w:styleId="PlainText">
    <w:name w:val="Plain Text"/>
    <w:basedOn w:val="Normal"/>
    <w:rsid w:val="006E1F98"/>
    <w:rPr>
      <w:rFonts w:ascii="Courier New" w:hAnsi="Courier New"/>
      <w:sz w:val="20"/>
      <w:szCs w:val="20"/>
    </w:rPr>
  </w:style>
  <w:style w:type="paragraph" w:customStyle="1" w:styleId="Style0">
    <w:name w:val="Style0"/>
    <w:rsid w:val="006E1F98"/>
    <w:rPr>
      <w:rFonts w:ascii="Arial" w:hAnsi="Arial"/>
      <w:snapToGrid w:val="0"/>
      <w:sz w:val="24"/>
    </w:rPr>
  </w:style>
  <w:style w:type="paragraph" w:styleId="NormalWeb">
    <w:name w:val="Normal (Web)"/>
    <w:basedOn w:val="Normal"/>
    <w:uiPriority w:val="99"/>
    <w:rsid w:val="00145457"/>
    <w:pPr>
      <w:spacing w:before="100" w:beforeAutospacing="1" w:after="100" w:afterAutospacing="1"/>
      <w:ind w:firstLine="240"/>
    </w:pPr>
  </w:style>
  <w:style w:type="paragraph" w:styleId="HTMLPreformatted">
    <w:name w:val="HTML Preformatted"/>
    <w:basedOn w:val="Normal"/>
    <w:rsid w:val="00A9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96547"/>
    <w:rPr>
      <w:b/>
      <w:bCs/>
    </w:rPr>
  </w:style>
  <w:style w:type="paragraph" w:styleId="TOC2">
    <w:name w:val="toc 2"/>
    <w:basedOn w:val="Normal"/>
    <w:next w:val="Normal"/>
    <w:autoRedefine/>
    <w:semiHidden/>
    <w:rsid w:val="00CC0A75"/>
    <w:pPr>
      <w:ind w:left="240"/>
    </w:pPr>
    <w:rPr>
      <w:b/>
      <w:bCs/>
      <w:smallCaps/>
      <w:sz w:val="20"/>
      <w:szCs w:val="20"/>
    </w:rPr>
  </w:style>
  <w:style w:type="paragraph" w:styleId="TOC1">
    <w:name w:val="toc 1"/>
    <w:basedOn w:val="Normal"/>
    <w:next w:val="Normal"/>
    <w:autoRedefine/>
    <w:semiHidden/>
    <w:rsid w:val="007A5641"/>
    <w:pPr>
      <w:tabs>
        <w:tab w:val="left" w:pos="0"/>
        <w:tab w:val="left" w:pos="540"/>
        <w:tab w:val="right" w:leader="dot" w:pos="10070"/>
      </w:tabs>
      <w:spacing w:before="120" w:after="120"/>
      <w:jc w:val="center"/>
    </w:pPr>
    <w:rPr>
      <w:b/>
      <w:bCs/>
      <w:caps/>
      <w:noProof/>
      <w:sz w:val="26"/>
      <w:szCs w:val="26"/>
    </w:rPr>
  </w:style>
  <w:style w:type="paragraph" w:styleId="TOC3">
    <w:name w:val="toc 3"/>
    <w:basedOn w:val="Normal"/>
    <w:next w:val="Normal"/>
    <w:autoRedefine/>
    <w:semiHidden/>
    <w:rsid w:val="006912E3"/>
    <w:pPr>
      <w:ind w:left="480"/>
    </w:pPr>
    <w:rPr>
      <w:i/>
      <w:iCs/>
      <w:sz w:val="20"/>
      <w:szCs w:val="20"/>
    </w:rPr>
  </w:style>
  <w:style w:type="paragraph" w:styleId="TOC4">
    <w:name w:val="toc 4"/>
    <w:basedOn w:val="Normal"/>
    <w:next w:val="Normal"/>
    <w:autoRedefine/>
    <w:semiHidden/>
    <w:rsid w:val="006912E3"/>
    <w:pPr>
      <w:ind w:left="720"/>
    </w:pPr>
    <w:rPr>
      <w:sz w:val="18"/>
      <w:szCs w:val="18"/>
    </w:rPr>
  </w:style>
  <w:style w:type="paragraph" w:styleId="DocumentMap">
    <w:name w:val="Document Map"/>
    <w:basedOn w:val="Normal"/>
    <w:semiHidden/>
    <w:rsid w:val="00424948"/>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2F0934"/>
    <w:rPr>
      <w:rFonts w:cs="Arial"/>
      <w:b/>
      <w:bCs/>
      <w:kern w:val="32"/>
      <w:sz w:val="28"/>
      <w:szCs w:val="32"/>
      <w:lang w:val="en-US" w:eastAsia="en-US" w:bidi="ar-SA"/>
    </w:rPr>
  </w:style>
  <w:style w:type="paragraph" w:styleId="TOC5">
    <w:name w:val="toc 5"/>
    <w:basedOn w:val="Normal"/>
    <w:next w:val="Normal"/>
    <w:autoRedefine/>
    <w:semiHidden/>
    <w:rsid w:val="00745E32"/>
    <w:pPr>
      <w:ind w:left="960"/>
    </w:pPr>
    <w:rPr>
      <w:sz w:val="18"/>
      <w:szCs w:val="18"/>
    </w:rPr>
  </w:style>
  <w:style w:type="paragraph" w:styleId="TOC6">
    <w:name w:val="toc 6"/>
    <w:basedOn w:val="Normal"/>
    <w:next w:val="Normal"/>
    <w:autoRedefine/>
    <w:semiHidden/>
    <w:rsid w:val="00745E32"/>
    <w:pPr>
      <w:ind w:left="1200"/>
    </w:pPr>
    <w:rPr>
      <w:sz w:val="18"/>
      <w:szCs w:val="18"/>
    </w:rPr>
  </w:style>
  <w:style w:type="paragraph" w:styleId="TOC7">
    <w:name w:val="toc 7"/>
    <w:basedOn w:val="Normal"/>
    <w:next w:val="Normal"/>
    <w:autoRedefine/>
    <w:semiHidden/>
    <w:rsid w:val="00745E32"/>
    <w:pPr>
      <w:ind w:left="1440"/>
    </w:pPr>
    <w:rPr>
      <w:sz w:val="18"/>
      <w:szCs w:val="18"/>
    </w:rPr>
  </w:style>
  <w:style w:type="paragraph" w:styleId="TOC8">
    <w:name w:val="toc 8"/>
    <w:basedOn w:val="Normal"/>
    <w:next w:val="Normal"/>
    <w:autoRedefine/>
    <w:semiHidden/>
    <w:rsid w:val="00745E32"/>
    <w:pPr>
      <w:ind w:left="1680"/>
    </w:pPr>
    <w:rPr>
      <w:sz w:val="18"/>
      <w:szCs w:val="18"/>
    </w:rPr>
  </w:style>
  <w:style w:type="paragraph" w:styleId="TOC9">
    <w:name w:val="toc 9"/>
    <w:basedOn w:val="Normal"/>
    <w:next w:val="Normal"/>
    <w:autoRedefine/>
    <w:semiHidden/>
    <w:rsid w:val="00745E32"/>
    <w:pPr>
      <w:ind w:left="1920"/>
    </w:pPr>
    <w:rPr>
      <w:sz w:val="18"/>
      <w:szCs w:val="18"/>
    </w:rPr>
  </w:style>
  <w:style w:type="character" w:customStyle="1" w:styleId="Heading2Char">
    <w:name w:val="Heading 2 Char"/>
    <w:basedOn w:val="DefaultParagraphFont"/>
    <w:link w:val="Heading2"/>
    <w:rsid w:val="00A6102A"/>
    <w:rPr>
      <w:rFonts w:cs="Arial"/>
      <w:b/>
      <w:bCs/>
      <w:i/>
      <w:iCs/>
      <w:sz w:val="28"/>
      <w:szCs w:val="28"/>
      <w:lang w:val="en-US" w:eastAsia="en-US" w:bidi="ar-SA"/>
    </w:rPr>
  </w:style>
  <w:style w:type="character" w:styleId="Emphasis">
    <w:name w:val="Emphasis"/>
    <w:basedOn w:val="DefaultParagraphFont"/>
    <w:qFormat/>
    <w:rsid w:val="00D541CB"/>
    <w:rPr>
      <w:i/>
      <w:iCs/>
    </w:rPr>
  </w:style>
  <w:style w:type="paragraph" w:customStyle="1" w:styleId="Heading1justified">
    <w:name w:val="Heading 1+ justified"/>
    <w:basedOn w:val="Heading1"/>
    <w:rsid w:val="0086366B"/>
  </w:style>
  <w:style w:type="paragraph" w:customStyle="1" w:styleId="Heading1Complex">
    <w:name w:val="Heading 1 (Complex)"/>
    <w:basedOn w:val="Heading1justified"/>
    <w:rsid w:val="00287E57"/>
  </w:style>
  <w:style w:type="paragraph" w:customStyle="1" w:styleId="Heading1Complex0">
    <w:name w:val="Heading 1 + (Complex)"/>
    <w:aliases w:val="14 pt"/>
    <w:basedOn w:val="Heading1Complex"/>
    <w:rsid w:val="00287E57"/>
  </w:style>
  <w:style w:type="paragraph" w:styleId="NormalIndent">
    <w:name w:val="Normal Indent"/>
    <w:basedOn w:val="Normal"/>
    <w:rsid w:val="007A4CB8"/>
    <w:pPr>
      <w:ind w:left="720"/>
    </w:pPr>
  </w:style>
  <w:style w:type="paragraph" w:customStyle="1" w:styleId="xl19">
    <w:name w:val="xl19"/>
    <w:basedOn w:val="Normal"/>
    <w:rsid w:val="00E92D1E"/>
    <w:pPr>
      <w:spacing w:before="100" w:after="100"/>
    </w:pPr>
    <w:rPr>
      <w:rFonts w:eastAsia="Arial Unicode MS"/>
      <w:szCs w:val="20"/>
    </w:rPr>
  </w:style>
  <w:style w:type="paragraph" w:customStyle="1" w:styleId="xl27">
    <w:name w:val="xl27"/>
    <w:basedOn w:val="Normal"/>
    <w:rsid w:val="00E92D1E"/>
    <w:pPr>
      <w:spacing w:before="100" w:after="100"/>
    </w:pPr>
    <w:rPr>
      <w:rFonts w:ascii="Arial" w:eastAsia="Arial Unicode MS" w:hAnsi="Arial"/>
      <w:b/>
      <w:szCs w:val="20"/>
    </w:rPr>
  </w:style>
  <w:style w:type="paragraph" w:customStyle="1" w:styleId="Default">
    <w:name w:val="Default"/>
    <w:rsid w:val="008064DF"/>
    <w:pPr>
      <w:widowControl w:val="0"/>
      <w:autoSpaceDE w:val="0"/>
      <w:autoSpaceDN w:val="0"/>
      <w:adjustRightInd w:val="0"/>
    </w:pPr>
    <w:rPr>
      <w:rFonts w:ascii="Arial" w:hAnsi="Arial" w:cs="Arial"/>
      <w:color w:val="000000"/>
      <w:sz w:val="24"/>
      <w:szCs w:val="24"/>
    </w:rPr>
  </w:style>
  <w:style w:type="paragraph" w:customStyle="1" w:styleId="CM63">
    <w:name w:val="CM63"/>
    <w:basedOn w:val="Default"/>
    <w:next w:val="Default"/>
    <w:rsid w:val="008064DF"/>
    <w:pPr>
      <w:spacing w:after="123"/>
    </w:pPr>
    <w:rPr>
      <w:rFonts w:cs="Times New Roman"/>
      <w:color w:val="auto"/>
    </w:rPr>
  </w:style>
  <w:style w:type="paragraph" w:customStyle="1" w:styleId="CM64">
    <w:name w:val="CM64"/>
    <w:basedOn w:val="Default"/>
    <w:next w:val="Default"/>
    <w:rsid w:val="008064DF"/>
    <w:pPr>
      <w:spacing w:after="258"/>
    </w:pPr>
    <w:rPr>
      <w:rFonts w:cs="Times New Roman"/>
      <w:color w:val="auto"/>
    </w:rPr>
  </w:style>
  <w:style w:type="paragraph" w:customStyle="1" w:styleId="CM67">
    <w:name w:val="CM67"/>
    <w:basedOn w:val="Default"/>
    <w:next w:val="Default"/>
    <w:rsid w:val="008064DF"/>
    <w:pPr>
      <w:spacing w:after="555"/>
    </w:pPr>
    <w:rPr>
      <w:rFonts w:cs="Times New Roman"/>
      <w:color w:val="auto"/>
    </w:rPr>
  </w:style>
  <w:style w:type="paragraph" w:customStyle="1" w:styleId="CM69">
    <w:name w:val="CM69"/>
    <w:basedOn w:val="Default"/>
    <w:next w:val="Default"/>
    <w:rsid w:val="008064DF"/>
    <w:pPr>
      <w:spacing w:after="338"/>
    </w:pPr>
    <w:rPr>
      <w:rFonts w:cs="Times New Roman"/>
      <w:color w:val="auto"/>
    </w:rPr>
  </w:style>
  <w:style w:type="paragraph" w:customStyle="1" w:styleId="CM39">
    <w:name w:val="CM39"/>
    <w:basedOn w:val="Default"/>
    <w:next w:val="Default"/>
    <w:rsid w:val="008064DF"/>
    <w:rPr>
      <w:rFonts w:cs="Times New Roman"/>
      <w:color w:val="auto"/>
    </w:rPr>
  </w:style>
  <w:style w:type="paragraph" w:customStyle="1" w:styleId="Style1">
    <w:name w:val="Style1"/>
    <w:basedOn w:val="FootnoteText"/>
    <w:rsid w:val="002910B4"/>
    <w:rPr>
      <w:rFonts w:ascii="Garamond" w:hAnsi="Garamond"/>
      <w:sz w:val="27"/>
      <w:szCs w:val="27"/>
      <w:u w:val="single"/>
    </w:rPr>
  </w:style>
  <w:style w:type="paragraph" w:customStyle="1" w:styleId="Style2">
    <w:name w:val="Style2"/>
    <w:basedOn w:val="FootnoteText"/>
    <w:rsid w:val="002910B4"/>
    <w:rPr>
      <w:rFonts w:ascii="Garamond" w:hAnsi="Garamond"/>
      <w:u w:val="single"/>
    </w:rPr>
  </w:style>
  <w:style w:type="character" w:customStyle="1" w:styleId="BodyTextChar">
    <w:name w:val="Body Text Char"/>
    <w:basedOn w:val="DefaultParagraphFont"/>
    <w:link w:val="BodyText"/>
    <w:rsid w:val="00E84647"/>
    <w:rPr>
      <w:sz w:val="24"/>
      <w:szCs w:val="24"/>
      <w:lang w:val="en-US" w:eastAsia="en-US" w:bidi="ar-SA"/>
    </w:rPr>
  </w:style>
  <w:style w:type="character" w:customStyle="1" w:styleId="bodyChar">
    <w:name w:val="body Char"/>
    <w:basedOn w:val="DefaultParagraphFont"/>
    <w:link w:val="body"/>
    <w:rsid w:val="003C037D"/>
    <w:rPr>
      <w:rFonts w:cs="Mangal"/>
      <w:sz w:val="24"/>
      <w:szCs w:val="24"/>
      <w:lang w:val="en-US" w:eastAsia="en-US" w:bidi="ar-SA"/>
    </w:rPr>
  </w:style>
  <w:style w:type="paragraph" w:styleId="BodyText2">
    <w:name w:val="Body Text 2"/>
    <w:basedOn w:val="Normal"/>
    <w:rsid w:val="00E95FB4"/>
    <w:pPr>
      <w:spacing w:after="120" w:line="480" w:lineRule="auto"/>
    </w:pPr>
  </w:style>
  <w:style w:type="paragraph" w:styleId="Title">
    <w:name w:val="Title"/>
    <w:basedOn w:val="Normal"/>
    <w:link w:val="TitleChar"/>
    <w:qFormat/>
    <w:rsid w:val="00445A90"/>
    <w:pPr>
      <w:ind w:left="720"/>
      <w:jc w:val="center"/>
    </w:pPr>
    <w:rPr>
      <w:b/>
      <w:i/>
      <w:szCs w:val="20"/>
    </w:rPr>
  </w:style>
  <w:style w:type="paragraph" w:styleId="BodyTextFirstIndent">
    <w:name w:val="Body Text First Indent"/>
    <w:basedOn w:val="BodyText"/>
    <w:rsid w:val="001C1C81"/>
    <w:pPr>
      <w:ind w:firstLine="210"/>
      <w:jc w:val="left"/>
    </w:pPr>
  </w:style>
  <w:style w:type="paragraph" w:styleId="EndnoteText">
    <w:name w:val="endnote text"/>
    <w:basedOn w:val="Normal"/>
    <w:semiHidden/>
    <w:rsid w:val="0000074E"/>
    <w:rPr>
      <w:sz w:val="20"/>
      <w:szCs w:val="20"/>
    </w:rPr>
  </w:style>
  <w:style w:type="character" w:styleId="EndnoteReference">
    <w:name w:val="endnote reference"/>
    <w:basedOn w:val="DefaultParagraphFont"/>
    <w:semiHidden/>
    <w:rsid w:val="0000074E"/>
    <w:rPr>
      <w:vertAlign w:val="superscript"/>
    </w:rPr>
  </w:style>
  <w:style w:type="paragraph" w:customStyle="1" w:styleId="AGReportTitle">
    <w:name w:val="AG Report Title"/>
    <w:basedOn w:val="Normal"/>
    <w:next w:val="Normal"/>
    <w:rsid w:val="00207C64"/>
    <w:pPr>
      <w:autoSpaceDE w:val="0"/>
      <w:autoSpaceDN w:val="0"/>
      <w:adjustRightInd w:val="0"/>
    </w:pPr>
    <w:rPr>
      <w:rFonts w:ascii="Arial" w:hAnsi="Arial"/>
      <w:b/>
      <w:bCs/>
    </w:rPr>
  </w:style>
  <w:style w:type="paragraph" w:customStyle="1" w:styleId="Level10">
    <w:name w:val="Level 1"/>
    <w:rsid w:val="00E824A2"/>
    <w:pPr>
      <w:autoSpaceDE w:val="0"/>
      <w:autoSpaceDN w:val="0"/>
      <w:adjustRightInd w:val="0"/>
      <w:ind w:left="720"/>
    </w:pPr>
    <w:rPr>
      <w:sz w:val="24"/>
      <w:szCs w:val="24"/>
    </w:rPr>
  </w:style>
  <w:style w:type="paragraph" w:customStyle="1" w:styleId="xl24">
    <w:name w:val="xl24"/>
    <w:basedOn w:val="Normal"/>
    <w:rsid w:val="000C324F"/>
    <w:pPr>
      <w:spacing w:before="100" w:after="100"/>
    </w:pPr>
    <w:rPr>
      <w:rFonts w:eastAsia="Arial Unicode MS"/>
      <w:szCs w:val="20"/>
      <w:u w:val="single"/>
    </w:rPr>
  </w:style>
  <w:style w:type="paragraph" w:customStyle="1" w:styleId="AAG-SUM-BULLET">
    <w:name w:val="AAG-SUM-BULLET"/>
    <w:basedOn w:val="Normal"/>
    <w:next w:val="Normal"/>
    <w:link w:val="AAG-SUM-BULLETCharChar"/>
    <w:rsid w:val="00950C4D"/>
    <w:pPr>
      <w:numPr>
        <w:ilvl w:val="2"/>
        <w:numId w:val="32"/>
      </w:numPr>
      <w:tabs>
        <w:tab w:val="clear" w:pos="1080"/>
        <w:tab w:val="num" w:pos="360"/>
      </w:tabs>
      <w:spacing w:before="120"/>
      <w:ind w:left="1800"/>
    </w:pPr>
    <w:rPr>
      <w:rFonts w:ascii="Verdana" w:hAnsi="Verdana"/>
    </w:rPr>
  </w:style>
  <w:style w:type="character" w:customStyle="1" w:styleId="AAG-SUM-BULLETCharChar">
    <w:name w:val="AAG-SUM-BULLET Char Char"/>
    <w:basedOn w:val="DefaultParagraphFont"/>
    <w:link w:val="AAG-SUM-BULLET"/>
    <w:rsid w:val="00950C4D"/>
    <w:rPr>
      <w:rFonts w:ascii="Verdana" w:hAnsi="Verdana"/>
      <w:sz w:val="24"/>
      <w:szCs w:val="24"/>
      <w:lang w:val="en-US" w:eastAsia="en-US" w:bidi="ar-SA"/>
    </w:rPr>
  </w:style>
  <w:style w:type="character" w:styleId="HTMLCite">
    <w:name w:val="HTML Cite"/>
    <w:basedOn w:val="DefaultParagraphFont"/>
    <w:rsid w:val="00225BD3"/>
    <w:rPr>
      <w:i/>
      <w:iCs/>
    </w:rPr>
  </w:style>
  <w:style w:type="character" w:styleId="FollowedHyperlink">
    <w:name w:val="FollowedHyperlink"/>
    <w:basedOn w:val="DefaultParagraphFont"/>
    <w:rsid w:val="001C5237"/>
    <w:rPr>
      <w:color w:val="606420"/>
      <w:u w:val="single"/>
    </w:rPr>
  </w:style>
  <w:style w:type="character" w:customStyle="1" w:styleId="bodytextchar0">
    <w:name w:val="bodytextchar"/>
    <w:basedOn w:val="DefaultParagraphFont"/>
    <w:rsid w:val="0060179A"/>
  </w:style>
  <w:style w:type="character" w:customStyle="1" w:styleId="TitleChar">
    <w:name w:val="Title Char"/>
    <w:basedOn w:val="DefaultParagraphFont"/>
    <w:link w:val="Title"/>
    <w:rsid w:val="00E970B9"/>
    <w:rPr>
      <w:b/>
      <w:i/>
      <w:sz w:val="24"/>
    </w:rPr>
  </w:style>
  <w:style w:type="paragraph" w:styleId="Revision">
    <w:name w:val="Revision"/>
    <w:hidden/>
    <w:uiPriority w:val="99"/>
    <w:semiHidden/>
    <w:rsid w:val="003C3BDF"/>
    <w:rPr>
      <w:sz w:val="24"/>
      <w:szCs w:val="24"/>
    </w:rPr>
  </w:style>
</w:styles>
</file>

<file path=word/webSettings.xml><?xml version="1.0" encoding="utf-8"?>
<w:webSettings xmlns:r="http://schemas.openxmlformats.org/officeDocument/2006/relationships" xmlns:w="http://schemas.openxmlformats.org/wordprocessingml/2006/main">
  <w:divs>
    <w:div w:id="14238888">
      <w:bodyDiv w:val="1"/>
      <w:marLeft w:val="0"/>
      <w:marRight w:val="0"/>
      <w:marTop w:val="0"/>
      <w:marBottom w:val="0"/>
      <w:divBdr>
        <w:top w:val="none" w:sz="0" w:space="0" w:color="auto"/>
        <w:left w:val="none" w:sz="0" w:space="0" w:color="auto"/>
        <w:bottom w:val="none" w:sz="0" w:space="0" w:color="auto"/>
        <w:right w:val="none" w:sz="0" w:space="0" w:color="auto"/>
      </w:divBdr>
    </w:div>
    <w:div w:id="54277780">
      <w:bodyDiv w:val="1"/>
      <w:marLeft w:val="0"/>
      <w:marRight w:val="0"/>
      <w:marTop w:val="0"/>
      <w:marBottom w:val="0"/>
      <w:divBdr>
        <w:top w:val="none" w:sz="0" w:space="0" w:color="auto"/>
        <w:left w:val="none" w:sz="0" w:space="0" w:color="auto"/>
        <w:bottom w:val="none" w:sz="0" w:space="0" w:color="auto"/>
        <w:right w:val="none" w:sz="0" w:space="0" w:color="auto"/>
      </w:divBdr>
      <w:divsChild>
        <w:div w:id="362943679">
          <w:marLeft w:val="0"/>
          <w:marRight w:val="0"/>
          <w:marTop w:val="0"/>
          <w:marBottom w:val="0"/>
          <w:divBdr>
            <w:top w:val="none" w:sz="0" w:space="0" w:color="auto"/>
            <w:left w:val="none" w:sz="0" w:space="0" w:color="auto"/>
            <w:bottom w:val="none" w:sz="0" w:space="0" w:color="auto"/>
            <w:right w:val="none" w:sz="0" w:space="0" w:color="auto"/>
          </w:divBdr>
        </w:div>
        <w:div w:id="1764957639">
          <w:marLeft w:val="0"/>
          <w:marRight w:val="0"/>
          <w:marTop w:val="0"/>
          <w:marBottom w:val="0"/>
          <w:divBdr>
            <w:top w:val="none" w:sz="0" w:space="0" w:color="auto"/>
            <w:left w:val="none" w:sz="0" w:space="0" w:color="auto"/>
            <w:bottom w:val="none" w:sz="0" w:space="0" w:color="auto"/>
            <w:right w:val="none" w:sz="0" w:space="0" w:color="auto"/>
          </w:divBdr>
        </w:div>
        <w:div w:id="2020885362">
          <w:marLeft w:val="0"/>
          <w:marRight w:val="0"/>
          <w:marTop w:val="0"/>
          <w:marBottom w:val="0"/>
          <w:divBdr>
            <w:top w:val="none" w:sz="0" w:space="0" w:color="auto"/>
            <w:left w:val="none" w:sz="0" w:space="0" w:color="auto"/>
            <w:bottom w:val="none" w:sz="0" w:space="0" w:color="auto"/>
            <w:right w:val="none" w:sz="0" w:space="0" w:color="auto"/>
          </w:divBdr>
        </w:div>
      </w:divsChild>
    </w:div>
    <w:div w:id="77873997">
      <w:bodyDiv w:val="1"/>
      <w:marLeft w:val="0"/>
      <w:marRight w:val="0"/>
      <w:marTop w:val="0"/>
      <w:marBottom w:val="0"/>
      <w:divBdr>
        <w:top w:val="none" w:sz="0" w:space="0" w:color="auto"/>
        <w:left w:val="none" w:sz="0" w:space="0" w:color="auto"/>
        <w:bottom w:val="none" w:sz="0" w:space="0" w:color="auto"/>
        <w:right w:val="none" w:sz="0" w:space="0" w:color="auto"/>
      </w:divBdr>
    </w:div>
    <w:div w:id="122696365">
      <w:bodyDiv w:val="1"/>
      <w:marLeft w:val="0"/>
      <w:marRight w:val="0"/>
      <w:marTop w:val="0"/>
      <w:marBottom w:val="0"/>
      <w:divBdr>
        <w:top w:val="none" w:sz="0" w:space="0" w:color="auto"/>
        <w:left w:val="none" w:sz="0" w:space="0" w:color="auto"/>
        <w:bottom w:val="none" w:sz="0" w:space="0" w:color="auto"/>
        <w:right w:val="none" w:sz="0" w:space="0" w:color="auto"/>
      </w:divBdr>
    </w:div>
    <w:div w:id="163206909">
      <w:bodyDiv w:val="1"/>
      <w:marLeft w:val="0"/>
      <w:marRight w:val="0"/>
      <w:marTop w:val="0"/>
      <w:marBottom w:val="0"/>
      <w:divBdr>
        <w:top w:val="none" w:sz="0" w:space="0" w:color="auto"/>
        <w:left w:val="none" w:sz="0" w:space="0" w:color="auto"/>
        <w:bottom w:val="none" w:sz="0" w:space="0" w:color="auto"/>
        <w:right w:val="none" w:sz="0" w:space="0" w:color="auto"/>
      </w:divBdr>
      <w:divsChild>
        <w:div w:id="525748950">
          <w:marLeft w:val="0"/>
          <w:marRight w:val="0"/>
          <w:marTop w:val="0"/>
          <w:marBottom w:val="0"/>
          <w:divBdr>
            <w:top w:val="none" w:sz="0" w:space="0" w:color="auto"/>
            <w:left w:val="none" w:sz="0" w:space="0" w:color="auto"/>
            <w:bottom w:val="none" w:sz="0" w:space="0" w:color="auto"/>
            <w:right w:val="none" w:sz="0" w:space="0" w:color="auto"/>
          </w:divBdr>
        </w:div>
      </w:divsChild>
    </w:div>
    <w:div w:id="205221770">
      <w:bodyDiv w:val="1"/>
      <w:marLeft w:val="0"/>
      <w:marRight w:val="0"/>
      <w:marTop w:val="0"/>
      <w:marBottom w:val="0"/>
      <w:divBdr>
        <w:top w:val="none" w:sz="0" w:space="0" w:color="auto"/>
        <w:left w:val="none" w:sz="0" w:space="0" w:color="auto"/>
        <w:bottom w:val="none" w:sz="0" w:space="0" w:color="auto"/>
        <w:right w:val="none" w:sz="0" w:space="0" w:color="auto"/>
      </w:divBdr>
    </w:div>
    <w:div w:id="212162777">
      <w:bodyDiv w:val="1"/>
      <w:marLeft w:val="0"/>
      <w:marRight w:val="0"/>
      <w:marTop w:val="0"/>
      <w:marBottom w:val="0"/>
      <w:divBdr>
        <w:top w:val="none" w:sz="0" w:space="0" w:color="auto"/>
        <w:left w:val="none" w:sz="0" w:space="0" w:color="auto"/>
        <w:bottom w:val="none" w:sz="0" w:space="0" w:color="auto"/>
        <w:right w:val="none" w:sz="0" w:space="0" w:color="auto"/>
      </w:divBdr>
    </w:div>
    <w:div w:id="240019595">
      <w:bodyDiv w:val="1"/>
      <w:marLeft w:val="0"/>
      <w:marRight w:val="0"/>
      <w:marTop w:val="0"/>
      <w:marBottom w:val="0"/>
      <w:divBdr>
        <w:top w:val="none" w:sz="0" w:space="0" w:color="auto"/>
        <w:left w:val="none" w:sz="0" w:space="0" w:color="auto"/>
        <w:bottom w:val="none" w:sz="0" w:space="0" w:color="auto"/>
        <w:right w:val="none" w:sz="0" w:space="0" w:color="auto"/>
      </w:divBdr>
    </w:div>
    <w:div w:id="247350317">
      <w:bodyDiv w:val="1"/>
      <w:marLeft w:val="0"/>
      <w:marRight w:val="0"/>
      <w:marTop w:val="0"/>
      <w:marBottom w:val="0"/>
      <w:divBdr>
        <w:top w:val="none" w:sz="0" w:space="0" w:color="auto"/>
        <w:left w:val="none" w:sz="0" w:space="0" w:color="auto"/>
        <w:bottom w:val="none" w:sz="0" w:space="0" w:color="auto"/>
        <w:right w:val="none" w:sz="0" w:space="0" w:color="auto"/>
      </w:divBdr>
    </w:div>
    <w:div w:id="366561422">
      <w:bodyDiv w:val="1"/>
      <w:marLeft w:val="0"/>
      <w:marRight w:val="0"/>
      <w:marTop w:val="0"/>
      <w:marBottom w:val="0"/>
      <w:divBdr>
        <w:top w:val="none" w:sz="0" w:space="0" w:color="auto"/>
        <w:left w:val="none" w:sz="0" w:space="0" w:color="auto"/>
        <w:bottom w:val="none" w:sz="0" w:space="0" w:color="auto"/>
        <w:right w:val="none" w:sz="0" w:space="0" w:color="auto"/>
      </w:divBdr>
    </w:div>
    <w:div w:id="371074675">
      <w:bodyDiv w:val="1"/>
      <w:marLeft w:val="0"/>
      <w:marRight w:val="0"/>
      <w:marTop w:val="0"/>
      <w:marBottom w:val="0"/>
      <w:divBdr>
        <w:top w:val="none" w:sz="0" w:space="0" w:color="auto"/>
        <w:left w:val="none" w:sz="0" w:space="0" w:color="auto"/>
        <w:bottom w:val="none" w:sz="0" w:space="0" w:color="auto"/>
        <w:right w:val="none" w:sz="0" w:space="0" w:color="auto"/>
      </w:divBdr>
    </w:div>
    <w:div w:id="423767686">
      <w:bodyDiv w:val="1"/>
      <w:marLeft w:val="0"/>
      <w:marRight w:val="0"/>
      <w:marTop w:val="0"/>
      <w:marBottom w:val="0"/>
      <w:divBdr>
        <w:top w:val="none" w:sz="0" w:space="0" w:color="auto"/>
        <w:left w:val="none" w:sz="0" w:space="0" w:color="auto"/>
        <w:bottom w:val="none" w:sz="0" w:space="0" w:color="auto"/>
        <w:right w:val="none" w:sz="0" w:space="0" w:color="auto"/>
      </w:divBdr>
    </w:div>
    <w:div w:id="431047173">
      <w:bodyDiv w:val="1"/>
      <w:marLeft w:val="0"/>
      <w:marRight w:val="0"/>
      <w:marTop w:val="0"/>
      <w:marBottom w:val="0"/>
      <w:divBdr>
        <w:top w:val="none" w:sz="0" w:space="0" w:color="auto"/>
        <w:left w:val="none" w:sz="0" w:space="0" w:color="auto"/>
        <w:bottom w:val="none" w:sz="0" w:space="0" w:color="auto"/>
        <w:right w:val="none" w:sz="0" w:space="0" w:color="auto"/>
      </w:divBdr>
    </w:div>
    <w:div w:id="461851139">
      <w:bodyDiv w:val="1"/>
      <w:marLeft w:val="0"/>
      <w:marRight w:val="0"/>
      <w:marTop w:val="0"/>
      <w:marBottom w:val="0"/>
      <w:divBdr>
        <w:top w:val="none" w:sz="0" w:space="0" w:color="auto"/>
        <w:left w:val="none" w:sz="0" w:space="0" w:color="auto"/>
        <w:bottom w:val="none" w:sz="0" w:space="0" w:color="auto"/>
        <w:right w:val="none" w:sz="0" w:space="0" w:color="auto"/>
      </w:divBdr>
    </w:div>
    <w:div w:id="501896844">
      <w:bodyDiv w:val="1"/>
      <w:marLeft w:val="0"/>
      <w:marRight w:val="0"/>
      <w:marTop w:val="0"/>
      <w:marBottom w:val="0"/>
      <w:divBdr>
        <w:top w:val="none" w:sz="0" w:space="0" w:color="auto"/>
        <w:left w:val="none" w:sz="0" w:space="0" w:color="auto"/>
        <w:bottom w:val="none" w:sz="0" w:space="0" w:color="auto"/>
        <w:right w:val="none" w:sz="0" w:space="0" w:color="auto"/>
      </w:divBdr>
    </w:div>
    <w:div w:id="553737993">
      <w:bodyDiv w:val="1"/>
      <w:marLeft w:val="375"/>
      <w:marRight w:val="0"/>
      <w:marTop w:val="375"/>
      <w:marBottom w:val="0"/>
      <w:divBdr>
        <w:top w:val="none" w:sz="0" w:space="0" w:color="auto"/>
        <w:left w:val="none" w:sz="0" w:space="0" w:color="auto"/>
        <w:bottom w:val="none" w:sz="0" w:space="0" w:color="auto"/>
        <w:right w:val="none" w:sz="0" w:space="0" w:color="auto"/>
      </w:divBdr>
    </w:div>
    <w:div w:id="561990918">
      <w:bodyDiv w:val="1"/>
      <w:marLeft w:val="0"/>
      <w:marRight w:val="0"/>
      <w:marTop w:val="0"/>
      <w:marBottom w:val="0"/>
      <w:divBdr>
        <w:top w:val="none" w:sz="0" w:space="0" w:color="auto"/>
        <w:left w:val="none" w:sz="0" w:space="0" w:color="auto"/>
        <w:bottom w:val="none" w:sz="0" w:space="0" w:color="auto"/>
        <w:right w:val="none" w:sz="0" w:space="0" w:color="auto"/>
      </w:divBdr>
    </w:div>
    <w:div w:id="606625429">
      <w:bodyDiv w:val="1"/>
      <w:marLeft w:val="0"/>
      <w:marRight w:val="0"/>
      <w:marTop w:val="0"/>
      <w:marBottom w:val="0"/>
      <w:divBdr>
        <w:top w:val="none" w:sz="0" w:space="0" w:color="auto"/>
        <w:left w:val="none" w:sz="0" w:space="0" w:color="auto"/>
        <w:bottom w:val="none" w:sz="0" w:space="0" w:color="auto"/>
        <w:right w:val="none" w:sz="0" w:space="0" w:color="auto"/>
      </w:divBdr>
    </w:div>
    <w:div w:id="621151913">
      <w:bodyDiv w:val="1"/>
      <w:marLeft w:val="0"/>
      <w:marRight w:val="0"/>
      <w:marTop w:val="0"/>
      <w:marBottom w:val="0"/>
      <w:divBdr>
        <w:top w:val="none" w:sz="0" w:space="0" w:color="auto"/>
        <w:left w:val="none" w:sz="0" w:space="0" w:color="auto"/>
        <w:bottom w:val="none" w:sz="0" w:space="0" w:color="auto"/>
        <w:right w:val="none" w:sz="0" w:space="0" w:color="auto"/>
      </w:divBdr>
    </w:div>
    <w:div w:id="621156937">
      <w:bodyDiv w:val="1"/>
      <w:marLeft w:val="0"/>
      <w:marRight w:val="0"/>
      <w:marTop w:val="0"/>
      <w:marBottom w:val="0"/>
      <w:divBdr>
        <w:top w:val="none" w:sz="0" w:space="0" w:color="auto"/>
        <w:left w:val="none" w:sz="0" w:space="0" w:color="auto"/>
        <w:bottom w:val="none" w:sz="0" w:space="0" w:color="auto"/>
        <w:right w:val="none" w:sz="0" w:space="0" w:color="auto"/>
      </w:divBdr>
      <w:divsChild>
        <w:div w:id="1261065066">
          <w:marLeft w:val="0"/>
          <w:marRight w:val="0"/>
          <w:marTop w:val="0"/>
          <w:marBottom w:val="0"/>
          <w:divBdr>
            <w:top w:val="none" w:sz="0" w:space="0" w:color="auto"/>
            <w:left w:val="none" w:sz="0" w:space="0" w:color="auto"/>
            <w:bottom w:val="none" w:sz="0" w:space="0" w:color="auto"/>
            <w:right w:val="none" w:sz="0" w:space="0" w:color="auto"/>
          </w:divBdr>
        </w:div>
      </w:divsChild>
    </w:div>
    <w:div w:id="655501773">
      <w:bodyDiv w:val="1"/>
      <w:marLeft w:val="0"/>
      <w:marRight w:val="0"/>
      <w:marTop w:val="0"/>
      <w:marBottom w:val="0"/>
      <w:divBdr>
        <w:top w:val="none" w:sz="0" w:space="0" w:color="auto"/>
        <w:left w:val="none" w:sz="0" w:space="0" w:color="auto"/>
        <w:bottom w:val="none" w:sz="0" w:space="0" w:color="auto"/>
        <w:right w:val="none" w:sz="0" w:space="0" w:color="auto"/>
      </w:divBdr>
    </w:div>
    <w:div w:id="685178950">
      <w:bodyDiv w:val="1"/>
      <w:marLeft w:val="0"/>
      <w:marRight w:val="0"/>
      <w:marTop w:val="0"/>
      <w:marBottom w:val="0"/>
      <w:divBdr>
        <w:top w:val="none" w:sz="0" w:space="0" w:color="auto"/>
        <w:left w:val="none" w:sz="0" w:space="0" w:color="auto"/>
        <w:bottom w:val="none" w:sz="0" w:space="0" w:color="auto"/>
        <w:right w:val="none" w:sz="0" w:space="0" w:color="auto"/>
      </w:divBdr>
    </w:div>
    <w:div w:id="691880481">
      <w:bodyDiv w:val="1"/>
      <w:marLeft w:val="0"/>
      <w:marRight w:val="0"/>
      <w:marTop w:val="0"/>
      <w:marBottom w:val="0"/>
      <w:divBdr>
        <w:top w:val="none" w:sz="0" w:space="0" w:color="auto"/>
        <w:left w:val="none" w:sz="0" w:space="0" w:color="auto"/>
        <w:bottom w:val="none" w:sz="0" w:space="0" w:color="auto"/>
        <w:right w:val="none" w:sz="0" w:space="0" w:color="auto"/>
      </w:divBdr>
    </w:div>
    <w:div w:id="731851760">
      <w:bodyDiv w:val="1"/>
      <w:marLeft w:val="0"/>
      <w:marRight w:val="0"/>
      <w:marTop w:val="0"/>
      <w:marBottom w:val="0"/>
      <w:divBdr>
        <w:top w:val="none" w:sz="0" w:space="0" w:color="auto"/>
        <w:left w:val="none" w:sz="0" w:space="0" w:color="auto"/>
        <w:bottom w:val="none" w:sz="0" w:space="0" w:color="auto"/>
        <w:right w:val="none" w:sz="0" w:space="0" w:color="auto"/>
      </w:divBdr>
    </w:div>
    <w:div w:id="754133189">
      <w:bodyDiv w:val="1"/>
      <w:marLeft w:val="0"/>
      <w:marRight w:val="0"/>
      <w:marTop w:val="0"/>
      <w:marBottom w:val="0"/>
      <w:divBdr>
        <w:top w:val="none" w:sz="0" w:space="0" w:color="auto"/>
        <w:left w:val="none" w:sz="0" w:space="0" w:color="auto"/>
        <w:bottom w:val="none" w:sz="0" w:space="0" w:color="auto"/>
        <w:right w:val="none" w:sz="0" w:space="0" w:color="auto"/>
      </w:divBdr>
    </w:div>
    <w:div w:id="801388544">
      <w:bodyDiv w:val="1"/>
      <w:marLeft w:val="0"/>
      <w:marRight w:val="0"/>
      <w:marTop w:val="0"/>
      <w:marBottom w:val="0"/>
      <w:divBdr>
        <w:top w:val="none" w:sz="0" w:space="0" w:color="auto"/>
        <w:left w:val="none" w:sz="0" w:space="0" w:color="auto"/>
        <w:bottom w:val="none" w:sz="0" w:space="0" w:color="auto"/>
        <w:right w:val="none" w:sz="0" w:space="0" w:color="auto"/>
      </w:divBdr>
    </w:div>
    <w:div w:id="822815249">
      <w:bodyDiv w:val="1"/>
      <w:marLeft w:val="0"/>
      <w:marRight w:val="0"/>
      <w:marTop w:val="0"/>
      <w:marBottom w:val="0"/>
      <w:divBdr>
        <w:top w:val="none" w:sz="0" w:space="0" w:color="auto"/>
        <w:left w:val="none" w:sz="0" w:space="0" w:color="auto"/>
        <w:bottom w:val="none" w:sz="0" w:space="0" w:color="auto"/>
        <w:right w:val="none" w:sz="0" w:space="0" w:color="auto"/>
      </w:divBdr>
      <w:divsChild>
        <w:div w:id="2062627288">
          <w:marLeft w:val="0"/>
          <w:marRight w:val="0"/>
          <w:marTop w:val="0"/>
          <w:marBottom w:val="0"/>
          <w:divBdr>
            <w:top w:val="none" w:sz="0" w:space="0" w:color="auto"/>
            <w:left w:val="none" w:sz="0" w:space="0" w:color="auto"/>
            <w:bottom w:val="none" w:sz="0" w:space="0" w:color="auto"/>
            <w:right w:val="none" w:sz="0" w:space="0" w:color="auto"/>
          </w:divBdr>
        </w:div>
      </w:divsChild>
    </w:div>
    <w:div w:id="827405414">
      <w:bodyDiv w:val="1"/>
      <w:marLeft w:val="0"/>
      <w:marRight w:val="0"/>
      <w:marTop w:val="0"/>
      <w:marBottom w:val="0"/>
      <w:divBdr>
        <w:top w:val="none" w:sz="0" w:space="0" w:color="auto"/>
        <w:left w:val="none" w:sz="0" w:space="0" w:color="auto"/>
        <w:bottom w:val="none" w:sz="0" w:space="0" w:color="auto"/>
        <w:right w:val="none" w:sz="0" w:space="0" w:color="auto"/>
      </w:divBdr>
    </w:div>
    <w:div w:id="835026617">
      <w:bodyDiv w:val="1"/>
      <w:marLeft w:val="0"/>
      <w:marRight w:val="0"/>
      <w:marTop w:val="0"/>
      <w:marBottom w:val="0"/>
      <w:divBdr>
        <w:top w:val="none" w:sz="0" w:space="0" w:color="auto"/>
        <w:left w:val="none" w:sz="0" w:space="0" w:color="auto"/>
        <w:bottom w:val="none" w:sz="0" w:space="0" w:color="auto"/>
        <w:right w:val="none" w:sz="0" w:space="0" w:color="auto"/>
      </w:divBdr>
    </w:div>
    <w:div w:id="860365060">
      <w:bodyDiv w:val="1"/>
      <w:marLeft w:val="0"/>
      <w:marRight w:val="0"/>
      <w:marTop w:val="0"/>
      <w:marBottom w:val="0"/>
      <w:divBdr>
        <w:top w:val="none" w:sz="0" w:space="0" w:color="auto"/>
        <w:left w:val="none" w:sz="0" w:space="0" w:color="auto"/>
        <w:bottom w:val="none" w:sz="0" w:space="0" w:color="auto"/>
        <w:right w:val="none" w:sz="0" w:space="0" w:color="auto"/>
      </w:divBdr>
    </w:div>
    <w:div w:id="871189131">
      <w:bodyDiv w:val="1"/>
      <w:marLeft w:val="0"/>
      <w:marRight w:val="0"/>
      <w:marTop w:val="0"/>
      <w:marBottom w:val="0"/>
      <w:divBdr>
        <w:top w:val="none" w:sz="0" w:space="0" w:color="auto"/>
        <w:left w:val="none" w:sz="0" w:space="0" w:color="auto"/>
        <w:bottom w:val="none" w:sz="0" w:space="0" w:color="auto"/>
        <w:right w:val="none" w:sz="0" w:space="0" w:color="auto"/>
      </w:divBdr>
      <w:divsChild>
        <w:div w:id="1243955069">
          <w:marLeft w:val="0"/>
          <w:marRight w:val="0"/>
          <w:marTop w:val="0"/>
          <w:marBottom w:val="0"/>
          <w:divBdr>
            <w:top w:val="none" w:sz="0" w:space="0" w:color="auto"/>
            <w:left w:val="none" w:sz="0" w:space="0" w:color="auto"/>
            <w:bottom w:val="none" w:sz="0" w:space="0" w:color="auto"/>
            <w:right w:val="none" w:sz="0" w:space="0" w:color="auto"/>
          </w:divBdr>
        </w:div>
        <w:div w:id="2134977127">
          <w:marLeft w:val="0"/>
          <w:marRight w:val="0"/>
          <w:marTop w:val="0"/>
          <w:marBottom w:val="0"/>
          <w:divBdr>
            <w:top w:val="none" w:sz="0" w:space="0" w:color="auto"/>
            <w:left w:val="none" w:sz="0" w:space="0" w:color="auto"/>
            <w:bottom w:val="none" w:sz="0" w:space="0" w:color="auto"/>
            <w:right w:val="none" w:sz="0" w:space="0" w:color="auto"/>
          </w:divBdr>
        </w:div>
      </w:divsChild>
    </w:div>
    <w:div w:id="914826096">
      <w:bodyDiv w:val="1"/>
      <w:marLeft w:val="0"/>
      <w:marRight w:val="0"/>
      <w:marTop w:val="0"/>
      <w:marBottom w:val="0"/>
      <w:divBdr>
        <w:top w:val="none" w:sz="0" w:space="0" w:color="auto"/>
        <w:left w:val="none" w:sz="0" w:space="0" w:color="auto"/>
        <w:bottom w:val="none" w:sz="0" w:space="0" w:color="auto"/>
        <w:right w:val="none" w:sz="0" w:space="0" w:color="auto"/>
      </w:divBdr>
      <w:divsChild>
        <w:div w:id="483938224">
          <w:marLeft w:val="0"/>
          <w:marRight w:val="0"/>
          <w:marTop w:val="0"/>
          <w:marBottom w:val="0"/>
          <w:divBdr>
            <w:top w:val="none" w:sz="0" w:space="0" w:color="auto"/>
            <w:left w:val="none" w:sz="0" w:space="0" w:color="auto"/>
            <w:bottom w:val="none" w:sz="0" w:space="0" w:color="auto"/>
            <w:right w:val="none" w:sz="0" w:space="0" w:color="auto"/>
          </w:divBdr>
        </w:div>
      </w:divsChild>
    </w:div>
    <w:div w:id="963541168">
      <w:bodyDiv w:val="1"/>
      <w:marLeft w:val="0"/>
      <w:marRight w:val="0"/>
      <w:marTop w:val="0"/>
      <w:marBottom w:val="0"/>
      <w:divBdr>
        <w:top w:val="none" w:sz="0" w:space="0" w:color="auto"/>
        <w:left w:val="none" w:sz="0" w:space="0" w:color="auto"/>
        <w:bottom w:val="none" w:sz="0" w:space="0" w:color="auto"/>
        <w:right w:val="none" w:sz="0" w:space="0" w:color="auto"/>
      </w:divBdr>
    </w:div>
    <w:div w:id="981235126">
      <w:bodyDiv w:val="1"/>
      <w:marLeft w:val="0"/>
      <w:marRight w:val="0"/>
      <w:marTop w:val="0"/>
      <w:marBottom w:val="0"/>
      <w:divBdr>
        <w:top w:val="none" w:sz="0" w:space="0" w:color="auto"/>
        <w:left w:val="none" w:sz="0" w:space="0" w:color="auto"/>
        <w:bottom w:val="none" w:sz="0" w:space="0" w:color="auto"/>
        <w:right w:val="none" w:sz="0" w:space="0" w:color="auto"/>
      </w:divBdr>
    </w:div>
    <w:div w:id="1006711450">
      <w:bodyDiv w:val="1"/>
      <w:marLeft w:val="0"/>
      <w:marRight w:val="0"/>
      <w:marTop w:val="0"/>
      <w:marBottom w:val="0"/>
      <w:divBdr>
        <w:top w:val="none" w:sz="0" w:space="0" w:color="auto"/>
        <w:left w:val="none" w:sz="0" w:space="0" w:color="auto"/>
        <w:bottom w:val="none" w:sz="0" w:space="0" w:color="auto"/>
        <w:right w:val="none" w:sz="0" w:space="0" w:color="auto"/>
      </w:divBdr>
    </w:div>
    <w:div w:id="1026709847">
      <w:bodyDiv w:val="1"/>
      <w:marLeft w:val="0"/>
      <w:marRight w:val="0"/>
      <w:marTop w:val="0"/>
      <w:marBottom w:val="0"/>
      <w:divBdr>
        <w:top w:val="none" w:sz="0" w:space="0" w:color="auto"/>
        <w:left w:val="none" w:sz="0" w:space="0" w:color="auto"/>
        <w:bottom w:val="none" w:sz="0" w:space="0" w:color="auto"/>
        <w:right w:val="none" w:sz="0" w:space="0" w:color="auto"/>
      </w:divBdr>
    </w:div>
    <w:div w:id="1050617502">
      <w:bodyDiv w:val="1"/>
      <w:marLeft w:val="0"/>
      <w:marRight w:val="0"/>
      <w:marTop w:val="0"/>
      <w:marBottom w:val="0"/>
      <w:divBdr>
        <w:top w:val="none" w:sz="0" w:space="0" w:color="auto"/>
        <w:left w:val="none" w:sz="0" w:space="0" w:color="auto"/>
        <w:bottom w:val="none" w:sz="0" w:space="0" w:color="auto"/>
        <w:right w:val="none" w:sz="0" w:space="0" w:color="auto"/>
      </w:divBdr>
    </w:div>
    <w:div w:id="1068380684">
      <w:bodyDiv w:val="1"/>
      <w:marLeft w:val="0"/>
      <w:marRight w:val="0"/>
      <w:marTop w:val="0"/>
      <w:marBottom w:val="0"/>
      <w:divBdr>
        <w:top w:val="none" w:sz="0" w:space="0" w:color="auto"/>
        <w:left w:val="none" w:sz="0" w:space="0" w:color="auto"/>
        <w:bottom w:val="none" w:sz="0" w:space="0" w:color="auto"/>
        <w:right w:val="none" w:sz="0" w:space="0" w:color="auto"/>
      </w:divBdr>
    </w:div>
    <w:div w:id="1069037579">
      <w:bodyDiv w:val="1"/>
      <w:marLeft w:val="0"/>
      <w:marRight w:val="0"/>
      <w:marTop w:val="0"/>
      <w:marBottom w:val="0"/>
      <w:divBdr>
        <w:top w:val="none" w:sz="0" w:space="0" w:color="auto"/>
        <w:left w:val="none" w:sz="0" w:space="0" w:color="auto"/>
        <w:bottom w:val="none" w:sz="0" w:space="0" w:color="auto"/>
        <w:right w:val="none" w:sz="0" w:space="0" w:color="auto"/>
      </w:divBdr>
    </w:div>
    <w:div w:id="1102728173">
      <w:bodyDiv w:val="1"/>
      <w:marLeft w:val="0"/>
      <w:marRight w:val="0"/>
      <w:marTop w:val="0"/>
      <w:marBottom w:val="0"/>
      <w:divBdr>
        <w:top w:val="none" w:sz="0" w:space="0" w:color="auto"/>
        <w:left w:val="none" w:sz="0" w:space="0" w:color="auto"/>
        <w:bottom w:val="none" w:sz="0" w:space="0" w:color="auto"/>
        <w:right w:val="none" w:sz="0" w:space="0" w:color="auto"/>
      </w:divBdr>
    </w:div>
    <w:div w:id="1119297232">
      <w:bodyDiv w:val="1"/>
      <w:marLeft w:val="0"/>
      <w:marRight w:val="0"/>
      <w:marTop w:val="0"/>
      <w:marBottom w:val="0"/>
      <w:divBdr>
        <w:top w:val="none" w:sz="0" w:space="0" w:color="auto"/>
        <w:left w:val="none" w:sz="0" w:space="0" w:color="auto"/>
        <w:bottom w:val="none" w:sz="0" w:space="0" w:color="auto"/>
        <w:right w:val="none" w:sz="0" w:space="0" w:color="auto"/>
      </w:divBdr>
      <w:divsChild>
        <w:div w:id="631786526">
          <w:marLeft w:val="0"/>
          <w:marRight w:val="0"/>
          <w:marTop w:val="0"/>
          <w:marBottom w:val="0"/>
          <w:divBdr>
            <w:top w:val="none" w:sz="0" w:space="0" w:color="auto"/>
            <w:left w:val="none" w:sz="0" w:space="0" w:color="auto"/>
            <w:bottom w:val="none" w:sz="0" w:space="0" w:color="auto"/>
            <w:right w:val="none" w:sz="0" w:space="0" w:color="auto"/>
          </w:divBdr>
        </w:div>
      </w:divsChild>
    </w:div>
    <w:div w:id="1197160129">
      <w:bodyDiv w:val="1"/>
      <w:marLeft w:val="0"/>
      <w:marRight w:val="0"/>
      <w:marTop w:val="0"/>
      <w:marBottom w:val="0"/>
      <w:divBdr>
        <w:top w:val="none" w:sz="0" w:space="0" w:color="auto"/>
        <w:left w:val="none" w:sz="0" w:space="0" w:color="auto"/>
        <w:bottom w:val="none" w:sz="0" w:space="0" w:color="auto"/>
        <w:right w:val="none" w:sz="0" w:space="0" w:color="auto"/>
      </w:divBdr>
      <w:divsChild>
        <w:div w:id="127745921">
          <w:marLeft w:val="0"/>
          <w:marRight w:val="0"/>
          <w:marTop w:val="0"/>
          <w:marBottom w:val="0"/>
          <w:divBdr>
            <w:top w:val="none" w:sz="0" w:space="0" w:color="auto"/>
            <w:left w:val="none" w:sz="0" w:space="0" w:color="auto"/>
            <w:bottom w:val="none" w:sz="0" w:space="0" w:color="auto"/>
            <w:right w:val="none" w:sz="0" w:space="0" w:color="auto"/>
          </w:divBdr>
          <w:divsChild>
            <w:div w:id="563875892">
              <w:marLeft w:val="0"/>
              <w:marRight w:val="0"/>
              <w:marTop w:val="0"/>
              <w:marBottom w:val="0"/>
              <w:divBdr>
                <w:top w:val="none" w:sz="0" w:space="0" w:color="auto"/>
                <w:left w:val="none" w:sz="0" w:space="0" w:color="auto"/>
                <w:bottom w:val="none" w:sz="0" w:space="0" w:color="auto"/>
                <w:right w:val="none" w:sz="0" w:space="0" w:color="auto"/>
              </w:divBdr>
            </w:div>
            <w:div w:id="839613572">
              <w:marLeft w:val="0"/>
              <w:marRight w:val="0"/>
              <w:marTop w:val="0"/>
              <w:marBottom w:val="0"/>
              <w:divBdr>
                <w:top w:val="none" w:sz="0" w:space="0" w:color="auto"/>
                <w:left w:val="none" w:sz="0" w:space="0" w:color="auto"/>
                <w:bottom w:val="none" w:sz="0" w:space="0" w:color="auto"/>
                <w:right w:val="none" w:sz="0" w:space="0" w:color="auto"/>
              </w:divBdr>
            </w:div>
            <w:div w:id="1939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872">
      <w:bodyDiv w:val="1"/>
      <w:marLeft w:val="0"/>
      <w:marRight w:val="0"/>
      <w:marTop w:val="0"/>
      <w:marBottom w:val="0"/>
      <w:divBdr>
        <w:top w:val="none" w:sz="0" w:space="0" w:color="auto"/>
        <w:left w:val="none" w:sz="0" w:space="0" w:color="auto"/>
        <w:bottom w:val="none" w:sz="0" w:space="0" w:color="auto"/>
        <w:right w:val="none" w:sz="0" w:space="0" w:color="auto"/>
      </w:divBdr>
      <w:divsChild>
        <w:div w:id="399204">
          <w:marLeft w:val="0"/>
          <w:marRight w:val="0"/>
          <w:marTop w:val="0"/>
          <w:marBottom w:val="0"/>
          <w:divBdr>
            <w:top w:val="none" w:sz="0" w:space="0" w:color="auto"/>
            <w:left w:val="none" w:sz="0" w:space="0" w:color="auto"/>
            <w:bottom w:val="none" w:sz="0" w:space="0" w:color="auto"/>
            <w:right w:val="none" w:sz="0" w:space="0" w:color="auto"/>
          </w:divBdr>
        </w:div>
        <w:div w:id="1601448968">
          <w:marLeft w:val="0"/>
          <w:marRight w:val="0"/>
          <w:marTop w:val="0"/>
          <w:marBottom w:val="0"/>
          <w:divBdr>
            <w:top w:val="none" w:sz="0" w:space="0" w:color="auto"/>
            <w:left w:val="none" w:sz="0" w:space="0" w:color="auto"/>
            <w:bottom w:val="none" w:sz="0" w:space="0" w:color="auto"/>
            <w:right w:val="none" w:sz="0" w:space="0" w:color="auto"/>
          </w:divBdr>
        </w:div>
      </w:divsChild>
    </w:div>
    <w:div w:id="1266573311">
      <w:bodyDiv w:val="1"/>
      <w:marLeft w:val="0"/>
      <w:marRight w:val="0"/>
      <w:marTop w:val="0"/>
      <w:marBottom w:val="0"/>
      <w:divBdr>
        <w:top w:val="none" w:sz="0" w:space="0" w:color="auto"/>
        <w:left w:val="none" w:sz="0" w:space="0" w:color="auto"/>
        <w:bottom w:val="none" w:sz="0" w:space="0" w:color="auto"/>
        <w:right w:val="none" w:sz="0" w:space="0" w:color="auto"/>
      </w:divBdr>
    </w:div>
    <w:div w:id="1267234509">
      <w:bodyDiv w:val="1"/>
      <w:marLeft w:val="0"/>
      <w:marRight w:val="0"/>
      <w:marTop w:val="0"/>
      <w:marBottom w:val="0"/>
      <w:divBdr>
        <w:top w:val="none" w:sz="0" w:space="0" w:color="auto"/>
        <w:left w:val="none" w:sz="0" w:space="0" w:color="auto"/>
        <w:bottom w:val="none" w:sz="0" w:space="0" w:color="auto"/>
        <w:right w:val="none" w:sz="0" w:space="0" w:color="auto"/>
      </w:divBdr>
    </w:div>
    <w:div w:id="1267999818">
      <w:bodyDiv w:val="1"/>
      <w:marLeft w:val="0"/>
      <w:marRight w:val="0"/>
      <w:marTop w:val="0"/>
      <w:marBottom w:val="0"/>
      <w:divBdr>
        <w:top w:val="none" w:sz="0" w:space="0" w:color="auto"/>
        <w:left w:val="none" w:sz="0" w:space="0" w:color="auto"/>
        <w:bottom w:val="none" w:sz="0" w:space="0" w:color="auto"/>
        <w:right w:val="none" w:sz="0" w:space="0" w:color="auto"/>
      </w:divBdr>
    </w:div>
    <w:div w:id="1287350769">
      <w:bodyDiv w:val="1"/>
      <w:marLeft w:val="0"/>
      <w:marRight w:val="0"/>
      <w:marTop w:val="0"/>
      <w:marBottom w:val="0"/>
      <w:divBdr>
        <w:top w:val="none" w:sz="0" w:space="0" w:color="auto"/>
        <w:left w:val="none" w:sz="0" w:space="0" w:color="auto"/>
        <w:bottom w:val="none" w:sz="0" w:space="0" w:color="auto"/>
        <w:right w:val="none" w:sz="0" w:space="0" w:color="auto"/>
      </w:divBdr>
    </w:div>
    <w:div w:id="1296638274">
      <w:bodyDiv w:val="1"/>
      <w:marLeft w:val="0"/>
      <w:marRight w:val="0"/>
      <w:marTop w:val="0"/>
      <w:marBottom w:val="0"/>
      <w:divBdr>
        <w:top w:val="none" w:sz="0" w:space="0" w:color="auto"/>
        <w:left w:val="none" w:sz="0" w:space="0" w:color="auto"/>
        <w:bottom w:val="none" w:sz="0" w:space="0" w:color="auto"/>
        <w:right w:val="none" w:sz="0" w:space="0" w:color="auto"/>
      </w:divBdr>
    </w:div>
    <w:div w:id="1298685848">
      <w:bodyDiv w:val="1"/>
      <w:marLeft w:val="0"/>
      <w:marRight w:val="0"/>
      <w:marTop w:val="0"/>
      <w:marBottom w:val="0"/>
      <w:divBdr>
        <w:top w:val="none" w:sz="0" w:space="0" w:color="auto"/>
        <w:left w:val="none" w:sz="0" w:space="0" w:color="auto"/>
        <w:bottom w:val="none" w:sz="0" w:space="0" w:color="auto"/>
        <w:right w:val="none" w:sz="0" w:space="0" w:color="auto"/>
      </w:divBdr>
      <w:divsChild>
        <w:div w:id="421921267">
          <w:marLeft w:val="0"/>
          <w:marRight w:val="0"/>
          <w:marTop w:val="0"/>
          <w:marBottom w:val="0"/>
          <w:divBdr>
            <w:top w:val="none" w:sz="0" w:space="0" w:color="auto"/>
            <w:left w:val="none" w:sz="0" w:space="0" w:color="auto"/>
            <w:bottom w:val="none" w:sz="0" w:space="0" w:color="auto"/>
            <w:right w:val="none" w:sz="0" w:space="0" w:color="auto"/>
          </w:divBdr>
        </w:div>
      </w:divsChild>
    </w:div>
    <w:div w:id="1340698345">
      <w:bodyDiv w:val="1"/>
      <w:marLeft w:val="0"/>
      <w:marRight w:val="0"/>
      <w:marTop w:val="0"/>
      <w:marBottom w:val="0"/>
      <w:divBdr>
        <w:top w:val="none" w:sz="0" w:space="0" w:color="auto"/>
        <w:left w:val="none" w:sz="0" w:space="0" w:color="auto"/>
        <w:bottom w:val="none" w:sz="0" w:space="0" w:color="auto"/>
        <w:right w:val="none" w:sz="0" w:space="0" w:color="auto"/>
      </w:divBdr>
      <w:divsChild>
        <w:div w:id="2022705702">
          <w:marLeft w:val="0"/>
          <w:marRight w:val="0"/>
          <w:marTop w:val="0"/>
          <w:marBottom w:val="0"/>
          <w:divBdr>
            <w:top w:val="none" w:sz="0" w:space="0" w:color="auto"/>
            <w:left w:val="none" w:sz="0" w:space="0" w:color="auto"/>
            <w:bottom w:val="none" w:sz="0" w:space="0" w:color="auto"/>
            <w:right w:val="none" w:sz="0" w:space="0" w:color="auto"/>
          </w:divBdr>
        </w:div>
      </w:divsChild>
    </w:div>
    <w:div w:id="1342002443">
      <w:bodyDiv w:val="1"/>
      <w:marLeft w:val="0"/>
      <w:marRight w:val="0"/>
      <w:marTop w:val="0"/>
      <w:marBottom w:val="0"/>
      <w:divBdr>
        <w:top w:val="none" w:sz="0" w:space="0" w:color="auto"/>
        <w:left w:val="none" w:sz="0" w:space="0" w:color="auto"/>
        <w:bottom w:val="none" w:sz="0" w:space="0" w:color="auto"/>
        <w:right w:val="none" w:sz="0" w:space="0" w:color="auto"/>
      </w:divBdr>
    </w:div>
    <w:div w:id="1343704477">
      <w:bodyDiv w:val="1"/>
      <w:marLeft w:val="0"/>
      <w:marRight w:val="0"/>
      <w:marTop w:val="0"/>
      <w:marBottom w:val="0"/>
      <w:divBdr>
        <w:top w:val="none" w:sz="0" w:space="0" w:color="auto"/>
        <w:left w:val="none" w:sz="0" w:space="0" w:color="auto"/>
        <w:bottom w:val="none" w:sz="0" w:space="0" w:color="auto"/>
        <w:right w:val="none" w:sz="0" w:space="0" w:color="auto"/>
      </w:divBdr>
    </w:div>
    <w:div w:id="1350789831">
      <w:bodyDiv w:val="1"/>
      <w:marLeft w:val="0"/>
      <w:marRight w:val="0"/>
      <w:marTop w:val="0"/>
      <w:marBottom w:val="0"/>
      <w:divBdr>
        <w:top w:val="none" w:sz="0" w:space="0" w:color="auto"/>
        <w:left w:val="none" w:sz="0" w:space="0" w:color="auto"/>
        <w:bottom w:val="none" w:sz="0" w:space="0" w:color="auto"/>
        <w:right w:val="none" w:sz="0" w:space="0" w:color="auto"/>
      </w:divBdr>
    </w:div>
    <w:div w:id="1393388079">
      <w:bodyDiv w:val="1"/>
      <w:marLeft w:val="0"/>
      <w:marRight w:val="0"/>
      <w:marTop w:val="0"/>
      <w:marBottom w:val="0"/>
      <w:divBdr>
        <w:top w:val="none" w:sz="0" w:space="0" w:color="auto"/>
        <w:left w:val="none" w:sz="0" w:space="0" w:color="auto"/>
        <w:bottom w:val="none" w:sz="0" w:space="0" w:color="auto"/>
        <w:right w:val="none" w:sz="0" w:space="0" w:color="auto"/>
      </w:divBdr>
    </w:div>
    <w:div w:id="1402941519">
      <w:bodyDiv w:val="1"/>
      <w:marLeft w:val="0"/>
      <w:marRight w:val="0"/>
      <w:marTop w:val="0"/>
      <w:marBottom w:val="0"/>
      <w:divBdr>
        <w:top w:val="none" w:sz="0" w:space="0" w:color="auto"/>
        <w:left w:val="none" w:sz="0" w:space="0" w:color="auto"/>
        <w:bottom w:val="none" w:sz="0" w:space="0" w:color="auto"/>
        <w:right w:val="none" w:sz="0" w:space="0" w:color="auto"/>
      </w:divBdr>
    </w:div>
    <w:div w:id="1418090539">
      <w:bodyDiv w:val="1"/>
      <w:marLeft w:val="0"/>
      <w:marRight w:val="0"/>
      <w:marTop w:val="0"/>
      <w:marBottom w:val="0"/>
      <w:divBdr>
        <w:top w:val="none" w:sz="0" w:space="0" w:color="auto"/>
        <w:left w:val="none" w:sz="0" w:space="0" w:color="auto"/>
        <w:bottom w:val="none" w:sz="0" w:space="0" w:color="auto"/>
        <w:right w:val="none" w:sz="0" w:space="0" w:color="auto"/>
      </w:divBdr>
    </w:div>
    <w:div w:id="1447656820">
      <w:bodyDiv w:val="1"/>
      <w:marLeft w:val="0"/>
      <w:marRight w:val="0"/>
      <w:marTop w:val="0"/>
      <w:marBottom w:val="0"/>
      <w:divBdr>
        <w:top w:val="none" w:sz="0" w:space="0" w:color="auto"/>
        <w:left w:val="none" w:sz="0" w:space="0" w:color="auto"/>
        <w:bottom w:val="none" w:sz="0" w:space="0" w:color="auto"/>
        <w:right w:val="none" w:sz="0" w:space="0" w:color="auto"/>
      </w:divBdr>
    </w:div>
    <w:div w:id="1449467372">
      <w:bodyDiv w:val="1"/>
      <w:marLeft w:val="0"/>
      <w:marRight w:val="0"/>
      <w:marTop w:val="0"/>
      <w:marBottom w:val="0"/>
      <w:divBdr>
        <w:top w:val="none" w:sz="0" w:space="0" w:color="auto"/>
        <w:left w:val="none" w:sz="0" w:space="0" w:color="auto"/>
        <w:bottom w:val="none" w:sz="0" w:space="0" w:color="auto"/>
        <w:right w:val="none" w:sz="0" w:space="0" w:color="auto"/>
      </w:divBdr>
    </w:div>
    <w:div w:id="1453984585">
      <w:bodyDiv w:val="1"/>
      <w:marLeft w:val="0"/>
      <w:marRight w:val="0"/>
      <w:marTop w:val="0"/>
      <w:marBottom w:val="0"/>
      <w:divBdr>
        <w:top w:val="none" w:sz="0" w:space="0" w:color="auto"/>
        <w:left w:val="none" w:sz="0" w:space="0" w:color="auto"/>
        <w:bottom w:val="none" w:sz="0" w:space="0" w:color="auto"/>
        <w:right w:val="none" w:sz="0" w:space="0" w:color="auto"/>
      </w:divBdr>
      <w:divsChild>
        <w:div w:id="1258321290">
          <w:marLeft w:val="0"/>
          <w:marRight w:val="0"/>
          <w:marTop w:val="0"/>
          <w:marBottom w:val="0"/>
          <w:divBdr>
            <w:top w:val="none" w:sz="0" w:space="0" w:color="auto"/>
            <w:left w:val="none" w:sz="0" w:space="0" w:color="auto"/>
            <w:bottom w:val="none" w:sz="0" w:space="0" w:color="auto"/>
            <w:right w:val="none" w:sz="0" w:space="0" w:color="auto"/>
          </w:divBdr>
        </w:div>
      </w:divsChild>
    </w:div>
    <w:div w:id="1458836534">
      <w:bodyDiv w:val="1"/>
      <w:marLeft w:val="0"/>
      <w:marRight w:val="0"/>
      <w:marTop w:val="0"/>
      <w:marBottom w:val="0"/>
      <w:divBdr>
        <w:top w:val="none" w:sz="0" w:space="0" w:color="auto"/>
        <w:left w:val="none" w:sz="0" w:space="0" w:color="auto"/>
        <w:bottom w:val="none" w:sz="0" w:space="0" w:color="auto"/>
        <w:right w:val="none" w:sz="0" w:space="0" w:color="auto"/>
      </w:divBdr>
      <w:divsChild>
        <w:div w:id="468787081">
          <w:marLeft w:val="0"/>
          <w:marRight w:val="0"/>
          <w:marTop w:val="0"/>
          <w:marBottom w:val="0"/>
          <w:divBdr>
            <w:top w:val="none" w:sz="0" w:space="0" w:color="auto"/>
            <w:left w:val="none" w:sz="0" w:space="0" w:color="auto"/>
            <w:bottom w:val="none" w:sz="0" w:space="0" w:color="auto"/>
            <w:right w:val="none" w:sz="0" w:space="0" w:color="auto"/>
          </w:divBdr>
        </w:div>
      </w:divsChild>
    </w:div>
    <w:div w:id="1746100805">
      <w:bodyDiv w:val="1"/>
      <w:marLeft w:val="0"/>
      <w:marRight w:val="0"/>
      <w:marTop w:val="0"/>
      <w:marBottom w:val="0"/>
      <w:divBdr>
        <w:top w:val="none" w:sz="0" w:space="0" w:color="auto"/>
        <w:left w:val="none" w:sz="0" w:space="0" w:color="auto"/>
        <w:bottom w:val="none" w:sz="0" w:space="0" w:color="auto"/>
        <w:right w:val="none" w:sz="0" w:space="0" w:color="auto"/>
      </w:divBdr>
    </w:div>
    <w:div w:id="1755545152">
      <w:bodyDiv w:val="1"/>
      <w:marLeft w:val="0"/>
      <w:marRight w:val="0"/>
      <w:marTop w:val="0"/>
      <w:marBottom w:val="0"/>
      <w:divBdr>
        <w:top w:val="none" w:sz="0" w:space="0" w:color="auto"/>
        <w:left w:val="none" w:sz="0" w:space="0" w:color="auto"/>
        <w:bottom w:val="none" w:sz="0" w:space="0" w:color="auto"/>
        <w:right w:val="none" w:sz="0" w:space="0" w:color="auto"/>
      </w:divBdr>
      <w:divsChild>
        <w:div w:id="1610817541">
          <w:marLeft w:val="0"/>
          <w:marRight w:val="0"/>
          <w:marTop w:val="0"/>
          <w:marBottom w:val="0"/>
          <w:divBdr>
            <w:top w:val="none" w:sz="0" w:space="0" w:color="auto"/>
            <w:left w:val="none" w:sz="0" w:space="0" w:color="auto"/>
            <w:bottom w:val="none" w:sz="0" w:space="0" w:color="auto"/>
            <w:right w:val="none" w:sz="0" w:space="0" w:color="auto"/>
          </w:divBdr>
        </w:div>
      </w:divsChild>
    </w:div>
    <w:div w:id="1765228847">
      <w:bodyDiv w:val="1"/>
      <w:marLeft w:val="0"/>
      <w:marRight w:val="0"/>
      <w:marTop w:val="0"/>
      <w:marBottom w:val="0"/>
      <w:divBdr>
        <w:top w:val="none" w:sz="0" w:space="0" w:color="auto"/>
        <w:left w:val="none" w:sz="0" w:space="0" w:color="auto"/>
        <w:bottom w:val="none" w:sz="0" w:space="0" w:color="auto"/>
        <w:right w:val="none" w:sz="0" w:space="0" w:color="auto"/>
      </w:divBdr>
      <w:divsChild>
        <w:div w:id="1053311607">
          <w:marLeft w:val="0"/>
          <w:marRight w:val="0"/>
          <w:marTop w:val="0"/>
          <w:marBottom w:val="0"/>
          <w:divBdr>
            <w:top w:val="none" w:sz="0" w:space="0" w:color="auto"/>
            <w:left w:val="none" w:sz="0" w:space="0" w:color="auto"/>
            <w:bottom w:val="none" w:sz="0" w:space="0" w:color="auto"/>
            <w:right w:val="none" w:sz="0" w:space="0" w:color="auto"/>
          </w:divBdr>
        </w:div>
      </w:divsChild>
    </w:div>
    <w:div w:id="1777863316">
      <w:bodyDiv w:val="1"/>
      <w:marLeft w:val="0"/>
      <w:marRight w:val="0"/>
      <w:marTop w:val="0"/>
      <w:marBottom w:val="0"/>
      <w:divBdr>
        <w:top w:val="none" w:sz="0" w:space="0" w:color="auto"/>
        <w:left w:val="none" w:sz="0" w:space="0" w:color="auto"/>
        <w:bottom w:val="none" w:sz="0" w:space="0" w:color="auto"/>
        <w:right w:val="none" w:sz="0" w:space="0" w:color="auto"/>
      </w:divBdr>
    </w:div>
    <w:div w:id="1784567271">
      <w:bodyDiv w:val="1"/>
      <w:marLeft w:val="0"/>
      <w:marRight w:val="0"/>
      <w:marTop w:val="0"/>
      <w:marBottom w:val="0"/>
      <w:divBdr>
        <w:top w:val="none" w:sz="0" w:space="0" w:color="auto"/>
        <w:left w:val="none" w:sz="0" w:space="0" w:color="auto"/>
        <w:bottom w:val="none" w:sz="0" w:space="0" w:color="auto"/>
        <w:right w:val="none" w:sz="0" w:space="0" w:color="auto"/>
      </w:divBdr>
      <w:divsChild>
        <w:div w:id="220092822">
          <w:marLeft w:val="0"/>
          <w:marRight w:val="0"/>
          <w:marTop w:val="0"/>
          <w:marBottom w:val="0"/>
          <w:divBdr>
            <w:top w:val="none" w:sz="0" w:space="0" w:color="auto"/>
            <w:left w:val="none" w:sz="0" w:space="0" w:color="auto"/>
            <w:bottom w:val="none" w:sz="0" w:space="0" w:color="auto"/>
            <w:right w:val="none" w:sz="0" w:space="0" w:color="auto"/>
          </w:divBdr>
        </w:div>
      </w:divsChild>
    </w:div>
    <w:div w:id="1806121367">
      <w:bodyDiv w:val="1"/>
      <w:marLeft w:val="0"/>
      <w:marRight w:val="0"/>
      <w:marTop w:val="0"/>
      <w:marBottom w:val="0"/>
      <w:divBdr>
        <w:top w:val="none" w:sz="0" w:space="0" w:color="auto"/>
        <w:left w:val="none" w:sz="0" w:space="0" w:color="auto"/>
        <w:bottom w:val="none" w:sz="0" w:space="0" w:color="auto"/>
        <w:right w:val="none" w:sz="0" w:space="0" w:color="auto"/>
      </w:divBdr>
    </w:div>
    <w:div w:id="1832216102">
      <w:bodyDiv w:val="1"/>
      <w:marLeft w:val="0"/>
      <w:marRight w:val="0"/>
      <w:marTop w:val="0"/>
      <w:marBottom w:val="0"/>
      <w:divBdr>
        <w:top w:val="none" w:sz="0" w:space="0" w:color="auto"/>
        <w:left w:val="none" w:sz="0" w:space="0" w:color="auto"/>
        <w:bottom w:val="none" w:sz="0" w:space="0" w:color="auto"/>
        <w:right w:val="none" w:sz="0" w:space="0" w:color="auto"/>
      </w:divBdr>
      <w:divsChild>
        <w:div w:id="52510931">
          <w:marLeft w:val="0"/>
          <w:marRight w:val="0"/>
          <w:marTop w:val="0"/>
          <w:marBottom w:val="0"/>
          <w:divBdr>
            <w:top w:val="none" w:sz="0" w:space="0" w:color="auto"/>
            <w:left w:val="none" w:sz="0" w:space="0" w:color="auto"/>
            <w:bottom w:val="none" w:sz="0" w:space="0" w:color="auto"/>
            <w:right w:val="none" w:sz="0" w:space="0" w:color="auto"/>
          </w:divBdr>
        </w:div>
        <w:div w:id="657854174">
          <w:marLeft w:val="0"/>
          <w:marRight w:val="0"/>
          <w:marTop w:val="0"/>
          <w:marBottom w:val="0"/>
          <w:divBdr>
            <w:top w:val="none" w:sz="0" w:space="0" w:color="auto"/>
            <w:left w:val="none" w:sz="0" w:space="0" w:color="auto"/>
            <w:bottom w:val="none" w:sz="0" w:space="0" w:color="auto"/>
            <w:right w:val="none" w:sz="0" w:space="0" w:color="auto"/>
          </w:divBdr>
        </w:div>
        <w:div w:id="1438522367">
          <w:marLeft w:val="0"/>
          <w:marRight w:val="0"/>
          <w:marTop w:val="0"/>
          <w:marBottom w:val="0"/>
          <w:divBdr>
            <w:top w:val="none" w:sz="0" w:space="0" w:color="auto"/>
            <w:left w:val="none" w:sz="0" w:space="0" w:color="auto"/>
            <w:bottom w:val="none" w:sz="0" w:space="0" w:color="auto"/>
            <w:right w:val="none" w:sz="0" w:space="0" w:color="auto"/>
          </w:divBdr>
        </w:div>
      </w:divsChild>
    </w:div>
    <w:div w:id="1836994628">
      <w:bodyDiv w:val="1"/>
      <w:marLeft w:val="0"/>
      <w:marRight w:val="0"/>
      <w:marTop w:val="0"/>
      <w:marBottom w:val="0"/>
      <w:divBdr>
        <w:top w:val="none" w:sz="0" w:space="0" w:color="auto"/>
        <w:left w:val="none" w:sz="0" w:space="0" w:color="auto"/>
        <w:bottom w:val="none" w:sz="0" w:space="0" w:color="auto"/>
        <w:right w:val="none" w:sz="0" w:space="0" w:color="auto"/>
      </w:divBdr>
    </w:div>
    <w:div w:id="1942951537">
      <w:bodyDiv w:val="1"/>
      <w:marLeft w:val="0"/>
      <w:marRight w:val="0"/>
      <w:marTop w:val="0"/>
      <w:marBottom w:val="0"/>
      <w:divBdr>
        <w:top w:val="none" w:sz="0" w:space="0" w:color="auto"/>
        <w:left w:val="none" w:sz="0" w:space="0" w:color="auto"/>
        <w:bottom w:val="none" w:sz="0" w:space="0" w:color="auto"/>
        <w:right w:val="none" w:sz="0" w:space="0" w:color="auto"/>
      </w:divBdr>
    </w:div>
    <w:div w:id="1966305958">
      <w:bodyDiv w:val="1"/>
      <w:marLeft w:val="0"/>
      <w:marRight w:val="0"/>
      <w:marTop w:val="0"/>
      <w:marBottom w:val="0"/>
      <w:divBdr>
        <w:top w:val="none" w:sz="0" w:space="0" w:color="auto"/>
        <w:left w:val="none" w:sz="0" w:space="0" w:color="auto"/>
        <w:bottom w:val="none" w:sz="0" w:space="0" w:color="auto"/>
        <w:right w:val="none" w:sz="0" w:space="0" w:color="auto"/>
      </w:divBdr>
    </w:div>
    <w:div w:id="2012752314">
      <w:bodyDiv w:val="1"/>
      <w:marLeft w:val="0"/>
      <w:marRight w:val="0"/>
      <w:marTop w:val="0"/>
      <w:marBottom w:val="0"/>
      <w:divBdr>
        <w:top w:val="none" w:sz="0" w:space="0" w:color="auto"/>
        <w:left w:val="none" w:sz="0" w:space="0" w:color="auto"/>
        <w:bottom w:val="none" w:sz="0" w:space="0" w:color="auto"/>
        <w:right w:val="none" w:sz="0" w:space="0" w:color="auto"/>
      </w:divBdr>
      <w:divsChild>
        <w:div w:id="1447313108">
          <w:marLeft w:val="0"/>
          <w:marRight w:val="0"/>
          <w:marTop w:val="0"/>
          <w:marBottom w:val="0"/>
          <w:divBdr>
            <w:top w:val="none" w:sz="0" w:space="0" w:color="auto"/>
            <w:left w:val="none" w:sz="0" w:space="0" w:color="auto"/>
            <w:bottom w:val="none" w:sz="0" w:space="0" w:color="auto"/>
            <w:right w:val="none" w:sz="0" w:space="0" w:color="auto"/>
          </w:divBdr>
        </w:div>
      </w:divsChild>
    </w:div>
    <w:div w:id="2044791944">
      <w:bodyDiv w:val="1"/>
      <w:marLeft w:val="0"/>
      <w:marRight w:val="0"/>
      <w:marTop w:val="0"/>
      <w:marBottom w:val="0"/>
      <w:divBdr>
        <w:top w:val="none" w:sz="0" w:space="0" w:color="auto"/>
        <w:left w:val="none" w:sz="0" w:space="0" w:color="auto"/>
        <w:bottom w:val="none" w:sz="0" w:space="0" w:color="auto"/>
        <w:right w:val="none" w:sz="0" w:space="0" w:color="auto"/>
      </w:divBdr>
    </w:div>
    <w:div w:id="2082174645">
      <w:bodyDiv w:val="1"/>
      <w:marLeft w:val="0"/>
      <w:marRight w:val="0"/>
      <w:marTop w:val="0"/>
      <w:marBottom w:val="0"/>
      <w:divBdr>
        <w:top w:val="none" w:sz="0" w:space="0" w:color="auto"/>
        <w:left w:val="none" w:sz="0" w:space="0" w:color="auto"/>
        <w:bottom w:val="none" w:sz="0" w:space="0" w:color="auto"/>
        <w:right w:val="none" w:sz="0" w:space="0" w:color="auto"/>
      </w:divBdr>
    </w:div>
    <w:div w:id="2089185542">
      <w:bodyDiv w:val="1"/>
      <w:marLeft w:val="0"/>
      <w:marRight w:val="0"/>
      <w:marTop w:val="0"/>
      <w:marBottom w:val="0"/>
      <w:divBdr>
        <w:top w:val="none" w:sz="0" w:space="0" w:color="auto"/>
        <w:left w:val="none" w:sz="0" w:space="0" w:color="auto"/>
        <w:bottom w:val="none" w:sz="0" w:space="0" w:color="auto"/>
        <w:right w:val="none" w:sz="0" w:space="0" w:color="auto"/>
      </w:divBdr>
      <w:divsChild>
        <w:div w:id="985403643">
          <w:marLeft w:val="0"/>
          <w:marRight w:val="0"/>
          <w:marTop w:val="0"/>
          <w:marBottom w:val="0"/>
          <w:divBdr>
            <w:top w:val="single" w:sz="6" w:space="0" w:color="CCCCCC"/>
            <w:left w:val="none" w:sz="0" w:space="0" w:color="auto"/>
            <w:bottom w:val="none" w:sz="0" w:space="0" w:color="auto"/>
            <w:right w:val="none" w:sz="0" w:space="0" w:color="auto"/>
          </w:divBdr>
          <w:divsChild>
            <w:div w:id="268508971">
              <w:marLeft w:val="0"/>
              <w:marRight w:val="0"/>
              <w:marTop w:val="0"/>
              <w:marBottom w:val="0"/>
              <w:divBdr>
                <w:top w:val="none" w:sz="0" w:space="0" w:color="auto"/>
                <w:left w:val="single" w:sz="6" w:space="0" w:color="CCCCCC"/>
                <w:bottom w:val="none" w:sz="0" w:space="0" w:color="auto"/>
                <w:right w:val="none" w:sz="0" w:space="0" w:color="auto"/>
              </w:divBdr>
              <w:divsChild>
                <w:div w:id="522793254">
                  <w:marLeft w:val="0"/>
                  <w:marRight w:val="0"/>
                  <w:marTop w:val="75"/>
                  <w:marBottom w:val="480"/>
                  <w:divBdr>
                    <w:top w:val="single" w:sz="6" w:space="0" w:color="888888"/>
                    <w:left w:val="single" w:sz="6" w:space="0" w:color="888888"/>
                    <w:bottom w:val="single" w:sz="6" w:space="0" w:color="888888"/>
                    <w:right w:val="single" w:sz="6" w:space="0" w:color="888888"/>
                  </w:divBdr>
                  <w:divsChild>
                    <w:div w:id="105677971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50132">
      <w:bodyDiv w:val="1"/>
      <w:marLeft w:val="0"/>
      <w:marRight w:val="0"/>
      <w:marTop w:val="0"/>
      <w:marBottom w:val="0"/>
      <w:divBdr>
        <w:top w:val="none" w:sz="0" w:space="0" w:color="auto"/>
        <w:left w:val="none" w:sz="0" w:space="0" w:color="auto"/>
        <w:bottom w:val="none" w:sz="0" w:space="0" w:color="auto"/>
        <w:right w:val="none" w:sz="0" w:space="0" w:color="auto"/>
      </w:divBdr>
      <w:divsChild>
        <w:div w:id="1331373918">
          <w:marLeft w:val="0"/>
          <w:marRight w:val="0"/>
          <w:marTop w:val="0"/>
          <w:marBottom w:val="0"/>
          <w:divBdr>
            <w:top w:val="none" w:sz="0" w:space="0" w:color="auto"/>
            <w:left w:val="none" w:sz="0" w:space="0" w:color="auto"/>
            <w:bottom w:val="none" w:sz="0" w:space="0" w:color="auto"/>
            <w:right w:val="none" w:sz="0" w:space="0" w:color="auto"/>
          </w:divBdr>
        </w:div>
        <w:div w:id="1495143038">
          <w:marLeft w:val="0"/>
          <w:marRight w:val="0"/>
          <w:marTop w:val="0"/>
          <w:marBottom w:val="0"/>
          <w:divBdr>
            <w:top w:val="none" w:sz="0" w:space="0" w:color="auto"/>
            <w:left w:val="none" w:sz="0" w:space="0" w:color="auto"/>
            <w:bottom w:val="none" w:sz="0" w:space="0" w:color="auto"/>
            <w:right w:val="none" w:sz="0" w:space="0" w:color="auto"/>
          </w:divBdr>
        </w:div>
        <w:div w:id="206825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oleObject" Target="embeddings/oleObject1.bin"/><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rs.gov/pub/irs-pdf/p3744.pdf" TargetMode="External"/><Relationship Id="rId2" Type="http://schemas.openxmlformats.org/officeDocument/2006/relationships/hyperlink" Target="http://www.urban.org/publications/411496.html" TargetMode="External"/><Relationship Id="rId1" Type="http://schemas.openxmlformats.org/officeDocument/2006/relationships/hyperlink" Target="http://www.irs.taxstats" TargetMode="External"/><Relationship Id="rId4" Type="http://schemas.openxmlformats.org/officeDocument/2006/relationships/hyperlink" Target="http://www.irs.gov/taxstats/article/0,,id=211513,00.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2"/>
      <c:hPercent val="72"/>
      <c:rotY val="337"/>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991869918699187"/>
          <c:y val="5.6701030927835343E-2"/>
          <c:w val="0.63414634146341464"/>
          <c:h val="0.57216494845360821"/>
        </c:manualLayout>
      </c:layout>
      <c:bar3DChart>
        <c:barDir val="col"/>
        <c:grouping val="clustered"/>
        <c:ser>
          <c:idx val="0"/>
          <c:order val="0"/>
          <c:tx>
            <c:strRef>
              <c:f>Sheet1!$A$2</c:f>
              <c:strCache>
                <c:ptCount val="1"/>
                <c:pt idx="0">
                  <c:v>Civil</c:v>
                </c:pt>
              </c:strCache>
            </c:strRef>
          </c:tx>
          <c:spPr>
            <a:solidFill>
              <a:srgbClr val="BBE0E3"/>
            </a:solidFill>
            <a:ln w="12650">
              <a:solidFill>
                <a:srgbClr val="000000"/>
              </a:solidFill>
              <a:prstDash val="solid"/>
            </a:ln>
          </c:spPr>
          <c:cat>
            <c:strRef>
              <c:f>Sheet1!$B$1:$J$1</c:f>
              <c:strCache>
                <c:ptCount val="9"/>
                <c:pt idx="0">
                  <c:v>FY05</c:v>
                </c:pt>
                <c:pt idx="1">
                  <c:v>FY06</c:v>
                </c:pt>
                <c:pt idx="2">
                  <c:v>FY07</c:v>
                </c:pt>
                <c:pt idx="3">
                  <c:v>FY08</c:v>
                </c:pt>
                <c:pt idx="4">
                  <c:v>FY09</c:v>
                </c:pt>
                <c:pt idx="5">
                  <c:v>FY10 </c:v>
                </c:pt>
                <c:pt idx="6">
                  <c:v>FY11</c:v>
                </c:pt>
                <c:pt idx="7">
                  <c:v>FY12 target</c:v>
                </c:pt>
                <c:pt idx="8">
                  <c:v>FY12 target</c:v>
                </c:pt>
              </c:strCache>
            </c:strRef>
          </c:cat>
          <c:val>
            <c:numRef>
              <c:f>Sheet1!$B$2:$J$2</c:f>
              <c:numCache>
                <c:formatCode>0%</c:formatCode>
                <c:ptCount val="9"/>
                <c:pt idx="0">
                  <c:v>0.95900000026295951</c:v>
                </c:pt>
                <c:pt idx="1">
                  <c:v>0.96480000000000188</c:v>
                </c:pt>
                <c:pt idx="2">
                  <c:v>0.96000000000000063</c:v>
                </c:pt>
                <c:pt idx="3">
                  <c:v>0.96000000000000063</c:v>
                </c:pt>
                <c:pt idx="4">
                  <c:v>0.97000000000000064</c:v>
                </c:pt>
                <c:pt idx="5">
                  <c:v>0.97000000000000064</c:v>
                </c:pt>
                <c:pt idx="6">
                  <c:v>0.97000000000000064</c:v>
                </c:pt>
                <c:pt idx="7">
                  <c:v>0.9</c:v>
                </c:pt>
                <c:pt idx="8">
                  <c:v>0.9</c:v>
                </c:pt>
              </c:numCache>
            </c:numRef>
          </c:val>
        </c:ser>
        <c:ser>
          <c:idx val="1"/>
          <c:order val="1"/>
          <c:tx>
            <c:strRef>
              <c:f>Sheet1!$A$3</c:f>
              <c:strCache>
                <c:ptCount val="1"/>
                <c:pt idx="0">
                  <c:v>Criminal</c:v>
                </c:pt>
              </c:strCache>
            </c:strRef>
          </c:tx>
          <c:spPr>
            <a:solidFill>
              <a:srgbClr val="993366"/>
            </a:solidFill>
            <a:ln w="12650">
              <a:solidFill>
                <a:srgbClr val="000000"/>
              </a:solidFill>
              <a:prstDash val="solid"/>
            </a:ln>
          </c:spPr>
          <c:cat>
            <c:strRef>
              <c:f>Sheet1!$B$1:$J$1</c:f>
              <c:strCache>
                <c:ptCount val="9"/>
                <c:pt idx="0">
                  <c:v>FY05</c:v>
                </c:pt>
                <c:pt idx="1">
                  <c:v>FY06</c:v>
                </c:pt>
                <c:pt idx="2">
                  <c:v>FY07</c:v>
                </c:pt>
                <c:pt idx="3">
                  <c:v>FY08</c:v>
                </c:pt>
                <c:pt idx="4">
                  <c:v>FY09</c:v>
                </c:pt>
                <c:pt idx="5">
                  <c:v>FY10 </c:v>
                </c:pt>
                <c:pt idx="6">
                  <c:v>FY11</c:v>
                </c:pt>
                <c:pt idx="7">
                  <c:v>FY12 target</c:v>
                </c:pt>
                <c:pt idx="8">
                  <c:v>FY12 target</c:v>
                </c:pt>
              </c:strCache>
            </c:strRef>
          </c:cat>
          <c:val>
            <c:numRef>
              <c:f>Sheet1!$B$3:$J$3</c:f>
              <c:numCache>
                <c:formatCode>0%</c:formatCode>
                <c:ptCount val="9"/>
                <c:pt idx="0">
                  <c:v>0.97700000000000065</c:v>
                </c:pt>
                <c:pt idx="1">
                  <c:v>0.96970000000000212</c:v>
                </c:pt>
                <c:pt idx="2">
                  <c:v>0.97000000000000064</c:v>
                </c:pt>
                <c:pt idx="3">
                  <c:v>0.95000000000000062</c:v>
                </c:pt>
                <c:pt idx="4">
                  <c:v>0.98</c:v>
                </c:pt>
                <c:pt idx="5">
                  <c:v>1</c:v>
                </c:pt>
                <c:pt idx="6">
                  <c:v>0.97000000000000064</c:v>
                </c:pt>
                <c:pt idx="7">
                  <c:v>0.95000000000000062</c:v>
                </c:pt>
                <c:pt idx="8">
                  <c:v>0.95000000000000062</c:v>
                </c:pt>
              </c:numCache>
            </c:numRef>
          </c:val>
        </c:ser>
        <c:gapDepth val="0"/>
        <c:shape val="box"/>
        <c:axId val="217883392"/>
        <c:axId val="217884928"/>
        <c:axId val="0"/>
      </c:bar3DChart>
      <c:catAx>
        <c:axId val="217883392"/>
        <c:scaling>
          <c:orientation val="minMax"/>
        </c:scaling>
        <c:axPos val="b"/>
        <c:numFmt formatCode="General" sourceLinked="1"/>
        <c:tickLblPos val="low"/>
        <c:spPr>
          <a:ln w="3163">
            <a:solidFill>
              <a:srgbClr val="000000"/>
            </a:solidFill>
            <a:prstDash val="solid"/>
          </a:ln>
        </c:spPr>
        <c:txPr>
          <a:bodyPr rot="-2700000" vert="horz"/>
          <a:lstStyle/>
          <a:p>
            <a:pPr>
              <a:defRPr sz="623" b="1" i="0" u="none" strike="noStrike" baseline="0">
                <a:solidFill>
                  <a:srgbClr val="000000"/>
                </a:solidFill>
                <a:latin typeface="Arial"/>
                <a:ea typeface="Arial"/>
                <a:cs typeface="Arial"/>
              </a:defRPr>
            </a:pPr>
            <a:endParaRPr lang="en-US"/>
          </a:p>
        </c:txPr>
        <c:crossAx val="217884928"/>
        <c:crossesAt val="0.5"/>
        <c:auto val="1"/>
        <c:lblAlgn val="ctr"/>
        <c:lblOffset val="100"/>
        <c:tickLblSkip val="1"/>
        <c:tickMarkSkip val="1"/>
      </c:catAx>
      <c:valAx>
        <c:axId val="217884928"/>
        <c:scaling>
          <c:orientation val="minMax"/>
          <c:max val="1"/>
          <c:min val="0.5"/>
        </c:scaling>
        <c:axPos val="r"/>
        <c:majorGridlines>
          <c:spPr>
            <a:ln w="3163">
              <a:solidFill>
                <a:srgbClr val="000000"/>
              </a:solidFill>
              <a:prstDash val="solid"/>
            </a:ln>
          </c:spPr>
        </c:majorGridlines>
        <c:numFmt formatCode="0%" sourceLinked="1"/>
        <c:tickLblPos val="nextTo"/>
        <c:spPr>
          <a:ln w="3163">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en-US"/>
          </a:p>
        </c:txPr>
        <c:crossAx val="217883392"/>
        <c:crosses val="max"/>
        <c:crossBetween val="between"/>
        <c:majorUnit val="0.1"/>
        <c:minorUnit val="0.1"/>
      </c:valAx>
      <c:spPr>
        <a:noFill/>
        <a:ln w="25301">
          <a:noFill/>
        </a:ln>
      </c:spPr>
    </c:plotArea>
    <c:legend>
      <c:legendPos val="b"/>
      <c:layout>
        <c:manualLayout>
          <c:xMode val="edge"/>
          <c:yMode val="edge"/>
          <c:x val="0.33333333333333331"/>
          <c:y val="0.92268041237113696"/>
          <c:w val="0.36178861788617983"/>
          <c:h val="8.2474226804123682E-2"/>
        </c:manualLayout>
      </c:layout>
      <c:spPr>
        <a:noFill/>
        <a:ln w="3163">
          <a:solidFill>
            <a:srgbClr val="000000"/>
          </a:solidFill>
          <a:prstDash val="solid"/>
        </a:ln>
      </c:spPr>
      <c:txPr>
        <a:bodyPr/>
        <a:lstStyle/>
        <a:p>
          <a:pPr>
            <a:defRPr sz="548"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697"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797" b="1" i="0" u="none" strike="noStrike" baseline="0">
                <a:solidFill>
                  <a:srgbClr val="000000"/>
                </a:solidFill>
                <a:latin typeface="Arial"/>
                <a:ea typeface="Arial"/>
                <a:cs typeface="Arial"/>
              </a:defRPr>
            </a:pPr>
            <a:r>
              <a:rPr lang="en-US"/>
              <a:t>Success Rate for Criminal Tax Cases </a:t>
            </a:r>
          </a:p>
        </c:rich>
      </c:tx>
      <c:layout>
        <c:manualLayout>
          <c:xMode val="edge"/>
          <c:yMode val="edge"/>
          <c:x val="0.22014925373134378"/>
          <c:y val="0"/>
        </c:manualLayout>
      </c:layout>
      <c:spPr>
        <a:noFill/>
        <a:ln w="25308">
          <a:noFill/>
        </a:ln>
      </c:spPr>
    </c:title>
    <c:view3D>
      <c:hPercent val="75"/>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1567164179104479"/>
          <c:y val="9.0196078431372978E-2"/>
          <c:w val="0.88432835820895528"/>
          <c:h val="0.6352941176470609"/>
        </c:manualLayout>
      </c:layout>
      <c:bar3DChart>
        <c:barDir val="col"/>
        <c:grouping val="clustered"/>
        <c:ser>
          <c:idx val="0"/>
          <c:order val="0"/>
          <c:tx>
            <c:strRef>
              <c:f>Sheet1!$A$2</c:f>
              <c:strCache>
                <c:ptCount val="1"/>
                <c:pt idx="0">
                  <c:v>Actual</c:v>
                </c:pt>
              </c:strCache>
            </c:strRef>
          </c:tx>
          <c:spPr>
            <a:solidFill>
              <a:srgbClr val="9999FF"/>
            </a:solidFill>
            <a:ln w="12654">
              <a:solidFill>
                <a:srgbClr val="000000"/>
              </a:solidFill>
              <a:prstDash val="solid"/>
            </a:ln>
          </c:spPr>
          <c:cat>
            <c:strRef>
              <c:f>Sheet1!$B$1:$J$1</c:f>
              <c:strCache>
                <c:ptCount val="9"/>
                <c:pt idx="0">
                  <c:v>FY05</c:v>
                </c:pt>
                <c:pt idx="1">
                  <c:v>FY06</c:v>
                </c:pt>
                <c:pt idx="2">
                  <c:v>FY07</c:v>
                </c:pt>
                <c:pt idx="3">
                  <c:v>FY08</c:v>
                </c:pt>
                <c:pt idx="4">
                  <c:v>FY09</c:v>
                </c:pt>
                <c:pt idx="5">
                  <c:v>FY10</c:v>
                </c:pt>
                <c:pt idx="6">
                  <c:v>FY11</c:v>
                </c:pt>
                <c:pt idx="7">
                  <c:v>FY12</c:v>
                </c:pt>
                <c:pt idx="8">
                  <c:v>FY13</c:v>
                </c:pt>
              </c:strCache>
            </c:strRef>
          </c:cat>
          <c:val>
            <c:numRef>
              <c:f>Sheet1!$B$2:$J$2</c:f>
              <c:numCache>
                <c:formatCode>0%</c:formatCode>
                <c:ptCount val="9"/>
                <c:pt idx="0">
                  <c:v>0.97500000013148236</c:v>
                </c:pt>
                <c:pt idx="1">
                  <c:v>0.96970000002629664</c:v>
                </c:pt>
                <c:pt idx="2">
                  <c:v>0.96970000002629664</c:v>
                </c:pt>
                <c:pt idx="3">
                  <c:v>0.95000000000000062</c:v>
                </c:pt>
                <c:pt idx="4">
                  <c:v>0.98</c:v>
                </c:pt>
                <c:pt idx="5">
                  <c:v>1</c:v>
                </c:pt>
                <c:pt idx="6">
                  <c:v>0.97000000000000064</c:v>
                </c:pt>
              </c:numCache>
            </c:numRef>
          </c:val>
        </c:ser>
        <c:ser>
          <c:idx val="1"/>
          <c:order val="1"/>
          <c:tx>
            <c:strRef>
              <c:f>Sheet1!$A$3</c:f>
              <c:strCache>
                <c:ptCount val="1"/>
                <c:pt idx="0">
                  <c:v>Projected</c:v>
                </c:pt>
              </c:strCache>
            </c:strRef>
          </c:tx>
          <c:spPr>
            <a:solidFill>
              <a:srgbClr val="800080"/>
            </a:solidFill>
            <a:ln w="12654">
              <a:solidFill>
                <a:srgbClr val="000000"/>
              </a:solidFill>
              <a:prstDash val="solid"/>
            </a:ln>
          </c:spPr>
          <c:cat>
            <c:strRef>
              <c:f>Sheet1!$B$1:$J$1</c:f>
              <c:strCache>
                <c:ptCount val="9"/>
                <c:pt idx="0">
                  <c:v>FY05</c:v>
                </c:pt>
                <c:pt idx="1">
                  <c:v>FY06</c:v>
                </c:pt>
                <c:pt idx="2">
                  <c:v>FY07</c:v>
                </c:pt>
                <c:pt idx="3">
                  <c:v>FY08</c:v>
                </c:pt>
                <c:pt idx="4">
                  <c:v>FY09</c:v>
                </c:pt>
                <c:pt idx="5">
                  <c:v>FY10</c:v>
                </c:pt>
                <c:pt idx="6">
                  <c:v>FY11</c:v>
                </c:pt>
                <c:pt idx="7">
                  <c:v>FY12</c:v>
                </c:pt>
                <c:pt idx="8">
                  <c:v>FY13</c:v>
                </c:pt>
              </c:strCache>
            </c:strRef>
          </c:cat>
          <c:val>
            <c:numRef>
              <c:f>Sheet1!$B$3:$J$3</c:f>
              <c:numCache>
                <c:formatCode>0%</c:formatCode>
                <c:ptCount val="9"/>
                <c:pt idx="0">
                  <c:v>0.95000000000000062</c:v>
                </c:pt>
                <c:pt idx="1">
                  <c:v>0.95000000000000062</c:v>
                </c:pt>
                <c:pt idx="2">
                  <c:v>0.95000000000000062</c:v>
                </c:pt>
                <c:pt idx="3">
                  <c:v>0.95000000000000062</c:v>
                </c:pt>
                <c:pt idx="4">
                  <c:v>0.95000000000000062</c:v>
                </c:pt>
                <c:pt idx="5">
                  <c:v>0.95000000000000062</c:v>
                </c:pt>
                <c:pt idx="6">
                  <c:v>0.95000000000000062</c:v>
                </c:pt>
                <c:pt idx="7">
                  <c:v>0.95000000000000062</c:v>
                </c:pt>
                <c:pt idx="8">
                  <c:v>0.95000000000000062</c:v>
                </c:pt>
              </c:numCache>
            </c:numRef>
          </c:val>
        </c:ser>
        <c:gapDepth val="0"/>
        <c:shape val="box"/>
        <c:axId val="217566208"/>
        <c:axId val="217576192"/>
        <c:axId val="0"/>
      </c:bar3DChart>
      <c:catAx>
        <c:axId val="217566208"/>
        <c:scaling>
          <c:orientation val="minMax"/>
        </c:scaling>
        <c:axPos val="b"/>
        <c:numFmt formatCode="General" sourceLinked="1"/>
        <c:tickLblPos val="low"/>
        <c:spPr>
          <a:ln w="3164">
            <a:solidFill>
              <a:srgbClr val="000000"/>
            </a:solidFill>
            <a:prstDash val="solid"/>
          </a:ln>
        </c:spPr>
        <c:txPr>
          <a:bodyPr rot="-2700000" vert="horz"/>
          <a:lstStyle/>
          <a:p>
            <a:pPr>
              <a:defRPr sz="673" b="1" i="0" u="none" strike="noStrike" baseline="0">
                <a:solidFill>
                  <a:srgbClr val="000000"/>
                </a:solidFill>
                <a:latin typeface="Arial"/>
                <a:ea typeface="Arial"/>
                <a:cs typeface="Arial"/>
              </a:defRPr>
            </a:pPr>
            <a:endParaRPr lang="en-US"/>
          </a:p>
        </c:txPr>
        <c:crossAx val="217576192"/>
        <c:crosses val="min"/>
        <c:auto val="1"/>
        <c:lblAlgn val="ctr"/>
        <c:lblOffset val="100"/>
        <c:tickLblSkip val="1"/>
        <c:tickMarkSkip val="1"/>
      </c:catAx>
      <c:valAx>
        <c:axId val="217576192"/>
        <c:scaling>
          <c:orientation val="minMax"/>
          <c:min val="0"/>
        </c:scaling>
        <c:axPos val="l"/>
        <c:majorGridlines>
          <c:spPr>
            <a:ln w="3164">
              <a:solidFill>
                <a:srgbClr val="000000"/>
              </a:solidFill>
              <a:prstDash val="solid"/>
            </a:ln>
          </c:spPr>
        </c:majorGridlines>
        <c:numFmt formatCode="0%" sourceLinked="1"/>
        <c:tickLblPos val="nextTo"/>
        <c:spPr>
          <a:ln w="3164">
            <a:solidFill>
              <a:srgbClr val="000000"/>
            </a:solidFill>
            <a:prstDash val="solid"/>
          </a:ln>
        </c:spPr>
        <c:txPr>
          <a:bodyPr rot="0" vert="horz"/>
          <a:lstStyle/>
          <a:p>
            <a:pPr>
              <a:defRPr sz="523" b="1" i="0" u="none" strike="noStrike" baseline="0">
                <a:solidFill>
                  <a:srgbClr val="000000"/>
                </a:solidFill>
                <a:latin typeface="Arial"/>
                <a:ea typeface="Arial"/>
                <a:cs typeface="Arial"/>
              </a:defRPr>
            </a:pPr>
            <a:endParaRPr lang="en-US"/>
          </a:p>
        </c:txPr>
        <c:crossAx val="217566208"/>
        <c:crosses val="autoZero"/>
        <c:crossBetween val="between"/>
        <c:minorUnit val="0.2"/>
      </c:valAx>
      <c:spPr>
        <a:noFill/>
        <a:ln w="25308">
          <a:noFill/>
        </a:ln>
      </c:spPr>
    </c:plotArea>
    <c:legend>
      <c:legendPos val="b"/>
      <c:layout>
        <c:manualLayout>
          <c:xMode val="edge"/>
          <c:yMode val="edge"/>
          <c:x val="0.2649253731343294"/>
          <c:y val="0.91372549019608118"/>
          <c:w val="0.59328358208955156"/>
          <c:h val="8.6274509803921484E-2"/>
        </c:manualLayout>
      </c:layout>
      <c:spPr>
        <a:solidFill>
          <a:srgbClr val="FFFFFF"/>
        </a:solidFill>
        <a:ln w="3164">
          <a:solidFill>
            <a:srgbClr val="000000"/>
          </a:solidFill>
          <a:prstDash val="solid"/>
        </a:ln>
      </c:spPr>
      <c:txPr>
        <a:bodyPr/>
        <a:lstStyle/>
        <a:p>
          <a:pPr>
            <a:defRPr sz="732"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797"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5"/>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4000000000000001"/>
          <c:y val="5.6521739130434782E-2"/>
          <c:w val="0.73666666666666669"/>
          <c:h val="0.63913043478260867"/>
        </c:manualLayout>
      </c:layout>
      <c:bar3DChart>
        <c:barDir val="col"/>
        <c:grouping val="clustered"/>
        <c:ser>
          <c:idx val="2"/>
          <c:order val="0"/>
          <c:tx>
            <c:strRef>
              <c:f>Sheet1!$A$2</c:f>
              <c:strCache>
                <c:ptCount val="1"/>
                <c:pt idx="0">
                  <c:v>Investigations Authorized</c:v>
                </c:pt>
              </c:strCache>
            </c:strRef>
          </c:tx>
          <c:spPr>
            <a:solidFill>
              <a:srgbClr val="009999"/>
            </a:solidFill>
            <a:ln w="12672">
              <a:solidFill>
                <a:srgbClr val="000000"/>
              </a:solidFill>
              <a:prstDash val="solid"/>
            </a:ln>
          </c:spPr>
          <c:cat>
            <c:strRef>
              <c:f>Sheet1!$B$1:$H$1</c:f>
              <c:strCache>
                <c:ptCount val="7"/>
                <c:pt idx="0">
                  <c:v>FY05</c:v>
                </c:pt>
                <c:pt idx="1">
                  <c:v>FY06</c:v>
                </c:pt>
                <c:pt idx="2">
                  <c:v>FY07</c:v>
                </c:pt>
                <c:pt idx="3">
                  <c:v>FY08</c:v>
                </c:pt>
                <c:pt idx="4">
                  <c:v>FY09</c:v>
                </c:pt>
                <c:pt idx="5">
                  <c:v>FY10</c:v>
                </c:pt>
                <c:pt idx="6">
                  <c:v>FY11</c:v>
                </c:pt>
              </c:strCache>
            </c:strRef>
          </c:cat>
          <c:val>
            <c:numRef>
              <c:f>Sheet1!$B$2:$H$2</c:f>
              <c:numCache>
                <c:formatCode>General</c:formatCode>
                <c:ptCount val="7"/>
                <c:pt idx="0">
                  <c:v>613</c:v>
                </c:pt>
                <c:pt idx="1">
                  <c:v>664</c:v>
                </c:pt>
                <c:pt idx="2">
                  <c:v>757</c:v>
                </c:pt>
                <c:pt idx="3">
                  <c:v>693</c:v>
                </c:pt>
                <c:pt idx="4">
                  <c:v>753</c:v>
                </c:pt>
                <c:pt idx="5">
                  <c:v>883</c:v>
                </c:pt>
                <c:pt idx="6">
                  <c:v>850</c:v>
                </c:pt>
              </c:numCache>
            </c:numRef>
          </c:val>
        </c:ser>
        <c:ser>
          <c:idx val="0"/>
          <c:order val="1"/>
          <c:tx>
            <c:strRef>
              <c:f>Sheet1!$A$3</c:f>
              <c:strCache>
                <c:ptCount val="1"/>
                <c:pt idx="0">
                  <c:v>Prosecutions Authorized </c:v>
                </c:pt>
              </c:strCache>
            </c:strRef>
          </c:tx>
          <c:spPr>
            <a:solidFill>
              <a:srgbClr val="BBE0E3"/>
            </a:solidFill>
            <a:ln w="12672">
              <a:solidFill>
                <a:srgbClr val="000000"/>
              </a:solidFill>
              <a:prstDash val="solid"/>
            </a:ln>
          </c:spPr>
          <c:cat>
            <c:strRef>
              <c:f>Sheet1!$B$1:$H$1</c:f>
              <c:strCache>
                <c:ptCount val="7"/>
                <c:pt idx="0">
                  <c:v>FY05</c:v>
                </c:pt>
                <c:pt idx="1">
                  <c:v>FY06</c:v>
                </c:pt>
                <c:pt idx="2">
                  <c:v>FY07</c:v>
                </c:pt>
                <c:pt idx="3">
                  <c:v>FY08</c:v>
                </c:pt>
                <c:pt idx="4">
                  <c:v>FY09</c:v>
                </c:pt>
                <c:pt idx="5">
                  <c:v>FY10</c:v>
                </c:pt>
                <c:pt idx="6">
                  <c:v>FY11</c:v>
                </c:pt>
              </c:strCache>
            </c:strRef>
          </c:cat>
          <c:val>
            <c:numRef>
              <c:f>Sheet1!$B$3:$H$3</c:f>
              <c:numCache>
                <c:formatCode>General</c:formatCode>
                <c:ptCount val="7"/>
                <c:pt idx="0">
                  <c:v>1274</c:v>
                </c:pt>
                <c:pt idx="1">
                  <c:v>1180</c:v>
                </c:pt>
                <c:pt idx="2">
                  <c:v>1284</c:v>
                </c:pt>
                <c:pt idx="3">
                  <c:v>1283</c:v>
                </c:pt>
                <c:pt idx="4">
                  <c:v>1210</c:v>
                </c:pt>
                <c:pt idx="5">
                  <c:v>1381</c:v>
                </c:pt>
                <c:pt idx="6">
                  <c:v>1470</c:v>
                </c:pt>
              </c:numCache>
            </c:numRef>
          </c:val>
        </c:ser>
        <c:gapDepth val="0"/>
        <c:shape val="box"/>
        <c:axId val="218010368"/>
        <c:axId val="218011904"/>
        <c:axId val="0"/>
      </c:bar3DChart>
      <c:catAx>
        <c:axId val="218010368"/>
        <c:scaling>
          <c:orientation val="minMax"/>
        </c:scaling>
        <c:axPos val="b"/>
        <c:numFmt formatCode="General" sourceLinked="1"/>
        <c:tickLblPos val="low"/>
        <c:spPr>
          <a:ln w="3168">
            <a:solidFill>
              <a:srgbClr val="000000"/>
            </a:solidFill>
            <a:prstDash val="solid"/>
          </a:ln>
        </c:spPr>
        <c:txPr>
          <a:bodyPr rot="-2700000" vert="horz"/>
          <a:lstStyle/>
          <a:p>
            <a:pPr>
              <a:defRPr sz="798" b="1" i="0" u="none" strike="noStrike" baseline="0">
                <a:solidFill>
                  <a:srgbClr val="000000"/>
                </a:solidFill>
                <a:latin typeface="Arial"/>
                <a:ea typeface="Arial"/>
                <a:cs typeface="Arial"/>
              </a:defRPr>
            </a:pPr>
            <a:endParaRPr lang="en-US"/>
          </a:p>
        </c:txPr>
        <c:crossAx val="218011904"/>
        <c:crosses val="autoZero"/>
        <c:auto val="1"/>
        <c:lblAlgn val="ctr"/>
        <c:lblOffset val="100"/>
        <c:tickLblSkip val="1"/>
        <c:tickMarkSkip val="1"/>
      </c:catAx>
      <c:valAx>
        <c:axId val="218011904"/>
        <c:scaling>
          <c:orientation val="minMax"/>
          <c:max val="2000"/>
        </c:scaling>
        <c:axPos val="l"/>
        <c:majorGridlines>
          <c:spPr>
            <a:ln w="3168">
              <a:solidFill>
                <a:srgbClr val="000000"/>
              </a:solidFill>
              <a:prstDash val="solid"/>
            </a:ln>
          </c:spPr>
        </c:majorGridlines>
        <c:numFmt formatCode="#,##0" sourceLinked="0"/>
        <c:tickLblPos val="nextTo"/>
        <c:spPr>
          <a:ln w="3168">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218010368"/>
        <c:crosses val="autoZero"/>
        <c:crossBetween val="between"/>
      </c:valAx>
      <c:spPr>
        <a:noFill/>
        <a:ln w="25344">
          <a:noFill/>
        </a:ln>
      </c:spPr>
    </c:plotArea>
    <c:legend>
      <c:legendPos val="b"/>
      <c:layout>
        <c:manualLayout>
          <c:xMode val="edge"/>
          <c:yMode val="edge"/>
          <c:x val="2.0000000000000011E-2"/>
          <c:y val="0.87826086956521743"/>
          <c:w val="0.97000000000000064"/>
          <c:h val="7.3913043478260873E-2"/>
        </c:manualLayout>
      </c:layout>
      <c:spPr>
        <a:noFill/>
        <a:ln w="3168">
          <a:solidFill>
            <a:srgbClr val="000000"/>
          </a:solidFill>
          <a:prstDash val="solid"/>
        </a:ln>
      </c:spPr>
      <c:txPr>
        <a:bodyPr/>
        <a:lstStyle/>
        <a:p>
          <a:pPr>
            <a:defRPr sz="708"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48" b="1"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3"/>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9691119691119763"/>
          <c:y val="4.0540540540540543E-2"/>
          <c:w val="0.80308880308880548"/>
          <c:h val="0.56306306306306309"/>
        </c:manualLayout>
      </c:layout>
      <c:bar3DChart>
        <c:barDir val="col"/>
        <c:grouping val="clustered"/>
        <c:ser>
          <c:idx val="0"/>
          <c:order val="0"/>
          <c:tx>
            <c:strRef>
              <c:f>Sheet1!$A$2</c:f>
              <c:strCache>
                <c:ptCount val="1"/>
                <c:pt idx="0">
                  <c:v>Appellate Courts - Gov't &amp; Cross Appeals</c:v>
                </c:pt>
              </c:strCache>
            </c:strRef>
          </c:tx>
          <c:spPr>
            <a:solidFill>
              <a:srgbClr val="BBE0E3"/>
            </a:solidFill>
            <a:ln w="12652">
              <a:solidFill>
                <a:srgbClr val="000000"/>
              </a:solidFill>
              <a:prstDash val="solid"/>
            </a:ln>
          </c:spPr>
          <c:cat>
            <c:strRef>
              <c:f>Sheet1!$B$1:$J$1</c:f>
              <c:strCache>
                <c:ptCount val="9"/>
                <c:pt idx="0">
                  <c:v>FY05</c:v>
                </c:pt>
                <c:pt idx="1">
                  <c:v>FY06</c:v>
                </c:pt>
                <c:pt idx="2">
                  <c:v>FY07</c:v>
                </c:pt>
                <c:pt idx="3">
                  <c:v>FY08</c:v>
                </c:pt>
                <c:pt idx="4">
                  <c:v>FY09</c:v>
                </c:pt>
                <c:pt idx="5">
                  <c:v>FY10</c:v>
                </c:pt>
                <c:pt idx="6">
                  <c:v>FY11 </c:v>
                </c:pt>
                <c:pt idx="7">
                  <c:v>FY12 target</c:v>
                </c:pt>
                <c:pt idx="8">
                  <c:v>FY13 target</c:v>
                </c:pt>
              </c:strCache>
            </c:strRef>
          </c:cat>
          <c:val>
            <c:numRef>
              <c:f>Sheet1!$B$2:$J$2</c:f>
              <c:numCache>
                <c:formatCode>0.0%</c:formatCode>
                <c:ptCount val="9"/>
                <c:pt idx="0">
                  <c:v>0.6000000000000002</c:v>
                </c:pt>
                <c:pt idx="1">
                  <c:v>0.78</c:v>
                </c:pt>
                <c:pt idx="2">
                  <c:v>0.56000000000000005</c:v>
                </c:pt>
                <c:pt idx="3">
                  <c:v>0.68</c:v>
                </c:pt>
                <c:pt idx="4">
                  <c:v>0.7220000000000002</c:v>
                </c:pt>
                <c:pt idx="5">
                  <c:v>0.6000000000000002</c:v>
                </c:pt>
                <c:pt idx="6" formatCode="0.00%">
                  <c:v>0.6000000000000002</c:v>
                </c:pt>
                <c:pt idx="7" formatCode="0.00%">
                  <c:v>0.6000000000000002</c:v>
                </c:pt>
                <c:pt idx="8" formatCode="0%">
                  <c:v>0.9</c:v>
                </c:pt>
              </c:numCache>
            </c:numRef>
          </c:val>
        </c:ser>
        <c:ser>
          <c:idx val="1"/>
          <c:order val="1"/>
          <c:tx>
            <c:strRef>
              <c:f>Sheet1!$A$3</c:f>
              <c:strCache>
                <c:ptCount val="1"/>
                <c:pt idx="0">
                  <c:v>Appellate Courts - Taxpayer Appeals</c:v>
                </c:pt>
              </c:strCache>
            </c:strRef>
          </c:tx>
          <c:spPr>
            <a:solidFill>
              <a:srgbClr val="993366"/>
            </a:solidFill>
            <a:ln w="12652">
              <a:solidFill>
                <a:srgbClr val="000000"/>
              </a:solidFill>
              <a:prstDash val="solid"/>
            </a:ln>
          </c:spPr>
          <c:cat>
            <c:strRef>
              <c:f>Sheet1!$B$1:$J$1</c:f>
              <c:strCache>
                <c:ptCount val="9"/>
                <c:pt idx="0">
                  <c:v>FY05</c:v>
                </c:pt>
                <c:pt idx="1">
                  <c:v>FY06</c:v>
                </c:pt>
                <c:pt idx="2">
                  <c:v>FY07</c:v>
                </c:pt>
                <c:pt idx="3">
                  <c:v>FY08</c:v>
                </c:pt>
                <c:pt idx="4">
                  <c:v>FY09</c:v>
                </c:pt>
                <c:pt idx="5">
                  <c:v>FY10</c:v>
                </c:pt>
                <c:pt idx="6">
                  <c:v>FY11 </c:v>
                </c:pt>
                <c:pt idx="7">
                  <c:v>FY12 target</c:v>
                </c:pt>
                <c:pt idx="8">
                  <c:v>FY13 target</c:v>
                </c:pt>
              </c:strCache>
            </c:strRef>
          </c:cat>
          <c:val>
            <c:numRef>
              <c:f>Sheet1!$B$3:$J$3</c:f>
              <c:numCache>
                <c:formatCode>0.0%</c:formatCode>
                <c:ptCount val="9"/>
                <c:pt idx="0">
                  <c:v>0.95200000000000018</c:v>
                </c:pt>
                <c:pt idx="1">
                  <c:v>0.9700000000000002</c:v>
                </c:pt>
                <c:pt idx="2">
                  <c:v>0.9700000000000002</c:v>
                </c:pt>
                <c:pt idx="3">
                  <c:v>0.9700000000000002</c:v>
                </c:pt>
                <c:pt idx="4">
                  <c:v>0.95730000000000004</c:v>
                </c:pt>
                <c:pt idx="5">
                  <c:v>0.96000000000000019</c:v>
                </c:pt>
                <c:pt idx="6" formatCode="0.00%">
                  <c:v>0.8500000000000002</c:v>
                </c:pt>
                <c:pt idx="7" formatCode="0.00%">
                  <c:v>0.8500000000000002</c:v>
                </c:pt>
                <c:pt idx="8" formatCode="0%">
                  <c:v>0.8500000000000002</c:v>
                </c:pt>
              </c:numCache>
            </c:numRef>
          </c:val>
        </c:ser>
        <c:ser>
          <c:idx val="2"/>
          <c:order val="2"/>
          <c:tx>
            <c:strRef>
              <c:f>Sheet1!$A$4</c:f>
              <c:strCache>
                <c:ptCount val="1"/>
                <c:pt idx="0">
                  <c:v>Trial Courts</c:v>
                </c:pt>
              </c:strCache>
            </c:strRef>
          </c:tx>
          <c:spPr>
            <a:solidFill>
              <a:srgbClr val="FFFF99"/>
            </a:solidFill>
            <a:ln w="12652">
              <a:solidFill>
                <a:srgbClr val="000000"/>
              </a:solidFill>
              <a:prstDash val="solid"/>
            </a:ln>
          </c:spPr>
          <c:cat>
            <c:strRef>
              <c:f>Sheet1!$B$1:$J$1</c:f>
              <c:strCache>
                <c:ptCount val="9"/>
                <c:pt idx="0">
                  <c:v>FY05</c:v>
                </c:pt>
                <c:pt idx="1">
                  <c:v>FY06</c:v>
                </c:pt>
                <c:pt idx="2">
                  <c:v>FY07</c:v>
                </c:pt>
                <c:pt idx="3">
                  <c:v>FY08</c:v>
                </c:pt>
                <c:pt idx="4">
                  <c:v>FY09</c:v>
                </c:pt>
                <c:pt idx="5">
                  <c:v>FY10</c:v>
                </c:pt>
                <c:pt idx="6">
                  <c:v>FY11 </c:v>
                </c:pt>
                <c:pt idx="7">
                  <c:v>FY12 target</c:v>
                </c:pt>
                <c:pt idx="8">
                  <c:v>FY13 target</c:v>
                </c:pt>
              </c:strCache>
            </c:strRef>
          </c:cat>
          <c:val>
            <c:numRef>
              <c:f>Sheet1!$B$4:$J$4</c:f>
              <c:numCache>
                <c:formatCode>0.0%</c:formatCode>
                <c:ptCount val="9"/>
                <c:pt idx="0">
                  <c:v>0.95700000000000018</c:v>
                </c:pt>
                <c:pt idx="1">
                  <c:v>0.96000000000000019</c:v>
                </c:pt>
                <c:pt idx="2">
                  <c:v>0.95000000000000018</c:v>
                </c:pt>
                <c:pt idx="3">
                  <c:v>0.96000000000000019</c:v>
                </c:pt>
                <c:pt idx="4">
                  <c:v>0.95100000000000018</c:v>
                </c:pt>
                <c:pt idx="5">
                  <c:v>0.96000000000000019</c:v>
                </c:pt>
                <c:pt idx="6" formatCode="0.00%">
                  <c:v>0.9</c:v>
                </c:pt>
                <c:pt idx="7" formatCode="0.00%">
                  <c:v>0.9</c:v>
                </c:pt>
                <c:pt idx="8" formatCode="0%">
                  <c:v>0.6000000000000002</c:v>
                </c:pt>
              </c:numCache>
            </c:numRef>
          </c:val>
        </c:ser>
        <c:gapDepth val="0"/>
        <c:shape val="box"/>
        <c:axId val="218349568"/>
        <c:axId val="218351104"/>
        <c:axId val="0"/>
      </c:bar3DChart>
      <c:catAx>
        <c:axId val="218349568"/>
        <c:scaling>
          <c:orientation val="minMax"/>
        </c:scaling>
        <c:axPos val="b"/>
        <c:majorGridlines>
          <c:spPr>
            <a:ln w="3163">
              <a:solidFill>
                <a:srgbClr val="000000"/>
              </a:solidFill>
              <a:prstDash val="solid"/>
            </a:ln>
          </c:spPr>
        </c:majorGridlines>
        <c:numFmt formatCode="General" sourceLinked="1"/>
        <c:tickLblPos val="low"/>
        <c:spPr>
          <a:ln w="3163">
            <a:solidFill>
              <a:srgbClr val="000000"/>
            </a:solidFill>
            <a:prstDash val="solid"/>
          </a:ln>
        </c:spPr>
        <c:txPr>
          <a:bodyPr rot="-2700000" vert="horz"/>
          <a:lstStyle/>
          <a:p>
            <a:pPr>
              <a:defRPr sz="598" b="1" i="0" u="none" strike="noStrike" baseline="0">
                <a:solidFill>
                  <a:srgbClr val="000000"/>
                </a:solidFill>
                <a:latin typeface="Arial"/>
                <a:ea typeface="Arial"/>
                <a:cs typeface="Arial"/>
              </a:defRPr>
            </a:pPr>
            <a:endParaRPr lang="en-US"/>
          </a:p>
        </c:txPr>
        <c:crossAx val="218351104"/>
        <c:crosses val="autoZero"/>
        <c:auto val="1"/>
        <c:lblAlgn val="ctr"/>
        <c:lblOffset val="100"/>
        <c:tickLblSkip val="1"/>
        <c:tickMarkSkip val="1"/>
      </c:catAx>
      <c:valAx>
        <c:axId val="218351104"/>
        <c:scaling>
          <c:orientation val="minMax"/>
        </c:scaling>
        <c:axPos val="l"/>
        <c:majorGridlines>
          <c:spPr>
            <a:ln w="3163">
              <a:solidFill>
                <a:srgbClr val="000000"/>
              </a:solidFill>
              <a:prstDash val="solid"/>
            </a:ln>
          </c:spPr>
        </c:majorGridlines>
        <c:numFmt formatCode="0.0%" sourceLinked="1"/>
        <c:tickLblPos val="nextTo"/>
        <c:spPr>
          <a:ln w="3163">
            <a:solidFill>
              <a:srgbClr val="000000"/>
            </a:solidFill>
            <a:prstDash val="solid"/>
          </a:ln>
        </c:spPr>
        <c:txPr>
          <a:bodyPr rot="0" vert="horz"/>
          <a:lstStyle/>
          <a:p>
            <a:pPr>
              <a:defRPr sz="872" b="1" i="0" u="none" strike="noStrike" baseline="0">
                <a:solidFill>
                  <a:srgbClr val="000000"/>
                </a:solidFill>
                <a:latin typeface="Arial"/>
                <a:ea typeface="Arial"/>
                <a:cs typeface="Arial"/>
              </a:defRPr>
            </a:pPr>
            <a:endParaRPr lang="en-US"/>
          </a:p>
        </c:txPr>
        <c:crossAx val="218349568"/>
        <c:crosses val="autoZero"/>
        <c:crossBetween val="between"/>
      </c:valAx>
      <c:spPr>
        <a:noFill/>
        <a:ln w="25305">
          <a:noFill/>
        </a:ln>
      </c:spPr>
    </c:plotArea>
    <c:legend>
      <c:legendPos val="r"/>
      <c:layout>
        <c:manualLayout>
          <c:xMode val="edge"/>
          <c:yMode val="edge"/>
          <c:x val="1.9305019305019381E-2"/>
          <c:y val="0.83783783783783783"/>
          <c:w val="0.96138996138996136"/>
          <c:h val="0.16666666666666666"/>
        </c:manualLayout>
      </c:layout>
      <c:spPr>
        <a:noFill/>
        <a:ln w="3163">
          <a:solidFill>
            <a:srgbClr val="000000"/>
          </a:solidFill>
          <a:prstDash val="solid"/>
        </a:ln>
      </c:spPr>
      <c:txPr>
        <a:bodyPr/>
        <a:lstStyle/>
        <a:p>
          <a:pPr>
            <a:defRPr sz="732"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747" b="1"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otX val="20"/>
      <c:rAngAx val="1"/>
    </c:view3D>
    <c:plotArea>
      <c:layout/>
      <c:bar3DChart>
        <c:barDir val="col"/>
        <c:grouping val="clustered"/>
        <c:ser>
          <c:idx val="0"/>
          <c:order val="0"/>
          <c:tx>
            <c:strRef>
              <c:f>Sheet1!$B$3</c:f>
              <c:strCache>
                <c:ptCount val="1"/>
                <c:pt idx="0">
                  <c:v>Tax Debts Collected</c:v>
                </c:pt>
              </c:strCache>
            </c:strRef>
          </c:tx>
          <c:cat>
            <c:strRef>
              <c:f>Sheet1!$C$2:$N$2</c:f>
              <c:strCache>
                <c:ptCount val="12"/>
                <c:pt idx="0">
                  <c:v>FY 2000</c:v>
                </c:pt>
                <c:pt idx="1">
                  <c:v>FY 2001</c:v>
                </c:pt>
                <c:pt idx="2">
                  <c:v>FY 2002</c:v>
                </c:pt>
                <c:pt idx="3">
                  <c:v>FY 2003</c:v>
                </c:pt>
                <c:pt idx="4">
                  <c:v>FY 2004</c:v>
                </c:pt>
                <c:pt idx="5">
                  <c:v>FY 2005</c:v>
                </c:pt>
                <c:pt idx="6">
                  <c:v>FY 2006</c:v>
                </c:pt>
                <c:pt idx="7">
                  <c:v>FY 2007</c:v>
                </c:pt>
                <c:pt idx="8">
                  <c:v>FY 2008</c:v>
                </c:pt>
                <c:pt idx="9">
                  <c:v>FY 2009</c:v>
                </c:pt>
                <c:pt idx="10">
                  <c:v>FY 2010</c:v>
                </c:pt>
                <c:pt idx="11">
                  <c:v>FY 2011</c:v>
                </c:pt>
              </c:strCache>
            </c:strRef>
          </c:cat>
          <c:val>
            <c:numRef>
              <c:f>Sheet1!$C$3:$N$3</c:f>
              <c:numCache>
                <c:formatCode>_(* #,##0_);_(* \(#,##0\);_(* "-"??_);_(@_)</c:formatCode>
                <c:ptCount val="12"/>
                <c:pt idx="0">
                  <c:v>120.3</c:v>
                </c:pt>
                <c:pt idx="1">
                  <c:v>46.6</c:v>
                </c:pt>
                <c:pt idx="2">
                  <c:v>89.9</c:v>
                </c:pt>
                <c:pt idx="3">
                  <c:v>72</c:v>
                </c:pt>
                <c:pt idx="4">
                  <c:v>69.3</c:v>
                </c:pt>
                <c:pt idx="5">
                  <c:v>477</c:v>
                </c:pt>
                <c:pt idx="6">
                  <c:v>148.4</c:v>
                </c:pt>
                <c:pt idx="7">
                  <c:v>136.4</c:v>
                </c:pt>
                <c:pt idx="8">
                  <c:v>179</c:v>
                </c:pt>
                <c:pt idx="9">
                  <c:v>260.8</c:v>
                </c:pt>
                <c:pt idx="10">
                  <c:v>566</c:v>
                </c:pt>
                <c:pt idx="11">
                  <c:v>112</c:v>
                </c:pt>
              </c:numCache>
            </c:numRef>
          </c:val>
        </c:ser>
        <c:ser>
          <c:idx val="1"/>
          <c:order val="1"/>
          <c:tx>
            <c:strRef>
              <c:f>Sheet1!$B$4</c:f>
              <c:strCache>
                <c:ptCount val="1"/>
                <c:pt idx="0">
                  <c:v>Tax Dollars Retained</c:v>
                </c:pt>
              </c:strCache>
            </c:strRef>
          </c:tx>
          <c:dLbls>
            <c:txPr>
              <a:bodyPr/>
              <a:lstStyle/>
              <a:p>
                <a:pPr>
                  <a:defRPr sz="600"/>
                </a:pPr>
                <a:endParaRPr lang="en-US"/>
              </a:p>
            </c:txPr>
            <c:showVal val="1"/>
          </c:dLbls>
          <c:cat>
            <c:strRef>
              <c:f>Sheet1!$C$2:$N$2</c:f>
              <c:strCache>
                <c:ptCount val="12"/>
                <c:pt idx="0">
                  <c:v>FY 2000</c:v>
                </c:pt>
                <c:pt idx="1">
                  <c:v>FY 2001</c:v>
                </c:pt>
                <c:pt idx="2">
                  <c:v>FY 2002</c:v>
                </c:pt>
                <c:pt idx="3">
                  <c:v>FY 2003</c:v>
                </c:pt>
                <c:pt idx="4">
                  <c:v>FY 2004</c:v>
                </c:pt>
                <c:pt idx="5">
                  <c:v>FY 2005</c:v>
                </c:pt>
                <c:pt idx="6">
                  <c:v>FY 2006</c:v>
                </c:pt>
                <c:pt idx="7">
                  <c:v>FY 2007</c:v>
                </c:pt>
                <c:pt idx="8">
                  <c:v>FY 2008</c:v>
                </c:pt>
                <c:pt idx="9">
                  <c:v>FY 2009</c:v>
                </c:pt>
                <c:pt idx="10">
                  <c:v>FY 2010</c:v>
                </c:pt>
                <c:pt idx="11">
                  <c:v>FY 2011</c:v>
                </c:pt>
              </c:strCache>
            </c:strRef>
          </c:cat>
          <c:val>
            <c:numRef>
              <c:f>Sheet1!$C$4:$N$4</c:f>
              <c:numCache>
                <c:formatCode>_(* #,##0_);_(* \(#,##0\);_(* "-"??_);_(@_)</c:formatCode>
                <c:ptCount val="12"/>
                <c:pt idx="0">
                  <c:v>100.8</c:v>
                </c:pt>
                <c:pt idx="1">
                  <c:v>768.6</c:v>
                </c:pt>
                <c:pt idx="2">
                  <c:v>1245.5999999999999</c:v>
                </c:pt>
                <c:pt idx="3">
                  <c:v>794.2</c:v>
                </c:pt>
                <c:pt idx="4">
                  <c:v>658.7</c:v>
                </c:pt>
                <c:pt idx="5">
                  <c:v>1023</c:v>
                </c:pt>
                <c:pt idx="6">
                  <c:v>729.7</c:v>
                </c:pt>
                <c:pt idx="7">
                  <c:v>287.10000000000002</c:v>
                </c:pt>
                <c:pt idx="8">
                  <c:v>803</c:v>
                </c:pt>
                <c:pt idx="9">
                  <c:v>667.5</c:v>
                </c:pt>
                <c:pt idx="10">
                  <c:v>714</c:v>
                </c:pt>
                <c:pt idx="11">
                  <c:v>440</c:v>
                </c:pt>
              </c:numCache>
            </c:numRef>
          </c:val>
        </c:ser>
        <c:shape val="box"/>
        <c:axId val="218458368"/>
        <c:axId val="218476544"/>
        <c:axId val="0"/>
      </c:bar3DChart>
      <c:catAx>
        <c:axId val="218458368"/>
        <c:scaling>
          <c:orientation val="minMax"/>
        </c:scaling>
        <c:axPos val="b"/>
        <c:tickLblPos val="nextTo"/>
        <c:txPr>
          <a:bodyPr rot="-2700000" vert="horz"/>
          <a:lstStyle/>
          <a:p>
            <a:pPr>
              <a:defRPr sz="500" b="1" baseline="0"/>
            </a:pPr>
            <a:endParaRPr lang="en-US"/>
          </a:p>
        </c:txPr>
        <c:crossAx val="218476544"/>
        <c:crosses val="autoZero"/>
        <c:auto val="1"/>
        <c:lblAlgn val="ctr"/>
        <c:lblOffset val="100"/>
      </c:catAx>
      <c:valAx>
        <c:axId val="218476544"/>
        <c:scaling>
          <c:orientation val="minMax"/>
        </c:scaling>
        <c:axPos val="l"/>
        <c:majorGridlines/>
        <c:numFmt formatCode="_(* #,##0_);_(* \(#,##0\);_(* &quot;-&quot;??_);_(@_)" sourceLinked="1"/>
        <c:tickLblPos val="nextTo"/>
        <c:txPr>
          <a:bodyPr/>
          <a:lstStyle/>
          <a:p>
            <a:pPr>
              <a:defRPr sz="600"/>
            </a:pPr>
            <a:endParaRPr lang="en-US"/>
          </a:p>
        </c:txPr>
        <c:crossAx val="218458368"/>
        <c:crosses val="autoZero"/>
        <c:crossBetween val="between"/>
      </c:valAx>
    </c:plotArea>
    <c:legend>
      <c:legendPos val="b"/>
      <c:layout/>
      <c:txPr>
        <a:bodyPr/>
        <a:lstStyle/>
        <a:p>
          <a:pPr>
            <a:defRPr sz="800"/>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4743-9981-4842-81D5-5231E128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12341</Words>
  <Characters>68865</Characters>
  <Application>Microsoft Office Word</Application>
  <DocSecurity>0</DocSecurity>
  <Lines>1229</Lines>
  <Paragraphs>305</Paragraphs>
  <ScaleCrop>false</ScaleCrop>
  <HeadingPairs>
    <vt:vector size="2" baseType="variant">
      <vt:variant>
        <vt:lpstr>Title</vt:lpstr>
      </vt:variant>
      <vt:variant>
        <vt:i4>1</vt:i4>
      </vt:variant>
    </vt:vector>
  </HeadingPairs>
  <TitlesOfParts>
    <vt:vector size="1" baseType="lpstr">
      <vt:lpstr>Tax Division</vt:lpstr>
    </vt:vector>
  </TitlesOfParts>
  <Company>Department of Justice</Company>
  <LinksUpToDate>false</LinksUpToDate>
  <CharactersWithSpaces>80901</CharactersWithSpaces>
  <SharedDoc>false</SharedDoc>
  <HLinks>
    <vt:vector size="36" baseType="variant">
      <vt:variant>
        <vt:i4>8126583</vt:i4>
      </vt:variant>
      <vt:variant>
        <vt:i4>3</vt:i4>
      </vt:variant>
      <vt:variant>
        <vt:i4>0</vt:i4>
      </vt:variant>
      <vt:variant>
        <vt:i4>5</vt:i4>
      </vt:variant>
      <vt:variant>
        <vt:lpwstr>http://www.justice.gov/02organizations/bpp.htm</vt:lpwstr>
      </vt:variant>
      <vt:variant>
        <vt:lpwstr/>
      </vt:variant>
      <vt:variant>
        <vt:i4>1179660</vt:i4>
      </vt:variant>
      <vt:variant>
        <vt:i4>12</vt:i4>
      </vt:variant>
      <vt:variant>
        <vt:i4>0</vt:i4>
      </vt:variant>
      <vt:variant>
        <vt:i4>5</vt:i4>
      </vt:variant>
      <vt:variant>
        <vt:lpwstr>http://www.irs.gov/taxstats/article/0,,id=211513,00.html</vt:lpwstr>
      </vt:variant>
      <vt:variant>
        <vt:lpwstr/>
      </vt:variant>
      <vt:variant>
        <vt:i4>5963855</vt:i4>
      </vt:variant>
      <vt:variant>
        <vt:i4>9</vt:i4>
      </vt:variant>
      <vt:variant>
        <vt:i4>0</vt:i4>
      </vt:variant>
      <vt:variant>
        <vt:i4>5</vt:i4>
      </vt:variant>
      <vt:variant>
        <vt:lpwstr>http://www.irs.gov/pub/irs-pdf/p3744.pdf</vt:lpwstr>
      </vt:variant>
      <vt:variant>
        <vt:lpwstr/>
      </vt:variant>
      <vt:variant>
        <vt:i4>6160452</vt:i4>
      </vt:variant>
      <vt:variant>
        <vt:i4>6</vt:i4>
      </vt:variant>
      <vt:variant>
        <vt:i4>0</vt:i4>
      </vt:variant>
      <vt:variant>
        <vt:i4>5</vt:i4>
      </vt:variant>
      <vt:variant>
        <vt:lpwstr>http://www.urban.org/publications/411496.html</vt:lpwstr>
      </vt:variant>
      <vt:variant>
        <vt:lpwstr/>
      </vt:variant>
      <vt:variant>
        <vt:i4>1179660</vt:i4>
      </vt:variant>
      <vt:variant>
        <vt:i4>3</vt:i4>
      </vt:variant>
      <vt:variant>
        <vt:i4>0</vt:i4>
      </vt:variant>
      <vt:variant>
        <vt:i4>5</vt:i4>
      </vt:variant>
      <vt:variant>
        <vt:lpwstr>http://www.irs.taxstats/</vt:lpwstr>
      </vt:variant>
      <vt:variant>
        <vt:lpwstr/>
      </vt:variant>
      <vt:variant>
        <vt:i4>3080314</vt:i4>
      </vt:variant>
      <vt:variant>
        <vt:i4>0</vt:i4>
      </vt:variant>
      <vt:variant>
        <vt:i4>0</vt:i4>
      </vt:variant>
      <vt:variant>
        <vt:i4>5</vt:i4>
      </vt:variant>
      <vt:variant>
        <vt:lpwstr>http://www.treas.gov/irsob/board-reports.shtml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Division</dc:title>
  <dc:creator>Tax Division</dc:creator>
  <cp:lastModifiedBy>Susan von Raab</cp:lastModifiedBy>
  <cp:revision>2</cp:revision>
  <cp:lastPrinted>2012-02-08T20:18:00Z</cp:lastPrinted>
  <dcterms:created xsi:type="dcterms:W3CDTF">2012-02-08T20:18:00Z</dcterms:created>
  <dcterms:modified xsi:type="dcterms:W3CDTF">2012-02-08T20:18:00Z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
  </property>
</Properties>
</file>