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629" w:rsidRPr="00543629" w:rsidRDefault="00543629" w:rsidP="00543629">
      <w:pPr>
        <w:jc w:val="center"/>
        <w:rPr>
          <w:sz w:val="72"/>
          <w:szCs w:val="72"/>
        </w:rPr>
      </w:pPr>
      <w:r>
        <w:rPr>
          <w:sz w:val="72"/>
          <w:szCs w:val="72"/>
        </w:rPr>
        <w:t>The Criminal Division</w:t>
      </w:r>
    </w:p>
    <w:p w:rsidR="00543629" w:rsidRPr="005767CC" w:rsidRDefault="00543629" w:rsidP="00543629">
      <w:pPr>
        <w:framePr w:w="10100" w:h="5426" w:hRule="exact" w:wrap="auto" w:vAnchor="page" w:hAnchor="page" w:x="1102" w:y="3905"/>
      </w:pPr>
      <w:r>
        <w:rPr>
          <w:noProof/>
        </w:rPr>
        <w:drawing>
          <wp:inline distT="0" distB="0" distL="0" distR="0">
            <wp:extent cx="6419850" cy="34480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r="-183" b="-3195"/>
                    <a:stretch>
                      <a:fillRect/>
                    </a:stretch>
                  </pic:blipFill>
                  <pic:spPr bwMode="auto">
                    <a:xfrm>
                      <a:off x="0" y="0"/>
                      <a:ext cx="6419850" cy="3448050"/>
                    </a:xfrm>
                    <a:prstGeom prst="rect">
                      <a:avLst/>
                    </a:prstGeom>
                    <a:noFill/>
                    <a:ln w="9525">
                      <a:noFill/>
                      <a:miter lim="800000"/>
                      <a:headEnd/>
                      <a:tailEnd/>
                    </a:ln>
                  </pic:spPr>
                </pic:pic>
              </a:graphicData>
            </a:graphic>
          </wp:inline>
        </w:drawing>
      </w:r>
    </w:p>
    <w:p w:rsidR="00543629" w:rsidRPr="005767CC" w:rsidRDefault="00543629" w:rsidP="00543629"/>
    <w:p w:rsidR="00543629" w:rsidRPr="005767CC" w:rsidRDefault="00543629" w:rsidP="00543629"/>
    <w:p w:rsidR="00543629" w:rsidRDefault="00543629" w:rsidP="00543629">
      <w:pPr>
        <w:jc w:val="center"/>
        <w:rPr>
          <w:sz w:val="72"/>
          <w:szCs w:val="72"/>
        </w:rPr>
      </w:pPr>
    </w:p>
    <w:p w:rsidR="00543629" w:rsidRDefault="00543629" w:rsidP="00543629">
      <w:pPr>
        <w:jc w:val="center"/>
        <w:rPr>
          <w:sz w:val="72"/>
          <w:szCs w:val="72"/>
        </w:rPr>
      </w:pPr>
    </w:p>
    <w:p w:rsidR="00543629" w:rsidRPr="005767CC" w:rsidRDefault="00543629" w:rsidP="00543629">
      <w:pPr>
        <w:jc w:val="center"/>
        <w:rPr>
          <w:sz w:val="72"/>
          <w:szCs w:val="72"/>
        </w:rPr>
      </w:pPr>
      <w:r w:rsidRPr="005767CC">
        <w:rPr>
          <w:sz w:val="72"/>
          <w:szCs w:val="72"/>
        </w:rPr>
        <w:t>FY 20</w:t>
      </w:r>
      <w:r>
        <w:rPr>
          <w:sz w:val="72"/>
          <w:szCs w:val="72"/>
        </w:rPr>
        <w:t>14</w:t>
      </w:r>
      <w:r w:rsidRPr="005767CC">
        <w:rPr>
          <w:sz w:val="72"/>
          <w:szCs w:val="72"/>
        </w:rPr>
        <w:t xml:space="preserve"> </w:t>
      </w:r>
    </w:p>
    <w:p w:rsidR="00543629" w:rsidRPr="005767CC" w:rsidRDefault="00520917" w:rsidP="00543629">
      <w:pPr>
        <w:jc w:val="center"/>
        <w:rPr>
          <w:sz w:val="72"/>
          <w:szCs w:val="72"/>
        </w:rPr>
      </w:pPr>
      <w:r>
        <w:rPr>
          <w:sz w:val="72"/>
          <w:szCs w:val="72"/>
        </w:rPr>
        <w:t>Congressional</w:t>
      </w:r>
      <w:r w:rsidR="002975AF">
        <w:rPr>
          <w:sz w:val="72"/>
          <w:szCs w:val="72"/>
        </w:rPr>
        <w:t xml:space="preserve"> Submission</w:t>
      </w:r>
    </w:p>
    <w:p w:rsidR="00543629" w:rsidRDefault="00543629">
      <w:pPr>
        <w:rPr>
          <w:b/>
          <w:szCs w:val="20"/>
        </w:rPr>
      </w:pPr>
    </w:p>
    <w:p w:rsidR="00543629" w:rsidRDefault="00543629">
      <w:r>
        <w:br w:type="page"/>
      </w:r>
      <w:r>
        <w:lastRenderedPageBreak/>
        <w:br w:type="page"/>
      </w:r>
    </w:p>
    <w:p w:rsidR="00543629" w:rsidRDefault="00543629">
      <w:pPr>
        <w:rPr>
          <w:b/>
          <w:szCs w:val="20"/>
        </w:rPr>
      </w:pPr>
    </w:p>
    <w:p w:rsidR="00224A36" w:rsidRPr="002975AF" w:rsidRDefault="00224A36">
      <w:pPr>
        <w:pStyle w:val="Heading1"/>
        <w:tabs>
          <w:tab w:val="left" w:leader="dot" w:pos="7920"/>
          <w:tab w:val="right" w:pos="8640"/>
        </w:tabs>
        <w:rPr>
          <w:rFonts w:ascii="Times New Roman" w:hAnsi="Times New Roman"/>
        </w:rPr>
      </w:pPr>
      <w:r w:rsidRPr="002975AF">
        <w:rPr>
          <w:rFonts w:ascii="Times New Roman" w:hAnsi="Times New Roman"/>
        </w:rPr>
        <w:t>Table of Contents</w:t>
      </w:r>
    </w:p>
    <w:p w:rsidR="00224A36" w:rsidRPr="002975AF" w:rsidRDefault="00224A36">
      <w:pPr>
        <w:tabs>
          <w:tab w:val="left" w:leader="dot" w:pos="7920"/>
          <w:tab w:val="right" w:pos="8640"/>
        </w:tabs>
        <w:rPr>
          <w:b/>
        </w:rPr>
      </w:pPr>
    </w:p>
    <w:p w:rsidR="00E0065D" w:rsidRPr="002975AF" w:rsidRDefault="00224A36" w:rsidP="00E0065D">
      <w:pPr>
        <w:pStyle w:val="xl19"/>
        <w:tabs>
          <w:tab w:val="right" w:pos="8730"/>
        </w:tabs>
        <w:spacing w:before="0" w:after="0"/>
        <w:outlineLvl w:val="0"/>
        <w:rPr>
          <w:rFonts w:eastAsia="Times New Roman"/>
          <w:bCs/>
        </w:rPr>
      </w:pPr>
      <w:r w:rsidRPr="002975AF">
        <w:rPr>
          <w:rFonts w:eastAsia="Times New Roman"/>
          <w:bCs/>
        </w:rPr>
        <w:tab/>
      </w:r>
      <w:r w:rsidR="008B1C11">
        <w:rPr>
          <w:rFonts w:eastAsia="Times New Roman"/>
          <w:bCs/>
        </w:rPr>
        <w:t xml:space="preserve">  </w:t>
      </w:r>
      <w:r w:rsidRPr="002975AF">
        <w:rPr>
          <w:rFonts w:eastAsia="Times New Roman"/>
          <w:bCs/>
        </w:rPr>
        <w:t>Page No.</w:t>
      </w:r>
    </w:p>
    <w:p w:rsidR="00E0065D" w:rsidRPr="002975AF" w:rsidRDefault="00E0065D" w:rsidP="00E0065D">
      <w:pPr>
        <w:pStyle w:val="xl19"/>
        <w:tabs>
          <w:tab w:val="right" w:pos="8730"/>
        </w:tabs>
        <w:spacing w:before="0" w:after="0"/>
        <w:outlineLvl w:val="0"/>
        <w:rPr>
          <w:rFonts w:eastAsia="Times New Roman"/>
          <w:bCs/>
        </w:rPr>
      </w:pPr>
    </w:p>
    <w:p w:rsidR="00E0065D" w:rsidRPr="004305CE" w:rsidRDefault="001336D2" w:rsidP="00EE7701">
      <w:pPr>
        <w:pStyle w:val="xl19"/>
        <w:tabs>
          <w:tab w:val="right" w:leader="dot" w:pos="7920"/>
          <w:tab w:val="right" w:leader="dot" w:pos="8730"/>
        </w:tabs>
        <w:spacing w:before="0" w:after="0"/>
        <w:outlineLvl w:val="0"/>
        <w:rPr>
          <w:rFonts w:eastAsia="Times New Roman"/>
          <w:b/>
          <w:bCs/>
          <w:szCs w:val="24"/>
        </w:rPr>
      </w:pPr>
      <w:hyperlink w:anchor="I" w:history="1">
        <w:r w:rsidR="00E0065D" w:rsidRPr="004305CE">
          <w:rPr>
            <w:rStyle w:val="Hyperlink"/>
            <w:rFonts w:eastAsia="Times New Roman"/>
            <w:b/>
            <w:bCs/>
            <w:szCs w:val="24"/>
          </w:rPr>
          <w:t xml:space="preserve">I.    </w:t>
        </w:r>
        <w:r w:rsidR="00224A36" w:rsidRPr="004305CE">
          <w:rPr>
            <w:rStyle w:val="Hyperlink"/>
            <w:b/>
            <w:bCs/>
            <w:szCs w:val="24"/>
          </w:rPr>
          <w:t>Overview</w:t>
        </w:r>
        <w:r w:rsidR="008D015D" w:rsidRPr="007D6D4E">
          <w:rPr>
            <w:rStyle w:val="Hyperlink"/>
            <w:bCs/>
            <w:szCs w:val="24"/>
          </w:rPr>
          <w:t>……………………………………………………………………</w:t>
        </w:r>
        <w:r w:rsidR="00AC4566" w:rsidRPr="007D6D4E">
          <w:rPr>
            <w:rStyle w:val="Hyperlink"/>
            <w:bCs/>
            <w:szCs w:val="24"/>
          </w:rPr>
          <w:t>.</w:t>
        </w:r>
        <w:r w:rsidR="00D6225E" w:rsidRPr="007D6D4E">
          <w:rPr>
            <w:rStyle w:val="Hyperlink"/>
            <w:bCs/>
            <w:szCs w:val="24"/>
          </w:rPr>
          <w:t>…….</w:t>
        </w:r>
        <w:r w:rsidR="00D6225E" w:rsidRPr="00724FEC">
          <w:rPr>
            <w:rStyle w:val="Hyperlink"/>
            <w:bCs/>
            <w:szCs w:val="24"/>
          </w:rPr>
          <w:t xml:space="preserve"> </w:t>
        </w:r>
        <w:r w:rsidR="00724FEC" w:rsidRPr="00724FEC">
          <w:rPr>
            <w:rStyle w:val="Hyperlink"/>
            <w:bCs/>
            <w:szCs w:val="24"/>
          </w:rPr>
          <w:t>1</w:t>
        </w:r>
      </w:hyperlink>
    </w:p>
    <w:p w:rsidR="00E0065D" w:rsidRPr="004305CE" w:rsidRDefault="00E0065D" w:rsidP="00163AD7">
      <w:pPr>
        <w:pStyle w:val="xl19"/>
        <w:tabs>
          <w:tab w:val="right" w:pos="8730"/>
        </w:tabs>
        <w:spacing w:before="0" w:after="0"/>
        <w:ind w:firstLine="720"/>
        <w:outlineLvl w:val="0"/>
        <w:rPr>
          <w:b/>
          <w:bCs/>
          <w:szCs w:val="24"/>
          <w:highlight w:val="yellow"/>
        </w:rPr>
      </w:pPr>
    </w:p>
    <w:p w:rsidR="00224A36" w:rsidRPr="004305CE" w:rsidRDefault="001336D2" w:rsidP="00EE7701">
      <w:pPr>
        <w:pStyle w:val="xl19"/>
        <w:tabs>
          <w:tab w:val="right" w:leader="dot" w:pos="7920"/>
          <w:tab w:val="right" w:leader="dot" w:pos="8730"/>
        </w:tabs>
        <w:spacing w:before="0" w:after="0"/>
        <w:outlineLvl w:val="0"/>
        <w:rPr>
          <w:b/>
          <w:bCs/>
          <w:szCs w:val="24"/>
        </w:rPr>
      </w:pPr>
      <w:hyperlink w:anchor="II" w:history="1">
        <w:r w:rsidR="00E0065D" w:rsidRPr="004305CE">
          <w:rPr>
            <w:rStyle w:val="Hyperlink"/>
            <w:b/>
            <w:bCs/>
            <w:szCs w:val="24"/>
          </w:rPr>
          <w:t>II</w:t>
        </w:r>
        <w:r w:rsidR="003768C9" w:rsidRPr="004305CE">
          <w:rPr>
            <w:rStyle w:val="Hyperlink"/>
            <w:b/>
            <w:bCs/>
            <w:szCs w:val="24"/>
          </w:rPr>
          <w:t>.</w:t>
        </w:r>
        <w:r w:rsidR="00E0065D" w:rsidRPr="004305CE">
          <w:rPr>
            <w:rStyle w:val="Hyperlink"/>
            <w:b/>
            <w:bCs/>
            <w:szCs w:val="24"/>
          </w:rPr>
          <w:t xml:space="preserve">   S</w:t>
        </w:r>
        <w:r w:rsidR="00224A36" w:rsidRPr="004305CE">
          <w:rPr>
            <w:rStyle w:val="Hyperlink"/>
            <w:b/>
            <w:bCs/>
            <w:szCs w:val="24"/>
          </w:rPr>
          <w:t>ummary of Program Changes</w:t>
        </w:r>
        <w:r w:rsidR="00AC4566" w:rsidRPr="007D6D4E">
          <w:rPr>
            <w:rStyle w:val="Hyperlink"/>
            <w:bCs/>
            <w:szCs w:val="24"/>
          </w:rPr>
          <w:t>………………………………………….………</w:t>
        </w:r>
        <w:r w:rsidR="00724FEC">
          <w:rPr>
            <w:rStyle w:val="Hyperlink"/>
            <w:bCs/>
            <w:szCs w:val="24"/>
          </w:rPr>
          <w:t>10</w:t>
        </w:r>
      </w:hyperlink>
      <w:r w:rsidR="00D6225E" w:rsidRPr="004305CE">
        <w:rPr>
          <w:b/>
          <w:bCs/>
          <w:szCs w:val="24"/>
        </w:rPr>
        <w:t xml:space="preserve"> </w:t>
      </w:r>
    </w:p>
    <w:p w:rsidR="00AA3992" w:rsidRPr="004305CE" w:rsidRDefault="00AA3992" w:rsidP="00EE7701">
      <w:pPr>
        <w:pStyle w:val="xl19"/>
        <w:tabs>
          <w:tab w:val="right" w:leader="dot" w:pos="7920"/>
          <w:tab w:val="right" w:leader="dot" w:pos="8730"/>
        </w:tabs>
        <w:spacing w:before="0" w:after="0"/>
        <w:outlineLvl w:val="0"/>
        <w:rPr>
          <w:b/>
          <w:bCs/>
          <w:szCs w:val="24"/>
          <w:highlight w:val="yellow"/>
        </w:rPr>
      </w:pPr>
    </w:p>
    <w:p w:rsidR="00993556" w:rsidRPr="004305CE" w:rsidRDefault="001336D2" w:rsidP="003E240E">
      <w:pPr>
        <w:pStyle w:val="xl19"/>
        <w:tabs>
          <w:tab w:val="right" w:leader="dot" w:pos="7920"/>
          <w:tab w:val="right" w:leader="dot" w:pos="8730"/>
        </w:tabs>
        <w:spacing w:before="0" w:after="0"/>
        <w:outlineLvl w:val="0"/>
        <w:rPr>
          <w:b/>
          <w:bCs/>
          <w:szCs w:val="24"/>
        </w:rPr>
      </w:pPr>
      <w:hyperlink w:anchor="III" w:history="1">
        <w:r w:rsidR="00993556" w:rsidRPr="004305CE">
          <w:rPr>
            <w:rStyle w:val="Hyperlink"/>
            <w:b/>
            <w:bCs/>
            <w:szCs w:val="24"/>
          </w:rPr>
          <w:t>I</w:t>
        </w:r>
        <w:r w:rsidR="006C689E" w:rsidRPr="004305CE">
          <w:rPr>
            <w:rStyle w:val="Hyperlink"/>
            <w:b/>
            <w:bCs/>
            <w:szCs w:val="24"/>
          </w:rPr>
          <w:t>II</w:t>
        </w:r>
        <w:r w:rsidR="00993556" w:rsidRPr="004305CE">
          <w:rPr>
            <w:rStyle w:val="Hyperlink"/>
            <w:b/>
            <w:bCs/>
            <w:szCs w:val="24"/>
          </w:rPr>
          <w:t>. Appropriations Language and Anal</w:t>
        </w:r>
        <w:r w:rsidR="001E72A1" w:rsidRPr="004305CE">
          <w:rPr>
            <w:rStyle w:val="Hyperlink"/>
            <w:b/>
            <w:bCs/>
            <w:szCs w:val="24"/>
          </w:rPr>
          <w:t>ysis of Appropriations Languag</w:t>
        </w:r>
        <w:r w:rsidR="004305CE">
          <w:rPr>
            <w:rStyle w:val="Hyperlink"/>
            <w:b/>
            <w:bCs/>
            <w:szCs w:val="24"/>
          </w:rPr>
          <w:t xml:space="preserve">e </w:t>
        </w:r>
        <w:r w:rsidR="00724FEC" w:rsidRPr="00724FEC">
          <w:rPr>
            <w:rStyle w:val="Hyperlink"/>
            <w:bCs/>
            <w:szCs w:val="24"/>
          </w:rPr>
          <w:t>……….10</w:t>
        </w:r>
      </w:hyperlink>
    </w:p>
    <w:p w:rsidR="00224A36" w:rsidRPr="004305CE" w:rsidRDefault="00224A36">
      <w:pPr>
        <w:pStyle w:val="xl27"/>
        <w:tabs>
          <w:tab w:val="left" w:leader="dot" w:pos="7920"/>
          <w:tab w:val="right" w:pos="8640"/>
        </w:tabs>
        <w:spacing w:before="0" w:after="0"/>
        <w:rPr>
          <w:rFonts w:ascii="Times New Roman" w:eastAsia="Times New Roman" w:hAnsi="Times New Roman"/>
          <w:szCs w:val="24"/>
          <w:highlight w:val="yellow"/>
        </w:rPr>
      </w:pPr>
    </w:p>
    <w:p w:rsidR="00224A36" w:rsidRPr="00724FEC" w:rsidRDefault="001336D2">
      <w:pPr>
        <w:pStyle w:val="xl27"/>
        <w:tabs>
          <w:tab w:val="left" w:leader="dot" w:pos="7920"/>
          <w:tab w:val="right" w:pos="8640"/>
        </w:tabs>
        <w:spacing w:before="0" w:after="0"/>
        <w:rPr>
          <w:rFonts w:ascii="Times New Roman" w:eastAsia="Times New Roman" w:hAnsi="Times New Roman"/>
          <w:b w:val="0"/>
          <w:szCs w:val="24"/>
        </w:rPr>
      </w:pPr>
      <w:hyperlink w:anchor="IV" w:history="1">
        <w:r w:rsidR="006C689E" w:rsidRPr="00724FEC">
          <w:rPr>
            <w:rStyle w:val="Hyperlink"/>
            <w:rFonts w:ascii="Times New Roman" w:eastAsia="Times New Roman" w:hAnsi="Times New Roman"/>
            <w:szCs w:val="24"/>
          </w:rPr>
          <w:t>I</w:t>
        </w:r>
        <w:r w:rsidR="00E0065D" w:rsidRPr="00724FEC">
          <w:rPr>
            <w:rStyle w:val="Hyperlink"/>
            <w:rFonts w:ascii="Times New Roman" w:eastAsia="Times New Roman" w:hAnsi="Times New Roman"/>
            <w:szCs w:val="24"/>
          </w:rPr>
          <w:t>V</w:t>
        </w:r>
        <w:r w:rsidR="00016CE5" w:rsidRPr="00724FEC">
          <w:rPr>
            <w:rStyle w:val="Hyperlink"/>
            <w:rFonts w:ascii="Times New Roman" w:eastAsia="Times New Roman" w:hAnsi="Times New Roman"/>
            <w:szCs w:val="24"/>
          </w:rPr>
          <w:t>. Decision</w:t>
        </w:r>
        <w:r w:rsidR="00224A36" w:rsidRPr="00724FEC">
          <w:rPr>
            <w:rStyle w:val="Hyperlink"/>
            <w:rFonts w:ascii="Times New Roman" w:eastAsia="Times New Roman" w:hAnsi="Times New Roman"/>
            <w:szCs w:val="24"/>
          </w:rPr>
          <w:t xml:space="preserve"> Unit Justification</w:t>
        </w:r>
        <w:r w:rsidR="00727ADE" w:rsidRPr="00724FEC">
          <w:rPr>
            <w:rStyle w:val="Hyperlink"/>
            <w:rFonts w:ascii="Times New Roman" w:eastAsia="Times New Roman" w:hAnsi="Times New Roman"/>
            <w:b w:val="0"/>
            <w:szCs w:val="24"/>
          </w:rPr>
          <w:t>………………………………………………………..</w:t>
        </w:r>
      </w:hyperlink>
      <w:r w:rsidR="00724FEC" w:rsidRPr="00724FEC">
        <w:rPr>
          <w:rFonts w:ascii="Times New Roman" w:hAnsi="Times New Roman"/>
          <w:b w:val="0"/>
        </w:rPr>
        <w:t>11</w:t>
      </w:r>
    </w:p>
    <w:p w:rsidR="00224A36" w:rsidRPr="004305CE" w:rsidRDefault="00224A36">
      <w:pPr>
        <w:tabs>
          <w:tab w:val="left" w:leader="dot" w:pos="7920"/>
          <w:tab w:val="right" w:pos="8640"/>
        </w:tabs>
        <w:rPr>
          <w:bCs/>
          <w:highlight w:val="yellow"/>
        </w:rPr>
      </w:pPr>
      <w:r w:rsidRPr="004305CE">
        <w:rPr>
          <w:bCs/>
          <w:highlight w:val="yellow"/>
        </w:rPr>
        <w:t xml:space="preserve">     </w:t>
      </w:r>
    </w:p>
    <w:p w:rsidR="00224A36" w:rsidRPr="004305CE" w:rsidRDefault="00224A36" w:rsidP="00EE7701">
      <w:pPr>
        <w:tabs>
          <w:tab w:val="left" w:leader="dot" w:pos="7920"/>
          <w:tab w:val="right" w:pos="8640"/>
        </w:tabs>
        <w:rPr>
          <w:bCs/>
        </w:rPr>
      </w:pPr>
      <w:r w:rsidRPr="004305CE">
        <w:rPr>
          <w:bCs/>
        </w:rPr>
        <w:t xml:space="preserve"> </w:t>
      </w:r>
      <w:r w:rsidR="00564A1A" w:rsidRPr="004305CE">
        <w:rPr>
          <w:bCs/>
        </w:rPr>
        <w:t xml:space="preserve">    A.  Enforcing Federal Criminal Laws</w:t>
      </w:r>
    </w:p>
    <w:p w:rsidR="00224A36" w:rsidRPr="004305CE" w:rsidRDefault="00224A36">
      <w:pPr>
        <w:tabs>
          <w:tab w:val="left" w:leader="dot" w:pos="7920"/>
          <w:tab w:val="right" w:pos="8640"/>
        </w:tabs>
        <w:rPr>
          <w:bCs/>
        </w:rPr>
      </w:pPr>
      <w:r w:rsidRPr="004305CE">
        <w:rPr>
          <w:bCs/>
        </w:rPr>
        <w:t xml:space="preserve">           1.  Program Description</w:t>
      </w:r>
      <w:r w:rsidR="008D015D" w:rsidRPr="004305CE">
        <w:rPr>
          <w:bCs/>
        </w:rPr>
        <w:t>………………………………………………...………</w:t>
      </w:r>
      <w:r w:rsidR="00D6225E" w:rsidRPr="004305CE">
        <w:rPr>
          <w:bCs/>
        </w:rPr>
        <w:t xml:space="preserve">. </w:t>
      </w:r>
      <w:r w:rsidR="00724FEC">
        <w:rPr>
          <w:bCs/>
        </w:rPr>
        <w:t>11</w:t>
      </w:r>
    </w:p>
    <w:p w:rsidR="00224A36" w:rsidRPr="004305CE" w:rsidRDefault="00224A36">
      <w:pPr>
        <w:tabs>
          <w:tab w:val="left" w:leader="dot" w:pos="7920"/>
          <w:tab w:val="right" w:pos="8640"/>
        </w:tabs>
        <w:rPr>
          <w:bCs/>
        </w:rPr>
      </w:pPr>
      <w:r w:rsidRPr="004305CE">
        <w:rPr>
          <w:bCs/>
        </w:rPr>
        <w:t xml:space="preserve">           2.  Performance </w:t>
      </w:r>
      <w:r w:rsidR="00C809AE" w:rsidRPr="004305CE">
        <w:rPr>
          <w:bCs/>
        </w:rPr>
        <w:t xml:space="preserve">and Resource </w:t>
      </w:r>
      <w:r w:rsidRPr="004305CE">
        <w:rPr>
          <w:bCs/>
        </w:rPr>
        <w:t>Tables</w:t>
      </w:r>
      <w:r w:rsidR="00724FEC">
        <w:rPr>
          <w:bCs/>
        </w:rPr>
        <w:t>…………………………………………..  13</w:t>
      </w:r>
    </w:p>
    <w:p w:rsidR="00224A36" w:rsidRPr="004305CE" w:rsidRDefault="00224A36">
      <w:pPr>
        <w:tabs>
          <w:tab w:val="left" w:leader="dot" w:pos="7920"/>
          <w:tab w:val="right" w:pos="8640"/>
        </w:tabs>
      </w:pPr>
      <w:r w:rsidRPr="004305CE">
        <w:rPr>
          <w:bCs/>
        </w:rPr>
        <w:t xml:space="preserve">           3.  </w:t>
      </w:r>
      <w:r w:rsidRPr="004305CE">
        <w:t>Performance, Resources, and Strategies</w:t>
      </w:r>
      <w:r w:rsidR="00727ADE" w:rsidRPr="004305CE">
        <w:t>……………………………………</w:t>
      </w:r>
      <w:proofErr w:type="gramStart"/>
      <w:r w:rsidR="00727ADE" w:rsidRPr="004305CE">
        <w:t>.</w:t>
      </w:r>
      <w:r w:rsidR="00C809AE" w:rsidRPr="004305CE">
        <w:t xml:space="preserve"> </w:t>
      </w:r>
      <w:r w:rsidR="008B1C11">
        <w:t xml:space="preserve"> </w:t>
      </w:r>
      <w:r w:rsidR="00724FEC">
        <w:t>16</w:t>
      </w:r>
      <w:proofErr w:type="gramEnd"/>
    </w:p>
    <w:p w:rsidR="00925CD7" w:rsidRPr="004305CE" w:rsidRDefault="00925CD7" w:rsidP="00F429DA">
      <w:pPr>
        <w:tabs>
          <w:tab w:val="left" w:leader="dot" w:pos="7920"/>
          <w:tab w:val="right" w:pos="8640"/>
        </w:tabs>
        <w:ind w:left="1080"/>
        <w:rPr>
          <w:bCs/>
        </w:rPr>
      </w:pPr>
    </w:p>
    <w:p w:rsidR="00AA3992" w:rsidRPr="004305CE" w:rsidRDefault="001336D2" w:rsidP="00AA3992">
      <w:pPr>
        <w:tabs>
          <w:tab w:val="left" w:leader="dot" w:pos="7920"/>
          <w:tab w:val="right" w:pos="8640"/>
        </w:tabs>
        <w:rPr>
          <w:b/>
          <w:bCs/>
        </w:rPr>
      </w:pPr>
      <w:hyperlink w:anchor="V" w:history="1">
        <w:r w:rsidR="00AA3992" w:rsidRPr="004305CE">
          <w:rPr>
            <w:rStyle w:val="Hyperlink"/>
            <w:b/>
            <w:bCs/>
          </w:rPr>
          <w:t xml:space="preserve">V. Program </w:t>
        </w:r>
        <w:r w:rsidR="00A0467F" w:rsidRPr="004305CE">
          <w:rPr>
            <w:rStyle w:val="Hyperlink"/>
            <w:b/>
            <w:bCs/>
          </w:rPr>
          <w:t>Increases by Item</w:t>
        </w:r>
        <w:r w:rsidR="00D6225E" w:rsidRPr="004305CE">
          <w:rPr>
            <w:rStyle w:val="Hyperlink"/>
            <w:b/>
            <w:bCs/>
          </w:rPr>
          <w:t xml:space="preserve"> </w:t>
        </w:r>
        <w:r w:rsidR="00D6225E" w:rsidRPr="007D6D4E">
          <w:rPr>
            <w:rStyle w:val="Hyperlink"/>
            <w:bCs/>
          </w:rPr>
          <w:t xml:space="preserve">………………………………………………………. </w:t>
        </w:r>
      </w:hyperlink>
      <w:r w:rsidR="00724FEC">
        <w:t>18</w:t>
      </w:r>
    </w:p>
    <w:p w:rsidR="00A0467F" w:rsidRPr="004305CE" w:rsidRDefault="00AA3992" w:rsidP="00AA3992">
      <w:pPr>
        <w:tabs>
          <w:tab w:val="left" w:leader="dot" w:pos="7920"/>
          <w:tab w:val="right" w:pos="8640"/>
        </w:tabs>
        <w:rPr>
          <w:bCs/>
          <w:highlight w:val="yellow"/>
        </w:rPr>
      </w:pPr>
      <w:r w:rsidRPr="004305CE">
        <w:rPr>
          <w:bCs/>
          <w:highlight w:val="yellow"/>
        </w:rPr>
        <w:t xml:space="preserve">  </w:t>
      </w:r>
    </w:p>
    <w:p w:rsidR="00A0467F" w:rsidRPr="004305CE" w:rsidRDefault="001336D2" w:rsidP="00A0467F">
      <w:pPr>
        <w:tabs>
          <w:tab w:val="left" w:leader="dot" w:pos="7920"/>
          <w:tab w:val="right" w:pos="8640"/>
        </w:tabs>
        <w:rPr>
          <w:b/>
          <w:bCs/>
        </w:rPr>
      </w:pPr>
      <w:hyperlink w:anchor="Vi" w:history="1">
        <w:r w:rsidR="00A0467F" w:rsidRPr="004305CE">
          <w:rPr>
            <w:rStyle w:val="Hyperlink"/>
            <w:b/>
            <w:bCs/>
          </w:rPr>
          <w:t>VI. Program Offsets by Item</w:t>
        </w:r>
        <w:r w:rsidR="00564A1A" w:rsidRPr="004305CE">
          <w:rPr>
            <w:rStyle w:val="Hyperlink"/>
            <w:b/>
            <w:bCs/>
          </w:rPr>
          <w:t xml:space="preserve"> – </w:t>
        </w:r>
        <w:r w:rsidR="004305CE">
          <w:rPr>
            <w:rStyle w:val="Hyperlink"/>
            <w:b/>
            <w:bCs/>
          </w:rPr>
          <w:t>Not Applicable</w:t>
        </w:r>
      </w:hyperlink>
      <w:r w:rsidR="004305CE">
        <w:t xml:space="preserve"> </w:t>
      </w:r>
    </w:p>
    <w:p w:rsidR="00AA3992" w:rsidRPr="004305CE" w:rsidRDefault="00AA3992" w:rsidP="00AA3992">
      <w:pPr>
        <w:tabs>
          <w:tab w:val="left" w:leader="dot" w:pos="7920"/>
          <w:tab w:val="right" w:pos="8640"/>
        </w:tabs>
        <w:rPr>
          <w:bCs/>
          <w:highlight w:val="yellow"/>
        </w:rPr>
      </w:pPr>
    </w:p>
    <w:p w:rsidR="00224A36" w:rsidRPr="004305CE" w:rsidRDefault="001336D2">
      <w:pPr>
        <w:pStyle w:val="xl27"/>
        <w:tabs>
          <w:tab w:val="left" w:leader="dot" w:pos="7920"/>
          <w:tab w:val="right" w:pos="8640"/>
        </w:tabs>
        <w:spacing w:before="0" w:after="0"/>
        <w:rPr>
          <w:rFonts w:ascii="Times New Roman" w:eastAsia="Times New Roman" w:hAnsi="Times New Roman"/>
          <w:bCs/>
          <w:szCs w:val="24"/>
        </w:rPr>
      </w:pPr>
      <w:hyperlink w:anchor="VII" w:history="1">
        <w:r w:rsidR="00FD1C96" w:rsidRPr="004305CE">
          <w:rPr>
            <w:rStyle w:val="Hyperlink"/>
            <w:rFonts w:ascii="Times New Roman" w:eastAsia="Times New Roman" w:hAnsi="Times New Roman"/>
            <w:bCs/>
            <w:szCs w:val="24"/>
          </w:rPr>
          <w:t>V</w:t>
        </w:r>
        <w:r w:rsidR="006C689E" w:rsidRPr="004305CE">
          <w:rPr>
            <w:rStyle w:val="Hyperlink"/>
            <w:rFonts w:ascii="Times New Roman" w:eastAsia="Times New Roman" w:hAnsi="Times New Roman"/>
            <w:bCs/>
            <w:szCs w:val="24"/>
          </w:rPr>
          <w:t>II</w:t>
        </w:r>
        <w:r w:rsidR="00D6225E" w:rsidRPr="004305CE">
          <w:rPr>
            <w:rStyle w:val="Hyperlink"/>
            <w:rFonts w:ascii="Times New Roman" w:eastAsia="Times New Roman" w:hAnsi="Times New Roman"/>
            <w:bCs/>
            <w:szCs w:val="24"/>
          </w:rPr>
          <w:t>. Exhibits</w:t>
        </w:r>
      </w:hyperlink>
    </w:p>
    <w:p w:rsidR="00224A36" w:rsidRPr="00D6225E" w:rsidRDefault="00224A36">
      <w:pPr>
        <w:tabs>
          <w:tab w:val="left" w:leader="dot" w:pos="7920"/>
          <w:tab w:val="right" w:pos="8640"/>
        </w:tabs>
        <w:outlineLvl w:val="0"/>
        <w:rPr>
          <w:b/>
          <w:bCs/>
        </w:rPr>
      </w:pPr>
    </w:p>
    <w:p w:rsidR="00224A36" w:rsidRPr="000F4A43" w:rsidRDefault="001E72A1" w:rsidP="00420649">
      <w:pPr>
        <w:numPr>
          <w:ilvl w:val="0"/>
          <w:numId w:val="3"/>
        </w:numPr>
        <w:tabs>
          <w:tab w:val="left" w:leader="dot" w:pos="7920"/>
          <w:tab w:val="right" w:pos="8640"/>
        </w:tabs>
        <w:outlineLvl w:val="0"/>
        <w:rPr>
          <w:bCs/>
        </w:rPr>
      </w:pPr>
      <w:r w:rsidRPr="000F4A43">
        <w:t>Organizational Chart</w:t>
      </w:r>
    </w:p>
    <w:p w:rsidR="00224A36" w:rsidRPr="000F4A43" w:rsidRDefault="003E615F">
      <w:pPr>
        <w:pStyle w:val="xl19"/>
        <w:tabs>
          <w:tab w:val="left" w:leader="dot" w:pos="7920"/>
          <w:tab w:val="right" w:pos="8640"/>
        </w:tabs>
        <w:spacing w:before="0" w:after="0"/>
        <w:ind w:left="360"/>
        <w:rPr>
          <w:rFonts w:eastAsia="Times New Roman"/>
          <w:bCs/>
        </w:rPr>
      </w:pPr>
      <w:r w:rsidRPr="000F4A43">
        <w:rPr>
          <w:rFonts w:eastAsia="Times New Roman"/>
          <w:bCs/>
        </w:rPr>
        <w:t>B.</w:t>
      </w:r>
      <w:r w:rsidR="003D0E7B" w:rsidRPr="000F4A43">
        <w:rPr>
          <w:rFonts w:eastAsia="Times New Roman"/>
          <w:bCs/>
        </w:rPr>
        <w:t xml:space="preserve"> </w:t>
      </w:r>
      <w:r w:rsidR="00224A36" w:rsidRPr="000F4A43">
        <w:rPr>
          <w:rFonts w:eastAsia="Times New Roman"/>
          <w:bCs/>
        </w:rPr>
        <w:t xml:space="preserve"> </w:t>
      </w:r>
      <w:r w:rsidR="00F429DA" w:rsidRPr="000F4A43">
        <w:rPr>
          <w:rFonts w:eastAsia="Times New Roman"/>
          <w:bCs/>
        </w:rPr>
        <w:t xml:space="preserve">Summary of Requirements </w:t>
      </w:r>
    </w:p>
    <w:p w:rsidR="00224A36" w:rsidRPr="000F4A43" w:rsidRDefault="003E615F">
      <w:pPr>
        <w:tabs>
          <w:tab w:val="left" w:leader="dot" w:pos="7920"/>
          <w:tab w:val="right" w:pos="8640"/>
        </w:tabs>
        <w:ind w:left="360"/>
        <w:rPr>
          <w:bCs/>
        </w:rPr>
      </w:pPr>
      <w:r w:rsidRPr="000F4A43">
        <w:rPr>
          <w:bCs/>
        </w:rPr>
        <w:t>C</w:t>
      </w:r>
      <w:r w:rsidR="00224A36" w:rsidRPr="000F4A43">
        <w:rPr>
          <w:bCs/>
        </w:rPr>
        <w:t xml:space="preserve">. </w:t>
      </w:r>
      <w:r w:rsidRPr="000F4A43">
        <w:rPr>
          <w:bCs/>
        </w:rPr>
        <w:t xml:space="preserve"> </w:t>
      </w:r>
      <w:r w:rsidR="00224A36" w:rsidRPr="000F4A43">
        <w:rPr>
          <w:bCs/>
        </w:rPr>
        <w:t>Pro</w:t>
      </w:r>
      <w:r w:rsidR="00F429DA" w:rsidRPr="000F4A43">
        <w:rPr>
          <w:bCs/>
        </w:rPr>
        <w:t xml:space="preserve">gram </w:t>
      </w:r>
      <w:r w:rsidR="00A0467F" w:rsidRPr="000F4A43">
        <w:rPr>
          <w:bCs/>
        </w:rPr>
        <w:t>Increases/Offsets</w:t>
      </w:r>
      <w:r w:rsidR="00F429DA" w:rsidRPr="000F4A43">
        <w:rPr>
          <w:bCs/>
        </w:rPr>
        <w:t xml:space="preserve"> by Decision Unit</w:t>
      </w:r>
    </w:p>
    <w:p w:rsidR="00224A36" w:rsidRPr="000F4A43" w:rsidRDefault="00224A36" w:rsidP="00420649">
      <w:pPr>
        <w:numPr>
          <w:ilvl w:val="0"/>
          <w:numId w:val="4"/>
        </w:numPr>
        <w:tabs>
          <w:tab w:val="left" w:leader="dot" w:pos="7920"/>
          <w:tab w:val="right" w:pos="8640"/>
        </w:tabs>
        <w:rPr>
          <w:bCs/>
        </w:rPr>
      </w:pPr>
      <w:r w:rsidRPr="000F4A43">
        <w:rPr>
          <w:bCs/>
        </w:rPr>
        <w:t xml:space="preserve">Resources </w:t>
      </w:r>
      <w:r w:rsidR="00F429DA" w:rsidRPr="000F4A43">
        <w:rPr>
          <w:bCs/>
        </w:rPr>
        <w:t>by DOJ Strategic Goal/Objectiv</w:t>
      </w:r>
      <w:r w:rsidR="00B70E30" w:rsidRPr="000F4A43">
        <w:rPr>
          <w:bCs/>
        </w:rPr>
        <w:t>e</w:t>
      </w:r>
    </w:p>
    <w:p w:rsidR="00224A36" w:rsidRPr="000F4A43" w:rsidRDefault="00224A36" w:rsidP="00420649">
      <w:pPr>
        <w:numPr>
          <w:ilvl w:val="0"/>
          <w:numId w:val="4"/>
        </w:numPr>
        <w:tabs>
          <w:tab w:val="left" w:leader="dot" w:pos="7920"/>
          <w:tab w:val="right" w:pos="8640"/>
        </w:tabs>
        <w:rPr>
          <w:bCs/>
        </w:rPr>
      </w:pPr>
      <w:r w:rsidRPr="000F4A43">
        <w:rPr>
          <w:bCs/>
        </w:rPr>
        <w:t>Justification for Base Adjustments</w:t>
      </w:r>
    </w:p>
    <w:p w:rsidR="00FD1C96" w:rsidRPr="000F4A43" w:rsidRDefault="002015E7" w:rsidP="00420649">
      <w:pPr>
        <w:numPr>
          <w:ilvl w:val="0"/>
          <w:numId w:val="4"/>
        </w:numPr>
        <w:tabs>
          <w:tab w:val="left" w:leader="dot" w:pos="7920"/>
          <w:tab w:val="right" w:pos="8640"/>
        </w:tabs>
        <w:rPr>
          <w:bCs/>
        </w:rPr>
      </w:pPr>
      <w:r w:rsidRPr="000F4A43">
        <w:rPr>
          <w:bCs/>
        </w:rPr>
        <w:t>Crosswalk of 20</w:t>
      </w:r>
      <w:r w:rsidR="00771421" w:rsidRPr="000F4A43">
        <w:rPr>
          <w:bCs/>
        </w:rPr>
        <w:t>1</w:t>
      </w:r>
      <w:r w:rsidR="00A0467F" w:rsidRPr="000F4A43">
        <w:rPr>
          <w:bCs/>
        </w:rPr>
        <w:t>2</w:t>
      </w:r>
      <w:r w:rsidR="00224A36" w:rsidRPr="000F4A43">
        <w:rPr>
          <w:bCs/>
        </w:rPr>
        <w:t xml:space="preserve"> Availability</w:t>
      </w:r>
    </w:p>
    <w:p w:rsidR="00224A36" w:rsidRPr="000F4A43" w:rsidRDefault="002015E7" w:rsidP="00420649">
      <w:pPr>
        <w:numPr>
          <w:ilvl w:val="0"/>
          <w:numId w:val="4"/>
        </w:numPr>
        <w:tabs>
          <w:tab w:val="left" w:leader="dot" w:pos="7920"/>
          <w:tab w:val="right" w:pos="8640"/>
        </w:tabs>
        <w:rPr>
          <w:bCs/>
          <w:i/>
        </w:rPr>
      </w:pPr>
      <w:r w:rsidRPr="000F4A43">
        <w:rPr>
          <w:bCs/>
        </w:rPr>
        <w:t>Crosswalk of 20</w:t>
      </w:r>
      <w:r w:rsidR="00A87425" w:rsidRPr="000F4A43">
        <w:rPr>
          <w:bCs/>
        </w:rPr>
        <w:t>1</w:t>
      </w:r>
      <w:r w:rsidR="00A0467F" w:rsidRPr="000F4A43">
        <w:rPr>
          <w:bCs/>
        </w:rPr>
        <w:t>3</w:t>
      </w:r>
      <w:r w:rsidR="00FD1C96" w:rsidRPr="000F4A43">
        <w:rPr>
          <w:bCs/>
        </w:rPr>
        <w:t xml:space="preserve"> Avail</w:t>
      </w:r>
      <w:r w:rsidR="00433BB2" w:rsidRPr="000F4A43">
        <w:rPr>
          <w:bCs/>
        </w:rPr>
        <w:t>ability</w:t>
      </w:r>
      <w:r w:rsidR="000F4A43" w:rsidRPr="000F4A43">
        <w:rPr>
          <w:bCs/>
        </w:rPr>
        <w:t xml:space="preserve"> </w:t>
      </w:r>
    </w:p>
    <w:p w:rsidR="00224A36" w:rsidRPr="000F4A43" w:rsidRDefault="00224A36" w:rsidP="00420649">
      <w:pPr>
        <w:numPr>
          <w:ilvl w:val="0"/>
          <w:numId w:val="4"/>
        </w:numPr>
        <w:tabs>
          <w:tab w:val="left" w:leader="dot" w:pos="7920"/>
          <w:tab w:val="right" w:pos="8640"/>
        </w:tabs>
        <w:rPr>
          <w:bCs/>
        </w:rPr>
      </w:pPr>
      <w:r w:rsidRPr="000F4A43">
        <w:rPr>
          <w:bCs/>
        </w:rPr>
        <w:t>Su</w:t>
      </w:r>
      <w:r w:rsidR="00F429DA" w:rsidRPr="000F4A43">
        <w:rPr>
          <w:bCs/>
        </w:rPr>
        <w:t>mmary of Reimbursable Resources</w:t>
      </w:r>
    </w:p>
    <w:p w:rsidR="00224A36" w:rsidRPr="000F4A43" w:rsidRDefault="00224A36" w:rsidP="00420649">
      <w:pPr>
        <w:numPr>
          <w:ilvl w:val="0"/>
          <w:numId w:val="4"/>
        </w:numPr>
        <w:tabs>
          <w:tab w:val="left" w:leader="dot" w:pos="7920"/>
          <w:tab w:val="right" w:pos="8640"/>
        </w:tabs>
        <w:rPr>
          <w:bCs/>
        </w:rPr>
      </w:pPr>
      <w:r w:rsidRPr="000F4A43">
        <w:rPr>
          <w:bCs/>
        </w:rPr>
        <w:t xml:space="preserve">Detail of </w:t>
      </w:r>
      <w:r w:rsidR="00F429DA" w:rsidRPr="000F4A43">
        <w:rPr>
          <w:bCs/>
        </w:rPr>
        <w:t>Permanent Positions by Category</w:t>
      </w:r>
    </w:p>
    <w:p w:rsidR="00224A36" w:rsidRPr="000F4A43" w:rsidRDefault="007B406F" w:rsidP="00420649">
      <w:pPr>
        <w:numPr>
          <w:ilvl w:val="0"/>
          <w:numId w:val="4"/>
        </w:numPr>
        <w:tabs>
          <w:tab w:val="left" w:leader="dot" w:pos="7920"/>
          <w:tab w:val="right" w:pos="8640"/>
        </w:tabs>
        <w:rPr>
          <w:bCs/>
        </w:rPr>
      </w:pPr>
      <w:r w:rsidRPr="000F4A43">
        <w:rPr>
          <w:bCs/>
        </w:rPr>
        <w:t>Financial Analy</w:t>
      </w:r>
      <w:r w:rsidR="000F4A43" w:rsidRPr="000F4A43">
        <w:rPr>
          <w:bCs/>
        </w:rPr>
        <w:t>sis of Program Changes</w:t>
      </w:r>
    </w:p>
    <w:p w:rsidR="00224A36" w:rsidRPr="000F4A43" w:rsidRDefault="00B50CCC" w:rsidP="00420649">
      <w:pPr>
        <w:numPr>
          <w:ilvl w:val="0"/>
          <w:numId w:val="4"/>
        </w:numPr>
        <w:tabs>
          <w:tab w:val="left" w:leader="dot" w:pos="7920"/>
          <w:tab w:val="right" w:pos="8640"/>
        </w:tabs>
        <w:rPr>
          <w:bCs/>
        </w:rPr>
      </w:pPr>
      <w:r w:rsidRPr="000F4A43">
        <w:rPr>
          <w:bCs/>
        </w:rPr>
        <w:t>Summary of Requirements by Grade</w:t>
      </w:r>
    </w:p>
    <w:p w:rsidR="00224A36" w:rsidRPr="000F4A43" w:rsidRDefault="00B50CCC" w:rsidP="00420649">
      <w:pPr>
        <w:numPr>
          <w:ilvl w:val="0"/>
          <w:numId w:val="4"/>
        </w:numPr>
        <w:tabs>
          <w:tab w:val="left" w:leader="dot" w:pos="7920"/>
          <w:tab w:val="right" w:pos="8640"/>
        </w:tabs>
        <w:rPr>
          <w:bCs/>
        </w:rPr>
      </w:pPr>
      <w:r w:rsidRPr="000F4A43">
        <w:rPr>
          <w:bCs/>
        </w:rPr>
        <w:t>Summary of Requirements by Object Class</w:t>
      </w:r>
    </w:p>
    <w:p w:rsidR="008F6B17" w:rsidRDefault="008F6B17">
      <w:pPr>
        <w:rPr>
          <w:b/>
        </w:rPr>
      </w:pPr>
      <w:r>
        <w:rPr>
          <w:b/>
        </w:rPr>
        <w:br w:type="page"/>
      </w:r>
    </w:p>
    <w:p w:rsidR="00284E43" w:rsidRPr="000F4A43" w:rsidRDefault="002C5589" w:rsidP="00420649">
      <w:pPr>
        <w:numPr>
          <w:ilvl w:val="0"/>
          <w:numId w:val="4"/>
        </w:numPr>
        <w:tabs>
          <w:tab w:val="left" w:leader="dot" w:pos="7920"/>
          <w:tab w:val="right" w:pos="8640"/>
        </w:tabs>
        <w:rPr>
          <w:bCs/>
        </w:rPr>
        <w:sectPr w:rsidR="00284E43" w:rsidRPr="000F4A43" w:rsidSect="001D0652">
          <w:footerReference w:type="default" r:id="rId9"/>
          <w:pgSz w:w="12240" w:h="15840" w:code="1"/>
          <w:pgMar w:top="1440" w:right="1440" w:bottom="1440" w:left="1440"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1"/>
          <w:cols w:space="720"/>
          <w:docGrid w:linePitch="360"/>
        </w:sectPr>
      </w:pPr>
      <w:r w:rsidRPr="000F4A43">
        <w:rPr>
          <w:b/>
        </w:rPr>
        <w:lastRenderedPageBreak/>
        <w:br w:type="page"/>
      </w:r>
    </w:p>
    <w:p w:rsidR="006C689E" w:rsidRPr="000F4A43" w:rsidRDefault="006C689E" w:rsidP="00B5141E">
      <w:pPr>
        <w:tabs>
          <w:tab w:val="left" w:leader="dot" w:pos="7920"/>
          <w:tab w:val="right" w:pos="8640"/>
        </w:tabs>
        <w:rPr>
          <w:b/>
        </w:rPr>
      </w:pPr>
    </w:p>
    <w:p w:rsidR="00224A36" w:rsidRPr="000F4A43" w:rsidRDefault="00224A36">
      <w:pPr>
        <w:pStyle w:val="BodyText"/>
        <w:rPr>
          <w:b/>
          <w:bCs/>
          <w:sz w:val="28"/>
          <w:szCs w:val="28"/>
        </w:rPr>
      </w:pPr>
      <w:bookmarkStart w:id="0" w:name="I"/>
      <w:r w:rsidRPr="000F4A43">
        <w:rPr>
          <w:b/>
          <w:bCs/>
          <w:sz w:val="28"/>
          <w:szCs w:val="28"/>
        </w:rPr>
        <w:t xml:space="preserve">I.  Overview for </w:t>
      </w:r>
      <w:r w:rsidR="00B42743" w:rsidRPr="000F4A43">
        <w:rPr>
          <w:b/>
          <w:bCs/>
          <w:sz w:val="28"/>
          <w:szCs w:val="28"/>
        </w:rPr>
        <w:t>Criminal Division</w:t>
      </w:r>
    </w:p>
    <w:bookmarkEnd w:id="0"/>
    <w:p w:rsidR="00224A36" w:rsidRPr="000F4A43" w:rsidRDefault="00224A36">
      <w:pPr>
        <w:pStyle w:val="BodyText"/>
        <w:ind w:firstLine="720"/>
      </w:pPr>
    </w:p>
    <w:p w:rsidR="00224A36" w:rsidRPr="000F4A43" w:rsidRDefault="00224A36">
      <w:pPr>
        <w:pStyle w:val="BodyText"/>
        <w:rPr>
          <w:rFonts w:cs="Arial"/>
          <w:b/>
          <w:bCs/>
          <w:i/>
          <w:iCs/>
        </w:rPr>
      </w:pPr>
      <w:r w:rsidRPr="000F4A43">
        <w:rPr>
          <w:rFonts w:cs="Arial"/>
          <w:b/>
          <w:bCs/>
        </w:rPr>
        <w:t xml:space="preserve"> </w:t>
      </w:r>
    </w:p>
    <w:p w:rsidR="009838A1" w:rsidRPr="000F4A43" w:rsidRDefault="009838A1" w:rsidP="009838A1">
      <w:pPr>
        <w:tabs>
          <w:tab w:val="center" w:pos="4680"/>
        </w:tabs>
        <w:ind w:left="720" w:hanging="720"/>
        <w:rPr>
          <w:b/>
        </w:rPr>
      </w:pPr>
      <w:r w:rsidRPr="000F4A43">
        <w:rPr>
          <w:b/>
        </w:rPr>
        <w:t xml:space="preserve">A.  </w:t>
      </w:r>
      <w:r w:rsidRPr="000F4A43">
        <w:rPr>
          <w:b/>
        </w:rPr>
        <w:tab/>
        <w:t>FY 2014 Budget Summary</w:t>
      </w:r>
    </w:p>
    <w:p w:rsidR="009838A1" w:rsidRPr="000F4A43" w:rsidRDefault="009838A1" w:rsidP="009838A1">
      <w:pPr>
        <w:tabs>
          <w:tab w:val="center" w:pos="4680"/>
        </w:tabs>
      </w:pPr>
    </w:p>
    <w:p w:rsidR="009838A1" w:rsidRDefault="009838A1" w:rsidP="009838A1">
      <w:r w:rsidRPr="000F4A43">
        <w:t xml:space="preserve">The Criminal Division requests a total of </w:t>
      </w:r>
      <w:r w:rsidR="00A01467">
        <w:t>814</w:t>
      </w:r>
      <w:r w:rsidR="00A01467" w:rsidRPr="000F4A43">
        <w:t xml:space="preserve"> </w:t>
      </w:r>
      <w:r w:rsidRPr="000F4A43">
        <w:t xml:space="preserve">permanent positions, </w:t>
      </w:r>
      <w:r w:rsidR="00A01467">
        <w:t>703</w:t>
      </w:r>
      <w:r w:rsidR="00A01467" w:rsidRPr="000F4A43">
        <w:t xml:space="preserve"> </w:t>
      </w:r>
      <w:r w:rsidRPr="000F4A43">
        <w:t>direct Full-Time Equivalent work years (FTE), and $</w:t>
      </w:r>
      <w:r w:rsidR="00A01467">
        <w:t>182,499,000</w:t>
      </w:r>
      <w:r w:rsidRPr="000F4A43">
        <w:t xml:space="preserve"> in its Salaries and Expenses appropriation for Fiscal Year (FY) 2014.</w:t>
      </w:r>
      <w:r w:rsidR="007C7EB7">
        <w:t xml:space="preserve">  </w:t>
      </w:r>
      <w:r w:rsidR="007C7EB7" w:rsidRPr="003C498D">
        <w:t xml:space="preserve">The Division’s request will maintain the current level of services while providing funding for necessary resources to </w:t>
      </w:r>
      <w:r w:rsidR="007C7EB7" w:rsidRPr="00110160">
        <w:t>combat the growing and evolving cyber threat</w:t>
      </w:r>
      <w:r w:rsidR="00000E0A" w:rsidRPr="00110160">
        <w:t>,</w:t>
      </w:r>
      <w:r w:rsidR="00000E0A">
        <w:t xml:space="preserve"> the most significant financial and mortgage fraud cases, as well as the increasing threat of transnational intellectual property</w:t>
      </w:r>
      <w:r w:rsidR="00110160">
        <w:t xml:space="preserve"> crime</w:t>
      </w:r>
      <w:r w:rsidR="007C7EB7">
        <w:t>.</w:t>
      </w:r>
      <w:r w:rsidR="00711E94">
        <w:t xml:space="preserve"> </w:t>
      </w:r>
      <w:r w:rsidR="009A72AE">
        <w:t xml:space="preserve"> </w:t>
      </w:r>
      <w:r w:rsidR="00711E94" w:rsidRPr="00FF1D21">
        <w:rPr>
          <w:bCs/>
        </w:rPr>
        <w:t>Electronic</w:t>
      </w:r>
      <w:r w:rsidR="00711E94" w:rsidRPr="00C1151B">
        <w:rPr>
          <w:bCs/>
        </w:rPr>
        <w:t xml:space="preserve"> copies of the Department of Justice’s </w:t>
      </w:r>
      <w:r w:rsidR="00711E94">
        <w:rPr>
          <w:bCs/>
        </w:rPr>
        <w:t>C</w:t>
      </w:r>
      <w:r w:rsidR="00711E94" w:rsidRPr="00C1151B">
        <w:rPr>
          <w:bCs/>
        </w:rPr>
        <w:t xml:space="preserve">ongressional </w:t>
      </w:r>
      <w:r w:rsidR="00711E94">
        <w:rPr>
          <w:bCs/>
        </w:rPr>
        <w:t>B</w:t>
      </w:r>
      <w:r w:rsidR="00711E94" w:rsidRPr="00C1151B">
        <w:rPr>
          <w:bCs/>
        </w:rPr>
        <w:t xml:space="preserve">udget </w:t>
      </w:r>
      <w:r w:rsidR="00711E94">
        <w:rPr>
          <w:bCs/>
        </w:rPr>
        <w:t xml:space="preserve">Justifications and </w:t>
      </w:r>
      <w:r w:rsidR="00711E94" w:rsidRPr="00C1151B">
        <w:rPr>
          <w:bCs/>
        </w:rPr>
        <w:t>Capital Asset Plan and Business Case</w:t>
      </w:r>
      <w:r w:rsidR="00711E94">
        <w:rPr>
          <w:bCs/>
        </w:rPr>
        <w:t xml:space="preserve"> exhibits</w:t>
      </w:r>
      <w:r w:rsidR="00711E94" w:rsidRPr="00C1151B">
        <w:rPr>
          <w:bCs/>
        </w:rPr>
        <w:t xml:space="preserve"> can be viewed or downloaded from the Internet using the Internet address:</w:t>
      </w:r>
      <w:r w:rsidR="00711E94">
        <w:rPr>
          <w:bCs/>
        </w:rPr>
        <w:t xml:space="preserve"> </w:t>
      </w:r>
      <w:r w:rsidR="00711E94">
        <w:rPr>
          <w:color w:val="1F497D"/>
        </w:rPr>
        <w:t xml:space="preserve"> </w:t>
      </w:r>
      <w:hyperlink r:id="rId10" w:history="1">
        <w:r w:rsidR="00711E94" w:rsidRPr="00711E94">
          <w:rPr>
            <w:rStyle w:val="Hyperlink"/>
            <w:color w:val="3333FF"/>
            <w:u w:val="single"/>
          </w:rPr>
          <w:t>http://www.justice.gov/02organizations/bpp.htm</w:t>
        </w:r>
      </w:hyperlink>
      <w:r w:rsidR="00711E94" w:rsidRPr="00711E94">
        <w:rPr>
          <w:bCs/>
          <w:color w:val="3333FF"/>
          <w:u w:val="single"/>
        </w:rPr>
        <w:t>.</w:t>
      </w:r>
      <w:r w:rsidR="00110160">
        <w:rPr>
          <w:bCs/>
          <w:color w:val="3333FF"/>
          <w:u w:val="single"/>
        </w:rPr>
        <w:t xml:space="preserve"> </w:t>
      </w:r>
    </w:p>
    <w:p w:rsidR="00455FEB" w:rsidRPr="00280F28" w:rsidRDefault="00455FEB" w:rsidP="009838A1"/>
    <w:p w:rsidR="009838A1" w:rsidRPr="00280F28" w:rsidRDefault="009838A1" w:rsidP="009838A1">
      <w:pPr>
        <w:rPr>
          <w:b/>
        </w:rPr>
      </w:pPr>
      <w:r w:rsidRPr="00280F28">
        <w:rPr>
          <w:b/>
        </w:rPr>
        <w:t xml:space="preserve">B. </w:t>
      </w:r>
      <w:r>
        <w:rPr>
          <w:b/>
        </w:rPr>
        <w:tab/>
      </w:r>
      <w:r w:rsidRPr="00280F28">
        <w:rPr>
          <w:b/>
        </w:rPr>
        <w:t>Criminal Division Mission &amp; Program Activities</w:t>
      </w:r>
    </w:p>
    <w:p w:rsidR="009838A1" w:rsidRPr="00280F28" w:rsidRDefault="009838A1" w:rsidP="009838A1">
      <w:pPr>
        <w:rPr>
          <w:i/>
        </w:rPr>
      </w:pPr>
    </w:p>
    <w:p w:rsidR="00455FEB" w:rsidRDefault="009838A1" w:rsidP="00455FEB">
      <w:pPr>
        <w:tabs>
          <w:tab w:val="left" w:leader="dot" w:pos="7920"/>
          <w:tab w:val="left" w:pos="8280"/>
          <w:tab w:val="right" w:pos="8640"/>
        </w:tabs>
      </w:pPr>
      <w:r>
        <w:t>The Criminal Division</w:t>
      </w:r>
      <w:r w:rsidR="005364AE">
        <w:t>’s mission is to develop</w:t>
      </w:r>
      <w:r>
        <w:t>, enforce, and</w:t>
      </w:r>
      <w:r w:rsidR="005364AE">
        <w:t xml:space="preserve"> supervise</w:t>
      </w:r>
      <w:r>
        <w:t xml:space="preserve"> the application of all federal criminal laws, except those specifically assigned to other divisions.  </w:t>
      </w:r>
      <w:r w:rsidR="005364AE">
        <w:t>Furthermore, the Division must</w:t>
      </w:r>
      <w:r>
        <w:t xml:space="preserve"> identify and respond to critical and emerging national and </w:t>
      </w:r>
      <w:r w:rsidR="005364AE">
        <w:t xml:space="preserve">international criminal threats </w:t>
      </w:r>
      <w:r>
        <w:t xml:space="preserve">and lead the enforcement, regulatory, and intelligence communities in a coordinated nationwide response to reduce those threats.  </w:t>
      </w:r>
    </w:p>
    <w:p w:rsidR="00455FEB" w:rsidRDefault="00455FEB" w:rsidP="00455FEB">
      <w:pPr>
        <w:tabs>
          <w:tab w:val="left" w:leader="dot" w:pos="7920"/>
          <w:tab w:val="left" w:pos="8280"/>
          <w:tab w:val="right" w:pos="8640"/>
        </w:tabs>
      </w:pPr>
    </w:p>
    <w:p w:rsidR="00455FEB" w:rsidRDefault="00455FEB" w:rsidP="00455FEB">
      <w:pPr>
        <w:tabs>
          <w:tab w:val="left" w:leader="dot" w:pos="7920"/>
          <w:tab w:val="left" w:pos="8280"/>
          <w:tab w:val="right" w:pos="8640"/>
        </w:tabs>
      </w:pPr>
      <w:r>
        <w:t xml:space="preserve">The events of September 11, 2001, highlighted the need for increased nationwide coordination and information sharing.  The Division serves a critical role in coordinating among the Department’s criminal law components, including the </w:t>
      </w:r>
      <w:smartTag w:uri="urn:schemas-microsoft-com:office:smarttags" w:element="country-region">
        <w:smartTag w:uri="urn:schemas-microsoft-com:office:smarttags" w:element="place">
          <w:r>
            <w:t>U.S.</w:t>
          </w:r>
        </w:smartTag>
      </w:smartTag>
      <w:r>
        <w:t xml:space="preserve"> Attorneys’ Offices.  As a “headquarters” office, the Division also serves as the central point of contact for foreign countries seeking law enforcement assistance.  No other organization within the Department or the U.S. Government is equipped to fulfill this role – one that is more critical than ever considering the continually increasing globalization and sophistication of crime.</w:t>
      </w:r>
    </w:p>
    <w:p w:rsidR="005364AE" w:rsidRDefault="005364AE" w:rsidP="009838A1"/>
    <w:p w:rsidR="00455FEB" w:rsidRDefault="00455FEB" w:rsidP="00455FEB">
      <w:r>
        <w:t xml:space="preserve">The Division engages in several </w:t>
      </w:r>
      <w:r w:rsidR="006C6373">
        <w:t>program activities</w:t>
      </w:r>
      <w:r>
        <w:t xml:space="preserve"> to achieve</w:t>
      </w:r>
      <w:r w:rsidR="009838A1">
        <w:t xml:space="preserve"> its mission</w:t>
      </w:r>
      <w:r w:rsidR="005364AE">
        <w:t>: (1) investigating and prosecuting, (2) providing expert guidance and advice, (3) reviewing the use of law enforcement tools, and (</w:t>
      </w:r>
      <w:r w:rsidR="006C6373">
        <w:t>4) fostering global partnerships</w:t>
      </w:r>
      <w:r w:rsidR="005364AE">
        <w:t>.</w:t>
      </w:r>
      <w:r w:rsidRPr="00455FEB">
        <w:t xml:space="preserve"> </w:t>
      </w:r>
      <w:r w:rsidR="009A72AE">
        <w:t xml:space="preserve"> </w:t>
      </w:r>
      <w:r>
        <w:t xml:space="preserve">Every day, the Criminal Division performs these functions at the forefront of federal criminal law enforcement. </w:t>
      </w:r>
    </w:p>
    <w:p w:rsidR="00455FEB" w:rsidRDefault="00455FEB" w:rsidP="009838A1"/>
    <w:p w:rsidR="005364AE" w:rsidRPr="005364AE" w:rsidRDefault="005364AE" w:rsidP="00420649">
      <w:pPr>
        <w:pStyle w:val="ListParagraph"/>
        <w:numPr>
          <w:ilvl w:val="0"/>
          <w:numId w:val="18"/>
        </w:numPr>
        <w:ind w:left="360"/>
        <w:rPr>
          <w:i/>
        </w:rPr>
      </w:pPr>
      <w:r w:rsidRPr="005364AE">
        <w:rPr>
          <w:i/>
        </w:rPr>
        <w:t>Investigating and Prosecuting</w:t>
      </w:r>
    </w:p>
    <w:p w:rsidR="005364AE" w:rsidRDefault="005364AE" w:rsidP="005364AE">
      <w:pPr>
        <w:widowControl w:val="0"/>
        <w:autoSpaceDE w:val="0"/>
        <w:autoSpaceDN w:val="0"/>
        <w:adjustRightInd w:val="0"/>
      </w:pPr>
    </w:p>
    <w:p w:rsidR="005364AE" w:rsidRDefault="005364AE" w:rsidP="00420649">
      <w:pPr>
        <w:widowControl w:val="0"/>
        <w:numPr>
          <w:ilvl w:val="0"/>
          <w:numId w:val="17"/>
        </w:numPr>
        <w:autoSpaceDE w:val="0"/>
        <w:autoSpaceDN w:val="0"/>
        <w:adjustRightInd w:val="0"/>
      </w:pPr>
      <w:r>
        <w:t>Investigating and prosecuting the most significant cases and matters</w:t>
      </w:r>
    </w:p>
    <w:p w:rsidR="00AE75A2" w:rsidRDefault="00AE75A2" w:rsidP="00420649">
      <w:pPr>
        <w:widowControl w:val="0"/>
        <w:numPr>
          <w:ilvl w:val="0"/>
          <w:numId w:val="17"/>
        </w:numPr>
        <w:autoSpaceDE w:val="0"/>
        <w:autoSpaceDN w:val="0"/>
        <w:adjustRightInd w:val="0"/>
      </w:pPr>
      <w:r>
        <w:t>Coordinating a wide range of criminal investigations and prosecutions that span multiple jurisdictions and involve mu</w:t>
      </w:r>
      <w:r w:rsidR="0094770D">
        <w:t>ltiple law enforcement partners</w:t>
      </w:r>
    </w:p>
    <w:p w:rsidR="005364AE" w:rsidRDefault="005364AE" w:rsidP="005364AE">
      <w:pPr>
        <w:pStyle w:val="ListParagraph"/>
        <w:ind w:left="360"/>
      </w:pPr>
    </w:p>
    <w:p w:rsidR="005364AE" w:rsidRDefault="005364AE" w:rsidP="005364AE">
      <w:pPr>
        <w:pStyle w:val="ListParagraph"/>
        <w:ind w:left="0"/>
      </w:pPr>
      <w:r>
        <w:t xml:space="preserve">With its investigation and prosecution activities, the Division strives to support its mission by investigating and prosecuting aggressively, but responsibly.  By providing both national </w:t>
      </w:r>
      <w:r>
        <w:lastRenderedPageBreak/>
        <w:t>perspective and leadership, the Division undertakes complex cases and ensures a consistent and coordinated approach to the nation’s law enforcement priorities, both domestically and internationally.  The Division has a “birds-eye” view of white collar crime, public corruption, organized crime, narcotics, violent crime, and other criminal activities, and consequently is uniquely able to ensure that crimes that occur across borders do not go undetected or ignored.</w:t>
      </w:r>
    </w:p>
    <w:p w:rsidR="00455FEB" w:rsidRDefault="00455FEB" w:rsidP="008007C4"/>
    <w:p w:rsidR="005364AE" w:rsidRPr="005364AE" w:rsidRDefault="005364AE" w:rsidP="00420649">
      <w:pPr>
        <w:pStyle w:val="ListParagraph"/>
        <w:numPr>
          <w:ilvl w:val="0"/>
          <w:numId w:val="18"/>
        </w:numPr>
        <w:ind w:left="360"/>
        <w:rPr>
          <w:i/>
        </w:rPr>
      </w:pPr>
      <w:r w:rsidRPr="005364AE">
        <w:rPr>
          <w:i/>
        </w:rPr>
        <w:t>Providing Expert Guidance and Advice</w:t>
      </w:r>
    </w:p>
    <w:p w:rsidR="005364AE" w:rsidRDefault="005364AE" w:rsidP="005364AE">
      <w:pPr>
        <w:pStyle w:val="ListParagraph"/>
        <w:ind w:left="360"/>
      </w:pPr>
    </w:p>
    <w:p w:rsidR="00455FEB" w:rsidRDefault="00455FEB" w:rsidP="00420649">
      <w:pPr>
        <w:widowControl w:val="0"/>
        <w:numPr>
          <w:ilvl w:val="0"/>
          <w:numId w:val="17"/>
        </w:numPr>
        <w:autoSpaceDE w:val="0"/>
        <w:autoSpaceDN w:val="0"/>
        <w:adjustRightInd w:val="0"/>
      </w:pPr>
      <w:r>
        <w:t>Developing and supporting effective crime reduction strategies and programs</w:t>
      </w:r>
    </w:p>
    <w:p w:rsidR="00AE75A2" w:rsidRDefault="00AE75A2" w:rsidP="00420649">
      <w:pPr>
        <w:widowControl w:val="0"/>
        <w:numPr>
          <w:ilvl w:val="0"/>
          <w:numId w:val="17"/>
        </w:numPr>
        <w:autoSpaceDE w:val="0"/>
        <w:autoSpaceDN w:val="0"/>
        <w:adjustRightInd w:val="0"/>
      </w:pPr>
      <w:r>
        <w:t>Driving policy, legislative, and regulatory reforms</w:t>
      </w:r>
    </w:p>
    <w:p w:rsidR="00AE75A2" w:rsidRDefault="00AE75A2" w:rsidP="00420649">
      <w:pPr>
        <w:widowControl w:val="0"/>
        <w:numPr>
          <w:ilvl w:val="0"/>
          <w:numId w:val="17"/>
        </w:numPr>
        <w:autoSpaceDE w:val="0"/>
        <w:autoSpaceDN w:val="0"/>
        <w:adjustRightInd w:val="0"/>
      </w:pPr>
      <w:r>
        <w:t>Providing expert counsel and training in criminal enforcement matters to state, local, federal enforcement partners</w:t>
      </w:r>
    </w:p>
    <w:p w:rsidR="005364AE" w:rsidRDefault="005364AE" w:rsidP="005364AE">
      <w:pPr>
        <w:pStyle w:val="ListParagraph"/>
        <w:ind w:left="0"/>
      </w:pPr>
    </w:p>
    <w:p w:rsidR="00455FEB" w:rsidRDefault="00455FEB" w:rsidP="00455FEB">
      <w:pPr>
        <w:tabs>
          <w:tab w:val="left" w:leader="dot" w:pos="7920"/>
          <w:tab w:val="left" w:pos="8280"/>
          <w:tab w:val="right" w:pos="8640"/>
        </w:tabs>
      </w:pPr>
      <w:r>
        <w:t>The Criminal Division serves as the strategic hub of legal and enforcement experience, expertise, and strategy in the fight against national and international criminal threats.  Consequently, its expert guidance and advice activities are crucial to the successful application of criminal law throughout the country.  The Division leads the national effort to address emerging criminal trends, including the increasingly international scope of criminal activity.  The guidance provided to U.S. Attorneys’ Offices and other federal law enforcement partners ensures the uniform application of the law and furthers the Department of Justice’s mission to ensure justice.</w:t>
      </w:r>
      <w:r w:rsidRPr="00B1536C">
        <w:t xml:space="preserve"> </w:t>
      </w:r>
    </w:p>
    <w:p w:rsidR="00455FEB" w:rsidRDefault="00455FEB" w:rsidP="005364AE">
      <w:pPr>
        <w:pStyle w:val="ListParagraph"/>
        <w:ind w:left="360"/>
      </w:pPr>
    </w:p>
    <w:p w:rsidR="005364AE" w:rsidRPr="005364AE" w:rsidRDefault="005364AE" w:rsidP="00420649">
      <w:pPr>
        <w:pStyle w:val="ListParagraph"/>
        <w:numPr>
          <w:ilvl w:val="0"/>
          <w:numId w:val="18"/>
        </w:numPr>
        <w:ind w:left="360"/>
        <w:rPr>
          <w:i/>
        </w:rPr>
      </w:pPr>
      <w:r w:rsidRPr="005364AE">
        <w:rPr>
          <w:i/>
        </w:rPr>
        <w:t>Reviewing the Use of Law Enforcement Tools</w:t>
      </w:r>
    </w:p>
    <w:p w:rsidR="005364AE" w:rsidRDefault="005364AE" w:rsidP="005364AE">
      <w:pPr>
        <w:pStyle w:val="ListParagraph"/>
        <w:ind w:left="360"/>
      </w:pPr>
    </w:p>
    <w:p w:rsidR="00AE75A2" w:rsidRDefault="00AE75A2" w:rsidP="00420649">
      <w:pPr>
        <w:widowControl w:val="0"/>
        <w:numPr>
          <w:ilvl w:val="0"/>
          <w:numId w:val="17"/>
        </w:numPr>
        <w:autoSpaceDE w:val="0"/>
        <w:autoSpaceDN w:val="0"/>
        <w:adjustRightInd w:val="0"/>
      </w:pPr>
      <w:r w:rsidRPr="00A65C66">
        <w:t>Approv</w:t>
      </w:r>
      <w:r>
        <w:t>ing and overseeing the use of the most sophisticated investigati</w:t>
      </w:r>
      <w:r w:rsidR="00455FEB">
        <w:t>ve tools in the federal arsenal</w:t>
      </w:r>
    </w:p>
    <w:p w:rsidR="005364AE" w:rsidRDefault="005364AE" w:rsidP="00455FEB">
      <w:pPr>
        <w:widowControl w:val="0"/>
        <w:autoSpaceDE w:val="0"/>
        <w:autoSpaceDN w:val="0"/>
        <w:adjustRightInd w:val="0"/>
      </w:pPr>
    </w:p>
    <w:p w:rsidR="00455FEB" w:rsidRDefault="00455FEB" w:rsidP="00455FEB">
      <w:r>
        <w:t xml:space="preserve">The Division serves as the Department’s “nerve center” for many critical operational matters.  It is the Division’s responsibility to ensure that investigators are effectively and appropriately using available sensitive law enforcement tools.  These tools include Title III wiretaps, electronic evidence-gathering authorities, correspondent banking subpoenas, and the Witness Security Program, to name a few.  In the international arena, the Division manages the Department’s relations with foreign counterparts and coordinates all prisoner transfers, extraditions, and mutual legal assistance requests.  Lastly, the Division handles numerous requests for approval from the field to use sensitive law enforcement techniques in conjunction with particular criminal statutes. </w:t>
      </w:r>
      <w:r w:rsidR="009A72AE">
        <w:t xml:space="preserve"> </w:t>
      </w:r>
      <w:r>
        <w:t>For example, the Division reviews every racketeering indictment that is brought across the nation.  In th</w:t>
      </w:r>
      <w:r w:rsidR="00016CE5">
        <w:t>ese</w:t>
      </w:r>
      <w:r>
        <w:t xml:space="preserve"> way</w:t>
      </w:r>
      <w:r w:rsidR="00016CE5">
        <w:t>s</w:t>
      </w:r>
      <w:r>
        <w:t xml:space="preserve">, the Division serves a critical and unique role. </w:t>
      </w:r>
    </w:p>
    <w:p w:rsidR="00455FEB" w:rsidRDefault="00455FEB" w:rsidP="005364AE">
      <w:pPr>
        <w:pStyle w:val="ListParagraph"/>
        <w:ind w:left="360"/>
      </w:pPr>
    </w:p>
    <w:p w:rsidR="005364AE" w:rsidRPr="005364AE" w:rsidRDefault="005364AE" w:rsidP="00420649">
      <w:pPr>
        <w:pStyle w:val="ListParagraph"/>
        <w:numPr>
          <w:ilvl w:val="0"/>
          <w:numId w:val="18"/>
        </w:numPr>
        <w:ind w:left="360"/>
        <w:rPr>
          <w:i/>
        </w:rPr>
      </w:pPr>
      <w:r w:rsidRPr="005364AE">
        <w:rPr>
          <w:i/>
        </w:rPr>
        <w:t>Fostering Global Partnerships</w:t>
      </w:r>
    </w:p>
    <w:p w:rsidR="00AE75A2" w:rsidRDefault="00AE75A2" w:rsidP="00AE75A2">
      <w:pPr>
        <w:widowControl w:val="0"/>
        <w:autoSpaceDE w:val="0"/>
        <w:autoSpaceDN w:val="0"/>
        <w:adjustRightInd w:val="0"/>
      </w:pPr>
    </w:p>
    <w:p w:rsidR="00AE75A2" w:rsidRDefault="00AE75A2" w:rsidP="00420649">
      <w:pPr>
        <w:widowControl w:val="0"/>
        <w:numPr>
          <w:ilvl w:val="0"/>
          <w:numId w:val="17"/>
        </w:numPr>
        <w:autoSpaceDE w:val="0"/>
        <w:autoSpaceDN w:val="0"/>
        <w:adjustRightInd w:val="0"/>
      </w:pPr>
      <w:r>
        <w:t xml:space="preserve">Helping </w:t>
      </w:r>
      <w:r w:rsidRPr="00A65C66">
        <w:t xml:space="preserve"> </w:t>
      </w:r>
      <w:r>
        <w:t xml:space="preserve">international </w:t>
      </w:r>
      <w:r w:rsidRPr="00A65C66">
        <w:t xml:space="preserve">law enforcement </w:t>
      </w:r>
      <w:r>
        <w:t>partners build capacity to prosecute and investigate crime within their borders by providing</w:t>
      </w:r>
      <w:r w:rsidRPr="00A65C66">
        <w:t xml:space="preserve"> training </w:t>
      </w:r>
      <w:r>
        <w:t>and assistance</w:t>
      </w:r>
    </w:p>
    <w:p w:rsidR="00AE75A2" w:rsidRDefault="00AE75A2" w:rsidP="00420649">
      <w:pPr>
        <w:widowControl w:val="0"/>
        <w:numPr>
          <w:ilvl w:val="0"/>
          <w:numId w:val="17"/>
        </w:numPr>
        <w:autoSpaceDE w:val="0"/>
        <w:autoSpaceDN w:val="0"/>
        <w:adjustRightInd w:val="0"/>
      </w:pPr>
      <w:r>
        <w:t>Negotiating Mutual Legal Assistance Treaties with international parties to enhance cooperative efforts with international parties</w:t>
      </w:r>
    </w:p>
    <w:p w:rsidR="009838A1" w:rsidRDefault="009838A1" w:rsidP="009838A1"/>
    <w:p w:rsidR="009838A1" w:rsidRDefault="00455FEB" w:rsidP="00455FEB">
      <w:pPr>
        <w:widowControl w:val="0"/>
      </w:pPr>
      <w:r>
        <w:t xml:space="preserve">The Division </w:t>
      </w:r>
      <w:r w:rsidRPr="009B7739">
        <w:t xml:space="preserve">reaches out to </w:t>
      </w:r>
      <w:r>
        <w:t>its i</w:t>
      </w:r>
      <w:r w:rsidRPr="009B7739">
        <w:t xml:space="preserve">nternational partners to ensure the safety of Americans at home </w:t>
      </w:r>
      <w:r w:rsidRPr="009B7739">
        <w:lastRenderedPageBreak/>
        <w:t>and abroad.</w:t>
      </w:r>
      <w:r>
        <w:t xml:space="preserve"> </w:t>
      </w:r>
      <w:r w:rsidRPr="009B7739">
        <w:t xml:space="preserve"> </w:t>
      </w:r>
      <w:r>
        <w:t>P</w:t>
      </w:r>
      <w:r w:rsidRPr="009B7739">
        <w:t xml:space="preserve">osts in </w:t>
      </w:r>
      <w:r>
        <w:t>ten</w:t>
      </w:r>
      <w:r w:rsidRPr="004F0083">
        <w:t xml:space="preserve"> countries</w:t>
      </w:r>
      <w:r w:rsidRPr="009B7739">
        <w:t xml:space="preserve"> </w:t>
      </w:r>
      <w:r>
        <w:t xml:space="preserve">are maintained </w:t>
      </w:r>
      <w:r w:rsidRPr="009B7739">
        <w:t xml:space="preserve">to foster relationships and participate in operations with international law enforcement and prosecutors. </w:t>
      </w:r>
      <w:r>
        <w:t xml:space="preserve"> The Division </w:t>
      </w:r>
      <w:r w:rsidRPr="009B7739">
        <w:t>also ha</w:t>
      </w:r>
      <w:r>
        <w:t>s</w:t>
      </w:r>
      <w:r w:rsidRPr="009B7739">
        <w:t xml:space="preserve"> personnel in developing democracies across the globe, providing </w:t>
      </w:r>
      <w:r>
        <w:t xml:space="preserve">assistance to foreign governments in </w:t>
      </w:r>
      <w:r>
        <w:rPr>
          <w:lang w:val="en-CA"/>
        </w:rPr>
        <w:t xml:space="preserve">developing and maintaining viable criminal justice institutions for the purpose of sustaining democracy and promoting greater cooperation in transnational criminal matters and </w:t>
      </w:r>
      <w:r>
        <w:t xml:space="preserve">the capacity to provide modern professional law enforcement services based on democratic principles and respect for human rights.  </w:t>
      </w:r>
    </w:p>
    <w:p w:rsidR="009838A1" w:rsidRDefault="009838A1" w:rsidP="009838A1"/>
    <w:p w:rsidR="00455FEB" w:rsidRDefault="00455FEB" w:rsidP="009838A1"/>
    <w:p w:rsidR="009838A1" w:rsidRPr="00280F28" w:rsidRDefault="009838A1" w:rsidP="009838A1">
      <w:pPr>
        <w:rPr>
          <w:b/>
        </w:rPr>
      </w:pPr>
      <w:proofErr w:type="gramStart"/>
      <w:r w:rsidRPr="00280F28">
        <w:rPr>
          <w:b/>
        </w:rPr>
        <w:t xml:space="preserve">C. </w:t>
      </w:r>
      <w:r>
        <w:rPr>
          <w:b/>
        </w:rPr>
        <w:tab/>
      </w:r>
      <w:r w:rsidRPr="00280F28">
        <w:rPr>
          <w:b/>
        </w:rPr>
        <w:t>The</w:t>
      </w:r>
      <w:proofErr w:type="gramEnd"/>
      <w:r w:rsidRPr="00280F28">
        <w:rPr>
          <w:b/>
        </w:rPr>
        <w:t xml:space="preserve"> Criminal Division’s </w:t>
      </w:r>
      <w:r w:rsidR="006C6373">
        <w:rPr>
          <w:b/>
        </w:rPr>
        <w:t>Strategic Priorities</w:t>
      </w:r>
      <w:r w:rsidRPr="00280F28" w:rsidDel="00426192">
        <w:rPr>
          <w:b/>
        </w:rPr>
        <w:t xml:space="preserve"> </w:t>
      </w:r>
    </w:p>
    <w:p w:rsidR="009838A1" w:rsidRPr="00280F28" w:rsidRDefault="009838A1" w:rsidP="009838A1"/>
    <w:p w:rsidR="009838A1" w:rsidRDefault="009838A1" w:rsidP="009838A1">
      <w:r>
        <w:rPr>
          <w:lang w:val="en-CA"/>
        </w:rPr>
        <w:t xml:space="preserve">The Criminal Division leverages its substantial expertise in a broad array of federal criminal subject matters </w:t>
      </w:r>
      <w:r w:rsidR="006C6373">
        <w:rPr>
          <w:lang w:val="en-CA"/>
        </w:rPr>
        <w:t>to</w:t>
      </w:r>
      <w:r w:rsidR="006C6373">
        <w:t xml:space="preserve"> help</w:t>
      </w:r>
      <w:r>
        <w:t xml:space="preserve"> the Department </w:t>
      </w:r>
      <w:r w:rsidR="006C6373">
        <w:t>achieve</w:t>
      </w:r>
      <w:r w:rsidRPr="005E4834">
        <w:t xml:space="preserve"> t</w:t>
      </w:r>
      <w:r>
        <w:t>wo</w:t>
      </w:r>
      <w:r w:rsidRPr="005E4834">
        <w:t xml:space="preserve"> of its </w:t>
      </w:r>
      <w:r>
        <w:t>three</w:t>
      </w:r>
      <w:r w:rsidRPr="005E4834">
        <w:t xml:space="preserve"> Strategic Goals: (1) </w:t>
      </w:r>
      <w:r w:rsidRPr="002139D3">
        <w:t>Prevent Terrorism and Promote the Nation’s Security Consistent with the Rule of Law</w:t>
      </w:r>
      <w:r>
        <w:t xml:space="preserve"> and </w:t>
      </w:r>
      <w:r w:rsidRPr="005E4834">
        <w:t xml:space="preserve">(2) </w:t>
      </w:r>
      <w:bookmarkStart w:id="1" w:name="OLE_LINK3"/>
      <w:bookmarkStart w:id="2" w:name="OLE_LINK4"/>
      <w:r w:rsidRPr="005E4834">
        <w:t>Prevent Crime, Protect Rights of the American People, and Enforce Federal Law</w:t>
      </w:r>
      <w:bookmarkEnd w:id="1"/>
      <w:bookmarkEnd w:id="2"/>
      <w:r w:rsidR="006C6373">
        <w:t xml:space="preserve"> (see table below)</w:t>
      </w:r>
      <w:r>
        <w:t>.</w:t>
      </w:r>
      <w:r w:rsidRPr="005E4834">
        <w:t xml:space="preserve">  </w:t>
      </w:r>
    </w:p>
    <w:p w:rsidR="009838A1" w:rsidRDefault="009838A1" w:rsidP="009838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8"/>
        <w:gridCol w:w="5490"/>
      </w:tblGrid>
      <w:tr w:rsidR="009838A1" w:rsidTr="009838A1">
        <w:tc>
          <w:tcPr>
            <w:tcW w:w="9378" w:type="dxa"/>
            <w:gridSpan w:val="2"/>
          </w:tcPr>
          <w:p w:rsidR="009838A1" w:rsidRPr="00103C72" w:rsidRDefault="009838A1" w:rsidP="009838A1">
            <w:pPr>
              <w:tabs>
                <w:tab w:val="left" w:pos="1530"/>
              </w:tabs>
              <w:jc w:val="center"/>
              <w:rPr>
                <w:b/>
              </w:rPr>
            </w:pPr>
            <w:r w:rsidRPr="00103C72">
              <w:rPr>
                <w:b/>
              </w:rPr>
              <w:t>Department of Justice’s Strategic Plan</w:t>
            </w:r>
          </w:p>
        </w:tc>
      </w:tr>
      <w:tr w:rsidR="009838A1" w:rsidTr="009838A1">
        <w:tc>
          <w:tcPr>
            <w:tcW w:w="3888" w:type="dxa"/>
            <w:vMerge w:val="restart"/>
            <w:vAlign w:val="center"/>
          </w:tcPr>
          <w:p w:rsidR="009838A1" w:rsidRDefault="009838A1" w:rsidP="009838A1">
            <w:pPr>
              <w:jc w:val="center"/>
            </w:pPr>
            <w:r w:rsidRPr="00103C72">
              <w:rPr>
                <w:b/>
              </w:rPr>
              <w:t>Goal One</w:t>
            </w:r>
            <w:r>
              <w:t xml:space="preserve">: </w:t>
            </w:r>
            <w:r w:rsidRPr="007E16D1">
              <w:t>Prevent Terrorism and Promote the Nation’s Security Consistent with the Rule of Law</w:t>
            </w:r>
          </w:p>
        </w:tc>
        <w:tc>
          <w:tcPr>
            <w:tcW w:w="5490" w:type="dxa"/>
          </w:tcPr>
          <w:p w:rsidR="009838A1" w:rsidRDefault="009838A1" w:rsidP="000672C6">
            <w:pPr>
              <w:ind w:left="432" w:hanging="432"/>
            </w:pPr>
            <w:r>
              <w:t xml:space="preserve">1.1 </w:t>
            </w:r>
            <w:r w:rsidR="000672C6">
              <w:t xml:space="preserve"> </w:t>
            </w:r>
            <w:r w:rsidRPr="007E16D1">
              <w:t>Prevent, disrupt, and defeat terrorist operations before they occur</w:t>
            </w:r>
          </w:p>
        </w:tc>
      </w:tr>
      <w:tr w:rsidR="009838A1" w:rsidTr="009838A1">
        <w:tc>
          <w:tcPr>
            <w:tcW w:w="3888" w:type="dxa"/>
            <w:vMerge/>
          </w:tcPr>
          <w:p w:rsidR="009838A1" w:rsidRDefault="009838A1" w:rsidP="009838A1"/>
        </w:tc>
        <w:tc>
          <w:tcPr>
            <w:tcW w:w="5490" w:type="dxa"/>
          </w:tcPr>
          <w:p w:rsidR="009838A1" w:rsidRPr="007E16D1" w:rsidRDefault="009838A1" w:rsidP="000672C6">
            <w:pPr>
              <w:ind w:left="432" w:hanging="432"/>
            </w:pPr>
            <w:r>
              <w:t xml:space="preserve">1.2 </w:t>
            </w:r>
            <w:r w:rsidR="000672C6">
              <w:t xml:space="preserve"> </w:t>
            </w:r>
            <w:r w:rsidRPr="007E16D1">
              <w:t>Prosecute those involved in terrorist acts</w:t>
            </w:r>
          </w:p>
        </w:tc>
      </w:tr>
      <w:tr w:rsidR="009838A1" w:rsidTr="009838A1">
        <w:tc>
          <w:tcPr>
            <w:tcW w:w="3888" w:type="dxa"/>
            <w:vMerge w:val="restart"/>
            <w:vAlign w:val="center"/>
          </w:tcPr>
          <w:p w:rsidR="009838A1" w:rsidRDefault="009838A1" w:rsidP="009838A1">
            <w:pPr>
              <w:jc w:val="center"/>
            </w:pPr>
            <w:r w:rsidRPr="00103C72">
              <w:rPr>
                <w:b/>
              </w:rPr>
              <w:t>Goal Two</w:t>
            </w:r>
            <w:r>
              <w:t xml:space="preserve">: </w:t>
            </w:r>
            <w:r w:rsidRPr="007E16D1">
              <w:t>Prevent Crime, Protect the Rights of the American People, and Enforce Federal Law</w:t>
            </w:r>
          </w:p>
        </w:tc>
        <w:tc>
          <w:tcPr>
            <w:tcW w:w="5490" w:type="dxa"/>
          </w:tcPr>
          <w:p w:rsidR="009838A1" w:rsidRDefault="009838A1" w:rsidP="000672C6">
            <w:pPr>
              <w:ind w:left="432" w:hanging="432"/>
            </w:pPr>
            <w:r w:rsidRPr="007E16D1">
              <w:t xml:space="preserve">2.1 </w:t>
            </w:r>
            <w:r w:rsidR="000672C6">
              <w:t xml:space="preserve"> </w:t>
            </w:r>
            <w:r w:rsidRPr="007E16D1">
              <w:t>Combat the threat, incidence, and prevalence of violent crime</w:t>
            </w:r>
          </w:p>
        </w:tc>
      </w:tr>
      <w:tr w:rsidR="009838A1" w:rsidTr="009838A1">
        <w:tc>
          <w:tcPr>
            <w:tcW w:w="3888" w:type="dxa"/>
            <w:vMerge/>
          </w:tcPr>
          <w:p w:rsidR="009838A1" w:rsidRDefault="009838A1" w:rsidP="009838A1"/>
        </w:tc>
        <w:tc>
          <w:tcPr>
            <w:tcW w:w="5490" w:type="dxa"/>
          </w:tcPr>
          <w:p w:rsidR="009838A1" w:rsidRDefault="009838A1" w:rsidP="000672C6">
            <w:pPr>
              <w:ind w:left="432" w:hanging="432"/>
            </w:pPr>
            <w:r w:rsidRPr="007E16D1">
              <w:t xml:space="preserve">2.2 </w:t>
            </w:r>
            <w:r w:rsidR="000672C6">
              <w:t xml:space="preserve"> </w:t>
            </w:r>
            <w:r w:rsidRPr="007E16D1">
              <w:t>Prevent and intervene in crimes against vulnerable populations; uphold the rights of, and improve services to, America’s crime victims</w:t>
            </w:r>
          </w:p>
        </w:tc>
      </w:tr>
      <w:tr w:rsidR="009838A1" w:rsidTr="009838A1">
        <w:tc>
          <w:tcPr>
            <w:tcW w:w="3888" w:type="dxa"/>
            <w:vMerge/>
          </w:tcPr>
          <w:p w:rsidR="009838A1" w:rsidRDefault="009838A1" w:rsidP="009838A1"/>
        </w:tc>
        <w:tc>
          <w:tcPr>
            <w:tcW w:w="5490" w:type="dxa"/>
          </w:tcPr>
          <w:p w:rsidR="009838A1" w:rsidRDefault="009838A1" w:rsidP="000672C6">
            <w:pPr>
              <w:ind w:left="432" w:hanging="432"/>
            </w:pPr>
            <w:r w:rsidRPr="007E16D1">
              <w:t xml:space="preserve">2.3 </w:t>
            </w:r>
            <w:r w:rsidR="000672C6">
              <w:t xml:space="preserve"> </w:t>
            </w:r>
            <w:r w:rsidRPr="007E16D1">
              <w:t>Combat the threat, trafficking, and use of illegal drugs and the diversion of licit drugs</w:t>
            </w:r>
          </w:p>
        </w:tc>
      </w:tr>
      <w:tr w:rsidR="009838A1" w:rsidTr="009838A1">
        <w:tc>
          <w:tcPr>
            <w:tcW w:w="3888" w:type="dxa"/>
            <w:vMerge/>
          </w:tcPr>
          <w:p w:rsidR="009838A1" w:rsidRDefault="009838A1" w:rsidP="009838A1"/>
        </w:tc>
        <w:tc>
          <w:tcPr>
            <w:tcW w:w="5490" w:type="dxa"/>
          </w:tcPr>
          <w:p w:rsidR="009838A1" w:rsidRDefault="009838A1" w:rsidP="000672C6">
            <w:pPr>
              <w:ind w:left="432" w:hanging="432"/>
            </w:pPr>
            <w:r w:rsidRPr="00782C61">
              <w:t xml:space="preserve">2.4 </w:t>
            </w:r>
            <w:r w:rsidR="000672C6">
              <w:t xml:space="preserve"> </w:t>
            </w:r>
            <w:r w:rsidRPr="00782C61">
              <w:t>Combat corruption, economic crimes, and international organized crime</w:t>
            </w:r>
          </w:p>
        </w:tc>
      </w:tr>
      <w:tr w:rsidR="009838A1" w:rsidTr="009838A1">
        <w:tc>
          <w:tcPr>
            <w:tcW w:w="3888" w:type="dxa"/>
            <w:vMerge/>
          </w:tcPr>
          <w:p w:rsidR="009838A1" w:rsidRDefault="009838A1" w:rsidP="009838A1"/>
        </w:tc>
        <w:tc>
          <w:tcPr>
            <w:tcW w:w="5490" w:type="dxa"/>
          </w:tcPr>
          <w:p w:rsidR="009838A1" w:rsidRDefault="009838A1" w:rsidP="000672C6">
            <w:pPr>
              <w:ind w:left="432" w:hanging="432"/>
            </w:pPr>
            <w:r w:rsidRPr="00782C61">
              <w:t xml:space="preserve">2.5 </w:t>
            </w:r>
            <w:r w:rsidR="000672C6">
              <w:t xml:space="preserve"> </w:t>
            </w:r>
            <w:r w:rsidRPr="00782C61">
              <w:t>Promote and protect Americans’ civil rights</w:t>
            </w:r>
          </w:p>
        </w:tc>
      </w:tr>
      <w:tr w:rsidR="006F2EC1" w:rsidTr="009838A1">
        <w:tc>
          <w:tcPr>
            <w:tcW w:w="3888" w:type="dxa"/>
          </w:tcPr>
          <w:p w:rsidR="006F2EC1" w:rsidRDefault="006F2EC1" w:rsidP="006F2EC1">
            <w:pPr>
              <w:jc w:val="center"/>
            </w:pPr>
            <w:r w:rsidRPr="006F2EC1">
              <w:rPr>
                <w:b/>
              </w:rPr>
              <w:t xml:space="preserve">Goal Three: </w:t>
            </w:r>
            <w:r w:rsidRPr="006F2EC1">
              <w:t>Ensure and Support the Fair, Impartial, Efficient, and Transparent Administration of Justice at the Federal, State, Local, Tribal and International Level</w:t>
            </w:r>
          </w:p>
        </w:tc>
        <w:tc>
          <w:tcPr>
            <w:tcW w:w="5490" w:type="dxa"/>
          </w:tcPr>
          <w:p w:rsidR="006F2EC1" w:rsidRPr="00782C61" w:rsidRDefault="006F2EC1" w:rsidP="000672C6">
            <w:pPr>
              <w:ind w:left="432" w:hanging="432"/>
            </w:pPr>
            <w:proofErr w:type="gramStart"/>
            <w:r>
              <w:t>3.1  Promote</w:t>
            </w:r>
            <w:proofErr w:type="gramEnd"/>
            <w:r>
              <w:t xml:space="preserve"> and </w:t>
            </w:r>
            <w:r w:rsidR="00CF6AAF">
              <w:t>strengthen relationship and strategies for the administration of justice with state, local, tribal and international law enforcement.</w:t>
            </w:r>
          </w:p>
        </w:tc>
      </w:tr>
    </w:tbl>
    <w:p w:rsidR="009838A1" w:rsidRDefault="009838A1" w:rsidP="009838A1"/>
    <w:p w:rsidR="009838A1" w:rsidRDefault="009838A1" w:rsidP="009838A1">
      <w:r>
        <w:t xml:space="preserve">In working to achieve these goals, the Division has identified </w:t>
      </w:r>
      <w:r w:rsidR="006C6373">
        <w:t xml:space="preserve">the following </w:t>
      </w:r>
      <w:r>
        <w:t xml:space="preserve">key strategic </w:t>
      </w:r>
      <w:r w:rsidR="006C6373">
        <w:t>outcomes</w:t>
      </w:r>
      <w:r>
        <w:t xml:space="preserve"> to </w:t>
      </w:r>
      <w:r w:rsidR="006C6373">
        <w:t>address</w:t>
      </w:r>
      <w:r>
        <w:t xml:space="preserve"> the country’s</w:t>
      </w:r>
      <w:r w:rsidR="006C6373">
        <w:t xml:space="preserve"> most critical justice priorities:</w:t>
      </w:r>
    </w:p>
    <w:p w:rsidR="009838A1" w:rsidRDefault="009838A1" w:rsidP="009838A1">
      <w:pPr>
        <w:ind w:left="360"/>
      </w:pPr>
    </w:p>
    <w:p w:rsidR="009838A1" w:rsidRDefault="009838A1" w:rsidP="00420649">
      <w:pPr>
        <w:widowControl w:val="0"/>
        <w:numPr>
          <w:ilvl w:val="0"/>
          <w:numId w:val="16"/>
        </w:numPr>
        <w:autoSpaceDE w:val="0"/>
        <w:autoSpaceDN w:val="0"/>
        <w:adjustRightInd w:val="0"/>
        <w:spacing w:after="180"/>
      </w:pPr>
      <w:r>
        <w:t xml:space="preserve">Ensuring </w:t>
      </w:r>
      <w:r w:rsidRPr="00714A79">
        <w:rPr>
          <w:b/>
        </w:rPr>
        <w:t>trust and confidence in government institutions</w:t>
      </w:r>
      <w:r>
        <w:t xml:space="preserve"> by </w:t>
      </w:r>
      <w:r w:rsidRPr="00714A79">
        <w:t>reducing public corruption</w:t>
      </w:r>
      <w:r>
        <w:t xml:space="preserve"> at every level of government;</w:t>
      </w:r>
    </w:p>
    <w:p w:rsidR="009838A1" w:rsidRDefault="009838A1" w:rsidP="00420649">
      <w:pPr>
        <w:widowControl w:val="0"/>
        <w:numPr>
          <w:ilvl w:val="0"/>
          <w:numId w:val="16"/>
        </w:numPr>
        <w:autoSpaceDE w:val="0"/>
        <w:autoSpaceDN w:val="0"/>
        <w:adjustRightInd w:val="0"/>
        <w:spacing w:after="180"/>
      </w:pPr>
      <w:r>
        <w:t xml:space="preserve">Ensuring the </w:t>
      </w:r>
      <w:r w:rsidRPr="00714A79">
        <w:rPr>
          <w:b/>
        </w:rPr>
        <w:t>stability and security of domestic and global markets</w:t>
      </w:r>
      <w:r>
        <w:t>, as well as the integrity of government programs, by reducing fraud, money laundering, and other economic crimes;</w:t>
      </w:r>
    </w:p>
    <w:p w:rsidR="009838A1" w:rsidRDefault="009838A1" w:rsidP="00420649">
      <w:pPr>
        <w:widowControl w:val="0"/>
        <w:numPr>
          <w:ilvl w:val="0"/>
          <w:numId w:val="16"/>
        </w:numPr>
        <w:autoSpaceDE w:val="0"/>
        <w:autoSpaceDN w:val="0"/>
        <w:adjustRightInd w:val="0"/>
        <w:spacing w:after="180"/>
      </w:pPr>
      <w:r w:rsidRPr="00A162B4">
        <w:rPr>
          <w:b/>
        </w:rPr>
        <w:lastRenderedPageBreak/>
        <w:t>Disrupting and</w:t>
      </w:r>
      <w:r>
        <w:t xml:space="preserve"> </w:t>
      </w:r>
      <w:r w:rsidRPr="00714A79">
        <w:rPr>
          <w:b/>
        </w:rPr>
        <w:t>dismantling criminal organizations and networks that act across state and national boundaries</w:t>
      </w:r>
      <w:r>
        <w:t xml:space="preserve"> and that threaten our country through violence, drug trafficking, and computer crime;</w:t>
      </w:r>
    </w:p>
    <w:p w:rsidR="009838A1" w:rsidRDefault="009838A1" w:rsidP="00420649">
      <w:pPr>
        <w:widowControl w:val="0"/>
        <w:numPr>
          <w:ilvl w:val="0"/>
          <w:numId w:val="16"/>
        </w:numPr>
        <w:autoSpaceDE w:val="0"/>
        <w:autoSpaceDN w:val="0"/>
        <w:adjustRightInd w:val="0"/>
        <w:spacing w:after="180"/>
      </w:pPr>
      <w:r w:rsidRPr="00714A79">
        <w:rPr>
          <w:b/>
        </w:rPr>
        <w:t>Protecting our children</w:t>
      </w:r>
      <w:r>
        <w:t xml:space="preserve"> from exploitation and </w:t>
      </w:r>
      <w:r w:rsidRPr="00714A79">
        <w:rPr>
          <w:b/>
        </w:rPr>
        <w:t>vindicating human rights</w:t>
      </w:r>
      <w:r>
        <w:t xml:space="preserve"> wherever possible;</w:t>
      </w:r>
    </w:p>
    <w:p w:rsidR="009838A1" w:rsidRDefault="009838A1" w:rsidP="00420649">
      <w:pPr>
        <w:widowControl w:val="0"/>
        <w:numPr>
          <w:ilvl w:val="0"/>
          <w:numId w:val="16"/>
        </w:numPr>
        <w:autoSpaceDE w:val="0"/>
        <w:autoSpaceDN w:val="0"/>
        <w:adjustRightInd w:val="0"/>
        <w:spacing w:after="180"/>
      </w:pPr>
      <w:r w:rsidRPr="006C6373">
        <w:rPr>
          <w:b/>
        </w:rPr>
        <w:t>Promoting the</w:t>
      </w:r>
      <w:r>
        <w:t xml:space="preserve"> </w:t>
      </w:r>
      <w:r w:rsidRPr="00714A79">
        <w:rPr>
          <w:b/>
        </w:rPr>
        <w:t>Rule of Law</w:t>
      </w:r>
      <w:r>
        <w:t xml:space="preserve"> around the world; and</w:t>
      </w:r>
    </w:p>
    <w:p w:rsidR="006C6373" w:rsidRDefault="009838A1" w:rsidP="00420649">
      <w:pPr>
        <w:widowControl w:val="0"/>
        <w:numPr>
          <w:ilvl w:val="0"/>
          <w:numId w:val="16"/>
        </w:numPr>
        <w:autoSpaceDE w:val="0"/>
        <w:autoSpaceDN w:val="0"/>
        <w:adjustRightInd w:val="0"/>
      </w:pPr>
      <w:r w:rsidRPr="003C6D07">
        <w:rPr>
          <w:b/>
        </w:rPr>
        <w:t>Supporting national security</w:t>
      </w:r>
      <w:r>
        <w:t xml:space="preserve"> and crime-fighting efforts across federal, state, and local governments.</w:t>
      </w:r>
    </w:p>
    <w:p w:rsidR="006C6373" w:rsidRDefault="006C6373" w:rsidP="009838A1">
      <w:pPr>
        <w:sectPr w:rsidR="006C6373" w:rsidSect="00284E43">
          <w:headerReference w:type="default" r:id="rId11"/>
          <w:footerReference w:type="default" r:id="rId12"/>
          <w:type w:val="continuous"/>
          <w:pgSz w:w="12240" w:h="15840" w:code="1"/>
          <w:pgMar w:top="1440" w:right="1440" w:bottom="1440" w:left="1440" w:header="720" w:footer="720" w:gutter="0"/>
          <w:pgNumType w:start="1"/>
          <w:cols w:space="720"/>
          <w:docGrid w:linePitch="360"/>
        </w:sectPr>
      </w:pPr>
    </w:p>
    <w:p w:rsidR="006C6373" w:rsidRDefault="006C6373" w:rsidP="006C6373">
      <w:r>
        <w:lastRenderedPageBreak/>
        <w:t>Examples of how the Division’s program activities contribute to achieving its strategic outcomes are</w:t>
      </w:r>
      <w:r w:rsidRPr="005767CC">
        <w:t xml:space="preserve"> </w:t>
      </w:r>
      <w:r>
        <w:t>provided</w:t>
      </w:r>
      <w:r w:rsidRPr="005767CC">
        <w:t xml:space="preserve"> in the following </w:t>
      </w:r>
      <w:r>
        <w:t>t</w:t>
      </w:r>
      <w:r w:rsidRPr="005767CC">
        <w:t>able</w:t>
      </w:r>
      <w:r>
        <w:t>:</w:t>
      </w:r>
    </w:p>
    <w:tbl>
      <w:tblPr>
        <w:tblW w:w="13860" w:type="dxa"/>
        <w:tblInd w:w="-432" w:type="dxa"/>
        <w:tblBorders>
          <w:top w:val="single" w:sz="4" w:space="0" w:color="auto"/>
          <w:left w:val="single" w:sz="4" w:space="0" w:color="auto"/>
          <w:bottom w:val="single" w:sz="4" w:space="0" w:color="auto"/>
          <w:right w:val="single" w:sz="4" w:space="0" w:color="auto"/>
          <w:insideH w:val="thinThickThinSmallGap" w:sz="24" w:space="0" w:color="auto"/>
          <w:insideV w:val="single" w:sz="4" w:space="0" w:color="auto"/>
        </w:tblBorders>
        <w:tblLook w:val="01E0"/>
      </w:tblPr>
      <w:tblGrid>
        <w:gridCol w:w="2250"/>
        <w:gridCol w:w="2902"/>
        <w:gridCol w:w="2903"/>
        <w:gridCol w:w="2902"/>
        <w:gridCol w:w="2903"/>
      </w:tblGrid>
      <w:tr w:rsidR="009838A1" w:rsidRPr="00865464" w:rsidTr="00291015">
        <w:trPr>
          <w:cantSplit/>
          <w:trHeight w:val="656"/>
          <w:tblHeader/>
        </w:trPr>
        <w:tc>
          <w:tcPr>
            <w:tcW w:w="2250" w:type="dxa"/>
            <w:shd w:val="clear" w:color="auto" w:fill="000000"/>
            <w:vAlign w:val="center"/>
          </w:tcPr>
          <w:p w:rsidR="009838A1" w:rsidRPr="00865464" w:rsidRDefault="009838A1" w:rsidP="00291015">
            <w:pPr>
              <w:spacing w:before="120"/>
              <w:jc w:val="center"/>
              <w:rPr>
                <w:b/>
                <w:color w:val="FFFFFF"/>
                <w:sz w:val="26"/>
                <w:szCs w:val="26"/>
              </w:rPr>
            </w:pPr>
            <w:r>
              <w:rPr>
                <w:b/>
                <w:color w:val="FFFFFF"/>
                <w:sz w:val="26"/>
                <w:szCs w:val="26"/>
              </w:rPr>
              <w:t>Key Strategic Priority</w:t>
            </w:r>
          </w:p>
        </w:tc>
        <w:tc>
          <w:tcPr>
            <w:tcW w:w="2902" w:type="dxa"/>
            <w:shd w:val="clear" w:color="auto" w:fill="000000"/>
            <w:vAlign w:val="center"/>
          </w:tcPr>
          <w:p w:rsidR="009838A1" w:rsidRPr="00865464" w:rsidRDefault="009838A1" w:rsidP="00291015">
            <w:pPr>
              <w:spacing w:before="120"/>
              <w:jc w:val="center"/>
              <w:rPr>
                <w:b/>
                <w:color w:val="FFFFFF"/>
                <w:sz w:val="26"/>
                <w:szCs w:val="26"/>
              </w:rPr>
            </w:pPr>
            <w:r w:rsidRPr="00865464">
              <w:rPr>
                <w:b/>
                <w:color w:val="FFFFFF"/>
                <w:sz w:val="26"/>
                <w:szCs w:val="26"/>
              </w:rPr>
              <w:t>Prosecuting &amp; Investigating Activities</w:t>
            </w:r>
          </w:p>
        </w:tc>
        <w:tc>
          <w:tcPr>
            <w:tcW w:w="2903" w:type="dxa"/>
            <w:shd w:val="clear" w:color="auto" w:fill="000000"/>
            <w:vAlign w:val="center"/>
          </w:tcPr>
          <w:p w:rsidR="009838A1" w:rsidRPr="00865464" w:rsidRDefault="009838A1" w:rsidP="00291015">
            <w:pPr>
              <w:spacing w:before="120"/>
              <w:jc w:val="center"/>
              <w:rPr>
                <w:b/>
                <w:color w:val="FFFFFF"/>
                <w:sz w:val="26"/>
                <w:szCs w:val="26"/>
              </w:rPr>
            </w:pPr>
            <w:r w:rsidRPr="00865464">
              <w:rPr>
                <w:b/>
                <w:color w:val="FFFFFF"/>
                <w:sz w:val="26"/>
                <w:szCs w:val="26"/>
              </w:rPr>
              <w:t>Expert Guidance &amp; Advice Activities</w:t>
            </w:r>
          </w:p>
        </w:tc>
        <w:tc>
          <w:tcPr>
            <w:tcW w:w="2902" w:type="dxa"/>
            <w:shd w:val="clear" w:color="auto" w:fill="000000"/>
            <w:vAlign w:val="center"/>
          </w:tcPr>
          <w:p w:rsidR="009838A1" w:rsidRPr="00865464" w:rsidRDefault="009838A1" w:rsidP="00291015">
            <w:pPr>
              <w:spacing w:before="120"/>
              <w:jc w:val="center"/>
              <w:rPr>
                <w:b/>
                <w:color w:val="FFFFFF"/>
                <w:sz w:val="26"/>
                <w:szCs w:val="26"/>
              </w:rPr>
            </w:pPr>
            <w:r>
              <w:rPr>
                <w:b/>
                <w:color w:val="FFFFFF"/>
                <w:sz w:val="26"/>
                <w:szCs w:val="26"/>
              </w:rPr>
              <w:t>Law Enforcement Tool Review Activities</w:t>
            </w:r>
          </w:p>
        </w:tc>
        <w:tc>
          <w:tcPr>
            <w:tcW w:w="2903" w:type="dxa"/>
            <w:shd w:val="clear" w:color="auto" w:fill="000000"/>
            <w:vAlign w:val="center"/>
          </w:tcPr>
          <w:p w:rsidR="009838A1" w:rsidRPr="00865464" w:rsidRDefault="009838A1" w:rsidP="00291015">
            <w:pPr>
              <w:spacing w:before="120"/>
              <w:jc w:val="center"/>
              <w:rPr>
                <w:b/>
                <w:color w:val="FFFFFF"/>
                <w:sz w:val="26"/>
                <w:szCs w:val="26"/>
              </w:rPr>
            </w:pPr>
            <w:r w:rsidRPr="00865464">
              <w:rPr>
                <w:b/>
                <w:color w:val="FFFFFF"/>
                <w:sz w:val="26"/>
                <w:szCs w:val="26"/>
              </w:rPr>
              <w:t>Global Partnership Activities</w:t>
            </w:r>
          </w:p>
        </w:tc>
      </w:tr>
      <w:tr w:rsidR="009838A1" w:rsidRPr="00865464" w:rsidTr="003C6D07">
        <w:trPr>
          <w:cantSplit/>
          <w:trHeight w:val="2175"/>
        </w:trPr>
        <w:tc>
          <w:tcPr>
            <w:tcW w:w="2250" w:type="dxa"/>
            <w:shd w:val="clear" w:color="auto" w:fill="C0C0C0"/>
            <w:vAlign w:val="center"/>
          </w:tcPr>
          <w:p w:rsidR="009838A1" w:rsidRPr="00802CEE" w:rsidRDefault="009838A1" w:rsidP="009838A1">
            <w:pPr>
              <w:spacing w:before="120"/>
              <w:rPr>
                <w:b/>
              </w:rPr>
            </w:pPr>
            <w:r>
              <w:rPr>
                <w:b/>
              </w:rPr>
              <w:t>Ensuring Trust &amp; Confidence in Government Institutions</w:t>
            </w:r>
          </w:p>
        </w:tc>
        <w:tc>
          <w:tcPr>
            <w:tcW w:w="2902" w:type="dxa"/>
          </w:tcPr>
          <w:p w:rsidR="009838A1" w:rsidRDefault="009838A1" w:rsidP="00420649">
            <w:pPr>
              <w:widowControl w:val="0"/>
              <w:numPr>
                <w:ilvl w:val="0"/>
                <w:numId w:val="8"/>
              </w:numPr>
              <w:tabs>
                <w:tab w:val="num" w:pos="162"/>
                <w:tab w:val="num" w:pos="202"/>
                <w:tab w:val="num" w:pos="1800"/>
              </w:tabs>
              <w:autoSpaceDE w:val="0"/>
              <w:autoSpaceDN w:val="0"/>
              <w:adjustRightInd w:val="0"/>
              <w:spacing w:before="120"/>
              <w:ind w:left="162" w:hanging="180"/>
            </w:pPr>
            <w:r w:rsidRPr="005767CC">
              <w:t>Prosecuting cases</w:t>
            </w:r>
            <w:r>
              <w:t xml:space="preserve"> aimed at deterring corruption among elected and other government officials</w:t>
            </w:r>
          </w:p>
          <w:p w:rsidR="009838A1" w:rsidRPr="005767CC" w:rsidRDefault="009838A1" w:rsidP="00420649">
            <w:pPr>
              <w:widowControl w:val="0"/>
              <w:numPr>
                <w:ilvl w:val="0"/>
                <w:numId w:val="8"/>
              </w:numPr>
              <w:tabs>
                <w:tab w:val="num" w:pos="162"/>
                <w:tab w:val="num" w:pos="202"/>
                <w:tab w:val="num" w:pos="1800"/>
              </w:tabs>
              <w:autoSpaceDE w:val="0"/>
              <w:autoSpaceDN w:val="0"/>
              <w:adjustRightInd w:val="0"/>
              <w:spacing w:before="120"/>
              <w:ind w:left="162" w:hanging="180"/>
            </w:pPr>
            <w:r>
              <w:t xml:space="preserve">Supporting </w:t>
            </w:r>
            <w:smartTag w:uri="urn:schemas-microsoft-com:office:smarttags" w:element="country-region">
              <w:smartTag w:uri="urn:schemas-microsoft-com:office:smarttags" w:element="place">
                <w:r>
                  <w:t>United States</w:t>
                </w:r>
              </w:smartTag>
            </w:smartTag>
            <w:r>
              <w:t xml:space="preserve"> Attorneys’ Offices (USAOs) by prosecuting cases from which USAOs are </w:t>
            </w:r>
            <w:proofErr w:type="spellStart"/>
            <w:r>
              <w:t>recused</w:t>
            </w:r>
            <w:proofErr w:type="spellEnd"/>
          </w:p>
        </w:tc>
        <w:tc>
          <w:tcPr>
            <w:tcW w:w="2903" w:type="dxa"/>
          </w:tcPr>
          <w:p w:rsidR="009838A1" w:rsidRPr="005767CC" w:rsidRDefault="009838A1" w:rsidP="00420649">
            <w:pPr>
              <w:widowControl w:val="0"/>
              <w:numPr>
                <w:ilvl w:val="0"/>
                <w:numId w:val="8"/>
              </w:numPr>
              <w:tabs>
                <w:tab w:val="clear" w:pos="720"/>
                <w:tab w:val="num" w:pos="230"/>
                <w:tab w:val="num" w:pos="590"/>
                <w:tab w:val="num" w:pos="1800"/>
              </w:tabs>
              <w:autoSpaceDE w:val="0"/>
              <w:autoSpaceDN w:val="0"/>
              <w:adjustRightInd w:val="0"/>
              <w:spacing w:before="120"/>
              <w:ind w:left="230" w:hanging="230"/>
            </w:pPr>
            <w:r w:rsidRPr="005767CC">
              <w:t>Providing assistance</w:t>
            </w:r>
            <w:r>
              <w:t xml:space="preserve"> and guidance to USAOs</w:t>
            </w:r>
            <w:r w:rsidRPr="005767CC">
              <w:t xml:space="preserve"> in sensitive cases</w:t>
            </w:r>
          </w:p>
          <w:p w:rsidR="009838A1" w:rsidRDefault="009838A1" w:rsidP="00420649">
            <w:pPr>
              <w:widowControl w:val="0"/>
              <w:numPr>
                <w:ilvl w:val="0"/>
                <w:numId w:val="8"/>
              </w:numPr>
              <w:tabs>
                <w:tab w:val="clear" w:pos="720"/>
                <w:tab w:val="num" w:pos="230"/>
                <w:tab w:val="num" w:pos="590"/>
                <w:tab w:val="num" w:pos="1800"/>
              </w:tabs>
              <w:autoSpaceDE w:val="0"/>
              <w:autoSpaceDN w:val="0"/>
              <w:adjustRightInd w:val="0"/>
              <w:spacing w:before="120"/>
              <w:ind w:left="230" w:hanging="230"/>
            </w:pPr>
            <w:r w:rsidRPr="005767CC">
              <w:t>Ensuring election crime matters are handled uniformly</w:t>
            </w:r>
            <w:r>
              <w:t xml:space="preserve"> and fairly</w:t>
            </w:r>
          </w:p>
          <w:p w:rsidR="009838A1" w:rsidRPr="005767CC" w:rsidRDefault="009838A1" w:rsidP="003C6D07">
            <w:pPr>
              <w:widowControl w:val="0"/>
              <w:tabs>
                <w:tab w:val="num" w:pos="230"/>
                <w:tab w:val="num" w:pos="590"/>
              </w:tabs>
              <w:autoSpaceDE w:val="0"/>
              <w:autoSpaceDN w:val="0"/>
              <w:adjustRightInd w:val="0"/>
              <w:spacing w:before="120"/>
              <w:ind w:left="230" w:hanging="230"/>
            </w:pPr>
          </w:p>
        </w:tc>
        <w:tc>
          <w:tcPr>
            <w:tcW w:w="2902" w:type="dxa"/>
          </w:tcPr>
          <w:p w:rsidR="009838A1" w:rsidRPr="005767CC" w:rsidRDefault="009838A1" w:rsidP="00420649">
            <w:pPr>
              <w:widowControl w:val="0"/>
              <w:numPr>
                <w:ilvl w:val="0"/>
                <w:numId w:val="8"/>
              </w:numPr>
              <w:tabs>
                <w:tab w:val="num" w:pos="207"/>
                <w:tab w:val="num" w:pos="297"/>
                <w:tab w:val="num" w:pos="1800"/>
              </w:tabs>
              <w:autoSpaceDE w:val="0"/>
              <w:autoSpaceDN w:val="0"/>
              <w:adjustRightInd w:val="0"/>
              <w:spacing w:before="120"/>
              <w:ind w:left="207" w:hanging="180"/>
            </w:pPr>
            <w:r w:rsidRPr="005767CC">
              <w:t>Using ass</w:t>
            </w:r>
            <w:r>
              <w:t>et forfeiture tools to seize</w:t>
            </w:r>
            <w:r w:rsidRPr="005767CC">
              <w:t xml:space="preserve"> ill-gotten proceeds</w:t>
            </w:r>
            <w:r>
              <w:t xml:space="preserve"> of crime</w:t>
            </w:r>
          </w:p>
          <w:p w:rsidR="009838A1" w:rsidRDefault="009838A1" w:rsidP="00420649">
            <w:pPr>
              <w:widowControl w:val="0"/>
              <w:numPr>
                <w:ilvl w:val="0"/>
                <w:numId w:val="8"/>
              </w:numPr>
              <w:tabs>
                <w:tab w:val="num" w:pos="207"/>
                <w:tab w:val="num" w:pos="297"/>
                <w:tab w:val="num" w:pos="1800"/>
              </w:tabs>
              <w:autoSpaceDE w:val="0"/>
              <w:autoSpaceDN w:val="0"/>
              <w:adjustRightInd w:val="0"/>
              <w:spacing w:before="120"/>
              <w:ind w:left="207" w:hanging="180"/>
            </w:pPr>
            <w:r w:rsidRPr="005767CC">
              <w:t>Prov</w:t>
            </w:r>
            <w:r>
              <w:t>iding oversight to sensitive operations</w:t>
            </w:r>
          </w:p>
          <w:p w:rsidR="009838A1" w:rsidRPr="005767CC" w:rsidRDefault="009838A1" w:rsidP="00420649">
            <w:pPr>
              <w:widowControl w:val="0"/>
              <w:numPr>
                <w:ilvl w:val="0"/>
                <w:numId w:val="8"/>
              </w:numPr>
              <w:tabs>
                <w:tab w:val="num" w:pos="207"/>
                <w:tab w:val="num" w:pos="297"/>
                <w:tab w:val="num" w:pos="1800"/>
              </w:tabs>
              <w:autoSpaceDE w:val="0"/>
              <w:autoSpaceDN w:val="0"/>
              <w:adjustRightInd w:val="0"/>
              <w:spacing w:before="120"/>
              <w:ind w:left="207" w:hanging="180"/>
            </w:pPr>
            <w:r>
              <w:t>Utilizing electronic surveillance in sensitive investigations of government officials</w:t>
            </w:r>
          </w:p>
        </w:tc>
        <w:tc>
          <w:tcPr>
            <w:tcW w:w="2903" w:type="dxa"/>
          </w:tcPr>
          <w:p w:rsidR="009838A1" w:rsidRPr="005767CC" w:rsidRDefault="009838A1" w:rsidP="00420649">
            <w:pPr>
              <w:widowControl w:val="0"/>
              <w:numPr>
                <w:ilvl w:val="0"/>
                <w:numId w:val="10"/>
              </w:numPr>
              <w:tabs>
                <w:tab w:val="num" w:pos="245"/>
                <w:tab w:val="num" w:pos="296"/>
              </w:tabs>
              <w:autoSpaceDE w:val="0"/>
              <w:autoSpaceDN w:val="0"/>
              <w:adjustRightInd w:val="0"/>
              <w:spacing w:before="120"/>
              <w:ind w:left="288" w:hanging="283"/>
            </w:pPr>
            <w:r w:rsidRPr="005767CC">
              <w:t xml:space="preserve">Training foreign </w:t>
            </w:r>
            <w:r>
              <w:t>countries in anti-corruption strategies</w:t>
            </w:r>
          </w:p>
          <w:p w:rsidR="009838A1" w:rsidRPr="005767CC" w:rsidRDefault="009838A1" w:rsidP="00420649">
            <w:pPr>
              <w:widowControl w:val="0"/>
              <w:numPr>
                <w:ilvl w:val="0"/>
                <w:numId w:val="10"/>
              </w:numPr>
              <w:tabs>
                <w:tab w:val="num" w:pos="245"/>
                <w:tab w:val="num" w:pos="296"/>
              </w:tabs>
              <w:autoSpaceDE w:val="0"/>
              <w:autoSpaceDN w:val="0"/>
              <w:adjustRightInd w:val="0"/>
              <w:spacing w:before="120"/>
              <w:ind w:left="288" w:hanging="283"/>
            </w:pPr>
            <w:r>
              <w:t>Supporting investigations focused on deterring the corruption of foreign officials</w:t>
            </w:r>
          </w:p>
        </w:tc>
      </w:tr>
      <w:tr w:rsidR="009838A1" w:rsidRPr="00865464" w:rsidTr="003C6D07">
        <w:trPr>
          <w:cantSplit/>
          <w:trHeight w:val="2175"/>
        </w:trPr>
        <w:tc>
          <w:tcPr>
            <w:tcW w:w="2250" w:type="dxa"/>
            <w:shd w:val="clear" w:color="auto" w:fill="C0C0C0"/>
            <w:vAlign w:val="center"/>
          </w:tcPr>
          <w:p w:rsidR="009838A1" w:rsidRPr="00865464" w:rsidRDefault="009838A1" w:rsidP="009838A1">
            <w:pPr>
              <w:spacing w:before="120"/>
              <w:rPr>
                <w:i/>
              </w:rPr>
            </w:pPr>
            <w:r>
              <w:rPr>
                <w:b/>
              </w:rPr>
              <w:t>Ensuring the Stability &amp; Security of Domestic &amp; Global Markets</w:t>
            </w:r>
            <w:r w:rsidRPr="00865464" w:rsidDel="00457AB0">
              <w:rPr>
                <w:b/>
              </w:rPr>
              <w:t xml:space="preserve"> </w:t>
            </w:r>
          </w:p>
        </w:tc>
        <w:tc>
          <w:tcPr>
            <w:tcW w:w="2902" w:type="dxa"/>
          </w:tcPr>
          <w:p w:rsidR="009838A1" w:rsidRDefault="009838A1" w:rsidP="00420649">
            <w:pPr>
              <w:widowControl w:val="0"/>
              <w:numPr>
                <w:ilvl w:val="0"/>
                <w:numId w:val="13"/>
              </w:numPr>
              <w:tabs>
                <w:tab w:val="clear" w:pos="720"/>
                <w:tab w:val="num" w:pos="162"/>
                <w:tab w:val="num" w:pos="339"/>
              </w:tabs>
              <w:autoSpaceDE w:val="0"/>
              <w:autoSpaceDN w:val="0"/>
              <w:adjustRightInd w:val="0"/>
              <w:spacing w:before="120"/>
              <w:ind w:left="162" w:hanging="180"/>
            </w:pPr>
            <w:r>
              <w:t>Vigorously p</w:t>
            </w:r>
            <w:r w:rsidRPr="005767CC">
              <w:t>rosecu</w:t>
            </w:r>
            <w:r>
              <w:t>ting</w:t>
            </w:r>
            <w:r w:rsidRPr="005767CC">
              <w:t xml:space="preserve"> those who attempt to defraud tax-payers </w:t>
            </w:r>
          </w:p>
          <w:p w:rsidR="009838A1" w:rsidRPr="005767CC" w:rsidRDefault="009838A1" w:rsidP="00420649">
            <w:pPr>
              <w:widowControl w:val="0"/>
              <w:numPr>
                <w:ilvl w:val="0"/>
                <w:numId w:val="8"/>
              </w:numPr>
              <w:tabs>
                <w:tab w:val="num" w:pos="162"/>
                <w:tab w:val="num" w:pos="1800"/>
              </w:tabs>
              <w:autoSpaceDE w:val="0"/>
              <w:autoSpaceDN w:val="0"/>
              <w:adjustRightInd w:val="0"/>
              <w:spacing w:before="120"/>
              <w:ind w:left="162" w:hanging="180"/>
            </w:pPr>
            <w:r w:rsidRPr="005767CC">
              <w:t xml:space="preserve">Conducting sensitive and complex investigations </w:t>
            </w:r>
            <w:r>
              <w:t xml:space="preserve">of </w:t>
            </w:r>
            <w:r w:rsidRPr="005767CC">
              <w:t>corrupt corporations</w:t>
            </w:r>
            <w:r>
              <w:t xml:space="preserve"> operating inside and outside the </w:t>
            </w:r>
            <w:smartTag w:uri="urn:schemas-microsoft-com:office:smarttags" w:element="place">
              <w:smartTag w:uri="urn:schemas-microsoft-com:office:smarttags" w:element="country-region">
                <w:r>
                  <w:t>United States</w:t>
                </w:r>
              </w:smartTag>
            </w:smartTag>
          </w:p>
        </w:tc>
        <w:tc>
          <w:tcPr>
            <w:tcW w:w="2903" w:type="dxa"/>
          </w:tcPr>
          <w:p w:rsidR="009838A1" w:rsidRPr="005767CC" w:rsidRDefault="009838A1" w:rsidP="00420649">
            <w:pPr>
              <w:widowControl w:val="0"/>
              <w:numPr>
                <w:ilvl w:val="0"/>
                <w:numId w:val="13"/>
              </w:numPr>
              <w:tabs>
                <w:tab w:val="clear" w:pos="720"/>
                <w:tab w:val="num" w:pos="230"/>
                <w:tab w:val="num" w:pos="590"/>
              </w:tabs>
              <w:autoSpaceDE w:val="0"/>
              <w:autoSpaceDN w:val="0"/>
              <w:adjustRightInd w:val="0"/>
              <w:spacing w:before="120"/>
              <w:ind w:left="230" w:hanging="230"/>
            </w:pPr>
            <w:r w:rsidRPr="005767CC">
              <w:t>Training thousands of foreign officials on intellectual property crimes</w:t>
            </w:r>
          </w:p>
          <w:p w:rsidR="009838A1" w:rsidRPr="005767CC" w:rsidRDefault="009838A1" w:rsidP="00420649">
            <w:pPr>
              <w:widowControl w:val="0"/>
              <w:numPr>
                <w:ilvl w:val="0"/>
                <w:numId w:val="13"/>
              </w:numPr>
              <w:tabs>
                <w:tab w:val="clear" w:pos="720"/>
                <w:tab w:val="num" w:pos="230"/>
                <w:tab w:val="num" w:pos="590"/>
              </w:tabs>
              <w:autoSpaceDE w:val="0"/>
              <w:autoSpaceDN w:val="0"/>
              <w:adjustRightInd w:val="0"/>
              <w:spacing w:before="120"/>
              <w:ind w:left="230" w:hanging="230"/>
            </w:pPr>
            <w:r>
              <w:t>Developing national strategies to combat procurement and Medicare fraud</w:t>
            </w:r>
          </w:p>
        </w:tc>
        <w:tc>
          <w:tcPr>
            <w:tcW w:w="2902" w:type="dxa"/>
          </w:tcPr>
          <w:p w:rsidR="009838A1" w:rsidRPr="005767CC" w:rsidRDefault="009838A1" w:rsidP="00420649">
            <w:pPr>
              <w:widowControl w:val="0"/>
              <w:numPr>
                <w:ilvl w:val="0"/>
                <w:numId w:val="13"/>
              </w:numPr>
              <w:tabs>
                <w:tab w:val="clear" w:pos="720"/>
                <w:tab w:val="num" w:pos="207"/>
                <w:tab w:val="num" w:pos="297"/>
              </w:tabs>
              <w:autoSpaceDE w:val="0"/>
              <w:autoSpaceDN w:val="0"/>
              <w:adjustRightInd w:val="0"/>
              <w:spacing w:before="120"/>
              <w:ind w:left="207" w:hanging="180"/>
            </w:pPr>
            <w:r w:rsidRPr="005767CC">
              <w:t xml:space="preserve">Developing regulations to </w:t>
            </w:r>
            <w:r>
              <w:t>address ways to better detect procurement fraud</w:t>
            </w:r>
          </w:p>
          <w:p w:rsidR="009838A1" w:rsidRPr="005767CC" w:rsidRDefault="009838A1" w:rsidP="00420649">
            <w:pPr>
              <w:widowControl w:val="0"/>
              <w:numPr>
                <w:ilvl w:val="0"/>
                <w:numId w:val="8"/>
              </w:numPr>
              <w:tabs>
                <w:tab w:val="num" w:pos="207"/>
                <w:tab w:val="num" w:pos="297"/>
                <w:tab w:val="num" w:pos="1800"/>
              </w:tabs>
              <w:autoSpaceDE w:val="0"/>
              <w:autoSpaceDN w:val="0"/>
              <w:adjustRightInd w:val="0"/>
              <w:spacing w:before="120"/>
              <w:ind w:left="207" w:hanging="180"/>
            </w:pPr>
            <w:r w:rsidRPr="005767CC">
              <w:t>Providing oversight to ensure fair application of powerful law enforcement tools</w:t>
            </w:r>
            <w:r w:rsidRPr="005767CC" w:rsidDel="00457AB0">
              <w:t xml:space="preserve"> </w:t>
            </w:r>
          </w:p>
        </w:tc>
        <w:tc>
          <w:tcPr>
            <w:tcW w:w="2903" w:type="dxa"/>
          </w:tcPr>
          <w:p w:rsidR="009838A1" w:rsidRPr="005767CC" w:rsidRDefault="009838A1" w:rsidP="00420649">
            <w:pPr>
              <w:widowControl w:val="0"/>
              <w:numPr>
                <w:ilvl w:val="0"/>
                <w:numId w:val="13"/>
              </w:numPr>
              <w:tabs>
                <w:tab w:val="clear" w:pos="720"/>
                <w:tab w:val="num" w:pos="245"/>
                <w:tab w:val="num" w:pos="296"/>
              </w:tabs>
              <w:autoSpaceDE w:val="0"/>
              <w:autoSpaceDN w:val="0"/>
              <w:adjustRightInd w:val="0"/>
              <w:spacing w:before="120"/>
              <w:ind w:left="288" w:hanging="283"/>
            </w:pPr>
            <w:r w:rsidRPr="005767CC">
              <w:t xml:space="preserve">Establishing international working groups to combat </w:t>
            </w:r>
            <w:r>
              <w:t>money laundering</w:t>
            </w:r>
          </w:p>
          <w:p w:rsidR="009838A1" w:rsidRPr="005767CC" w:rsidRDefault="009838A1" w:rsidP="00420649">
            <w:pPr>
              <w:widowControl w:val="0"/>
              <w:numPr>
                <w:ilvl w:val="0"/>
                <w:numId w:val="8"/>
              </w:numPr>
              <w:tabs>
                <w:tab w:val="num" w:pos="245"/>
                <w:tab w:val="num" w:pos="296"/>
                <w:tab w:val="num" w:pos="1800"/>
              </w:tabs>
              <w:autoSpaceDE w:val="0"/>
              <w:autoSpaceDN w:val="0"/>
              <w:adjustRightInd w:val="0"/>
              <w:spacing w:before="120"/>
              <w:ind w:left="288" w:hanging="283"/>
            </w:pPr>
            <w:r w:rsidRPr="005767CC">
              <w:t>Creating working relationships with traditionally closed countries</w:t>
            </w:r>
            <w:r w:rsidDel="00457AB0">
              <w:t xml:space="preserve"> </w:t>
            </w:r>
          </w:p>
        </w:tc>
      </w:tr>
      <w:tr w:rsidR="009838A1" w:rsidRPr="00865464" w:rsidTr="003C6D07">
        <w:trPr>
          <w:cantSplit/>
        </w:trPr>
        <w:tc>
          <w:tcPr>
            <w:tcW w:w="2250" w:type="dxa"/>
            <w:shd w:val="clear" w:color="auto" w:fill="C0C0C0"/>
            <w:vAlign w:val="center"/>
          </w:tcPr>
          <w:p w:rsidR="009838A1" w:rsidRPr="00865464" w:rsidRDefault="009838A1" w:rsidP="009838A1">
            <w:pPr>
              <w:spacing w:before="120"/>
              <w:rPr>
                <w:i/>
              </w:rPr>
            </w:pPr>
            <w:r>
              <w:rPr>
                <w:b/>
              </w:rPr>
              <w:t>Disrupting &amp; Dismantling Criminal Organizations</w:t>
            </w:r>
          </w:p>
        </w:tc>
        <w:tc>
          <w:tcPr>
            <w:tcW w:w="2902" w:type="dxa"/>
          </w:tcPr>
          <w:p w:rsidR="009838A1" w:rsidRPr="005767CC" w:rsidRDefault="009838A1" w:rsidP="00420649">
            <w:pPr>
              <w:widowControl w:val="0"/>
              <w:numPr>
                <w:ilvl w:val="0"/>
                <w:numId w:val="8"/>
              </w:numPr>
              <w:tabs>
                <w:tab w:val="clear" w:pos="720"/>
                <w:tab w:val="num" w:pos="162"/>
                <w:tab w:val="num" w:pos="202"/>
                <w:tab w:val="num" w:pos="1800"/>
              </w:tabs>
              <w:autoSpaceDE w:val="0"/>
              <w:autoSpaceDN w:val="0"/>
              <w:adjustRightInd w:val="0"/>
              <w:spacing w:before="120"/>
              <w:ind w:left="162" w:hanging="180"/>
            </w:pPr>
            <w:r w:rsidRPr="005767CC">
              <w:t xml:space="preserve">Prosecuting </w:t>
            </w:r>
            <w:r>
              <w:t>wide-ranging criminal organizations using racketeering and other powerful criminal statutes</w:t>
            </w:r>
          </w:p>
          <w:p w:rsidR="009838A1" w:rsidRPr="005767CC" w:rsidRDefault="009838A1" w:rsidP="00420649">
            <w:pPr>
              <w:widowControl w:val="0"/>
              <w:numPr>
                <w:ilvl w:val="0"/>
                <w:numId w:val="8"/>
              </w:numPr>
              <w:tabs>
                <w:tab w:val="clear" w:pos="720"/>
                <w:tab w:val="num" w:pos="162"/>
                <w:tab w:val="num" w:pos="202"/>
                <w:tab w:val="num" w:pos="1800"/>
              </w:tabs>
              <w:autoSpaceDE w:val="0"/>
              <w:autoSpaceDN w:val="0"/>
              <w:adjustRightInd w:val="0"/>
              <w:spacing w:before="120"/>
              <w:ind w:left="162" w:hanging="180"/>
            </w:pPr>
            <w:r w:rsidRPr="005767CC">
              <w:t>Coordina</w:t>
            </w:r>
            <w:r>
              <w:t>ting transnational operations relating to</w:t>
            </w:r>
            <w:r w:rsidRPr="005767CC">
              <w:t xml:space="preserve"> violent gangs</w:t>
            </w:r>
          </w:p>
        </w:tc>
        <w:tc>
          <w:tcPr>
            <w:tcW w:w="2903" w:type="dxa"/>
          </w:tcPr>
          <w:p w:rsidR="009838A1" w:rsidRPr="005767CC" w:rsidRDefault="009838A1" w:rsidP="00420649">
            <w:pPr>
              <w:widowControl w:val="0"/>
              <w:numPr>
                <w:ilvl w:val="0"/>
                <w:numId w:val="8"/>
              </w:numPr>
              <w:tabs>
                <w:tab w:val="clear" w:pos="720"/>
                <w:tab w:val="num" w:pos="230"/>
                <w:tab w:val="num" w:pos="590"/>
                <w:tab w:val="num" w:pos="1800"/>
              </w:tabs>
              <w:autoSpaceDE w:val="0"/>
              <w:autoSpaceDN w:val="0"/>
              <w:adjustRightInd w:val="0"/>
              <w:spacing w:before="120"/>
              <w:ind w:left="230" w:hanging="230"/>
            </w:pPr>
            <w:r w:rsidRPr="005767CC">
              <w:t>Training USAOs on effectively using the law to prosecute gangs</w:t>
            </w:r>
          </w:p>
          <w:p w:rsidR="009838A1" w:rsidRPr="005767CC" w:rsidRDefault="009838A1" w:rsidP="00420649">
            <w:pPr>
              <w:widowControl w:val="0"/>
              <w:numPr>
                <w:ilvl w:val="0"/>
                <w:numId w:val="8"/>
              </w:numPr>
              <w:tabs>
                <w:tab w:val="clear" w:pos="720"/>
                <w:tab w:val="num" w:pos="230"/>
                <w:tab w:val="num" w:pos="590"/>
                <w:tab w:val="num" w:pos="1800"/>
              </w:tabs>
              <w:autoSpaceDE w:val="0"/>
              <w:autoSpaceDN w:val="0"/>
              <w:adjustRightInd w:val="0"/>
              <w:spacing w:before="120"/>
              <w:ind w:left="230" w:hanging="230"/>
            </w:pPr>
            <w:r>
              <w:t xml:space="preserve">Creating </w:t>
            </w:r>
            <w:r w:rsidRPr="005767CC">
              <w:t xml:space="preserve">a coordinated global approach to </w:t>
            </w:r>
            <w:r>
              <w:t>dismantle</w:t>
            </w:r>
            <w:r w:rsidRPr="005767CC">
              <w:t xml:space="preserve"> </w:t>
            </w:r>
            <w:r>
              <w:t>drug trafficking organizations</w:t>
            </w:r>
          </w:p>
        </w:tc>
        <w:tc>
          <w:tcPr>
            <w:tcW w:w="2902" w:type="dxa"/>
          </w:tcPr>
          <w:p w:rsidR="009838A1" w:rsidRPr="005767CC" w:rsidRDefault="009838A1" w:rsidP="00420649">
            <w:pPr>
              <w:widowControl w:val="0"/>
              <w:numPr>
                <w:ilvl w:val="0"/>
                <w:numId w:val="8"/>
              </w:numPr>
              <w:tabs>
                <w:tab w:val="clear" w:pos="720"/>
                <w:tab w:val="num" w:pos="207"/>
                <w:tab w:val="num" w:pos="297"/>
                <w:tab w:val="num" w:pos="1800"/>
              </w:tabs>
              <w:autoSpaceDE w:val="0"/>
              <w:autoSpaceDN w:val="0"/>
              <w:adjustRightInd w:val="0"/>
              <w:spacing w:before="120"/>
              <w:ind w:left="207" w:hanging="180"/>
            </w:pPr>
            <w:r>
              <w:t>Providing oversight for</w:t>
            </w:r>
            <w:r w:rsidRPr="005767CC">
              <w:t xml:space="preserve"> the use of electronic surveillance</w:t>
            </w:r>
            <w:r>
              <w:t xml:space="preserve"> in violent crime and organized crime cases</w:t>
            </w:r>
          </w:p>
          <w:p w:rsidR="009838A1" w:rsidRPr="005767CC" w:rsidRDefault="009838A1" w:rsidP="00420649">
            <w:pPr>
              <w:widowControl w:val="0"/>
              <w:numPr>
                <w:ilvl w:val="0"/>
                <w:numId w:val="8"/>
              </w:numPr>
              <w:tabs>
                <w:tab w:val="clear" w:pos="720"/>
                <w:tab w:val="num" w:pos="207"/>
                <w:tab w:val="num" w:pos="297"/>
                <w:tab w:val="num" w:pos="1800"/>
              </w:tabs>
              <w:autoSpaceDE w:val="0"/>
              <w:autoSpaceDN w:val="0"/>
              <w:adjustRightInd w:val="0"/>
              <w:spacing w:before="120"/>
              <w:ind w:left="207" w:hanging="180"/>
            </w:pPr>
            <w:r>
              <w:t>Assisting in the</w:t>
            </w:r>
            <w:r w:rsidRPr="005767CC">
              <w:t xml:space="preserve"> protection of witnesses</w:t>
            </w:r>
          </w:p>
        </w:tc>
        <w:tc>
          <w:tcPr>
            <w:tcW w:w="2903" w:type="dxa"/>
          </w:tcPr>
          <w:p w:rsidR="009838A1" w:rsidRDefault="009838A1" w:rsidP="00420649">
            <w:pPr>
              <w:widowControl w:val="0"/>
              <w:numPr>
                <w:ilvl w:val="0"/>
                <w:numId w:val="11"/>
              </w:numPr>
              <w:tabs>
                <w:tab w:val="clear" w:pos="720"/>
                <w:tab w:val="num" w:pos="245"/>
                <w:tab w:val="num" w:pos="296"/>
              </w:tabs>
              <w:autoSpaceDE w:val="0"/>
              <w:autoSpaceDN w:val="0"/>
              <w:adjustRightInd w:val="0"/>
              <w:spacing w:before="120"/>
              <w:ind w:left="288" w:hanging="283"/>
            </w:pPr>
            <w:r w:rsidRPr="005767CC">
              <w:t xml:space="preserve">Improving relations with </w:t>
            </w:r>
            <w:r>
              <w:t xml:space="preserve">law enforcement in various </w:t>
            </w:r>
            <w:r w:rsidRPr="005767CC">
              <w:t>co</w:t>
            </w:r>
            <w:r>
              <w:t>untries where</w:t>
            </w:r>
            <w:r w:rsidRPr="005767CC">
              <w:t xml:space="preserve"> ga</w:t>
            </w:r>
            <w:r>
              <w:t>ng leaders reside</w:t>
            </w:r>
          </w:p>
          <w:p w:rsidR="009838A1" w:rsidRPr="005767CC" w:rsidRDefault="009838A1" w:rsidP="00420649">
            <w:pPr>
              <w:widowControl w:val="0"/>
              <w:numPr>
                <w:ilvl w:val="0"/>
                <w:numId w:val="11"/>
              </w:numPr>
              <w:tabs>
                <w:tab w:val="clear" w:pos="720"/>
                <w:tab w:val="num" w:pos="245"/>
                <w:tab w:val="num" w:pos="296"/>
              </w:tabs>
              <w:autoSpaceDE w:val="0"/>
              <w:autoSpaceDN w:val="0"/>
              <w:adjustRightInd w:val="0"/>
              <w:spacing w:before="120"/>
              <w:ind w:left="288" w:hanging="283"/>
            </w:pPr>
            <w:r>
              <w:t>Implementing the International Organized Crime Strategy</w:t>
            </w:r>
          </w:p>
        </w:tc>
      </w:tr>
      <w:tr w:rsidR="009838A1" w:rsidRPr="00865464" w:rsidTr="003C6D07">
        <w:trPr>
          <w:cantSplit/>
          <w:trHeight w:val="2805"/>
        </w:trPr>
        <w:tc>
          <w:tcPr>
            <w:tcW w:w="2250" w:type="dxa"/>
            <w:shd w:val="clear" w:color="auto" w:fill="C0C0C0"/>
            <w:vAlign w:val="center"/>
          </w:tcPr>
          <w:p w:rsidR="009838A1" w:rsidRPr="00865464" w:rsidRDefault="009838A1" w:rsidP="009838A1">
            <w:pPr>
              <w:spacing w:before="120"/>
              <w:rPr>
                <w:i/>
              </w:rPr>
            </w:pPr>
            <w:r>
              <w:rPr>
                <w:b/>
              </w:rPr>
              <w:lastRenderedPageBreak/>
              <w:t>Protecting Children &amp; Vindicating Human Rights</w:t>
            </w:r>
          </w:p>
        </w:tc>
        <w:tc>
          <w:tcPr>
            <w:tcW w:w="2902" w:type="dxa"/>
          </w:tcPr>
          <w:p w:rsidR="009838A1" w:rsidRPr="005767CC" w:rsidRDefault="009838A1" w:rsidP="00420649">
            <w:pPr>
              <w:widowControl w:val="0"/>
              <w:numPr>
                <w:ilvl w:val="0"/>
                <w:numId w:val="8"/>
              </w:numPr>
              <w:tabs>
                <w:tab w:val="clear" w:pos="720"/>
                <w:tab w:val="num" w:pos="162"/>
                <w:tab w:val="num" w:pos="202"/>
                <w:tab w:val="num" w:pos="1800"/>
              </w:tabs>
              <w:autoSpaceDE w:val="0"/>
              <w:autoSpaceDN w:val="0"/>
              <w:adjustRightInd w:val="0"/>
              <w:spacing w:before="120"/>
              <w:ind w:left="162" w:hanging="180"/>
            </w:pPr>
            <w:r w:rsidRPr="005767CC">
              <w:t>Prosecut</w:t>
            </w:r>
            <w:r>
              <w:t>ing high-profile and dangerous child predators</w:t>
            </w:r>
          </w:p>
          <w:p w:rsidR="009838A1" w:rsidRPr="005767CC" w:rsidRDefault="009838A1" w:rsidP="00420649">
            <w:pPr>
              <w:widowControl w:val="0"/>
              <w:numPr>
                <w:ilvl w:val="0"/>
                <w:numId w:val="8"/>
              </w:numPr>
              <w:tabs>
                <w:tab w:val="clear" w:pos="720"/>
                <w:tab w:val="num" w:pos="162"/>
                <w:tab w:val="num" w:pos="202"/>
                <w:tab w:val="num" w:pos="1800"/>
              </w:tabs>
              <w:autoSpaceDE w:val="0"/>
              <w:autoSpaceDN w:val="0"/>
              <w:adjustRightInd w:val="0"/>
              <w:spacing w:before="120"/>
              <w:ind w:left="162" w:hanging="180"/>
            </w:pPr>
            <w:r>
              <w:t xml:space="preserve">Investigating potential war criminal harboring illegally in the </w:t>
            </w:r>
            <w:smartTag w:uri="urn:schemas-microsoft-com:office:smarttags" w:element="place">
              <w:smartTag w:uri="urn:schemas-microsoft-com:office:smarttags" w:element="country-region">
                <w:r>
                  <w:t>U.S.</w:t>
                </w:r>
              </w:smartTag>
            </w:smartTag>
          </w:p>
        </w:tc>
        <w:tc>
          <w:tcPr>
            <w:tcW w:w="2903" w:type="dxa"/>
          </w:tcPr>
          <w:p w:rsidR="009838A1" w:rsidRPr="005767CC" w:rsidRDefault="009838A1" w:rsidP="00420649">
            <w:pPr>
              <w:widowControl w:val="0"/>
              <w:numPr>
                <w:ilvl w:val="0"/>
                <w:numId w:val="8"/>
              </w:numPr>
              <w:tabs>
                <w:tab w:val="clear" w:pos="720"/>
                <w:tab w:val="num" w:pos="230"/>
                <w:tab w:val="num" w:pos="590"/>
                <w:tab w:val="num" w:pos="1800"/>
              </w:tabs>
              <w:autoSpaceDE w:val="0"/>
              <w:autoSpaceDN w:val="0"/>
              <w:adjustRightInd w:val="0"/>
              <w:spacing w:before="120"/>
              <w:ind w:left="230" w:hanging="230"/>
            </w:pPr>
            <w:r w:rsidRPr="005767CC">
              <w:t xml:space="preserve">Training </w:t>
            </w:r>
            <w:r>
              <w:t>Project Safe Childhood (</w:t>
            </w:r>
            <w:r w:rsidRPr="005767CC">
              <w:t>PSC</w:t>
            </w:r>
            <w:r>
              <w:t>)</w:t>
            </w:r>
            <w:r w:rsidRPr="005767CC">
              <w:t xml:space="preserve"> field units in prosecution techniques</w:t>
            </w:r>
          </w:p>
          <w:p w:rsidR="009838A1" w:rsidRPr="005767CC" w:rsidRDefault="009838A1" w:rsidP="00420649">
            <w:pPr>
              <w:widowControl w:val="0"/>
              <w:numPr>
                <w:ilvl w:val="0"/>
                <w:numId w:val="8"/>
              </w:numPr>
              <w:tabs>
                <w:tab w:val="clear" w:pos="720"/>
                <w:tab w:val="num" w:pos="230"/>
                <w:tab w:val="num" w:pos="590"/>
                <w:tab w:val="num" w:pos="1800"/>
              </w:tabs>
              <w:autoSpaceDE w:val="0"/>
              <w:autoSpaceDN w:val="0"/>
              <w:adjustRightInd w:val="0"/>
              <w:spacing w:before="120"/>
              <w:ind w:left="230" w:hanging="230"/>
            </w:pPr>
            <w:r w:rsidRPr="005767CC">
              <w:t>Advising foreign counterparts on conducting complex investigations</w:t>
            </w:r>
          </w:p>
        </w:tc>
        <w:tc>
          <w:tcPr>
            <w:tcW w:w="2902" w:type="dxa"/>
          </w:tcPr>
          <w:p w:rsidR="009838A1" w:rsidRPr="005767CC" w:rsidRDefault="009838A1" w:rsidP="00420649">
            <w:pPr>
              <w:widowControl w:val="0"/>
              <w:numPr>
                <w:ilvl w:val="0"/>
                <w:numId w:val="8"/>
              </w:numPr>
              <w:tabs>
                <w:tab w:val="clear" w:pos="720"/>
                <w:tab w:val="num" w:pos="207"/>
                <w:tab w:val="num" w:pos="297"/>
                <w:tab w:val="num" w:pos="1800"/>
              </w:tabs>
              <w:autoSpaceDE w:val="0"/>
              <w:autoSpaceDN w:val="0"/>
              <w:adjustRightInd w:val="0"/>
              <w:spacing w:before="120"/>
              <w:ind w:left="207" w:hanging="180"/>
            </w:pPr>
            <w:r>
              <w:t>Overseeing</w:t>
            </w:r>
            <w:r w:rsidRPr="005767CC">
              <w:t xml:space="preserve"> a high-tech lab to assist law enforcement in gathering critical evidence</w:t>
            </w:r>
            <w:r>
              <w:t xml:space="preserve"> in child exploitation cases</w:t>
            </w:r>
          </w:p>
          <w:p w:rsidR="009838A1" w:rsidRPr="005767CC" w:rsidRDefault="009838A1" w:rsidP="00420649">
            <w:pPr>
              <w:widowControl w:val="0"/>
              <w:numPr>
                <w:ilvl w:val="0"/>
                <w:numId w:val="8"/>
              </w:numPr>
              <w:tabs>
                <w:tab w:val="clear" w:pos="720"/>
                <w:tab w:val="num" w:pos="207"/>
                <w:tab w:val="num" w:pos="297"/>
                <w:tab w:val="num" w:pos="1800"/>
              </w:tabs>
              <w:autoSpaceDE w:val="0"/>
              <w:autoSpaceDN w:val="0"/>
              <w:adjustRightInd w:val="0"/>
              <w:spacing w:before="120"/>
              <w:ind w:left="207" w:hanging="180"/>
            </w:pPr>
            <w:r w:rsidRPr="005767CC">
              <w:t>Developing strategies to effectively capture digital evidence</w:t>
            </w:r>
          </w:p>
        </w:tc>
        <w:tc>
          <w:tcPr>
            <w:tcW w:w="2903" w:type="dxa"/>
          </w:tcPr>
          <w:p w:rsidR="009838A1" w:rsidRPr="005767CC" w:rsidRDefault="009838A1" w:rsidP="00420649">
            <w:pPr>
              <w:widowControl w:val="0"/>
              <w:numPr>
                <w:ilvl w:val="0"/>
                <w:numId w:val="12"/>
              </w:numPr>
              <w:tabs>
                <w:tab w:val="num" w:pos="245"/>
                <w:tab w:val="num" w:pos="296"/>
              </w:tabs>
              <w:autoSpaceDE w:val="0"/>
              <w:autoSpaceDN w:val="0"/>
              <w:adjustRightInd w:val="0"/>
              <w:spacing w:before="120"/>
              <w:ind w:left="288" w:hanging="283"/>
            </w:pPr>
            <w:r w:rsidRPr="005767CC">
              <w:t>Working to form international strategies to combat child sexual exploitation</w:t>
            </w:r>
          </w:p>
          <w:p w:rsidR="009838A1" w:rsidRPr="005767CC" w:rsidRDefault="009838A1" w:rsidP="00420649">
            <w:pPr>
              <w:widowControl w:val="0"/>
              <w:numPr>
                <w:ilvl w:val="0"/>
                <w:numId w:val="12"/>
              </w:numPr>
              <w:tabs>
                <w:tab w:val="num" w:pos="245"/>
                <w:tab w:val="num" w:pos="296"/>
              </w:tabs>
              <w:autoSpaceDE w:val="0"/>
              <w:autoSpaceDN w:val="0"/>
              <w:adjustRightInd w:val="0"/>
              <w:spacing w:before="120"/>
              <w:ind w:left="288" w:hanging="283"/>
            </w:pPr>
            <w:r>
              <w:t xml:space="preserve">Prosecuting </w:t>
            </w:r>
            <w:smartTag w:uri="urn:schemas-microsoft-com:office:smarttags" w:element="place">
              <w:smartTag w:uri="urn:schemas-microsoft-com:office:smarttags" w:element="country-region">
                <w:r>
                  <w:t>U.S.</w:t>
                </w:r>
              </w:smartTag>
            </w:smartTag>
            <w:r>
              <w:t xml:space="preserve"> government agents who have violated human rights while in other countries</w:t>
            </w:r>
          </w:p>
        </w:tc>
      </w:tr>
      <w:tr w:rsidR="009838A1" w:rsidRPr="00865464" w:rsidTr="003C6D07">
        <w:trPr>
          <w:cantSplit/>
          <w:trHeight w:val="2139"/>
        </w:trPr>
        <w:tc>
          <w:tcPr>
            <w:tcW w:w="2250" w:type="dxa"/>
            <w:shd w:val="clear" w:color="auto" w:fill="C0C0C0"/>
            <w:vAlign w:val="center"/>
          </w:tcPr>
          <w:p w:rsidR="009838A1" w:rsidRPr="00865464" w:rsidRDefault="009838A1" w:rsidP="009838A1">
            <w:pPr>
              <w:spacing w:before="120"/>
              <w:rPr>
                <w:i/>
              </w:rPr>
            </w:pPr>
            <w:r>
              <w:rPr>
                <w:b/>
              </w:rPr>
              <w:t>Promoting the Rule of Law Internationally</w:t>
            </w:r>
          </w:p>
          <w:p w:rsidR="009838A1" w:rsidRPr="00865464" w:rsidRDefault="009838A1" w:rsidP="009838A1">
            <w:pPr>
              <w:spacing w:before="120"/>
              <w:rPr>
                <w:b/>
              </w:rPr>
            </w:pPr>
          </w:p>
        </w:tc>
        <w:tc>
          <w:tcPr>
            <w:tcW w:w="2902" w:type="dxa"/>
          </w:tcPr>
          <w:p w:rsidR="009838A1" w:rsidRPr="005767CC" w:rsidRDefault="009838A1" w:rsidP="00420649">
            <w:pPr>
              <w:widowControl w:val="0"/>
              <w:numPr>
                <w:ilvl w:val="0"/>
                <w:numId w:val="8"/>
              </w:numPr>
              <w:tabs>
                <w:tab w:val="num" w:pos="162"/>
                <w:tab w:val="num" w:pos="1800"/>
              </w:tabs>
              <w:autoSpaceDE w:val="0"/>
              <w:autoSpaceDN w:val="0"/>
              <w:adjustRightInd w:val="0"/>
              <w:spacing w:before="120"/>
              <w:ind w:left="162" w:hanging="180"/>
            </w:pPr>
            <w:r w:rsidRPr="005767CC">
              <w:t>Coordination of bi-lateral investigations</w:t>
            </w:r>
          </w:p>
          <w:p w:rsidR="009838A1" w:rsidRPr="005767CC" w:rsidRDefault="009838A1" w:rsidP="00420649">
            <w:pPr>
              <w:widowControl w:val="0"/>
              <w:numPr>
                <w:ilvl w:val="0"/>
                <w:numId w:val="8"/>
              </w:numPr>
              <w:tabs>
                <w:tab w:val="num" w:pos="162"/>
                <w:tab w:val="num" w:pos="1800"/>
              </w:tabs>
              <w:autoSpaceDE w:val="0"/>
              <w:autoSpaceDN w:val="0"/>
              <w:adjustRightInd w:val="0"/>
              <w:spacing w:before="120"/>
              <w:ind w:left="162" w:hanging="180"/>
            </w:pPr>
            <w:r>
              <w:t>Seeking the extradition of criminal defendants who have fled overseas</w:t>
            </w:r>
          </w:p>
        </w:tc>
        <w:tc>
          <w:tcPr>
            <w:tcW w:w="2903" w:type="dxa"/>
          </w:tcPr>
          <w:p w:rsidR="009838A1" w:rsidRPr="005767CC" w:rsidRDefault="009838A1" w:rsidP="00420649">
            <w:pPr>
              <w:widowControl w:val="0"/>
              <w:numPr>
                <w:ilvl w:val="0"/>
                <w:numId w:val="8"/>
              </w:numPr>
              <w:tabs>
                <w:tab w:val="clear" w:pos="720"/>
                <w:tab w:val="num" w:pos="230"/>
                <w:tab w:val="num" w:pos="590"/>
                <w:tab w:val="num" w:pos="1800"/>
              </w:tabs>
              <w:autoSpaceDE w:val="0"/>
              <w:autoSpaceDN w:val="0"/>
              <w:adjustRightInd w:val="0"/>
              <w:spacing w:before="120"/>
              <w:ind w:left="230" w:hanging="230"/>
            </w:pPr>
            <w:r>
              <w:t>Assisting foreign countries in the development of laws and legal procedures</w:t>
            </w:r>
          </w:p>
          <w:p w:rsidR="009838A1" w:rsidRDefault="009838A1" w:rsidP="00420649">
            <w:pPr>
              <w:widowControl w:val="0"/>
              <w:numPr>
                <w:ilvl w:val="0"/>
                <w:numId w:val="8"/>
              </w:numPr>
              <w:tabs>
                <w:tab w:val="clear" w:pos="720"/>
                <w:tab w:val="num" w:pos="230"/>
                <w:tab w:val="num" w:pos="590"/>
                <w:tab w:val="num" w:pos="1800"/>
              </w:tabs>
              <w:autoSpaceDE w:val="0"/>
              <w:autoSpaceDN w:val="0"/>
              <w:adjustRightInd w:val="0"/>
              <w:spacing w:before="120"/>
              <w:ind w:left="230" w:hanging="230"/>
            </w:pPr>
            <w:r w:rsidRPr="005767CC">
              <w:t xml:space="preserve">Training of </w:t>
            </w:r>
            <w:r>
              <w:t xml:space="preserve">our </w:t>
            </w:r>
            <w:r w:rsidRPr="005767CC">
              <w:t>foreign counterparts</w:t>
            </w:r>
          </w:p>
        </w:tc>
        <w:tc>
          <w:tcPr>
            <w:tcW w:w="2902" w:type="dxa"/>
          </w:tcPr>
          <w:p w:rsidR="009838A1" w:rsidRPr="005767CC" w:rsidRDefault="009838A1" w:rsidP="00420649">
            <w:pPr>
              <w:widowControl w:val="0"/>
              <w:numPr>
                <w:ilvl w:val="0"/>
                <w:numId w:val="8"/>
              </w:numPr>
              <w:tabs>
                <w:tab w:val="num" w:pos="207"/>
                <w:tab w:val="num" w:pos="297"/>
                <w:tab w:val="num" w:pos="1800"/>
              </w:tabs>
              <w:autoSpaceDE w:val="0"/>
              <w:autoSpaceDN w:val="0"/>
              <w:adjustRightInd w:val="0"/>
              <w:spacing w:before="120"/>
              <w:ind w:left="207" w:hanging="180"/>
            </w:pPr>
            <w:r w:rsidRPr="005767CC">
              <w:t>Obtaining evidence from or for foreign countries</w:t>
            </w:r>
          </w:p>
          <w:p w:rsidR="009838A1" w:rsidRPr="005767CC" w:rsidRDefault="009838A1" w:rsidP="00420649">
            <w:pPr>
              <w:widowControl w:val="0"/>
              <w:numPr>
                <w:ilvl w:val="0"/>
                <w:numId w:val="8"/>
              </w:numPr>
              <w:tabs>
                <w:tab w:val="num" w:pos="207"/>
                <w:tab w:val="num" w:pos="297"/>
                <w:tab w:val="num" w:pos="1800"/>
              </w:tabs>
              <w:autoSpaceDE w:val="0"/>
              <w:autoSpaceDN w:val="0"/>
              <w:adjustRightInd w:val="0"/>
              <w:spacing w:before="120"/>
              <w:ind w:left="207" w:hanging="180"/>
            </w:pPr>
            <w:r>
              <w:t>Supporting trans-national investigations</w:t>
            </w:r>
          </w:p>
        </w:tc>
        <w:tc>
          <w:tcPr>
            <w:tcW w:w="2903" w:type="dxa"/>
          </w:tcPr>
          <w:p w:rsidR="009838A1" w:rsidRPr="005767CC" w:rsidRDefault="009838A1" w:rsidP="00420649">
            <w:pPr>
              <w:widowControl w:val="0"/>
              <w:numPr>
                <w:ilvl w:val="0"/>
                <w:numId w:val="8"/>
              </w:numPr>
              <w:tabs>
                <w:tab w:val="num" w:pos="245"/>
                <w:tab w:val="num" w:pos="296"/>
                <w:tab w:val="num" w:pos="1800"/>
              </w:tabs>
              <w:autoSpaceDE w:val="0"/>
              <w:autoSpaceDN w:val="0"/>
              <w:adjustRightInd w:val="0"/>
              <w:spacing w:before="120"/>
              <w:ind w:left="288" w:hanging="283"/>
            </w:pPr>
            <w:r>
              <w:t>Providing d</w:t>
            </w:r>
            <w:r w:rsidRPr="005767CC">
              <w:t>irect technical assistance on case-specific matters</w:t>
            </w:r>
          </w:p>
          <w:p w:rsidR="009838A1" w:rsidRDefault="009838A1" w:rsidP="00420649">
            <w:pPr>
              <w:widowControl w:val="0"/>
              <w:numPr>
                <w:ilvl w:val="0"/>
                <w:numId w:val="8"/>
              </w:numPr>
              <w:tabs>
                <w:tab w:val="num" w:pos="245"/>
                <w:tab w:val="num" w:pos="296"/>
                <w:tab w:val="num" w:pos="1800"/>
              </w:tabs>
              <w:autoSpaceDE w:val="0"/>
              <w:autoSpaceDN w:val="0"/>
              <w:adjustRightInd w:val="0"/>
              <w:spacing w:before="120"/>
              <w:ind w:left="288" w:hanging="283"/>
            </w:pPr>
            <w:r w:rsidRPr="005767CC">
              <w:t>Participating in international policy groups</w:t>
            </w:r>
          </w:p>
        </w:tc>
      </w:tr>
      <w:tr w:rsidR="009838A1" w:rsidRPr="00865464" w:rsidTr="003C6D07">
        <w:trPr>
          <w:cantSplit/>
          <w:trHeight w:val="2652"/>
        </w:trPr>
        <w:tc>
          <w:tcPr>
            <w:tcW w:w="2250" w:type="dxa"/>
            <w:shd w:val="clear" w:color="auto" w:fill="C0C0C0"/>
            <w:vAlign w:val="center"/>
          </w:tcPr>
          <w:p w:rsidR="009838A1" w:rsidRPr="001D0D4E" w:rsidRDefault="009838A1" w:rsidP="009838A1">
            <w:pPr>
              <w:spacing w:before="120"/>
              <w:rPr>
                <w:b/>
              </w:rPr>
            </w:pPr>
            <w:r w:rsidRPr="00865464">
              <w:rPr>
                <w:b/>
              </w:rPr>
              <w:t xml:space="preserve">Supporting National Security </w:t>
            </w:r>
          </w:p>
        </w:tc>
        <w:tc>
          <w:tcPr>
            <w:tcW w:w="2902" w:type="dxa"/>
          </w:tcPr>
          <w:p w:rsidR="009838A1" w:rsidRPr="005767CC" w:rsidRDefault="009838A1" w:rsidP="00420649">
            <w:pPr>
              <w:widowControl w:val="0"/>
              <w:numPr>
                <w:ilvl w:val="0"/>
                <w:numId w:val="8"/>
              </w:numPr>
              <w:tabs>
                <w:tab w:val="num" w:pos="162"/>
                <w:tab w:val="num" w:pos="1800"/>
              </w:tabs>
              <w:autoSpaceDE w:val="0"/>
              <w:autoSpaceDN w:val="0"/>
              <w:adjustRightInd w:val="0"/>
              <w:spacing w:before="120"/>
              <w:ind w:left="162" w:hanging="180"/>
            </w:pPr>
            <w:r w:rsidRPr="005767CC">
              <w:t xml:space="preserve">Prosecuting cases </w:t>
            </w:r>
            <w:r>
              <w:t xml:space="preserve"> focused on </w:t>
            </w:r>
            <w:r w:rsidRPr="005767CC">
              <w:t>deter</w:t>
            </w:r>
            <w:r>
              <w:t>ring</w:t>
            </w:r>
            <w:r w:rsidRPr="005767CC">
              <w:t xml:space="preserve"> corruption of foreign officials</w:t>
            </w:r>
          </w:p>
          <w:p w:rsidR="009838A1" w:rsidRPr="005767CC" w:rsidRDefault="009838A1" w:rsidP="00420649">
            <w:pPr>
              <w:widowControl w:val="0"/>
              <w:numPr>
                <w:ilvl w:val="0"/>
                <w:numId w:val="8"/>
              </w:numPr>
              <w:tabs>
                <w:tab w:val="num" w:pos="162"/>
                <w:tab w:val="num" w:pos="1800"/>
              </w:tabs>
              <w:autoSpaceDE w:val="0"/>
              <w:autoSpaceDN w:val="0"/>
              <w:adjustRightInd w:val="0"/>
              <w:spacing w:before="120"/>
              <w:ind w:left="162" w:hanging="180"/>
            </w:pPr>
            <w:r>
              <w:t>Supporting investigations aimed at</w:t>
            </w:r>
            <w:r w:rsidRPr="005767CC">
              <w:t xml:space="preserve"> limit</w:t>
            </w:r>
            <w:r>
              <w:t>ing</w:t>
            </w:r>
            <w:r w:rsidRPr="005767CC">
              <w:t xml:space="preserve"> terrorist mobility</w:t>
            </w:r>
          </w:p>
        </w:tc>
        <w:tc>
          <w:tcPr>
            <w:tcW w:w="2903" w:type="dxa"/>
          </w:tcPr>
          <w:p w:rsidR="009838A1" w:rsidRPr="005767CC" w:rsidRDefault="009838A1" w:rsidP="00420649">
            <w:pPr>
              <w:widowControl w:val="0"/>
              <w:numPr>
                <w:ilvl w:val="0"/>
                <w:numId w:val="8"/>
              </w:numPr>
              <w:tabs>
                <w:tab w:val="clear" w:pos="720"/>
                <w:tab w:val="num" w:pos="230"/>
                <w:tab w:val="num" w:pos="590"/>
                <w:tab w:val="num" w:pos="1800"/>
              </w:tabs>
              <w:autoSpaceDE w:val="0"/>
              <w:autoSpaceDN w:val="0"/>
              <w:adjustRightInd w:val="0"/>
              <w:spacing w:before="120"/>
              <w:ind w:left="230" w:hanging="230"/>
            </w:pPr>
            <w:r w:rsidRPr="005767CC">
              <w:t>Participating in government-wide anti-terrorism strategy groups</w:t>
            </w:r>
          </w:p>
          <w:p w:rsidR="009838A1" w:rsidRPr="005767CC" w:rsidRDefault="009838A1" w:rsidP="00420649">
            <w:pPr>
              <w:widowControl w:val="0"/>
              <w:numPr>
                <w:ilvl w:val="0"/>
                <w:numId w:val="8"/>
              </w:numPr>
              <w:tabs>
                <w:tab w:val="clear" w:pos="720"/>
                <w:tab w:val="num" w:pos="230"/>
                <w:tab w:val="num" w:pos="590"/>
                <w:tab w:val="num" w:pos="1800"/>
              </w:tabs>
              <w:autoSpaceDE w:val="0"/>
              <w:autoSpaceDN w:val="0"/>
              <w:adjustRightInd w:val="0"/>
              <w:spacing w:before="120"/>
              <w:ind w:left="230" w:hanging="230"/>
            </w:pPr>
            <w:r>
              <w:t>Providing expert guidance</w:t>
            </w:r>
            <w:r w:rsidRPr="005767CC">
              <w:t xml:space="preserve"> on freezing terrorist assets</w:t>
            </w:r>
          </w:p>
        </w:tc>
        <w:tc>
          <w:tcPr>
            <w:tcW w:w="2902" w:type="dxa"/>
          </w:tcPr>
          <w:p w:rsidR="009838A1" w:rsidRPr="005767CC" w:rsidRDefault="009838A1" w:rsidP="00420649">
            <w:pPr>
              <w:widowControl w:val="0"/>
              <w:numPr>
                <w:ilvl w:val="0"/>
                <w:numId w:val="8"/>
              </w:numPr>
              <w:tabs>
                <w:tab w:val="num" w:pos="207"/>
                <w:tab w:val="num" w:pos="297"/>
                <w:tab w:val="num" w:pos="1800"/>
              </w:tabs>
              <w:autoSpaceDE w:val="0"/>
              <w:autoSpaceDN w:val="0"/>
              <w:adjustRightInd w:val="0"/>
              <w:spacing w:before="120"/>
              <w:ind w:left="207" w:hanging="180"/>
            </w:pPr>
            <w:r w:rsidRPr="005767CC">
              <w:t>Negotiating Mutual Legal Assistance Treaties to obtain foreign evidence</w:t>
            </w:r>
          </w:p>
          <w:p w:rsidR="009838A1" w:rsidRPr="005767CC" w:rsidRDefault="009838A1" w:rsidP="00420649">
            <w:pPr>
              <w:widowControl w:val="0"/>
              <w:numPr>
                <w:ilvl w:val="0"/>
                <w:numId w:val="8"/>
              </w:numPr>
              <w:tabs>
                <w:tab w:val="num" w:pos="207"/>
                <w:tab w:val="num" w:pos="297"/>
                <w:tab w:val="num" w:pos="1800"/>
              </w:tabs>
              <w:autoSpaceDE w:val="0"/>
              <w:autoSpaceDN w:val="0"/>
              <w:adjustRightInd w:val="0"/>
              <w:spacing w:before="120"/>
              <w:ind w:left="207" w:hanging="180"/>
            </w:pPr>
            <w:r w:rsidRPr="005767CC">
              <w:t>Securing extradition of terrorist suspects</w:t>
            </w:r>
          </w:p>
        </w:tc>
        <w:tc>
          <w:tcPr>
            <w:tcW w:w="2903" w:type="dxa"/>
          </w:tcPr>
          <w:p w:rsidR="009838A1" w:rsidRPr="005767CC" w:rsidRDefault="009838A1" w:rsidP="00420649">
            <w:pPr>
              <w:widowControl w:val="0"/>
              <w:numPr>
                <w:ilvl w:val="0"/>
                <w:numId w:val="9"/>
              </w:numPr>
              <w:tabs>
                <w:tab w:val="num" w:pos="245"/>
                <w:tab w:val="num" w:pos="296"/>
              </w:tabs>
              <w:autoSpaceDE w:val="0"/>
              <w:autoSpaceDN w:val="0"/>
              <w:adjustRightInd w:val="0"/>
              <w:spacing w:before="120"/>
              <w:ind w:left="288" w:hanging="283"/>
            </w:pPr>
            <w:r w:rsidRPr="005767CC">
              <w:t>Strengthening counter-terrorism ability of foreign counterparts</w:t>
            </w:r>
          </w:p>
          <w:p w:rsidR="009838A1" w:rsidRPr="005767CC" w:rsidRDefault="009838A1" w:rsidP="00420649">
            <w:pPr>
              <w:widowControl w:val="0"/>
              <w:numPr>
                <w:ilvl w:val="0"/>
                <w:numId w:val="9"/>
              </w:numPr>
              <w:tabs>
                <w:tab w:val="num" w:pos="245"/>
                <w:tab w:val="num" w:pos="296"/>
              </w:tabs>
              <w:autoSpaceDE w:val="0"/>
              <w:autoSpaceDN w:val="0"/>
              <w:adjustRightInd w:val="0"/>
              <w:spacing w:before="120"/>
              <w:ind w:left="288" w:hanging="283"/>
            </w:pPr>
            <w:r w:rsidRPr="005767CC">
              <w:t>Working with other countries to disrupt terrorist travel networks</w:t>
            </w:r>
          </w:p>
        </w:tc>
      </w:tr>
    </w:tbl>
    <w:p w:rsidR="009838A1" w:rsidRDefault="009838A1" w:rsidP="009838A1">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9838A1" w:rsidSect="009838A1">
          <w:pgSz w:w="15840" w:h="12240" w:orient="landscape" w:code="1"/>
          <w:pgMar w:top="1440" w:right="1440" w:bottom="1440" w:left="1440" w:header="720" w:footer="720" w:gutter="0"/>
          <w:cols w:space="720"/>
          <w:docGrid w:linePitch="360"/>
        </w:sectPr>
      </w:pPr>
    </w:p>
    <w:p w:rsidR="009838A1" w:rsidRPr="00280F28" w:rsidRDefault="009838A1" w:rsidP="009838A1">
      <w:pPr>
        <w:rPr>
          <w:b/>
        </w:rPr>
      </w:pPr>
      <w:r w:rsidRPr="00280F28">
        <w:rPr>
          <w:b/>
        </w:rPr>
        <w:lastRenderedPageBreak/>
        <w:t xml:space="preserve">D. </w:t>
      </w:r>
      <w:r>
        <w:rPr>
          <w:b/>
        </w:rPr>
        <w:tab/>
      </w:r>
      <w:r w:rsidRPr="00280F28">
        <w:rPr>
          <w:b/>
        </w:rPr>
        <w:t>Challenges to Achieving Outcomes</w:t>
      </w:r>
    </w:p>
    <w:p w:rsidR="009838A1" w:rsidRPr="00280F28" w:rsidRDefault="009838A1" w:rsidP="009838A1">
      <w:pPr>
        <w:rPr>
          <w:b/>
        </w:rPr>
      </w:pPr>
    </w:p>
    <w:p w:rsidR="009838A1" w:rsidRPr="00280F28" w:rsidRDefault="009838A1" w:rsidP="009838A1">
      <w:r w:rsidRPr="00280F28">
        <w:t xml:space="preserve">Many factors, both external and internal, impact the Criminal Division’s capacity to accomplish its goals.  While some of these factors are beyond </w:t>
      </w:r>
      <w:r>
        <w:t>its</w:t>
      </w:r>
      <w:r w:rsidRPr="00280F28">
        <w:t xml:space="preserve"> control, the Division strive</w:t>
      </w:r>
      <w:r>
        <w:t>s</w:t>
      </w:r>
      <w:r w:rsidRPr="00280F28">
        <w:t xml:space="preserve"> to navigate these obstacles successfully</w:t>
      </w:r>
      <w:r>
        <w:t xml:space="preserve"> and</w:t>
      </w:r>
      <w:r w:rsidRPr="00280F28">
        <w:t xml:space="preserve"> to </w:t>
      </w:r>
      <w:r>
        <w:t>minimize</w:t>
      </w:r>
      <w:r w:rsidRPr="00280F28">
        <w:t xml:space="preserve"> the negative impact that these factors have on the Division’s critical mission.  </w:t>
      </w:r>
    </w:p>
    <w:p w:rsidR="009838A1" w:rsidRPr="00280F28" w:rsidRDefault="009838A1" w:rsidP="009838A1">
      <w:pPr>
        <w:rPr>
          <w:b/>
        </w:rPr>
      </w:pPr>
    </w:p>
    <w:p w:rsidR="009838A1" w:rsidRPr="00BD7EBD" w:rsidRDefault="009838A1" w:rsidP="009838A1">
      <w:pPr>
        <w:rPr>
          <w:i/>
        </w:rPr>
      </w:pPr>
      <w:r w:rsidRPr="00BD7EBD">
        <w:rPr>
          <w:i/>
        </w:rPr>
        <w:t>External Challenges</w:t>
      </w:r>
    </w:p>
    <w:p w:rsidR="009838A1" w:rsidRPr="003E52A2" w:rsidRDefault="009838A1" w:rsidP="009838A1"/>
    <w:p w:rsidR="009838A1" w:rsidRPr="003E52A2" w:rsidRDefault="009838A1" w:rsidP="00420649">
      <w:pPr>
        <w:widowControl w:val="0"/>
        <w:numPr>
          <w:ilvl w:val="0"/>
          <w:numId w:val="14"/>
        </w:numPr>
        <w:autoSpaceDE w:val="0"/>
        <w:autoSpaceDN w:val="0"/>
        <w:adjustRightInd w:val="0"/>
      </w:pPr>
      <w:r w:rsidRPr="00BD7EBD">
        <w:rPr>
          <w:u w:val="single"/>
        </w:rPr>
        <w:t>Globalization of Crime</w:t>
      </w:r>
      <w:r w:rsidRPr="003E52A2">
        <w:t>: The increasing globalization of crime and the emergence of transnational threats will continue to bring new challenges to law enforcement</w:t>
      </w:r>
      <w:r w:rsidR="00696A00">
        <w:t>,</w:t>
      </w:r>
      <w:r w:rsidRPr="003E52A2">
        <w:t xml:space="preserve"> both at home and abroad.  In its commitment to combat transnational threats, the Criminal Division continues to serve as the Department’s “global headquarters,” effectively developing criminal policies and legislation, while monitoring both national and transnational criminal trends.  As important, the Division is the central clearinghouse for all requests by foreign countries for evidence of crimes that may be in the </w:t>
      </w:r>
      <w:smartTag w:uri="urn:schemas-microsoft-com:office:smarttags" w:element="country-region">
        <w:r w:rsidRPr="003E52A2">
          <w:t>United States</w:t>
        </w:r>
      </w:smartTag>
      <w:r w:rsidRPr="003E52A2">
        <w:t xml:space="preserve"> and for all requests by </w:t>
      </w:r>
      <w:smartTag w:uri="urn:schemas-microsoft-com:office:smarttags" w:element="place">
        <w:smartTag w:uri="urn:schemas-microsoft-com:office:smarttags" w:element="country-region">
          <w:r w:rsidRPr="003E52A2">
            <w:t>U.S.</w:t>
          </w:r>
        </w:smartTag>
      </w:smartTag>
      <w:r w:rsidRPr="003E52A2">
        <w:t xml:space="preserve"> law enforcement authorities for evidence of crimes that may reside abroad.  The Division has the breadth of experience and the unique capability to build essential global partnerships to successfully combat transnational crimes, but requires critical resources to keep pace with the increasing demand for its services. </w:t>
      </w:r>
    </w:p>
    <w:p w:rsidR="009838A1" w:rsidRPr="003E52A2" w:rsidRDefault="009838A1" w:rsidP="009838A1"/>
    <w:p w:rsidR="009838A1" w:rsidRPr="003E52A2" w:rsidRDefault="009838A1" w:rsidP="00420649">
      <w:pPr>
        <w:widowControl w:val="0"/>
        <w:numPr>
          <w:ilvl w:val="0"/>
          <w:numId w:val="14"/>
        </w:numPr>
        <w:autoSpaceDE w:val="0"/>
        <w:autoSpaceDN w:val="0"/>
        <w:adjustRightInd w:val="0"/>
      </w:pPr>
      <w:r w:rsidRPr="00BD7EBD">
        <w:rPr>
          <w:u w:val="single"/>
        </w:rPr>
        <w:t xml:space="preserve">Advances in </w:t>
      </w:r>
      <w:r w:rsidRPr="00696A00">
        <w:rPr>
          <w:u w:val="single"/>
        </w:rPr>
        <w:t>Technology</w:t>
      </w:r>
      <w:r w:rsidRPr="00696A00">
        <w:t>: New</w:t>
      </w:r>
      <w:r w:rsidRPr="003E52A2">
        <w:t xml:space="preserve"> technologies have generated cutting-edge methods for committing crimes, such as use of the Internet to commit identity theft and use of peer-to-peer software programs to share large volumes of child pornography in real-time.  These technologies continue to pose many challenges to law enforcement agents and prosecutors alike.  It is the Division’s job to keep pace with these cutting-edge methods of technology and provide training and assistance to other prosecutors and investigators.</w:t>
      </w:r>
    </w:p>
    <w:p w:rsidR="009838A1" w:rsidRPr="003E52A2" w:rsidRDefault="009838A1" w:rsidP="009838A1"/>
    <w:p w:rsidR="009838A1" w:rsidRPr="003E52A2" w:rsidRDefault="009838A1" w:rsidP="00420649">
      <w:pPr>
        <w:numPr>
          <w:ilvl w:val="0"/>
          <w:numId w:val="14"/>
        </w:numPr>
      </w:pPr>
      <w:r w:rsidRPr="00BD7EBD">
        <w:rPr>
          <w:u w:val="single"/>
        </w:rPr>
        <w:t>Weak International Rule of Law</w:t>
      </w:r>
      <w:r w:rsidRPr="00696A00">
        <w:t xml:space="preserve">: </w:t>
      </w:r>
      <w:r w:rsidR="00696A00" w:rsidRPr="00696A00">
        <w:t xml:space="preserve"> </w:t>
      </w:r>
      <w:r w:rsidRPr="00696A00">
        <w:t>Some</w:t>
      </w:r>
      <w:r w:rsidRPr="003E52A2">
        <w:t xml:space="preserve"> countries lack effective policies, laws, and judicial systems to investigate and prosecute criminals in their countries.  These weaknesses create obstacles for the Division</w:t>
      </w:r>
      <w:r>
        <w:t>,</w:t>
      </w:r>
      <w:r w:rsidRPr="003E52A2">
        <w:t xml:space="preserve"> as it tries to bring criminals to justice and seize their ill-gotten profits.  </w:t>
      </w:r>
    </w:p>
    <w:p w:rsidR="009838A1" w:rsidRPr="003E52A2" w:rsidRDefault="009838A1" w:rsidP="009838A1"/>
    <w:p w:rsidR="009838A1" w:rsidRDefault="009838A1" w:rsidP="00420649">
      <w:pPr>
        <w:numPr>
          <w:ilvl w:val="0"/>
          <w:numId w:val="14"/>
        </w:numPr>
      </w:pPr>
      <w:r w:rsidRPr="00BD7EBD">
        <w:rPr>
          <w:u w:val="single"/>
        </w:rPr>
        <w:t xml:space="preserve">Increasing Statutory Responsibilities in a Challenging Fiscal </w:t>
      </w:r>
      <w:r w:rsidRPr="00696A00">
        <w:rPr>
          <w:u w:val="single"/>
        </w:rPr>
        <w:t>Environment</w:t>
      </w:r>
      <w:r w:rsidRPr="00696A00">
        <w:t xml:space="preserve">: </w:t>
      </w:r>
      <w:r w:rsidR="00075E02">
        <w:t>N</w:t>
      </w:r>
      <w:r w:rsidRPr="00696A00">
        <w:t>ew legislation that increases the Division’s responsibilities</w:t>
      </w:r>
      <w:r w:rsidRPr="003E52A2">
        <w:t xml:space="preserve"> ha</w:t>
      </w:r>
      <w:r>
        <w:t>s</w:t>
      </w:r>
      <w:r w:rsidRPr="003E52A2">
        <w:t xml:space="preserve"> </w:t>
      </w:r>
      <w:r w:rsidR="00075E02">
        <w:t>placed additional demands on</w:t>
      </w:r>
      <w:r w:rsidR="00075E02" w:rsidRPr="003E52A2">
        <w:t xml:space="preserve"> </w:t>
      </w:r>
      <w:r w:rsidRPr="003E52A2">
        <w:t>the Division’s resources.</w:t>
      </w:r>
      <w:r w:rsidR="00BD7EBD">
        <w:t xml:space="preserve"> </w:t>
      </w:r>
      <w:r w:rsidR="00696A00">
        <w:t xml:space="preserve"> </w:t>
      </w:r>
      <w:r w:rsidR="00BD7EBD">
        <w:t>This includes the steady increase in the number of mandatory reporting requirements to which the Division must respond.</w:t>
      </w:r>
    </w:p>
    <w:p w:rsidR="00BD7EBD" w:rsidRDefault="00BD7EBD" w:rsidP="00BD7EBD">
      <w:pPr>
        <w:pStyle w:val="ListParagraph"/>
      </w:pPr>
    </w:p>
    <w:p w:rsidR="009838A1" w:rsidRDefault="009838A1" w:rsidP="009838A1">
      <w:pPr>
        <w:pStyle w:val="ListParagraph"/>
      </w:pPr>
    </w:p>
    <w:p w:rsidR="009838A1" w:rsidRPr="00284E43" w:rsidRDefault="009838A1" w:rsidP="009838A1">
      <w:pPr>
        <w:rPr>
          <w:i/>
        </w:rPr>
      </w:pPr>
      <w:r>
        <w:br w:type="page"/>
      </w:r>
      <w:r w:rsidRPr="00284E43">
        <w:rPr>
          <w:i/>
        </w:rPr>
        <w:lastRenderedPageBreak/>
        <w:t>Internal Challenges</w:t>
      </w:r>
    </w:p>
    <w:p w:rsidR="009838A1" w:rsidRPr="003E52A2" w:rsidRDefault="009838A1" w:rsidP="009838A1"/>
    <w:p w:rsidR="009838A1" w:rsidRPr="003E52A2" w:rsidRDefault="009838A1" w:rsidP="009838A1">
      <w:r w:rsidRPr="003E52A2">
        <w:t xml:space="preserve">The Criminal Division faces a number of internal challenges due to growing demands.  These challenges include the following: </w:t>
      </w:r>
    </w:p>
    <w:p w:rsidR="009838A1" w:rsidRPr="001A43D5" w:rsidRDefault="009838A1" w:rsidP="009838A1">
      <w:pPr>
        <w:rPr>
          <w:highlight w:val="yellow"/>
        </w:rPr>
      </w:pPr>
    </w:p>
    <w:p w:rsidR="009838A1" w:rsidRPr="00EA71F1" w:rsidRDefault="009838A1" w:rsidP="00420649">
      <w:pPr>
        <w:widowControl w:val="0"/>
        <w:numPr>
          <w:ilvl w:val="0"/>
          <w:numId w:val="15"/>
        </w:numPr>
        <w:autoSpaceDE w:val="0"/>
        <w:autoSpaceDN w:val="0"/>
        <w:adjustRightInd w:val="0"/>
        <w:rPr>
          <w:bCs/>
        </w:rPr>
      </w:pPr>
      <w:r w:rsidRPr="00284E43">
        <w:rPr>
          <w:bCs/>
          <w:u w:val="single"/>
        </w:rPr>
        <w:t xml:space="preserve">Automated Litigation </w:t>
      </w:r>
      <w:r w:rsidRPr="00696A00">
        <w:rPr>
          <w:bCs/>
          <w:u w:val="single"/>
        </w:rPr>
        <w:t>Support</w:t>
      </w:r>
      <w:r w:rsidRPr="00696A00">
        <w:rPr>
          <w:bCs/>
        </w:rPr>
        <w:t>:</w:t>
      </w:r>
      <w:r w:rsidRPr="00EA71F1">
        <w:rPr>
          <w:bCs/>
        </w:rPr>
        <w:t xml:space="preserve"> Cases and matters the Division prosecutes and investigates are complicated and complex and require </w:t>
      </w:r>
      <w:r>
        <w:rPr>
          <w:bCs/>
        </w:rPr>
        <w:t xml:space="preserve">a </w:t>
      </w:r>
      <w:r w:rsidRPr="00EA71F1">
        <w:rPr>
          <w:bCs/>
        </w:rPr>
        <w:t xml:space="preserve">massive amount of data to be processed and stored.  </w:t>
      </w:r>
    </w:p>
    <w:p w:rsidR="009838A1" w:rsidRPr="0099143C" w:rsidRDefault="009838A1" w:rsidP="009838A1">
      <w:pPr>
        <w:widowControl w:val="0"/>
        <w:autoSpaceDE w:val="0"/>
        <w:autoSpaceDN w:val="0"/>
        <w:adjustRightInd w:val="0"/>
        <w:ind w:left="720"/>
        <w:rPr>
          <w:bCs/>
          <w:highlight w:val="yellow"/>
        </w:rPr>
      </w:pPr>
    </w:p>
    <w:p w:rsidR="009838A1" w:rsidRPr="0038732F" w:rsidRDefault="009838A1" w:rsidP="00420649">
      <w:pPr>
        <w:widowControl w:val="0"/>
        <w:numPr>
          <w:ilvl w:val="0"/>
          <w:numId w:val="15"/>
        </w:numPr>
        <w:autoSpaceDE w:val="0"/>
        <w:autoSpaceDN w:val="0"/>
        <w:adjustRightInd w:val="0"/>
        <w:rPr>
          <w:bCs/>
        </w:rPr>
      </w:pPr>
      <w:r w:rsidRPr="00284E43">
        <w:rPr>
          <w:u w:val="single"/>
        </w:rPr>
        <w:t>Information and Network Security</w:t>
      </w:r>
      <w:r w:rsidRPr="008C63C6">
        <w:t xml:space="preserve">: To stay one step ahead of criminals, the Division needs to acquire the most advanced IT equipment and software available.  Additionally, it must ensure that it is invulnerable to cyber attacks or computer intrusions.    </w:t>
      </w:r>
    </w:p>
    <w:p w:rsidR="009838A1" w:rsidRPr="00280F28" w:rsidRDefault="009838A1" w:rsidP="009838A1"/>
    <w:p w:rsidR="009838A1" w:rsidRPr="00EF0F35" w:rsidRDefault="009838A1" w:rsidP="009838A1">
      <w:pPr>
        <w:ind w:left="720" w:hanging="720"/>
        <w:rPr>
          <w:b/>
        </w:rPr>
      </w:pPr>
      <w:r w:rsidRPr="00280F28">
        <w:rPr>
          <w:b/>
        </w:rPr>
        <w:t xml:space="preserve">E. </w:t>
      </w:r>
      <w:r>
        <w:rPr>
          <w:b/>
        </w:rPr>
        <w:tab/>
      </w:r>
      <w:r w:rsidRPr="00280F28">
        <w:rPr>
          <w:b/>
        </w:rPr>
        <w:t xml:space="preserve">Budget &amp; </w:t>
      </w:r>
      <w:smartTag w:uri="urn:schemas-microsoft-com:office:smarttags" w:element="PersonName">
        <w:r w:rsidRPr="00280F28">
          <w:rPr>
            <w:b/>
          </w:rPr>
          <w:t>Performance</w:t>
        </w:r>
      </w:smartTag>
      <w:r w:rsidRPr="00280F28">
        <w:rPr>
          <w:b/>
        </w:rPr>
        <w:t xml:space="preserve"> Integration</w:t>
      </w:r>
      <w:r w:rsidRPr="00EF0F35">
        <w:rPr>
          <w:b/>
        </w:rPr>
        <w:t xml:space="preserve"> </w:t>
      </w:r>
    </w:p>
    <w:p w:rsidR="009838A1" w:rsidRPr="00F1519A" w:rsidRDefault="009838A1" w:rsidP="009838A1">
      <w:pPr>
        <w:rPr>
          <w:i/>
        </w:rPr>
      </w:pPr>
    </w:p>
    <w:p w:rsidR="009838A1" w:rsidRPr="00280F28" w:rsidRDefault="009838A1" w:rsidP="009838A1">
      <w:r w:rsidRPr="00280F28">
        <w:t>This budget demonstrates how the Criminal Division’s resources directly support the achievement of the Department’s strategic goals and priorities – both nationally and internationally.</w:t>
      </w:r>
    </w:p>
    <w:p w:rsidR="009838A1" w:rsidRPr="00280F28" w:rsidRDefault="009838A1" w:rsidP="009838A1"/>
    <w:p w:rsidR="009838A1" w:rsidRDefault="009838A1" w:rsidP="009838A1">
      <w:r w:rsidRPr="00280F28">
        <w:t>The Division reports as a single decision unit; therefore, its resources are presented in this budget as a whole.  Total costs represent both direct and indirect costs, including administrative functions and systems.  The performance/resources table in Section IV of this budget provides further detail on the Division’s performance-based budget.</w:t>
      </w:r>
    </w:p>
    <w:p w:rsidR="009838A1" w:rsidRDefault="009838A1" w:rsidP="009838A1">
      <w:pPr>
        <w:ind w:left="720" w:hanging="720"/>
        <w:rPr>
          <w:b/>
        </w:rPr>
      </w:pPr>
    </w:p>
    <w:p w:rsidR="009838A1" w:rsidRDefault="009838A1" w:rsidP="009838A1">
      <w:pPr>
        <w:ind w:left="720" w:hanging="720"/>
        <w:rPr>
          <w:b/>
        </w:rPr>
      </w:pPr>
      <w:r>
        <w:rPr>
          <w:b/>
        </w:rPr>
        <w:t>F</w:t>
      </w:r>
      <w:r w:rsidRPr="00280F28">
        <w:rPr>
          <w:b/>
        </w:rPr>
        <w:t xml:space="preserve">. </w:t>
      </w:r>
      <w:r>
        <w:rPr>
          <w:b/>
        </w:rPr>
        <w:tab/>
        <w:t>Environmental Accountability</w:t>
      </w:r>
    </w:p>
    <w:p w:rsidR="009838A1" w:rsidRDefault="009838A1" w:rsidP="009838A1">
      <w:pPr>
        <w:rPr>
          <w:b/>
        </w:rPr>
      </w:pPr>
    </w:p>
    <w:p w:rsidR="000B4E34" w:rsidRDefault="009838A1" w:rsidP="009838A1">
      <w:r w:rsidRPr="00D400AE">
        <w:t xml:space="preserve">The Criminal Division has taken significant steps </w:t>
      </w:r>
      <w:r w:rsidR="000B4E34">
        <w:t xml:space="preserve">to integrate </w:t>
      </w:r>
      <w:r w:rsidRPr="00D400AE">
        <w:t>environmental accountability into its daily operati</w:t>
      </w:r>
      <w:r w:rsidR="000B4E34">
        <w:t>ons and decision-making process:</w:t>
      </w:r>
    </w:p>
    <w:p w:rsidR="000B4E34" w:rsidRDefault="000B4E34" w:rsidP="009838A1"/>
    <w:p w:rsidR="009838A1" w:rsidRPr="00284E43" w:rsidRDefault="000B4E34" w:rsidP="00420649">
      <w:pPr>
        <w:pStyle w:val="ListParagraph"/>
        <w:numPr>
          <w:ilvl w:val="0"/>
          <w:numId w:val="19"/>
        </w:numPr>
        <w:rPr>
          <w:b/>
          <w:bCs/>
        </w:rPr>
      </w:pPr>
      <w:r>
        <w:t>T</w:t>
      </w:r>
      <w:r w:rsidR="009838A1" w:rsidRPr="00D400AE">
        <w:t xml:space="preserve">he Division has initiated (paperless) electronic transmittal of all </w:t>
      </w:r>
      <w:r w:rsidR="0025682D" w:rsidRPr="0025682D">
        <w:t>service work requests and internal administrative services</w:t>
      </w:r>
      <w:r w:rsidR="00284E43">
        <w:t xml:space="preserve">, which saves paper and reduces </w:t>
      </w:r>
      <w:r w:rsidR="00230481">
        <w:t>its</w:t>
      </w:r>
      <w:r w:rsidR="00284E43">
        <w:t xml:space="preserve"> carbon footprint</w:t>
      </w:r>
      <w:r w:rsidR="009838A1" w:rsidRPr="00D400AE">
        <w:t xml:space="preserve">.  </w:t>
      </w:r>
    </w:p>
    <w:p w:rsidR="00284E43" w:rsidRPr="0025682D" w:rsidRDefault="00284E43" w:rsidP="0025682D">
      <w:pPr>
        <w:rPr>
          <w:b/>
          <w:bCs/>
        </w:rPr>
      </w:pPr>
    </w:p>
    <w:p w:rsidR="00284E43" w:rsidRPr="00284E43" w:rsidRDefault="00284E43" w:rsidP="00420649">
      <w:pPr>
        <w:pStyle w:val="ListParagraph"/>
        <w:numPr>
          <w:ilvl w:val="0"/>
          <w:numId w:val="19"/>
        </w:numPr>
        <w:rPr>
          <w:b/>
          <w:bCs/>
        </w:rPr>
      </w:pPr>
      <w:r w:rsidRPr="00D400AE">
        <w:t xml:space="preserve">The Division has completed the balancing of the water system to conserve and provide more efficient </w:t>
      </w:r>
      <w:r>
        <w:t>use</w:t>
      </w:r>
      <w:r w:rsidRPr="00D400AE">
        <w:t xml:space="preserve"> of </w:t>
      </w:r>
      <w:r w:rsidR="00230481">
        <w:t>its</w:t>
      </w:r>
      <w:r w:rsidRPr="00D400AE">
        <w:t xml:space="preserve"> supplemental air conditioning units.  </w:t>
      </w:r>
    </w:p>
    <w:p w:rsidR="00284E43" w:rsidRDefault="00284E43" w:rsidP="00284E43">
      <w:pPr>
        <w:pStyle w:val="ListParagraph"/>
      </w:pPr>
    </w:p>
    <w:p w:rsidR="00284E43" w:rsidRPr="00284E43" w:rsidRDefault="00284E43" w:rsidP="00420649">
      <w:pPr>
        <w:pStyle w:val="ListParagraph"/>
        <w:numPr>
          <w:ilvl w:val="0"/>
          <w:numId w:val="19"/>
        </w:numPr>
        <w:rPr>
          <w:b/>
          <w:bCs/>
        </w:rPr>
      </w:pPr>
      <w:r w:rsidRPr="00D400AE">
        <w:t xml:space="preserve">The Division is continuing to work with the building management to install electrical light timers and motion detectors in corridors and bathrooms to reduce the use and cost of electricity. </w:t>
      </w:r>
      <w:r>
        <w:t xml:space="preserve"> The Division has completed this installation in one of its three leased buildings.</w:t>
      </w:r>
    </w:p>
    <w:p w:rsidR="00284E43" w:rsidRPr="00284E43" w:rsidRDefault="00284E43" w:rsidP="00284E43">
      <w:pPr>
        <w:pStyle w:val="ListParagraph"/>
        <w:rPr>
          <w:b/>
          <w:bCs/>
        </w:rPr>
      </w:pPr>
    </w:p>
    <w:p w:rsidR="00284E43" w:rsidRPr="00284E43" w:rsidRDefault="00284E43" w:rsidP="00420649">
      <w:pPr>
        <w:pStyle w:val="ListParagraph"/>
        <w:numPr>
          <w:ilvl w:val="0"/>
          <w:numId w:val="19"/>
        </w:numPr>
        <w:rPr>
          <w:b/>
          <w:bCs/>
        </w:rPr>
      </w:pPr>
      <w:r w:rsidRPr="00D400AE">
        <w:t xml:space="preserve">The Division continues to take steps to improve the recycling and environmental awareness programs within the Division.  The Division has a comprehensive recycling program that includes the (1) distribution of individual recycling containers to every federal and contract employee, (2) inclusion of recycling flyers in all new employee orientation packages, (3) publication of energy and recycling articles in the Division’s Security and Operations Support newsletter, and (4) creation of a recycling section on the Division’s Intranet site.  </w:t>
      </w:r>
      <w:r>
        <w:t xml:space="preserve">The Division is in ongoing discussions with two of its </w:t>
      </w:r>
      <w:r>
        <w:lastRenderedPageBreak/>
        <w:t>leased buildings to use “Single Stream” recycling which would enhance the Division’s program overall by removing the requirement for tenants to separate recyclables.</w:t>
      </w:r>
    </w:p>
    <w:p w:rsidR="00284E43" w:rsidRDefault="00284E43"/>
    <w:p w:rsidR="00B37221" w:rsidRDefault="00B37221"/>
    <w:p w:rsidR="004305CE" w:rsidRDefault="004305CE">
      <w:pPr>
        <w:rPr>
          <w:rFonts w:cs="Arial"/>
          <w:b/>
          <w:bCs/>
          <w:sz w:val="28"/>
          <w:szCs w:val="28"/>
        </w:rPr>
      </w:pPr>
      <w:r>
        <w:rPr>
          <w:rFonts w:cs="Arial"/>
          <w:b/>
          <w:bCs/>
          <w:sz w:val="28"/>
          <w:szCs w:val="28"/>
        </w:rPr>
        <w:br w:type="page"/>
      </w:r>
    </w:p>
    <w:p w:rsidR="00224A36" w:rsidRPr="00DC4C9F" w:rsidRDefault="00224A36">
      <w:pPr>
        <w:pStyle w:val="BodyText"/>
        <w:rPr>
          <w:rFonts w:cs="Arial"/>
          <w:b/>
          <w:bCs/>
          <w:sz w:val="28"/>
          <w:szCs w:val="28"/>
        </w:rPr>
      </w:pPr>
      <w:bookmarkStart w:id="3" w:name="II"/>
      <w:r w:rsidRPr="00DC4C9F">
        <w:rPr>
          <w:rFonts w:cs="Arial"/>
          <w:b/>
          <w:bCs/>
          <w:sz w:val="28"/>
          <w:szCs w:val="28"/>
        </w:rPr>
        <w:lastRenderedPageBreak/>
        <w:t>II. Summary of Program Changes</w:t>
      </w:r>
    </w:p>
    <w:bookmarkEnd w:id="3"/>
    <w:p w:rsidR="00224A36" w:rsidRPr="00DC4C9F" w:rsidRDefault="00224A36">
      <w:pPr>
        <w:pStyle w:val="BodyText"/>
        <w:rPr>
          <w:rFonts w:cs="Arial"/>
          <w:b/>
          <w:bCs/>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1"/>
        <w:gridCol w:w="4647"/>
        <w:gridCol w:w="720"/>
        <w:gridCol w:w="720"/>
        <w:gridCol w:w="1080"/>
        <w:gridCol w:w="712"/>
      </w:tblGrid>
      <w:tr w:rsidR="002975AF" w:rsidRPr="000E2AEC" w:rsidTr="00AC4566">
        <w:trPr>
          <w:cantSplit/>
        </w:trPr>
        <w:tc>
          <w:tcPr>
            <w:tcW w:w="1761" w:type="dxa"/>
            <w:vMerge w:val="restart"/>
            <w:shd w:val="clear" w:color="auto" w:fill="E6E6E6"/>
          </w:tcPr>
          <w:p w:rsidR="002975AF" w:rsidRPr="000E2AEC" w:rsidRDefault="002975AF" w:rsidP="00AC4566">
            <w:pPr>
              <w:pStyle w:val="BodyText"/>
              <w:jc w:val="center"/>
              <w:rPr>
                <w:b/>
                <w:bCs/>
                <w:szCs w:val="24"/>
              </w:rPr>
            </w:pPr>
          </w:p>
          <w:p w:rsidR="002975AF" w:rsidRPr="000E2AEC" w:rsidRDefault="002975AF" w:rsidP="00AC4566">
            <w:pPr>
              <w:pStyle w:val="BodyText"/>
              <w:jc w:val="center"/>
              <w:rPr>
                <w:b/>
                <w:bCs/>
                <w:szCs w:val="24"/>
              </w:rPr>
            </w:pPr>
            <w:r w:rsidRPr="000E2AEC">
              <w:rPr>
                <w:b/>
                <w:bCs/>
                <w:szCs w:val="24"/>
              </w:rPr>
              <w:t>Item Name</w:t>
            </w:r>
          </w:p>
        </w:tc>
        <w:tc>
          <w:tcPr>
            <w:tcW w:w="7167" w:type="dxa"/>
            <w:gridSpan w:val="4"/>
            <w:shd w:val="clear" w:color="auto" w:fill="E6E6E6"/>
          </w:tcPr>
          <w:p w:rsidR="002975AF" w:rsidRPr="000E2AEC" w:rsidRDefault="002975AF" w:rsidP="00AC4566">
            <w:pPr>
              <w:pStyle w:val="BodyText"/>
              <w:jc w:val="center"/>
              <w:rPr>
                <w:b/>
                <w:bCs/>
                <w:szCs w:val="24"/>
              </w:rPr>
            </w:pPr>
          </w:p>
          <w:p w:rsidR="002975AF" w:rsidRPr="000E2AEC" w:rsidRDefault="002975AF" w:rsidP="00AC4566">
            <w:pPr>
              <w:pStyle w:val="BodyText"/>
              <w:jc w:val="center"/>
              <w:rPr>
                <w:b/>
                <w:bCs/>
                <w:szCs w:val="24"/>
              </w:rPr>
            </w:pPr>
            <w:r w:rsidRPr="000E2AEC">
              <w:rPr>
                <w:b/>
                <w:bCs/>
                <w:szCs w:val="24"/>
              </w:rPr>
              <w:t>Description</w:t>
            </w:r>
          </w:p>
        </w:tc>
        <w:tc>
          <w:tcPr>
            <w:tcW w:w="712" w:type="dxa"/>
            <w:vMerge w:val="restart"/>
            <w:shd w:val="clear" w:color="auto" w:fill="E6E6E6"/>
          </w:tcPr>
          <w:p w:rsidR="002975AF" w:rsidRPr="000E2AEC" w:rsidRDefault="002975AF" w:rsidP="00AC4566">
            <w:pPr>
              <w:pStyle w:val="BodyText"/>
              <w:jc w:val="center"/>
              <w:rPr>
                <w:b/>
                <w:bCs/>
                <w:szCs w:val="24"/>
              </w:rPr>
            </w:pPr>
          </w:p>
          <w:p w:rsidR="002975AF" w:rsidRPr="000E2AEC" w:rsidRDefault="002975AF" w:rsidP="00AC4566">
            <w:pPr>
              <w:pStyle w:val="BodyText"/>
              <w:jc w:val="center"/>
              <w:rPr>
                <w:b/>
                <w:bCs/>
                <w:szCs w:val="24"/>
              </w:rPr>
            </w:pPr>
            <w:r w:rsidRPr="000E2AEC">
              <w:rPr>
                <w:b/>
                <w:bCs/>
                <w:szCs w:val="24"/>
              </w:rPr>
              <w:t>Page</w:t>
            </w:r>
          </w:p>
        </w:tc>
      </w:tr>
      <w:tr w:rsidR="002975AF" w:rsidRPr="000E2AEC" w:rsidTr="00AC4566">
        <w:trPr>
          <w:cantSplit/>
        </w:trPr>
        <w:tc>
          <w:tcPr>
            <w:tcW w:w="1761" w:type="dxa"/>
            <w:vMerge/>
          </w:tcPr>
          <w:p w:rsidR="002975AF" w:rsidRPr="000E2AEC" w:rsidRDefault="002975AF" w:rsidP="00AC4566">
            <w:pPr>
              <w:pStyle w:val="BodyText"/>
              <w:jc w:val="center"/>
              <w:rPr>
                <w:b/>
                <w:bCs/>
                <w:szCs w:val="24"/>
              </w:rPr>
            </w:pPr>
          </w:p>
        </w:tc>
        <w:tc>
          <w:tcPr>
            <w:tcW w:w="4647" w:type="dxa"/>
          </w:tcPr>
          <w:p w:rsidR="002975AF" w:rsidRPr="000E2AEC" w:rsidRDefault="002975AF" w:rsidP="00AC4566">
            <w:pPr>
              <w:pStyle w:val="BodyText"/>
              <w:jc w:val="center"/>
              <w:rPr>
                <w:b/>
                <w:bCs/>
                <w:szCs w:val="24"/>
              </w:rPr>
            </w:pPr>
          </w:p>
        </w:tc>
        <w:tc>
          <w:tcPr>
            <w:tcW w:w="720" w:type="dxa"/>
            <w:shd w:val="clear" w:color="auto" w:fill="F3F3F3"/>
          </w:tcPr>
          <w:p w:rsidR="002975AF" w:rsidRPr="000E2AEC" w:rsidRDefault="002975AF" w:rsidP="00AC4566">
            <w:pPr>
              <w:pStyle w:val="BodyText"/>
              <w:jc w:val="center"/>
              <w:rPr>
                <w:b/>
                <w:bCs/>
                <w:szCs w:val="24"/>
              </w:rPr>
            </w:pPr>
          </w:p>
          <w:p w:rsidR="002975AF" w:rsidRPr="000E2AEC" w:rsidRDefault="002975AF" w:rsidP="00AC4566">
            <w:pPr>
              <w:pStyle w:val="BodyText"/>
              <w:jc w:val="center"/>
              <w:rPr>
                <w:b/>
                <w:bCs/>
                <w:szCs w:val="24"/>
              </w:rPr>
            </w:pPr>
            <w:r w:rsidRPr="000E2AEC">
              <w:rPr>
                <w:b/>
                <w:bCs/>
                <w:szCs w:val="24"/>
              </w:rPr>
              <w:t>Pos.</w:t>
            </w:r>
          </w:p>
        </w:tc>
        <w:tc>
          <w:tcPr>
            <w:tcW w:w="720" w:type="dxa"/>
            <w:shd w:val="clear" w:color="auto" w:fill="F3F3F3"/>
          </w:tcPr>
          <w:p w:rsidR="002975AF" w:rsidRPr="000E2AEC" w:rsidRDefault="002975AF" w:rsidP="00AC4566">
            <w:pPr>
              <w:pStyle w:val="BodyText"/>
              <w:jc w:val="center"/>
              <w:rPr>
                <w:b/>
                <w:bCs/>
                <w:szCs w:val="24"/>
              </w:rPr>
            </w:pPr>
          </w:p>
          <w:p w:rsidR="002975AF" w:rsidRPr="000E2AEC" w:rsidRDefault="002975AF" w:rsidP="00AC4566">
            <w:pPr>
              <w:pStyle w:val="BodyText"/>
              <w:jc w:val="center"/>
              <w:rPr>
                <w:b/>
                <w:bCs/>
                <w:szCs w:val="24"/>
              </w:rPr>
            </w:pPr>
            <w:r w:rsidRPr="000E2AEC">
              <w:rPr>
                <w:b/>
                <w:bCs/>
                <w:szCs w:val="24"/>
              </w:rPr>
              <w:t>FTE</w:t>
            </w:r>
          </w:p>
        </w:tc>
        <w:tc>
          <w:tcPr>
            <w:tcW w:w="1080" w:type="dxa"/>
            <w:shd w:val="clear" w:color="auto" w:fill="F3F3F3"/>
          </w:tcPr>
          <w:p w:rsidR="002975AF" w:rsidRPr="000E2AEC" w:rsidRDefault="002975AF" w:rsidP="00AC4566">
            <w:pPr>
              <w:pStyle w:val="BodyText"/>
              <w:jc w:val="center"/>
              <w:rPr>
                <w:b/>
                <w:bCs/>
                <w:szCs w:val="24"/>
              </w:rPr>
            </w:pPr>
            <w:r w:rsidRPr="000E2AEC">
              <w:rPr>
                <w:b/>
                <w:bCs/>
                <w:szCs w:val="24"/>
              </w:rPr>
              <w:t>Dollars ($000)</w:t>
            </w:r>
          </w:p>
        </w:tc>
        <w:tc>
          <w:tcPr>
            <w:tcW w:w="712" w:type="dxa"/>
            <w:vMerge/>
          </w:tcPr>
          <w:p w:rsidR="002975AF" w:rsidRPr="000E2AEC" w:rsidRDefault="002975AF" w:rsidP="00AC4566">
            <w:pPr>
              <w:pStyle w:val="BodyText"/>
              <w:jc w:val="center"/>
              <w:rPr>
                <w:b/>
                <w:bCs/>
                <w:szCs w:val="24"/>
              </w:rPr>
            </w:pPr>
          </w:p>
        </w:tc>
      </w:tr>
      <w:tr w:rsidR="002975AF" w:rsidRPr="000E2AEC" w:rsidTr="00AC4566">
        <w:tc>
          <w:tcPr>
            <w:tcW w:w="1761" w:type="dxa"/>
          </w:tcPr>
          <w:p w:rsidR="002975AF" w:rsidRPr="000E2AEC" w:rsidRDefault="002975AF" w:rsidP="00AC4566">
            <w:pPr>
              <w:pStyle w:val="BodyText"/>
              <w:rPr>
                <w:b/>
                <w:bCs/>
                <w:szCs w:val="24"/>
              </w:rPr>
            </w:pPr>
            <w:r>
              <w:rPr>
                <w:b/>
                <w:bCs/>
                <w:szCs w:val="24"/>
              </w:rPr>
              <w:t>Cyber Security</w:t>
            </w:r>
          </w:p>
        </w:tc>
        <w:tc>
          <w:tcPr>
            <w:tcW w:w="4647" w:type="dxa"/>
          </w:tcPr>
          <w:p w:rsidR="002975AF" w:rsidRPr="00383BF8" w:rsidRDefault="00C845DB" w:rsidP="00C745DD">
            <w:pPr>
              <w:pStyle w:val="BodyText"/>
              <w:rPr>
                <w:bCs/>
                <w:szCs w:val="24"/>
              </w:rPr>
            </w:pPr>
            <w:r w:rsidRPr="00C845DB">
              <w:t>This request will allow the Criminal Division to combat the growing and evolving cyber threat.</w:t>
            </w:r>
            <w:r>
              <w:t xml:space="preserve">  The additional resources </w:t>
            </w:r>
            <w:r w:rsidRPr="00C845DB">
              <w:t xml:space="preserve">will increase the Division’s capability in four key areas: cybercrime investigations and prosecutions; advice and advocating legal tools and authorities; international cooperation and outreach; and forensic support.  </w:t>
            </w:r>
          </w:p>
        </w:tc>
        <w:tc>
          <w:tcPr>
            <w:tcW w:w="720" w:type="dxa"/>
          </w:tcPr>
          <w:p w:rsidR="002975AF" w:rsidRPr="000E2AEC" w:rsidRDefault="002975AF" w:rsidP="00AC4566">
            <w:pPr>
              <w:pStyle w:val="BodyText"/>
              <w:jc w:val="center"/>
              <w:rPr>
                <w:b/>
                <w:bCs/>
                <w:szCs w:val="24"/>
              </w:rPr>
            </w:pPr>
            <w:r>
              <w:rPr>
                <w:b/>
                <w:bCs/>
                <w:szCs w:val="24"/>
              </w:rPr>
              <w:t>25</w:t>
            </w:r>
          </w:p>
        </w:tc>
        <w:tc>
          <w:tcPr>
            <w:tcW w:w="720" w:type="dxa"/>
          </w:tcPr>
          <w:p w:rsidR="002975AF" w:rsidRPr="000E2AEC" w:rsidRDefault="002975AF" w:rsidP="00AC4566">
            <w:pPr>
              <w:pStyle w:val="BodyText"/>
              <w:jc w:val="center"/>
              <w:rPr>
                <w:b/>
                <w:bCs/>
                <w:szCs w:val="24"/>
              </w:rPr>
            </w:pPr>
            <w:r>
              <w:rPr>
                <w:b/>
                <w:bCs/>
                <w:szCs w:val="24"/>
              </w:rPr>
              <w:t>14</w:t>
            </w:r>
          </w:p>
        </w:tc>
        <w:tc>
          <w:tcPr>
            <w:tcW w:w="1080" w:type="dxa"/>
          </w:tcPr>
          <w:p w:rsidR="002975AF" w:rsidRPr="000E2AEC" w:rsidRDefault="002975AF" w:rsidP="00AC4566">
            <w:pPr>
              <w:pStyle w:val="BodyText"/>
              <w:jc w:val="center"/>
              <w:rPr>
                <w:b/>
                <w:bCs/>
                <w:szCs w:val="24"/>
              </w:rPr>
            </w:pPr>
            <w:r>
              <w:rPr>
                <w:b/>
                <w:bCs/>
                <w:szCs w:val="24"/>
              </w:rPr>
              <w:t>$2,580</w:t>
            </w:r>
          </w:p>
        </w:tc>
        <w:tc>
          <w:tcPr>
            <w:tcW w:w="712" w:type="dxa"/>
          </w:tcPr>
          <w:p w:rsidR="002975AF" w:rsidRPr="000E2AEC" w:rsidRDefault="001336D2" w:rsidP="00AC4566">
            <w:pPr>
              <w:pStyle w:val="BodyText"/>
              <w:jc w:val="center"/>
              <w:rPr>
                <w:b/>
                <w:bCs/>
                <w:szCs w:val="24"/>
              </w:rPr>
            </w:pPr>
            <w:r>
              <w:rPr>
                <w:b/>
                <w:bCs/>
                <w:szCs w:val="24"/>
              </w:rPr>
              <w:fldChar w:fldCharType="begin"/>
            </w:r>
            <w:r w:rsidR="000A37EB">
              <w:rPr>
                <w:b/>
                <w:bCs/>
                <w:szCs w:val="24"/>
              </w:rPr>
              <w:instrText xml:space="preserve"> PAGEREF Cyber \h </w:instrText>
            </w:r>
            <w:r>
              <w:rPr>
                <w:b/>
                <w:bCs/>
                <w:szCs w:val="24"/>
              </w:rPr>
            </w:r>
            <w:r>
              <w:rPr>
                <w:b/>
                <w:bCs/>
                <w:szCs w:val="24"/>
              </w:rPr>
              <w:fldChar w:fldCharType="separate"/>
            </w:r>
            <w:r w:rsidR="001B7193">
              <w:rPr>
                <w:b/>
                <w:bCs/>
                <w:noProof/>
                <w:szCs w:val="24"/>
              </w:rPr>
              <w:t>2</w:t>
            </w:r>
            <w:r>
              <w:rPr>
                <w:b/>
                <w:bCs/>
                <w:szCs w:val="24"/>
              </w:rPr>
              <w:fldChar w:fldCharType="end"/>
            </w:r>
          </w:p>
        </w:tc>
      </w:tr>
      <w:tr w:rsidR="00A704DC" w:rsidRPr="000E2AEC" w:rsidTr="00AC4566">
        <w:tc>
          <w:tcPr>
            <w:tcW w:w="1761" w:type="dxa"/>
          </w:tcPr>
          <w:p w:rsidR="00A704DC" w:rsidRDefault="00A704DC" w:rsidP="00AC4566">
            <w:pPr>
              <w:pStyle w:val="BodyText"/>
              <w:rPr>
                <w:b/>
                <w:bCs/>
                <w:szCs w:val="24"/>
              </w:rPr>
            </w:pPr>
            <w:r>
              <w:rPr>
                <w:b/>
                <w:bCs/>
                <w:szCs w:val="24"/>
              </w:rPr>
              <w:t>Financial and Mortgage Fraud</w:t>
            </w:r>
          </w:p>
        </w:tc>
        <w:tc>
          <w:tcPr>
            <w:tcW w:w="4647" w:type="dxa"/>
          </w:tcPr>
          <w:p w:rsidR="00A704DC" w:rsidRPr="00C845DB" w:rsidRDefault="000C002F" w:rsidP="000C002F">
            <w:pPr>
              <w:pStyle w:val="BodyText"/>
            </w:pPr>
            <w:r>
              <w:t xml:space="preserve">These additional </w:t>
            </w:r>
            <w:r w:rsidRPr="000C002F">
              <w:t>resources</w:t>
            </w:r>
            <w:r>
              <w:t xml:space="preserve"> will be used by the Criminal Division</w:t>
            </w:r>
            <w:r w:rsidRPr="000C002F">
              <w:t xml:space="preserve"> to prosecute the most significant financial and mortgage fraud cases, coordinate multi-district financial and mortgage fraud cases, and assist U.S. Attorneys Offices (USAOs) in mortgage fraud cases with significant money laundering and asset forfeiture components.</w:t>
            </w:r>
            <w:r>
              <w:rPr>
                <w:color w:val="1F497D"/>
              </w:rPr>
              <w:t xml:space="preserve">   </w:t>
            </w:r>
          </w:p>
        </w:tc>
        <w:tc>
          <w:tcPr>
            <w:tcW w:w="720" w:type="dxa"/>
          </w:tcPr>
          <w:p w:rsidR="00A704DC" w:rsidRDefault="00A704DC" w:rsidP="00AC4566">
            <w:pPr>
              <w:pStyle w:val="BodyText"/>
              <w:jc w:val="center"/>
              <w:rPr>
                <w:b/>
                <w:bCs/>
                <w:szCs w:val="24"/>
              </w:rPr>
            </w:pPr>
            <w:r>
              <w:rPr>
                <w:b/>
                <w:bCs/>
                <w:szCs w:val="24"/>
              </w:rPr>
              <w:t>28</w:t>
            </w:r>
          </w:p>
        </w:tc>
        <w:tc>
          <w:tcPr>
            <w:tcW w:w="720" w:type="dxa"/>
          </w:tcPr>
          <w:p w:rsidR="00A704DC" w:rsidRDefault="00A704DC" w:rsidP="00AC4566">
            <w:pPr>
              <w:pStyle w:val="BodyText"/>
              <w:jc w:val="center"/>
              <w:rPr>
                <w:b/>
                <w:bCs/>
                <w:szCs w:val="24"/>
              </w:rPr>
            </w:pPr>
            <w:r>
              <w:rPr>
                <w:b/>
                <w:bCs/>
                <w:szCs w:val="24"/>
              </w:rPr>
              <w:t>14</w:t>
            </w:r>
          </w:p>
        </w:tc>
        <w:tc>
          <w:tcPr>
            <w:tcW w:w="1080" w:type="dxa"/>
          </w:tcPr>
          <w:p w:rsidR="00A704DC" w:rsidRDefault="00A704DC" w:rsidP="00AC4566">
            <w:pPr>
              <w:pStyle w:val="BodyText"/>
              <w:jc w:val="center"/>
              <w:rPr>
                <w:b/>
                <w:bCs/>
                <w:szCs w:val="24"/>
              </w:rPr>
            </w:pPr>
            <w:r>
              <w:rPr>
                <w:b/>
                <w:bCs/>
                <w:szCs w:val="24"/>
              </w:rPr>
              <w:t>$5,000</w:t>
            </w:r>
          </w:p>
        </w:tc>
        <w:tc>
          <w:tcPr>
            <w:tcW w:w="712" w:type="dxa"/>
          </w:tcPr>
          <w:p w:rsidR="00A704DC" w:rsidRDefault="001336D2" w:rsidP="00AC4566">
            <w:pPr>
              <w:pStyle w:val="BodyText"/>
              <w:jc w:val="center"/>
              <w:rPr>
                <w:b/>
                <w:bCs/>
                <w:szCs w:val="24"/>
              </w:rPr>
            </w:pPr>
            <w:r>
              <w:rPr>
                <w:b/>
                <w:bCs/>
                <w:szCs w:val="24"/>
              </w:rPr>
              <w:fldChar w:fldCharType="begin"/>
            </w:r>
            <w:r w:rsidR="000A37EB">
              <w:rPr>
                <w:b/>
                <w:bCs/>
                <w:szCs w:val="24"/>
              </w:rPr>
              <w:instrText xml:space="preserve"> PAGEREF FMortFrd \h </w:instrText>
            </w:r>
            <w:r>
              <w:rPr>
                <w:b/>
                <w:bCs/>
                <w:szCs w:val="24"/>
              </w:rPr>
            </w:r>
            <w:r>
              <w:rPr>
                <w:b/>
                <w:bCs/>
                <w:szCs w:val="24"/>
              </w:rPr>
              <w:fldChar w:fldCharType="separate"/>
            </w:r>
            <w:r w:rsidR="001B7193">
              <w:rPr>
                <w:b/>
                <w:bCs/>
                <w:noProof/>
                <w:szCs w:val="24"/>
              </w:rPr>
              <w:t>2</w:t>
            </w:r>
            <w:r>
              <w:rPr>
                <w:b/>
                <w:bCs/>
                <w:szCs w:val="24"/>
              </w:rPr>
              <w:fldChar w:fldCharType="end"/>
            </w:r>
          </w:p>
        </w:tc>
      </w:tr>
      <w:tr w:rsidR="00A704DC" w:rsidRPr="000E2AEC" w:rsidTr="00AC4566">
        <w:tc>
          <w:tcPr>
            <w:tcW w:w="1761" w:type="dxa"/>
          </w:tcPr>
          <w:p w:rsidR="00A704DC" w:rsidRDefault="00A704DC" w:rsidP="00AC4566">
            <w:pPr>
              <w:pStyle w:val="BodyText"/>
              <w:rPr>
                <w:b/>
                <w:bCs/>
                <w:szCs w:val="24"/>
              </w:rPr>
            </w:pPr>
            <w:r>
              <w:rPr>
                <w:b/>
                <w:bCs/>
                <w:szCs w:val="24"/>
              </w:rPr>
              <w:t>Intellectual Property</w:t>
            </w:r>
          </w:p>
        </w:tc>
        <w:tc>
          <w:tcPr>
            <w:tcW w:w="4647" w:type="dxa"/>
          </w:tcPr>
          <w:p w:rsidR="00A704DC" w:rsidRPr="00C845DB" w:rsidRDefault="00724102" w:rsidP="00724102">
            <w:r>
              <w:t xml:space="preserve">This request would help the Criminal Division to better combat the increasing threat of transnational intellectual property crime. </w:t>
            </w:r>
            <w:r w:rsidR="009A72AE">
              <w:t xml:space="preserve"> </w:t>
            </w:r>
            <w:r>
              <w:t xml:space="preserve">The additional resources will be used to place </w:t>
            </w:r>
            <w:r w:rsidR="00A704DC">
              <w:t>four</w:t>
            </w:r>
            <w:r w:rsidR="00A704DC" w:rsidRPr="00534DCF">
              <w:t xml:space="preserve"> DOJ Attachés overseas </w:t>
            </w:r>
            <w:r>
              <w:t xml:space="preserve">that </w:t>
            </w:r>
            <w:r w:rsidR="00A704DC" w:rsidRPr="00534DCF">
              <w:t>will serve as regional International Computer Hacking and Intellectual Property coordinators (ICHIPs</w:t>
            </w:r>
            <w:r w:rsidRPr="00534DCF">
              <w:t>).</w:t>
            </w:r>
            <w:r>
              <w:t xml:space="preserve">  A</w:t>
            </w:r>
            <w:r w:rsidR="00A704DC">
              <w:t xml:space="preserve"> portion of this enhancement </w:t>
            </w:r>
            <w:r>
              <w:t xml:space="preserve">also </w:t>
            </w:r>
            <w:proofErr w:type="gramStart"/>
            <w:r>
              <w:t>be</w:t>
            </w:r>
            <w:proofErr w:type="gramEnd"/>
            <w:r>
              <w:t xml:space="preserve"> </w:t>
            </w:r>
            <w:r w:rsidR="00A704DC">
              <w:t xml:space="preserve">used to increase the capacity of the Division’s domestic IP program to provide critical support to the ICHIP/Attachés and ensure the </w:t>
            </w:r>
            <w:r w:rsidR="00A704DC" w:rsidRPr="00E5605B">
              <w:t>coordinated use of ICHIP resources overseas.</w:t>
            </w:r>
            <w:r w:rsidR="00A704DC">
              <w:t xml:space="preserve">  </w:t>
            </w:r>
          </w:p>
        </w:tc>
        <w:tc>
          <w:tcPr>
            <w:tcW w:w="720" w:type="dxa"/>
          </w:tcPr>
          <w:p w:rsidR="00A704DC" w:rsidRDefault="00A704DC" w:rsidP="00AC4566">
            <w:pPr>
              <w:pStyle w:val="BodyText"/>
              <w:jc w:val="center"/>
              <w:rPr>
                <w:b/>
                <w:bCs/>
                <w:szCs w:val="24"/>
              </w:rPr>
            </w:pPr>
            <w:r>
              <w:rPr>
                <w:b/>
                <w:bCs/>
                <w:szCs w:val="24"/>
              </w:rPr>
              <w:t>11</w:t>
            </w:r>
          </w:p>
        </w:tc>
        <w:tc>
          <w:tcPr>
            <w:tcW w:w="720" w:type="dxa"/>
          </w:tcPr>
          <w:p w:rsidR="00A704DC" w:rsidRDefault="00A704DC" w:rsidP="00AC4566">
            <w:pPr>
              <w:pStyle w:val="BodyText"/>
              <w:jc w:val="center"/>
              <w:rPr>
                <w:b/>
                <w:bCs/>
                <w:szCs w:val="24"/>
              </w:rPr>
            </w:pPr>
            <w:r>
              <w:rPr>
                <w:b/>
                <w:bCs/>
                <w:szCs w:val="24"/>
              </w:rPr>
              <w:t>6</w:t>
            </w:r>
          </w:p>
        </w:tc>
        <w:tc>
          <w:tcPr>
            <w:tcW w:w="1080" w:type="dxa"/>
          </w:tcPr>
          <w:p w:rsidR="00A704DC" w:rsidRDefault="00A704DC" w:rsidP="00AC4566">
            <w:pPr>
              <w:pStyle w:val="BodyText"/>
              <w:jc w:val="center"/>
              <w:rPr>
                <w:b/>
                <w:bCs/>
                <w:szCs w:val="24"/>
              </w:rPr>
            </w:pPr>
            <w:r>
              <w:rPr>
                <w:b/>
                <w:bCs/>
                <w:szCs w:val="24"/>
              </w:rPr>
              <w:t>$3,500</w:t>
            </w:r>
          </w:p>
        </w:tc>
        <w:tc>
          <w:tcPr>
            <w:tcW w:w="712" w:type="dxa"/>
          </w:tcPr>
          <w:p w:rsidR="00A704DC" w:rsidRDefault="001336D2" w:rsidP="00AC4566">
            <w:pPr>
              <w:pStyle w:val="BodyText"/>
              <w:jc w:val="center"/>
              <w:rPr>
                <w:b/>
                <w:bCs/>
                <w:szCs w:val="24"/>
              </w:rPr>
            </w:pPr>
            <w:r>
              <w:rPr>
                <w:b/>
                <w:bCs/>
                <w:szCs w:val="24"/>
              </w:rPr>
              <w:fldChar w:fldCharType="begin"/>
            </w:r>
            <w:r w:rsidR="000A37EB">
              <w:rPr>
                <w:b/>
                <w:bCs/>
                <w:szCs w:val="24"/>
              </w:rPr>
              <w:instrText xml:space="preserve"> PAGEREF IPE \h </w:instrText>
            </w:r>
            <w:r>
              <w:rPr>
                <w:b/>
                <w:bCs/>
                <w:szCs w:val="24"/>
              </w:rPr>
            </w:r>
            <w:r>
              <w:rPr>
                <w:b/>
                <w:bCs/>
                <w:szCs w:val="24"/>
              </w:rPr>
              <w:fldChar w:fldCharType="separate"/>
            </w:r>
            <w:r w:rsidR="001B7193">
              <w:rPr>
                <w:b/>
                <w:bCs/>
                <w:noProof/>
                <w:szCs w:val="24"/>
              </w:rPr>
              <w:t>2</w:t>
            </w:r>
            <w:r>
              <w:rPr>
                <w:b/>
                <w:bCs/>
                <w:szCs w:val="24"/>
              </w:rPr>
              <w:fldChar w:fldCharType="end"/>
            </w:r>
          </w:p>
        </w:tc>
      </w:tr>
    </w:tbl>
    <w:p w:rsidR="00224A36" w:rsidRPr="002975AF" w:rsidRDefault="00224A36">
      <w:pPr>
        <w:pStyle w:val="BodyText"/>
        <w:rPr>
          <w:rFonts w:cs="Arial"/>
          <w:bCs/>
          <w:iCs/>
        </w:rPr>
      </w:pPr>
    </w:p>
    <w:p w:rsidR="00224A36" w:rsidRPr="00DC4C9F" w:rsidRDefault="00224A36">
      <w:pPr>
        <w:pStyle w:val="BodyText"/>
        <w:rPr>
          <w:rFonts w:cs="Arial"/>
          <w:b/>
          <w:bCs/>
          <w:i/>
          <w:iCs/>
        </w:rPr>
      </w:pPr>
    </w:p>
    <w:p w:rsidR="00BD7466" w:rsidRPr="00DC4C9F" w:rsidRDefault="00CF44BE" w:rsidP="00BD7466">
      <w:pPr>
        <w:pStyle w:val="BodyText"/>
        <w:rPr>
          <w:rFonts w:cs="Arial"/>
          <w:b/>
          <w:bCs/>
          <w:sz w:val="28"/>
          <w:szCs w:val="28"/>
        </w:rPr>
      </w:pPr>
      <w:bookmarkStart w:id="4" w:name="III"/>
      <w:bookmarkStart w:id="5" w:name="OLE_LINK5"/>
      <w:bookmarkStart w:id="6" w:name="OLE_LINK6"/>
      <w:r w:rsidRPr="00DC4C9F">
        <w:rPr>
          <w:rFonts w:cs="Arial"/>
          <w:b/>
          <w:bCs/>
          <w:sz w:val="28"/>
          <w:szCs w:val="28"/>
        </w:rPr>
        <w:t>I</w:t>
      </w:r>
      <w:r w:rsidR="006C689E" w:rsidRPr="00DC4C9F">
        <w:rPr>
          <w:rFonts w:cs="Arial"/>
          <w:b/>
          <w:bCs/>
          <w:sz w:val="28"/>
          <w:szCs w:val="28"/>
        </w:rPr>
        <w:t>II</w:t>
      </w:r>
      <w:r w:rsidR="00B1486E" w:rsidRPr="00DC4C9F">
        <w:rPr>
          <w:rFonts w:cs="Arial"/>
          <w:b/>
          <w:bCs/>
          <w:sz w:val="28"/>
          <w:szCs w:val="28"/>
        </w:rPr>
        <w:t xml:space="preserve">. </w:t>
      </w:r>
      <w:r w:rsidR="00BD7466" w:rsidRPr="00DC4C9F">
        <w:rPr>
          <w:rFonts w:cs="Arial"/>
          <w:b/>
          <w:bCs/>
          <w:sz w:val="28"/>
          <w:szCs w:val="28"/>
        </w:rPr>
        <w:t>Appropriation</w:t>
      </w:r>
      <w:r w:rsidR="00FF5D2F" w:rsidRPr="00DC4C9F">
        <w:rPr>
          <w:rFonts w:cs="Arial"/>
          <w:b/>
          <w:bCs/>
          <w:sz w:val="28"/>
          <w:szCs w:val="28"/>
        </w:rPr>
        <w:t>s</w:t>
      </w:r>
      <w:r w:rsidR="00BD7466" w:rsidRPr="00DC4C9F">
        <w:rPr>
          <w:rFonts w:cs="Arial"/>
          <w:b/>
          <w:bCs/>
          <w:sz w:val="28"/>
          <w:szCs w:val="28"/>
        </w:rPr>
        <w:t xml:space="preserve"> Language and Analysis of Appropriation</w:t>
      </w:r>
      <w:r w:rsidR="00FF5D2F" w:rsidRPr="00DC4C9F">
        <w:rPr>
          <w:rFonts w:cs="Arial"/>
          <w:b/>
          <w:bCs/>
          <w:sz w:val="28"/>
          <w:szCs w:val="28"/>
        </w:rPr>
        <w:t>s</w:t>
      </w:r>
      <w:r w:rsidR="00BD7466" w:rsidRPr="00DC4C9F">
        <w:rPr>
          <w:rFonts w:cs="Arial"/>
          <w:b/>
          <w:bCs/>
          <w:sz w:val="28"/>
          <w:szCs w:val="28"/>
        </w:rPr>
        <w:t xml:space="preserve"> Language</w:t>
      </w:r>
    </w:p>
    <w:bookmarkEnd w:id="4"/>
    <w:p w:rsidR="00BD7466" w:rsidRPr="00DC4C9F" w:rsidRDefault="00BD7466" w:rsidP="00BD7466">
      <w:pPr>
        <w:pStyle w:val="BodyText"/>
        <w:rPr>
          <w:rFonts w:cs="Arial"/>
          <w:b/>
          <w:bCs/>
        </w:rPr>
      </w:pPr>
    </w:p>
    <w:bookmarkEnd w:id="5"/>
    <w:bookmarkEnd w:id="6"/>
    <w:p w:rsidR="00224A36" w:rsidRPr="00DC4C9F" w:rsidRDefault="00B42743" w:rsidP="003B6AC9">
      <w:pPr>
        <w:pStyle w:val="BodyText"/>
        <w:rPr>
          <w:rFonts w:cs="Arial"/>
          <w:b/>
          <w:bCs/>
          <w:sz w:val="28"/>
          <w:szCs w:val="28"/>
        </w:rPr>
      </w:pPr>
      <w:r w:rsidRPr="00B42743">
        <w:rPr>
          <w:rFonts w:cs="Arial"/>
          <w:b/>
          <w:bCs/>
          <w:i/>
        </w:rPr>
        <w:t>No changes to appropriations language.</w:t>
      </w:r>
      <w:r w:rsidR="00224A36" w:rsidRPr="00DC4C9F">
        <w:rPr>
          <w:rFonts w:cs="Arial"/>
          <w:b/>
          <w:bCs/>
        </w:rPr>
        <w:br w:type="page"/>
      </w:r>
      <w:bookmarkStart w:id="7" w:name="IV"/>
      <w:r w:rsidR="00BD7466" w:rsidRPr="00DC4C9F">
        <w:rPr>
          <w:rFonts w:cs="Arial"/>
          <w:b/>
          <w:bCs/>
          <w:sz w:val="28"/>
          <w:szCs w:val="28"/>
        </w:rPr>
        <w:lastRenderedPageBreak/>
        <w:t>IV</w:t>
      </w:r>
      <w:r w:rsidR="00224A36" w:rsidRPr="00DC4C9F">
        <w:rPr>
          <w:rFonts w:cs="Arial"/>
          <w:b/>
          <w:bCs/>
          <w:sz w:val="28"/>
          <w:szCs w:val="28"/>
        </w:rPr>
        <w:t>. Decision Unit Justification</w:t>
      </w:r>
      <w:bookmarkEnd w:id="7"/>
    </w:p>
    <w:p w:rsidR="00224A36" w:rsidRPr="00DC4C9F" w:rsidRDefault="00224A36">
      <w:pPr>
        <w:pStyle w:val="BodyText"/>
        <w:rPr>
          <w:rFonts w:cs="Arial"/>
          <w:b/>
          <w:bCs/>
        </w:rPr>
      </w:pPr>
    </w:p>
    <w:p w:rsidR="00224A36" w:rsidRPr="00DC4C9F" w:rsidRDefault="00224A36">
      <w:pPr>
        <w:pStyle w:val="BodyText"/>
        <w:rPr>
          <w:rFonts w:cs="Arial"/>
          <w:b/>
          <w:bCs/>
        </w:rPr>
      </w:pPr>
      <w:r w:rsidRPr="00DC4C9F">
        <w:rPr>
          <w:rFonts w:cs="Arial"/>
          <w:b/>
          <w:bCs/>
        </w:rPr>
        <w:t xml:space="preserve">A. </w:t>
      </w:r>
      <w:r w:rsidR="001B7193">
        <w:rPr>
          <w:rFonts w:cs="Arial"/>
          <w:b/>
          <w:bCs/>
        </w:rPr>
        <w:t xml:space="preserve"> </w:t>
      </w:r>
      <w:r w:rsidR="00540F69">
        <w:rPr>
          <w:rFonts w:cs="Arial"/>
          <w:b/>
          <w:bCs/>
          <w:i/>
          <w:iCs/>
        </w:rPr>
        <w:t>Enforcing Federal Criminal Laws</w:t>
      </w:r>
      <w:r w:rsidRPr="00DC4C9F">
        <w:rPr>
          <w:rFonts w:cs="Arial"/>
          <w:b/>
          <w:bCs/>
        </w:rPr>
        <w:tab/>
      </w:r>
      <w:r w:rsidRPr="00DC4C9F">
        <w:rPr>
          <w:rFonts w:cs="Arial"/>
          <w:b/>
          <w:bCs/>
        </w:rPr>
        <w:tab/>
      </w:r>
    </w:p>
    <w:p w:rsidR="00224A36" w:rsidRPr="00DC4C9F" w:rsidRDefault="00224A36">
      <w:pPr>
        <w:pStyle w:val="Title"/>
        <w:rPr>
          <w:b w:val="0"/>
          <w:bCs/>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1470"/>
        <w:gridCol w:w="1470"/>
        <w:gridCol w:w="1470"/>
      </w:tblGrid>
      <w:tr w:rsidR="00224A36" w:rsidRPr="00DC4C9F" w:rsidTr="00CB070C">
        <w:tc>
          <w:tcPr>
            <w:tcW w:w="4968" w:type="dxa"/>
          </w:tcPr>
          <w:p w:rsidR="00224A36" w:rsidRPr="00DC4C9F" w:rsidRDefault="00540F69">
            <w:pPr>
              <w:pStyle w:val="Title"/>
              <w:ind w:left="0"/>
              <w:jc w:val="left"/>
              <w:rPr>
                <w:iCs/>
              </w:rPr>
            </w:pPr>
            <w:r>
              <w:rPr>
                <w:iCs/>
              </w:rPr>
              <w:t>Enforcing Federal Criminal Laws</w:t>
            </w:r>
          </w:p>
        </w:tc>
        <w:tc>
          <w:tcPr>
            <w:tcW w:w="1470" w:type="dxa"/>
          </w:tcPr>
          <w:p w:rsidR="00224A36" w:rsidRPr="00DC4C9F" w:rsidRDefault="00224A36">
            <w:pPr>
              <w:pStyle w:val="Title"/>
              <w:ind w:left="0"/>
              <w:rPr>
                <w:i w:val="0"/>
              </w:rPr>
            </w:pPr>
            <w:r w:rsidRPr="00DC4C9F">
              <w:rPr>
                <w:i w:val="0"/>
              </w:rPr>
              <w:t xml:space="preserve">Perm. </w:t>
            </w:r>
            <w:proofErr w:type="gramStart"/>
            <w:r w:rsidRPr="00DC4C9F">
              <w:rPr>
                <w:i w:val="0"/>
              </w:rPr>
              <w:t>Pos.</w:t>
            </w:r>
            <w:proofErr w:type="gramEnd"/>
          </w:p>
        </w:tc>
        <w:tc>
          <w:tcPr>
            <w:tcW w:w="1470" w:type="dxa"/>
          </w:tcPr>
          <w:p w:rsidR="00224A36" w:rsidRPr="00DC4C9F" w:rsidRDefault="00224A36">
            <w:pPr>
              <w:pStyle w:val="Title"/>
              <w:ind w:left="0"/>
              <w:rPr>
                <w:i w:val="0"/>
              </w:rPr>
            </w:pPr>
            <w:r w:rsidRPr="00DC4C9F">
              <w:rPr>
                <w:i w:val="0"/>
              </w:rPr>
              <w:t>FTE</w:t>
            </w:r>
          </w:p>
        </w:tc>
        <w:tc>
          <w:tcPr>
            <w:tcW w:w="1470" w:type="dxa"/>
          </w:tcPr>
          <w:p w:rsidR="00224A36" w:rsidRPr="00DC4C9F" w:rsidRDefault="00224A36">
            <w:pPr>
              <w:pStyle w:val="Title"/>
              <w:ind w:left="0"/>
              <w:rPr>
                <w:i w:val="0"/>
              </w:rPr>
            </w:pPr>
            <w:r w:rsidRPr="00DC4C9F">
              <w:rPr>
                <w:i w:val="0"/>
              </w:rPr>
              <w:t>Amount</w:t>
            </w:r>
          </w:p>
        </w:tc>
      </w:tr>
      <w:tr w:rsidR="00224A36" w:rsidRPr="00DC4C9F" w:rsidTr="00CB070C">
        <w:tc>
          <w:tcPr>
            <w:tcW w:w="4968" w:type="dxa"/>
          </w:tcPr>
          <w:p w:rsidR="00224A36" w:rsidRPr="00DC4C9F" w:rsidRDefault="00670357" w:rsidP="003B6AC9">
            <w:pPr>
              <w:pStyle w:val="Title"/>
              <w:ind w:left="0"/>
              <w:jc w:val="left"/>
              <w:rPr>
                <w:b w:val="0"/>
                <w:bCs/>
                <w:i w:val="0"/>
              </w:rPr>
            </w:pPr>
            <w:r w:rsidRPr="00DC4C9F">
              <w:rPr>
                <w:b w:val="0"/>
                <w:bCs/>
                <w:i w:val="0"/>
              </w:rPr>
              <w:t>20</w:t>
            </w:r>
            <w:r w:rsidR="00CC1EF3" w:rsidRPr="00DC4C9F">
              <w:rPr>
                <w:b w:val="0"/>
                <w:bCs/>
                <w:i w:val="0"/>
              </w:rPr>
              <w:t>1</w:t>
            </w:r>
            <w:r w:rsidR="00F200A4">
              <w:rPr>
                <w:b w:val="0"/>
                <w:bCs/>
                <w:i w:val="0"/>
              </w:rPr>
              <w:t>2</w:t>
            </w:r>
            <w:r w:rsidR="00224A36" w:rsidRPr="00DC4C9F">
              <w:rPr>
                <w:b w:val="0"/>
                <w:bCs/>
                <w:i w:val="0"/>
              </w:rPr>
              <w:t xml:space="preserve"> Enacted </w:t>
            </w:r>
          </w:p>
        </w:tc>
        <w:tc>
          <w:tcPr>
            <w:tcW w:w="1470" w:type="dxa"/>
            <w:vAlign w:val="center"/>
          </w:tcPr>
          <w:p w:rsidR="00224A36" w:rsidRPr="00DC4C9F" w:rsidRDefault="00A077A3">
            <w:pPr>
              <w:pStyle w:val="Title"/>
              <w:ind w:left="0"/>
              <w:jc w:val="right"/>
              <w:rPr>
                <w:b w:val="0"/>
                <w:bCs/>
                <w:i w:val="0"/>
              </w:rPr>
            </w:pPr>
            <w:r>
              <w:rPr>
                <w:b w:val="0"/>
                <w:bCs/>
                <w:i w:val="0"/>
              </w:rPr>
              <w:t>751</w:t>
            </w:r>
          </w:p>
        </w:tc>
        <w:tc>
          <w:tcPr>
            <w:tcW w:w="1470" w:type="dxa"/>
            <w:vAlign w:val="center"/>
          </w:tcPr>
          <w:p w:rsidR="00224A36" w:rsidRPr="00DC4C9F" w:rsidRDefault="009A6A8F">
            <w:pPr>
              <w:pStyle w:val="Title"/>
              <w:ind w:left="0"/>
              <w:jc w:val="right"/>
              <w:rPr>
                <w:b w:val="0"/>
                <w:bCs/>
                <w:i w:val="0"/>
              </w:rPr>
            </w:pPr>
            <w:r>
              <w:rPr>
                <w:b w:val="0"/>
                <w:bCs/>
                <w:i w:val="0"/>
              </w:rPr>
              <w:t>748</w:t>
            </w:r>
          </w:p>
        </w:tc>
        <w:tc>
          <w:tcPr>
            <w:tcW w:w="1470" w:type="dxa"/>
            <w:vAlign w:val="center"/>
          </w:tcPr>
          <w:p w:rsidR="00224A36" w:rsidRPr="00DC4C9F" w:rsidRDefault="00A077A3">
            <w:pPr>
              <w:pStyle w:val="Title"/>
              <w:ind w:left="0"/>
              <w:jc w:val="right"/>
              <w:rPr>
                <w:b w:val="0"/>
                <w:bCs/>
                <w:i w:val="0"/>
              </w:rPr>
            </w:pPr>
            <w:r>
              <w:rPr>
                <w:b w:val="0"/>
                <w:bCs/>
                <w:i w:val="0"/>
              </w:rPr>
              <w:t>$174,000</w:t>
            </w:r>
          </w:p>
        </w:tc>
      </w:tr>
      <w:tr w:rsidR="00AC2C96" w:rsidRPr="00DC4C9F" w:rsidTr="00CB070C">
        <w:tc>
          <w:tcPr>
            <w:tcW w:w="4968" w:type="dxa"/>
          </w:tcPr>
          <w:p w:rsidR="00AC2C96" w:rsidRPr="00DC4C9F" w:rsidRDefault="00A077A3" w:rsidP="00A077A3">
            <w:pPr>
              <w:pStyle w:val="Title"/>
              <w:ind w:left="0"/>
              <w:jc w:val="left"/>
              <w:rPr>
                <w:b w:val="0"/>
                <w:bCs/>
                <w:i w:val="0"/>
              </w:rPr>
            </w:pPr>
            <w:bookmarkStart w:id="8" w:name="_Hlk131234810"/>
            <w:r>
              <w:rPr>
                <w:b w:val="0"/>
                <w:bCs/>
                <w:i w:val="0"/>
              </w:rPr>
              <w:t>2013 Continuing Resolution</w:t>
            </w:r>
          </w:p>
        </w:tc>
        <w:tc>
          <w:tcPr>
            <w:tcW w:w="1470" w:type="dxa"/>
            <w:vAlign w:val="center"/>
          </w:tcPr>
          <w:p w:rsidR="00AC2C96" w:rsidRPr="00DC4C9F" w:rsidRDefault="00A077A3">
            <w:pPr>
              <w:pStyle w:val="Title"/>
              <w:ind w:left="0"/>
              <w:jc w:val="right"/>
              <w:rPr>
                <w:b w:val="0"/>
                <w:bCs/>
                <w:i w:val="0"/>
              </w:rPr>
            </w:pPr>
            <w:r>
              <w:rPr>
                <w:b w:val="0"/>
                <w:bCs/>
                <w:i w:val="0"/>
              </w:rPr>
              <w:t>751</w:t>
            </w:r>
          </w:p>
        </w:tc>
        <w:tc>
          <w:tcPr>
            <w:tcW w:w="1470" w:type="dxa"/>
            <w:vAlign w:val="center"/>
          </w:tcPr>
          <w:p w:rsidR="00AC2C96" w:rsidRPr="00DC4C9F" w:rsidRDefault="00A077A3">
            <w:pPr>
              <w:pStyle w:val="Title"/>
              <w:ind w:left="0"/>
              <w:jc w:val="right"/>
              <w:rPr>
                <w:b w:val="0"/>
                <w:bCs/>
                <w:i w:val="0"/>
              </w:rPr>
            </w:pPr>
            <w:r>
              <w:rPr>
                <w:b w:val="0"/>
                <w:bCs/>
                <w:i w:val="0"/>
              </w:rPr>
              <w:t>670</w:t>
            </w:r>
          </w:p>
        </w:tc>
        <w:tc>
          <w:tcPr>
            <w:tcW w:w="1470" w:type="dxa"/>
            <w:vAlign w:val="center"/>
          </w:tcPr>
          <w:p w:rsidR="00AC2C96" w:rsidRPr="00DC4C9F" w:rsidRDefault="00A077A3">
            <w:pPr>
              <w:pStyle w:val="Title"/>
              <w:ind w:left="0"/>
              <w:jc w:val="right"/>
              <w:rPr>
                <w:b w:val="0"/>
                <w:bCs/>
                <w:i w:val="0"/>
              </w:rPr>
            </w:pPr>
            <w:r>
              <w:rPr>
                <w:b w:val="0"/>
                <w:bCs/>
                <w:i w:val="0"/>
              </w:rPr>
              <w:t>$174,000</w:t>
            </w:r>
          </w:p>
        </w:tc>
      </w:tr>
      <w:tr w:rsidR="00AC2C96" w:rsidRPr="00DC4C9F" w:rsidTr="00CB070C">
        <w:tc>
          <w:tcPr>
            <w:tcW w:w="4968" w:type="dxa"/>
          </w:tcPr>
          <w:p w:rsidR="00AC2C96" w:rsidRPr="00DC4C9F" w:rsidRDefault="00670357" w:rsidP="003B6AC9">
            <w:pPr>
              <w:pStyle w:val="Title"/>
              <w:ind w:left="0"/>
              <w:jc w:val="left"/>
              <w:rPr>
                <w:b w:val="0"/>
                <w:bCs/>
                <w:i w:val="0"/>
              </w:rPr>
            </w:pPr>
            <w:r w:rsidRPr="00DC4C9F">
              <w:rPr>
                <w:b w:val="0"/>
                <w:bCs/>
                <w:i w:val="0"/>
              </w:rPr>
              <w:t>20</w:t>
            </w:r>
            <w:r w:rsidR="00A077A3">
              <w:rPr>
                <w:b w:val="0"/>
                <w:bCs/>
                <w:i w:val="0"/>
              </w:rPr>
              <w:t>13 Continuing Resolution 0.612% Increase</w:t>
            </w:r>
          </w:p>
        </w:tc>
        <w:tc>
          <w:tcPr>
            <w:tcW w:w="1470" w:type="dxa"/>
            <w:vAlign w:val="center"/>
          </w:tcPr>
          <w:p w:rsidR="00AC2C96" w:rsidRPr="00DC4C9F" w:rsidRDefault="00AC2C96">
            <w:pPr>
              <w:pStyle w:val="Title"/>
              <w:ind w:left="0"/>
              <w:jc w:val="right"/>
              <w:rPr>
                <w:b w:val="0"/>
                <w:bCs/>
                <w:i w:val="0"/>
              </w:rPr>
            </w:pPr>
          </w:p>
        </w:tc>
        <w:tc>
          <w:tcPr>
            <w:tcW w:w="1470" w:type="dxa"/>
            <w:vAlign w:val="center"/>
          </w:tcPr>
          <w:p w:rsidR="00AC2C96" w:rsidRPr="00DC4C9F" w:rsidRDefault="00AC2C96">
            <w:pPr>
              <w:pStyle w:val="Title"/>
              <w:ind w:left="0"/>
              <w:jc w:val="right"/>
              <w:rPr>
                <w:b w:val="0"/>
                <w:bCs/>
                <w:i w:val="0"/>
              </w:rPr>
            </w:pPr>
          </w:p>
        </w:tc>
        <w:tc>
          <w:tcPr>
            <w:tcW w:w="1470" w:type="dxa"/>
            <w:vAlign w:val="center"/>
          </w:tcPr>
          <w:p w:rsidR="00AC2C96" w:rsidRPr="00DC4C9F" w:rsidRDefault="00A077A3">
            <w:pPr>
              <w:pStyle w:val="Title"/>
              <w:ind w:left="0"/>
              <w:jc w:val="right"/>
              <w:rPr>
                <w:b w:val="0"/>
                <w:bCs/>
                <w:i w:val="0"/>
              </w:rPr>
            </w:pPr>
            <w:r>
              <w:rPr>
                <w:b w:val="0"/>
                <w:bCs/>
                <w:i w:val="0"/>
              </w:rPr>
              <w:t>$1,065</w:t>
            </w:r>
          </w:p>
        </w:tc>
      </w:tr>
      <w:bookmarkEnd w:id="8"/>
      <w:tr w:rsidR="00224A36" w:rsidRPr="00DC4C9F" w:rsidTr="00CB070C">
        <w:tc>
          <w:tcPr>
            <w:tcW w:w="4968" w:type="dxa"/>
          </w:tcPr>
          <w:p w:rsidR="00224A36" w:rsidRPr="00DC4C9F" w:rsidRDefault="00224A36">
            <w:pPr>
              <w:pStyle w:val="Title"/>
              <w:ind w:left="0"/>
              <w:jc w:val="left"/>
              <w:rPr>
                <w:b w:val="0"/>
                <w:bCs/>
                <w:i w:val="0"/>
              </w:rPr>
            </w:pPr>
            <w:r w:rsidRPr="00DC4C9F">
              <w:rPr>
                <w:b w:val="0"/>
                <w:bCs/>
                <w:i w:val="0"/>
              </w:rPr>
              <w:t>Base</w:t>
            </w:r>
            <w:r w:rsidR="00AC2C96" w:rsidRPr="00DC4C9F">
              <w:rPr>
                <w:b w:val="0"/>
                <w:bCs/>
                <w:i w:val="0"/>
              </w:rPr>
              <w:t xml:space="preserve"> and Technical Adjustments</w:t>
            </w:r>
          </w:p>
        </w:tc>
        <w:tc>
          <w:tcPr>
            <w:tcW w:w="1470" w:type="dxa"/>
            <w:vAlign w:val="center"/>
          </w:tcPr>
          <w:p w:rsidR="00224A36" w:rsidRPr="00DC4C9F" w:rsidRDefault="00A077A3">
            <w:pPr>
              <w:pStyle w:val="Title"/>
              <w:ind w:left="0"/>
              <w:jc w:val="right"/>
              <w:rPr>
                <w:b w:val="0"/>
                <w:bCs/>
                <w:i w:val="0"/>
              </w:rPr>
            </w:pPr>
            <w:r>
              <w:rPr>
                <w:b w:val="0"/>
                <w:bCs/>
                <w:i w:val="0"/>
              </w:rPr>
              <w:t>-1</w:t>
            </w:r>
          </w:p>
        </w:tc>
        <w:tc>
          <w:tcPr>
            <w:tcW w:w="1470" w:type="dxa"/>
            <w:vAlign w:val="center"/>
          </w:tcPr>
          <w:p w:rsidR="00224A36" w:rsidRPr="00DC4C9F" w:rsidRDefault="00A077A3">
            <w:pPr>
              <w:pStyle w:val="Title"/>
              <w:ind w:left="0"/>
              <w:jc w:val="right"/>
              <w:rPr>
                <w:b w:val="0"/>
                <w:bCs/>
                <w:i w:val="0"/>
              </w:rPr>
            </w:pPr>
            <w:r>
              <w:rPr>
                <w:b w:val="0"/>
                <w:bCs/>
                <w:i w:val="0"/>
              </w:rPr>
              <w:t>-1</w:t>
            </w:r>
          </w:p>
        </w:tc>
        <w:tc>
          <w:tcPr>
            <w:tcW w:w="1470" w:type="dxa"/>
            <w:vAlign w:val="center"/>
          </w:tcPr>
          <w:p w:rsidR="00224A36" w:rsidRPr="00DC4C9F" w:rsidRDefault="00A077A3" w:rsidP="0005445F">
            <w:pPr>
              <w:pStyle w:val="Title"/>
              <w:ind w:left="0"/>
              <w:jc w:val="right"/>
              <w:rPr>
                <w:b w:val="0"/>
                <w:bCs/>
                <w:i w:val="0"/>
              </w:rPr>
            </w:pPr>
            <w:r>
              <w:rPr>
                <w:b w:val="0"/>
                <w:bCs/>
                <w:i w:val="0"/>
              </w:rPr>
              <w:t>-$</w:t>
            </w:r>
            <w:r w:rsidR="0005445F">
              <w:rPr>
                <w:b w:val="0"/>
                <w:bCs/>
                <w:i w:val="0"/>
              </w:rPr>
              <w:t>3</w:t>
            </w:r>
            <w:r>
              <w:rPr>
                <w:b w:val="0"/>
                <w:bCs/>
                <w:i w:val="0"/>
              </w:rPr>
              <w:t>,</w:t>
            </w:r>
            <w:r w:rsidR="0005445F">
              <w:rPr>
                <w:b w:val="0"/>
                <w:bCs/>
                <w:i w:val="0"/>
              </w:rPr>
              <w:t>646</w:t>
            </w:r>
          </w:p>
        </w:tc>
      </w:tr>
      <w:tr w:rsidR="00224A36" w:rsidRPr="00DC4C9F" w:rsidTr="00CB070C">
        <w:tc>
          <w:tcPr>
            <w:tcW w:w="4968" w:type="dxa"/>
          </w:tcPr>
          <w:p w:rsidR="00224A36" w:rsidRPr="00DC4C9F" w:rsidRDefault="00670357" w:rsidP="004C5857">
            <w:pPr>
              <w:pStyle w:val="Title"/>
              <w:ind w:left="0"/>
              <w:jc w:val="left"/>
              <w:rPr>
                <w:b w:val="0"/>
                <w:bCs/>
                <w:i w:val="0"/>
              </w:rPr>
            </w:pPr>
            <w:r w:rsidRPr="00DC4C9F">
              <w:rPr>
                <w:b w:val="0"/>
                <w:bCs/>
                <w:i w:val="0"/>
              </w:rPr>
              <w:t>20</w:t>
            </w:r>
            <w:r w:rsidR="001A3012" w:rsidRPr="00DC4C9F">
              <w:rPr>
                <w:b w:val="0"/>
                <w:bCs/>
                <w:i w:val="0"/>
              </w:rPr>
              <w:t>1</w:t>
            </w:r>
            <w:r w:rsidR="004C5857">
              <w:rPr>
                <w:b w:val="0"/>
                <w:bCs/>
                <w:i w:val="0"/>
              </w:rPr>
              <w:t>4</w:t>
            </w:r>
            <w:r w:rsidR="00224A36" w:rsidRPr="00DC4C9F">
              <w:rPr>
                <w:b w:val="0"/>
                <w:bCs/>
                <w:i w:val="0"/>
              </w:rPr>
              <w:t xml:space="preserve"> Current Services</w:t>
            </w:r>
          </w:p>
        </w:tc>
        <w:tc>
          <w:tcPr>
            <w:tcW w:w="1470" w:type="dxa"/>
            <w:vAlign w:val="center"/>
          </w:tcPr>
          <w:p w:rsidR="00224A36" w:rsidRPr="00DC4C9F" w:rsidRDefault="00A077A3">
            <w:pPr>
              <w:pStyle w:val="Title"/>
              <w:ind w:left="0"/>
              <w:jc w:val="right"/>
              <w:rPr>
                <w:b w:val="0"/>
                <w:bCs/>
                <w:i w:val="0"/>
              </w:rPr>
            </w:pPr>
            <w:r>
              <w:rPr>
                <w:b w:val="0"/>
                <w:bCs/>
                <w:i w:val="0"/>
              </w:rPr>
              <w:t>750</w:t>
            </w:r>
          </w:p>
        </w:tc>
        <w:tc>
          <w:tcPr>
            <w:tcW w:w="1470" w:type="dxa"/>
            <w:vAlign w:val="center"/>
          </w:tcPr>
          <w:p w:rsidR="00224A36" w:rsidRPr="00DC4C9F" w:rsidRDefault="00A077A3">
            <w:pPr>
              <w:pStyle w:val="Title"/>
              <w:ind w:left="0"/>
              <w:jc w:val="right"/>
              <w:rPr>
                <w:b w:val="0"/>
                <w:bCs/>
                <w:i w:val="0"/>
              </w:rPr>
            </w:pPr>
            <w:r>
              <w:rPr>
                <w:b w:val="0"/>
                <w:bCs/>
                <w:i w:val="0"/>
              </w:rPr>
              <w:t>669</w:t>
            </w:r>
          </w:p>
        </w:tc>
        <w:tc>
          <w:tcPr>
            <w:tcW w:w="1470" w:type="dxa"/>
            <w:vAlign w:val="center"/>
          </w:tcPr>
          <w:p w:rsidR="00224A36" w:rsidRPr="00DC4C9F" w:rsidRDefault="00A077A3" w:rsidP="00423164">
            <w:pPr>
              <w:pStyle w:val="Title"/>
              <w:ind w:left="0"/>
              <w:jc w:val="right"/>
              <w:rPr>
                <w:b w:val="0"/>
                <w:bCs/>
                <w:i w:val="0"/>
              </w:rPr>
            </w:pPr>
            <w:r>
              <w:rPr>
                <w:b w:val="0"/>
                <w:bCs/>
                <w:i w:val="0"/>
              </w:rPr>
              <w:t>$171,419</w:t>
            </w:r>
          </w:p>
        </w:tc>
      </w:tr>
      <w:tr w:rsidR="00517EDD" w:rsidRPr="00DC4C9F" w:rsidTr="00CB070C">
        <w:tc>
          <w:tcPr>
            <w:tcW w:w="4968" w:type="dxa"/>
            <w:tcBorders>
              <w:bottom w:val="single" w:sz="4" w:space="0" w:color="auto"/>
            </w:tcBorders>
          </w:tcPr>
          <w:p w:rsidR="00517EDD" w:rsidRPr="00DC4C9F" w:rsidRDefault="00517EDD">
            <w:pPr>
              <w:pStyle w:val="Title"/>
              <w:ind w:left="0"/>
              <w:jc w:val="left"/>
              <w:rPr>
                <w:b w:val="0"/>
                <w:bCs/>
                <w:i w:val="0"/>
              </w:rPr>
            </w:pPr>
            <w:r>
              <w:rPr>
                <w:b w:val="0"/>
                <w:bCs/>
                <w:i w:val="0"/>
              </w:rPr>
              <w:t>2014 Program Increases</w:t>
            </w:r>
          </w:p>
        </w:tc>
        <w:tc>
          <w:tcPr>
            <w:tcW w:w="1470" w:type="dxa"/>
            <w:tcBorders>
              <w:bottom w:val="single" w:sz="4" w:space="0" w:color="auto"/>
            </w:tcBorders>
            <w:vAlign w:val="center"/>
          </w:tcPr>
          <w:p w:rsidR="00517EDD" w:rsidRPr="00DC4C9F" w:rsidRDefault="0005445F">
            <w:pPr>
              <w:pStyle w:val="Title"/>
              <w:ind w:left="0"/>
              <w:jc w:val="right"/>
              <w:rPr>
                <w:b w:val="0"/>
                <w:bCs/>
                <w:i w:val="0"/>
              </w:rPr>
            </w:pPr>
            <w:r>
              <w:rPr>
                <w:b w:val="0"/>
                <w:bCs/>
                <w:i w:val="0"/>
              </w:rPr>
              <w:t>64</w:t>
            </w:r>
          </w:p>
        </w:tc>
        <w:tc>
          <w:tcPr>
            <w:tcW w:w="1470" w:type="dxa"/>
            <w:tcBorders>
              <w:bottom w:val="single" w:sz="4" w:space="0" w:color="auto"/>
            </w:tcBorders>
            <w:vAlign w:val="center"/>
          </w:tcPr>
          <w:p w:rsidR="00517EDD" w:rsidRPr="00DC4C9F" w:rsidRDefault="0005445F">
            <w:pPr>
              <w:pStyle w:val="Title"/>
              <w:ind w:left="0"/>
              <w:jc w:val="right"/>
              <w:rPr>
                <w:b w:val="0"/>
                <w:bCs/>
                <w:i w:val="0"/>
              </w:rPr>
            </w:pPr>
            <w:r>
              <w:rPr>
                <w:b w:val="0"/>
                <w:bCs/>
                <w:i w:val="0"/>
              </w:rPr>
              <w:t>34</w:t>
            </w:r>
          </w:p>
        </w:tc>
        <w:tc>
          <w:tcPr>
            <w:tcW w:w="1470" w:type="dxa"/>
            <w:tcBorders>
              <w:bottom w:val="single" w:sz="4" w:space="0" w:color="auto"/>
            </w:tcBorders>
            <w:vAlign w:val="center"/>
          </w:tcPr>
          <w:p w:rsidR="00517EDD" w:rsidRPr="00DC4C9F" w:rsidRDefault="0005445F" w:rsidP="00423164">
            <w:pPr>
              <w:pStyle w:val="Title"/>
              <w:ind w:left="0"/>
              <w:jc w:val="right"/>
              <w:rPr>
                <w:b w:val="0"/>
                <w:bCs/>
                <w:i w:val="0"/>
              </w:rPr>
            </w:pPr>
            <w:r>
              <w:rPr>
                <w:b w:val="0"/>
                <w:bCs/>
                <w:i w:val="0"/>
              </w:rPr>
              <w:t>$11,080</w:t>
            </w:r>
          </w:p>
        </w:tc>
      </w:tr>
      <w:tr w:rsidR="00224A36" w:rsidRPr="00DC4C9F" w:rsidTr="00CB070C">
        <w:tc>
          <w:tcPr>
            <w:tcW w:w="4968" w:type="dxa"/>
            <w:tcBorders>
              <w:bottom w:val="single" w:sz="4" w:space="0" w:color="auto"/>
            </w:tcBorders>
          </w:tcPr>
          <w:p w:rsidR="00224A36" w:rsidRPr="00DC4C9F" w:rsidRDefault="00670357" w:rsidP="002F49A8">
            <w:pPr>
              <w:pStyle w:val="Title"/>
              <w:ind w:left="0"/>
              <w:jc w:val="left"/>
              <w:rPr>
                <w:b w:val="0"/>
                <w:bCs/>
                <w:i w:val="0"/>
              </w:rPr>
            </w:pPr>
            <w:r w:rsidRPr="00DC4C9F">
              <w:rPr>
                <w:b w:val="0"/>
                <w:bCs/>
                <w:i w:val="0"/>
              </w:rPr>
              <w:t>20</w:t>
            </w:r>
            <w:r w:rsidR="001A3012" w:rsidRPr="00DC4C9F">
              <w:rPr>
                <w:b w:val="0"/>
                <w:bCs/>
                <w:i w:val="0"/>
              </w:rPr>
              <w:t>1</w:t>
            </w:r>
            <w:r w:rsidR="002F49A8">
              <w:rPr>
                <w:b w:val="0"/>
                <w:bCs/>
                <w:i w:val="0"/>
              </w:rPr>
              <w:t>4</w:t>
            </w:r>
            <w:r w:rsidR="00224A36" w:rsidRPr="00DC4C9F">
              <w:rPr>
                <w:b w:val="0"/>
                <w:bCs/>
                <w:i w:val="0"/>
              </w:rPr>
              <w:t xml:space="preserve"> Request</w:t>
            </w:r>
          </w:p>
        </w:tc>
        <w:tc>
          <w:tcPr>
            <w:tcW w:w="1470" w:type="dxa"/>
            <w:tcBorders>
              <w:bottom w:val="single" w:sz="4" w:space="0" w:color="auto"/>
            </w:tcBorders>
            <w:vAlign w:val="center"/>
          </w:tcPr>
          <w:p w:rsidR="00224A36" w:rsidRPr="00DC4C9F" w:rsidRDefault="0005445F">
            <w:pPr>
              <w:pStyle w:val="Title"/>
              <w:ind w:left="0"/>
              <w:jc w:val="right"/>
              <w:rPr>
                <w:b w:val="0"/>
                <w:bCs/>
                <w:i w:val="0"/>
              </w:rPr>
            </w:pPr>
            <w:r>
              <w:rPr>
                <w:b w:val="0"/>
                <w:bCs/>
                <w:i w:val="0"/>
              </w:rPr>
              <w:t>814</w:t>
            </w:r>
          </w:p>
        </w:tc>
        <w:tc>
          <w:tcPr>
            <w:tcW w:w="1470" w:type="dxa"/>
            <w:tcBorders>
              <w:bottom w:val="single" w:sz="4" w:space="0" w:color="auto"/>
            </w:tcBorders>
            <w:vAlign w:val="center"/>
          </w:tcPr>
          <w:p w:rsidR="00224A36" w:rsidRPr="00DC4C9F" w:rsidRDefault="0005445F">
            <w:pPr>
              <w:pStyle w:val="Title"/>
              <w:ind w:left="0"/>
              <w:jc w:val="right"/>
              <w:rPr>
                <w:b w:val="0"/>
                <w:bCs/>
                <w:i w:val="0"/>
              </w:rPr>
            </w:pPr>
            <w:r>
              <w:rPr>
                <w:b w:val="0"/>
                <w:bCs/>
                <w:i w:val="0"/>
              </w:rPr>
              <w:t>703</w:t>
            </w:r>
          </w:p>
        </w:tc>
        <w:tc>
          <w:tcPr>
            <w:tcW w:w="1470" w:type="dxa"/>
            <w:tcBorders>
              <w:bottom w:val="single" w:sz="4" w:space="0" w:color="auto"/>
            </w:tcBorders>
            <w:vAlign w:val="center"/>
          </w:tcPr>
          <w:p w:rsidR="00224A36" w:rsidRPr="00DC4C9F" w:rsidRDefault="0005445F">
            <w:pPr>
              <w:pStyle w:val="Title"/>
              <w:ind w:left="0"/>
              <w:jc w:val="right"/>
              <w:rPr>
                <w:b w:val="0"/>
                <w:bCs/>
                <w:i w:val="0"/>
              </w:rPr>
            </w:pPr>
            <w:r>
              <w:rPr>
                <w:b w:val="0"/>
                <w:bCs/>
                <w:i w:val="0"/>
              </w:rPr>
              <w:t>$182,499</w:t>
            </w:r>
          </w:p>
        </w:tc>
      </w:tr>
      <w:tr w:rsidR="00224A36" w:rsidRPr="00DC4C9F" w:rsidTr="00CB070C">
        <w:tc>
          <w:tcPr>
            <w:tcW w:w="4968" w:type="dxa"/>
            <w:shd w:val="clear" w:color="auto" w:fill="E6E6E6"/>
          </w:tcPr>
          <w:p w:rsidR="00224A36" w:rsidRPr="00DC4C9F" w:rsidRDefault="00224A36" w:rsidP="0005445F">
            <w:pPr>
              <w:pStyle w:val="Title"/>
              <w:ind w:left="0"/>
              <w:jc w:val="left"/>
              <w:rPr>
                <w:b w:val="0"/>
                <w:bCs/>
                <w:i w:val="0"/>
              </w:rPr>
            </w:pPr>
            <w:r w:rsidRPr="00DC4C9F">
              <w:rPr>
                <w:i w:val="0"/>
              </w:rPr>
              <w:t>Total Change 2</w:t>
            </w:r>
            <w:r w:rsidR="00670357" w:rsidRPr="00DC4C9F">
              <w:rPr>
                <w:i w:val="0"/>
              </w:rPr>
              <w:t>0</w:t>
            </w:r>
            <w:r w:rsidR="00A87425" w:rsidRPr="00DC4C9F">
              <w:rPr>
                <w:i w:val="0"/>
              </w:rPr>
              <w:t>1</w:t>
            </w:r>
            <w:r w:rsidR="0005445F">
              <w:rPr>
                <w:i w:val="0"/>
              </w:rPr>
              <w:t>2</w:t>
            </w:r>
            <w:r w:rsidRPr="00DC4C9F">
              <w:rPr>
                <w:i w:val="0"/>
              </w:rPr>
              <w:t>-20</w:t>
            </w:r>
            <w:r w:rsidR="00A87425" w:rsidRPr="00DC4C9F">
              <w:rPr>
                <w:i w:val="0"/>
              </w:rPr>
              <w:t>1</w:t>
            </w:r>
            <w:r w:rsidR="004C5857">
              <w:rPr>
                <w:i w:val="0"/>
              </w:rPr>
              <w:t>4</w:t>
            </w:r>
          </w:p>
        </w:tc>
        <w:tc>
          <w:tcPr>
            <w:tcW w:w="1470" w:type="dxa"/>
            <w:shd w:val="clear" w:color="auto" w:fill="E6E6E6"/>
            <w:vAlign w:val="center"/>
          </w:tcPr>
          <w:p w:rsidR="00224A36" w:rsidRPr="00DC4C9F" w:rsidRDefault="0005445F">
            <w:pPr>
              <w:pStyle w:val="Title"/>
              <w:ind w:left="0"/>
              <w:jc w:val="right"/>
              <w:rPr>
                <w:b w:val="0"/>
                <w:bCs/>
                <w:i w:val="0"/>
              </w:rPr>
            </w:pPr>
            <w:r>
              <w:rPr>
                <w:b w:val="0"/>
                <w:bCs/>
                <w:i w:val="0"/>
              </w:rPr>
              <w:t>63</w:t>
            </w:r>
          </w:p>
        </w:tc>
        <w:tc>
          <w:tcPr>
            <w:tcW w:w="1470" w:type="dxa"/>
            <w:shd w:val="clear" w:color="auto" w:fill="E6E6E6"/>
            <w:vAlign w:val="center"/>
          </w:tcPr>
          <w:p w:rsidR="00224A36" w:rsidRPr="00DC4C9F" w:rsidRDefault="009A6A8F" w:rsidP="00423164">
            <w:pPr>
              <w:pStyle w:val="Title"/>
              <w:ind w:left="0"/>
              <w:jc w:val="right"/>
              <w:rPr>
                <w:b w:val="0"/>
                <w:bCs/>
                <w:i w:val="0"/>
              </w:rPr>
            </w:pPr>
            <w:r>
              <w:rPr>
                <w:b w:val="0"/>
                <w:bCs/>
                <w:i w:val="0"/>
              </w:rPr>
              <w:t>-45</w:t>
            </w:r>
          </w:p>
        </w:tc>
        <w:tc>
          <w:tcPr>
            <w:tcW w:w="1470" w:type="dxa"/>
            <w:shd w:val="clear" w:color="auto" w:fill="E6E6E6"/>
            <w:vAlign w:val="center"/>
          </w:tcPr>
          <w:p w:rsidR="00224A36" w:rsidRPr="00DC4C9F" w:rsidRDefault="00874230" w:rsidP="0005445F">
            <w:pPr>
              <w:pStyle w:val="Title"/>
              <w:ind w:left="0"/>
              <w:jc w:val="right"/>
              <w:rPr>
                <w:b w:val="0"/>
                <w:bCs/>
                <w:i w:val="0"/>
              </w:rPr>
            </w:pPr>
            <w:r>
              <w:rPr>
                <w:b w:val="0"/>
                <w:bCs/>
                <w:i w:val="0"/>
              </w:rPr>
              <w:t>$</w:t>
            </w:r>
            <w:r w:rsidR="0005445F">
              <w:rPr>
                <w:b w:val="0"/>
                <w:bCs/>
                <w:i w:val="0"/>
              </w:rPr>
              <w:t>8,499</w:t>
            </w:r>
          </w:p>
        </w:tc>
      </w:tr>
    </w:tbl>
    <w:p w:rsidR="0005445F" w:rsidRPr="00DC4C9F" w:rsidRDefault="0005445F" w:rsidP="00F16EFE">
      <w:pPr>
        <w:pStyle w:val="xl27"/>
        <w:ind w:left="360"/>
        <w:rPr>
          <w:rFonts w:ascii="Times New Roman" w:eastAsia="Times New Roman" w:hAnsi="Times New Roman" w:cs="Arial"/>
          <w:b w:val="0"/>
          <w:i/>
          <w:iCs/>
          <w:szCs w:val="24"/>
        </w:rPr>
      </w:pPr>
    </w:p>
    <w:p w:rsidR="00053DD2" w:rsidRPr="00DC4C9F" w:rsidRDefault="00053DD2" w:rsidP="00420649">
      <w:pPr>
        <w:pStyle w:val="xl27"/>
        <w:numPr>
          <w:ilvl w:val="0"/>
          <w:numId w:val="6"/>
        </w:numPr>
        <w:rPr>
          <w:rFonts w:ascii="Times New Roman" w:hAnsi="Times New Roman"/>
        </w:rPr>
      </w:pPr>
      <w:bookmarkStart w:id="9" w:name="_Ref350240063"/>
      <w:r w:rsidRPr="00DC4C9F">
        <w:rPr>
          <w:rFonts w:ascii="Times New Roman" w:hAnsi="Times New Roman"/>
        </w:rPr>
        <w:t>Program Description</w:t>
      </w:r>
      <w:bookmarkEnd w:id="9"/>
    </w:p>
    <w:p w:rsidR="00540F69" w:rsidRDefault="00540F69" w:rsidP="00540F69">
      <w:r>
        <w:t xml:space="preserve">The mission of the Criminal Division is to develop, enforce, and supervise the application of all federal criminal laws, except those specifically assigned to other divisions.  The Criminal Division is situated at headquarters to work in partnership with both domestic and international law enforcement.  While U.S. Attorneys and state and local prosecutors serve a specific jurisdiction, the Criminal Division addresses the need for centralized coordination, prosecution, and oversight. </w:t>
      </w:r>
    </w:p>
    <w:p w:rsidR="00540F69" w:rsidRDefault="00540F69" w:rsidP="00540F69"/>
    <w:p w:rsidR="00540F69" w:rsidRDefault="00540F69" w:rsidP="00540F69">
      <w:r>
        <w:t xml:space="preserve">The Division complements the work of its foreign and domestic law enforcement partners by centrally housing subject matter experts in all areas of federal criminal law, as reflected by the 16 Sections and Offices that make up the Division’s Decision Unit “Enforcing Federal Criminal Laws:” </w:t>
      </w:r>
    </w:p>
    <w:p w:rsidR="00540F69" w:rsidRDefault="00540F69" w:rsidP="00540F69">
      <w:pPr>
        <w:rPr>
          <w:sz w:val="22"/>
          <w:szCs w:val="22"/>
        </w:rPr>
      </w:pPr>
    </w:p>
    <w:p w:rsidR="00540F69" w:rsidRDefault="00540F69" w:rsidP="00420649">
      <w:pPr>
        <w:widowControl w:val="0"/>
        <w:numPr>
          <w:ilvl w:val="0"/>
          <w:numId w:val="17"/>
        </w:numPr>
        <w:tabs>
          <w:tab w:val="num" w:pos="630"/>
        </w:tabs>
        <w:autoSpaceDE w:val="0"/>
        <w:autoSpaceDN w:val="0"/>
        <w:adjustRightInd w:val="0"/>
      </w:pPr>
      <w:r>
        <w:t xml:space="preserve">Appellate Section; </w:t>
      </w:r>
    </w:p>
    <w:p w:rsidR="00540F69" w:rsidRDefault="00540F69" w:rsidP="00420649">
      <w:pPr>
        <w:widowControl w:val="0"/>
        <w:numPr>
          <w:ilvl w:val="0"/>
          <w:numId w:val="17"/>
        </w:numPr>
        <w:tabs>
          <w:tab w:val="num" w:pos="630"/>
        </w:tabs>
        <w:autoSpaceDE w:val="0"/>
        <w:autoSpaceDN w:val="0"/>
        <w:adjustRightInd w:val="0"/>
      </w:pPr>
      <w:r>
        <w:t xml:space="preserve">Asset Forfeiture and Money Laundering Section; </w:t>
      </w:r>
    </w:p>
    <w:p w:rsidR="00540F69" w:rsidRDefault="00540F69" w:rsidP="00420649">
      <w:pPr>
        <w:widowControl w:val="0"/>
        <w:numPr>
          <w:ilvl w:val="0"/>
          <w:numId w:val="17"/>
        </w:numPr>
        <w:tabs>
          <w:tab w:val="num" w:pos="630"/>
        </w:tabs>
        <w:autoSpaceDE w:val="0"/>
        <w:autoSpaceDN w:val="0"/>
        <w:adjustRightInd w:val="0"/>
      </w:pPr>
      <w:r>
        <w:t xml:space="preserve">Capital Case Unit; </w:t>
      </w:r>
    </w:p>
    <w:p w:rsidR="00540F69" w:rsidRDefault="00540F69" w:rsidP="00420649">
      <w:pPr>
        <w:widowControl w:val="0"/>
        <w:numPr>
          <w:ilvl w:val="0"/>
          <w:numId w:val="17"/>
        </w:numPr>
        <w:tabs>
          <w:tab w:val="num" w:pos="630"/>
        </w:tabs>
        <w:autoSpaceDE w:val="0"/>
        <w:autoSpaceDN w:val="0"/>
        <w:adjustRightInd w:val="0"/>
      </w:pPr>
      <w:r>
        <w:t xml:space="preserve">Child Exploitation and Obscenity Section; </w:t>
      </w:r>
    </w:p>
    <w:p w:rsidR="00540F69" w:rsidRDefault="00540F69" w:rsidP="00420649">
      <w:pPr>
        <w:widowControl w:val="0"/>
        <w:numPr>
          <w:ilvl w:val="0"/>
          <w:numId w:val="17"/>
        </w:numPr>
        <w:tabs>
          <w:tab w:val="num" w:pos="630"/>
        </w:tabs>
        <w:autoSpaceDE w:val="0"/>
        <w:autoSpaceDN w:val="0"/>
        <w:adjustRightInd w:val="0"/>
      </w:pPr>
      <w:r>
        <w:t xml:space="preserve">Computer Crime and Intellectual Property Section; </w:t>
      </w:r>
    </w:p>
    <w:p w:rsidR="00540F69" w:rsidRDefault="00540F69" w:rsidP="00420649">
      <w:pPr>
        <w:widowControl w:val="0"/>
        <w:numPr>
          <w:ilvl w:val="0"/>
          <w:numId w:val="17"/>
        </w:numPr>
        <w:tabs>
          <w:tab w:val="num" w:pos="630"/>
        </w:tabs>
        <w:autoSpaceDE w:val="0"/>
        <w:autoSpaceDN w:val="0"/>
        <w:adjustRightInd w:val="0"/>
      </w:pPr>
      <w:r>
        <w:t xml:space="preserve">Human Rights and Special Prosecutions Section; </w:t>
      </w:r>
    </w:p>
    <w:p w:rsidR="00540F69" w:rsidRDefault="00540F69" w:rsidP="00420649">
      <w:pPr>
        <w:widowControl w:val="0"/>
        <w:numPr>
          <w:ilvl w:val="0"/>
          <w:numId w:val="17"/>
        </w:numPr>
        <w:tabs>
          <w:tab w:val="num" w:pos="630"/>
        </w:tabs>
        <w:autoSpaceDE w:val="0"/>
        <w:autoSpaceDN w:val="0"/>
        <w:adjustRightInd w:val="0"/>
      </w:pPr>
      <w:r>
        <w:t xml:space="preserve">International Criminal Investigative Training Assistance Program; </w:t>
      </w:r>
    </w:p>
    <w:p w:rsidR="00540F69" w:rsidRDefault="00540F69" w:rsidP="00420649">
      <w:pPr>
        <w:widowControl w:val="0"/>
        <w:numPr>
          <w:ilvl w:val="0"/>
          <w:numId w:val="17"/>
        </w:numPr>
        <w:tabs>
          <w:tab w:val="num" w:pos="630"/>
        </w:tabs>
        <w:autoSpaceDE w:val="0"/>
        <w:autoSpaceDN w:val="0"/>
        <w:adjustRightInd w:val="0"/>
      </w:pPr>
      <w:r>
        <w:t xml:space="preserve">Narcotic and Dangerous Drug Section; </w:t>
      </w:r>
    </w:p>
    <w:p w:rsidR="00540F69" w:rsidRDefault="00540F69" w:rsidP="00420649">
      <w:pPr>
        <w:widowControl w:val="0"/>
        <w:numPr>
          <w:ilvl w:val="0"/>
          <w:numId w:val="17"/>
        </w:numPr>
        <w:tabs>
          <w:tab w:val="num" w:pos="630"/>
        </w:tabs>
        <w:autoSpaceDE w:val="0"/>
        <w:autoSpaceDN w:val="0"/>
        <w:adjustRightInd w:val="0"/>
      </w:pPr>
      <w:r>
        <w:t xml:space="preserve">Office of Administration; </w:t>
      </w:r>
    </w:p>
    <w:p w:rsidR="00540F69" w:rsidRDefault="00540F69" w:rsidP="00420649">
      <w:pPr>
        <w:widowControl w:val="0"/>
        <w:numPr>
          <w:ilvl w:val="0"/>
          <w:numId w:val="17"/>
        </w:numPr>
        <w:tabs>
          <w:tab w:val="num" w:pos="630"/>
        </w:tabs>
        <w:autoSpaceDE w:val="0"/>
        <w:autoSpaceDN w:val="0"/>
        <w:adjustRightInd w:val="0"/>
      </w:pPr>
      <w:r>
        <w:t xml:space="preserve">Office of the Assistant Attorney General; </w:t>
      </w:r>
    </w:p>
    <w:p w:rsidR="00540F69" w:rsidRDefault="00540F69" w:rsidP="00420649">
      <w:pPr>
        <w:widowControl w:val="0"/>
        <w:numPr>
          <w:ilvl w:val="0"/>
          <w:numId w:val="17"/>
        </w:numPr>
        <w:tabs>
          <w:tab w:val="num" w:pos="630"/>
        </w:tabs>
        <w:autoSpaceDE w:val="0"/>
        <w:autoSpaceDN w:val="0"/>
        <w:adjustRightInd w:val="0"/>
      </w:pPr>
      <w:r>
        <w:t xml:space="preserve">Office of Enforcement Operations; </w:t>
      </w:r>
    </w:p>
    <w:p w:rsidR="00540F69" w:rsidRDefault="00540F69" w:rsidP="00420649">
      <w:pPr>
        <w:widowControl w:val="0"/>
        <w:numPr>
          <w:ilvl w:val="0"/>
          <w:numId w:val="17"/>
        </w:numPr>
        <w:tabs>
          <w:tab w:val="num" w:pos="630"/>
        </w:tabs>
        <w:autoSpaceDE w:val="0"/>
        <w:autoSpaceDN w:val="0"/>
        <w:adjustRightInd w:val="0"/>
      </w:pPr>
      <w:r>
        <w:t xml:space="preserve">Office of International Affairs; </w:t>
      </w:r>
    </w:p>
    <w:p w:rsidR="00540F69" w:rsidRDefault="00540F69" w:rsidP="00420649">
      <w:pPr>
        <w:widowControl w:val="0"/>
        <w:numPr>
          <w:ilvl w:val="0"/>
          <w:numId w:val="17"/>
        </w:numPr>
        <w:tabs>
          <w:tab w:val="num" w:pos="630"/>
        </w:tabs>
        <w:autoSpaceDE w:val="0"/>
        <w:autoSpaceDN w:val="0"/>
        <w:adjustRightInd w:val="0"/>
      </w:pPr>
      <w:r>
        <w:t xml:space="preserve">Office of Overseas Prosecutorial Development, Assistance and Training; </w:t>
      </w:r>
    </w:p>
    <w:p w:rsidR="00540F69" w:rsidRDefault="00540F69" w:rsidP="00420649">
      <w:pPr>
        <w:widowControl w:val="0"/>
        <w:numPr>
          <w:ilvl w:val="0"/>
          <w:numId w:val="17"/>
        </w:numPr>
        <w:tabs>
          <w:tab w:val="num" w:pos="630"/>
        </w:tabs>
        <w:autoSpaceDE w:val="0"/>
        <w:autoSpaceDN w:val="0"/>
        <w:adjustRightInd w:val="0"/>
      </w:pPr>
      <w:r>
        <w:t xml:space="preserve">Office of Policy and Legislation; </w:t>
      </w:r>
    </w:p>
    <w:p w:rsidR="00540F69" w:rsidRDefault="00540F69" w:rsidP="00420649">
      <w:pPr>
        <w:widowControl w:val="0"/>
        <w:numPr>
          <w:ilvl w:val="0"/>
          <w:numId w:val="17"/>
        </w:numPr>
        <w:tabs>
          <w:tab w:val="num" w:pos="630"/>
        </w:tabs>
        <w:autoSpaceDE w:val="0"/>
        <w:autoSpaceDN w:val="0"/>
        <w:adjustRightInd w:val="0"/>
      </w:pPr>
      <w:r>
        <w:t xml:space="preserve">Organized Crime and Gang Section; and </w:t>
      </w:r>
    </w:p>
    <w:p w:rsidR="00540F69" w:rsidRDefault="00540F69" w:rsidP="00420649">
      <w:pPr>
        <w:widowControl w:val="0"/>
        <w:numPr>
          <w:ilvl w:val="0"/>
          <w:numId w:val="17"/>
        </w:numPr>
        <w:tabs>
          <w:tab w:val="num" w:pos="630"/>
        </w:tabs>
        <w:autoSpaceDE w:val="0"/>
        <w:autoSpaceDN w:val="0"/>
        <w:adjustRightInd w:val="0"/>
      </w:pPr>
      <w:r>
        <w:t>Public Integrity Section.</w:t>
      </w:r>
    </w:p>
    <w:p w:rsidR="00540F69" w:rsidRDefault="00540F69" w:rsidP="00540F69">
      <w:pPr>
        <w:rPr>
          <w:sz w:val="22"/>
          <w:szCs w:val="22"/>
        </w:rPr>
      </w:pPr>
    </w:p>
    <w:p w:rsidR="00540F69" w:rsidRDefault="00540F69" w:rsidP="00540F69">
      <w:r>
        <w:lastRenderedPageBreak/>
        <w:t>The concentration of formidable expertise in a broad range of critical subject areas strengthens and shapes the Department’s efforts in bringing a broad perspective to areas of national and transnational criminal enforcement and prevention.  To capture this range of expertise, the Division’s Performance and Resource Table is organized into three functional categories: prosecutions and investigations; expert guidance and legal advice; and the review of critical law enforcement tools.</w:t>
      </w:r>
    </w:p>
    <w:p w:rsidR="00540F69" w:rsidRDefault="00540F69" w:rsidP="00540F69"/>
    <w:p w:rsidR="00540F69" w:rsidRDefault="00540F69" w:rsidP="00540F69"/>
    <w:p w:rsidR="00540F69" w:rsidRDefault="00540F69" w:rsidP="00540F69"/>
    <w:p w:rsidR="00540F69" w:rsidRDefault="00540F69" w:rsidP="00540F69"/>
    <w:p w:rsidR="009136AE" w:rsidRPr="00DC4C9F" w:rsidRDefault="009136AE" w:rsidP="00053DD2">
      <w:pPr>
        <w:pStyle w:val="xl19"/>
        <w:spacing w:before="0" w:after="0"/>
        <w:ind w:left="360"/>
        <w:rPr>
          <w:rFonts w:eastAsia="Times New Roman" w:cs="Arial"/>
          <w:i/>
          <w:iCs/>
          <w:szCs w:val="24"/>
        </w:rPr>
        <w:sectPr w:rsidR="009136AE" w:rsidRPr="00DC4C9F" w:rsidSect="00284E43">
          <w:pgSz w:w="12240" w:h="15840" w:code="1"/>
          <w:pgMar w:top="1152" w:right="1440" w:bottom="1152" w:left="1440" w:header="432" w:footer="432" w:gutter="0"/>
          <w:cols w:space="720"/>
          <w:docGrid w:linePitch="326"/>
        </w:sectPr>
      </w:pPr>
    </w:p>
    <w:p w:rsidR="00A02026" w:rsidRPr="00DC4C9F" w:rsidRDefault="001613C6" w:rsidP="00420649">
      <w:pPr>
        <w:numPr>
          <w:ilvl w:val="0"/>
          <w:numId w:val="6"/>
        </w:numPr>
        <w:tabs>
          <w:tab w:val="left" w:pos="1080"/>
          <w:tab w:val="left" w:pos="3600"/>
          <w:tab w:val="left" w:pos="5580"/>
        </w:tabs>
        <w:ind w:left="360"/>
        <w:rPr>
          <w:iCs/>
        </w:rPr>
      </w:pPr>
      <w:bookmarkStart w:id="10" w:name="_Ref350240078"/>
      <w:r w:rsidRPr="00DC4C9F">
        <w:rPr>
          <w:iCs/>
        </w:rPr>
        <w:lastRenderedPageBreak/>
        <w:t>P</w:t>
      </w:r>
      <w:r w:rsidR="004E48F4" w:rsidRPr="00DC4C9F">
        <w:rPr>
          <w:iCs/>
        </w:rPr>
        <w:t>erformance and Resource Table</w:t>
      </w:r>
      <w:r w:rsidR="0026799E" w:rsidRPr="00DC4C9F">
        <w:rPr>
          <w:iCs/>
        </w:rPr>
        <w:t>s</w:t>
      </w:r>
      <w:bookmarkEnd w:id="10"/>
    </w:p>
    <w:bookmarkStart w:id="11" w:name="_MON_1394366653"/>
    <w:bookmarkStart w:id="12" w:name="_MON_1400333860"/>
    <w:bookmarkStart w:id="13" w:name="_MON_1393571867"/>
    <w:bookmarkStart w:id="14" w:name="_MON_1400334042"/>
    <w:bookmarkStart w:id="15" w:name="_MON_1393571459"/>
    <w:bookmarkStart w:id="16" w:name="_MON_1393668443"/>
    <w:bookmarkStart w:id="17" w:name="_MON_1407849730"/>
    <w:bookmarkStart w:id="18" w:name="_MON_1407849769"/>
    <w:bookmarkStart w:id="19" w:name="_MON_1407849802"/>
    <w:bookmarkStart w:id="20" w:name="_MON_1407849919"/>
    <w:bookmarkStart w:id="21" w:name="_MON_1407849993"/>
    <w:bookmarkEnd w:id="11"/>
    <w:bookmarkEnd w:id="12"/>
    <w:bookmarkEnd w:id="13"/>
    <w:bookmarkEnd w:id="14"/>
    <w:bookmarkEnd w:id="15"/>
    <w:bookmarkEnd w:id="16"/>
    <w:bookmarkEnd w:id="17"/>
    <w:bookmarkEnd w:id="18"/>
    <w:bookmarkEnd w:id="19"/>
    <w:bookmarkEnd w:id="20"/>
    <w:bookmarkEnd w:id="21"/>
    <w:bookmarkStart w:id="22" w:name="_MON_1407850008"/>
    <w:bookmarkEnd w:id="22"/>
    <w:p w:rsidR="003B6AC9" w:rsidRPr="00DC4C9F" w:rsidRDefault="002C2984" w:rsidP="0026799E">
      <w:pPr>
        <w:rPr>
          <w:i/>
        </w:rPr>
      </w:pPr>
      <w:r w:rsidRPr="004C7429">
        <w:rPr>
          <w:rFonts w:ascii="Calibri" w:hAnsi="Calibri"/>
          <w:sz w:val="22"/>
          <w:szCs w:val="22"/>
        </w:rPr>
        <w:object w:dxaOrig="12033" w:dyaOrig="8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6pt;height:367.55pt" o:ole="">
            <v:imagedata r:id="rId13" o:title=""/>
          </v:shape>
          <o:OLEObject Type="Embed" ProgID="Excel.Sheet.8" ShapeID="_x0000_i1025" DrawAspect="Content" ObjectID="_1425815962" r:id="rId14"/>
        </w:object>
      </w:r>
    </w:p>
    <w:p w:rsidR="00DE304A" w:rsidRDefault="00DE304A" w:rsidP="0026799E">
      <w:pPr>
        <w:rPr>
          <w:i/>
        </w:rPr>
      </w:pPr>
    </w:p>
    <w:p w:rsidR="000557CB" w:rsidRDefault="000557CB" w:rsidP="0026799E">
      <w:pPr>
        <w:rPr>
          <w:i/>
        </w:rPr>
      </w:pPr>
    </w:p>
    <w:p w:rsidR="00A16778" w:rsidRDefault="00A16778" w:rsidP="0026799E">
      <w:pPr>
        <w:rPr>
          <w:i/>
        </w:rPr>
      </w:pPr>
    </w:p>
    <w:p w:rsidR="00A16778" w:rsidRDefault="00A16778" w:rsidP="0026799E">
      <w:pPr>
        <w:rPr>
          <w:i/>
        </w:rPr>
      </w:pPr>
    </w:p>
    <w:bookmarkStart w:id="23" w:name="_MON_1399878188"/>
    <w:bookmarkEnd w:id="23"/>
    <w:bookmarkStart w:id="24" w:name="_MON_1407849952"/>
    <w:bookmarkEnd w:id="24"/>
    <w:p w:rsidR="00A16778" w:rsidRDefault="00724FEC" w:rsidP="0026799E">
      <w:pPr>
        <w:rPr>
          <w:i/>
        </w:rPr>
      </w:pPr>
      <w:r w:rsidRPr="004C7429">
        <w:rPr>
          <w:rFonts w:ascii="Calibri" w:hAnsi="Calibri"/>
          <w:sz w:val="22"/>
          <w:szCs w:val="22"/>
        </w:rPr>
        <w:object w:dxaOrig="12047" w:dyaOrig="8674">
          <v:shape id="_x0000_i1026" type="#_x0000_t75" style="width:667.25pt;height:378.4pt" o:ole="">
            <v:imagedata r:id="rId15" o:title=""/>
          </v:shape>
          <o:OLEObject Type="Embed" ProgID="Excel.Sheet.8" ShapeID="_x0000_i1026" DrawAspect="Content" ObjectID="_1425815963" r:id="rId16"/>
        </w:object>
      </w:r>
    </w:p>
    <w:p w:rsidR="00A16778" w:rsidRDefault="00A16778" w:rsidP="0026799E">
      <w:pPr>
        <w:rPr>
          <w:i/>
        </w:rPr>
      </w:pPr>
    </w:p>
    <w:p w:rsidR="00A16778" w:rsidRDefault="00A16778" w:rsidP="0026799E">
      <w:pPr>
        <w:rPr>
          <w:i/>
        </w:rPr>
      </w:pPr>
    </w:p>
    <w:p w:rsidR="00A16778" w:rsidRDefault="00A16778" w:rsidP="0026799E">
      <w:pPr>
        <w:rPr>
          <w:i/>
        </w:rPr>
      </w:pPr>
    </w:p>
    <w:p w:rsidR="00A16778" w:rsidRDefault="00A16778" w:rsidP="0026799E">
      <w:pPr>
        <w:rPr>
          <w:i/>
        </w:rPr>
      </w:pPr>
    </w:p>
    <w:p w:rsidR="00A16778" w:rsidRDefault="00A16778" w:rsidP="0026799E">
      <w:pPr>
        <w:rPr>
          <w:i/>
        </w:rPr>
      </w:pPr>
    </w:p>
    <w:p w:rsidR="00A16778" w:rsidRDefault="00A16778" w:rsidP="0026799E">
      <w:pPr>
        <w:rPr>
          <w:i/>
        </w:rPr>
      </w:pPr>
    </w:p>
    <w:bookmarkStart w:id="25" w:name="_MON_1393668715"/>
    <w:bookmarkStart w:id="26" w:name="_MON_1393668947"/>
    <w:bookmarkStart w:id="27" w:name="_MON_1393668958"/>
    <w:bookmarkStart w:id="28" w:name="_MON_1393669017"/>
    <w:bookmarkStart w:id="29" w:name="_MON_1393669031"/>
    <w:bookmarkStart w:id="30" w:name="_MON_1394437817"/>
    <w:bookmarkEnd w:id="25"/>
    <w:bookmarkEnd w:id="26"/>
    <w:bookmarkEnd w:id="27"/>
    <w:bookmarkEnd w:id="28"/>
    <w:bookmarkEnd w:id="29"/>
    <w:bookmarkEnd w:id="30"/>
    <w:bookmarkStart w:id="31" w:name="_MON_1393668606"/>
    <w:bookmarkEnd w:id="31"/>
    <w:p w:rsidR="00224A36" w:rsidRPr="00DC4C9F" w:rsidRDefault="007B4BCB" w:rsidP="00890DB6">
      <w:pPr>
        <w:tabs>
          <w:tab w:val="left" w:pos="13140"/>
        </w:tabs>
        <w:rPr>
          <w:sz w:val="16"/>
        </w:rPr>
      </w:pPr>
      <w:r w:rsidRPr="00DC4C9F">
        <w:object w:dxaOrig="11475" w:dyaOrig="7574">
          <v:shape id="_x0000_i1027" type="#_x0000_t75" style="width:627.9pt;height:378.4pt" o:ole="" o:bordertopcolor="this" o:borderleftcolor="this" o:borderbottomcolor="this" o:borderrightcolor="this">
            <v:imagedata r:id="rId17" o:title=""/>
            <w10:bordertop type="single" width="18"/>
            <w10:borderleft type="single" width="18"/>
            <w10:borderbottom type="single" width="18"/>
            <w10:borderright type="single" width="18"/>
          </v:shape>
          <o:OLEObject Type="Embed" ProgID="Excel.Sheet.8" ShapeID="_x0000_i1027" DrawAspect="Content" ObjectID="_1425815964" r:id="rId18"/>
        </w:object>
      </w:r>
    </w:p>
    <w:p w:rsidR="00224A36" w:rsidRPr="00DC4C9F" w:rsidRDefault="00224A36">
      <w:pPr>
        <w:rPr>
          <w:sz w:val="16"/>
        </w:rPr>
      </w:pPr>
    </w:p>
    <w:p w:rsidR="009136AE" w:rsidRDefault="009136AE">
      <w:pPr>
        <w:rPr>
          <w:sz w:val="16"/>
        </w:rPr>
      </w:pPr>
    </w:p>
    <w:p w:rsidR="005B60A8" w:rsidRPr="000D0EDB" w:rsidRDefault="005B60A8" w:rsidP="005B60A8">
      <w:pPr>
        <w:rPr>
          <w:b/>
          <w:i/>
        </w:rPr>
      </w:pPr>
    </w:p>
    <w:p w:rsidR="005B60A8" w:rsidRPr="00DC4C9F" w:rsidRDefault="005B60A8">
      <w:pPr>
        <w:rPr>
          <w:sz w:val="16"/>
        </w:rPr>
        <w:sectPr w:rsidR="005B60A8" w:rsidRPr="00DC4C9F" w:rsidSect="009136AE">
          <w:pgSz w:w="15840" w:h="12240" w:orient="landscape" w:code="1"/>
          <w:pgMar w:top="1440" w:right="1152" w:bottom="1440" w:left="1152" w:header="432" w:footer="432" w:gutter="0"/>
          <w:cols w:space="720"/>
          <w:docGrid w:linePitch="326"/>
        </w:sectPr>
      </w:pPr>
    </w:p>
    <w:p w:rsidR="00224A36" w:rsidRPr="0030636F" w:rsidRDefault="00224A36" w:rsidP="0030636F">
      <w:pPr>
        <w:numPr>
          <w:ilvl w:val="0"/>
          <w:numId w:val="6"/>
        </w:numPr>
        <w:tabs>
          <w:tab w:val="left" w:pos="1080"/>
          <w:tab w:val="left" w:pos="3600"/>
          <w:tab w:val="left" w:pos="5580"/>
        </w:tabs>
        <w:ind w:left="360"/>
        <w:rPr>
          <w:iCs/>
        </w:rPr>
      </w:pPr>
      <w:bookmarkStart w:id="32" w:name="_Ref350240115"/>
      <w:r w:rsidRPr="0030636F">
        <w:rPr>
          <w:iCs/>
        </w:rPr>
        <w:lastRenderedPageBreak/>
        <w:t>Performance, Resources, and Strategies</w:t>
      </w:r>
      <w:bookmarkEnd w:id="32"/>
    </w:p>
    <w:p w:rsidR="00224A36" w:rsidRPr="00DC4C9F" w:rsidRDefault="00224A36">
      <w:pPr>
        <w:pStyle w:val="BodyText"/>
      </w:pPr>
    </w:p>
    <w:p w:rsidR="00224A36" w:rsidRPr="00DC4C9F" w:rsidRDefault="00224A36">
      <w:pPr>
        <w:pStyle w:val="BodyText"/>
        <w:rPr>
          <w:rFonts w:cs="Arial"/>
        </w:rPr>
      </w:pPr>
      <w:r w:rsidRPr="00DC4C9F">
        <w:rPr>
          <w:rFonts w:cs="Arial"/>
        </w:rPr>
        <w:t xml:space="preserve">a. </w:t>
      </w:r>
      <w:r w:rsidRPr="00DC4C9F">
        <w:rPr>
          <w:rFonts w:cs="Arial"/>
        </w:rPr>
        <w:tab/>
        <w:t xml:space="preserve">  Performance Plan and Report for Outcomes</w:t>
      </w:r>
    </w:p>
    <w:p w:rsidR="00224A36" w:rsidRPr="00DC4C9F" w:rsidRDefault="00224A36">
      <w:pPr>
        <w:pStyle w:val="BodyText"/>
      </w:pPr>
    </w:p>
    <w:p w:rsidR="003820BA" w:rsidRPr="002C6788" w:rsidRDefault="003820BA" w:rsidP="003820BA">
      <w:pPr>
        <w:rPr>
          <w:i/>
          <w:lang w:val="en-CA"/>
        </w:rPr>
      </w:pPr>
      <w:r w:rsidRPr="002C6788">
        <w:rPr>
          <w:i/>
          <w:lang w:val="en-CA"/>
        </w:rPr>
        <w:t>Outcome Measure</w:t>
      </w:r>
    </w:p>
    <w:p w:rsidR="003820BA" w:rsidRDefault="003820BA" w:rsidP="003820BA">
      <w:pPr>
        <w:rPr>
          <w:lang w:val="en-CA"/>
        </w:rPr>
      </w:pPr>
    </w:p>
    <w:p w:rsidR="003820BA" w:rsidRDefault="003820BA" w:rsidP="003820BA">
      <w:r>
        <w:t>The Department’s</w:t>
      </w:r>
      <w:r w:rsidRPr="00AF644D">
        <w:t xml:space="preserve"> long-term outcome goal for the litigating divisions, including the Criminal Division, is the percentage of criminal and civil cases favorably resolved </w:t>
      </w:r>
      <w:r>
        <w:t>during</w:t>
      </w:r>
      <w:r w:rsidRPr="00AF644D">
        <w:t xml:space="preserve"> the Fiscal Year.  The goals are 90 percent (criminal) and 80 percent (civil).  </w:t>
      </w:r>
      <w:r>
        <w:t xml:space="preserve">The Division has consistently met or exceeded the goals. </w:t>
      </w:r>
      <w:r w:rsidR="009A72AE">
        <w:t xml:space="preserve"> </w:t>
      </w:r>
      <w:r>
        <w:t>In FY 201</w:t>
      </w:r>
      <w:r w:rsidR="00405B57">
        <w:t>2</w:t>
      </w:r>
      <w:r>
        <w:t>, the Division met both outcome goals</w:t>
      </w:r>
      <w:r w:rsidR="008C3D47">
        <w:t xml:space="preserve"> and is on track to meet both of them in FY 201</w:t>
      </w:r>
      <w:r w:rsidR="00405B57">
        <w:t>3</w:t>
      </w:r>
      <w:r>
        <w:t>.</w:t>
      </w:r>
    </w:p>
    <w:p w:rsidR="003820BA" w:rsidRPr="005767CC" w:rsidRDefault="003820BA" w:rsidP="003820BA"/>
    <w:p w:rsidR="003820BA" w:rsidRPr="005767CC" w:rsidRDefault="003820BA" w:rsidP="003820BA">
      <w:pPr>
        <w:rPr>
          <w:i/>
        </w:rPr>
      </w:pPr>
      <w:r>
        <w:rPr>
          <w:i/>
        </w:rPr>
        <w:t>Prosecutions and Investigations</w:t>
      </w:r>
      <w:r w:rsidRPr="005767CC">
        <w:rPr>
          <w:i/>
        </w:rPr>
        <w:t xml:space="preserve"> Workload </w:t>
      </w:r>
    </w:p>
    <w:p w:rsidR="003820BA" w:rsidRDefault="003820BA" w:rsidP="003820BA"/>
    <w:p w:rsidR="00B55938" w:rsidRPr="007308E9" w:rsidRDefault="003820BA" w:rsidP="00B55938">
      <w:r>
        <w:t>The Division leads complex investigations and tries significant prosecutions</w:t>
      </w:r>
      <w:r w:rsidRPr="005767CC">
        <w:t xml:space="preserve">.  </w:t>
      </w:r>
      <w:r>
        <w:t xml:space="preserve">Many of these cases are of </w:t>
      </w:r>
      <w:r w:rsidRPr="005767CC">
        <w:t>national significance</w:t>
      </w:r>
      <w:r>
        <w:t>,</w:t>
      </w:r>
      <w:r w:rsidRPr="001C26CB">
        <w:t xml:space="preserve"> req</w:t>
      </w:r>
      <w:r>
        <w:t>uire international coordination,</w:t>
      </w:r>
      <w:r w:rsidRPr="001C26CB">
        <w:t xml:space="preserve"> ha</w:t>
      </w:r>
      <w:r>
        <w:t>ve precedent-setting implications,</w:t>
      </w:r>
      <w:r w:rsidRPr="001C26CB">
        <w:t xml:space="preserve"> </w:t>
      </w:r>
      <w:r w:rsidR="00E910D5">
        <w:t xml:space="preserve">and </w:t>
      </w:r>
      <w:r w:rsidRPr="001C26CB">
        <w:t xml:space="preserve">involve </w:t>
      </w:r>
      <w:r>
        <w:t xml:space="preserve">the </w:t>
      </w:r>
      <w:r w:rsidRPr="007308E9">
        <w:t>coordination of cross-jurisdictional investigations.</w:t>
      </w:r>
      <w:r w:rsidR="009A72AE">
        <w:t xml:space="preserve"> </w:t>
      </w:r>
      <w:r w:rsidRPr="007308E9">
        <w:t xml:space="preserve"> </w:t>
      </w:r>
      <w:r w:rsidR="00E910D5">
        <w:t>T</w:t>
      </w:r>
      <w:r>
        <w:t>he Division exceed</w:t>
      </w:r>
      <w:r w:rsidR="00E910D5">
        <w:t>ed</w:t>
      </w:r>
      <w:r>
        <w:t xml:space="preserve"> some of the FY 2011 targets set for prosecutions and investigations workload.</w:t>
      </w:r>
      <w:r w:rsidR="009A72AE">
        <w:t xml:space="preserve"> </w:t>
      </w:r>
      <w:r>
        <w:t xml:space="preserve"> </w:t>
      </w:r>
      <w:r w:rsidR="00405B57">
        <w:t>T</w:t>
      </w:r>
      <w:r w:rsidR="00B55938">
        <w:t xml:space="preserve">he </w:t>
      </w:r>
      <w:r w:rsidR="00B55938" w:rsidRPr="007308E9">
        <w:t xml:space="preserve">Division </w:t>
      </w:r>
      <w:r w:rsidR="00B55938">
        <w:t xml:space="preserve">projects that the </w:t>
      </w:r>
      <w:r w:rsidR="00B55938" w:rsidRPr="007308E9">
        <w:t xml:space="preserve">prosecutions and investigations workload reflected the following: </w:t>
      </w:r>
    </w:p>
    <w:p w:rsidR="00B55938" w:rsidRPr="007308E9" w:rsidRDefault="00B55938" w:rsidP="00B55938">
      <w:pPr>
        <w:ind w:firstLine="360"/>
      </w:pPr>
    </w:p>
    <w:p w:rsidR="00B55938" w:rsidRPr="00705513" w:rsidRDefault="00B55938" w:rsidP="00420649">
      <w:pPr>
        <w:numPr>
          <w:ilvl w:val="0"/>
          <w:numId w:val="7"/>
        </w:numPr>
      </w:pPr>
      <w:r w:rsidRPr="007308E9">
        <w:t>The number of cases and m</w:t>
      </w:r>
      <w:r>
        <w:t xml:space="preserve">atters opened by </w:t>
      </w:r>
      <w:r w:rsidRPr="00705513">
        <w:t xml:space="preserve">the Division increased by approximately </w:t>
      </w:r>
      <w:r w:rsidR="00705513" w:rsidRPr="00705513">
        <w:t>5</w:t>
      </w:r>
      <w:r w:rsidRPr="00705513">
        <w:t xml:space="preserve">%; </w:t>
      </w:r>
    </w:p>
    <w:p w:rsidR="00B55938" w:rsidRPr="00705513" w:rsidRDefault="00B55938" w:rsidP="00420649">
      <w:pPr>
        <w:numPr>
          <w:ilvl w:val="0"/>
          <w:numId w:val="7"/>
        </w:numPr>
      </w:pPr>
      <w:r w:rsidRPr="00705513">
        <w:t xml:space="preserve">The number of cases and matters closed increased by approximately </w:t>
      </w:r>
      <w:r w:rsidR="00705513" w:rsidRPr="00705513">
        <w:t>5</w:t>
      </w:r>
      <w:r w:rsidRPr="00705513">
        <w:t>%; and,</w:t>
      </w:r>
    </w:p>
    <w:p w:rsidR="00B55938" w:rsidRPr="00705513" w:rsidRDefault="00B55938" w:rsidP="00420649">
      <w:pPr>
        <w:numPr>
          <w:ilvl w:val="0"/>
          <w:numId w:val="7"/>
        </w:numPr>
      </w:pPr>
      <w:r w:rsidRPr="00705513">
        <w:t xml:space="preserve">The number of appellate work opened and closed will remain the same. </w:t>
      </w:r>
    </w:p>
    <w:p w:rsidR="008D50ED" w:rsidRPr="008D50ED" w:rsidRDefault="008D50ED" w:rsidP="003820BA"/>
    <w:p w:rsidR="003820BA" w:rsidRDefault="003820BA" w:rsidP="003820BA">
      <w:pPr>
        <w:rPr>
          <w:i/>
        </w:rPr>
      </w:pPr>
      <w:r w:rsidRPr="005767CC">
        <w:rPr>
          <w:i/>
        </w:rPr>
        <w:t>Other Critical Division Workload</w:t>
      </w:r>
    </w:p>
    <w:p w:rsidR="00705513" w:rsidRPr="005767CC" w:rsidRDefault="00705513" w:rsidP="003820BA">
      <w:pPr>
        <w:rPr>
          <w:i/>
        </w:rPr>
      </w:pPr>
    </w:p>
    <w:p w:rsidR="003820BA" w:rsidRDefault="003820BA" w:rsidP="003820BA">
      <w:pPr>
        <w:pStyle w:val="BodyText"/>
      </w:pPr>
      <w:r>
        <w:t>In addition to investigating and prosecuting criminal cases, t</w:t>
      </w:r>
      <w:r w:rsidRPr="005767CC">
        <w:t xml:space="preserve">he Division </w:t>
      </w:r>
      <w:r>
        <w:t xml:space="preserve">plays a central role in the Department’s mission by reviewing the use </w:t>
      </w:r>
      <w:r w:rsidRPr="005767CC">
        <w:t>of critical law enforcement tools</w:t>
      </w:r>
      <w:r>
        <w:t>, including the approval of all requests for wiretapping under Title III</w:t>
      </w:r>
      <w:r w:rsidRPr="005767CC">
        <w:t xml:space="preserve">.  </w:t>
      </w:r>
      <w:r w:rsidR="00E7479A">
        <w:t>T</w:t>
      </w:r>
      <w:r>
        <w:t xml:space="preserve">he Division </w:t>
      </w:r>
      <w:r w:rsidR="00E7479A">
        <w:t xml:space="preserve">also </w:t>
      </w:r>
      <w:r>
        <w:t>provides e</w:t>
      </w:r>
      <w:r w:rsidRPr="005767CC">
        <w:t xml:space="preserve">xpert guidance and legal advice </w:t>
      </w:r>
      <w:r>
        <w:t xml:space="preserve">on significant </w:t>
      </w:r>
      <w:r w:rsidRPr="005767CC">
        <w:t xml:space="preserve">legislative </w:t>
      </w:r>
      <w:r>
        <w:t>proposals, analyzes Department-wide and government-wide law enforcement</w:t>
      </w:r>
      <w:r w:rsidRPr="005767CC">
        <w:t xml:space="preserve"> policy, </w:t>
      </w:r>
      <w:r>
        <w:t xml:space="preserve">conducts </w:t>
      </w:r>
      <w:r w:rsidRPr="005767CC">
        <w:t>training</w:t>
      </w:r>
      <w:r>
        <w:t xml:space="preserve"> for the field</w:t>
      </w:r>
      <w:r w:rsidRPr="005767CC">
        <w:t xml:space="preserve">, and </w:t>
      </w:r>
      <w:r>
        <w:t xml:space="preserve">engages in </w:t>
      </w:r>
      <w:r w:rsidRPr="005767CC">
        <w:t xml:space="preserve">programmatic coordination.  </w:t>
      </w:r>
    </w:p>
    <w:p w:rsidR="003820BA" w:rsidRDefault="003820BA">
      <w:pPr>
        <w:pStyle w:val="BodyText"/>
        <w:rPr>
          <w:i/>
          <w:iCs/>
        </w:rPr>
      </w:pPr>
    </w:p>
    <w:p w:rsidR="003820BA" w:rsidRDefault="00AA20B2">
      <w:pPr>
        <w:pStyle w:val="BodyText"/>
        <w:rPr>
          <w:i/>
          <w:iCs/>
        </w:rPr>
      </w:pPr>
      <w:r>
        <w:rPr>
          <w:i/>
          <w:iCs/>
          <w:noProof/>
        </w:rPr>
        <w:drawing>
          <wp:inline distT="0" distB="0" distL="0" distR="0">
            <wp:extent cx="5828857" cy="2521391"/>
            <wp:effectExtent l="19050" t="0" r="44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5829892" cy="2521839"/>
                    </a:xfrm>
                    <a:prstGeom prst="rect">
                      <a:avLst/>
                    </a:prstGeom>
                    <a:noFill/>
                  </pic:spPr>
                </pic:pic>
              </a:graphicData>
            </a:graphic>
          </wp:inline>
        </w:drawing>
      </w:r>
    </w:p>
    <w:p w:rsidR="003820BA" w:rsidRDefault="003820BA">
      <w:pPr>
        <w:pStyle w:val="BodyText"/>
        <w:rPr>
          <w:i/>
          <w:iCs/>
        </w:rPr>
      </w:pPr>
    </w:p>
    <w:p w:rsidR="003820BA" w:rsidRDefault="003820BA" w:rsidP="003820BA">
      <w:pPr>
        <w:pStyle w:val="BodyText"/>
      </w:pPr>
      <w:r>
        <w:t>The Division exceeded its FY 2011 targets for four of these five measures, missing only th</w:t>
      </w:r>
      <w:r w:rsidR="00B55938">
        <w:t>e mandatory reviews completed.</w:t>
      </w:r>
      <w:r w:rsidR="009A72AE">
        <w:t xml:space="preserve"> </w:t>
      </w:r>
      <w:r w:rsidR="00B55938">
        <w:t xml:space="preserve"> </w:t>
      </w:r>
      <w:r w:rsidR="003E240E">
        <w:t>With</w:t>
      </w:r>
      <w:r w:rsidR="00B55938">
        <w:t xml:space="preserve"> the </w:t>
      </w:r>
      <w:r w:rsidR="00981721">
        <w:t>FY 2014</w:t>
      </w:r>
      <w:r w:rsidR="0054214F">
        <w:t xml:space="preserve"> </w:t>
      </w:r>
      <w:r w:rsidR="003E240E">
        <w:t xml:space="preserve">enhancement </w:t>
      </w:r>
      <w:r w:rsidR="00B55938">
        <w:t xml:space="preserve">request, </w:t>
      </w:r>
      <w:r w:rsidR="00981721">
        <w:t xml:space="preserve">Division expects </w:t>
      </w:r>
      <w:r w:rsidR="003E240E">
        <w:t>to complete about</w:t>
      </w:r>
      <w:r w:rsidR="00705513">
        <w:t xml:space="preserve"> 4</w:t>
      </w:r>
      <w:r w:rsidR="00445581">
        <w:t xml:space="preserve">% </w:t>
      </w:r>
      <w:r w:rsidR="003E240E">
        <w:t>more mandatory reviews</w:t>
      </w:r>
      <w:r w:rsidR="00445581">
        <w:t xml:space="preserve">.  </w:t>
      </w:r>
      <w:r w:rsidR="0054214F">
        <w:t xml:space="preserve"> </w:t>
      </w:r>
      <w:r w:rsidR="00981721">
        <w:t xml:space="preserve"> </w:t>
      </w:r>
    </w:p>
    <w:p w:rsidR="00A733D6" w:rsidRPr="00DC4C9F" w:rsidRDefault="00A733D6">
      <w:pPr>
        <w:pStyle w:val="BodyText"/>
        <w:rPr>
          <w:i/>
          <w:iCs/>
        </w:rPr>
      </w:pPr>
    </w:p>
    <w:p w:rsidR="00224A36" w:rsidRPr="00DC4C9F" w:rsidRDefault="00224A36">
      <w:pPr>
        <w:pStyle w:val="BodyText"/>
        <w:rPr>
          <w:rFonts w:cs="Arial"/>
        </w:rPr>
      </w:pPr>
      <w:r w:rsidRPr="00DC4C9F">
        <w:rPr>
          <w:rFonts w:cs="Arial"/>
        </w:rPr>
        <w:t>b.</w:t>
      </w:r>
      <w:r w:rsidRPr="00DC4C9F">
        <w:rPr>
          <w:rFonts w:cs="Arial"/>
        </w:rPr>
        <w:tab/>
        <w:t xml:space="preserve">  Strategies to Accomplish Outcomes</w:t>
      </w:r>
    </w:p>
    <w:p w:rsidR="00224A36" w:rsidRPr="00DC4C9F" w:rsidRDefault="00224A36">
      <w:pPr>
        <w:pStyle w:val="BodyText"/>
      </w:pPr>
    </w:p>
    <w:p w:rsidR="003820BA" w:rsidRDefault="003820BA" w:rsidP="003820BA">
      <w:pPr>
        <w:pStyle w:val="BodyText"/>
      </w:pPr>
      <w:r w:rsidRPr="005767CC">
        <w:t>The Criminal Division’s mission is to develop, enforce, and exercise general oversight for all federal criminal laws.  In fulfilling this mission, the Division plays a central role in assisting the Department in accomplishing its Strategic Goals One</w:t>
      </w:r>
      <w:r w:rsidR="007B4BCB">
        <w:t>,</w:t>
      </w:r>
      <w:r>
        <w:t xml:space="preserve"> </w:t>
      </w:r>
      <w:r w:rsidRPr="005767CC">
        <w:t>Two</w:t>
      </w:r>
      <w:r w:rsidR="007B4BCB">
        <w:t>, and Three</w:t>
      </w:r>
      <w:r w:rsidRPr="005767CC">
        <w:t xml:space="preserve">.  </w:t>
      </w:r>
      <w:r w:rsidR="00C10AEF">
        <w:t xml:space="preserve">  </w:t>
      </w:r>
      <w:r>
        <w:t xml:space="preserve"> </w:t>
      </w:r>
    </w:p>
    <w:p w:rsidR="003820BA" w:rsidRDefault="003820BA" w:rsidP="003820BA">
      <w:pPr>
        <w:pStyle w:val="BodyText"/>
      </w:pPr>
      <w:r w:rsidRPr="005767CC">
        <w:t xml:space="preserve">  </w:t>
      </w:r>
    </w:p>
    <w:p w:rsidR="005D39D7" w:rsidRPr="00DC4C9F" w:rsidRDefault="008001B8">
      <w:pPr>
        <w:pStyle w:val="BodyText"/>
        <w:rPr>
          <w:iCs/>
        </w:rPr>
      </w:pPr>
      <w:r>
        <w:rPr>
          <w:iCs/>
        </w:rPr>
        <w:t>c</w:t>
      </w:r>
      <w:r w:rsidR="005D39D7" w:rsidRPr="00DC4C9F">
        <w:rPr>
          <w:iCs/>
        </w:rPr>
        <w:t xml:space="preserve">. </w:t>
      </w:r>
      <w:r w:rsidR="005D39D7" w:rsidRPr="00DC4C9F">
        <w:rPr>
          <w:iCs/>
        </w:rPr>
        <w:tab/>
        <w:t>Priority Goals</w:t>
      </w:r>
    </w:p>
    <w:p w:rsidR="005D39D7" w:rsidRPr="00DC4C9F" w:rsidRDefault="005D39D7">
      <w:pPr>
        <w:pStyle w:val="BodyText"/>
        <w:rPr>
          <w:iCs/>
        </w:rPr>
      </w:pPr>
    </w:p>
    <w:p w:rsidR="009F7337" w:rsidRDefault="009F7337" w:rsidP="009F7337">
      <w:pPr>
        <w:pStyle w:val="BodyText"/>
      </w:pPr>
      <w:r>
        <w:t xml:space="preserve">The Criminal Division contributes to two priority goals: </w:t>
      </w:r>
    </w:p>
    <w:p w:rsidR="009F7337" w:rsidRDefault="009F7337" w:rsidP="009F7337">
      <w:pPr>
        <w:pStyle w:val="BodyText"/>
      </w:pPr>
    </w:p>
    <w:p w:rsidR="009F7337" w:rsidRPr="006614AA" w:rsidRDefault="009F7337" w:rsidP="009F7337">
      <w:pPr>
        <w:rPr>
          <w:rFonts w:cs="Arial"/>
        </w:rPr>
      </w:pPr>
      <w:r w:rsidRPr="00A00F72">
        <w:rPr>
          <w:b/>
          <w:bCs/>
          <w:u w:val="single"/>
        </w:rPr>
        <w:t>Financial Fraud</w:t>
      </w:r>
      <w:r>
        <w:rPr>
          <w:b/>
          <w:bCs/>
          <w:u w:val="single"/>
        </w:rPr>
        <w:t>/</w:t>
      </w:r>
      <w:proofErr w:type="spellStart"/>
      <w:r w:rsidRPr="00A00F72">
        <w:rPr>
          <w:b/>
          <w:bCs/>
          <w:u w:val="single"/>
        </w:rPr>
        <w:t>H</w:t>
      </w:r>
      <w:r>
        <w:rPr>
          <w:b/>
          <w:bCs/>
          <w:u w:val="single"/>
        </w:rPr>
        <w:t>eathcare</w:t>
      </w:r>
      <w:proofErr w:type="spellEnd"/>
      <w:r>
        <w:rPr>
          <w:b/>
          <w:bCs/>
          <w:u w:val="single"/>
        </w:rPr>
        <w:t xml:space="preserve"> Fraud</w:t>
      </w:r>
      <w:r w:rsidRPr="00A00F72">
        <w:rPr>
          <w:b/>
          <w:bCs/>
        </w:rPr>
        <w:t xml:space="preserve">: </w:t>
      </w:r>
      <w:r w:rsidRPr="006614AA">
        <w:rPr>
          <w:rFonts w:cs="Arial"/>
        </w:rPr>
        <w:t xml:space="preserve">Protect the American people from financial and healthcare fraud:  In order to efficiently and effectively address financial fraud and healthcare fraud, by the end of FY 2013, increase by 5 percent over FY 2011 levels, the number of investigations completed per Department of Justice attorney working on financial fraud and healthcare fraud cases; additionally for use in appropriate cases, institute a system for tracking compliance by corporate defendants with the terms of judgments, consent decrees, settlements, deferred prosecution agreements, and </w:t>
      </w:r>
      <w:proofErr w:type="spellStart"/>
      <w:r w:rsidRPr="006614AA">
        <w:rPr>
          <w:rFonts w:cs="Arial"/>
        </w:rPr>
        <w:t>nonprosecution</w:t>
      </w:r>
      <w:proofErr w:type="spellEnd"/>
      <w:r w:rsidRPr="006614AA">
        <w:rPr>
          <w:rFonts w:cs="Arial"/>
        </w:rPr>
        <w:t xml:space="preserve"> agreements.</w:t>
      </w:r>
    </w:p>
    <w:p w:rsidR="009F7337" w:rsidRDefault="009F7337" w:rsidP="009F7337">
      <w:pPr>
        <w:pStyle w:val="NormalWeb"/>
        <w:spacing w:before="0" w:beforeAutospacing="0" w:after="0" w:afterAutospacing="0"/>
        <w:rPr>
          <w:i/>
          <w:iCs/>
        </w:rPr>
      </w:pPr>
    </w:p>
    <w:p w:rsidR="009F7337" w:rsidRDefault="009F7337" w:rsidP="009F7337">
      <w:pPr>
        <w:shd w:val="clear" w:color="auto" w:fill="FFFFFF"/>
      </w:pPr>
      <w:r>
        <w:rPr>
          <w:b/>
          <w:bCs/>
          <w:u w:val="single"/>
        </w:rPr>
        <w:t>Vulnerable People</w:t>
      </w:r>
      <w:r w:rsidRPr="000D23A8">
        <w:rPr>
          <w:b/>
          <w:bCs/>
        </w:rPr>
        <w:t xml:space="preserve">: </w:t>
      </w:r>
      <w:r w:rsidRPr="00A00F72">
        <w:rPr>
          <w:bCs/>
        </w:rPr>
        <w:t>Protect those most in need of help</w:t>
      </w:r>
      <w:r>
        <w:t xml:space="preserve"> - with special emphasis on child exploitation and civil rights: By September 30, 2013, working with state and local law enforcement agencies, protect potential victims from abuse and exploitation by achieving a 5% increase for 3 sets of key indicators: </w:t>
      </w:r>
    </w:p>
    <w:p w:rsidR="009F7337" w:rsidRDefault="009F7337" w:rsidP="009F7337">
      <w:pPr>
        <w:shd w:val="clear" w:color="auto" w:fill="FFFFFF"/>
      </w:pPr>
    </w:p>
    <w:p w:rsidR="009F7337" w:rsidRDefault="009F7337" w:rsidP="00420649">
      <w:pPr>
        <w:pStyle w:val="ListParagraph"/>
        <w:numPr>
          <w:ilvl w:val="0"/>
          <w:numId w:val="22"/>
        </w:numPr>
        <w:shd w:val="clear" w:color="auto" w:fill="FFFFFF"/>
        <w:rPr>
          <w:color w:val="000000"/>
        </w:rPr>
      </w:pPr>
      <w:r>
        <w:rPr>
          <w:color w:val="000000"/>
        </w:rPr>
        <w:t xml:space="preserve">Open investigations concerning non-compliant sex offenders, sexual exploitation of children, human trafficking </w:t>
      </w:r>
    </w:p>
    <w:p w:rsidR="009F7337" w:rsidRDefault="009F7337" w:rsidP="00420649">
      <w:pPr>
        <w:pStyle w:val="ListParagraph"/>
        <w:numPr>
          <w:ilvl w:val="0"/>
          <w:numId w:val="22"/>
        </w:numPr>
        <w:shd w:val="clear" w:color="auto" w:fill="FFFFFF"/>
        <w:rPr>
          <w:color w:val="000000"/>
        </w:rPr>
      </w:pPr>
      <w:r>
        <w:rPr>
          <w:color w:val="000000"/>
        </w:rPr>
        <w:t>Matters/investigations resolved concerning sexual exploitation of children and human trafficking</w:t>
      </w:r>
    </w:p>
    <w:p w:rsidR="009F7337" w:rsidRPr="00EA05D2" w:rsidRDefault="009F7337" w:rsidP="00420649">
      <w:pPr>
        <w:pStyle w:val="ListParagraph"/>
        <w:numPr>
          <w:ilvl w:val="0"/>
          <w:numId w:val="22"/>
        </w:numPr>
        <w:rPr>
          <w:i/>
          <w:iCs/>
        </w:rPr>
      </w:pPr>
      <w:r w:rsidRPr="00EA05D2">
        <w:rPr>
          <w:color w:val="000000"/>
        </w:rPr>
        <w:t>Number of children depicted in child pornography that are identified by the FBI</w:t>
      </w:r>
    </w:p>
    <w:p w:rsidR="009F7337" w:rsidRDefault="009F7337" w:rsidP="009F7337">
      <w:pPr>
        <w:pStyle w:val="BodyText"/>
      </w:pPr>
    </w:p>
    <w:p w:rsidR="009F7337" w:rsidRDefault="009F7337" w:rsidP="009F7337">
      <w:pPr>
        <w:pStyle w:val="BodyText"/>
        <w:rPr>
          <w:bCs/>
        </w:rPr>
      </w:pPr>
      <w:r>
        <w:rPr>
          <w:bCs/>
        </w:rPr>
        <w:t xml:space="preserve">The Division’s progress regarding these two goals is reported quarterly to the Department. </w:t>
      </w:r>
    </w:p>
    <w:p w:rsidR="009F7337" w:rsidRDefault="009F7337" w:rsidP="009F7337">
      <w:pPr>
        <w:pStyle w:val="BodyText"/>
        <w:rPr>
          <w:rFonts w:cs="Arial"/>
          <w:b/>
          <w:sz w:val="22"/>
          <w:szCs w:val="22"/>
        </w:rPr>
      </w:pPr>
    </w:p>
    <w:p w:rsidR="00ED3E9D" w:rsidRDefault="00ED3E9D" w:rsidP="009F7337">
      <w:pPr>
        <w:pStyle w:val="BodyText"/>
        <w:rPr>
          <w:rFonts w:cs="Arial"/>
          <w:b/>
          <w:sz w:val="22"/>
          <w:szCs w:val="22"/>
        </w:rPr>
      </w:pPr>
    </w:p>
    <w:p w:rsidR="004305CE" w:rsidRDefault="004305CE">
      <w:pPr>
        <w:rPr>
          <w:b/>
          <w:sz w:val="28"/>
          <w:szCs w:val="28"/>
        </w:rPr>
      </w:pPr>
      <w:r>
        <w:rPr>
          <w:b/>
          <w:sz w:val="28"/>
          <w:szCs w:val="28"/>
        </w:rPr>
        <w:br w:type="page"/>
      </w:r>
    </w:p>
    <w:p w:rsidR="001F4890" w:rsidRPr="00DC4C9F" w:rsidRDefault="001F4890" w:rsidP="00D31D5A">
      <w:pPr>
        <w:pStyle w:val="Footer"/>
        <w:tabs>
          <w:tab w:val="clear" w:pos="8640"/>
          <w:tab w:val="left" w:leader="dot" w:pos="4320"/>
        </w:tabs>
        <w:rPr>
          <w:rFonts w:cs="Arial"/>
          <w:b/>
          <w:szCs w:val="24"/>
        </w:rPr>
      </w:pPr>
      <w:bookmarkStart w:id="33" w:name="V"/>
      <w:r w:rsidRPr="001F4890">
        <w:rPr>
          <w:rFonts w:ascii="Times New Roman" w:hAnsi="Times New Roman"/>
          <w:b/>
          <w:sz w:val="28"/>
          <w:szCs w:val="28"/>
        </w:rPr>
        <w:lastRenderedPageBreak/>
        <w:t>V. Program Increases by Item</w:t>
      </w:r>
      <w:bookmarkEnd w:id="33"/>
    </w:p>
    <w:p w:rsidR="001F4890" w:rsidRDefault="001F4890" w:rsidP="001F4890">
      <w:pPr>
        <w:pStyle w:val="BodyText"/>
        <w:rPr>
          <w:sz w:val="18"/>
        </w:rPr>
      </w:pPr>
    </w:p>
    <w:p w:rsidR="00613F52" w:rsidRDefault="00613F52" w:rsidP="00613F52">
      <w:pPr>
        <w:pStyle w:val="xl19"/>
        <w:tabs>
          <w:tab w:val="left" w:pos="3420"/>
          <w:tab w:val="right" w:pos="8640"/>
        </w:tabs>
        <w:spacing w:before="0" w:after="0"/>
        <w:ind w:left="3420" w:hanging="3420"/>
        <w:rPr>
          <w:b/>
          <w:bCs/>
        </w:rPr>
      </w:pPr>
      <w:r>
        <w:rPr>
          <w:b/>
          <w:bCs/>
        </w:rPr>
        <w:t>Item Name:</w:t>
      </w:r>
      <w:r>
        <w:rPr>
          <w:b/>
          <w:bCs/>
        </w:rPr>
        <w:tab/>
      </w:r>
      <w:bookmarkStart w:id="34" w:name="Cyber"/>
      <w:r w:rsidRPr="001841A0">
        <w:rPr>
          <w:b/>
          <w:bCs/>
          <w:u w:val="single"/>
        </w:rPr>
        <w:t>Enhancing Cyber Capabilities</w:t>
      </w:r>
      <w:r>
        <w:rPr>
          <w:b/>
          <w:bCs/>
          <w:u w:val="single"/>
        </w:rPr>
        <w:t xml:space="preserve"> to Address the Blended Cyber Security Threat</w:t>
      </w:r>
      <w:bookmarkEnd w:id="34"/>
      <w:r w:rsidRPr="001841A0">
        <w:rPr>
          <w:b/>
          <w:bCs/>
        </w:rPr>
        <w:tab/>
      </w:r>
    </w:p>
    <w:p w:rsidR="00613F52" w:rsidRDefault="00613F52" w:rsidP="00613F52">
      <w:pPr>
        <w:pStyle w:val="xl19"/>
        <w:tabs>
          <w:tab w:val="left" w:pos="3420"/>
          <w:tab w:val="right" w:pos="8640"/>
        </w:tabs>
        <w:spacing w:before="0" w:after="0"/>
        <w:rPr>
          <w:rFonts w:eastAsia="Times New Roman"/>
        </w:rPr>
      </w:pPr>
    </w:p>
    <w:p w:rsidR="00613F52" w:rsidRDefault="00613F52" w:rsidP="00613F52">
      <w:pPr>
        <w:pStyle w:val="xl19"/>
        <w:tabs>
          <w:tab w:val="left" w:pos="3420"/>
          <w:tab w:val="right" w:pos="8640"/>
        </w:tabs>
        <w:spacing w:before="0" w:after="0"/>
        <w:rPr>
          <w:rFonts w:eastAsia="Times New Roman"/>
        </w:rPr>
      </w:pPr>
      <w:r>
        <w:rPr>
          <w:rFonts w:eastAsia="Times New Roman"/>
        </w:rPr>
        <w:t xml:space="preserve">Budget Decision Unit(s): </w:t>
      </w:r>
      <w:r>
        <w:rPr>
          <w:rFonts w:eastAsia="Times New Roman"/>
        </w:rPr>
        <w:tab/>
      </w:r>
      <w:r>
        <w:rPr>
          <w:rFonts w:eastAsia="Times New Roman"/>
          <w:u w:val="single"/>
        </w:rPr>
        <w:t>Enforcing Federal Criminal Laws</w:t>
      </w:r>
      <w:r>
        <w:rPr>
          <w:rFonts w:eastAsia="Times New Roman"/>
          <w:u w:val="single"/>
        </w:rPr>
        <w:tab/>
      </w:r>
    </w:p>
    <w:p w:rsidR="00613F52" w:rsidRDefault="00613F52" w:rsidP="00613F52">
      <w:pPr>
        <w:pStyle w:val="xl19"/>
        <w:tabs>
          <w:tab w:val="left" w:pos="3420"/>
          <w:tab w:val="right" w:pos="8640"/>
        </w:tabs>
        <w:ind w:left="3420" w:hanging="3420"/>
        <w:rPr>
          <w:rFonts w:eastAsia="Times New Roman"/>
          <w:u w:val="single"/>
        </w:rPr>
      </w:pPr>
      <w:r>
        <w:rPr>
          <w:rFonts w:eastAsia="Times New Roman"/>
        </w:rPr>
        <w:t xml:space="preserve">Strategic Goal/Objective: </w:t>
      </w:r>
      <w:r>
        <w:rPr>
          <w:rFonts w:eastAsia="Times New Roman"/>
        </w:rPr>
        <w:tab/>
      </w:r>
      <w:r>
        <w:rPr>
          <w:rFonts w:eastAsia="Times New Roman"/>
          <w:u w:val="single"/>
        </w:rPr>
        <w:t xml:space="preserve">Goal 1: </w:t>
      </w:r>
      <w:r w:rsidRPr="001841A0">
        <w:rPr>
          <w:rFonts w:eastAsia="Times New Roman"/>
          <w:u w:val="single"/>
        </w:rPr>
        <w:t>Prevent Terrorism and Promote the Nation's Security Consistent with the Rule of Law</w:t>
      </w:r>
    </w:p>
    <w:p w:rsidR="00613F52" w:rsidRPr="001841A0" w:rsidRDefault="00613F52" w:rsidP="00613F52">
      <w:pPr>
        <w:pStyle w:val="xl19"/>
        <w:tabs>
          <w:tab w:val="left" w:pos="3420"/>
          <w:tab w:val="right" w:pos="8640"/>
        </w:tabs>
        <w:ind w:left="3420" w:hanging="3420"/>
        <w:rPr>
          <w:rFonts w:eastAsia="Times New Roman"/>
          <w:u w:val="single"/>
        </w:rPr>
      </w:pPr>
      <w:r>
        <w:rPr>
          <w:rFonts w:eastAsia="Times New Roman"/>
        </w:rPr>
        <w:tab/>
      </w:r>
      <w:r>
        <w:rPr>
          <w:rFonts w:eastAsia="Times New Roman"/>
          <w:u w:val="single"/>
        </w:rPr>
        <w:t>Objective 1.2: Prosecute those involved in terrorist acts</w:t>
      </w:r>
    </w:p>
    <w:p w:rsidR="00613F52" w:rsidRDefault="00613F52" w:rsidP="00613F52">
      <w:pPr>
        <w:pStyle w:val="xl19"/>
        <w:tabs>
          <w:tab w:val="left" w:pos="3420"/>
          <w:tab w:val="right" w:pos="8640"/>
        </w:tabs>
        <w:ind w:left="3420" w:hanging="3420"/>
        <w:rPr>
          <w:rFonts w:eastAsia="Times New Roman"/>
          <w:u w:val="single"/>
        </w:rPr>
      </w:pPr>
      <w:r w:rsidRPr="001841A0">
        <w:rPr>
          <w:rFonts w:eastAsia="Times New Roman"/>
        </w:rPr>
        <w:tab/>
      </w:r>
      <w:r>
        <w:rPr>
          <w:rFonts w:eastAsia="Times New Roman"/>
          <w:u w:val="single"/>
        </w:rPr>
        <w:t xml:space="preserve">Goal 2: </w:t>
      </w:r>
      <w:r w:rsidRPr="001841A0">
        <w:rPr>
          <w:rFonts w:eastAsia="Times New Roman"/>
          <w:u w:val="single"/>
        </w:rPr>
        <w:t>Prevent Crime, Protect the Rights of the American People, and Enforce Federal Law</w:t>
      </w:r>
    </w:p>
    <w:p w:rsidR="00613F52" w:rsidRPr="001841A0" w:rsidRDefault="00613F52" w:rsidP="00613F52">
      <w:pPr>
        <w:pStyle w:val="xl19"/>
        <w:tabs>
          <w:tab w:val="left" w:pos="3420"/>
          <w:tab w:val="right" w:pos="8640"/>
        </w:tabs>
        <w:ind w:left="3420" w:hanging="3420"/>
        <w:rPr>
          <w:rFonts w:eastAsia="Times New Roman"/>
          <w:u w:val="single"/>
        </w:rPr>
      </w:pPr>
      <w:r>
        <w:rPr>
          <w:rFonts w:eastAsia="Times New Roman"/>
        </w:rPr>
        <w:tab/>
      </w:r>
      <w:r>
        <w:rPr>
          <w:rFonts w:eastAsia="Times New Roman"/>
          <w:u w:val="single"/>
        </w:rPr>
        <w:t xml:space="preserve">Objective </w:t>
      </w:r>
      <w:r w:rsidRPr="001841A0">
        <w:rPr>
          <w:rFonts w:eastAsia="Times New Roman"/>
          <w:u w:val="single"/>
        </w:rPr>
        <w:t>2.4</w:t>
      </w:r>
      <w:r>
        <w:rPr>
          <w:rFonts w:eastAsia="Times New Roman"/>
          <w:u w:val="single"/>
        </w:rPr>
        <w:t>:</w:t>
      </w:r>
      <w:r w:rsidRPr="001841A0">
        <w:rPr>
          <w:rFonts w:eastAsia="Times New Roman"/>
          <w:u w:val="single"/>
        </w:rPr>
        <w:t xml:space="preserve"> Combat corruption, economic crimes, and international organized crime</w:t>
      </w:r>
      <w:r w:rsidRPr="001841A0">
        <w:rPr>
          <w:rFonts w:eastAsia="Times New Roman"/>
        </w:rPr>
        <w:tab/>
      </w:r>
    </w:p>
    <w:p w:rsidR="00613F52" w:rsidRDefault="00613F52" w:rsidP="00613F52">
      <w:pPr>
        <w:pStyle w:val="xl19"/>
        <w:tabs>
          <w:tab w:val="left" w:pos="3420"/>
          <w:tab w:val="right" w:pos="8640"/>
        </w:tabs>
        <w:spacing w:before="0" w:after="0"/>
        <w:rPr>
          <w:u w:val="single"/>
        </w:rPr>
      </w:pPr>
      <w:r>
        <w:t>Organizational Program:</w:t>
      </w:r>
      <w:r>
        <w:tab/>
      </w:r>
      <w:r w:rsidRPr="001841A0">
        <w:rPr>
          <w:u w:val="single"/>
        </w:rPr>
        <w:t>Criminal Division</w:t>
      </w:r>
      <w:r>
        <w:rPr>
          <w:u w:val="single"/>
        </w:rPr>
        <w:tab/>
      </w:r>
    </w:p>
    <w:p w:rsidR="00613F52" w:rsidRDefault="00613F52" w:rsidP="00613F52">
      <w:pPr>
        <w:pStyle w:val="xl19"/>
        <w:tabs>
          <w:tab w:val="left" w:pos="3420"/>
          <w:tab w:val="right" w:pos="8640"/>
        </w:tabs>
        <w:spacing w:before="0" w:after="0"/>
        <w:rPr>
          <w:u w:val="single"/>
        </w:rPr>
      </w:pPr>
    </w:p>
    <w:p w:rsidR="00613F52" w:rsidRPr="00E94641" w:rsidRDefault="00613F52" w:rsidP="00613F52">
      <w:pPr>
        <w:pStyle w:val="xl19"/>
        <w:tabs>
          <w:tab w:val="left" w:pos="3420"/>
          <w:tab w:val="right" w:pos="8640"/>
        </w:tabs>
        <w:spacing w:before="0" w:after="0"/>
        <w:rPr>
          <w:u w:val="single"/>
        </w:rPr>
      </w:pPr>
      <w:r>
        <w:t>Request Priority:</w:t>
      </w:r>
      <w:r>
        <w:tab/>
      </w:r>
      <w:r w:rsidRPr="00E94641">
        <w:rPr>
          <w:u w:val="single"/>
        </w:rPr>
        <w:t xml:space="preserve">1 of </w:t>
      </w:r>
      <w:r w:rsidR="00E94641" w:rsidRPr="00E94641">
        <w:rPr>
          <w:u w:val="single"/>
        </w:rPr>
        <w:t>3</w:t>
      </w:r>
    </w:p>
    <w:p w:rsidR="00613F52" w:rsidRDefault="00613F52" w:rsidP="00613F52">
      <w:pPr>
        <w:pStyle w:val="xl19"/>
        <w:spacing w:before="0" w:after="0"/>
        <w:rPr>
          <w:rFonts w:eastAsia="Times New Roman"/>
        </w:rPr>
      </w:pPr>
    </w:p>
    <w:p w:rsidR="00613F52" w:rsidRPr="00860273" w:rsidRDefault="00613F52" w:rsidP="00460C01">
      <w:pPr>
        <w:pStyle w:val="xl19"/>
        <w:tabs>
          <w:tab w:val="left" w:pos="3420"/>
          <w:tab w:val="right" w:pos="8640"/>
        </w:tabs>
        <w:spacing w:before="0" w:after="0"/>
        <w:rPr>
          <w:rFonts w:eastAsia="Times New Roman"/>
          <w:u w:val="single"/>
        </w:rPr>
      </w:pPr>
      <w:r>
        <w:rPr>
          <w:rFonts w:eastAsia="Times New Roman"/>
        </w:rPr>
        <w:t xml:space="preserve">Program Increase:  </w:t>
      </w:r>
      <w:r w:rsidR="00460C01">
        <w:rPr>
          <w:rFonts w:eastAsia="Times New Roman"/>
        </w:rPr>
        <w:tab/>
      </w:r>
      <w:proofErr w:type="gramStart"/>
      <w:r>
        <w:rPr>
          <w:rFonts w:eastAsia="Times New Roman"/>
        </w:rPr>
        <w:t xml:space="preserve">Positions </w:t>
      </w:r>
      <w:r>
        <w:rPr>
          <w:rFonts w:eastAsia="Times New Roman"/>
          <w:u w:val="single"/>
        </w:rPr>
        <w:t xml:space="preserve"> 25</w:t>
      </w:r>
      <w:proofErr w:type="gramEnd"/>
      <w:r>
        <w:rPr>
          <w:rFonts w:eastAsia="Times New Roman"/>
          <w:u w:val="single"/>
        </w:rPr>
        <w:t xml:space="preserve"> </w:t>
      </w:r>
      <w:r w:rsidR="00460C01">
        <w:rPr>
          <w:rFonts w:eastAsia="Times New Roman"/>
        </w:rPr>
        <w:t xml:space="preserve">  </w:t>
      </w:r>
      <w:proofErr w:type="spellStart"/>
      <w:r>
        <w:rPr>
          <w:rFonts w:eastAsia="Times New Roman"/>
        </w:rPr>
        <w:t>Atty</w:t>
      </w:r>
      <w:proofErr w:type="spellEnd"/>
      <w:r>
        <w:rPr>
          <w:rFonts w:eastAsia="Times New Roman"/>
        </w:rPr>
        <w:t xml:space="preserve"> </w:t>
      </w:r>
      <w:r>
        <w:rPr>
          <w:rFonts w:eastAsia="Times New Roman"/>
          <w:u w:val="single"/>
        </w:rPr>
        <w:t xml:space="preserve"> 9 </w:t>
      </w:r>
      <w:r>
        <w:rPr>
          <w:rFonts w:eastAsia="Times New Roman"/>
        </w:rPr>
        <w:t xml:space="preserve"> FTE </w:t>
      </w:r>
      <w:r>
        <w:rPr>
          <w:rFonts w:eastAsia="Times New Roman"/>
          <w:u w:val="single"/>
        </w:rPr>
        <w:t xml:space="preserve"> 14 </w:t>
      </w:r>
      <w:r>
        <w:rPr>
          <w:rFonts w:eastAsia="Times New Roman"/>
        </w:rPr>
        <w:t xml:space="preserve">  Dollars </w:t>
      </w:r>
      <w:r>
        <w:rPr>
          <w:rFonts w:eastAsia="Times New Roman"/>
          <w:u w:val="single"/>
        </w:rPr>
        <w:t xml:space="preserve"> $2,580,000 </w:t>
      </w:r>
    </w:p>
    <w:p w:rsidR="00613F52" w:rsidRDefault="00613F52" w:rsidP="00613F52">
      <w:pPr>
        <w:pStyle w:val="xl19"/>
        <w:tabs>
          <w:tab w:val="left" w:pos="2340"/>
          <w:tab w:val="right" w:pos="3060"/>
          <w:tab w:val="left" w:pos="3600"/>
          <w:tab w:val="right" w:pos="4500"/>
          <w:tab w:val="left" w:pos="5310"/>
          <w:tab w:val="right" w:pos="6300"/>
        </w:tabs>
        <w:spacing w:before="0" w:after="0"/>
        <w:rPr>
          <w:rFonts w:eastAsia="Times New Roman"/>
          <w:u w:val="single"/>
        </w:rPr>
      </w:pPr>
    </w:p>
    <w:p w:rsidR="00613F52" w:rsidRDefault="00613F52" w:rsidP="00613F52">
      <w:pPr>
        <w:pStyle w:val="xl24"/>
        <w:spacing w:before="0" w:after="0"/>
        <w:rPr>
          <w:rFonts w:eastAsia="Times New Roman"/>
        </w:rPr>
      </w:pPr>
      <w:r>
        <w:rPr>
          <w:rFonts w:eastAsia="Times New Roman"/>
        </w:rPr>
        <w:t>Description of Item</w:t>
      </w:r>
    </w:p>
    <w:p w:rsidR="00613F52" w:rsidRDefault="00613F52" w:rsidP="00613F52"/>
    <w:p w:rsidR="00613F52" w:rsidRDefault="00613F52" w:rsidP="00613F52">
      <w:r w:rsidRPr="00C50FA1">
        <w:t xml:space="preserve">The cybercrime </w:t>
      </w:r>
      <w:r>
        <w:t xml:space="preserve">threat is growing at a rapid rate.  The Criminal Division </w:t>
      </w:r>
      <w:r w:rsidRPr="00C50FA1">
        <w:t>play</w:t>
      </w:r>
      <w:r>
        <w:t>s a vital role</w:t>
      </w:r>
      <w:r w:rsidRPr="00C50FA1">
        <w:t xml:space="preserve"> in combating </w:t>
      </w:r>
      <w:r>
        <w:t xml:space="preserve">this threat </w:t>
      </w:r>
      <w:r w:rsidRPr="00C50FA1">
        <w:t>through direct involvement in prosecutions, support and advocacy for legal tools, international assistance and outreach, and forensic support</w:t>
      </w:r>
      <w:r w:rsidRPr="00050CAA">
        <w:t>.</w:t>
      </w:r>
      <w:r w:rsidR="009A72AE" w:rsidRPr="00050CAA">
        <w:t xml:space="preserve"> </w:t>
      </w:r>
      <w:r w:rsidRPr="00050CAA">
        <w:t xml:space="preserve"> </w:t>
      </w:r>
      <w:r w:rsidR="00D31D5A" w:rsidRPr="00050CAA">
        <w:t xml:space="preserve">In addition to operational support, this enhancement will increase the policy capacity of the Department of Justice as the government continues to grow its interaction and interface with </w:t>
      </w:r>
      <w:proofErr w:type="spellStart"/>
      <w:r w:rsidR="00D31D5A" w:rsidRPr="00050CAA">
        <w:t>cybersecurity</w:t>
      </w:r>
      <w:proofErr w:type="spellEnd"/>
      <w:r w:rsidR="00D31D5A" w:rsidRPr="00050CAA">
        <w:t xml:space="preserve"> and cyberspace issues.  </w:t>
      </w:r>
      <w:r w:rsidRPr="00050CAA">
        <w:t>In order to keep pace with the evolving cybercrime threat and the investments being</w:t>
      </w:r>
      <w:r>
        <w:t xml:space="preserve"> made to investigative agencies, the Division is requesting an increase of </w:t>
      </w:r>
      <w:r>
        <w:rPr>
          <w:b/>
        </w:rPr>
        <w:t>25</w:t>
      </w:r>
      <w:r w:rsidRPr="00072288">
        <w:rPr>
          <w:b/>
        </w:rPr>
        <w:t xml:space="preserve"> positions </w:t>
      </w:r>
      <w:r>
        <w:rPr>
          <w:b/>
        </w:rPr>
        <w:t>(9 attorneys), 14 FTE, and $2,580</w:t>
      </w:r>
      <w:r w:rsidRPr="00072288">
        <w:rPr>
          <w:b/>
        </w:rPr>
        <w:t>,000</w:t>
      </w:r>
      <w:r>
        <w:t xml:space="preserve">. </w:t>
      </w:r>
    </w:p>
    <w:p w:rsidR="00613F52" w:rsidRDefault="00613F52" w:rsidP="00613F52"/>
    <w:p w:rsidR="00613F52" w:rsidRDefault="00613F52" w:rsidP="00613F52">
      <w:pPr>
        <w:pStyle w:val="xl24"/>
        <w:spacing w:before="0" w:after="0"/>
        <w:rPr>
          <w:rFonts w:eastAsia="Times New Roman"/>
        </w:rPr>
      </w:pPr>
      <w:r>
        <w:rPr>
          <w:rFonts w:eastAsia="Times New Roman"/>
        </w:rPr>
        <w:t>Justification</w:t>
      </w:r>
    </w:p>
    <w:p w:rsidR="00613F52" w:rsidRDefault="00613F52" w:rsidP="00613F52"/>
    <w:p w:rsidR="00613F52" w:rsidRPr="005532E4" w:rsidRDefault="00613F52" w:rsidP="00613F52">
      <w:r w:rsidRPr="005532E4">
        <w:t>Threats to the nation</w:t>
      </w:r>
      <w:r>
        <w:t>’</w:t>
      </w:r>
      <w:r w:rsidRPr="005532E4">
        <w:t xml:space="preserve">s computer networks and cyber systems continue to evolve, as </w:t>
      </w:r>
      <w:r>
        <w:t>do</w:t>
      </w:r>
      <w:r w:rsidRPr="005532E4">
        <w:t xml:space="preserve"> the nature and capabilities of those responsible for the threat</w:t>
      </w:r>
      <w:r>
        <w:t>s</w:t>
      </w:r>
      <w:r w:rsidRPr="005532E4">
        <w:t xml:space="preserve">. </w:t>
      </w:r>
      <w:r w:rsidR="009A72AE">
        <w:t xml:space="preserve"> </w:t>
      </w:r>
      <w:r w:rsidRPr="005532E4">
        <w:t xml:space="preserve">Over the last several years, criminal investigators and prosecutors have seen significant increases in the skills and organization of threat actors. </w:t>
      </w:r>
      <w:r w:rsidR="009A72AE">
        <w:t xml:space="preserve"> </w:t>
      </w:r>
      <w:r>
        <w:t>In</w:t>
      </w:r>
      <w:r w:rsidRPr="005532E4">
        <w:t xml:space="preserve"> the last year, criminal groups such as Anonymous and </w:t>
      </w:r>
      <w:proofErr w:type="spellStart"/>
      <w:r w:rsidRPr="005532E4">
        <w:t>LulzSec</w:t>
      </w:r>
      <w:proofErr w:type="spellEnd"/>
      <w:r w:rsidRPr="005532E4">
        <w:t xml:space="preserve"> developed and quickly iterated tools and techniques for damaging computer systems and stealing large quantities of personal data.</w:t>
      </w:r>
      <w:r w:rsidRPr="005532E4">
        <w:rPr>
          <w:rStyle w:val="FootnoteReference"/>
        </w:rPr>
        <w:footnoteReference w:id="1"/>
      </w:r>
      <w:r w:rsidRPr="005532E4">
        <w:t xml:space="preserve"> Financially motivated groups work together closely and easily across national boundaries to steal, exploit, and profit from the large-scale theft of personal data, coalescing in forums where they barter individual skills to create ad hoc criminal networks with a power and reach sometimes approaching that of traditional transnational organized crime </w:t>
      </w:r>
      <w:r w:rsidRPr="005532E4">
        <w:lastRenderedPageBreak/>
        <w:t>networks.</w:t>
      </w:r>
      <w:r w:rsidRPr="005532E4">
        <w:rPr>
          <w:rStyle w:val="FootnoteReference"/>
        </w:rPr>
        <w:footnoteReference w:id="2"/>
      </w:r>
      <w:r w:rsidRPr="005532E4">
        <w:t xml:space="preserve"> Intellectual property and similar proprietary information on which our economy depends </w:t>
      </w:r>
      <w:r>
        <w:t>are threatened</w:t>
      </w:r>
      <w:r w:rsidRPr="005532E4">
        <w:t xml:space="preserve"> not only </w:t>
      </w:r>
      <w:r>
        <w:t>by</w:t>
      </w:r>
      <w:r w:rsidRPr="005532E4">
        <w:t xml:space="preserve"> criminals attacking </w:t>
      </w:r>
      <w:r>
        <w:t>remotely</w:t>
      </w:r>
      <w:r w:rsidRPr="005532E4">
        <w:t xml:space="preserve">, but also </w:t>
      </w:r>
      <w:r>
        <w:t>by</w:t>
      </w:r>
      <w:r w:rsidRPr="005532E4">
        <w:t xml:space="preserve"> insiders who can secrete years of research onto a chip the size of a coin in moments.</w:t>
      </w:r>
      <w:r w:rsidRPr="005532E4">
        <w:rPr>
          <w:rStyle w:val="FootnoteReference"/>
        </w:rPr>
        <w:footnoteReference w:id="3"/>
      </w:r>
      <w:r w:rsidRPr="005532E4">
        <w:t xml:space="preserve"> And, more recently, actors </w:t>
      </w:r>
      <w:r>
        <w:t>ranging from nation-states to terrorist groups</w:t>
      </w:r>
      <w:r w:rsidRPr="005532E4">
        <w:t xml:space="preserve"> to criminal organizations have expressed an interest in exploiting the computer networks that control our critical infrastructure</w:t>
      </w:r>
      <w:r>
        <w:t>—</w:t>
      </w:r>
      <w:r w:rsidRPr="005532E4">
        <w:t>such as the power</w:t>
      </w:r>
      <w:r>
        <w:t xml:space="preserve"> </w:t>
      </w:r>
      <w:r w:rsidRPr="005532E4">
        <w:t>grid or the water supply</w:t>
      </w:r>
      <w:r>
        <w:t>—</w:t>
      </w:r>
      <w:r w:rsidRPr="005532E4">
        <w:t>for financial gain or political advantage.</w:t>
      </w:r>
      <w:r w:rsidRPr="005532E4">
        <w:rPr>
          <w:rStyle w:val="FootnoteReference"/>
        </w:rPr>
        <w:footnoteReference w:id="4"/>
      </w:r>
    </w:p>
    <w:p w:rsidR="00613F52" w:rsidRDefault="00613F52" w:rsidP="00613F52">
      <w:pPr>
        <w:rPr>
          <w:kern w:val="1"/>
        </w:rPr>
      </w:pPr>
    </w:p>
    <w:p w:rsidR="00613F52" w:rsidRPr="005532E4" w:rsidRDefault="00613F52" w:rsidP="00613F52">
      <w:pPr>
        <w:rPr>
          <w:kern w:val="1"/>
        </w:rPr>
      </w:pPr>
      <w:r w:rsidRPr="005532E4">
        <w:rPr>
          <w:kern w:val="1"/>
        </w:rPr>
        <w:t xml:space="preserve">Characteristic of these threats is their blended nature. </w:t>
      </w:r>
      <w:r>
        <w:rPr>
          <w:kern w:val="1"/>
        </w:rPr>
        <w:t xml:space="preserve"> </w:t>
      </w:r>
      <w:r w:rsidRPr="005532E4">
        <w:rPr>
          <w:kern w:val="1"/>
        </w:rPr>
        <w:t xml:space="preserve">The tools used to commit serious cyber theft and damage </w:t>
      </w:r>
      <w:proofErr w:type="gramStart"/>
      <w:r w:rsidRPr="005532E4">
        <w:rPr>
          <w:kern w:val="1"/>
        </w:rPr>
        <w:t>are</w:t>
      </w:r>
      <w:proofErr w:type="gramEnd"/>
      <w:r w:rsidRPr="005532E4">
        <w:rPr>
          <w:kern w:val="1"/>
        </w:rPr>
        <w:t xml:space="preserve"> not </w:t>
      </w:r>
      <w:r>
        <w:rPr>
          <w:kern w:val="1"/>
        </w:rPr>
        <w:t>only wielded by</w:t>
      </w:r>
      <w:r w:rsidRPr="005532E4">
        <w:rPr>
          <w:kern w:val="1"/>
        </w:rPr>
        <w:t xml:space="preserve"> those with large-scale development resources. </w:t>
      </w:r>
      <w:r>
        <w:rPr>
          <w:kern w:val="1"/>
        </w:rPr>
        <w:t xml:space="preserve"> </w:t>
      </w:r>
      <w:r w:rsidRPr="005532E4">
        <w:rPr>
          <w:kern w:val="1"/>
        </w:rPr>
        <w:t>Instead, individuals or small groups can steal huge quantities of sensitive data, damage key computer systems, or silence those who disagree with them</w:t>
      </w:r>
      <w:r>
        <w:rPr>
          <w:kern w:val="1"/>
        </w:rPr>
        <w:t xml:space="preserve"> with widely available tools</w:t>
      </w:r>
      <w:r w:rsidRPr="005532E4">
        <w:rPr>
          <w:kern w:val="1"/>
        </w:rPr>
        <w:t xml:space="preserve">. </w:t>
      </w:r>
      <w:r w:rsidR="009A72AE">
        <w:rPr>
          <w:kern w:val="1"/>
        </w:rPr>
        <w:t xml:space="preserve"> </w:t>
      </w:r>
      <w:r>
        <w:rPr>
          <w:kern w:val="1"/>
        </w:rPr>
        <w:t>F</w:t>
      </w:r>
      <w:r w:rsidRPr="005532E4">
        <w:rPr>
          <w:kern w:val="1"/>
        </w:rPr>
        <w:t xml:space="preserve">inancial gains from these crimes can, in turn, be used to build larger networks and buy protection from foreign government officials. </w:t>
      </w:r>
      <w:r>
        <w:rPr>
          <w:kern w:val="1"/>
        </w:rPr>
        <w:t xml:space="preserve"> </w:t>
      </w:r>
      <w:r w:rsidRPr="005532E4">
        <w:rPr>
          <w:kern w:val="1"/>
        </w:rPr>
        <w:t>As a result, U</w:t>
      </w:r>
      <w:r>
        <w:rPr>
          <w:kern w:val="1"/>
        </w:rPr>
        <w:t>.S.</w:t>
      </w:r>
      <w:r w:rsidRPr="005532E4">
        <w:rPr>
          <w:kern w:val="1"/>
        </w:rPr>
        <w:t xml:space="preserve"> investigators working to determine the source and nature of a cyber threat often cannot know at the outset whether an attack was mounted by an individual acting alone, an organized criminal or terrorist group, or a hostile nation.</w:t>
      </w:r>
    </w:p>
    <w:p w:rsidR="00613F52" w:rsidRDefault="00613F52" w:rsidP="00613F52">
      <w:pPr>
        <w:rPr>
          <w:kern w:val="1"/>
        </w:rPr>
      </w:pPr>
    </w:p>
    <w:p w:rsidR="00613F52" w:rsidRPr="005532E4" w:rsidRDefault="00613F52" w:rsidP="00613F52">
      <w:pPr>
        <w:rPr>
          <w:kern w:val="1"/>
        </w:rPr>
      </w:pPr>
      <w:r w:rsidRPr="005532E4">
        <w:rPr>
          <w:kern w:val="1"/>
        </w:rPr>
        <w:t xml:space="preserve">Addressing this complex threat requires a unified approach, one that incorporates criminal investigation and prosecution tools, civil and national security authorities, trade and economic sanctions, public-private partnerships, and international cooperation. </w:t>
      </w:r>
      <w:r w:rsidR="009A72AE">
        <w:rPr>
          <w:kern w:val="1"/>
        </w:rPr>
        <w:t xml:space="preserve"> </w:t>
      </w:r>
      <w:r w:rsidRPr="005532E4">
        <w:rPr>
          <w:kern w:val="1"/>
        </w:rPr>
        <w:t xml:space="preserve">Criminal prosecution, whether in the United States or a partner country, plays a central and critical role in this effort.  In addition, while prosecution is not the appropriate approach for every threat that affects the United States, identifying and understanding the threat will very often involve the use of criminal investigative tools and methods. </w:t>
      </w:r>
      <w:r w:rsidR="009A72AE">
        <w:rPr>
          <w:kern w:val="1"/>
        </w:rPr>
        <w:t xml:space="preserve"> </w:t>
      </w:r>
      <w:r w:rsidRPr="005532E4">
        <w:rPr>
          <w:kern w:val="1"/>
        </w:rPr>
        <w:t xml:space="preserve">Moreover, other means of addressing threats and cooperatively reducing vulnerabilities—whether undertaken by private groups, system protectors, or the intelligence community—will often require a deep and subtle understanding of law enforcement authorities and criminal prohibitions. </w:t>
      </w:r>
    </w:p>
    <w:p w:rsidR="00613F52" w:rsidRDefault="00613F52" w:rsidP="00613F52">
      <w:pPr>
        <w:rPr>
          <w:kern w:val="1"/>
        </w:rPr>
      </w:pPr>
    </w:p>
    <w:p w:rsidR="00613F52" w:rsidRDefault="00613F52" w:rsidP="00613F52">
      <w:pPr>
        <w:rPr>
          <w:kern w:val="1"/>
        </w:rPr>
      </w:pPr>
      <w:r w:rsidRPr="005532E4">
        <w:rPr>
          <w:kern w:val="1"/>
        </w:rPr>
        <w:t xml:space="preserve">The Criminal Division has long stood at the forefront of addressing these issues, along with its partners across law enforcement, government, and the private sector. </w:t>
      </w:r>
      <w:r w:rsidR="009A72AE">
        <w:rPr>
          <w:kern w:val="1"/>
        </w:rPr>
        <w:t xml:space="preserve"> </w:t>
      </w:r>
      <w:r w:rsidRPr="005532E4">
        <w:rPr>
          <w:kern w:val="1"/>
        </w:rPr>
        <w:t xml:space="preserve">As a result of extensive investigation and prosecution of criminal threat actors, often conducted side-by-side with </w:t>
      </w:r>
      <w:r w:rsidRPr="005532E4">
        <w:rPr>
          <w:kern w:val="1"/>
        </w:rPr>
        <w:lastRenderedPageBreak/>
        <w:t xml:space="preserve">investigators and Assistant United States Attorneys in the field, Division attorneys </w:t>
      </w:r>
      <w:r>
        <w:rPr>
          <w:kern w:val="1"/>
        </w:rPr>
        <w:t>possess</w:t>
      </w:r>
      <w:r w:rsidRPr="005532E4">
        <w:rPr>
          <w:kern w:val="1"/>
        </w:rPr>
        <w:t xml:space="preserve"> a deep understanding of </w:t>
      </w:r>
      <w:r>
        <w:rPr>
          <w:kern w:val="1"/>
        </w:rPr>
        <w:t>cyber threats</w:t>
      </w:r>
      <w:r w:rsidRPr="005532E4">
        <w:rPr>
          <w:kern w:val="1"/>
        </w:rPr>
        <w:t xml:space="preserve">. </w:t>
      </w:r>
      <w:r>
        <w:rPr>
          <w:kern w:val="1"/>
        </w:rPr>
        <w:t xml:space="preserve"> </w:t>
      </w:r>
      <w:r w:rsidRPr="005532E4">
        <w:rPr>
          <w:kern w:val="1"/>
        </w:rPr>
        <w:t xml:space="preserve">They provide extensive and authoritative legal advice on the lawful collection of electronic evidence, navigating complex statutes and case law. </w:t>
      </w:r>
      <w:r>
        <w:rPr>
          <w:kern w:val="1"/>
        </w:rPr>
        <w:t xml:space="preserve"> </w:t>
      </w:r>
      <w:r w:rsidRPr="005532E4">
        <w:rPr>
          <w:kern w:val="1"/>
        </w:rPr>
        <w:t xml:space="preserve">They have established relationships with international law enforcement agencies, conducted extensive training, and regularly cooperated with international partners to preserve, collect, and exchange electronic evidence and conduct joint investigations when criminal conduct crosses national borders. </w:t>
      </w:r>
      <w:r>
        <w:rPr>
          <w:kern w:val="1"/>
        </w:rPr>
        <w:t xml:space="preserve"> Supporting</w:t>
      </w:r>
      <w:r w:rsidRPr="005532E4">
        <w:rPr>
          <w:kern w:val="1"/>
        </w:rPr>
        <w:t xml:space="preserve"> this mission, the Division’s Cybercrime Laboratory provides essential </w:t>
      </w:r>
      <w:r>
        <w:rPr>
          <w:kern w:val="1"/>
        </w:rPr>
        <w:t>assistance</w:t>
      </w:r>
      <w:r w:rsidRPr="005532E4">
        <w:rPr>
          <w:kern w:val="1"/>
        </w:rPr>
        <w:t xml:space="preserve"> to prosecutors, agents, and others</w:t>
      </w:r>
      <w:r>
        <w:rPr>
          <w:kern w:val="1"/>
        </w:rPr>
        <w:t xml:space="preserve">, </w:t>
      </w:r>
      <w:r w:rsidRPr="005532E4">
        <w:rPr>
          <w:kern w:val="1"/>
        </w:rPr>
        <w:t>helping them understand and better explain technical issues to judges and juries alike.</w:t>
      </w:r>
    </w:p>
    <w:p w:rsidR="00613F52" w:rsidRDefault="00613F52" w:rsidP="00613F52">
      <w:pPr>
        <w:rPr>
          <w:kern w:val="1"/>
        </w:rPr>
      </w:pPr>
    </w:p>
    <w:p w:rsidR="00613F52" w:rsidRDefault="00613F52" w:rsidP="00613F52">
      <w:pPr>
        <w:rPr>
          <w:kern w:val="1"/>
        </w:rPr>
      </w:pPr>
      <w:r w:rsidRPr="005532E4">
        <w:rPr>
          <w:kern w:val="1"/>
        </w:rPr>
        <w:t xml:space="preserve">Meeting this challenge has never been a solitary endeavor, and the Criminal Division has long understood the need to forge key partnerships to address cyber threats. </w:t>
      </w:r>
      <w:r>
        <w:rPr>
          <w:kern w:val="1"/>
        </w:rPr>
        <w:t xml:space="preserve"> </w:t>
      </w:r>
      <w:r w:rsidRPr="005532E4">
        <w:rPr>
          <w:kern w:val="1"/>
        </w:rPr>
        <w:t>The Division’s Computer Crime and Intellectual Property Section (CCIPS) has developed legal expertise and technical acumen that contribute fundamentally to the success of the Department’s cyber</w:t>
      </w:r>
      <w:r>
        <w:rPr>
          <w:kern w:val="1"/>
        </w:rPr>
        <w:t xml:space="preserve"> </w:t>
      </w:r>
      <w:r w:rsidRPr="005532E4">
        <w:rPr>
          <w:kern w:val="1"/>
        </w:rPr>
        <w:t xml:space="preserve">security efforts. </w:t>
      </w:r>
      <w:r>
        <w:rPr>
          <w:kern w:val="1"/>
        </w:rPr>
        <w:t xml:space="preserve"> </w:t>
      </w:r>
    </w:p>
    <w:p w:rsidR="00613F52" w:rsidRDefault="00613F52" w:rsidP="00613F52">
      <w:pPr>
        <w:rPr>
          <w:kern w:val="1"/>
        </w:rPr>
      </w:pPr>
    </w:p>
    <w:p w:rsidR="00613F52" w:rsidRDefault="00613F52" w:rsidP="00613F52">
      <w:pPr>
        <w:rPr>
          <w:kern w:val="1"/>
        </w:rPr>
      </w:pPr>
      <w:r w:rsidRPr="005532E4">
        <w:rPr>
          <w:kern w:val="1"/>
        </w:rPr>
        <w:t xml:space="preserve">To extend this expertise nationally, CCIPS has developed, trained, and partnered with Computer Hacking and Intellectual Property (CHIP) Coordinators </w:t>
      </w:r>
      <w:r>
        <w:rPr>
          <w:kern w:val="1"/>
        </w:rPr>
        <w:t>during</w:t>
      </w:r>
      <w:r w:rsidRPr="005532E4">
        <w:rPr>
          <w:kern w:val="1"/>
        </w:rPr>
        <w:t xml:space="preserve"> the last </w:t>
      </w:r>
      <w:r>
        <w:rPr>
          <w:kern w:val="1"/>
        </w:rPr>
        <w:t>17</w:t>
      </w:r>
      <w:r w:rsidRPr="005532E4">
        <w:rPr>
          <w:kern w:val="1"/>
        </w:rPr>
        <w:t xml:space="preserve"> years, growing a network that now comprises </w:t>
      </w:r>
      <w:r>
        <w:rPr>
          <w:kern w:val="1"/>
        </w:rPr>
        <w:t>more than</w:t>
      </w:r>
      <w:r w:rsidRPr="005532E4">
        <w:rPr>
          <w:kern w:val="1"/>
        </w:rPr>
        <w:t xml:space="preserve"> 230 Assistant United States Attorneys</w:t>
      </w:r>
      <w:r>
        <w:rPr>
          <w:kern w:val="1"/>
        </w:rPr>
        <w:t xml:space="preserve"> (at least one</w:t>
      </w:r>
      <w:r w:rsidRPr="005532E4">
        <w:rPr>
          <w:kern w:val="1"/>
        </w:rPr>
        <w:t xml:space="preserve"> in every district</w:t>
      </w:r>
      <w:r>
        <w:rPr>
          <w:kern w:val="1"/>
        </w:rPr>
        <w:t>)</w:t>
      </w:r>
      <w:r w:rsidRPr="005532E4">
        <w:rPr>
          <w:kern w:val="1"/>
        </w:rPr>
        <w:t xml:space="preserve">. </w:t>
      </w:r>
      <w:r>
        <w:rPr>
          <w:kern w:val="1"/>
        </w:rPr>
        <w:t xml:space="preserve"> CCIPS</w:t>
      </w:r>
      <w:r w:rsidRPr="005532E4">
        <w:rPr>
          <w:kern w:val="1"/>
        </w:rPr>
        <w:t xml:space="preserve"> engages with and regularly trains key law enforcement partners across the federal government, including the Federal Bureau of Investigation</w:t>
      </w:r>
      <w:r>
        <w:rPr>
          <w:kern w:val="1"/>
        </w:rPr>
        <w:t xml:space="preserve"> (FBI)</w:t>
      </w:r>
      <w:r w:rsidRPr="005532E4">
        <w:rPr>
          <w:kern w:val="1"/>
        </w:rPr>
        <w:t xml:space="preserve">, U.S. Secret Service, U.S. Postal Inspection Service, and the Inspector General community. </w:t>
      </w:r>
      <w:r>
        <w:rPr>
          <w:kern w:val="1"/>
        </w:rPr>
        <w:t xml:space="preserve"> </w:t>
      </w:r>
      <w:r w:rsidRPr="005532E4">
        <w:rPr>
          <w:kern w:val="1"/>
        </w:rPr>
        <w:t xml:space="preserve">Finally, because cybercrimes often span the globe, </w:t>
      </w:r>
      <w:r>
        <w:rPr>
          <w:kern w:val="1"/>
        </w:rPr>
        <w:t>the Division</w:t>
      </w:r>
      <w:r w:rsidRPr="005532E4">
        <w:rPr>
          <w:kern w:val="1"/>
        </w:rPr>
        <w:t xml:space="preserve"> has forged transnational networks for </w:t>
      </w:r>
      <w:r>
        <w:rPr>
          <w:kern w:val="1"/>
        </w:rPr>
        <w:t>effective</w:t>
      </w:r>
      <w:r w:rsidRPr="005532E4">
        <w:rPr>
          <w:kern w:val="1"/>
        </w:rPr>
        <w:t xml:space="preserve"> law enforcement cooperation, including a rapid response network aimed at preserving crucial electronic evidence before it vanishes.</w:t>
      </w:r>
    </w:p>
    <w:p w:rsidR="00613F52" w:rsidRDefault="00613F52" w:rsidP="00613F52">
      <w:pPr>
        <w:rPr>
          <w:kern w:val="1"/>
        </w:rPr>
      </w:pPr>
    </w:p>
    <w:p w:rsidR="00613F52" w:rsidRPr="005532E4" w:rsidRDefault="00613F52" w:rsidP="00613F52">
      <w:pPr>
        <w:rPr>
          <w:kern w:val="1"/>
        </w:rPr>
      </w:pPr>
      <w:r w:rsidRPr="005532E4">
        <w:rPr>
          <w:kern w:val="1"/>
        </w:rPr>
        <w:t xml:space="preserve">In addition to the direct investigation and prosecution of cybercrimes, the Division has provided extensive legal and policy guidance in furtherance of these goals.  To enhance the legal and policy landscape to address cybercrime, the Division has consistently led legislative development addressing emerging criminal threats to both </w:t>
      </w:r>
      <w:r>
        <w:rPr>
          <w:kern w:val="1"/>
        </w:rPr>
        <w:t xml:space="preserve">the security of </w:t>
      </w:r>
      <w:r w:rsidRPr="005532E4">
        <w:rPr>
          <w:kern w:val="1"/>
        </w:rPr>
        <w:t xml:space="preserve">computer systems and networks and </w:t>
      </w:r>
      <w:r>
        <w:rPr>
          <w:kern w:val="1"/>
        </w:rPr>
        <w:t xml:space="preserve">to </w:t>
      </w:r>
      <w:r w:rsidRPr="005532E4">
        <w:rPr>
          <w:kern w:val="1"/>
        </w:rPr>
        <w:t xml:space="preserve">the nation’s intellectual property.  It has engaged in complex legal reviews of tools and programs that protect critical government and private sector networks against security threats and attacks. </w:t>
      </w:r>
      <w:r>
        <w:rPr>
          <w:kern w:val="1"/>
        </w:rPr>
        <w:t xml:space="preserve"> </w:t>
      </w:r>
      <w:r w:rsidRPr="005532E4">
        <w:rPr>
          <w:kern w:val="1"/>
        </w:rPr>
        <w:t xml:space="preserve">It has drafted and advocated for revisions to the laws that allow for the collection of electronic evidence to assure that they keep pace with technological </w:t>
      </w:r>
      <w:r>
        <w:rPr>
          <w:kern w:val="1"/>
        </w:rPr>
        <w:t>advances</w:t>
      </w:r>
      <w:r w:rsidRPr="005532E4">
        <w:rPr>
          <w:kern w:val="1"/>
        </w:rPr>
        <w:t xml:space="preserve"> and that investigators can gain access to the evidence they need.  It has developed and reviewed innovative asset seizure mechanisms to disrupt criminal conduct, enhanced collection and analysis of criminal intelligence relating to organized criminals operating online, and provided timely legal advice </w:t>
      </w:r>
      <w:r>
        <w:rPr>
          <w:kern w:val="1"/>
        </w:rPr>
        <w:t>regarding</w:t>
      </w:r>
      <w:r w:rsidRPr="005532E4">
        <w:rPr>
          <w:kern w:val="1"/>
        </w:rPr>
        <w:t xml:space="preserve"> the application of existing law to new technology. </w:t>
      </w:r>
    </w:p>
    <w:p w:rsidR="00613F52" w:rsidRDefault="00613F52" w:rsidP="00613F52">
      <w:pPr>
        <w:rPr>
          <w:kern w:val="1"/>
        </w:rPr>
      </w:pPr>
    </w:p>
    <w:p w:rsidR="00613F52" w:rsidRPr="005532E4" w:rsidRDefault="00613F52" w:rsidP="00613F52">
      <w:pPr>
        <w:rPr>
          <w:kern w:val="1"/>
        </w:rPr>
      </w:pPr>
      <w:r w:rsidRPr="005532E4">
        <w:rPr>
          <w:kern w:val="1"/>
        </w:rPr>
        <w:t xml:space="preserve">Finally, since the creation of the National Security Division (NSD) in 2006, the Criminal Division has provided priority assistance and support to </w:t>
      </w:r>
      <w:r>
        <w:rPr>
          <w:kern w:val="1"/>
        </w:rPr>
        <w:t>NSD’s</w:t>
      </w:r>
      <w:r w:rsidRPr="005532E4">
        <w:rPr>
          <w:kern w:val="1"/>
        </w:rPr>
        <w:t xml:space="preserve"> terrorism prosecutions, to intrusion investigations </w:t>
      </w:r>
      <w:r>
        <w:rPr>
          <w:kern w:val="1"/>
        </w:rPr>
        <w:t>related</w:t>
      </w:r>
      <w:r w:rsidRPr="005532E4">
        <w:rPr>
          <w:kern w:val="1"/>
        </w:rPr>
        <w:t xml:space="preserve"> to espionage, counter-intelligence, and attacks on critical national infrastructures, and to the cooperative development of </w:t>
      </w:r>
      <w:proofErr w:type="spellStart"/>
      <w:r w:rsidRPr="005532E4">
        <w:rPr>
          <w:kern w:val="1"/>
        </w:rPr>
        <w:t>cybersecurity</w:t>
      </w:r>
      <w:proofErr w:type="spellEnd"/>
      <w:r w:rsidRPr="005532E4">
        <w:rPr>
          <w:kern w:val="1"/>
        </w:rPr>
        <w:t xml:space="preserve"> policy. </w:t>
      </w:r>
      <w:r>
        <w:rPr>
          <w:kern w:val="1"/>
        </w:rPr>
        <w:t xml:space="preserve"> </w:t>
      </w:r>
      <w:r w:rsidRPr="005532E4">
        <w:rPr>
          <w:kern w:val="1"/>
        </w:rPr>
        <w:t xml:space="preserve">Recently, NSD, after a careful review, has recognized the need to make substantial changes </w:t>
      </w:r>
      <w:r>
        <w:rPr>
          <w:kern w:val="1"/>
        </w:rPr>
        <w:t>to</w:t>
      </w:r>
      <w:r w:rsidRPr="005532E4">
        <w:rPr>
          <w:kern w:val="1"/>
        </w:rPr>
        <w:t xml:space="preserve"> its structure and priorities to address the aspects of the cyber threat for which it is primarily responsible. </w:t>
      </w:r>
      <w:r>
        <w:rPr>
          <w:kern w:val="1"/>
        </w:rPr>
        <w:t xml:space="preserve"> T</w:t>
      </w:r>
      <w:r w:rsidRPr="005532E4">
        <w:rPr>
          <w:kern w:val="1"/>
        </w:rPr>
        <w:t>he Criminal Division, principally through CCIPS, is committed to building NSD’s expertise through training and ongoing partnerships</w:t>
      </w:r>
      <w:r>
        <w:rPr>
          <w:kern w:val="1"/>
        </w:rPr>
        <w:t xml:space="preserve"> as it implements these changes</w:t>
      </w:r>
      <w:r w:rsidRPr="005532E4">
        <w:rPr>
          <w:kern w:val="1"/>
        </w:rPr>
        <w:t xml:space="preserve">. </w:t>
      </w:r>
      <w:r>
        <w:rPr>
          <w:kern w:val="1"/>
        </w:rPr>
        <w:t xml:space="preserve"> </w:t>
      </w:r>
      <w:r w:rsidRPr="005532E4">
        <w:rPr>
          <w:kern w:val="1"/>
        </w:rPr>
        <w:t xml:space="preserve">These efforts will require the Criminal Division to assist NSD in its efforts to build needed capability and then to </w:t>
      </w:r>
      <w:r>
        <w:rPr>
          <w:kern w:val="1"/>
        </w:rPr>
        <w:t>partner with NSD</w:t>
      </w:r>
      <w:r w:rsidRPr="005532E4">
        <w:rPr>
          <w:kern w:val="1"/>
        </w:rPr>
        <w:t xml:space="preserve"> to address the legal, technical, and policy challenges inherent in addressing threats that are, </w:t>
      </w:r>
      <w:r w:rsidRPr="005532E4">
        <w:rPr>
          <w:kern w:val="1"/>
        </w:rPr>
        <w:lastRenderedPageBreak/>
        <w:t>by their nature, often incapable at the outset of being placed into easily ascertainable criminal or national security categories.</w:t>
      </w:r>
    </w:p>
    <w:p w:rsidR="00613F52" w:rsidRDefault="00613F52" w:rsidP="00613F52">
      <w:pPr>
        <w:rPr>
          <w:kern w:val="1"/>
        </w:rPr>
      </w:pPr>
    </w:p>
    <w:p w:rsidR="00613F52" w:rsidRDefault="00613F52" w:rsidP="00613F52">
      <w:pPr>
        <w:rPr>
          <w:kern w:val="1"/>
        </w:rPr>
      </w:pPr>
      <w:r w:rsidRPr="005532E4">
        <w:rPr>
          <w:kern w:val="1"/>
        </w:rPr>
        <w:t>To address these challenges, the Criminal Division must enhance its approach in four key areas.</w:t>
      </w:r>
    </w:p>
    <w:p w:rsidR="00613F52" w:rsidRPr="005532E4" w:rsidRDefault="00613F52" w:rsidP="00613F52">
      <w:pPr>
        <w:rPr>
          <w:kern w:val="1"/>
        </w:rPr>
      </w:pPr>
    </w:p>
    <w:p w:rsidR="00613F52" w:rsidRPr="00974BE8" w:rsidRDefault="00613F52" w:rsidP="00613F52">
      <w:pPr>
        <w:pStyle w:val="Heading2"/>
        <w:keepLines/>
        <w:numPr>
          <w:ilvl w:val="0"/>
          <w:numId w:val="21"/>
        </w:numPr>
        <w:spacing w:before="120" w:after="200"/>
        <w:jc w:val="left"/>
        <w:rPr>
          <w:rFonts w:ascii="Times New Roman" w:hAnsi="Times New Roman"/>
          <w:sz w:val="24"/>
          <w:szCs w:val="24"/>
        </w:rPr>
      </w:pPr>
      <w:r w:rsidRPr="00974BE8">
        <w:rPr>
          <w:rFonts w:ascii="Times New Roman" w:hAnsi="Times New Roman"/>
          <w:sz w:val="24"/>
          <w:szCs w:val="24"/>
        </w:rPr>
        <w:t>Timely and Accurate Investigations, Prosecutions, and Disruption Efforts</w:t>
      </w:r>
    </w:p>
    <w:p w:rsidR="00613F52" w:rsidRDefault="00613F52" w:rsidP="00613F52">
      <w:r w:rsidRPr="005532E4">
        <w:rPr>
          <w:kern w:val="1"/>
        </w:rPr>
        <w:t>The threats to our nation’s invaluable proprietary and personal information are increasing, and so must our innovation and efforts to deter, disrupt, and prosecute those threat actors.  Studies have shown that the number of intrusions continues to increase, and the cost of cybercrime to American businesses and citizens likewise continues to mount.</w:t>
      </w:r>
      <w:r w:rsidRPr="005532E4">
        <w:rPr>
          <w:rStyle w:val="FootnoteReference"/>
          <w:kern w:val="1"/>
        </w:rPr>
        <w:footnoteReference w:id="5"/>
      </w:r>
      <w:r w:rsidRPr="005532E4">
        <w:rPr>
          <w:kern w:val="1"/>
        </w:rPr>
        <w:t xml:space="preserve">  </w:t>
      </w:r>
    </w:p>
    <w:p w:rsidR="00613F52" w:rsidRDefault="00613F52" w:rsidP="00613F52"/>
    <w:p w:rsidR="00613F52" w:rsidRDefault="00613F52" w:rsidP="00613F52">
      <w:r>
        <w:t xml:space="preserve">As a result, the Division’s Computer Crime and Intellectual Property Section has experienced a 19% increase in pending investigations and an 8% increase in pending prosecutions between FY 2010 and FY 2012. </w:t>
      </w:r>
      <w:r w:rsidR="009A72AE">
        <w:t xml:space="preserve"> </w:t>
      </w:r>
      <w:r>
        <w:t>Without additional resources, the Division will not be able to keep pace with the growing cyber caseload.</w:t>
      </w:r>
    </w:p>
    <w:p w:rsidR="00613F52" w:rsidRDefault="00613F52" w:rsidP="00613F52"/>
    <w:tbl>
      <w:tblPr>
        <w:tblW w:w="7584" w:type="dxa"/>
        <w:jc w:val="center"/>
        <w:tblInd w:w="94" w:type="dxa"/>
        <w:tblLook w:val="04A0"/>
      </w:tblPr>
      <w:tblGrid>
        <w:gridCol w:w="4335"/>
        <w:gridCol w:w="1083"/>
        <w:gridCol w:w="1083"/>
        <w:gridCol w:w="1083"/>
      </w:tblGrid>
      <w:tr w:rsidR="00613F52" w:rsidRPr="00E67585" w:rsidTr="00F80A9F">
        <w:trPr>
          <w:trHeight w:val="216"/>
          <w:jc w:val="center"/>
        </w:trPr>
        <w:tc>
          <w:tcPr>
            <w:tcW w:w="4335"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rsidR="00613F52" w:rsidRPr="00E67585" w:rsidRDefault="00613F52" w:rsidP="00F80A9F">
            <w:pPr>
              <w:rPr>
                <w:b/>
                <w:bCs/>
                <w:color w:val="FFFFFF" w:themeColor="background1"/>
                <w:sz w:val="20"/>
                <w:szCs w:val="20"/>
              </w:rPr>
            </w:pPr>
            <w:r w:rsidRPr="00E67585">
              <w:rPr>
                <w:b/>
                <w:bCs/>
                <w:color w:val="FFFFFF" w:themeColor="background1"/>
                <w:sz w:val="20"/>
                <w:szCs w:val="20"/>
              </w:rPr>
              <w:t>CCIPS Cyber Crime Caseload</w:t>
            </w:r>
          </w:p>
        </w:tc>
        <w:tc>
          <w:tcPr>
            <w:tcW w:w="1083" w:type="dxa"/>
            <w:tcBorders>
              <w:top w:val="single" w:sz="4" w:space="0" w:color="auto"/>
              <w:left w:val="nil"/>
              <w:bottom w:val="single" w:sz="4" w:space="0" w:color="auto"/>
              <w:right w:val="single" w:sz="4" w:space="0" w:color="auto"/>
            </w:tcBorders>
            <w:shd w:val="clear" w:color="auto" w:fill="000000" w:themeFill="text1"/>
            <w:noWrap/>
            <w:vAlign w:val="bottom"/>
            <w:hideMark/>
          </w:tcPr>
          <w:p w:rsidR="00613F52" w:rsidRPr="00E67585" w:rsidRDefault="00613F52" w:rsidP="00F80A9F">
            <w:pPr>
              <w:jc w:val="center"/>
              <w:rPr>
                <w:b/>
                <w:bCs/>
                <w:color w:val="FFFFFF" w:themeColor="background1"/>
                <w:sz w:val="20"/>
                <w:szCs w:val="20"/>
              </w:rPr>
            </w:pPr>
            <w:r w:rsidRPr="00E67585">
              <w:rPr>
                <w:b/>
                <w:bCs/>
                <w:color w:val="FFFFFF" w:themeColor="background1"/>
                <w:sz w:val="20"/>
                <w:szCs w:val="20"/>
              </w:rPr>
              <w:t>FY 2010</w:t>
            </w:r>
          </w:p>
        </w:tc>
        <w:tc>
          <w:tcPr>
            <w:tcW w:w="1083" w:type="dxa"/>
            <w:tcBorders>
              <w:top w:val="single" w:sz="4" w:space="0" w:color="auto"/>
              <w:left w:val="nil"/>
              <w:bottom w:val="single" w:sz="4" w:space="0" w:color="auto"/>
              <w:right w:val="single" w:sz="4" w:space="0" w:color="auto"/>
            </w:tcBorders>
            <w:shd w:val="clear" w:color="auto" w:fill="000000" w:themeFill="text1"/>
            <w:noWrap/>
            <w:vAlign w:val="bottom"/>
            <w:hideMark/>
          </w:tcPr>
          <w:p w:rsidR="00613F52" w:rsidRPr="00E67585" w:rsidRDefault="00613F52" w:rsidP="00F80A9F">
            <w:pPr>
              <w:jc w:val="center"/>
              <w:rPr>
                <w:b/>
                <w:bCs/>
                <w:color w:val="FFFFFF" w:themeColor="background1"/>
                <w:sz w:val="20"/>
                <w:szCs w:val="20"/>
              </w:rPr>
            </w:pPr>
            <w:r w:rsidRPr="00E67585">
              <w:rPr>
                <w:b/>
                <w:bCs/>
                <w:color w:val="FFFFFF" w:themeColor="background1"/>
                <w:sz w:val="20"/>
                <w:szCs w:val="20"/>
              </w:rPr>
              <w:t>FY 2011</w:t>
            </w:r>
          </w:p>
        </w:tc>
        <w:tc>
          <w:tcPr>
            <w:tcW w:w="1083" w:type="dxa"/>
            <w:tcBorders>
              <w:top w:val="single" w:sz="4" w:space="0" w:color="auto"/>
              <w:left w:val="nil"/>
              <w:bottom w:val="single" w:sz="4" w:space="0" w:color="auto"/>
              <w:right w:val="single" w:sz="4" w:space="0" w:color="auto"/>
            </w:tcBorders>
            <w:shd w:val="clear" w:color="auto" w:fill="000000" w:themeFill="text1"/>
          </w:tcPr>
          <w:p w:rsidR="00613F52" w:rsidRPr="00E67585" w:rsidRDefault="00613F52" w:rsidP="00F80A9F">
            <w:pPr>
              <w:jc w:val="center"/>
              <w:rPr>
                <w:b/>
                <w:bCs/>
                <w:color w:val="FFFFFF" w:themeColor="background1"/>
                <w:sz w:val="20"/>
                <w:szCs w:val="20"/>
              </w:rPr>
            </w:pPr>
            <w:r>
              <w:rPr>
                <w:b/>
                <w:bCs/>
                <w:color w:val="FFFFFF" w:themeColor="background1"/>
                <w:sz w:val="20"/>
                <w:szCs w:val="20"/>
              </w:rPr>
              <w:t>FY 2012</w:t>
            </w:r>
          </w:p>
        </w:tc>
      </w:tr>
      <w:tr w:rsidR="00613F52" w:rsidRPr="00E67585" w:rsidTr="00F80A9F">
        <w:trPr>
          <w:trHeight w:val="216"/>
          <w:jc w:val="center"/>
        </w:trPr>
        <w:tc>
          <w:tcPr>
            <w:tcW w:w="4335"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613F52" w:rsidRPr="00E67585" w:rsidRDefault="00613F52" w:rsidP="00F80A9F">
            <w:pPr>
              <w:rPr>
                <w:b/>
                <w:bCs/>
                <w:sz w:val="20"/>
                <w:szCs w:val="20"/>
              </w:rPr>
            </w:pPr>
            <w:r w:rsidRPr="00E67585">
              <w:rPr>
                <w:b/>
                <w:bCs/>
                <w:sz w:val="20"/>
                <w:szCs w:val="20"/>
              </w:rPr>
              <w:t>Total Investigations Pending</w:t>
            </w:r>
          </w:p>
        </w:tc>
        <w:tc>
          <w:tcPr>
            <w:tcW w:w="1083" w:type="dxa"/>
            <w:tcBorders>
              <w:top w:val="single" w:sz="4" w:space="0" w:color="auto"/>
              <w:left w:val="nil"/>
              <w:bottom w:val="single" w:sz="4" w:space="0" w:color="auto"/>
              <w:right w:val="single" w:sz="4" w:space="0" w:color="auto"/>
            </w:tcBorders>
            <w:shd w:val="clear" w:color="000000" w:fill="D8D8D8"/>
            <w:noWrap/>
            <w:vAlign w:val="bottom"/>
            <w:hideMark/>
          </w:tcPr>
          <w:p w:rsidR="00613F52" w:rsidRPr="00E67585" w:rsidRDefault="00613F52" w:rsidP="00F80A9F">
            <w:pPr>
              <w:jc w:val="center"/>
              <w:rPr>
                <w:b/>
                <w:bCs/>
                <w:sz w:val="20"/>
                <w:szCs w:val="20"/>
              </w:rPr>
            </w:pPr>
            <w:r w:rsidRPr="00E67585">
              <w:rPr>
                <w:b/>
                <w:bCs/>
                <w:sz w:val="20"/>
                <w:szCs w:val="20"/>
              </w:rPr>
              <w:t>252</w:t>
            </w:r>
          </w:p>
        </w:tc>
        <w:tc>
          <w:tcPr>
            <w:tcW w:w="1083" w:type="dxa"/>
            <w:tcBorders>
              <w:top w:val="single" w:sz="4" w:space="0" w:color="auto"/>
              <w:left w:val="nil"/>
              <w:bottom w:val="single" w:sz="4" w:space="0" w:color="auto"/>
              <w:right w:val="single" w:sz="4" w:space="0" w:color="auto"/>
            </w:tcBorders>
            <w:shd w:val="clear" w:color="000000" w:fill="D8D8D8"/>
            <w:noWrap/>
            <w:vAlign w:val="bottom"/>
            <w:hideMark/>
          </w:tcPr>
          <w:p w:rsidR="00613F52" w:rsidRPr="00E67585" w:rsidRDefault="00613F52" w:rsidP="00F80A9F">
            <w:pPr>
              <w:jc w:val="center"/>
              <w:rPr>
                <w:b/>
                <w:bCs/>
                <w:sz w:val="20"/>
                <w:szCs w:val="20"/>
              </w:rPr>
            </w:pPr>
            <w:r w:rsidRPr="00E67585">
              <w:rPr>
                <w:b/>
                <w:bCs/>
                <w:sz w:val="20"/>
                <w:szCs w:val="20"/>
              </w:rPr>
              <w:t>357</w:t>
            </w:r>
          </w:p>
        </w:tc>
        <w:tc>
          <w:tcPr>
            <w:tcW w:w="1083" w:type="dxa"/>
            <w:tcBorders>
              <w:top w:val="single" w:sz="4" w:space="0" w:color="auto"/>
              <w:left w:val="nil"/>
              <w:bottom w:val="single" w:sz="4" w:space="0" w:color="auto"/>
              <w:right w:val="single" w:sz="4" w:space="0" w:color="auto"/>
            </w:tcBorders>
            <w:shd w:val="clear" w:color="000000" w:fill="D8D8D8"/>
          </w:tcPr>
          <w:p w:rsidR="00613F52" w:rsidRPr="00E67585" w:rsidRDefault="00613F52" w:rsidP="00F80A9F">
            <w:pPr>
              <w:jc w:val="center"/>
              <w:rPr>
                <w:b/>
                <w:bCs/>
                <w:sz w:val="20"/>
                <w:szCs w:val="20"/>
              </w:rPr>
            </w:pPr>
            <w:r>
              <w:rPr>
                <w:b/>
                <w:bCs/>
                <w:sz w:val="20"/>
                <w:szCs w:val="20"/>
              </w:rPr>
              <w:t>301</w:t>
            </w:r>
          </w:p>
        </w:tc>
      </w:tr>
      <w:tr w:rsidR="00613F52" w:rsidRPr="00E67585" w:rsidTr="00F80A9F">
        <w:trPr>
          <w:trHeight w:val="216"/>
          <w:jc w:val="center"/>
        </w:trPr>
        <w:tc>
          <w:tcPr>
            <w:tcW w:w="4335" w:type="dxa"/>
            <w:tcBorders>
              <w:top w:val="nil"/>
              <w:left w:val="single" w:sz="4" w:space="0" w:color="auto"/>
              <w:bottom w:val="single" w:sz="4" w:space="0" w:color="auto"/>
              <w:right w:val="single" w:sz="4" w:space="0" w:color="auto"/>
            </w:tcBorders>
            <w:shd w:val="clear" w:color="000000" w:fill="DBEEF3"/>
            <w:noWrap/>
            <w:vAlign w:val="bottom"/>
            <w:hideMark/>
          </w:tcPr>
          <w:p w:rsidR="00613F52" w:rsidRPr="00E67585" w:rsidRDefault="00613F52" w:rsidP="00F80A9F">
            <w:pPr>
              <w:jc w:val="right"/>
              <w:rPr>
                <w:i/>
                <w:iCs/>
                <w:sz w:val="20"/>
                <w:szCs w:val="20"/>
              </w:rPr>
            </w:pPr>
            <w:r w:rsidRPr="00E67585">
              <w:rPr>
                <w:i/>
                <w:iCs/>
                <w:sz w:val="20"/>
                <w:szCs w:val="20"/>
              </w:rPr>
              <w:t>National-security focus</w:t>
            </w:r>
          </w:p>
        </w:tc>
        <w:tc>
          <w:tcPr>
            <w:tcW w:w="1083" w:type="dxa"/>
            <w:tcBorders>
              <w:top w:val="nil"/>
              <w:left w:val="nil"/>
              <w:bottom w:val="single" w:sz="4" w:space="0" w:color="auto"/>
              <w:right w:val="single" w:sz="4" w:space="0" w:color="auto"/>
            </w:tcBorders>
            <w:shd w:val="clear" w:color="000000" w:fill="DBEEF3"/>
            <w:noWrap/>
            <w:vAlign w:val="bottom"/>
            <w:hideMark/>
          </w:tcPr>
          <w:p w:rsidR="00613F52" w:rsidRPr="00E67585" w:rsidRDefault="00613F52" w:rsidP="00F80A9F">
            <w:pPr>
              <w:jc w:val="center"/>
              <w:rPr>
                <w:sz w:val="20"/>
                <w:szCs w:val="20"/>
              </w:rPr>
            </w:pPr>
            <w:r w:rsidRPr="00E67585">
              <w:rPr>
                <w:sz w:val="20"/>
                <w:szCs w:val="20"/>
              </w:rPr>
              <w:t>50</w:t>
            </w:r>
          </w:p>
        </w:tc>
        <w:tc>
          <w:tcPr>
            <w:tcW w:w="1083" w:type="dxa"/>
            <w:tcBorders>
              <w:top w:val="nil"/>
              <w:left w:val="nil"/>
              <w:bottom w:val="single" w:sz="4" w:space="0" w:color="auto"/>
              <w:right w:val="single" w:sz="4" w:space="0" w:color="auto"/>
            </w:tcBorders>
            <w:shd w:val="clear" w:color="000000" w:fill="DBEEF3"/>
            <w:noWrap/>
            <w:vAlign w:val="bottom"/>
            <w:hideMark/>
          </w:tcPr>
          <w:p w:rsidR="00613F52" w:rsidRPr="00E67585" w:rsidRDefault="00613F52" w:rsidP="00F80A9F">
            <w:pPr>
              <w:jc w:val="center"/>
              <w:rPr>
                <w:sz w:val="20"/>
                <w:szCs w:val="20"/>
              </w:rPr>
            </w:pPr>
            <w:r w:rsidRPr="00E67585">
              <w:rPr>
                <w:sz w:val="20"/>
                <w:szCs w:val="20"/>
              </w:rPr>
              <w:t>71</w:t>
            </w:r>
          </w:p>
        </w:tc>
        <w:tc>
          <w:tcPr>
            <w:tcW w:w="1083" w:type="dxa"/>
            <w:tcBorders>
              <w:top w:val="nil"/>
              <w:left w:val="nil"/>
              <w:bottom w:val="single" w:sz="4" w:space="0" w:color="auto"/>
              <w:right w:val="single" w:sz="4" w:space="0" w:color="auto"/>
            </w:tcBorders>
            <w:shd w:val="clear" w:color="000000" w:fill="DBEEF3"/>
          </w:tcPr>
          <w:p w:rsidR="00613F52" w:rsidRPr="00E67585" w:rsidRDefault="00613F52" w:rsidP="00F80A9F">
            <w:pPr>
              <w:jc w:val="center"/>
              <w:rPr>
                <w:sz w:val="20"/>
                <w:szCs w:val="20"/>
              </w:rPr>
            </w:pPr>
            <w:r>
              <w:rPr>
                <w:sz w:val="20"/>
                <w:szCs w:val="20"/>
              </w:rPr>
              <w:t>60</w:t>
            </w:r>
          </w:p>
        </w:tc>
      </w:tr>
      <w:tr w:rsidR="00613F52" w:rsidRPr="00E67585" w:rsidTr="00F80A9F">
        <w:trPr>
          <w:trHeight w:val="216"/>
          <w:jc w:val="center"/>
        </w:trPr>
        <w:tc>
          <w:tcPr>
            <w:tcW w:w="4335" w:type="dxa"/>
            <w:tcBorders>
              <w:top w:val="nil"/>
              <w:left w:val="single" w:sz="4" w:space="0" w:color="auto"/>
              <w:bottom w:val="single" w:sz="4" w:space="0" w:color="auto"/>
              <w:right w:val="single" w:sz="4" w:space="0" w:color="auto"/>
            </w:tcBorders>
            <w:shd w:val="clear" w:color="000000" w:fill="EAF1DD"/>
            <w:noWrap/>
            <w:vAlign w:val="bottom"/>
            <w:hideMark/>
          </w:tcPr>
          <w:p w:rsidR="00613F52" w:rsidRPr="00E67585" w:rsidRDefault="00613F52" w:rsidP="00F80A9F">
            <w:pPr>
              <w:jc w:val="right"/>
              <w:rPr>
                <w:i/>
                <w:iCs/>
                <w:sz w:val="20"/>
                <w:szCs w:val="20"/>
              </w:rPr>
            </w:pPr>
            <w:r w:rsidRPr="00E67585">
              <w:rPr>
                <w:i/>
                <w:iCs/>
                <w:sz w:val="20"/>
                <w:szCs w:val="20"/>
              </w:rPr>
              <w:t>Criminal focus</w:t>
            </w:r>
          </w:p>
        </w:tc>
        <w:tc>
          <w:tcPr>
            <w:tcW w:w="1083" w:type="dxa"/>
            <w:tcBorders>
              <w:top w:val="nil"/>
              <w:left w:val="nil"/>
              <w:bottom w:val="single" w:sz="4" w:space="0" w:color="auto"/>
              <w:right w:val="single" w:sz="4" w:space="0" w:color="auto"/>
            </w:tcBorders>
            <w:shd w:val="clear" w:color="000000" w:fill="EAF1DD"/>
            <w:noWrap/>
            <w:vAlign w:val="bottom"/>
            <w:hideMark/>
          </w:tcPr>
          <w:p w:rsidR="00613F52" w:rsidRPr="00E67585" w:rsidRDefault="00613F52" w:rsidP="00F80A9F">
            <w:pPr>
              <w:jc w:val="center"/>
              <w:rPr>
                <w:sz w:val="20"/>
                <w:szCs w:val="20"/>
              </w:rPr>
            </w:pPr>
            <w:r w:rsidRPr="00E67585">
              <w:rPr>
                <w:sz w:val="20"/>
                <w:szCs w:val="20"/>
              </w:rPr>
              <w:t>202</w:t>
            </w:r>
          </w:p>
        </w:tc>
        <w:tc>
          <w:tcPr>
            <w:tcW w:w="1083" w:type="dxa"/>
            <w:tcBorders>
              <w:top w:val="nil"/>
              <w:left w:val="nil"/>
              <w:bottom w:val="single" w:sz="4" w:space="0" w:color="auto"/>
              <w:right w:val="single" w:sz="4" w:space="0" w:color="auto"/>
            </w:tcBorders>
            <w:shd w:val="clear" w:color="000000" w:fill="EAF1DD"/>
            <w:noWrap/>
            <w:vAlign w:val="bottom"/>
            <w:hideMark/>
          </w:tcPr>
          <w:p w:rsidR="00613F52" w:rsidRPr="00E67585" w:rsidRDefault="00613F52" w:rsidP="00F80A9F">
            <w:pPr>
              <w:jc w:val="center"/>
              <w:rPr>
                <w:sz w:val="20"/>
                <w:szCs w:val="20"/>
              </w:rPr>
            </w:pPr>
            <w:r w:rsidRPr="00E67585">
              <w:rPr>
                <w:sz w:val="20"/>
                <w:szCs w:val="20"/>
              </w:rPr>
              <w:t>286</w:t>
            </w:r>
          </w:p>
        </w:tc>
        <w:tc>
          <w:tcPr>
            <w:tcW w:w="1083" w:type="dxa"/>
            <w:tcBorders>
              <w:top w:val="nil"/>
              <w:left w:val="nil"/>
              <w:bottom w:val="single" w:sz="4" w:space="0" w:color="auto"/>
              <w:right w:val="single" w:sz="4" w:space="0" w:color="auto"/>
            </w:tcBorders>
            <w:shd w:val="clear" w:color="000000" w:fill="EAF1DD"/>
          </w:tcPr>
          <w:p w:rsidR="00613F52" w:rsidRPr="00E67585" w:rsidRDefault="00613F52" w:rsidP="00F80A9F">
            <w:pPr>
              <w:jc w:val="center"/>
              <w:rPr>
                <w:sz w:val="20"/>
                <w:szCs w:val="20"/>
              </w:rPr>
            </w:pPr>
            <w:r>
              <w:rPr>
                <w:sz w:val="20"/>
                <w:szCs w:val="20"/>
              </w:rPr>
              <w:t>240</w:t>
            </w:r>
          </w:p>
        </w:tc>
      </w:tr>
      <w:tr w:rsidR="00613F52" w:rsidRPr="00E67585" w:rsidTr="00F80A9F">
        <w:trPr>
          <w:trHeight w:val="216"/>
          <w:jc w:val="center"/>
        </w:trPr>
        <w:tc>
          <w:tcPr>
            <w:tcW w:w="433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613F52" w:rsidRPr="00E67585" w:rsidRDefault="00613F52" w:rsidP="00F80A9F">
            <w:pPr>
              <w:rPr>
                <w:b/>
                <w:bCs/>
                <w:sz w:val="20"/>
                <w:szCs w:val="20"/>
              </w:rPr>
            </w:pPr>
            <w:r w:rsidRPr="00E67585">
              <w:rPr>
                <w:b/>
                <w:bCs/>
                <w:sz w:val="20"/>
                <w:szCs w:val="20"/>
              </w:rPr>
              <w:t>Total Prosecutions Pending</w:t>
            </w:r>
          </w:p>
        </w:tc>
        <w:tc>
          <w:tcPr>
            <w:tcW w:w="1083" w:type="dxa"/>
            <w:tcBorders>
              <w:top w:val="nil"/>
              <w:left w:val="nil"/>
              <w:bottom w:val="single" w:sz="4" w:space="0" w:color="auto"/>
              <w:right w:val="single" w:sz="4" w:space="0" w:color="auto"/>
            </w:tcBorders>
            <w:shd w:val="clear" w:color="auto" w:fill="D9D9D9" w:themeFill="background1" w:themeFillShade="D9"/>
            <w:noWrap/>
            <w:vAlign w:val="bottom"/>
            <w:hideMark/>
          </w:tcPr>
          <w:p w:rsidR="00613F52" w:rsidRPr="00E67585" w:rsidRDefault="00613F52" w:rsidP="00F80A9F">
            <w:pPr>
              <w:jc w:val="center"/>
              <w:rPr>
                <w:b/>
                <w:bCs/>
                <w:sz w:val="20"/>
                <w:szCs w:val="20"/>
              </w:rPr>
            </w:pPr>
            <w:r w:rsidRPr="00E67585">
              <w:rPr>
                <w:b/>
                <w:bCs/>
                <w:sz w:val="20"/>
                <w:szCs w:val="20"/>
              </w:rPr>
              <w:t>87</w:t>
            </w:r>
          </w:p>
        </w:tc>
        <w:tc>
          <w:tcPr>
            <w:tcW w:w="1083" w:type="dxa"/>
            <w:tcBorders>
              <w:top w:val="nil"/>
              <w:left w:val="nil"/>
              <w:bottom w:val="single" w:sz="4" w:space="0" w:color="auto"/>
              <w:right w:val="single" w:sz="4" w:space="0" w:color="auto"/>
            </w:tcBorders>
            <w:shd w:val="clear" w:color="auto" w:fill="D9D9D9" w:themeFill="background1" w:themeFillShade="D9"/>
            <w:noWrap/>
            <w:vAlign w:val="bottom"/>
            <w:hideMark/>
          </w:tcPr>
          <w:p w:rsidR="00613F52" w:rsidRPr="00E67585" w:rsidRDefault="00613F52" w:rsidP="00F80A9F">
            <w:pPr>
              <w:jc w:val="center"/>
              <w:rPr>
                <w:b/>
                <w:bCs/>
                <w:sz w:val="20"/>
                <w:szCs w:val="20"/>
              </w:rPr>
            </w:pPr>
            <w:r w:rsidRPr="00E67585">
              <w:rPr>
                <w:b/>
                <w:bCs/>
                <w:sz w:val="20"/>
                <w:szCs w:val="20"/>
              </w:rPr>
              <w:t>97</w:t>
            </w:r>
          </w:p>
        </w:tc>
        <w:tc>
          <w:tcPr>
            <w:tcW w:w="1083" w:type="dxa"/>
            <w:tcBorders>
              <w:top w:val="nil"/>
              <w:left w:val="nil"/>
              <w:bottom w:val="single" w:sz="4" w:space="0" w:color="auto"/>
              <w:right w:val="single" w:sz="4" w:space="0" w:color="auto"/>
            </w:tcBorders>
            <w:shd w:val="clear" w:color="auto" w:fill="D9D9D9" w:themeFill="background1" w:themeFillShade="D9"/>
          </w:tcPr>
          <w:p w:rsidR="00613F52" w:rsidRPr="00E67585" w:rsidRDefault="00613F52" w:rsidP="00F80A9F">
            <w:pPr>
              <w:jc w:val="center"/>
              <w:rPr>
                <w:b/>
                <w:bCs/>
                <w:sz w:val="20"/>
                <w:szCs w:val="20"/>
              </w:rPr>
            </w:pPr>
            <w:r>
              <w:rPr>
                <w:b/>
                <w:bCs/>
                <w:sz w:val="20"/>
                <w:szCs w:val="20"/>
              </w:rPr>
              <w:t>95</w:t>
            </w:r>
          </w:p>
        </w:tc>
      </w:tr>
      <w:tr w:rsidR="00613F52" w:rsidRPr="00E67585" w:rsidTr="00F80A9F">
        <w:trPr>
          <w:trHeight w:val="216"/>
          <w:jc w:val="center"/>
        </w:trPr>
        <w:tc>
          <w:tcPr>
            <w:tcW w:w="4335" w:type="dxa"/>
            <w:tcBorders>
              <w:top w:val="nil"/>
              <w:left w:val="single" w:sz="4" w:space="0" w:color="auto"/>
              <w:bottom w:val="single" w:sz="4" w:space="0" w:color="auto"/>
              <w:right w:val="single" w:sz="4" w:space="0" w:color="auto"/>
            </w:tcBorders>
            <w:shd w:val="clear" w:color="auto" w:fill="DAEEF3" w:themeFill="accent5" w:themeFillTint="33"/>
            <w:noWrap/>
            <w:vAlign w:val="bottom"/>
            <w:hideMark/>
          </w:tcPr>
          <w:p w:rsidR="00613F52" w:rsidRPr="00E67585" w:rsidRDefault="00613F52" w:rsidP="00F80A9F">
            <w:pPr>
              <w:jc w:val="right"/>
              <w:rPr>
                <w:bCs/>
                <w:i/>
                <w:sz w:val="20"/>
                <w:szCs w:val="20"/>
              </w:rPr>
            </w:pPr>
            <w:r w:rsidRPr="00E67585">
              <w:rPr>
                <w:bCs/>
                <w:i/>
                <w:sz w:val="20"/>
                <w:szCs w:val="20"/>
              </w:rPr>
              <w:t>National-security focus</w:t>
            </w:r>
          </w:p>
        </w:tc>
        <w:tc>
          <w:tcPr>
            <w:tcW w:w="1083" w:type="dxa"/>
            <w:tcBorders>
              <w:top w:val="nil"/>
              <w:left w:val="nil"/>
              <w:bottom w:val="single" w:sz="4" w:space="0" w:color="auto"/>
              <w:right w:val="single" w:sz="4" w:space="0" w:color="auto"/>
            </w:tcBorders>
            <w:shd w:val="clear" w:color="auto" w:fill="DAEEF3" w:themeFill="accent5" w:themeFillTint="33"/>
            <w:noWrap/>
            <w:vAlign w:val="bottom"/>
            <w:hideMark/>
          </w:tcPr>
          <w:p w:rsidR="00613F52" w:rsidRPr="00E67585" w:rsidRDefault="00613F52" w:rsidP="00F80A9F">
            <w:pPr>
              <w:jc w:val="center"/>
              <w:rPr>
                <w:bCs/>
                <w:sz w:val="20"/>
                <w:szCs w:val="20"/>
              </w:rPr>
            </w:pPr>
            <w:r w:rsidRPr="00E67585">
              <w:rPr>
                <w:bCs/>
                <w:sz w:val="20"/>
                <w:szCs w:val="20"/>
              </w:rPr>
              <w:t>17</w:t>
            </w:r>
          </w:p>
        </w:tc>
        <w:tc>
          <w:tcPr>
            <w:tcW w:w="1083" w:type="dxa"/>
            <w:tcBorders>
              <w:top w:val="nil"/>
              <w:left w:val="nil"/>
              <w:bottom w:val="single" w:sz="4" w:space="0" w:color="auto"/>
              <w:right w:val="single" w:sz="4" w:space="0" w:color="auto"/>
            </w:tcBorders>
            <w:shd w:val="clear" w:color="auto" w:fill="DAEEF3" w:themeFill="accent5" w:themeFillTint="33"/>
            <w:noWrap/>
            <w:vAlign w:val="bottom"/>
            <w:hideMark/>
          </w:tcPr>
          <w:p w:rsidR="00613F52" w:rsidRPr="00E67585" w:rsidRDefault="00613F52" w:rsidP="00F80A9F">
            <w:pPr>
              <w:jc w:val="center"/>
              <w:rPr>
                <w:bCs/>
                <w:sz w:val="20"/>
                <w:szCs w:val="20"/>
              </w:rPr>
            </w:pPr>
            <w:r w:rsidRPr="00E67585">
              <w:rPr>
                <w:bCs/>
                <w:sz w:val="20"/>
                <w:szCs w:val="20"/>
              </w:rPr>
              <w:t>19</w:t>
            </w:r>
          </w:p>
        </w:tc>
        <w:tc>
          <w:tcPr>
            <w:tcW w:w="1083" w:type="dxa"/>
            <w:tcBorders>
              <w:top w:val="nil"/>
              <w:left w:val="nil"/>
              <w:bottom w:val="single" w:sz="4" w:space="0" w:color="auto"/>
              <w:right w:val="single" w:sz="4" w:space="0" w:color="auto"/>
            </w:tcBorders>
            <w:shd w:val="clear" w:color="auto" w:fill="DAEEF3" w:themeFill="accent5" w:themeFillTint="33"/>
          </w:tcPr>
          <w:p w:rsidR="00613F52" w:rsidRPr="00E67585" w:rsidRDefault="00613F52" w:rsidP="00F80A9F">
            <w:pPr>
              <w:jc w:val="center"/>
              <w:rPr>
                <w:bCs/>
                <w:sz w:val="20"/>
                <w:szCs w:val="20"/>
              </w:rPr>
            </w:pPr>
            <w:r>
              <w:rPr>
                <w:bCs/>
                <w:sz w:val="20"/>
                <w:szCs w:val="20"/>
              </w:rPr>
              <w:t>19</w:t>
            </w:r>
          </w:p>
        </w:tc>
      </w:tr>
      <w:tr w:rsidR="00613F52" w:rsidRPr="00E67585" w:rsidTr="00F80A9F">
        <w:trPr>
          <w:trHeight w:val="216"/>
          <w:jc w:val="center"/>
        </w:trPr>
        <w:tc>
          <w:tcPr>
            <w:tcW w:w="4335" w:type="dxa"/>
            <w:tcBorders>
              <w:top w:val="nil"/>
              <w:left w:val="single" w:sz="4" w:space="0" w:color="auto"/>
              <w:bottom w:val="single" w:sz="4" w:space="0" w:color="auto"/>
              <w:right w:val="single" w:sz="4" w:space="0" w:color="auto"/>
            </w:tcBorders>
            <w:shd w:val="clear" w:color="000000" w:fill="EAF1DD"/>
            <w:noWrap/>
            <w:vAlign w:val="bottom"/>
            <w:hideMark/>
          </w:tcPr>
          <w:p w:rsidR="00613F52" w:rsidRPr="00E67585" w:rsidRDefault="00613F52" w:rsidP="00F80A9F">
            <w:pPr>
              <w:jc w:val="right"/>
              <w:rPr>
                <w:bCs/>
                <w:i/>
                <w:sz w:val="20"/>
                <w:szCs w:val="20"/>
              </w:rPr>
            </w:pPr>
            <w:r w:rsidRPr="00E67585">
              <w:rPr>
                <w:bCs/>
                <w:i/>
                <w:sz w:val="20"/>
                <w:szCs w:val="20"/>
              </w:rPr>
              <w:t>Criminal focus</w:t>
            </w:r>
          </w:p>
        </w:tc>
        <w:tc>
          <w:tcPr>
            <w:tcW w:w="1083" w:type="dxa"/>
            <w:tcBorders>
              <w:top w:val="nil"/>
              <w:left w:val="nil"/>
              <w:bottom w:val="single" w:sz="4" w:space="0" w:color="auto"/>
              <w:right w:val="single" w:sz="4" w:space="0" w:color="auto"/>
            </w:tcBorders>
            <w:shd w:val="clear" w:color="000000" w:fill="EAF1DD"/>
            <w:noWrap/>
            <w:vAlign w:val="bottom"/>
            <w:hideMark/>
          </w:tcPr>
          <w:p w:rsidR="00613F52" w:rsidRPr="00E67585" w:rsidRDefault="00613F52" w:rsidP="00F80A9F">
            <w:pPr>
              <w:jc w:val="center"/>
              <w:rPr>
                <w:bCs/>
                <w:sz w:val="20"/>
                <w:szCs w:val="20"/>
              </w:rPr>
            </w:pPr>
            <w:r w:rsidRPr="00E67585">
              <w:rPr>
                <w:bCs/>
                <w:sz w:val="20"/>
                <w:szCs w:val="20"/>
              </w:rPr>
              <w:t>70</w:t>
            </w:r>
          </w:p>
        </w:tc>
        <w:tc>
          <w:tcPr>
            <w:tcW w:w="1083" w:type="dxa"/>
            <w:tcBorders>
              <w:top w:val="nil"/>
              <w:left w:val="nil"/>
              <w:bottom w:val="single" w:sz="4" w:space="0" w:color="auto"/>
              <w:right w:val="single" w:sz="4" w:space="0" w:color="auto"/>
            </w:tcBorders>
            <w:shd w:val="clear" w:color="000000" w:fill="EAF1DD"/>
            <w:noWrap/>
            <w:vAlign w:val="bottom"/>
            <w:hideMark/>
          </w:tcPr>
          <w:p w:rsidR="00613F52" w:rsidRPr="00E67585" w:rsidRDefault="00613F52" w:rsidP="00F80A9F">
            <w:pPr>
              <w:jc w:val="center"/>
              <w:rPr>
                <w:bCs/>
                <w:sz w:val="20"/>
                <w:szCs w:val="20"/>
              </w:rPr>
            </w:pPr>
            <w:r w:rsidRPr="00E67585">
              <w:rPr>
                <w:bCs/>
                <w:sz w:val="20"/>
                <w:szCs w:val="20"/>
              </w:rPr>
              <w:t>78</w:t>
            </w:r>
          </w:p>
        </w:tc>
        <w:tc>
          <w:tcPr>
            <w:tcW w:w="1083" w:type="dxa"/>
            <w:tcBorders>
              <w:top w:val="nil"/>
              <w:left w:val="nil"/>
              <w:bottom w:val="single" w:sz="4" w:space="0" w:color="auto"/>
              <w:right w:val="single" w:sz="4" w:space="0" w:color="auto"/>
            </w:tcBorders>
            <w:shd w:val="clear" w:color="000000" w:fill="EAF1DD"/>
          </w:tcPr>
          <w:p w:rsidR="00613F52" w:rsidRPr="00E67585" w:rsidRDefault="00613F52" w:rsidP="00F80A9F">
            <w:pPr>
              <w:jc w:val="center"/>
              <w:rPr>
                <w:bCs/>
                <w:sz w:val="20"/>
                <w:szCs w:val="20"/>
              </w:rPr>
            </w:pPr>
            <w:r>
              <w:rPr>
                <w:bCs/>
                <w:sz w:val="20"/>
                <w:szCs w:val="20"/>
              </w:rPr>
              <w:t>76</w:t>
            </w:r>
          </w:p>
        </w:tc>
      </w:tr>
    </w:tbl>
    <w:p w:rsidR="00613F52" w:rsidRPr="005532E4" w:rsidRDefault="00613F52" w:rsidP="00613F52">
      <w:pPr>
        <w:rPr>
          <w:kern w:val="1"/>
        </w:rPr>
      </w:pPr>
    </w:p>
    <w:p w:rsidR="00613F52" w:rsidRDefault="00613F52" w:rsidP="00613F52">
      <w:pPr>
        <w:rPr>
          <w:kern w:val="1"/>
        </w:rPr>
      </w:pPr>
      <w:r w:rsidRPr="005532E4">
        <w:rPr>
          <w:kern w:val="1"/>
        </w:rPr>
        <w:t xml:space="preserve">A reality of cyber investigations is that it is nearly impossible to forecast where they will begin or end. </w:t>
      </w:r>
      <w:r>
        <w:rPr>
          <w:kern w:val="1"/>
        </w:rPr>
        <w:t xml:space="preserve"> Consequently</w:t>
      </w:r>
      <w:r w:rsidRPr="005532E4">
        <w:rPr>
          <w:kern w:val="1"/>
        </w:rPr>
        <w:t xml:space="preserve">, the Division, through CCIPS, provides nation-wide support to investigations, prosecutions, and disruption efforts, helping to ensure that its law enforcement partners receive consistent, quality support whether the investigation’s trail leads to Silicon Valley, rural America, or overseas. </w:t>
      </w:r>
      <w:r>
        <w:rPr>
          <w:kern w:val="1"/>
        </w:rPr>
        <w:t xml:space="preserve"> </w:t>
      </w:r>
      <w:r w:rsidRPr="005532E4">
        <w:rPr>
          <w:kern w:val="1"/>
        </w:rPr>
        <w:t>As a result, Criminal Division prosecutors have led, or partnered in, some of the country’s most significant data breach and computer intrusion cases, the success of which has required a comprehensive grasp of computer network technology and electronic evidence law and a subtle understanding of the often loosely</w:t>
      </w:r>
      <w:r>
        <w:rPr>
          <w:kern w:val="1"/>
        </w:rPr>
        <w:t xml:space="preserve"> </w:t>
      </w:r>
      <w:r w:rsidRPr="005532E4">
        <w:rPr>
          <w:kern w:val="1"/>
        </w:rPr>
        <w:t>organized worldwide groups that work together to plan and execute these attacks.</w:t>
      </w:r>
      <w:r>
        <w:rPr>
          <w:kern w:val="1"/>
        </w:rPr>
        <w:t xml:space="preserve">  </w:t>
      </w:r>
    </w:p>
    <w:p w:rsidR="00613F52" w:rsidRDefault="00613F52" w:rsidP="00613F52">
      <w:pPr>
        <w:rPr>
          <w:kern w:val="1"/>
        </w:rPr>
      </w:pPr>
    </w:p>
    <w:p w:rsidR="00613F52" w:rsidRDefault="00613F52" w:rsidP="00613F52">
      <w:pPr>
        <w:rPr>
          <w:kern w:val="1"/>
        </w:rPr>
      </w:pPr>
      <w:r w:rsidRPr="005532E4">
        <w:rPr>
          <w:kern w:val="1"/>
        </w:rPr>
        <w:t xml:space="preserve">CCIPS prosecutors work in direct cooperation with the CHIP network and investigative agencies to identify and address threat actors, whether they are primarily external—such as criminal groups or foreign actors breaking in and stealing information—or internal, such as insiders misappropriating invaluable research or trade secrets.  CCIPS </w:t>
      </w:r>
      <w:r>
        <w:rPr>
          <w:kern w:val="1"/>
        </w:rPr>
        <w:t>houses</w:t>
      </w:r>
      <w:r w:rsidRPr="005532E4">
        <w:rPr>
          <w:kern w:val="1"/>
        </w:rPr>
        <w:t xml:space="preserve"> prosecutors with a deep understanding of data breaches and computer misuse </w:t>
      </w:r>
      <w:r>
        <w:rPr>
          <w:kern w:val="1"/>
        </w:rPr>
        <w:t>cases</w:t>
      </w:r>
      <w:r w:rsidRPr="005532E4">
        <w:rPr>
          <w:kern w:val="1"/>
        </w:rPr>
        <w:t xml:space="preserve"> </w:t>
      </w:r>
      <w:r>
        <w:rPr>
          <w:kern w:val="1"/>
        </w:rPr>
        <w:t>and</w:t>
      </w:r>
      <w:r w:rsidRPr="005532E4">
        <w:rPr>
          <w:kern w:val="1"/>
        </w:rPr>
        <w:t xml:space="preserve"> prosecutors who understand the complexity of intellectual property </w:t>
      </w:r>
      <w:r>
        <w:rPr>
          <w:kern w:val="1"/>
        </w:rPr>
        <w:t>cases</w:t>
      </w:r>
      <w:r w:rsidRPr="005532E4">
        <w:rPr>
          <w:kern w:val="1"/>
        </w:rPr>
        <w:t xml:space="preserve"> to </w:t>
      </w:r>
      <w:r>
        <w:rPr>
          <w:kern w:val="1"/>
        </w:rPr>
        <w:t>comprise</w:t>
      </w:r>
      <w:r w:rsidRPr="005532E4">
        <w:rPr>
          <w:kern w:val="1"/>
        </w:rPr>
        <w:t xml:space="preserve"> the nation’s </w:t>
      </w:r>
      <w:r>
        <w:rPr>
          <w:kern w:val="1"/>
        </w:rPr>
        <w:t>leading</w:t>
      </w:r>
      <w:r w:rsidRPr="005532E4">
        <w:rPr>
          <w:kern w:val="1"/>
        </w:rPr>
        <w:t xml:space="preserve"> resource for deterring, investigating, and punishing the theft of sensitive electronic information.</w:t>
      </w:r>
      <w:r w:rsidR="009A72AE">
        <w:rPr>
          <w:kern w:val="1"/>
        </w:rPr>
        <w:t xml:space="preserve"> </w:t>
      </w:r>
      <w:r w:rsidRPr="005532E4">
        <w:rPr>
          <w:kern w:val="1"/>
        </w:rPr>
        <w:t xml:space="preserve"> </w:t>
      </w:r>
      <w:r>
        <w:rPr>
          <w:kern w:val="1"/>
        </w:rPr>
        <w:t xml:space="preserve">Consequently, every additional prosecutor in CCIPS becomes a force multiplier for the Department, leveraging its </w:t>
      </w:r>
      <w:r>
        <w:rPr>
          <w:kern w:val="1"/>
        </w:rPr>
        <w:lastRenderedPageBreak/>
        <w:t>expertise wherever it is needed to the benefit of all USAOs and the achievement of the Department’s cyber crime goals.</w:t>
      </w:r>
    </w:p>
    <w:p w:rsidR="00613F52" w:rsidRDefault="00613F52" w:rsidP="00613F52">
      <w:pPr>
        <w:rPr>
          <w:kern w:val="1"/>
        </w:rPr>
      </w:pPr>
    </w:p>
    <w:p w:rsidR="00613F52" w:rsidRPr="005532E4" w:rsidRDefault="00613F52" w:rsidP="00613F52">
      <w:pPr>
        <w:rPr>
          <w:kern w:val="1"/>
        </w:rPr>
      </w:pPr>
      <w:r>
        <w:rPr>
          <w:kern w:val="1"/>
        </w:rPr>
        <w:t>For example, in April 2011,</w:t>
      </w:r>
      <w:r w:rsidRPr="005532E4">
        <w:rPr>
          <w:kern w:val="1"/>
        </w:rPr>
        <w:t xml:space="preserve"> CCIPS worked closely with a </w:t>
      </w:r>
      <w:r>
        <w:rPr>
          <w:kern w:val="1"/>
        </w:rPr>
        <w:t>United States</w:t>
      </w:r>
      <w:r w:rsidRPr="005532E4">
        <w:rPr>
          <w:kern w:val="1"/>
        </w:rPr>
        <w:t xml:space="preserve"> Attorney’s Office to implement an innovative approach to disrupting a criminal network that had infected hundreds of thousands of computer systems in order to steal and exploit the computer owners’ personal financial data. </w:t>
      </w:r>
      <w:r w:rsidR="009A72AE">
        <w:rPr>
          <w:kern w:val="1"/>
        </w:rPr>
        <w:t xml:space="preserve"> </w:t>
      </w:r>
      <w:r w:rsidRPr="005532E4">
        <w:rPr>
          <w:kern w:val="1"/>
        </w:rPr>
        <w:t xml:space="preserve">While the individuals controlling the network resided overseas and were largely outside the direct reach of </w:t>
      </w:r>
      <w:r>
        <w:rPr>
          <w:kern w:val="1"/>
        </w:rPr>
        <w:t>U.S.</w:t>
      </w:r>
      <w:r w:rsidRPr="005532E4">
        <w:rPr>
          <w:kern w:val="1"/>
        </w:rPr>
        <w:t xml:space="preserve"> law enforcement, prosecutors used a combination of civil and criminal authorities to seize key control servers, shut down the network, and work with private sector partners to help disinfect </w:t>
      </w:r>
      <w:r>
        <w:rPr>
          <w:kern w:val="1"/>
        </w:rPr>
        <w:t xml:space="preserve">victims’ </w:t>
      </w:r>
      <w:r w:rsidRPr="005532E4">
        <w:rPr>
          <w:kern w:val="1"/>
        </w:rPr>
        <w:t>computer systems.  This ground-breaking investigation completely disrupted the ongoing crime.</w:t>
      </w:r>
    </w:p>
    <w:p w:rsidR="00613F52" w:rsidRDefault="00613F52" w:rsidP="00613F52">
      <w:pPr>
        <w:rPr>
          <w:kern w:val="1"/>
        </w:rPr>
      </w:pPr>
    </w:p>
    <w:p w:rsidR="00613F52" w:rsidRDefault="00613F52" w:rsidP="00613F52">
      <w:pPr>
        <w:rPr>
          <w:kern w:val="1"/>
        </w:rPr>
      </w:pPr>
      <w:r>
        <w:rPr>
          <w:kern w:val="1"/>
        </w:rPr>
        <w:t>With additional resources, CCIPS will be able to coordinate more of these ground-breaking investigations and will increase the effectiveness of the Department’s efforts to combat the cyber threat.</w:t>
      </w:r>
    </w:p>
    <w:p w:rsidR="00613F52" w:rsidRDefault="00613F52" w:rsidP="00613F52">
      <w:pPr>
        <w:rPr>
          <w:kern w:val="1"/>
        </w:rPr>
      </w:pPr>
    </w:p>
    <w:p w:rsidR="00613F52" w:rsidRPr="005532E4" w:rsidRDefault="00613F52" w:rsidP="00613F52">
      <w:pPr>
        <w:rPr>
          <w:kern w:val="1"/>
        </w:rPr>
      </w:pPr>
      <w:r>
        <w:rPr>
          <w:kern w:val="1"/>
        </w:rPr>
        <w:t xml:space="preserve">Furthermore, more and more often, offenders reside outside of the United States, requiring the assistance of foreign law enforcement agents to gather evidence and make arrests.  The Criminal Division’s Office of International Affairs (OIA) has sole authority within the United States for negotiating mutual legal assistance treaties and securing the cooperation of foreign governments in providing to the U.S. fugitives and foreign electronic evidence.  </w:t>
      </w:r>
      <w:r w:rsidRPr="00B3789A">
        <w:rPr>
          <w:kern w:val="1"/>
        </w:rPr>
        <w:t xml:space="preserve">The number of mutual legal assistance requests received has increased nine percent since FY 2010 and 28% during the past six years (since FY 2007). </w:t>
      </w:r>
      <w:r>
        <w:rPr>
          <w:kern w:val="1"/>
        </w:rPr>
        <w:t xml:space="preserve"> While the </w:t>
      </w:r>
      <w:r w:rsidRPr="00B31A6D">
        <w:rPr>
          <w:kern w:val="1"/>
        </w:rPr>
        <w:t xml:space="preserve">number of extradition requests received has </w:t>
      </w:r>
      <w:r>
        <w:rPr>
          <w:kern w:val="1"/>
        </w:rPr>
        <w:t xml:space="preserve">relatively </w:t>
      </w:r>
      <w:r w:rsidRPr="00B31A6D">
        <w:rPr>
          <w:kern w:val="1"/>
        </w:rPr>
        <w:t xml:space="preserve">remained steady since FY 2007, pending requests have increased by 16%. </w:t>
      </w:r>
      <w:r>
        <w:rPr>
          <w:kern w:val="1"/>
        </w:rPr>
        <w:t xml:space="preserve"> </w:t>
      </w:r>
      <w:r w:rsidRPr="00B31A6D">
        <w:rPr>
          <w:kern w:val="1"/>
        </w:rPr>
        <w:t>These trends will only continue and, consequently, require additional resources for OIA to handle their critical workload.</w:t>
      </w:r>
      <w:r>
        <w:rPr>
          <w:kern w:val="1"/>
        </w:rPr>
        <w:t xml:space="preserve"> </w:t>
      </w:r>
    </w:p>
    <w:p w:rsidR="00613F52" w:rsidRDefault="00613F52" w:rsidP="00613F52">
      <w:pPr>
        <w:rPr>
          <w:kern w:val="1"/>
        </w:rPr>
      </w:pPr>
    </w:p>
    <w:p w:rsidR="00613F52" w:rsidRPr="00FE71C1" w:rsidRDefault="00613F52" w:rsidP="00613F52">
      <w:pPr>
        <w:pStyle w:val="Heading2"/>
        <w:keepLines/>
        <w:numPr>
          <w:ilvl w:val="0"/>
          <w:numId w:val="21"/>
        </w:numPr>
        <w:spacing w:before="120" w:after="200"/>
        <w:jc w:val="left"/>
        <w:rPr>
          <w:rFonts w:ascii="Times New Roman" w:hAnsi="Times New Roman"/>
          <w:sz w:val="24"/>
          <w:szCs w:val="24"/>
        </w:rPr>
      </w:pPr>
      <w:r w:rsidRPr="00FE71C1">
        <w:rPr>
          <w:rFonts w:ascii="Times New Roman" w:hAnsi="Times New Roman"/>
          <w:sz w:val="24"/>
          <w:szCs w:val="24"/>
        </w:rPr>
        <w:t>Providing Effective Advice on and Advocacy for Legal Tools and Authorities</w:t>
      </w:r>
    </w:p>
    <w:p w:rsidR="00613F52" w:rsidRPr="005532E4" w:rsidRDefault="00613F52" w:rsidP="00613F52">
      <w:pPr>
        <w:rPr>
          <w:kern w:val="1"/>
        </w:rPr>
      </w:pPr>
      <w:r w:rsidRPr="005532E4">
        <w:rPr>
          <w:kern w:val="1"/>
        </w:rPr>
        <w:t xml:space="preserve">Beyond its direct prosecutorial role, the Criminal Division plays an essential part in helping to interpret and enforce the rules governing access to electronic evidence. </w:t>
      </w:r>
      <w:r>
        <w:rPr>
          <w:kern w:val="1"/>
        </w:rPr>
        <w:t xml:space="preserve"> </w:t>
      </w:r>
      <w:r w:rsidRPr="005532E4">
        <w:rPr>
          <w:kern w:val="1"/>
        </w:rPr>
        <w:t>Our nation’s laws relating to access to electronic communications are complex, reflecting the numerous interests they balance in determining the appropriate scope of law enforcement and private sector access to communications.  Through CCIPS and the Office of Enforcement Operations</w:t>
      </w:r>
      <w:r>
        <w:rPr>
          <w:kern w:val="1"/>
        </w:rPr>
        <w:t xml:space="preserve"> (OEO)</w:t>
      </w:r>
      <w:r w:rsidRPr="005532E4">
        <w:rPr>
          <w:kern w:val="1"/>
        </w:rPr>
        <w:t xml:space="preserve">, the Criminal Division provides comprehensive and authoritative training, guidance, and review </w:t>
      </w:r>
      <w:r>
        <w:rPr>
          <w:kern w:val="1"/>
        </w:rPr>
        <w:t>regarding</w:t>
      </w:r>
      <w:r w:rsidRPr="005532E4">
        <w:rPr>
          <w:kern w:val="1"/>
        </w:rPr>
        <w:t xml:space="preserve"> lawful access to electronic evidence for United States law enforcement at the federal, state, and local levels.</w:t>
      </w:r>
    </w:p>
    <w:p w:rsidR="00613F52" w:rsidRDefault="00613F52" w:rsidP="00613F52">
      <w:pPr>
        <w:rPr>
          <w:kern w:val="1"/>
        </w:rPr>
      </w:pPr>
    </w:p>
    <w:p w:rsidR="00613F52" w:rsidRDefault="00613F52" w:rsidP="00613F52">
      <w:pPr>
        <w:rPr>
          <w:kern w:val="1"/>
        </w:rPr>
      </w:pPr>
      <w:r>
        <w:rPr>
          <w:kern w:val="1"/>
        </w:rPr>
        <w:t>During the past six years, OEO’s electronic surveillance workload has increased by 21%: in FY 2007, OEO reviewed 2,933 electronic surveillance applications.</w:t>
      </w:r>
      <w:r w:rsidR="009A72AE">
        <w:rPr>
          <w:kern w:val="1"/>
        </w:rPr>
        <w:t xml:space="preserve"> </w:t>
      </w:r>
      <w:r>
        <w:rPr>
          <w:kern w:val="1"/>
        </w:rPr>
        <w:t xml:space="preserve"> In FY 2012, OEO reviewed 3,554. </w:t>
      </w:r>
      <w:r w:rsidR="009A72AE">
        <w:rPr>
          <w:kern w:val="1"/>
        </w:rPr>
        <w:t xml:space="preserve"> </w:t>
      </w:r>
      <w:r>
        <w:rPr>
          <w:kern w:val="1"/>
        </w:rPr>
        <w:t>Since approximately six percent of the Office’s workload is directly related to cyber cases, additional resources are necessary to ensure that OEO is able to handle the surveillance requirements of these cases.</w:t>
      </w:r>
    </w:p>
    <w:p w:rsidR="00613F52" w:rsidRDefault="00613F52" w:rsidP="00613F52">
      <w:pPr>
        <w:rPr>
          <w:kern w:val="1"/>
        </w:rPr>
      </w:pPr>
    </w:p>
    <w:p w:rsidR="00613F52" w:rsidRPr="005532E4" w:rsidRDefault="00613F52" w:rsidP="00613F52">
      <w:pPr>
        <w:rPr>
          <w:kern w:val="1"/>
        </w:rPr>
      </w:pPr>
      <w:r w:rsidRPr="005532E4">
        <w:rPr>
          <w:kern w:val="1"/>
        </w:rPr>
        <w:t xml:space="preserve">CCIPS provides advice through publications and live training to federal, state, and local law enforcement agencies on searching and seizing electronic evidence. </w:t>
      </w:r>
      <w:r>
        <w:rPr>
          <w:kern w:val="1"/>
        </w:rPr>
        <w:t xml:space="preserve"> </w:t>
      </w:r>
      <w:r w:rsidRPr="005532E4">
        <w:rPr>
          <w:kern w:val="1"/>
        </w:rPr>
        <w:t xml:space="preserve">This advice is often based upon direct experience litigating those issues before district and appellate courts across the United States. </w:t>
      </w:r>
      <w:r>
        <w:rPr>
          <w:kern w:val="1"/>
        </w:rPr>
        <w:t xml:space="preserve"> </w:t>
      </w:r>
      <w:r w:rsidRPr="005532E4">
        <w:rPr>
          <w:kern w:val="1"/>
        </w:rPr>
        <w:t xml:space="preserve">Because of their lengthy and deep experience with these issues, Division </w:t>
      </w:r>
      <w:r w:rsidRPr="005532E4">
        <w:rPr>
          <w:kern w:val="1"/>
        </w:rPr>
        <w:lastRenderedPageBreak/>
        <w:t>attorneys are regularly sought by U</w:t>
      </w:r>
      <w:r>
        <w:rPr>
          <w:kern w:val="1"/>
        </w:rPr>
        <w:t>nited States</w:t>
      </w:r>
      <w:r w:rsidRPr="005532E4">
        <w:rPr>
          <w:kern w:val="1"/>
        </w:rPr>
        <w:t xml:space="preserve"> Attorney’s Offices to litigate electronic evidence issues across the country.  The number of cases that involve these issues continues to increase as more investigations </w:t>
      </w:r>
      <w:r>
        <w:rPr>
          <w:kern w:val="1"/>
        </w:rPr>
        <w:t>use</w:t>
      </w:r>
      <w:r w:rsidRPr="005532E4">
        <w:rPr>
          <w:kern w:val="1"/>
        </w:rPr>
        <w:t xml:space="preserve"> electronic evidence, more defense attorneys</w:t>
      </w:r>
      <w:r>
        <w:rPr>
          <w:kern w:val="1"/>
        </w:rPr>
        <w:t xml:space="preserve"> </w:t>
      </w:r>
      <w:r w:rsidRPr="005532E4">
        <w:rPr>
          <w:kern w:val="1"/>
        </w:rPr>
        <w:t xml:space="preserve">come to realize that it is a potential source for suppression motions, and more judges become concerned about government access to electronic data.  </w:t>
      </w:r>
      <w:r>
        <w:rPr>
          <w:kern w:val="1"/>
        </w:rPr>
        <w:t>Additional resources will allow the Division to successfully</w:t>
      </w:r>
      <w:r w:rsidRPr="005532E4">
        <w:rPr>
          <w:kern w:val="1"/>
        </w:rPr>
        <w:t xml:space="preserve"> handle </w:t>
      </w:r>
      <w:r>
        <w:rPr>
          <w:kern w:val="1"/>
        </w:rPr>
        <w:t>and</w:t>
      </w:r>
      <w:r w:rsidRPr="005532E4">
        <w:rPr>
          <w:kern w:val="1"/>
        </w:rPr>
        <w:t xml:space="preserve"> participate in the most significant litigation.</w:t>
      </w:r>
    </w:p>
    <w:p w:rsidR="00613F52" w:rsidRDefault="00613F52" w:rsidP="00613F52">
      <w:pPr>
        <w:rPr>
          <w:kern w:val="1"/>
        </w:rPr>
      </w:pPr>
    </w:p>
    <w:p w:rsidR="00613F52" w:rsidRPr="005532E4" w:rsidRDefault="00613F52" w:rsidP="00613F52">
      <w:pPr>
        <w:rPr>
          <w:kern w:val="1"/>
        </w:rPr>
      </w:pPr>
      <w:r w:rsidRPr="005532E4">
        <w:rPr>
          <w:kern w:val="1"/>
        </w:rPr>
        <w:t xml:space="preserve">Few issues in the United States are more closely watched or hotly debated than those relating to government access to electronic information. </w:t>
      </w:r>
      <w:r>
        <w:rPr>
          <w:kern w:val="1"/>
        </w:rPr>
        <w:t xml:space="preserve"> </w:t>
      </w:r>
      <w:r w:rsidRPr="005532E4">
        <w:rPr>
          <w:kern w:val="1"/>
        </w:rPr>
        <w:t>Whether the question involves the appropriate standard for law enforcement access to location information, the contours of an exception to the wiretap laws, or the application of the Fourth Amendment to an emerging technology, the Criminal Division is deeply engaged in the debate that defines the limits of governmental authority.  CCIPS engage</w:t>
      </w:r>
      <w:r>
        <w:rPr>
          <w:kern w:val="1"/>
        </w:rPr>
        <w:t>s</w:t>
      </w:r>
      <w:r w:rsidRPr="005532E4">
        <w:rPr>
          <w:kern w:val="1"/>
        </w:rPr>
        <w:t xml:space="preserve"> with privacy advocacy groups, Congress, and other interested parties to advocate for standards that permit access to or sharing of critical cyber</w:t>
      </w:r>
      <w:r>
        <w:rPr>
          <w:kern w:val="1"/>
        </w:rPr>
        <w:t xml:space="preserve"> </w:t>
      </w:r>
      <w:r w:rsidRPr="005532E4">
        <w:rPr>
          <w:kern w:val="1"/>
        </w:rPr>
        <w:t>security data while protecting individual privacy</w:t>
      </w:r>
      <w:r>
        <w:rPr>
          <w:kern w:val="1"/>
        </w:rPr>
        <w:t xml:space="preserve"> to the greatest possible extent</w:t>
      </w:r>
      <w:r w:rsidRPr="005532E4">
        <w:rPr>
          <w:kern w:val="1"/>
        </w:rPr>
        <w:t xml:space="preserve">.  </w:t>
      </w:r>
      <w:r>
        <w:rPr>
          <w:kern w:val="1"/>
        </w:rPr>
        <w:t>As the</w:t>
      </w:r>
      <w:r w:rsidRPr="005532E4">
        <w:rPr>
          <w:kern w:val="1"/>
        </w:rPr>
        <w:t xml:space="preserve"> requirements of this advocacy increase </w:t>
      </w:r>
      <w:r>
        <w:rPr>
          <w:kern w:val="1"/>
        </w:rPr>
        <w:t>due to</w:t>
      </w:r>
      <w:r w:rsidRPr="005532E4">
        <w:rPr>
          <w:kern w:val="1"/>
        </w:rPr>
        <w:t xml:space="preserve"> </w:t>
      </w:r>
      <w:r>
        <w:rPr>
          <w:kern w:val="1"/>
        </w:rPr>
        <w:t xml:space="preserve">growing </w:t>
      </w:r>
      <w:r w:rsidRPr="005532E4">
        <w:rPr>
          <w:kern w:val="1"/>
        </w:rPr>
        <w:t>public interest in government surveillance</w:t>
      </w:r>
      <w:r>
        <w:rPr>
          <w:kern w:val="1"/>
        </w:rPr>
        <w:t>, additional resources will be needed to support CCIPS’ engagement.</w:t>
      </w:r>
    </w:p>
    <w:p w:rsidR="00613F52" w:rsidRPr="005532E4" w:rsidRDefault="00613F52" w:rsidP="00613F52">
      <w:pPr>
        <w:rPr>
          <w:kern w:val="1"/>
        </w:rPr>
      </w:pPr>
    </w:p>
    <w:p w:rsidR="00613F52" w:rsidRPr="00FE71C1" w:rsidRDefault="00613F52" w:rsidP="00613F52">
      <w:pPr>
        <w:pStyle w:val="Heading2"/>
        <w:keepLines/>
        <w:numPr>
          <w:ilvl w:val="0"/>
          <w:numId w:val="21"/>
        </w:numPr>
        <w:spacing w:before="120" w:after="200"/>
        <w:jc w:val="left"/>
        <w:rPr>
          <w:rFonts w:ascii="Times New Roman" w:hAnsi="Times New Roman"/>
          <w:sz w:val="24"/>
          <w:szCs w:val="24"/>
        </w:rPr>
      </w:pPr>
      <w:r w:rsidRPr="00FE71C1">
        <w:rPr>
          <w:rFonts w:ascii="Times New Roman" w:hAnsi="Times New Roman"/>
          <w:sz w:val="24"/>
          <w:szCs w:val="24"/>
        </w:rPr>
        <w:t>Developing International Cooperation and Outreach</w:t>
      </w:r>
    </w:p>
    <w:p w:rsidR="00613F52" w:rsidRPr="005532E4" w:rsidRDefault="00613F52" w:rsidP="00613F52">
      <w:pPr>
        <w:rPr>
          <w:kern w:val="1"/>
        </w:rPr>
      </w:pPr>
      <w:r w:rsidRPr="005532E4">
        <w:rPr>
          <w:kern w:val="1"/>
        </w:rPr>
        <w:t xml:space="preserve">Because cybercrime is global in scope, the Criminal Division has long had a robust program for </w:t>
      </w:r>
      <w:r>
        <w:rPr>
          <w:kern w:val="1"/>
        </w:rPr>
        <w:t>encouraging the development by foreign governments of</w:t>
      </w:r>
      <w:r w:rsidRPr="005532E4">
        <w:rPr>
          <w:kern w:val="1"/>
        </w:rPr>
        <w:t xml:space="preserve"> laws, investigation and prosecution capacity, and political will to address emerging cybercrime threats and capabilities.  From the development and maintenance of a 24/7 response capability in </w:t>
      </w:r>
      <w:r>
        <w:rPr>
          <w:kern w:val="1"/>
        </w:rPr>
        <w:t>more than</w:t>
      </w:r>
      <w:r w:rsidRPr="005532E4">
        <w:rPr>
          <w:kern w:val="1"/>
        </w:rPr>
        <w:t xml:space="preserve"> 50 countries aimed at preserving critical evidence before it is deleted, to its leading role in negotiating the first multilateral convention on cybercrime, to its regular engagement on training, policy, and operational issues with law enforcement partners around the world, the Division has led the fight against transnational cybercrime.</w:t>
      </w:r>
    </w:p>
    <w:p w:rsidR="00613F52" w:rsidRDefault="00613F52" w:rsidP="00613F52">
      <w:pPr>
        <w:rPr>
          <w:kern w:val="1"/>
        </w:rPr>
      </w:pPr>
    </w:p>
    <w:p w:rsidR="00613F52" w:rsidRPr="005532E4" w:rsidRDefault="00613F52" w:rsidP="00613F52">
      <w:pPr>
        <w:rPr>
          <w:kern w:val="1"/>
        </w:rPr>
      </w:pPr>
      <w:r w:rsidRPr="005532E4">
        <w:rPr>
          <w:kern w:val="1"/>
        </w:rPr>
        <w:t xml:space="preserve">But the problem is only growing. </w:t>
      </w:r>
      <w:r>
        <w:rPr>
          <w:kern w:val="1"/>
        </w:rPr>
        <w:t xml:space="preserve"> </w:t>
      </w:r>
      <w:r w:rsidRPr="005532E4">
        <w:rPr>
          <w:kern w:val="1"/>
        </w:rPr>
        <w:t xml:space="preserve">Despite significant advances in law enforcement cooperation and understanding, criminals continue to use gaps and inefficiencies in international law enforcement capabilities to evade detection, attribution, and punishment. </w:t>
      </w:r>
      <w:r>
        <w:rPr>
          <w:kern w:val="1"/>
        </w:rPr>
        <w:t xml:space="preserve"> </w:t>
      </w:r>
      <w:r w:rsidRPr="005532E4">
        <w:rPr>
          <w:kern w:val="1"/>
        </w:rPr>
        <w:t xml:space="preserve">Foreign authorities apply data protection regulations in ways that can frustrate investigations. </w:t>
      </w:r>
      <w:r>
        <w:rPr>
          <w:kern w:val="1"/>
        </w:rPr>
        <w:t xml:space="preserve"> </w:t>
      </w:r>
      <w:r w:rsidRPr="005532E4">
        <w:rPr>
          <w:kern w:val="1"/>
        </w:rPr>
        <w:t xml:space="preserve">Delays in evidence collection resulting from inexperience, overwork, or inadequate laws can stop investigations almost at their inception. </w:t>
      </w:r>
      <w:r>
        <w:rPr>
          <w:kern w:val="1"/>
        </w:rPr>
        <w:t xml:space="preserve"> </w:t>
      </w:r>
      <w:r w:rsidRPr="005532E4">
        <w:rPr>
          <w:kern w:val="1"/>
        </w:rPr>
        <w:t xml:space="preserve">And inadequate international governance of the myriad entities involved in providing Internet connectivity and domain registration has permitted the growth of “data havens” where criminal and other threat actors can commit crimes with relative impunity.  Indeed, international discussions over Internet governance have expanded in the International Telecommunications Union and the International Corporation for Assigned Names and Numbers.  In order to protect the </w:t>
      </w:r>
      <w:r>
        <w:rPr>
          <w:kern w:val="1"/>
        </w:rPr>
        <w:t xml:space="preserve">interests of the </w:t>
      </w:r>
      <w:r w:rsidRPr="005532E4">
        <w:rPr>
          <w:kern w:val="1"/>
        </w:rPr>
        <w:t>Department and the U</w:t>
      </w:r>
      <w:r>
        <w:rPr>
          <w:kern w:val="1"/>
        </w:rPr>
        <w:t>nited States</w:t>
      </w:r>
      <w:r w:rsidRPr="005532E4">
        <w:rPr>
          <w:kern w:val="1"/>
        </w:rPr>
        <w:t xml:space="preserve"> Government, Division attorneys will increasingly have to contribute their expertise and advocacy to these debates.</w:t>
      </w:r>
    </w:p>
    <w:p w:rsidR="00613F52" w:rsidRDefault="00613F52" w:rsidP="00613F52">
      <w:pPr>
        <w:rPr>
          <w:kern w:val="1"/>
        </w:rPr>
      </w:pPr>
    </w:p>
    <w:p w:rsidR="00613F52" w:rsidRPr="005532E4" w:rsidRDefault="00613F52" w:rsidP="00613F52">
      <w:pPr>
        <w:rPr>
          <w:kern w:val="1"/>
        </w:rPr>
      </w:pPr>
      <w:r w:rsidRPr="005532E4">
        <w:rPr>
          <w:kern w:val="1"/>
        </w:rPr>
        <w:t xml:space="preserve">Despite these challenges, the Criminal Division has attempted to perform effective international outreach on cyber issues. </w:t>
      </w:r>
      <w:r>
        <w:rPr>
          <w:kern w:val="1"/>
        </w:rPr>
        <w:t xml:space="preserve"> </w:t>
      </w:r>
      <w:r w:rsidRPr="005532E4">
        <w:rPr>
          <w:kern w:val="1"/>
        </w:rPr>
        <w:t>Using a balanced approach of frank policy discussions with countries that have similar capabilities</w:t>
      </w:r>
      <w:r>
        <w:rPr>
          <w:kern w:val="1"/>
        </w:rPr>
        <w:t>,</w:t>
      </w:r>
      <w:r w:rsidRPr="005532E4">
        <w:rPr>
          <w:kern w:val="1"/>
        </w:rPr>
        <w:t xml:space="preserve"> combined with multilateral training initiatives aimed at countries whose legal or technical infrastructure to address cyber threats is at an earlier developmental stage, the Division has continued to improve capacity to address cybercrime around the world.  CCIPS attorneys lead efforts to build capacity and law enforcement relationships in Africa, </w:t>
      </w:r>
      <w:r w:rsidRPr="005532E4">
        <w:rPr>
          <w:kern w:val="1"/>
        </w:rPr>
        <w:lastRenderedPageBreak/>
        <w:t>Eastern Europe, and Latin America, including through multi-lateral organizations such as the Organization of American States and the Asia-Pacific Economic Cooperation.  As computer infrastructures expand in developing countries, and offenders who victimize Americans inevitabl</w:t>
      </w:r>
      <w:r>
        <w:rPr>
          <w:kern w:val="1"/>
        </w:rPr>
        <w:t>y</w:t>
      </w:r>
      <w:r w:rsidRPr="005532E4">
        <w:rPr>
          <w:kern w:val="1"/>
        </w:rPr>
        <w:t xml:space="preserve"> follow, the need for this sort of international engagement continues to grow.</w:t>
      </w:r>
    </w:p>
    <w:p w:rsidR="00613F52" w:rsidRDefault="00613F52" w:rsidP="00613F52">
      <w:pPr>
        <w:rPr>
          <w:kern w:val="1"/>
        </w:rPr>
      </w:pPr>
    </w:p>
    <w:p w:rsidR="00613F52" w:rsidRDefault="00613F52" w:rsidP="00613F52">
      <w:pPr>
        <w:rPr>
          <w:kern w:val="1"/>
        </w:rPr>
      </w:pPr>
      <w:r w:rsidRPr="005532E4">
        <w:rPr>
          <w:kern w:val="1"/>
        </w:rPr>
        <w:t>Moreover</w:t>
      </w:r>
      <w:r>
        <w:rPr>
          <w:kern w:val="1"/>
        </w:rPr>
        <w:t xml:space="preserve">, </w:t>
      </w:r>
      <w:r w:rsidRPr="005532E4">
        <w:rPr>
          <w:kern w:val="1"/>
        </w:rPr>
        <w:t xml:space="preserve">the State Department </w:t>
      </w:r>
      <w:r>
        <w:rPr>
          <w:kern w:val="1"/>
        </w:rPr>
        <w:t>is</w:t>
      </w:r>
      <w:r w:rsidRPr="005532E4">
        <w:rPr>
          <w:kern w:val="1"/>
        </w:rPr>
        <w:t xml:space="preserve"> develop</w:t>
      </w:r>
      <w:r>
        <w:rPr>
          <w:kern w:val="1"/>
        </w:rPr>
        <w:t>ing</w:t>
      </w:r>
      <w:r w:rsidRPr="005532E4">
        <w:rPr>
          <w:kern w:val="1"/>
        </w:rPr>
        <w:t xml:space="preserve"> plans to address cyber threats more comprehensively.  Because </w:t>
      </w:r>
      <w:r>
        <w:rPr>
          <w:kern w:val="1"/>
        </w:rPr>
        <w:t>these efforts</w:t>
      </w:r>
      <w:r w:rsidRPr="005532E4">
        <w:rPr>
          <w:kern w:val="1"/>
        </w:rPr>
        <w:t xml:space="preserve"> will result in additional interactions with foreign countries and multilateral organizations, as well as new funding for cybercrime training and assistance, </w:t>
      </w:r>
      <w:r>
        <w:rPr>
          <w:kern w:val="1"/>
        </w:rPr>
        <w:t>they</w:t>
      </w:r>
      <w:r w:rsidRPr="005532E4">
        <w:rPr>
          <w:kern w:val="1"/>
        </w:rPr>
        <w:t xml:space="preserve"> will increase demands on </w:t>
      </w:r>
      <w:r>
        <w:rPr>
          <w:kern w:val="1"/>
        </w:rPr>
        <w:t>CCIPS and OIA</w:t>
      </w:r>
      <w:r w:rsidRPr="005532E4">
        <w:rPr>
          <w:kern w:val="1"/>
        </w:rPr>
        <w:t xml:space="preserve"> attorneys.</w:t>
      </w:r>
    </w:p>
    <w:p w:rsidR="00E94641" w:rsidRPr="005532E4" w:rsidRDefault="00E94641" w:rsidP="00613F52">
      <w:pPr>
        <w:rPr>
          <w:kern w:val="1"/>
        </w:rPr>
      </w:pPr>
    </w:p>
    <w:p w:rsidR="00613F52" w:rsidRPr="00FE71C1" w:rsidRDefault="00613F52" w:rsidP="00613F52">
      <w:pPr>
        <w:pStyle w:val="Heading2"/>
        <w:keepLines/>
        <w:numPr>
          <w:ilvl w:val="0"/>
          <w:numId w:val="21"/>
        </w:numPr>
        <w:spacing w:before="120" w:after="200"/>
        <w:jc w:val="left"/>
        <w:rPr>
          <w:rFonts w:ascii="Times New Roman" w:hAnsi="Times New Roman"/>
          <w:sz w:val="24"/>
          <w:szCs w:val="24"/>
        </w:rPr>
      </w:pPr>
      <w:r w:rsidRPr="00FE71C1" w:rsidDel="00295C90">
        <w:rPr>
          <w:rFonts w:ascii="Times New Roman" w:hAnsi="Times New Roman"/>
          <w:kern w:val="1"/>
          <w:sz w:val="24"/>
          <w:szCs w:val="24"/>
        </w:rPr>
        <w:t xml:space="preserve"> </w:t>
      </w:r>
      <w:r w:rsidRPr="00FE71C1">
        <w:rPr>
          <w:rFonts w:ascii="Times New Roman" w:hAnsi="Times New Roman"/>
          <w:sz w:val="24"/>
          <w:szCs w:val="24"/>
        </w:rPr>
        <w:t>Growing a Proven Structure to Address Digital Forensic Capabilities</w:t>
      </w:r>
    </w:p>
    <w:p w:rsidR="00613F52" w:rsidRPr="005532E4" w:rsidRDefault="00613F52" w:rsidP="00613F52">
      <w:pPr>
        <w:rPr>
          <w:kern w:val="1"/>
        </w:rPr>
      </w:pPr>
      <w:r w:rsidRPr="005532E4">
        <w:rPr>
          <w:kern w:val="1"/>
        </w:rPr>
        <w:t xml:space="preserve">Underpinning almost every cyber investigation and prosecution is the forensic examination of digital evidence.  Over the last two decades, the volume of digital evidence has exploded. </w:t>
      </w:r>
      <w:r>
        <w:rPr>
          <w:kern w:val="1"/>
        </w:rPr>
        <w:t xml:space="preserve"> </w:t>
      </w:r>
      <w:r w:rsidRPr="005532E4">
        <w:rPr>
          <w:kern w:val="1"/>
        </w:rPr>
        <w:t xml:space="preserve">This volume has placed a tremendous burden on the Department’s prosecutors to learn and understand the myriad complexities at the intersection of computer forensics, cybercrime, and emerging technologies. </w:t>
      </w:r>
      <w:r>
        <w:rPr>
          <w:kern w:val="1"/>
        </w:rPr>
        <w:t xml:space="preserve"> </w:t>
      </w:r>
      <w:r w:rsidRPr="005532E4">
        <w:rPr>
          <w:kern w:val="1"/>
        </w:rPr>
        <w:t>Due to the fast pace of advancing technologies, federal prosecutors</w:t>
      </w:r>
      <w:r>
        <w:rPr>
          <w:kern w:val="1"/>
        </w:rPr>
        <w:t xml:space="preserve"> outside of CCIPS</w:t>
      </w:r>
      <w:r w:rsidRPr="005532E4">
        <w:rPr>
          <w:kern w:val="1"/>
        </w:rPr>
        <w:t xml:space="preserve"> often lack the technical knowledge necessary to know what digital evidence to ask for or how to best use digital evidence to further prosecutions. </w:t>
      </w:r>
    </w:p>
    <w:p w:rsidR="00613F52" w:rsidRDefault="00613F52" w:rsidP="00613F52">
      <w:pPr>
        <w:rPr>
          <w:kern w:val="1"/>
        </w:rPr>
      </w:pPr>
    </w:p>
    <w:p w:rsidR="00613F52" w:rsidRPr="005532E4" w:rsidRDefault="00613F52" w:rsidP="00613F52">
      <w:pPr>
        <w:rPr>
          <w:kern w:val="1"/>
        </w:rPr>
      </w:pPr>
      <w:r w:rsidRPr="005532E4">
        <w:rPr>
          <w:kern w:val="1"/>
        </w:rPr>
        <w:t xml:space="preserve">Law enforcement agencies are overwhelmed with requests for digital forensics. </w:t>
      </w:r>
      <w:r w:rsidR="009A72AE">
        <w:rPr>
          <w:kern w:val="1"/>
        </w:rPr>
        <w:t xml:space="preserve"> </w:t>
      </w:r>
      <w:r w:rsidRPr="005532E4">
        <w:rPr>
          <w:kern w:val="1"/>
        </w:rPr>
        <w:t xml:space="preserve">The backlog and processing time for computer forensic analysis can exceed several years, which significantly undermines effective investigations and prosecutions. </w:t>
      </w:r>
      <w:r>
        <w:rPr>
          <w:kern w:val="1"/>
        </w:rPr>
        <w:t xml:space="preserve"> </w:t>
      </w:r>
      <w:r w:rsidRPr="005532E4">
        <w:t xml:space="preserve">Even once a full forensic analysis is complete, prosecutors often receive forensic reports that fall far short of meeting </w:t>
      </w:r>
      <w:r>
        <w:t>their</w:t>
      </w:r>
      <w:r w:rsidRPr="005532E4">
        <w:t xml:space="preserve"> needs.  </w:t>
      </w:r>
    </w:p>
    <w:p w:rsidR="00613F52" w:rsidRDefault="00613F52" w:rsidP="00613F52"/>
    <w:p w:rsidR="00613F52" w:rsidRPr="005532E4" w:rsidRDefault="00613F52" w:rsidP="00613F52">
      <w:r w:rsidRPr="005532E4">
        <w:t xml:space="preserve">Prosecutors, who are the ultimate consumers of computer forensic results, must have appropriate and consistent support from digital analysis experts at all stages of a case.  </w:t>
      </w:r>
      <w:r>
        <w:t xml:space="preserve">Since </w:t>
      </w:r>
      <w:r w:rsidRPr="005532E4">
        <w:t>law enforcement agency support typically diminishes following indictment</w:t>
      </w:r>
      <w:r>
        <w:t>,</w:t>
      </w:r>
      <w:r w:rsidRPr="005532E4">
        <w:t xml:space="preserve"> prosecutors often</w:t>
      </w:r>
      <w:r>
        <w:t xml:space="preserve"> lack the appropriate level of support</w:t>
      </w:r>
      <w:r w:rsidRPr="005532E4">
        <w:t xml:space="preserve"> to meet discovery obligations and to understand, identify, and present critical digital evidence.  Prosecutors must have digital analysis resources that are committed to the needs of the prosecutor throughout trial preparation, trial, and sentencing.  </w:t>
      </w:r>
    </w:p>
    <w:p w:rsidR="00613F52" w:rsidRPr="005532E4" w:rsidRDefault="00613F52" w:rsidP="00613F52">
      <w:pPr>
        <w:pStyle w:val="NormalWeb"/>
      </w:pPr>
      <w:r w:rsidRPr="005532E4">
        <w:t xml:space="preserve">Department prosecutors routinely need an immediate in-house “go-to” digital forensic expert to:  </w:t>
      </w:r>
    </w:p>
    <w:p w:rsidR="00613F52" w:rsidRPr="005532E4" w:rsidRDefault="00613F52" w:rsidP="00613F52">
      <w:pPr>
        <w:pStyle w:val="NormalWeb"/>
        <w:numPr>
          <w:ilvl w:val="0"/>
          <w:numId w:val="20"/>
        </w:numPr>
      </w:pPr>
      <w:r w:rsidRPr="005532E4">
        <w:t>assist prosecutors in</w:t>
      </w:r>
      <w:r>
        <w:t xml:space="preserve"> both early assessment (triage);</w:t>
      </w:r>
    </w:p>
    <w:p w:rsidR="00613F52" w:rsidRPr="005532E4" w:rsidRDefault="00613F52" w:rsidP="00613F52">
      <w:pPr>
        <w:pStyle w:val="NormalWeb"/>
        <w:numPr>
          <w:ilvl w:val="0"/>
          <w:numId w:val="20"/>
        </w:numPr>
      </w:pPr>
      <w:r w:rsidRPr="005532E4">
        <w:t xml:space="preserve">provide digital investigative analysis consultation as necessary for decision-making at critical times throughout the investigation and prosecution; </w:t>
      </w:r>
    </w:p>
    <w:p w:rsidR="00613F52" w:rsidRPr="005532E4" w:rsidRDefault="00613F52" w:rsidP="00613F52">
      <w:pPr>
        <w:pStyle w:val="NormalWeb"/>
        <w:numPr>
          <w:ilvl w:val="0"/>
          <w:numId w:val="20"/>
        </w:numPr>
      </w:pPr>
      <w:r w:rsidRPr="005532E4">
        <w:t>review and explain technical analysis reports from law enforcement and defense experts;</w:t>
      </w:r>
    </w:p>
    <w:p w:rsidR="00613F52" w:rsidRPr="005532E4" w:rsidRDefault="00613F52" w:rsidP="00613F52">
      <w:pPr>
        <w:pStyle w:val="NormalWeb"/>
        <w:numPr>
          <w:ilvl w:val="0"/>
          <w:numId w:val="20"/>
        </w:numPr>
      </w:pPr>
      <w:r w:rsidRPr="005532E4">
        <w:t>respond to last-minute evidentiary demands created by judges for pre-trial and sentencing hearings;</w:t>
      </w:r>
    </w:p>
    <w:p w:rsidR="00613F52" w:rsidRPr="005532E4" w:rsidRDefault="00613F52" w:rsidP="00613F52">
      <w:pPr>
        <w:pStyle w:val="NormalWeb"/>
        <w:numPr>
          <w:ilvl w:val="0"/>
          <w:numId w:val="20"/>
        </w:numPr>
      </w:pPr>
      <w:r w:rsidRPr="005532E4">
        <w:t>assess and consult with prosecutors during trial to rebut shifting defenses;</w:t>
      </w:r>
      <w:r>
        <w:t xml:space="preserve"> and</w:t>
      </w:r>
    </w:p>
    <w:p w:rsidR="00613F52" w:rsidRPr="00860273" w:rsidRDefault="00613F52" w:rsidP="00613F52">
      <w:pPr>
        <w:pStyle w:val="NormalWeb"/>
        <w:numPr>
          <w:ilvl w:val="0"/>
          <w:numId w:val="20"/>
        </w:numPr>
      </w:pPr>
      <w:proofErr w:type="gramStart"/>
      <w:r w:rsidRPr="005532E4">
        <w:t>help</w:t>
      </w:r>
      <w:proofErr w:type="gramEnd"/>
      <w:r w:rsidRPr="005532E4">
        <w:t xml:space="preserve"> create demonstrative exhibits, summaries, and presentations that assist the jury’s understanding of digital evidence and forensic expert testimony.</w:t>
      </w:r>
    </w:p>
    <w:p w:rsidR="00613F52" w:rsidRPr="005532E4" w:rsidRDefault="00613F52" w:rsidP="00613F52">
      <w:pPr>
        <w:rPr>
          <w:kern w:val="1"/>
        </w:rPr>
      </w:pPr>
      <w:r w:rsidRPr="005532E4">
        <w:rPr>
          <w:kern w:val="1"/>
        </w:rPr>
        <w:t>The CCIPS Cybercrime Laboratory plays an essential role in assisting investigators and prosecutors</w:t>
      </w:r>
      <w:r>
        <w:rPr>
          <w:kern w:val="1"/>
        </w:rPr>
        <w:t xml:space="preserve"> </w:t>
      </w:r>
      <w:r w:rsidRPr="005532E4">
        <w:t>–</w:t>
      </w:r>
      <w:r>
        <w:rPr>
          <w:kern w:val="1"/>
        </w:rPr>
        <w:t xml:space="preserve"> </w:t>
      </w:r>
      <w:r w:rsidRPr="005532E4">
        <w:rPr>
          <w:kern w:val="1"/>
        </w:rPr>
        <w:t>and ultimately judges and juries</w:t>
      </w:r>
      <w:r>
        <w:rPr>
          <w:kern w:val="1"/>
        </w:rPr>
        <w:t xml:space="preserve"> </w:t>
      </w:r>
      <w:r w:rsidRPr="005532E4">
        <w:t>–</w:t>
      </w:r>
      <w:r>
        <w:rPr>
          <w:kern w:val="1"/>
        </w:rPr>
        <w:t xml:space="preserve"> </w:t>
      </w:r>
      <w:r w:rsidRPr="005532E4">
        <w:rPr>
          <w:kern w:val="1"/>
        </w:rPr>
        <w:t xml:space="preserve">in understanding how particular evidence fits </w:t>
      </w:r>
      <w:r w:rsidRPr="005532E4">
        <w:rPr>
          <w:kern w:val="1"/>
        </w:rPr>
        <w:lastRenderedPageBreak/>
        <w:t xml:space="preserve">into an overall “story of the case.” </w:t>
      </w:r>
      <w:r>
        <w:rPr>
          <w:kern w:val="1"/>
        </w:rPr>
        <w:t xml:space="preserve"> </w:t>
      </w:r>
      <w:r w:rsidRPr="005532E4">
        <w:rPr>
          <w:kern w:val="1"/>
        </w:rPr>
        <w:t>This function may be general</w:t>
      </w:r>
      <w:r>
        <w:rPr>
          <w:kern w:val="1"/>
        </w:rPr>
        <w:t xml:space="preserve"> </w:t>
      </w:r>
      <w:r w:rsidRPr="005532E4">
        <w:t>–</w:t>
      </w:r>
      <w:r>
        <w:rPr>
          <w:kern w:val="1"/>
        </w:rPr>
        <w:t xml:space="preserve"> </w:t>
      </w:r>
      <w:r w:rsidRPr="005532E4">
        <w:rPr>
          <w:kern w:val="1"/>
        </w:rPr>
        <w:t>for example, the Laboratory’s outreach to judicial authorities to ensure that they have adequate technical foundation and understanding of the role of electronic evidence</w:t>
      </w:r>
      <w:r>
        <w:rPr>
          <w:kern w:val="1"/>
        </w:rPr>
        <w:t xml:space="preserve"> </w:t>
      </w:r>
      <w:r w:rsidRPr="005532E4">
        <w:t>–</w:t>
      </w:r>
      <w:r>
        <w:rPr>
          <w:kern w:val="1"/>
        </w:rPr>
        <w:t xml:space="preserve"> </w:t>
      </w:r>
      <w:r w:rsidRPr="005532E4">
        <w:rPr>
          <w:kern w:val="1"/>
        </w:rPr>
        <w:t>or specific to a particular case.</w:t>
      </w:r>
    </w:p>
    <w:p w:rsidR="00613F52" w:rsidRDefault="00613F52" w:rsidP="00613F52">
      <w:pPr>
        <w:rPr>
          <w:kern w:val="1"/>
        </w:rPr>
      </w:pPr>
    </w:p>
    <w:p w:rsidR="00613F52" w:rsidRPr="005532E4" w:rsidRDefault="00613F52" w:rsidP="00613F52">
      <w:r w:rsidRPr="005532E4">
        <w:rPr>
          <w:kern w:val="1"/>
        </w:rPr>
        <w:t xml:space="preserve">The CCIPS computer forensic model is a tiered and triage-based approach that provides technical and forensic support to litigation, legislative initiatives, and national security activities through consultation, forensic support, and training.  </w:t>
      </w:r>
      <w:r w:rsidRPr="005532E4">
        <w:t xml:space="preserve">The </w:t>
      </w:r>
      <w:r>
        <w:t>extent</w:t>
      </w:r>
      <w:r w:rsidRPr="005532E4">
        <w:t xml:space="preserve"> of CCIPS Cybercrime </w:t>
      </w:r>
      <w:r w:rsidRPr="005532E4">
        <w:rPr>
          <w:kern w:val="1"/>
        </w:rPr>
        <w:t>Laboratory</w:t>
      </w:r>
      <w:r w:rsidRPr="005532E4">
        <w:t xml:space="preserve"> </w:t>
      </w:r>
      <w:r>
        <w:t xml:space="preserve">support </w:t>
      </w:r>
      <w:r w:rsidRPr="005532E4">
        <w:t xml:space="preserve">varies depending on case need:  </w:t>
      </w:r>
      <w:r>
        <w:t>i</w:t>
      </w:r>
      <w:r w:rsidRPr="005532E4">
        <w:t>t can range from simple consultations to hands-on analysis</w:t>
      </w:r>
      <w:r>
        <w:t xml:space="preserve">, </w:t>
      </w:r>
      <w:r w:rsidRPr="005532E4">
        <w:t>support</w:t>
      </w:r>
      <w:r>
        <w:t>,</w:t>
      </w:r>
      <w:r w:rsidRPr="005532E4">
        <w:t xml:space="preserve"> and training of agents or agency forensic personnel in the field (including the use of automated tools on site); from triage exams to full digital investigative analysis; or from pre-trial preparation to trial and post-trial support.  Having a Division digital analysis expert</w:t>
      </w:r>
      <w:r>
        <w:t xml:space="preserve"> </w:t>
      </w:r>
      <w:r w:rsidRPr="005532E4">
        <w:t>–</w:t>
      </w:r>
      <w:r>
        <w:rPr>
          <w:kern w:val="1"/>
        </w:rPr>
        <w:t xml:space="preserve"> </w:t>
      </w:r>
      <w:r w:rsidRPr="005532E4">
        <w:t>possess</w:t>
      </w:r>
      <w:r>
        <w:t>ing</w:t>
      </w:r>
      <w:r w:rsidRPr="005532E4">
        <w:t xml:space="preserve"> advanced knowledge, skills, and abilities, as well as the capability to provide effective courtroom testimony if needed</w:t>
      </w:r>
      <w:r>
        <w:t xml:space="preserve"> </w:t>
      </w:r>
      <w:r w:rsidRPr="005532E4">
        <w:t>–</w:t>
      </w:r>
      <w:r>
        <w:rPr>
          <w:kern w:val="1"/>
        </w:rPr>
        <w:t xml:space="preserve"> </w:t>
      </w:r>
      <w:r w:rsidRPr="005532E4">
        <w:t xml:space="preserve">sitting with the prosecutor in court could mean the </w:t>
      </w:r>
      <w:r>
        <w:t>difference</w:t>
      </w:r>
      <w:r w:rsidRPr="005532E4">
        <w:t xml:space="preserve"> between conceding </w:t>
      </w:r>
      <w:r>
        <w:t>or</w:t>
      </w:r>
      <w:r w:rsidRPr="005532E4">
        <w:t xml:space="preserve"> rebutting inaccurate or misleading defense expert testimony. </w:t>
      </w:r>
    </w:p>
    <w:p w:rsidR="00613F52" w:rsidRDefault="00613F52" w:rsidP="00613F52">
      <w:pPr>
        <w:pStyle w:val="CommentText"/>
        <w:rPr>
          <w:sz w:val="24"/>
          <w:szCs w:val="24"/>
        </w:rPr>
      </w:pPr>
    </w:p>
    <w:p w:rsidR="00613F52" w:rsidRPr="00340D24" w:rsidRDefault="00613F52" w:rsidP="00613F52">
      <w:pPr>
        <w:pStyle w:val="CommentText"/>
        <w:rPr>
          <w:sz w:val="24"/>
          <w:szCs w:val="24"/>
        </w:rPr>
      </w:pPr>
      <w:r w:rsidRPr="00973C37">
        <w:rPr>
          <w:sz w:val="24"/>
          <w:szCs w:val="24"/>
        </w:rPr>
        <w:t xml:space="preserve">Enhancing the CCIPS Cybercrime </w:t>
      </w:r>
      <w:r w:rsidRPr="00973C37">
        <w:rPr>
          <w:kern w:val="1"/>
          <w:sz w:val="24"/>
          <w:szCs w:val="24"/>
        </w:rPr>
        <w:t>Laboratory</w:t>
      </w:r>
      <w:r w:rsidRPr="00973C37">
        <w:rPr>
          <w:sz w:val="24"/>
          <w:szCs w:val="24"/>
        </w:rPr>
        <w:t xml:space="preserve">’s resources is therefore necessary to advance prosecutions, meet discovery obligations, develop and evaluate plea offers, and bridge the gap between what law enforcement agencies produce in the course of their normal computer forensic examinations and what is needed for successful prosecutions.  </w:t>
      </w:r>
      <w:r>
        <w:rPr>
          <w:sz w:val="24"/>
          <w:szCs w:val="24"/>
        </w:rPr>
        <w:t xml:space="preserve">Between 2010 and 2011, the Cybercrime </w:t>
      </w:r>
      <w:r w:rsidRPr="00973C37">
        <w:rPr>
          <w:kern w:val="1"/>
          <w:sz w:val="24"/>
          <w:szCs w:val="24"/>
        </w:rPr>
        <w:t>Laboratory</w:t>
      </w:r>
      <w:r>
        <w:rPr>
          <w:sz w:val="24"/>
          <w:szCs w:val="24"/>
        </w:rPr>
        <w:t xml:space="preserve"> experienced a 29% increase in requests for forensic support assistance and a 31% increase in forensic consultations.  Each additional Cybercrime Laboratory examiner will significantly increase the lab’s capacity for meeting customer demand: one examiner can increase the number of forensic consults provided by more than 50% and the number of trainings provided by 19%.  Furthermore, additional examiners will be needed to keep pace with the ever-increasing size of hard drives and the subsequent datasets requiring digital analysis.  Within just the </w:t>
      </w:r>
      <w:r w:rsidRPr="0081438D">
        <w:rPr>
          <w:i/>
          <w:sz w:val="24"/>
          <w:szCs w:val="24"/>
        </w:rPr>
        <w:t>first quarter</w:t>
      </w:r>
      <w:r>
        <w:rPr>
          <w:sz w:val="24"/>
          <w:szCs w:val="24"/>
        </w:rPr>
        <w:t xml:space="preserve"> of 2012, the lab received over 12 terabytes of data for analysis, which amounts to 85% of the data received in all of 2009 and 41% of the data received in all of 2011.  </w:t>
      </w:r>
      <w:r w:rsidRPr="00973C37">
        <w:rPr>
          <w:sz w:val="24"/>
          <w:szCs w:val="24"/>
        </w:rPr>
        <w:t xml:space="preserve">With appropriate resources, </w:t>
      </w:r>
      <w:r>
        <w:rPr>
          <w:sz w:val="24"/>
          <w:szCs w:val="24"/>
        </w:rPr>
        <w:t xml:space="preserve">the lab </w:t>
      </w:r>
      <w:r w:rsidRPr="00973C37">
        <w:rPr>
          <w:sz w:val="24"/>
          <w:szCs w:val="24"/>
        </w:rPr>
        <w:t xml:space="preserve">could provide the most comprehensive, efficient, and cost-effective digital investigative analysis support to the Department’s prosecutions across the country. </w:t>
      </w:r>
    </w:p>
    <w:p w:rsidR="00613F52" w:rsidRDefault="00613F52" w:rsidP="00613F52">
      <w:pPr>
        <w:pStyle w:val="xl24"/>
        <w:spacing w:before="0" w:after="0"/>
        <w:rPr>
          <w:rFonts w:eastAsia="Times New Roman"/>
        </w:rPr>
      </w:pPr>
    </w:p>
    <w:p w:rsidR="00613F52" w:rsidRDefault="00613F52" w:rsidP="00613F52">
      <w:pPr>
        <w:pStyle w:val="xl24"/>
        <w:spacing w:before="0" w:after="0"/>
        <w:rPr>
          <w:rFonts w:eastAsia="Times New Roman"/>
        </w:rPr>
      </w:pPr>
      <w:r>
        <w:rPr>
          <w:rFonts w:eastAsia="Times New Roman"/>
        </w:rPr>
        <w:t>Impact on Performance (Relationship of Increase to Strategic Goals)</w:t>
      </w:r>
    </w:p>
    <w:p w:rsidR="00613F52" w:rsidRPr="00DC4C9F" w:rsidRDefault="00613F52" w:rsidP="00613F52">
      <w:pPr>
        <w:pStyle w:val="xl19"/>
        <w:spacing w:before="0" w:after="0"/>
        <w:rPr>
          <w:rFonts w:eastAsia="Times New Roman"/>
          <w:szCs w:val="24"/>
        </w:rPr>
      </w:pPr>
    </w:p>
    <w:p w:rsidR="00613F52" w:rsidRDefault="00613F52" w:rsidP="00613F52">
      <w:pPr>
        <w:pStyle w:val="Heading1"/>
        <w:jc w:val="left"/>
        <w:rPr>
          <w:rFonts w:ascii="Times New Roman" w:hAnsi="Times New Roman"/>
          <w:b w:val="0"/>
          <w:szCs w:val="24"/>
        </w:rPr>
      </w:pPr>
      <w:r w:rsidRPr="000721EF">
        <w:rPr>
          <w:rFonts w:ascii="Times New Roman" w:hAnsi="Times New Roman"/>
          <w:b w:val="0"/>
          <w:szCs w:val="24"/>
        </w:rPr>
        <w:t>Each additi</w:t>
      </w:r>
      <w:r>
        <w:rPr>
          <w:rFonts w:ascii="Times New Roman" w:hAnsi="Times New Roman"/>
          <w:b w:val="0"/>
          <w:szCs w:val="24"/>
        </w:rPr>
        <w:t xml:space="preserve">onal Criminal Division attorney, </w:t>
      </w:r>
      <w:r w:rsidRPr="000721EF">
        <w:rPr>
          <w:rFonts w:ascii="Times New Roman" w:hAnsi="Times New Roman"/>
          <w:b w:val="0"/>
          <w:szCs w:val="24"/>
        </w:rPr>
        <w:t>laboratory professional, and related support</w:t>
      </w:r>
      <w:r>
        <w:rPr>
          <w:rFonts w:ascii="Times New Roman" w:hAnsi="Times New Roman"/>
          <w:b w:val="0"/>
          <w:szCs w:val="24"/>
        </w:rPr>
        <w:t xml:space="preserve"> position</w:t>
      </w:r>
      <w:r w:rsidRPr="000721EF">
        <w:rPr>
          <w:rFonts w:ascii="Times New Roman" w:hAnsi="Times New Roman"/>
          <w:b w:val="0"/>
          <w:szCs w:val="24"/>
        </w:rPr>
        <w:t xml:space="preserve"> dedicated to this effort will have a widespread impact on the Department’s ability to successfully prosecute cyber criminals, preserve digital evidence, and meet its mission of protecting national security and public safety against these increasing cyber threats.</w:t>
      </w:r>
      <w:r w:rsidR="009A72AE">
        <w:rPr>
          <w:rFonts w:ascii="Times New Roman" w:hAnsi="Times New Roman"/>
          <w:b w:val="0"/>
          <w:szCs w:val="24"/>
        </w:rPr>
        <w:t xml:space="preserve"> </w:t>
      </w:r>
      <w:r>
        <w:rPr>
          <w:rFonts w:ascii="Times New Roman" w:hAnsi="Times New Roman"/>
          <w:b w:val="0"/>
          <w:szCs w:val="24"/>
        </w:rPr>
        <w:t xml:space="preserve"> The Criminal Division has a superb track record: in FY 2011, 100% of its prosecutions had a successful outcome. </w:t>
      </w:r>
    </w:p>
    <w:p w:rsidR="00613F52" w:rsidRDefault="00613F52" w:rsidP="00613F52"/>
    <w:p w:rsidR="00613F52" w:rsidRDefault="00613F52" w:rsidP="00613F52">
      <w:r>
        <w:t xml:space="preserve">However, the Division’s cyber workload is increasing due to the growing nature of the threat and the increase of investigative resources. </w:t>
      </w:r>
      <w:r w:rsidR="009A72AE">
        <w:t xml:space="preserve"> </w:t>
      </w:r>
      <w:r>
        <w:t>With t</w:t>
      </w:r>
      <w:r w:rsidRPr="00D36FC3">
        <w:t xml:space="preserve">he </w:t>
      </w:r>
      <w:r>
        <w:t xml:space="preserve">FBI increasing its resources in FY 2014 in support of the Next Generation Cyber Initiative to enhance the technical capabilities of investigative personnel, increase cyber investigations, and improve cyber collection and analysis, the Criminal Division must receive this commensurate increase to ensure that investigations can become successful prosecutions and to ensure that investigations can be adequately supported. </w:t>
      </w:r>
    </w:p>
    <w:p w:rsidR="00613F52" w:rsidRDefault="00613F52" w:rsidP="00613F52">
      <w:pPr>
        <w:pStyle w:val="Heading1"/>
        <w:rPr>
          <w:rFonts w:ascii="Times New Roman" w:hAnsi="Times New Roman"/>
          <w:bCs/>
        </w:rPr>
      </w:pPr>
      <w:r>
        <w:rPr>
          <w:rFonts w:ascii="Times New Roman" w:hAnsi="Times New Roman"/>
          <w:bCs/>
        </w:rPr>
        <w:t>Funding</w:t>
      </w:r>
    </w:p>
    <w:p w:rsidR="00613F52" w:rsidRDefault="00613F52" w:rsidP="00613F52">
      <w:pPr>
        <w:jc w:val="center"/>
      </w:pPr>
    </w:p>
    <w:p w:rsidR="00613F52" w:rsidRPr="002F3881" w:rsidRDefault="00613F52" w:rsidP="00613F52">
      <w:pPr>
        <w:pStyle w:val="xl24"/>
        <w:spacing w:before="0" w:after="0"/>
        <w:rPr>
          <w:rFonts w:eastAsia="Times New Roman"/>
          <w:sz w:val="20"/>
        </w:rPr>
      </w:pPr>
      <w:r w:rsidRPr="002F3881">
        <w:rPr>
          <w:rFonts w:eastAsia="Times New Roman"/>
          <w:sz w:val="20"/>
        </w:rPr>
        <w:t>Base Funding</w:t>
      </w:r>
    </w:p>
    <w:p w:rsidR="00613F52" w:rsidRPr="002F3881" w:rsidRDefault="00613F52" w:rsidP="00613F52">
      <w:pPr>
        <w:pStyle w:val="xl24"/>
        <w:spacing w:before="0" w:after="0"/>
        <w:rPr>
          <w:rFonts w:eastAsia="Times New Roman"/>
          <w:sz w:val="20"/>
        </w:rPr>
      </w:pPr>
    </w:p>
    <w:p w:rsidR="00613F52" w:rsidRPr="002F3881" w:rsidRDefault="00613F52" w:rsidP="00613F52">
      <w:pPr>
        <w:pStyle w:val="xl24"/>
        <w:spacing w:before="0" w:after="0"/>
        <w:rPr>
          <w:rFonts w:eastAsia="Times New Roman"/>
          <w:sz w:val="20"/>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572"/>
        <w:gridCol w:w="1395"/>
        <w:gridCol w:w="603"/>
        <w:gridCol w:w="607"/>
        <w:gridCol w:w="672"/>
        <w:gridCol w:w="1358"/>
        <w:gridCol w:w="590"/>
        <w:gridCol w:w="607"/>
        <w:gridCol w:w="672"/>
        <w:gridCol w:w="1535"/>
      </w:tblGrid>
      <w:tr w:rsidR="00613F52" w:rsidRPr="002F3881" w:rsidTr="00F80A9F">
        <w:tc>
          <w:tcPr>
            <w:tcW w:w="3168" w:type="dxa"/>
            <w:gridSpan w:val="4"/>
            <w:shd w:val="clear" w:color="auto" w:fill="E6E6E6"/>
          </w:tcPr>
          <w:p w:rsidR="00613F52" w:rsidRPr="002F3881" w:rsidRDefault="00613F52" w:rsidP="00F80A9F">
            <w:pPr>
              <w:pStyle w:val="xl24"/>
              <w:spacing w:before="0" w:after="0"/>
              <w:jc w:val="center"/>
              <w:rPr>
                <w:rFonts w:eastAsia="Times New Roman"/>
                <w:sz w:val="20"/>
                <w:u w:val="none"/>
              </w:rPr>
            </w:pPr>
            <w:r w:rsidRPr="002F3881">
              <w:rPr>
                <w:rFonts w:eastAsia="Times New Roman"/>
                <w:sz w:val="20"/>
                <w:u w:val="none"/>
              </w:rPr>
              <w:t>FY 2012 Enacted</w:t>
            </w:r>
          </w:p>
        </w:tc>
        <w:tc>
          <w:tcPr>
            <w:tcW w:w="3240" w:type="dxa"/>
            <w:gridSpan w:val="4"/>
            <w:shd w:val="clear" w:color="auto" w:fill="E6E6E6"/>
          </w:tcPr>
          <w:p w:rsidR="00613F52" w:rsidRPr="002F3881" w:rsidRDefault="00613F52" w:rsidP="00F80A9F">
            <w:pPr>
              <w:pStyle w:val="xl24"/>
              <w:spacing w:before="0" w:after="0"/>
              <w:jc w:val="center"/>
              <w:rPr>
                <w:rFonts w:eastAsia="Times New Roman"/>
                <w:sz w:val="20"/>
                <w:u w:val="none"/>
              </w:rPr>
            </w:pPr>
            <w:r w:rsidRPr="002F3881">
              <w:rPr>
                <w:rFonts w:eastAsia="Times New Roman"/>
                <w:sz w:val="20"/>
                <w:u w:val="none"/>
              </w:rPr>
              <w:t>FY 2013 CR</w:t>
            </w:r>
          </w:p>
        </w:tc>
        <w:tc>
          <w:tcPr>
            <w:tcW w:w="3404" w:type="dxa"/>
            <w:gridSpan w:val="4"/>
            <w:shd w:val="clear" w:color="auto" w:fill="E6E6E6"/>
          </w:tcPr>
          <w:p w:rsidR="00613F52" w:rsidRPr="002F3881" w:rsidRDefault="00613F52" w:rsidP="00F80A9F">
            <w:pPr>
              <w:pStyle w:val="xl24"/>
              <w:spacing w:before="0" w:after="0"/>
              <w:jc w:val="center"/>
              <w:rPr>
                <w:rFonts w:eastAsia="Times New Roman"/>
                <w:sz w:val="20"/>
                <w:u w:val="none"/>
              </w:rPr>
            </w:pPr>
            <w:r w:rsidRPr="002F3881">
              <w:rPr>
                <w:rFonts w:eastAsia="Times New Roman"/>
                <w:sz w:val="20"/>
                <w:u w:val="none"/>
              </w:rPr>
              <w:t>FY 2014 Current Services</w:t>
            </w:r>
          </w:p>
        </w:tc>
      </w:tr>
      <w:tr w:rsidR="00613F52" w:rsidRPr="002F3881" w:rsidTr="00F80A9F">
        <w:tc>
          <w:tcPr>
            <w:tcW w:w="594" w:type="dxa"/>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Pos</w:t>
            </w:r>
          </w:p>
        </w:tc>
        <w:tc>
          <w:tcPr>
            <w:tcW w:w="607" w:type="dxa"/>
          </w:tcPr>
          <w:p w:rsidR="00613F52" w:rsidRPr="002F3881" w:rsidRDefault="00613F52" w:rsidP="00F80A9F">
            <w:pPr>
              <w:pStyle w:val="xl24"/>
              <w:spacing w:before="0" w:after="0"/>
              <w:rPr>
                <w:rFonts w:eastAsia="Times New Roman"/>
                <w:sz w:val="20"/>
                <w:u w:val="none"/>
              </w:rPr>
            </w:pPr>
            <w:proofErr w:type="spellStart"/>
            <w:r w:rsidRPr="002F3881">
              <w:rPr>
                <w:rFonts w:eastAsia="Times New Roman"/>
                <w:sz w:val="20"/>
                <w:u w:val="none"/>
              </w:rPr>
              <w:t>atty</w:t>
            </w:r>
            <w:proofErr w:type="spellEnd"/>
          </w:p>
        </w:tc>
        <w:tc>
          <w:tcPr>
            <w:tcW w:w="572" w:type="dxa"/>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FTE</w:t>
            </w:r>
          </w:p>
        </w:tc>
        <w:tc>
          <w:tcPr>
            <w:tcW w:w="1395" w:type="dxa"/>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$(000)</w:t>
            </w:r>
          </w:p>
        </w:tc>
        <w:tc>
          <w:tcPr>
            <w:tcW w:w="603" w:type="dxa"/>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Pos</w:t>
            </w:r>
          </w:p>
        </w:tc>
        <w:tc>
          <w:tcPr>
            <w:tcW w:w="607" w:type="dxa"/>
          </w:tcPr>
          <w:p w:rsidR="00613F52" w:rsidRPr="002F3881" w:rsidRDefault="00613F52" w:rsidP="00F80A9F">
            <w:pPr>
              <w:pStyle w:val="xl24"/>
              <w:spacing w:before="0" w:after="0"/>
              <w:rPr>
                <w:rFonts w:eastAsia="Times New Roman"/>
                <w:sz w:val="20"/>
                <w:u w:val="none"/>
              </w:rPr>
            </w:pPr>
            <w:proofErr w:type="spellStart"/>
            <w:r w:rsidRPr="002F3881">
              <w:rPr>
                <w:rFonts w:eastAsia="Times New Roman"/>
                <w:sz w:val="20"/>
                <w:u w:val="none"/>
              </w:rPr>
              <w:t>atty</w:t>
            </w:r>
            <w:proofErr w:type="spellEnd"/>
          </w:p>
        </w:tc>
        <w:tc>
          <w:tcPr>
            <w:tcW w:w="672" w:type="dxa"/>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FTE</w:t>
            </w:r>
          </w:p>
        </w:tc>
        <w:tc>
          <w:tcPr>
            <w:tcW w:w="1358" w:type="dxa"/>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$(000)</w:t>
            </w:r>
          </w:p>
        </w:tc>
        <w:tc>
          <w:tcPr>
            <w:tcW w:w="590" w:type="dxa"/>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Pos</w:t>
            </w:r>
          </w:p>
        </w:tc>
        <w:tc>
          <w:tcPr>
            <w:tcW w:w="607" w:type="dxa"/>
          </w:tcPr>
          <w:p w:rsidR="00613F52" w:rsidRPr="002F3881" w:rsidRDefault="00613F52" w:rsidP="00F80A9F">
            <w:pPr>
              <w:pStyle w:val="xl24"/>
              <w:spacing w:before="0" w:after="0"/>
              <w:rPr>
                <w:rFonts w:eastAsia="Times New Roman"/>
                <w:sz w:val="20"/>
                <w:u w:val="none"/>
              </w:rPr>
            </w:pPr>
            <w:proofErr w:type="spellStart"/>
            <w:r w:rsidRPr="002F3881">
              <w:rPr>
                <w:rFonts w:eastAsia="Times New Roman"/>
                <w:sz w:val="20"/>
                <w:u w:val="none"/>
              </w:rPr>
              <w:t>atty</w:t>
            </w:r>
            <w:proofErr w:type="spellEnd"/>
          </w:p>
        </w:tc>
        <w:tc>
          <w:tcPr>
            <w:tcW w:w="672" w:type="dxa"/>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FTE</w:t>
            </w:r>
          </w:p>
        </w:tc>
        <w:tc>
          <w:tcPr>
            <w:tcW w:w="1535" w:type="dxa"/>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$(000)</w:t>
            </w:r>
          </w:p>
        </w:tc>
      </w:tr>
      <w:tr w:rsidR="00613F52" w:rsidRPr="002F3881" w:rsidTr="00F80A9F">
        <w:tc>
          <w:tcPr>
            <w:tcW w:w="594"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122</w:t>
            </w:r>
          </w:p>
        </w:tc>
        <w:tc>
          <w:tcPr>
            <w:tcW w:w="607"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79</w:t>
            </w:r>
          </w:p>
        </w:tc>
        <w:tc>
          <w:tcPr>
            <w:tcW w:w="572"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122</w:t>
            </w:r>
          </w:p>
        </w:tc>
        <w:tc>
          <w:tcPr>
            <w:tcW w:w="1395"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$28,25</w:t>
            </w:r>
            <w:r>
              <w:rPr>
                <w:rFonts w:eastAsia="Times New Roman"/>
                <w:sz w:val="20"/>
                <w:u w:val="none"/>
              </w:rPr>
              <w:t>4</w:t>
            </w:r>
          </w:p>
        </w:tc>
        <w:tc>
          <w:tcPr>
            <w:tcW w:w="603"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122</w:t>
            </w:r>
          </w:p>
        </w:tc>
        <w:tc>
          <w:tcPr>
            <w:tcW w:w="607"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79</w:t>
            </w:r>
          </w:p>
        </w:tc>
        <w:tc>
          <w:tcPr>
            <w:tcW w:w="672"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95</w:t>
            </w:r>
          </w:p>
        </w:tc>
        <w:tc>
          <w:tcPr>
            <w:tcW w:w="1358"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$28,428</w:t>
            </w:r>
          </w:p>
        </w:tc>
        <w:tc>
          <w:tcPr>
            <w:tcW w:w="590"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122</w:t>
            </w:r>
          </w:p>
        </w:tc>
        <w:tc>
          <w:tcPr>
            <w:tcW w:w="607"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79</w:t>
            </w:r>
          </w:p>
        </w:tc>
        <w:tc>
          <w:tcPr>
            <w:tcW w:w="672"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95</w:t>
            </w:r>
          </w:p>
        </w:tc>
        <w:tc>
          <w:tcPr>
            <w:tcW w:w="1535" w:type="dxa"/>
            <w:vAlign w:val="center"/>
          </w:tcPr>
          <w:p w:rsidR="00613F52" w:rsidRPr="002F3881" w:rsidRDefault="00613F52" w:rsidP="00F80A9F">
            <w:pPr>
              <w:pStyle w:val="xl24"/>
              <w:spacing w:before="0" w:after="0"/>
              <w:rPr>
                <w:rFonts w:eastAsia="Times New Roman"/>
                <w:sz w:val="20"/>
                <w:u w:val="none"/>
              </w:rPr>
            </w:pPr>
            <w:r w:rsidRPr="002F3881">
              <w:rPr>
                <w:rFonts w:eastAsia="Times New Roman"/>
                <w:sz w:val="20"/>
                <w:u w:val="none"/>
              </w:rPr>
              <w:t>27,891</w:t>
            </w:r>
          </w:p>
        </w:tc>
      </w:tr>
    </w:tbl>
    <w:p w:rsidR="00613F52" w:rsidRPr="002F3881" w:rsidRDefault="00613F52" w:rsidP="00613F52">
      <w:pPr>
        <w:pStyle w:val="xl24"/>
        <w:spacing w:before="0" w:after="0"/>
        <w:rPr>
          <w:rFonts w:eastAsia="Times New Roman"/>
          <w:sz w:val="20"/>
          <w:u w:val="none"/>
        </w:rPr>
      </w:pPr>
    </w:p>
    <w:p w:rsidR="00613F52" w:rsidRPr="001F5BAC" w:rsidRDefault="00613F52" w:rsidP="00613F52">
      <w:pPr>
        <w:pStyle w:val="BodyText"/>
      </w:pPr>
      <w:r w:rsidRPr="001F5BAC">
        <w:rPr>
          <w:u w:val="single"/>
        </w:rPr>
        <w:t>Personnel Increase Cost Summary</w:t>
      </w:r>
    </w:p>
    <w:p w:rsidR="00613F52" w:rsidRDefault="00613F52" w:rsidP="00613F52"/>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1260"/>
        <w:gridCol w:w="1350"/>
        <w:gridCol w:w="1620"/>
        <w:gridCol w:w="1890"/>
        <w:gridCol w:w="1890"/>
      </w:tblGrid>
      <w:tr w:rsidR="00613F52" w:rsidRPr="001F5BAC" w:rsidTr="00F80A9F">
        <w:tc>
          <w:tcPr>
            <w:tcW w:w="1818" w:type="dxa"/>
            <w:shd w:val="clear" w:color="auto" w:fill="E6E6E6"/>
            <w:vAlign w:val="center"/>
          </w:tcPr>
          <w:p w:rsidR="00613F52" w:rsidRPr="001F5BAC" w:rsidRDefault="00613F52" w:rsidP="00F80A9F">
            <w:pPr>
              <w:jc w:val="center"/>
              <w:rPr>
                <w:sz w:val="20"/>
              </w:rPr>
            </w:pPr>
            <w:r w:rsidRPr="001F5BAC">
              <w:rPr>
                <w:sz w:val="20"/>
              </w:rPr>
              <w:t>Type of Position</w:t>
            </w:r>
          </w:p>
        </w:tc>
        <w:tc>
          <w:tcPr>
            <w:tcW w:w="1260" w:type="dxa"/>
            <w:vAlign w:val="center"/>
          </w:tcPr>
          <w:p w:rsidR="00613F52" w:rsidRPr="001F5BAC" w:rsidRDefault="00613F52" w:rsidP="00F80A9F">
            <w:pPr>
              <w:jc w:val="center"/>
              <w:rPr>
                <w:sz w:val="20"/>
              </w:rPr>
            </w:pPr>
            <w:r w:rsidRPr="001F5BAC">
              <w:rPr>
                <w:sz w:val="20"/>
              </w:rPr>
              <w:t>Modular Cost</w:t>
            </w:r>
          </w:p>
          <w:p w:rsidR="00613F52" w:rsidRPr="001F5BAC" w:rsidRDefault="00613F52" w:rsidP="00F80A9F">
            <w:pPr>
              <w:jc w:val="center"/>
              <w:rPr>
                <w:sz w:val="20"/>
              </w:rPr>
            </w:pPr>
            <w:r w:rsidRPr="001F5BAC">
              <w:rPr>
                <w:sz w:val="20"/>
              </w:rPr>
              <w:t>per Position</w:t>
            </w:r>
          </w:p>
          <w:p w:rsidR="00613F52" w:rsidRPr="001F5BAC" w:rsidRDefault="00613F52" w:rsidP="00F80A9F">
            <w:pPr>
              <w:jc w:val="center"/>
              <w:rPr>
                <w:sz w:val="20"/>
              </w:rPr>
            </w:pPr>
            <w:r w:rsidRPr="001F5BAC">
              <w:rPr>
                <w:sz w:val="20"/>
              </w:rPr>
              <w:t>($000)</w:t>
            </w:r>
          </w:p>
        </w:tc>
        <w:tc>
          <w:tcPr>
            <w:tcW w:w="1350" w:type="dxa"/>
            <w:vAlign w:val="center"/>
          </w:tcPr>
          <w:p w:rsidR="00613F52" w:rsidRPr="001F5BAC" w:rsidRDefault="00613F52" w:rsidP="00F80A9F">
            <w:pPr>
              <w:jc w:val="center"/>
              <w:rPr>
                <w:sz w:val="20"/>
              </w:rPr>
            </w:pPr>
            <w:r w:rsidRPr="001F5BAC">
              <w:rPr>
                <w:sz w:val="20"/>
              </w:rPr>
              <w:t>Number of</w:t>
            </w:r>
          </w:p>
          <w:p w:rsidR="00613F52" w:rsidRPr="001F5BAC" w:rsidRDefault="00613F52" w:rsidP="00F80A9F">
            <w:pPr>
              <w:jc w:val="center"/>
              <w:rPr>
                <w:sz w:val="20"/>
              </w:rPr>
            </w:pPr>
            <w:r w:rsidRPr="001F5BAC">
              <w:rPr>
                <w:sz w:val="20"/>
              </w:rPr>
              <w:t>Positions</w:t>
            </w:r>
          </w:p>
          <w:p w:rsidR="00613F52" w:rsidRPr="001F5BAC" w:rsidRDefault="00613F52" w:rsidP="00F80A9F">
            <w:pPr>
              <w:jc w:val="center"/>
              <w:rPr>
                <w:sz w:val="20"/>
              </w:rPr>
            </w:pPr>
            <w:r w:rsidRPr="001F5BAC">
              <w:rPr>
                <w:sz w:val="20"/>
              </w:rPr>
              <w:t>Requested</w:t>
            </w:r>
          </w:p>
        </w:tc>
        <w:tc>
          <w:tcPr>
            <w:tcW w:w="1620" w:type="dxa"/>
            <w:vAlign w:val="center"/>
          </w:tcPr>
          <w:p w:rsidR="00613F52" w:rsidRPr="001F5BAC" w:rsidRDefault="00613F52" w:rsidP="00F80A9F">
            <w:pPr>
              <w:jc w:val="center"/>
              <w:rPr>
                <w:sz w:val="20"/>
              </w:rPr>
            </w:pPr>
            <w:r w:rsidRPr="001F5BAC">
              <w:rPr>
                <w:sz w:val="20"/>
              </w:rPr>
              <w:t>FY 2014</w:t>
            </w:r>
          </w:p>
          <w:p w:rsidR="00613F52" w:rsidRPr="001F5BAC" w:rsidRDefault="00613F52" w:rsidP="00F80A9F">
            <w:pPr>
              <w:jc w:val="center"/>
              <w:rPr>
                <w:sz w:val="20"/>
              </w:rPr>
            </w:pPr>
            <w:r w:rsidRPr="001F5BAC">
              <w:rPr>
                <w:sz w:val="20"/>
              </w:rPr>
              <w:t>Request</w:t>
            </w:r>
            <w:r>
              <w:rPr>
                <w:sz w:val="20"/>
              </w:rPr>
              <w:t xml:space="preserve"> </w:t>
            </w:r>
            <w:r w:rsidRPr="001F5BAC">
              <w:rPr>
                <w:sz w:val="20"/>
              </w:rPr>
              <w:t>($000)</w:t>
            </w:r>
          </w:p>
        </w:tc>
        <w:tc>
          <w:tcPr>
            <w:tcW w:w="1890" w:type="dxa"/>
          </w:tcPr>
          <w:p w:rsidR="00613F52" w:rsidRDefault="00613F52" w:rsidP="00F80A9F">
            <w:pPr>
              <w:jc w:val="center"/>
              <w:rPr>
                <w:sz w:val="20"/>
              </w:rPr>
            </w:pPr>
            <w:r w:rsidRPr="001F5BAC">
              <w:rPr>
                <w:sz w:val="20"/>
              </w:rPr>
              <w:t>FY 201</w:t>
            </w:r>
            <w:r>
              <w:rPr>
                <w:sz w:val="20"/>
              </w:rPr>
              <w:t>5</w:t>
            </w:r>
            <w:r w:rsidRPr="001F5BAC">
              <w:rPr>
                <w:sz w:val="20"/>
              </w:rPr>
              <w:t xml:space="preserve"> </w:t>
            </w:r>
          </w:p>
          <w:p w:rsidR="00613F52" w:rsidRPr="00806D92" w:rsidRDefault="00613F52" w:rsidP="00F80A9F">
            <w:pPr>
              <w:jc w:val="center"/>
              <w:rPr>
                <w:vanish/>
                <w:sz w:val="20"/>
                <w:specVanish/>
              </w:rPr>
            </w:pPr>
            <w:r w:rsidRPr="001F5BAC">
              <w:rPr>
                <w:sz w:val="20"/>
              </w:rPr>
              <w:t>Net</w:t>
            </w:r>
          </w:p>
          <w:p w:rsidR="00613F52" w:rsidRPr="001F5BAC" w:rsidRDefault="00613F52" w:rsidP="00F80A9F">
            <w:pPr>
              <w:jc w:val="center"/>
              <w:rPr>
                <w:sz w:val="20"/>
              </w:rPr>
            </w:pPr>
            <w:r>
              <w:rPr>
                <w:sz w:val="20"/>
              </w:rPr>
              <w:t xml:space="preserve"> </w:t>
            </w:r>
            <w:proofErr w:type="spellStart"/>
            <w:r>
              <w:rPr>
                <w:sz w:val="20"/>
              </w:rPr>
              <w:t>Annualization</w:t>
            </w:r>
            <w:proofErr w:type="spellEnd"/>
            <w:r>
              <w:rPr>
                <w:sz w:val="20"/>
              </w:rPr>
              <w:t xml:space="preserve"> (change from </w:t>
            </w:r>
            <w:r w:rsidRPr="001F5BAC">
              <w:rPr>
                <w:sz w:val="20"/>
              </w:rPr>
              <w:t>201</w:t>
            </w:r>
            <w:r>
              <w:rPr>
                <w:sz w:val="20"/>
              </w:rPr>
              <w:t>4</w:t>
            </w:r>
            <w:r w:rsidRPr="001F5BAC">
              <w:rPr>
                <w:sz w:val="20"/>
              </w:rPr>
              <w:t>)</w:t>
            </w:r>
          </w:p>
          <w:p w:rsidR="00613F52" w:rsidRPr="001F5BAC" w:rsidRDefault="00613F52" w:rsidP="00F80A9F">
            <w:pPr>
              <w:jc w:val="center"/>
              <w:rPr>
                <w:sz w:val="20"/>
              </w:rPr>
            </w:pPr>
            <w:r w:rsidRPr="001F5BAC">
              <w:rPr>
                <w:sz w:val="20"/>
              </w:rPr>
              <w:t>($000)</w:t>
            </w:r>
          </w:p>
        </w:tc>
        <w:tc>
          <w:tcPr>
            <w:tcW w:w="1890" w:type="dxa"/>
            <w:vAlign w:val="center"/>
          </w:tcPr>
          <w:p w:rsidR="00613F52" w:rsidRDefault="00613F52" w:rsidP="00F80A9F">
            <w:pPr>
              <w:jc w:val="center"/>
              <w:rPr>
                <w:sz w:val="20"/>
              </w:rPr>
            </w:pPr>
            <w:r w:rsidRPr="001F5BAC">
              <w:rPr>
                <w:sz w:val="20"/>
              </w:rPr>
              <w:t>FY 201</w:t>
            </w:r>
            <w:r>
              <w:rPr>
                <w:sz w:val="20"/>
              </w:rPr>
              <w:t>6</w:t>
            </w:r>
            <w:r w:rsidRPr="001F5BAC">
              <w:rPr>
                <w:sz w:val="20"/>
              </w:rPr>
              <w:t xml:space="preserve"> </w:t>
            </w:r>
          </w:p>
          <w:p w:rsidR="00613F52" w:rsidRPr="00806D92" w:rsidRDefault="00613F52" w:rsidP="00F80A9F">
            <w:pPr>
              <w:jc w:val="center"/>
              <w:rPr>
                <w:vanish/>
                <w:sz w:val="20"/>
                <w:specVanish/>
              </w:rPr>
            </w:pPr>
            <w:r w:rsidRPr="001F5BAC">
              <w:rPr>
                <w:sz w:val="20"/>
              </w:rPr>
              <w:t>Net</w:t>
            </w:r>
          </w:p>
          <w:p w:rsidR="00613F52" w:rsidRPr="001F5BAC" w:rsidRDefault="00613F52" w:rsidP="00F80A9F">
            <w:pPr>
              <w:jc w:val="center"/>
              <w:rPr>
                <w:sz w:val="20"/>
              </w:rPr>
            </w:pPr>
            <w:r>
              <w:rPr>
                <w:sz w:val="20"/>
              </w:rPr>
              <w:t xml:space="preserve"> </w:t>
            </w:r>
            <w:proofErr w:type="spellStart"/>
            <w:r>
              <w:rPr>
                <w:sz w:val="20"/>
              </w:rPr>
              <w:t>Annualization</w:t>
            </w:r>
            <w:proofErr w:type="spellEnd"/>
            <w:r>
              <w:rPr>
                <w:sz w:val="20"/>
              </w:rPr>
              <w:t xml:space="preserve"> (change from </w:t>
            </w:r>
            <w:r w:rsidRPr="001F5BAC">
              <w:rPr>
                <w:sz w:val="20"/>
              </w:rPr>
              <w:t>201</w:t>
            </w:r>
            <w:r>
              <w:rPr>
                <w:sz w:val="20"/>
              </w:rPr>
              <w:t>5</w:t>
            </w:r>
            <w:r w:rsidRPr="001F5BAC">
              <w:rPr>
                <w:sz w:val="20"/>
              </w:rPr>
              <w:t>)</w:t>
            </w:r>
          </w:p>
          <w:p w:rsidR="00613F52" w:rsidRPr="001F5BAC" w:rsidRDefault="00613F52" w:rsidP="00F80A9F">
            <w:pPr>
              <w:jc w:val="center"/>
              <w:rPr>
                <w:sz w:val="20"/>
              </w:rPr>
            </w:pPr>
            <w:r w:rsidRPr="001F5BAC">
              <w:rPr>
                <w:sz w:val="20"/>
              </w:rPr>
              <w:t>($000)</w:t>
            </w:r>
          </w:p>
        </w:tc>
      </w:tr>
      <w:tr w:rsidR="00613F52" w:rsidRPr="001F5BAC" w:rsidTr="00F80A9F">
        <w:tc>
          <w:tcPr>
            <w:tcW w:w="1818" w:type="dxa"/>
          </w:tcPr>
          <w:p w:rsidR="00613F52" w:rsidRPr="001F5BAC" w:rsidRDefault="00613F52" w:rsidP="00F80A9F">
            <w:pPr>
              <w:rPr>
                <w:sz w:val="20"/>
              </w:rPr>
            </w:pPr>
            <w:r>
              <w:rPr>
                <w:sz w:val="20"/>
              </w:rPr>
              <w:t>Attorney</w:t>
            </w:r>
          </w:p>
        </w:tc>
        <w:tc>
          <w:tcPr>
            <w:tcW w:w="1260" w:type="dxa"/>
            <w:vAlign w:val="center"/>
          </w:tcPr>
          <w:p w:rsidR="00613F52" w:rsidRPr="001F5BAC" w:rsidRDefault="00613F52" w:rsidP="00F80A9F">
            <w:pPr>
              <w:jc w:val="center"/>
              <w:rPr>
                <w:sz w:val="20"/>
              </w:rPr>
            </w:pPr>
            <w:r>
              <w:rPr>
                <w:sz w:val="20"/>
              </w:rPr>
              <w:t>$114</w:t>
            </w:r>
          </w:p>
        </w:tc>
        <w:tc>
          <w:tcPr>
            <w:tcW w:w="1350" w:type="dxa"/>
            <w:vAlign w:val="center"/>
          </w:tcPr>
          <w:p w:rsidR="00613F52" w:rsidRPr="001F5BAC" w:rsidRDefault="00613F52" w:rsidP="00F80A9F">
            <w:pPr>
              <w:jc w:val="center"/>
              <w:rPr>
                <w:sz w:val="20"/>
              </w:rPr>
            </w:pPr>
            <w:r>
              <w:rPr>
                <w:sz w:val="20"/>
              </w:rPr>
              <w:t>9</w:t>
            </w:r>
          </w:p>
        </w:tc>
        <w:tc>
          <w:tcPr>
            <w:tcW w:w="1620" w:type="dxa"/>
            <w:vAlign w:val="center"/>
          </w:tcPr>
          <w:p w:rsidR="00613F52" w:rsidRPr="001F5BAC" w:rsidRDefault="00613F52" w:rsidP="00F80A9F">
            <w:pPr>
              <w:jc w:val="center"/>
              <w:rPr>
                <w:sz w:val="20"/>
              </w:rPr>
            </w:pPr>
            <w:r>
              <w:rPr>
                <w:sz w:val="20"/>
              </w:rPr>
              <w:t>$1,026</w:t>
            </w:r>
          </w:p>
        </w:tc>
        <w:tc>
          <w:tcPr>
            <w:tcW w:w="1890" w:type="dxa"/>
            <w:vAlign w:val="center"/>
          </w:tcPr>
          <w:p w:rsidR="00613F52" w:rsidRPr="001F5BAC" w:rsidRDefault="00613F52" w:rsidP="00F80A9F">
            <w:pPr>
              <w:jc w:val="center"/>
              <w:rPr>
                <w:sz w:val="20"/>
              </w:rPr>
            </w:pPr>
            <w:r>
              <w:rPr>
                <w:sz w:val="20"/>
              </w:rPr>
              <w:t>$972</w:t>
            </w:r>
          </w:p>
        </w:tc>
        <w:tc>
          <w:tcPr>
            <w:tcW w:w="1890" w:type="dxa"/>
            <w:vAlign w:val="center"/>
          </w:tcPr>
          <w:p w:rsidR="00613F52" w:rsidRPr="001F5BAC" w:rsidRDefault="00613F52" w:rsidP="00F80A9F">
            <w:pPr>
              <w:jc w:val="center"/>
              <w:rPr>
                <w:sz w:val="20"/>
              </w:rPr>
            </w:pPr>
            <w:r>
              <w:rPr>
                <w:sz w:val="20"/>
              </w:rPr>
              <w:t>$0</w:t>
            </w:r>
          </w:p>
        </w:tc>
      </w:tr>
      <w:tr w:rsidR="00613F52" w:rsidRPr="001F5BAC" w:rsidTr="00F80A9F">
        <w:tc>
          <w:tcPr>
            <w:tcW w:w="1818" w:type="dxa"/>
          </w:tcPr>
          <w:p w:rsidR="00613F52" w:rsidRDefault="00613F52" w:rsidP="00F80A9F">
            <w:pPr>
              <w:rPr>
                <w:sz w:val="20"/>
              </w:rPr>
            </w:pPr>
            <w:r>
              <w:rPr>
                <w:sz w:val="20"/>
              </w:rPr>
              <w:t>Professional</w:t>
            </w:r>
          </w:p>
        </w:tc>
        <w:tc>
          <w:tcPr>
            <w:tcW w:w="1260" w:type="dxa"/>
            <w:vAlign w:val="center"/>
          </w:tcPr>
          <w:p w:rsidR="00613F52" w:rsidRPr="001F5BAC" w:rsidRDefault="00613F52" w:rsidP="00F80A9F">
            <w:pPr>
              <w:jc w:val="center"/>
              <w:rPr>
                <w:sz w:val="20"/>
              </w:rPr>
            </w:pPr>
            <w:r>
              <w:rPr>
                <w:sz w:val="20"/>
              </w:rPr>
              <w:t>$63</w:t>
            </w:r>
          </w:p>
        </w:tc>
        <w:tc>
          <w:tcPr>
            <w:tcW w:w="1350" w:type="dxa"/>
            <w:vAlign w:val="center"/>
          </w:tcPr>
          <w:p w:rsidR="00613F52" w:rsidRPr="001F5BAC" w:rsidRDefault="00613F52" w:rsidP="00F80A9F">
            <w:pPr>
              <w:jc w:val="center"/>
              <w:rPr>
                <w:sz w:val="20"/>
              </w:rPr>
            </w:pPr>
            <w:r>
              <w:rPr>
                <w:sz w:val="20"/>
              </w:rPr>
              <w:t>9</w:t>
            </w:r>
          </w:p>
        </w:tc>
        <w:tc>
          <w:tcPr>
            <w:tcW w:w="1620" w:type="dxa"/>
            <w:vAlign w:val="center"/>
          </w:tcPr>
          <w:p w:rsidR="00613F52" w:rsidRPr="001F5BAC" w:rsidRDefault="00613F52" w:rsidP="00F80A9F">
            <w:pPr>
              <w:jc w:val="center"/>
              <w:rPr>
                <w:sz w:val="20"/>
              </w:rPr>
            </w:pPr>
            <w:r>
              <w:rPr>
                <w:sz w:val="20"/>
              </w:rPr>
              <w:t>$567</w:t>
            </w:r>
          </w:p>
        </w:tc>
        <w:tc>
          <w:tcPr>
            <w:tcW w:w="1890" w:type="dxa"/>
            <w:vAlign w:val="center"/>
          </w:tcPr>
          <w:p w:rsidR="00613F52" w:rsidRPr="001F5BAC" w:rsidRDefault="00613F52" w:rsidP="00F80A9F">
            <w:pPr>
              <w:jc w:val="center"/>
              <w:rPr>
                <w:sz w:val="20"/>
              </w:rPr>
            </w:pPr>
            <w:r>
              <w:rPr>
                <w:sz w:val="20"/>
              </w:rPr>
              <w:t>$396</w:t>
            </w:r>
          </w:p>
        </w:tc>
        <w:tc>
          <w:tcPr>
            <w:tcW w:w="1890" w:type="dxa"/>
            <w:vAlign w:val="center"/>
          </w:tcPr>
          <w:p w:rsidR="00613F52" w:rsidRPr="001F5BAC" w:rsidRDefault="00613F52" w:rsidP="00F80A9F">
            <w:pPr>
              <w:jc w:val="center"/>
              <w:rPr>
                <w:sz w:val="20"/>
              </w:rPr>
            </w:pPr>
            <w:r>
              <w:rPr>
                <w:sz w:val="20"/>
              </w:rPr>
              <w:t>$441</w:t>
            </w:r>
          </w:p>
        </w:tc>
      </w:tr>
      <w:tr w:rsidR="00613F52" w:rsidRPr="001F5BAC" w:rsidTr="00F80A9F">
        <w:tc>
          <w:tcPr>
            <w:tcW w:w="1818" w:type="dxa"/>
          </w:tcPr>
          <w:p w:rsidR="00613F52" w:rsidRDefault="00613F52" w:rsidP="00F80A9F">
            <w:pPr>
              <w:rPr>
                <w:sz w:val="20"/>
              </w:rPr>
            </w:pPr>
            <w:r>
              <w:rPr>
                <w:sz w:val="20"/>
              </w:rPr>
              <w:t>Expert Professional</w:t>
            </w:r>
          </w:p>
        </w:tc>
        <w:tc>
          <w:tcPr>
            <w:tcW w:w="1260" w:type="dxa"/>
            <w:vAlign w:val="center"/>
          </w:tcPr>
          <w:p w:rsidR="00613F52" w:rsidRPr="001F5BAC" w:rsidRDefault="00613F52" w:rsidP="00F80A9F">
            <w:pPr>
              <w:jc w:val="center"/>
              <w:rPr>
                <w:sz w:val="20"/>
              </w:rPr>
            </w:pPr>
            <w:r>
              <w:rPr>
                <w:sz w:val="20"/>
              </w:rPr>
              <w:t>$94</w:t>
            </w:r>
          </w:p>
        </w:tc>
        <w:tc>
          <w:tcPr>
            <w:tcW w:w="1350" w:type="dxa"/>
            <w:vAlign w:val="center"/>
          </w:tcPr>
          <w:p w:rsidR="00613F52" w:rsidRPr="001F5BAC" w:rsidRDefault="00613F52" w:rsidP="00F80A9F">
            <w:pPr>
              <w:jc w:val="center"/>
              <w:rPr>
                <w:sz w:val="20"/>
              </w:rPr>
            </w:pPr>
            <w:r>
              <w:rPr>
                <w:sz w:val="20"/>
              </w:rPr>
              <w:t>4</w:t>
            </w:r>
          </w:p>
        </w:tc>
        <w:tc>
          <w:tcPr>
            <w:tcW w:w="1620" w:type="dxa"/>
            <w:vAlign w:val="center"/>
          </w:tcPr>
          <w:p w:rsidR="00613F52" w:rsidRPr="001F5BAC" w:rsidRDefault="00613F52" w:rsidP="00F80A9F">
            <w:pPr>
              <w:jc w:val="center"/>
              <w:rPr>
                <w:sz w:val="20"/>
              </w:rPr>
            </w:pPr>
            <w:r>
              <w:rPr>
                <w:sz w:val="20"/>
              </w:rPr>
              <w:t>$376</w:t>
            </w:r>
          </w:p>
        </w:tc>
        <w:tc>
          <w:tcPr>
            <w:tcW w:w="1890" w:type="dxa"/>
            <w:vAlign w:val="center"/>
          </w:tcPr>
          <w:p w:rsidR="00613F52" w:rsidRPr="001F5BAC" w:rsidRDefault="00613F52" w:rsidP="00F80A9F">
            <w:pPr>
              <w:jc w:val="center"/>
              <w:rPr>
                <w:sz w:val="20"/>
              </w:rPr>
            </w:pPr>
            <w:r>
              <w:rPr>
                <w:sz w:val="20"/>
              </w:rPr>
              <w:t>$340</w:t>
            </w:r>
          </w:p>
        </w:tc>
        <w:tc>
          <w:tcPr>
            <w:tcW w:w="1890" w:type="dxa"/>
            <w:vAlign w:val="center"/>
          </w:tcPr>
          <w:p w:rsidR="00613F52" w:rsidRPr="001F5BAC" w:rsidRDefault="00613F52" w:rsidP="00F80A9F">
            <w:pPr>
              <w:jc w:val="center"/>
              <w:rPr>
                <w:sz w:val="20"/>
              </w:rPr>
            </w:pPr>
            <w:r>
              <w:rPr>
                <w:sz w:val="20"/>
              </w:rPr>
              <w:t>$108</w:t>
            </w:r>
          </w:p>
        </w:tc>
      </w:tr>
      <w:tr w:rsidR="00613F52" w:rsidRPr="001F5BAC" w:rsidTr="00F80A9F">
        <w:tc>
          <w:tcPr>
            <w:tcW w:w="1818" w:type="dxa"/>
          </w:tcPr>
          <w:p w:rsidR="00613F52" w:rsidRPr="001F5BAC" w:rsidRDefault="00613F52" w:rsidP="00F80A9F">
            <w:pPr>
              <w:rPr>
                <w:sz w:val="20"/>
              </w:rPr>
            </w:pPr>
            <w:r>
              <w:rPr>
                <w:sz w:val="20"/>
              </w:rPr>
              <w:t>Clerical</w:t>
            </w:r>
          </w:p>
        </w:tc>
        <w:tc>
          <w:tcPr>
            <w:tcW w:w="1260" w:type="dxa"/>
            <w:vAlign w:val="center"/>
          </w:tcPr>
          <w:p w:rsidR="00613F52" w:rsidRDefault="00613F52" w:rsidP="00F80A9F">
            <w:pPr>
              <w:jc w:val="center"/>
              <w:rPr>
                <w:sz w:val="20"/>
              </w:rPr>
            </w:pPr>
            <w:r>
              <w:rPr>
                <w:sz w:val="20"/>
              </w:rPr>
              <w:t>$52</w:t>
            </w:r>
          </w:p>
        </w:tc>
        <w:tc>
          <w:tcPr>
            <w:tcW w:w="1350" w:type="dxa"/>
            <w:vAlign w:val="center"/>
          </w:tcPr>
          <w:p w:rsidR="00613F52" w:rsidRDefault="00613F52" w:rsidP="00F80A9F">
            <w:pPr>
              <w:jc w:val="center"/>
              <w:rPr>
                <w:sz w:val="20"/>
              </w:rPr>
            </w:pPr>
            <w:r>
              <w:rPr>
                <w:sz w:val="20"/>
              </w:rPr>
              <w:t>3</w:t>
            </w:r>
          </w:p>
        </w:tc>
        <w:tc>
          <w:tcPr>
            <w:tcW w:w="1620" w:type="dxa"/>
            <w:vAlign w:val="center"/>
          </w:tcPr>
          <w:p w:rsidR="00613F52" w:rsidRDefault="00613F52" w:rsidP="00F80A9F">
            <w:pPr>
              <w:jc w:val="center"/>
              <w:rPr>
                <w:sz w:val="20"/>
              </w:rPr>
            </w:pPr>
            <w:r>
              <w:rPr>
                <w:sz w:val="20"/>
              </w:rPr>
              <w:t>$156</w:t>
            </w:r>
          </w:p>
        </w:tc>
        <w:tc>
          <w:tcPr>
            <w:tcW w:w="1890" w:type="dxa"/>
            <w:vAlign w:val="center"/>
          </w:tcPr>
          <w:p w:rsidR="00613F52" w:rsidRPr="001F5BAC" w:rsidRDefault="00613F52" w:rsidP="00F80A9F">
            <w:pPr>
              <w:jc w:val="center"/>
              <w:rPr>
                <w:sz w:val="20"/>
              </w:rPr>
            </w:pPr>
            <w:r>
              <w:rPr>
                <w:sz w:val="20"/>
              </w:rPr>
              <w:t>$120</w:t>
            </w:r>
          </w:p>
        </w:tc>
        <w:tc>
          <w:tcPr>
            <w:tcW w:w="1890" w:type="dxa"/>
            <w:vAlign w:val="center"/>
          </w:tcPr>
          <w:p w:rsidR="00613F52" w:rsidRPr="001F5BAC" w:rsidRDefault="00613F52" w:rsidP="00F80A9F">
            <w:pPr>
              <w:jc w:val="center"/>
              <w:rPr>
                <w:sz w:val="20"/>
              </w:rPr>
            </w:pPr>
            <w:r>
              <w:rPr>
                <w:sz w:val="20"/>
              </w:rPr>
              <w:t>$0</w:t>
            </w:r>
          </w:p>
        </w:tc>
      </w:tr>
      <w:tr w:rsidR="00613F52" w:rsidRPr="001F5BAC" w:rsidTr="00F80A9F">
        <w:tc>
          <w:tcPr>
            <w:tcW w:w="1818" w:type="dxa"/>
          </w:tcPr>
          <w:p w:rsidR="00613F52" w:rsidRPr="001F5BAC" w:rsidRDefault="00613F52" w:rsidP="00F80A9F">
            <w:pPr>
              <w:rPr>
                <w:sz w:val="20"/>
              </w:rPr>
            </w:pPr>
            <w:r w:rsidRPr="001F5BAC">
              <w:rPr>
                <w:sz w:val="20"/>
              </w:rPr>
              <w:t>Total Personnel</w:t>
            </w:r>
          </w:p>
        </w:tc>
        <w:tc>
          <w:tcPr>
            <w:tcW w:w="1260" w:type="dxa"/>
            <w:vAlign w:val="center"/>
          </w:tcPr>
          <w:p w:rsidR="00613F52" w:rsidRPr="001F5BAC" w:rsidRDefault="00613F52" w:rsidP="00F80A9F">
            <w:pPr>
              <w:jc w:val="center"/>
              <w:rPr>
                <w:sz w:val="20"/>
              </w:rPr>
            </w:pPr>
            <w:r>
              <w:rPr>
                <w:sz w:val="20"/>
              </w:rPr>
              <w:t>n/a</w:t>
            </w:r>
          </w:p>
        </w:tc>
        <w:tc>
          <w:tcPr>
            <w:tcW w:w="1350" w:type="dxa"/>
            <w:vAlign w:val="center"/>
          </w:tcPr>
          <w:p w:rsidR="00613F52" w:rsidRPr="001F5BAC" w:rsidRDefault="00613F52" w:rsidP="00F80A9F">
            <w:pPr>
              <w:jc w:val="center"/>
              <w:rPr>
                <w:sz w:val="20"/>
              </w:rPr>
            </w:pPr>
            <w:r>
              <w:rPr>
                <w:sz w:val="20"/>
              </w:rPr>
              <w:t>25</w:t>
            </w:r>
          </w:p>
        </w:tc>
        <w:tc>
          <w:tcPr>
            <w:tcW w:w="1620" w:type="dxa"/>
            <w:vAlign w:val="center"/>
          </w:tcPr>
          <w:p w:rsidR="00613F52" w:rsidRPr="001F5BAC" w:rsidRDefault="00613F52" w:rsidP="00F80A9F">
            <w:pPr>
              <w:jc w:val="center"/>
              <w:rPr>
                <w:sz w:val="20"/>
              </w:rPr>
            </w:pPr>
            <w:r>
              <w:rPr>
                <w:sz w:val="20"/>
              </w:rPr>
              <w:t>$2,125</w:t>
            </w:r>
          </w:p>
        </w:tc>
        <w:tc>
          <w:tcPr>
            <w:tcW w:w="1890" w:type="dxa"/>
            <w:vAlign w:val="center"/>
          </w:tcPr>
          <w:p w:rsidR="00613F52" w:rsidRPr="001F5BAC" w:rsidRDefault="00613F52" w:rsidP="00F80A9F">
            <w:pPr>
              <w:jc w:val="center"/>
              <w:rPr>
                <w:sz w:val="20"/>
              </w:rPr>
            </w:pPr>
            <w:r>
              <w:rPr>
                <w:sz w:val="20"/>
              </w:rPr>
              <w:t>$1,828</w:t>
            </w:r>
          </w:p>
        </w:tc>
        <w:tc>
          <w:tcPr>
            <w:tcW w:w="1890" w:type="dxa"/>
            <w:vAlign w:val="center"/>
          </w:tcPr>
          <w:p w:rsidR="00613F52" w:rsidRPr="001F5BAC" w:rsidRDefault="00613F52" w:rsidP="00F80A9F">
            <w:pPr>
              <w:jc w:val="center"/>
              <w:rPr>
                <w:sz w:val="20"/>
              </w:rPr>
            </w:pPr>
            <w:r>
              <w:rPr>
                <w:sz w:val="20"/>
              </w:rPr>
              <w:t>$549</w:t>
            </w:r>
          </w:p>
        </w:tc>
      </w:tr>
    </w:tbl>
    <w:p w:rsidR="00613F52" w:rsidRPr="001F5BAC" w:rsidRDefault="00613F52" w:rsidP="00613F52">
      <w:pPr>
        <w:rPr>
          <w:sz w:val="20"/>
        </w:rPr>
      </w:pPr>
    </w:p>
    <w:p w:rsidR="00613F52" w:rsidRPr="001F5BAC" w:rsidRDefault="00613F52" w:rsidP="00613F52">
      <w:pPr>
        <w:pStyle w:val="xl24"/>
        <w:spacing w:before="0" w:after="0"/>
        <w:rPr>
          <w:rFonts w:eastAsia="Times New Roman"/>
        </w:rPr>
      </w:pPr>
      <w:r w:rsidRPr="001F5BAC">
        <w:rPr>
          <w:rFonts w:eastAsia="Times New Roman"/>
        </w:rPr>
        <w:t>Non-Personnel Increase Cost Summary</w:t>
      </w:r>
    </w:p>
    <w:p w:rsidR="00613F52" w:rsidRPr="001F5BAC" w:rsidRDefault="00613F52" w:rsidP="00613F52">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4"/>
        <w:gridCol w:w="1344"/>
        <w:gridCol w:w="1440"/>
        <w:gridCol w:w="1620"/>
        <w:gridCol w:w="1890"/>
        <w:gridCol w:w="1890"/>
      </w:tblGrid>
      <w:tr w:rsidR="00613F52" w:rsidRPr="001F5BAC" w:rsidTr="00F80A9F">
        <w:tc>
          <w:tcPr>
            <w:tcW w:w="1644" w:type="dxa"/>
            <w:shd w:val="clear" w:color="auto" w:fill="E6E6E6"/>
            <w:vAlign w:val="center"/>
          </w:tcPr>
          <w:p w:rsidR="00613F52" w:rsidRPr="001F5BAC" w:rsidRDefault="00613F52" w:rsidP="00F80A9F">
            <w:pPr>
              <w:jc w:val="center"/>
              <w:rPr>
                <w:sz w:val="20"/>
              </w:rPr>
            </w:pPr>
            <w:r w:rsidRPr="001F5BAC">
              <w:rPr>
                <w:sz w:val="20"/>
              </w:rPr>
              <w:t>Non-Personnel Item</w:t>
            </w:r>
          </w:p>
        </w:tc>
        <w:tc>
          <w:tcPr>
            <w:tcW w:w="1344" w:type="dxa"/>
            <w:vAlign w:val="center"/>
          </w:tcPr>
          <w:p w:rsidR="00613F52" w:rsidRPr="001F5BAC" w:rsidRDefault="00613F52" w:rsidP="00F80A9F">
            <w:pPr>
              <w:jc w:val="center"/>
              <w:rPr>
                <w:sz w:val="20"/>
              </w:rPr>
            </w:pPr>
            <w:r w:rsidRPr="001F5BAC">
              <w:rPr>
                <w:sz w:val="20"/>
              </w:rPr>
              <w:t>Unit Cost</w:t>
            </w:r>
          </w:p>
        </w:tc>
        <w:tc>
          <w:tcPr>
            <w:tcW w:w="1440" w:type="dxa"/>
            <w:vAlign w:val="center"/>
          </w:tcPr>
          <w:p w:rsidR="00613F52" w:rsidRPr="001F5BAC" w:rsidRDefault="00613F52" w:rsidP="00F80A9F">
            <w:pPr>
              <w:jc w:val="center"/>
              <w:rPr>
                <w:sz w:val="20"/>
              </w:rPr>
            </w:pPr>
            <w:r w:rsidRPr="001F5BAC">
              <w:rPr>
                <w:sz w:val="20"/>
              </w:rPr>
              <w:t>Quantity</w:t>
            </w:r>
          </w:p>
        </w:tc>
        <w:tc>
          <w:tcPr>
            <w:tcW w:w="1620" w:type="dxa"/>
            <w:vAlign w:val="center"/>
          </w:tcPr>
          <w:p w:rsidR="00613F52" w:rsidRPr="001F5BAC" w:rsidRDefault="00613F52" w:rsidP="00F80A9F">
            <w:pPr>
              <w:jc w:val="center"/>
              <w:rPr>
                <w:sz w:val="20"/>
              </w:rPr>
            </w:pPr>
            <w:r w:rsidRPr="001F5BAC">
              <w:rPr>
                <w:sz w:val="20"/>
              </w:rPr>
              <w:t>FY 2014</w:t>
            </w:r>
          </w:p>
          <w:p w:rsidR="00613F52" w:rsidRPr="001F5BAC" w:rsidRDefault="00613F52" w:rsidP="00F80A9F">
            <w:pPr>
              <w:jc w:val="center"/>
              <w:rPr>
                <w:sz w:val="20"/>
              </w:rPr>
            </w:pPr>
            <w:r w:rsidRPr="001F5BAC">
              <w:rPr>
                <w:sz w:val="20"/>
              </w:rPr>
              <w:t>Request</w:t>
            </w:r>
          </w:p>
          <w:p w:rsidR="00613F52" w:rsidRPr="001F5BAC" w:rsidRDefault="00613F52" w:rsidP="00F80A9F">
            <w:pPr>
              <w:jc w:val="center"/>
              <w:rPr>
                <w:sz w:val="20"/>
              </w:rPr>
            </w:pPr>
            <w:r w:rsidRPr="001F5BAC">
              <w:rPr>
                <w:sz w:val="20"/>
              </w:rPr>
              <w:t>($000)</w:t>
            </w:r>
          </w:p>
        </w:tc>
        <w:tc>
          <w:tcPr>
            <w:tcW w:w="1890" w:type="dxa"/>
          </w:tcPr>
          <w:p w:rsidR="00613F52" w:rsidRPr="001F5BAC" w:rsidRDefault="00613F52" w:rsidP="00F80A9F">
            <w:pPr>
              <w:jc w:val="center"/>
              <w:rPr>
                <w:sz w:val="20"/>
              </w:rPr>
            </w:pPr>
            <w:r w:rsidRPr="001F5BAC">
              <w:rPr>
                <w:sz w:val="20"/>
              </w:rPr>
              <w:t xml:space="preserve">FY 2015 </w:t>
            </w:r>
            <w:r>
              <w:rPr>
                <w:sz w:val="20"/>
              </w:rPr>
              <w:br/>
              <w:t xml:space="preserve">Net </w:t>
            </w:r>
            <w:proofErr w:type="spellStart"/>
            <w:r>
              <w:rPr>
                <w:sz w:val="20"/>
              </w:rPr>
              <w:t>Annualization</w:t>
            </w:r>
            <w:proofErr w:type="spellEnd"/>
            <w:r>
              <w:rPr>
                <w:sz w:val="20"/>
              </w:rPr>
              <w:t xml:space="preserve"> (change from 2014</w:t>
            </w:r>
            <w:r w:rsidRPr="001F5BAC">
              <w:rPr>
                <w:sz w:val="20"/>
              </w:rPr>
              <w:t>)</w:t>
            </w:r>
          </w:p>
          <w:p w:rsidR="00613F52" w:rsidRPr="001F5BAC" w:rsidRDefault="00613F52" w:rsidP="00F80A9F">
            <w:pPr>
              <w:jc w:val="center"/>
              <w:rPr>
                <w:sz w:val="20"/>
              </w:rPr>
            </w:pPr>
            <w:r w:rsidRPr="001F5BAC">
              <w:rPr>
                <w:sz w:val="20"/>
              </w:rPr>
              <w:t>($000)</w:t>
            </w:r>
          </w:p>
        </w:tc>
        <w:tc>
          <w:tcPr>
            <w:tcW w:w="1890" w:type="dxa"/>
            <w:vAlign w:val="center"/>
          </w:tcPr>
          <w:p w:rsidR="00613F52" w:rsidRPr="001F5BAC" w:rsidRDefault="00613F52" w:rsidP="00F80A9F">
            <w:pPr>
              <w:jc w:val="center"/>
              <w:rPr>
                <w:sz w:val="20"/>
              </w:rPr>
            </w:pPr>
            <w:r>
              <w:rPr>
                <w:sz w:val="20"/>
              </w:rPr>
              <w:t>FY 2016</w:t>
            </w:r>
            <w:r w:rsidRPr="001F5BAC">
              <w:rPr>
                <w:sz w:val="20"/>
              </w:rPr>
              <w:t xml:space="preserve"> </w:t>
            </w:r>
            <w:r>
              <w:rPr>
                <w:sz w:val="20"/>
              </w:rPr>
              <w:br/>
            </w:r>
            <w:r w:rsidRPr="001F5BAC">
              <w:rPr>
                <w:sz w:val="20"/>
              </w:rPr>
              <w:t>Net</w:t>
            </w:r>
            <w:r>
              <w:rPr>
                <w:sz w:val="20"/>
              </w:rPr>
              <w:t xml:space="preserve"> </w:t>
            </w:r>
            <w:proofErr w:type="spellStart"/>
            <w:r>
              <w:rPr>
                <w:sz w:val="20"/>
              </w:rPr>
              <w:t>Annualization</w:t>
            </w:r>
            <w:proofErr w:type="spellEnd"/>
            <w:r>
              <w:rPr>
                <w:sz w:val="20"/>
              </w:rPr>
              <w:t xml:space="preserve"> (change from 2015</w:t>
            </w:r>
            <w:r w:rsidRPr="001F5BAC">
              <w:rPr>
                <w:sz w:val="20"/>
              </w:rPr>
              <w:t>)</w:t>
            </w:r>
          </w:p>
          <w:p w:rsidR="00613F52" w:rsidRPr="001F5BAC" w:rsidRDefault="00613F52" w:rsidP="00F80A9F">
            <w:pPr>
              <w:jc w:val="center"/>
              <w:rPr>
                <w:sz w:val="20"/>
              </w:rPr>
            </w:pPr>
            <w:r w:rsidRPr="001F5BAC">
              <w:rPr>
                <w:sz w:val="20"/>
              </w:rPr>
              <w:t>($000)</w:t>
            </w:r>
          </w:p>
        </w:tc>
      </w:tr>
      <w:tr w:rsidR="00613F52" w:rsidRPr="001F5BAC" w:rsidTr="00F80A9F">
        <w:tc>
          <w:tcPr>
            <w:tcW w:w="1644" w:type="dxa"/>
          </w:tcPr>
          <w:p w:rsidR="00613F52" w:rsidRDefault="00613F52" w:rsidP="00F80A9F">
            <w:pPr>
              <w:rPr>
                <w:sz w:val="20"/>
              </w:rPr>
            </w:pPr>
            <w:r>
              <w:rPr>
                <w:sz w:val="20"/>
              </w:rPr>
              <w:t>International Case Travel</w:t>
            </w:r>
          </w:p>
        </w:tc>
        <w:tc>
          <w:tcPr>
            <w:tcW w:w="1344" w:type="dxa"/>
            <w:vAlign w:val="center"/>
          </w:tcPr>
          <w:p w:rsidR="00613F52" w:rsidRPr="001F5BAC" w:rsidRDefault="00613F52" w:rsidP="00F80A9F">
            <w:pPr>
              <w:pStyle w:val="xl19"/>
              <w:spacing w:before="0" w:after="0"/>
              <w:jc w:val="center"/>
              <w:rPr>
                <w:rFonts w:eastAsia="Times New Roman"/>
                <w:sz w:val="20"/>
                <w:szCs w:val="24"/>
              </w:rPr>
            </w:pPr>
            <w:r>
              <w:rPr>
                <w:rFonts w:eastAsia="Times New Roman"/>
                <w:sz w:val="20"/>
                <w:szCs w:val="24"/>
              </w:rPr>
              <w:t>n/a</w:t>
            </w:r>
          </w:p>
        </w:tc>
        <w:tc>
          <w:tcPr>
            <w:tcW w:w="1440" w:type="dxa"/>
            <w:vAlign w:val="center"/>
          </w:tcPr>
          <w:p w:rsidR="00613F52" w:rsidRPr="001F5BAC" w:rsidRDefault="00613F52" w:rsidP="00F80A9F">
            <w:pPr>
              <w:jc w:val="center"/>
              <w:rPr>
                <w:sz w:val="20"/>
              </w:rPr>
            </w:pPr>
            <w:r>
              <w:rPr>
                <w:sz w:val="20"/>
              </w:rPr>
              <w:t>n/a</w:t>
            </w:r>
          </w:p>
        </w:tc>
        <w:tc>
          <w:tcPr>
            <w:tcW w:w="1620" w:type="dxa"/>
            <w:vAlign w:val="center"/>
          </w:tcPr>
          <w:p w:rsidR="00613F52" w:rsidRPr="001F5BAC" w:rsidRDefault="00613F52" w:rsidP="00F80A9F">
            <w:pPr>
              <w:jc w:val="center"/>
              <w:rPr>
                <w:sz w:val="20"/>
              </w:rPr>
            </w:pPr>
            <w:r>
              <w:rPr>
                <w:sz w:val="20"/>
              </w:rPr>
              <w:t>$55</w:t>
            </w:r>
          </w:p>
        </w:tc>
        <w:tc>
          <w:tcPr>
            <w:tcW w:w="1890" w:type="dxa"/>
            <w:vAlign w:val="center"/>
          </w:tcPr>
          <w:p w:rsidR="00613F52" w:rsidRPr="001F5BAC" w:rsidRDefault="00613F52" w:rsidP="00F80A9F">
            <w:pPr>
              <w:jc w:val="center"/>
              <w:rPr>
                <w:sz w:val="20"/>
              </w:rPr>
            </w:pPr>
            <w:r>
              <w:rPr>
                <w:sz w:val="20"/>
              </w:rPr>
              <w:t>$55</w:t>
            </w:r>
          </w:p>
        </w:tc>
        <w:tc>
          <w:tcPr>
            <w:tcW w:w="1890" w:type="dxa"/>
            <w:vAlign w:val="center"/>
          </w:tcPr>
          <w:p w:rsidR="00613F52" w:rsidRPr="001F5BAC" w:rsidRDefault="00613F52" w:rsidP="00F80A9F">
            <w:pPr>
              <w:jc w:val="center"/>
              <w:rPr>
                <w:sz w:val="20"/>
              </w:rPr>
            </w:pPr>
            <w:r>
              <w:rPr>
                <w:sz w:val="20"/>
              </w:rPr>
              <w:t>$0</w:t>
            </w:r>
          </w:p>
        </w:tc>
      </w:tr>
      <w:tr w:rsidR="00613F52" w:rsidRPr="001F5BAC" w:rsidTr="00F80A9F">
        <w:tc>
          <w:tcPr>
            <w:tcW w:w="1644" w:type="dxa"/>
          </w:tcPr>
          <w:p w:rsidR="00613F52" w:rsidRPr="001F5BAC" w:rsidRDefault="00613F52" w:rsidP="00F80A9F">
            <w:pPr>
              <w:rPr>
                <w:sz w:val="20"/>
              </w:rPr>
            </w:pPr>
            <w:r>
              <w:rPr>
                <w:sz w:val="20"/>
              </w:rPr>
              <w:t>Equipment</w:t>
            </w:r>
          </w:p>
        </w:tc>
        <w:tc>
          <w:tcPr>
            <w:tcW w:w="1344" w:type="dxa"/>
            <w:vAlign w:val="center"/>
          </w:tcPr>
          <w:p w:rsidR="00613F52" w:rsidRPr="001F5BAC" w:rsidRDefault="00613F52" w:rsidP="00F80A9F">
            <w:pPr>
              <w:pStyle w:val="xl19"/>
              <w:spacing w:before="0" w:after="0"/>
              <w:jc w:val="center"/>
              <w:rPr>
                <w:rFonts w:eastAsia="Times New Roman"/>
                <w:sz w:val="20"/>
                <w:szCs w:val="24"/>
              </w:rPr>
            </w:pPr>
            <w:r>
              <w:rPr>
                <w:rFonts w:eastAsia="Times New Roman"/>
                <w:sz w:val="20"/>
                <w:szCs w:val="24"/>
              </w:rPr>
              <w:t>n/a</w:t>
            </w:r>
          </w:p>
        </w:tc>
        <w:tc>
          <w:tcPr>
            <w:tcW w:w="1440" w:type="dxa"/>
            <w:vAlign w:val="center"/>
          </w:tcPr>
          <w:p w:rsidR="00613F52" w:rsidRPr="001F5BAC" w:rsidRDefault="00613F52" w:rsidP="00F80A9F">
            <w:pPr>
              <w:jc w:val="center"/>
              <w:rPr>
                <w:sz w:val="20"/>
              </w:rPr>
            </w:pPr>
            <w:r>
              <w:rPr>
                <w:sz w:val="20"/>
              </w:rPr>
              <w:t>n/a</w:t>
            </w:r>
          </w:p>
        </w:tc>
        <w:tc>
          <w:tcPr>
            <w:tcW w:w="1620" w:type="dxa"/>
            <w:vAlign w:val="center"/>
          </w:tcPr>
          <w:p w:rsidR="00613F52" w:rsidRPr="001F5BAC" w:rsidRDefault="00613F52" w:rsidP="00F80A9F">
            <w:pPr>
              <w:jc w:val="center"/>
              <w:rPr>
                <w:sz w:val="20"/>
              </w:rPr>
            </w:pPr>
            <w:r>
              <w:rPr>
                <w:sz w:val="20"/>
              </w:rPr>
              <w:t>$400</w:t>
            </w:r>
          </w:p>
        </w:tc>
        <w:tc>
          <w:tcPr>
            <w:tcW w:w="1890" w:type="dxa"/>
            <w:vAlign w:val="center"/>
          </w:tcPr>
          <w:p w:rsidR="00613F52" w:rsidRPr="001F5BAC" w:rsidRDefault="00613F52" w:rsidP="00F80A9F">
            <w:pPr>
              <w:jc w:val="center"/>
              <w:rPr>
                <w:sz w:val="20"/>
              </w:rPr>
            </w:pPr>
            <w:r>
              <w:rPr>
                <w:sz w:val="20"/>
              </w:rPr>
              <w:t>$0</w:t>
            </w:r>
          </w:p>
        </w:tc>
        <w:tc>
          <w:tcPr>
            <w:tcW w:w="1890" w:type="dxa"/>
            <w:vAlign w:val="center"/>
          </w:tcPr>
          <w:p w:rsidR="00613F52" w:rsidRPr="001F5BAC" w:rsidRDefault="00613F52" w:rsidP="00F80A9F">
            <w:pPr>
              <w:jc w:val="center"/>
              <w:rPr>
                <w:sz w:val="20"/>
              </w:rPr>
            </w:pPr>
            <w:r>
              <w:rPr>
                <w:sz w:val="20"/>
              </w:rPr>
              <w:t>$0</w:t>
            </w:r>
          </w:p>
        </w:tc>
      </w:tr>
      <w:tr w:rsidR="00613F52" w:rsidRPr="001F5BAC" w:rsidTr="00F80A9F">
        <w:tc>
          <w:tcPr>
            <w:tcW w:w="1644" w:type="dxa"/>
          </w:tcPr>
          <w:p w:rsidR="00613F52" w:rsidRPr="001F5BAC" w:rsidRDefault="00613F52" w:rsidP="00F80A9F">
            <w:pPr>
              <w:rPr>
                <w:sz w:val="20"/>
              </w:rPr>
            </w:pPr>
            <w:r w:rsidRPr="001F5BAC">
              <w:rPr>
                <w:sz w:val="20"/>
              </w:rPr>
              <w:t>Total Non-Personnel</w:t>
            </w:r>
          </w:p>
        </w:tc>
        <w:tc>
          <w:tcPr>
            <w:tcW w:w="1344" w:type="dxa"/>
            <w:vAlign w:val="center"/>
          </w:tcPr>
          <w:p w:rsidR="00613F52" w:rsidRPr="001F5BAC" w:rsidRDefault="00613F52" w:rsidP="00F80A9F">
            <w:pPr>
              <w:pStyle w:val="xl19"/>
              <w:spacing w:before="0" w:after="0"/>
              <w:jc w:val="center"/>
              <w:rPr>
                <w:rFonts w:eastAsia="Times New Roman"/>
                <w:sz w:val="20"/>
                <w:szCs w:val="24"/>
              </w:rPr>
            </w:pPr>
            <w:r>
              <w:rPr>
                <w:rFonts w:eastAsia="Times New Roman"/>
                <w:sz w:val="20"/>
                <w:szCs w:val="24"/>
              </w:rPr>
              <w:t>n/a</w:t>
            </w:r>
          </w:p>
        </w:tc>
        <w:tc>
          <w:tcPr>
            <w:tcW w:w="1440" w:type="dxa"/>
            <w:vAlign w:val="center"/>
          </w:tcPr>
          <w:p w:rsidR="00613F52" w:rsidRPr="001F5BAC" w:rsidRDefault="00613F52" w:rsidP="00F80A9F">
            <w:pPr>
              <w:jc w:val="center"/>
              <w:rPr>
                <w:sz w:val="20"/>
              </w:rPr>
            </w:pPr>
            <w:r>
              <w:rPr>
                <w:sz w:val="20"/>
              </w:rPr>
              <w:t>n/a</w:t>
            </w:r>
          </w:p>
        </w:tc>
        <w:tc>
          <w:tcPr>
            <w:tcW w:w="1620" w:type="dxa"/>
            <w:vAlign w:val="center"/>
          </w:tcPr>
          <w:p w:rsidR="00613F52" w:rsidRPr="001F5BAC" w:rsidRDefault="00613F52" w:rsidP="00F80A9F">
            <w:pPr>
              <w:jc w:val="center"/>
              <w:rPr>
                <w:sz w:val="20"/>
              </w:rPr>
            </w:pPr>
            <w:r>
              <w:rPr>
                <w:sz w:val="20"/>
              </w:rPr>
              <w:t>$455</w:t>
            </w:r>
          </w:p>
        </w:tc>
        <w:tc>
          <w:tcPr>
            <w:tcW w:w="1890" w:type="dxa"/>
            <w:vAlign w:val="center"/>
          </w:tcPr>
          <w:p w:rsidR="00613F52" w:rsidRPr="001F5BAC" w:rsidRDefault="00613F52" w:rsidP="00F80A9F">
            <w:pPr>
              <w:jc w:val="center"/>
              <w:rPr>
                <w:sz w:val="20"/>
              </w:rPr>
            </w:pPr>
            <w:r>
              <w:rPr>
                <w:sz w:val="20"/>
              </w:rPr>
              <w:t>$55</w:t>
            </w:r>
          </w:p>
        </w:tc>
        <w:tc>
          <w:tcPr>
            <w:tcW w:w="1890" w:type="dxa"/>
            <w:vAlign w:val="center"/>
          </w:tcPr>
          <w:p w:rsidR="00613F52" w:rsidRPr="001F5BAC" w:rsidRDefault="00613F52" w:rsidP="00F80A9F">
            <w:pPr>
              <w:jc w:val="center"/>
              <w:rPr>
                <w:sz w:val="20"/>
              </w:rPr>
            </w:pPr>
            <w:r>
              <w:rPr>
                <w:sz w:val="20"/>
              </w:rPr>
              <w:t>$0</w:t>
            </w:r>
          </w:p>
        </w:tc>
      </w:tr>
    </w:tbl>
    <w:p w:rsidR="00613F52" w:rsidRDefault="00613F52" w:rsidP="00613F52">
      <w:pPr>
        <w:rPr>
          <w:sz w:val="20"/>
        </w:rPr>
      </w:pPr>
    </w:p>
    <w:p w:rsidR="00E94641" w:rsidRDefault="00E94641" w:rsidP="00613F52">
      <w:pPr>
        <w:rPr>
          <w:sz w:val="20"/>
        </w:rPr>
      </w:pPr>
    </w:p>
    <w:p w:rsidR="00613F52" w:rsidRDefault="00613F52" w:rsidP="00613F52">
      <w:pPr>
        <w:pStyle w:val="xl24"/>
        <w:spacing w:before="0" w:after="0"/>
        <w:rPr>
          <w:rFonts w:eastAsia="Times New Roman"/>
          <w:szCs w:val="24"/>
        </w:rPr>
      </w:pPr>
      <w:r>
        <w:rPr>
          <w:rFonts w:eastAsia="Times New Roman"/>
          <w:szCs w:val="24"/>
        </w:rPr>
        <w:t>Total Request for this Item</w:t>
      </w:r>
    </w:p>
    <w:p w:rsidR="00613F52" w:rsidRDefault="00613F52" w:rsidP="00613F52">
      <w:pPr>
        <w:pStyle w:val="xl24"/>
        <w:spacing w:before="0" w:after="0"/>
        <w:rPr>
          <w:rFonts w:eastAsia="Times New Roman"/>
          <w:szCs w:val="24"/>
        </w:rPr>
      </w:pPr>
    </w:p>
    <w:tbl>
      <w:tblPr>
        <w:tblW w:w="1036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9"/>
        <w:gridCol w:w="613"/>
        <w:gridCol w:w="959"/>
        <w:gridCol w:w="646"/>
        <w:gridCol w:w="1132"/>
        <w:gridCol w:w="1177"/>
        <w:gridCol w:w="960"/>
        <w:gridCol w:w="1872"/>
        <w:gridCol w:w="1890"/>
      </w:tblGrid>
      <w:tr w:rsidR="00613F52" w:rsidTr="00F80A9F">
        <w:trPr>
          <w:trHeight w:val="658"/>
        </w:trPr>
        <w:tc>
          <w:tcPr>
            <w:tcW w:w="1119" w:type="dxa"/>
            <w:shd w:val="clear" w:color="auto" w:fill="E6E6E6"/>
          </w:tcPr>
          <w:p w:rsidR="00613F52" w:rsidRDefault="00613F52" w:rsidP="00F80A9F">
            <w:pPr>
              <w:rPr>
                <w:sz w:val="20"/>
              </w:rPr>
            </w:pPr>
          </w:p>
        </w:tc>
        <w:tc>
          <w:tcPr>
            <w:tcW w:w="613" w:type="dxa"/>
            <w:vAlign w:val="center"/>
          </w:tcPr>
          <w:p w:rsidR="00613F52" w:rsidRDefault="00613F52" w:rsidP="00F80A9F">
            <w:pPr>
              <w:jc w:val="center"/>
              <w:rPr>
                <w:sz w:val="20"/>
              </w:rPr>
            </w:pPr>
            <w:r>
              <w:rPr>
                <w:sz w:val="20"/>
              </w:rPr>
              <w:t>Pos</w:t>
            </w:r>
          </w:p>
        </w:tc>
        <w:tc>
          <w:tcPr>
            <w:tcW w:w="959" w:type="dxa"/>
            <w:vAlign w:val="center"/>
          </w:tcPr>
          <w:p w:rsidR="00613F52" w:rsidRDefault="00613F52" w:rsidP="00F80A9F">
            <w:pPr>
              <w:jc w:val="center"/>
              <w:rPr>
                <w:sz w:val="20"/>
              </w:rPr>
            </w:pPr>
          </w:p>
          <w:p w:rsidR="00613F52" w:rsidRDefault="00613F52" w:rsidP="00F80A9F">
            <w:pPr>
              <w:jc w:val="center"/>
              <w:rPr>
                <w:sz w:val="20"/>
              </w:rPr>
            </w:pPr>
            <w:proofErr w:type="spellStart"/>
            <w:r>
              <w:rPr>
                <w:sz w:val="20"/>
              </w:rPr>
              <w:t>Atty</w:t>
            </w:r>
            <w:proofErr w:type="spellEnd"/>
          </w:p>
          <w:p w:rsidR="00613F52" w:rsidRDefault="00613F52" w:rsidP="00F80A9F">
            <w:pPr>
              <w:jc w:val="center"/>
              <w:rPr>
                <w:sz w:val="20"/>
              </w:rPr>
            </w:pPr>
          </w:p>
        </w:tc>
        <w:tc>
          <w:tcPr>
            <w:tcW w:w="646" w:type="dxa"/>
            <w:vAlign w:val="center"/>
          </w:tcPr>
          <w:p w:rsidR="00613F52" w:rsidRDefault="00613F52" w:rsidP="00F80A9F">
            <w:pPr>
              <w:jc w:val="center"/>
              <w:rPr>
                <w:sz w:val="20"/>
              </w:rPr>
            </w:pPr>
            <w:r>
              <w:rPr>
                <w:sz w:val="20"/>
              </w:rPr>
              <w:t>FTE</w:t>
            </w:r>
          </w:p>
        </w:tc>
        <w:tc>
          <w:tcPr>
            <w:tcW w:w="1132" w:type="dxa"/>
            <w:vAlign w:val="center"/>
          </w:tcPr>
          <w:p w:rsidR="00613F52" w:rsidRDefault="00613F52" w:rsidP="00F80A9F">
            <w:pPr>
              <w:jc w:val="center"/>
              <w:rPr>
                <w:sz w:val="20"/>
              </w:rPr>
            </w:pPr>
            <w:r>
              <w:rPr>
                <w:sz w:val="20"/>
              </w:rPr>
              <w:t>Personnel</w:t>
            </w:r>
          </w:p>
          <w:p w:rsidR="00613F52" w:rsidRDefault="00613F52" w:rsidP="00F80A9F">
            <w:pPr>
              <w:jc w:val="center"/>
              <w:rPr>
                <w:sz w:val="20"/>
              </w:rPr>
            </w:pPr>
            <w:r>
              <w:rPr>
                <w:sz w:val="20"/>
              </w:rPr>
              <w:t>($000)</w:t>
            </w:r>
          </w:p>
        </w:tc>
        <w:tc>
          <w:tcPr>
            <w:tcW w:w="1177" w:type="dxa"/>
            <w:vAlign w:val="center"/>
          </w:tcPr>
          <w:p w:rsidR="00613F52" w:rsidRDefault="00613F52" w:rsidP="00F80A9F">
            <w:pPr>
              <w:jc w:val="center"/>
              <w:rPr>
                <w:sz w:val="20"/>
              </w:rPr>
            </w:pPr>
            <w:r>
              <w:rPr>
                <w:sz w:val="20"/>
              </w:rPr>
              <w:t>Non-Personnel</w:t>
            </w:r>
          </w:p>
          <w:p w:rsidR="00613F52" w:rsidRDefault="00613F52" w:rsidP="00F80A9F">
            <w:pPr>
              <w:jc w:val="center"/>
              <w:rPr>
                <w:sz w:val="20"/>
              </w:rPr>
            </w:pPr>
            <w:r>
              <w:rPr>
                <w:sz w:val="20"/>
              </w:rPr>
              <w:t>($000)</w:t>
            </w:r>
          </w:p>
        </w:tc>
        <w:tc>
          <w:tcPr>
            <w:tcW w:w="960" w:type="dxa"/>
            <w:vAlign w:val="center"/>
          </w:tcPr>
          <w:p w:rsidR="00613F52" w:rsidRDefault="00613F52" w:rsidP="00F80A9F">
            <w:pPr>
              <w:jc w:val="center"/>
              <w:rPr>
                <w:sz w:val="20"/>
              </w:rPr>
            </w:pPr>
            <w:r>
              <w:rPr>
                <w:sz w:val="20"/>
              </w:rPr>
              <w:t>Total</w:t>
            </w:r>
          </w:p>
          <w:p w:rsidR="00613F52" w:rsidRDefault="00613F52" w:rsidP="00F80A9F">
            <w:pPr>
              <w:jc w:val="center"/>
              <w:rPr>
                <w:sz w:val="20"/>
              </w:rPr>
            </w:pPr>
            <w:r>
              <w:rPr>
                <w:sz w:val="20"/>
              </w:rPr>
              <w:t>($000)</w:t>
            </w:r>
          </w:p>
        </w:tc>
        <w:tc>
          <w:tcPr>
            <w:tcW w:w="1872" w:type="dxa"/>
            <w:vAlign w:val="center"/>
          </w:tcPr>
          <w:p w:rsidR="00613F52" w:rsidRDefault="00613F52" w:rsidP="00F80A9F">
            <w:pPr>
              <w:jc w:val="center"/>
              <w:rPr>
                <w:sz w:val="20"/>
              </w:rPr>
            </w:pPr>
            <w:r>
              <w:rPr>
                <w:sz w:val="20"/>
              </w:rPr>
              <w:t>FY 2015 Net</w:t>
            </w:r>
          </w:p>
          <w:p w:rsidR="00613F52" w:rsidRDefault="00613F52" w:rsidP="00F80A9F">
            <w:pPr>
              <w:jc w:val="center"/>
              <w:rPr>
                <w:sz w:val="20"/>
              </w:rPr>
            </w:pPr>
            <w:proofErr w:type="spellStart"/>
            <w:r>
              <w:rPr>
                <w:sz w:val="20"/>
              </w:rPr>
              <w:t>Annualization</w:t>
            </w:r>
            <w:proofErr w:type="spellEnd"/>
            <w:r>
              <w:rPr>
                <w:sz w:val="20"/>
              </w:rPr>
              <w:t xml:space="preserve"> (change from 2014)</w:t>
            </w:r>
          </w:p>
          <w:p w:rsidR="00613F52" w:rsidRDefault="00613F52" w:rsidP="00F80A9F">
            <w:pPr>
              <w:jc w:val="center"/>
              <w:rPr>
                <w:sz w:val="20"/>
              </w:rPr>
            </w:pPr>
            <w:r>
              <w:rPr>
                <w:sz w:val="20"/>
              </w:rPr>
              <w:t>($000)</w:t>
            </w:r>
          </w:p>
        </w:tc>
        <w:tc>
          <w:tcPr>
            <w:tcW w:w="1890" w:type="dxa"/>
          </w:tcPr>
          <w:p w:rsidR="00613F52" w:rsidRDefault="00613F52" w:rsidP="00F80A9F">
            <w:pPr>
              <w:jc w:val="center"/>
              <w:rPr>
                <w:sz w:val="20"/>
              </w:rPr>
            </w:pPr>
            <w:r>
              <w:rPr>
                <w:sz w:val="20"/>
              </w:rPr>
              <w:t>FY 2016 Net</w:t>
            </w:r>
          </w:p>
          <w:p w:rsidR="00613F52" w:rsidRDefault="00613F52" w:rsidP="00F80A9F">
            <w:pPr>
              <w:jc w:val="center"/>
              <w:rPr>
                <w:sz w:val="20"/>
              </w:rPr>
            </w:pPr>
            <w:proofErr w:type="spellStart"/>
            <w:r>
              <w:rPr>
                <w:sz w:val="20"/>
              </w:rPr>
              <w:t>Annualization</w:t>
            </w:r>
            <w:proofErr w:type="spellEnd"/>
            <w:r>
              <w:rPr>
                <w:sz w:val="20"/>
              </w:rPr>
              <w:t xml:space="preserve"> (change from 2015)</w:t>
            </w:r>
          </w:p>
          <w:p w:rsidR="00613F52" w:rsidRDefault="00613F52" w:rsidP="00F80A9F">
            <w:pPr>
              <w:jc w:val="center"/>
              <w:rPr>
                <w:sz w:val="20"/>
              </w:rPr>
            </w:pPr>
            <w:r>
              <w:rPr>
                <w:sz w:val="20"/>
              </w:rPr>
              <w:t>($000)</w:t>
            </w:r>
          </w:p>
        </w:tc>
      </w:tr>
      <w:tr w:rsidR="00613F52" w:rsidTr="00F80A9F">
        <w:trPr>
          <w:trHeight w:val="215"/>
        </w:trPr>
        <w:tc>
          <w:tcPr>
            <w:tcW w:w="1119" w:type="dxa"/>
          </w:tcPr>
          <w:p w:rsidR="00613F52" w:rsidRDefault="00613F52" w:rsidP="00F80A9F">
            <w:pPr>
              <w:rPr>
                <w:sz w:val="20"/>
              </w:rPr>
            </w:pPr>
            <w:r>
              <w:rPr>
                <w:sz w:val="20"/>
              </w:rPr>
              <w:t>Current Services</w:t>
            </w:r>
          </w:p>
        </w:tc>
        <w:tc>
          <w:tcPr>
            <w:tcW w:w="613" w:type="dxa"/>
            <w:vAlign w:val="center"/>
          </w:tcPr>
          <w:p w:rsidR="00613F52" w:rsidRDefault="00613F52" w:rsidP="00F80A9F">
            <w:pPr>
              <w:jc w:val="right"/>
              <w:rPr>
                <w:sz w:val="20"/>
              </w:rPr>
            </w:pPr>
            <w:r>
              <w:rPr>
                <w:sz w:val="20"/>
              </w:rPr>
              <w:t>122</w:t>
            </w:r>
          </w:p>
        </w:tc>
        <w:tc>
          <w:tcPr>
            <w:tcW w:w="959" w:type="dxa"/>
            <w:vAlign w:val="center"/>
          </w:tcPr>
          <w:p w:rsidR="00613F52" w:rsidRDefault="00613F52" w:rsidP="00F80A9F">
            <w:pPr>
              <w:jc w:val="right"/>
              <w:rPr>
                <w:sz w:val="20"/>
              </w:rPr>
            </w:pPr>
            <w:r>
              <w:rPr>
                <w:sz w:val="20"/>
              </w:rPr>
              <w:t>79</w:t>
            </w:r>
          </w:p>
        </w:tc>
        <w:tc>
          <w:tcPr>
            <w:tcW w:w="646" w:type="dxa"/>
            <w:vAlign w:val="center"/>
          </w:tcPr>
          <w:p w:rsidR="00613F52" w:rsidRDefault="00613F52" w:rsidP="00F80A9F">
            <w:pPr>
              <w:jc w:val="right"/>
              <w:rPr>
                <w:sz w:val="20"/>
              </w:rPr>
            </w:pPr>
            <w:r>
              <w:rPr>
                <w:sz w:val="20"/>
              </w:rPr>
              <w:t>95</w:t>
            </w:r>
          </w:p>
        </w:tc>
        <w:tc>
          <w:tcPr>
            <w:tcW w:w="1132" w:type="dxa"/>
            <w:vAlign w:val="center"/>
          </w:tcPr>
          <w:p w:rsidR="00613F52" w:rsidRDefault="00613F52" w:rsidP="00F80A9F">
            <w:pPr>
              <w:jc w:val="right"/>
              <w:rPr>
                <w:sz w:val="20"/>
              </w:rPr>
            </w:pPr>
            <w:r>
              <w:rPr>
                <w:sz w:val="20"/>
              </w:rPr>
              <w:t>n/a</w:t>
            </w:r>
          </w:p>
        </w:tc>
        <w:tc>
          <w:tcPr>
            <w:tcW w:w="1177" w:type="dxa"/>
            <w:vAlign w:val="center"/>
          </w:tcPr>
          <w:p w:rsidR="00613F52" w:rsidRDefault="00613F52" w:rsidP="00F80A9F">
            <w:pPr>
              <w:jc w:val="right"/>
              <w:rPr>
                <w:sz w:val="20"/>
              </w:rPr>
            </w:pPr>
            <w:r>
              <w:rPr>
                <w:sz w:val="20"/>
              </w:rPr>
              <w:t>n/a</w:t>
            </w:r>
          </w:p>
        </w:tc>
        <w:tc>
          <w:tcPr>
            <w:tcW w:w="960" w:type="dxa"/>
            <w:vAlign w:val="center"/>
          </w:tcPr>
          <w:p w:rsidR="00613F52" w:rsidRDefault="00613F52" w:rsidP="00F80A9F">
            <w:pPr>
              <w:jc w:val="right"/>
              <w:rPr>
                <w:sz w:val="20"/>
              </w:rPr>
            </w:pPr>
            <w:r>
              <w:rPr>
                <w:sz w:val="20"/>
              </w:rPr>
              <w:t>27,891</w:t>
            </w:r>
          </w:p>
        </w:tc>
        <w:tc>
          <w:tcPr>
            <w:tcW w:w="1872" w:type="dxa"/>
            <w:vAlign w:val="center"/>
          </w:tcPr>
          <w:p w:rsidR="00613F52" w:rsidRDefault="00613F52" w:rsidP="00F80A9F">
            <w:pPr>
              <w:jc w:val="right"/>
              <w:rPr>
                <w:sz w:val="20"/>
              </w:rPr>
            </w:pPr>
            <w:r>
              <w:rPr>
                <w:sz w:val="20"/>
              </w:rPr>
              <w:t>n/a</w:t>
            </w:r>
          </w:p>
        </w:tc>
        <w:tc>
          <w:tcPr>
            <w:tcW w:w="1890" w:type="dxa"/>
            <w:vAlign w:val="center"/>
          </w:tcPr>
          <w:p w:rsidR="00613F52" w:rsidRDefault="00613F52" w:rsidP="00F80A9F">
            <w:pPr>
              <w:jc w:val="right"/>
              <w:rPr>
                <w:sz w:val="20"/>
              </w:rPr>
            </w:pPr>
            <w:r>
              <w:rPr>
                <w:sz w:val="20"/>
              </w:rPr>
              <w:t>n/a</w:t>
            </w:r>
          </w:p>
        </w:tc>
      </w:tr>
      <w:tr w:rsidR="00613F52" w:rsidTr="00F80A9F">
        <w:trPr>
          <w:trHeight w:val="215"/>
        </w:trPr>
        <w:tc>
          <w:tcPr>
            <w:tcW w:w="1119" w:type="dxa"/>
          </w:tcPr>
          <w:p w:rsidR="00613F52" w:rsidRDefault="00613F52" w:rsidP="00F80A9F">
            <w:pPr>
              <w:rPr>
                <w:sz w:val="20"/>
              </w:rPr>
            </w:pPr>
            <w:r>
              <w:rPr>
                <w:sz w:val="20"/>
              </w:rPr>
              <w:t>Increases</w:t>
            </w:r>
          </w:p>
        </w:tc>
        <w:tc>
          <w:tcPr>
            <w:tcW w:w="613" w:type="dxa"/>
            <w:vAlign w:val="center"/>
          </w:tcPr>
          <w:p w:rsidR="00613F52" w:rsidRDefault="00613F52" w:rsidP="00F80A9F">
            <w:pPr>
              <w:jc w:val="right"/>
              <w:rPr>
                <w:sz w:val="20"/>
              </w:rPr>
            </w:pPr>
            <w:r>
              <w:rPr>
                <w:sz w:val="20"/>
              </w:rPr>
              <w:t>25</w:t>
            </w:r>
          </w:p>
        </w:tc>
        <w:tc>
          <w:tcPr>
            <w:tcW w:w="959" w:type="dxa"/>
            <w:vAlign w:val="center"/>
          </w:tcPr>
          <w:p w:rsidR="00613F52" w:rsidRDefault="00613F52" w:rsidP="00F80A9F">
            <w:pPr>
              <w:jc w:val="right"/>
              <w:rPr>
                <w:sz w:val="20"/>
              </w:rPr>
            </w:pPr>
            <w:r>
              <w:rPr>
                <w:sz w:val="20"/>
              </w:rPr>
              <w:t>9</w:t>
            </w:r>
          </w:p>
        </w:tc>
        <w:tc>
          <w:tcPr>
            <w:tcW w:w="646" w:type="dxa"/>
            <w:vAlign w:val="center"/>
          </w:tcPr>
          <w:p w:rsidR="00613F52" w:rsidRDefault="00613F52" w:rsidP="00F80A9F">
            <w:pPr>
              <w:jc w:val="right"/>
              <w:rPr>
                <w:sz w:val="20"/>
              </w:rPr>
            </w:pPr>
            <w:r>
              <w:rPr>
                <w:sz w:val="20"/>
              </w:rPr>
              <w:t>14</w:t>
            </w:r>
          </w:p>
        </w:tc>
        <w:tc>
          <w:tcPr>
            <w:tcW w:w="1132" w:type="dxa"/>
            <w:vAlign w:val="center"/>
          </w:tcPr>
          <w:p w:rsidR="00613F52" w:rsidRDefault="00613F52" w:rsidP="00F80A9F">
            <w:pPr>
              <w:jc w:val="right"/>
              <w:rPr>
                <w:sz w:val="20"/>
              </w:rPr>
            </w:pPr>
            <w:r>
              <w:rPr>
                <w:sz w:val="20"/>
              </w:rPr>
              <w:t>$2,125</w:t>
            </w:r>
          </w:p>
        </w:tc>
        <w:tc>
          <w:tcPr>
            <w:tcW w:w="1177" w:type="dxa"/>
            <w:vAlign w:val="center"/>
          </w:tcPr>
          <w:p w:rsidR="00613F52" w:rsidRDefault="00613F52" w:rsidP="00F80A9F">
            <w:pPr>
              <w:jc w:val="right"/>
              <w:rPr>
                <w:sz w:val="20"/>
              </w:rPr>
            </w:pPr>
            <w:r>
              <w:rPr>
                <w:sz w:val="20"/>
              </w:rPr>
              <w:t>$455</w:t>
            </w:r>
          </w:p>
        </w:tc>
        <w:tc>
          <w:tcPr>
            <w:tcW w:w="960" w:type="dxa"/>
            <w:vAlign w:val="center"/>
          </w:tcPr>
          <w:p w:rsidR="00613F52" w:rsidRDefault="00613F52" w:rsidP="00F80A9F">
            <w:pPr>
              <w:jc w:val="right"/>
              <w:rPr>
                <w:sz w:val="20"/>
              </w:rPr>
            </w:pPr>
            <w:r>
              <w:rPr>
                <w:sz w:val="20"/>
              </w:rPr>
              <w:t>$2,580</w:t>
            </w:r>
          </w:p>
        </w:tc>
        <w:tc>
          <w:tcPr>
            <w:tcW w:w="1872" w:type="dxa"/>
            <w:vAlign w:val="center"/>
          </w:tcPr>
          <w:p w:rsidR="00613F52" w:rsidRDefault="00613F52" w:rsidP="00F80A9F">
            <w:pPr>
              <w:jc w:val="right"/>
              <w:rPr>
                <w:sz w:val="20"/>
              </w:rPr>
            </w:pPr>
            <w:r>
              <w:rPr>
                <w:sz w:val="20"/>
              </w:rPr>
              <w:t>$1,883</w:t>
            </w:r>
          </w:p>
        </w:tc>
        <w:tc>
          <w:tcPr>
            <w:tcW w:w="1890" w:type="dxa"/>
            <w:vAlign w:val="center"/>
          </w:tcPr>
          <w:p w:rsidR="00613F52" w:rsidRDefault="00613F52" w:rsidP="00F80A9F">
            <w:pPr>
              <w:jc w:val="right"/>
              <w:rPr>
                <w:sz w:val="20"/>
              </w:rPr>
            </w:pPr>
            <w:r>
              <w:rPr>
                <w:sz w:val="20"/>
              </w:rPr>
              <w:t>$549</w:t>
            </w:r>
          </w:p>
        </w:tc>
      </w:tr>
      <w:tr w:rsidR="00613F52" w:rsidTr="00F80A9F">
        <w:trPr>
          <w:trHeight w:val="215"/>
        </w:trPr>
        <w:tc>
          <w:tcPr>
            <w:tcW w:w="1119" w:type="dxa"/>
          </w:tcPr>
          <w:p w:rsidR="00613F52" w:rsidRDefault="00613F52" w:rsidP="00F80A9F">
            <w:pPr>
              <w:rPr>
                <w:sz w:val="20"/>
              </w:rPr>
            </w:pPr>
            <w:r>
              <w:rPr>
                <w:sz w:val="20"/>
              </w:rPr>
              <w:t>Grand Total</w:t>
            </w:r>
          </w:p>
        </w:tc>
        <w:tc>
          <w:tcPr>
            <w:tcW w:w="613" w:type="dxa"/>
            <w:vAlign w:val="center"/>
          </w:tcPr>
          <w:p w:rsidR="00613F52" w:rsidRDefault="00613F52" w:rsidP="00F80A9F">
            <w:pPr>
              <w:jc w:val="right"/>
              <w:rPr>
                <w:sz w:val="20"/>
              </w:rPr>
            </w:pPr>
            <w:r>
              <w:rPr>
                <w:sz w:val="20"/>
              </w:rPr>
              <w:t>147</w:t>
            </w:r>
          </w:p>
        </w:tc>
        <w:tc>
          <w:tcPr>
            <w:tcW w:w="959" w:type="dxa"/>
            <w:vAlign w:val="center"/>
          </w:tcPr>
          <w:p w:rsidR="00613F52" w:rsidRDefault="00613F52" w:rsidP="00F80A9F">
            <w:pPr>
              <w:jc w:val="right"/>
              <w:rPr>
                <w:sz w:val="20"/>
              </w:rPr>
            </w:pPr>
            <w:r>
              <w:rPr>
                <w:sz w:val="20"/>
              </w:rPr>
              <w:t>88</w:t>
            </w:r>
          </w:p>
        </w:tc>
        <w:tc>
          <w:tcPr>
            <w:tcW w:w="646" w:type="dxa"/>
            <w:vAlign w:val="center"/>
          </w:tcPr>
          <w:p w:rsidR="00613F52" w:rsidRDefault="00613F52" w:rsidP="00F80A9F">
            <w:pPr>
              <w:jc w:val="right"/>
              <w:rPr>
                <w:sz w:val="20"/>
              </w:rPr>
            </w:pPr>
            <w:r>
              <w:rPr>
                <w:sz w:val="20"/>
              </w:rPr>
              <w:t>109</w:t>
            </w:r>
          </w:p>
        </w:tc>
        <w:tc>
          <w:tcPr>
            <w:tcW w:w="1132" w:type="dxa"/>
            <w:vAlign w:val="center"/>
          </w:tcPr>
          <w:p w:rsidR="00613F52" w:rsidRDefault="00613F52" w:rsidP="00F80A9F">
            <w:pPr>
              <w:jc w:val="right"/>
              <w:rPr>
                <w:sz w:val="20"/>
              </w:rPr>
            </w:pPr>
            <w:r>
              <w:rPr>
                <w:sz w:val="20"/>
              </w:rPr>
              <w:t>$2,125</w:t>
            </w:r>
          </w:p>
        </w:tc>
        <w:tc>
          <w:tcPr>
            <w:tcW w:w="1177" w:type="dxa"/>
            <w:vAlign w:val="center"/>
          </w:tcPr>
          <w:p w:rsidR="00613F52" w:rsidRDefault="00613F52" w:rsidP="00F80A9F">
            <w:pPr>
              <w:jc w:val="right"/>
              <w:rPr>
                <w:sz w:val="20"/>
              </w:rPr>
            </w:pPr>
            <w:r>
              <w:rPr>
                <w:sz w:val="20"/>
              </w:rPr>
              <w:t>$455</w:t>
            </w:r>
          </w:p>
        </w:tc>
        <w:tc>
          <w:tcPr>
            <w:tcW w:w="960" w:type="dxa"/>
            <w:vAlign w:val="center"/>
          </w:tcPr>
          <w:p w:rsidR="00613F52" w:rsidRDefault="00613F52" w:rsidP="00F80A9F">
            <w:pPr>
              <w:jc w:val="right"/>
              <w:rPr>
                <w:sz w:val="20"/>
              </w:rPr>
            </w:pPr>
            <w:r>
              <w:rPr>
                <w:sz w:val="20"/>
              </w:rPr>
              <w:t>$30,471</w:t>
            </w:r>
          </w:p>
        </w:tc>
        <w:tc>
          <w:tcPr>
            <w:tcW w:w="1872" w:type="dxa"/>
            <w:vAlign w:val="center"/>
          </w:tcPr>
          <w:p w:rsidR="00613F52" w:rsidRDefault="00613F52" w:rsidP="00F80A9F">
            <w:pPr>
              <w:jc w:val="right"/>
              <w:rPr>
                <w:sz w:val="20"/>
              </w:rPr>
            </w:pPr>
            <w:r>
              <w:rPr>
                <w:sz w:val="20"/>
              </w:rPr>
              <w:t>$1,883</w:t>
            </w:r>
          </w:p>
        </w:tc>
        <w:tc>
          <w:tcPr>
            <w:tcW w:w="1890" w:type="dxa"/>
            <w:vAlign w:val="center"/>
          </w:tcPr>
          <w:p w:rsidR="00613F52" w:rsidRDefault="00613F52" w:rsidP="00F80A9F">
            <w:pPr>
              <w:jc w:val="right"/>
              <w:rPr>
                <w:sz w:val="20"/>
              </w:rPr>
            </w:pPr>
            <w:r>
              <w:rPr>
                <w:sz w:val="20"/>
              </w:rPr>
              <w:t>$549</w:t>
            </w:r>
          </w:p>
        </w:tc>
      </w:tr>
    </w:tbl>
    <w:p w:rsidR="00613F52" w:rsidRPr="00970A4D" w:rsidRDefault="00613F52" w:rsidP="00613F52">
      <w:pPr>
        <w:rPr>
          <w:b/>
          <w:bCs/>
          <w:szCs w:val="20"/>
        </w:rPr>
      </w:pPr>
    </w:p>
    <w:p w:rsidR="00ED3E9D" w:rsidRDefault="00ED3E9D" w:rsidP="00284E43">
      <w:pPr>
        <w:pStyle w:val="Footer"/>
        <w:tabs>
          <w:tab w:val="clear" w:pos="8640"/>
          <w:tab w:val="left" w:leader="dot" w:pos="4320"/>
        </w:tabs>
        <w:rPr>
          <w:rFonts w:ascii="Times New Roman" w:hAnsi="Times New Roman"/>
          <w:b/>
          <w:sz w:val="28"/>
          <w:szCs w:val="28"/>
        </w:rPr>
      </w:pPr>
    </w:p>
    <w:p w:rsidR="004305CE" w:rsidRDefault="004305CE">
      <w:pPr>
        <w:rPr>
          <w:rFonts w:eastAsia="Calibri"/>
          <w:b/>
        </w:rPr>
      </w:pPr>
      <w:r>
        <w:rPr>
          <w:rFonts w:eastAsia="Calibri"/>
          <w:b/>
        </w:rPr>
        <w:br w:type="page"/>
      </w:r>
    </w:p>
    <w:p w:rsidR="00ED3E9D" w:rsidRPr="006E195A" w:rsidRDefault="00ED3E9D" w:rsidP="00ED3E9D">
      <w:pPr>
        <w:rPr>
          <w:bCs/>
        </w:rPr>
      </w:pPr>
      <w:r w:rsidRPr="006E195A">
        <w:rPr>
          <w:rFonts w:eastAsia="Calibri"/>
          <w:b/>
        </w:rPr>
        <w:lastRenderedPageBreak/>
        <w:t>Item Name:</w:t>
      </w:r>
      <w:r>
        <w:rPr>
          <w:rFonts w:eastAsia="Calibri"/>
          <w:b/>
        </w:rPr>
        <w:tab/>
      </w:r>
      <w:r>
        <w:rPr>
          <w:rFonts w:eastAsia="Calibri"/>
          <w:b/>
        </w:rPr>
        <w:tab/>
      </w:r>
      <w:r>
        <w:rPr>
          <w:rFonts w:eastAsia="Calibri"/>
          <w:b/>
        </w:rPr>
        <w:tab/>
      </w:r>
      <w:r>
        <w:rPr>
          <w:rFonts w:eastAsia="Calibri"/>
          <w:b/>
        </w:rPr>
        <w:tab/>
      </w:r>
      <w:bookmarkStart w:id="35" w:name="FMortFrd"/>
      <w:r w:rsidRPr="000672C6">
        <w:rPr>
          <w:rFonts w:eastAsia="Calibri"/>
          <w:b/>
          <w:u w:val="single"/>
        </w:rPr>
        <w:t>Financial and Mortgage Fraud Initiative</w:t>
      </w:r>
      <w:r w:rsidRPr="006E195A">
        <w:rPr>
          <w:bCs/>
        </w:rPr>
        <w:t xml:space="preserve"> </w:t>
      </w:r>
      <w:bookmarkEnd w:id="35"/>
    </w:p>
    <w:p w:rsidR="00ED3E9D" w:rsidRPr="006E195A" w:rsidRDefault="00ED3E9D" w:rsidP="00ED3E9D">
      <w:pPr>
        <w:pStyle w:val="xl19"/>
        <w:tabs>
          <w:tab w:val="left" w:pos="3420"/>
          <w:tab w:val="right" w:pos="8640"/>
        </w:tabs>
        <w:spacing w:before="0" w:after="0"/>
        <w:rPr>
          <w:rFonts w:eastAsia="Times New Roman"/>
        </w:rPr>
      </w:pPr>
    </w:p>
    <w:p w:rsidR="00ED3E9D" w:rsidRPr="006E195A" w:rsidRDefault="00ED3E9D" w:rsidP="00ED3E9D">
      <w:pPr>
        <w:rPr>
          <w:rFonts w:eastAsia="Calibri"/>
          <w:u w:val="single"/>
        </w:rPr>
      </w:pPr>
      <w:r w:rsidRPr="006E195A">
        <w:rPr>
          <w:rFonts w:eastAsia="Calibri"/>
        </w:rPr>
        <w:t>Budget Decision Unit:</w:t>
      </w:r>
      <w:r w:rsidRPr="006E195A">
        <w:rPr>
          <w:rFonts w:eastAsia="Calibri"/>
        </w:rPr>
        <w:tab/>
      </w:r>
      <w:r w:rsidRPr="006E195A">
        <w:rPr>
          <w:rFonts w:eastAsia="Calibri"/>
        </w:rPr>
        <w:tab/>
      </w:r>
      <w:r>
        <w:rPr>
          <w:rFonts w:eastAsia="Calibri"/>
        </w:rPr>
        <w:tab/>
      </w:r>
      <w:r w:rsidRPr="006E195A">
        <w:rPr>
          <w:rFonts w:eastAsia="Calibri"/>
          <w:u w:val="single"/>
        </w:rPr>
        <w:t>Enforcing Federal Criminal Laws</w:t>
      </w:r>
    </w:p>
    <w:p w:rsidR="00ED3E9D" w:rsidRPr="006E195A" w:rsidRDefault="00ED3E9D" w:rsidP="00ED3E9D">
      <w:pPr>
        <w:rPr>
          <w:rFonts w:eastAsia="Calibri"/>
        </w:rPr>
      </w:pPr>
    </w:p>
    <w:p w:rsidR="00ED3E9D" w:rsidRPr="006E195A" w:rsidRDefault="00ED3E9D" w:rsidP="00ED3E9D">
      <w:pPr>
        <w:ind w:left="3600" w:hanging="3600"/>
        <w:rPr>
          <w:rFonts w:eastAsia="Calibri"/>
          <w:u w:val="single"/>
        </w:rPr>
      </w:pPr>
      <w:r w:rsidRPr="006E195A">
        <w:rPr>
          <w:rFonts w:eastAsia="Calibri"/>
        </w:rPr>
        <w:t>Strategic Goal(s) &amp; Objective(s):</w:t>
      </w:r>
      <w:r w:rsidRPr="006E195A">
        <w:rPr>
          <w:rFonts w:eastAsia="Calibri"/>
        </w:rPr>
        <w:tab/>
      </w:r>
      <w:r w:rsidRPr="006E195A">
        <w:rPr>
          <w:rFonts w:eastAsia="Calibri"/>
          <w:u w:val="single"/>
        </w:rPr>
        <w:t>Goal 2: Prevent Crime, Protect the Rights of the American People, and Enforce Federal Law</w:t>
      </w:r>
    </w:p>
    <w:p w:rsidR="00ED3E9D" w:rsidRPr="006E195A" w:rsidRDefault="00ED3E9D" w:rsidP="00ED3E9D">
      <w:pPr>
        <w:ind w:left="3600"/>
        <w:rPr>
          <w:rFonts w:eastAsia="Calibri"/>
          <w:u w:val="single"/>
        </w:rPr>
      </w:pPr>
      <w:r w:rsidRPr="006E195A">
        <w:rPr>
          <w:rFonts w:eastAsia="Calibri"/>
          <w:u w:val="single"/>
        </w:rPr>
        <w:t>Objective 2.4: Combat corruption, economic crimes, and international organized crime</w:t>
      </w:r>
    </w:p>
    <w:p w:rsidR="00ED3E9D" w:rsidRPr="006E195A" w:rsidRDefault="00ED3E9D" w:rsidP="00ED3E9D">
      <w:pPr>
        <w:rPr>
          <w:rFonts w:eastAsia="Calibri"/>
        </w:rPr>
      </w:pPr>
    </w:p>
    <w:p w:rsidR="00ED3E9D" w:rsidRPr="006E195A" w:rsidRDefault="00ED3E9D" w:rsidP="00ED3E9D">
      <w:pPr>
        <w:rPr>
          <w:rFonts w:eastAsia="Calibri"/>
        </w:rPr>
      </w:pPr>
      <w:r w:rsidRPr="006E195A">
        <w:rPr>
          <w:rFonts w:eastAsia="Calibri"/>
        </w:rPr>
        <w:t>Organizational Program:</w:t>
      </w:r>
      <w:r w:rsidRPr="006E195A">
        <w:rPr>
          <w:rFonts w:eastAsia="Calibri"/>
        </w:rPr>
        <w:tab/>
      </w:r>
      <w:r w:rsidRPr="006E195A">
        <w:rPr>
          <w:rFonts w:eastAsia="Calibri"/>
        </w:rPr>
        <w:tab/>
      </w:r>
      <w:r w:rsidRPr="006E195A">
        <w:rPr>
          <w:rFonts w:eastAsia="Calibri"/>
          <w:u w:val="single"/>
        </w:rPr>
        <w:t>Criminal Division</w:t>
      </w:r>
      <w:r w:rsidRPr="006E195A">
        <w:rPr>
          <w:rFonts w:eastAsia="Calibri"/>
        </w:rPr>
        <w:tab/>
      </w:r>
    </w:p>
    <w:p w:rsidR="00ED3E9D" w:rsidRPr="006E195A" w:rsidRDefault="00ED3E9D" w:rsidP="00ED3E9D">
      <w:pPr>
        <w:rPr>
          <w:rFonts w:eastAsia="Calibri"/>
        </w:rPr>
      </w:pPr>
    </w:p>
    <w:p w:rsidR="00ED3E9D" w:rsidRPr="006E195A" w:rsidRDefault="00ED3E9D" w:rsidP="00ED3E9D">
      <w:pPr>
        <w:rPr>
          <w:rFonts w:eastAsia="Calibri"/>
        </w:rPr>
      </w:pPr>
      <w:r w:rsidRPr="006E195A">
        <w:rPr>
          <w:rFonts w:eastAsia="Calibri"/>
        </w:rPr>
        <w:t>Component Ranking of Item:</w:t>
      </w:r>
      <w:r>
        <w:rPr>
          <w:rFonts w:eastAsia="Calibri"/>
        </w:rPr>
        <w:tab/>
      </w:r>
      <w:r>
        <w:rPr>
          <w:rFonts w:eastAsia="Calibri"/>
        </w:rPr>
        <w:tab/>
      </w:r>
      <w:r>
        <w:rPr>
          <w:rFonts w:eastAsia="Calibri"/>
          <w:u w:val="single"/>
        </w:rPr>
        <w:t>2</w:t>
      </w:r>
      <w:r w:rsidRPr="006E195A">
        <w:rPr>
          <w:rFonts w:eastAsia="Calibri"/>
          <w:u w:val="single"/>
        </w:rPr>
        <w:t xml:space="preserve"> of </w:t>
      </w:r>
      <w:r>
        <w:rPr>
          <w:rFonts w:eastAsia="Calibri"/>
          <w:u w:val="single"/>
        </w:rPr>
        <w:t>3</w:t>
      </w:r>
    </w:p>
    <w:p w:rsidR="00ED3E9D" w:rsidRPr="006E195A" w:rsidRDefault="00ED3E9D" w:rsidP="00ED3E9D">
      <w:pPr>
        <w:rPr>
          <w:rFonts w:eastAsia="Calibri"/>
        </w:rPr>
      </w:pPr>
    </w:p>
    <w:p w:rsidR="00ED3E9D" w:rsidRPr="00134C80" w:rsidRDefault="00ED3E9D" w:rsidP="00ED3E9D">
      <w:pPr>
        <w:rPr>
          <w:rFonts w:eastAsia="Calibri"/>
          <w:u w:val="single"/>
        </w:rPr>
      </w:pPr>
      <w:r w:rsidRPr="006E195A">
        <w:rPr>
          <w:rFonts w:eastAsia="Calibri"/>
        </w:rPr>
        <w:t>Program Increase:</w:t>
      </w:r>
      <w:r w:rsidRPr="006E195A">
        <w:rPr>
          <w:rFonts w:eastAsia="Calibri"/>
        </w:rPr>
        <w:tab/>
      </w:r>
      <w:r w:rsidRPr="006E195A">
        <w:rPr>
          <w:rFonts w:eastAsia="Calibri"/>
        </w:rPr>
        <w:tab/>
      </w:r>
      <w:r w:rsidRPr="006E195A">
        <w:rPr>
          <w:rFonts w:eastAsia="Calibri"/>
        </w:rPr>
        <w:tab/>
      </w:r>
      <w:r w:rsidRPr="00134C80">
        <w:rPr>
          <w:rFonts w:eastAsia="Calibri"/>
        </w:rPr>
        <w:t xml:space="preserve">Positions </w:t>
      </w:r>
      <w:r w:rsidRPr="00134C80">
        <w:rPr>
          <w:rFonts w:eastAsia="Calibri"/>
          <w:u w:val="single"/>
        </w:rPr>
        <w:t>28</w:t>
      </w:r>
      <w:r w:rsidRPr="00134C80">
        <w:rPr>
          <w:rFonts w:eastAsia="Calibri"/>
        </w:rPr>
        <w:t xml:space="preserve">   </w:t>
      </w:r>
      <w:proofErr w:type="spellStart"/>
      <w:r w:rsidRPr="00134C80">
        <w:rPr>
          <w:rFonts w:eastAsia="Calibri"/>
        </w:rPr>
        <w:t>Atty</w:t>
      </w:r>
      <w:proofErr w:type="spellEnd"/>
      <w:r w:rsidRPr="00134C80">
        <w:rPr>
          <w:rFonts w:eastAsia="Calibri"/>
        </w:rPr>
        <w:t xml:space="preserve"> </w:t>
      </w:r>
      <w:proofErr w:type="gramStart"/>
      <w:r w:rsidRPr="00134C80">
        <w:rPr>
          <w:rFonts w:eastAsia="Calibri"/>
          <w:u w:val="single"/>
        </w:rPr>
        <w:t xml:space="preserve">16 </w:t>
      </w:r>
      <w:r w:rsidRPr="00134C80">
        <w:rPr>
          <w:rFonts w:eastAsia="Calibri"/>
        </w:rPr>
        <w:t xml:space="preserve"> </w:t>
      </w:r>
      <w:r>
        <w:rPr>
          <w:rFonts w:eastAsia="Calibri"/>
        </w:rPr>
        <w:t>FTE</w:t>
      </w:r>
      <w:proofErr w:type="gramEnd"/>
      <w:r>
        <w:rPr>
          <w:rFonts w:eastAsia="Calibri"/>
        </w:rPr>
        <w:t xml:space="preserve"> </w:t>
      </w:r>
      <w:r w:rsidRPr="00134C80">
        <w:rPr>
          <w:rFonts w:eastAsia="Calibri"/>
          <w:u w:val="single"/>
        </w:rPr>
        <w:t>14</w:t>
      </w:r>
      <w:r w:rsidRPr="00134C80">
        <w:rPr>
          <w:rFonts w:eastAsia="Calibri"/>
        </w:rPr>
        <w:t xml:space="preserve">  Dollars  </w:t>
      </w:r>
      <w:r w:rsidRPr="00134C80">
        <w:rPr>
          <w:rFonts w:eastAsia="Calibri"/>
          <w:u w:val="single"/>
        </w:rPr>
        <w:t>$5,000,000</w:t>
      </w:r>
    </w:p>
    <w:p w:rsidR="00ED3E9D" w:rsidRPr="006E195A" w:rsidRDefault="00ED3E9D" w:rsidP="00ED3E9D">
      <w:pPr>
        <w:pStyle w:val="xl24"/>
      </w:pPr>
    </w:p>
    <w:p w:rsidR="00ED3E9D" w:rsidRPr="00372C3C" w:rsidRDefault="00ED3E9D" w:rsidP="00ED3E9D">
      <w:pPr>
        <w:pStyle w:val="xl24"/>
      </w:pPr>
      <w:r w:rsidRPr="00372C3C">
        <w:t>Description of Item</w:t>
      </w:r>
    </w:p>
    <w:p w:rsidR="00ED3E9D" w:rsidRDefault="00ED3E9D" w:rsidP="00ED3E9D"/>
    <w:p w:rsidR="006C37CD" w:rsidRDefault="006C37CD" w:rsidP="006C37CD"/>
    <w:p w:rsidR="006C37CD" w:rsidRDefault="006C37CD" w:rsidP="006C37CD">
      <w:r w:rsidRPr="00EC7E7D">
        <w:t>Losses in financial fraud cases have</w:t>
      </w:r>
      <w:r>
        <w:t xml:space="preserve"> ranged from millions of dollars to billions of dollars and have resulted in thousands of workers losing their jobs.  Mortgage fraud and foreclosure rescue scams routinely involve millions of dollars in losses and multiple defendants, including mortgage brokers, real estate agents, appraisers, closing agents, and false buyers and sellers who receive kickbacks.  It is imperative that the Department enforce the laws that protect the integrity of our financial system. </w:t>
      </w:r>
    </w:p>
    <w:p w:rsidR="006C37CD" w:rsidRDefault="006C37CD" w:rsidP="006C37CD"/>
    <w:p w:rsidR="006C37CD" w:rsidRDefault="006C37CD" w:rsidP="006C37CD">
      <w:r>
        <w:t>Without the commitment of additional resources, the Department’s expanding fraud caseload will outstrip its ability to handle such matters effectively and efficiently.  To that end, the FY 2013 President’s B</w:t>
      </w:r>
      <w:r w:rsidRPr="00B64513">
        <w:t xml:space="preserve">udget </w:t>
      </w:r>
      <w:r>
        <w:t xml:space="preserve">includes </w:t>
      </w:r>
      <w:r w:rsidRPr="00B64513">
        <w:t xml:space="preserve">a program </w:t>
      </w:r>
      <w:r>
        <w:t>enhancement of 28 positions (including 16 attorneys) and $5,000,000 for the Criminal Division.  These resources will enable the Department to hold accountable criminals who perpetrate financial and mortgage fraud, deter future perpetrators of fraud, and recover monies stolen from the U.S. taxpayer.</w:t>
      </w:r>
    </w:p>
    <w:p w:rsidR="006C37CD" w:rsidRDefault="006C37CD" w:rsidP="00ED3E9D"/>
    <w:p w:rsidR="00ED3E9D" w:rsidRPr="00372C3C" w:rsidRDefault="00ED3E9D" w:rsidP="00ED3E9D">
      <w:pPr>
        <w:pStyle w:val="xl24"/>
      </w:pPr>
      <w:r w:rsidRPr="00372C3C">
        <w:t>Justification</w:t>
      </w:r>
    </w:p>
    <w:p w:rsidR="00ED3E9D" w:rsidRPr="003017BE" w:rsidRDefault="00ED3E9D" w:rsidP="00ED3E9D"/>
    <w:p w:rsidR="006C37CD" w:rsidRPr="003017BE" w:rsidRDefault="006C37CD" w:rsidP="006C37CD">
      <w:r w:rsidRPr="003017BE">
        <w:t xml:space="preserve">The Criminal Division will use its requested resources to prosecute the most significant financial crimes, including mortgage fraud, corporate fraud, </w:t>
      </w:r>
      <w:r>
        <w:t xml:space="preserve">and </w:t>
      </w:r>
      <w:r w:rsidRPr="003017BE">
        <w:t>sophisticated investment fraud</w:t>
      </w:r>
      <w:r>
        <w:t>;</w:t>
      </w:r>
      <w:r w:rsidRPr="003017BE">
        <w:t xml:space="preserve"> coordinate multi-district financial crime cases</w:t>
      </w:r>
      <w:r>
        <w:t>;</w:t>
      </w:r>
      <w:r w:rsidRPr="003017BE">
        <w:t xml:space="preserve"> and assist U.S. Attorneys</w:t>
      </w:r>
      <w:r>
        <w:t>’</w:t>
      </w:r>
      <w:r w:rsidRPr="003017BE">
        <w:t xml:space="preserve"> Offices (USAOs) in financial crime cases with significant money laundering and asset forfeiture components.    </w:t>
      </w:r>
    </w:p>
    <w:p w:rsidR="006C37CD" w:rsidRPr="003017BE" w:rsidRDefault="006C37CD" w:rsidP="006C37CD"/>
    <w:p w:rsidR="006C37CD" w:rsidRPr="00DA4720" w:rsidRDefault="006C37CD" w:rsidP="006C37CD">
      <w:pPr>
        <w:rPr>
          <w:i/>
        </w:rPr>
      </w:pPr>
      <w:r w:rsidRPr="00DA4720">
        <w:rPr>
          <w:i/>
        </w:rPr>
        <w:t>Financial Institution and Mortgage Fraud</w:t>
      </w:r>
    </w:p>
    <w:p w:rsidR="006C37CD" w:rsidRDefault="006C37CD" w:rsidP="006C37CD"/>
    <w:p w:rsidR="006C37CD" w:rsidRDefault="006C37CD" w:rsidP="006C37CD">
      <w:r>
        <w:t>As a result of the financial crisis, a new spotlight has been placed on the importance of prosecuting and deterring mortgage fraud, which injures numerous homeowner victims and prospective home buyers, threatens the financial integrity of banks and financial services firms, and creates risks in the financial system.</w:t>
      </w:r>
    </w:p>
    <w:p w:rsidR="006C37CD" w:rsidRDefault="006C37CD" w:rsidP="006C37CD"/>
    <w:p w:rsidR="006C37CD" w:rsidRDefault="006C37CD" w:rsidP="006C37CD">
      <w:r>
        <w:lastRenderedPageBreak/>
        <w:t>The Criminal Division continues to investigate and prosecute numerous mortgage fraud cases across the country, including complex, multi-district mortgage fraud schemes.  These cases require significant prosecutorial resources.  They are document intensive and multi-jurisdictional.  They involve sophisticated techniques used to conceal fraudulent schemes designed to obtain financing.  In one case handled by the Criminal Division, 27 individuals have pled guilty and 11 more have been charged, as of January 2013, in a massive six-year mortgage fraud scheme</w:t>
      </w:r>
      <w:r w:rsidRPr="001531B0">
        <w:rPr>
          <w:bCs/>
        </w:rPr>
        <w:t xml:space="preserve"> in which conspirators fraudulently gained control of condominium homeowners’ associations</w:t>
      </w:r>
      <w:r>
        <w:rPr>
          <w:bCs/>
        </w:rPr>
        <w:t xml:space="preserve"> (“HOA”)</w:t>
      </w:r>
      <w:r w:rsidRPr="001531B0">
        <w:rPr>
          <w:bCs/>
        </w:rPr>
        <w:t xml:space="preserve"> in the Las Vegas area</w:t>
      </w:r>
      <w:r>
        <w:rPr>
          <w:bCs/>
        </w:rPr>
        <w:t>,</w:t>
      </w:r>
      <w:r w:rsidRPr="001531B0">
        <w:rPr>
          <w:bCs/>
        </w:rPr>
        <w:t xml:space="preserve"> so that the HOAs would direct business to a certain law firm and construction company</w:t>
      </w:r>
      <w:r>
        <w:rPr>
          <w:bCs/>
        </w:rPr>
        <w:t xml:space="preserve">. </w:t>
      </w:r>
      <w:r>
        <w:t xml:space="preserve">In another case, Criminal Division prosecutors obtained four guilty pleas in October 2012 relating to a $27 million scheme perpetrated by executives of American Mortgage Specialists, Inc. (“AMS”), a Phoenix corporation, to defraud BNC National Bank in North Dakota by, among other things, obtaining funds provided by the Bank through a lending arrangement and then falsely reporting to the Bank the value of AMS’s secondary mortgage loan sales.  In yet another case prosecuted in 2012, the Criminal Division obtained the guilty plea of a former executive at Lender Processing Services, Inc. (“LPS”), for her role in directing LPS’s predecessor company to forge and falsify mortgage-related documents to increase the company’s production volume, which generated approximately $60 million in revenues for the company.  LPS also entered into a corporate resolution with the Criminal Division and agreed to monetary penalties and forfeiture totaling $35 million. In addition to its case work, the Criminal Division continues to play a significant role in the inter-agency Residential Mortgage Backed Securities Working Group, which was formed in 2012.  To maintain and increase its response to the pervasive use of sophisticated schemes to exploit the mortgage lending market and be a full partner to other agencies, the Criminal Division will need additional prosecutorial resources. </w:t>
      </w:r>
    </w:p>
    <w:p w:rsidR="006C37CD" w:rsidRDefault="006C37CD" w:rsidP="006C37CD">
      <w:pPr>
        <w:rPr>
          <w:i/>
          <w:iCs/>
        </w:rPr>
      </w:pPr>
    </w:p>
    <w:p w:rsidR="006C37CD" w:rsidRPr="00DA4720" w:rsidRDefault="006C37CD" w:rsidP="006C37CD">
      <w:pPr>
        <w:rPr>
          <w:i/>
          <w:iCs/>
        </w:rPr>
      </w:pPr>
      <w:r>
        <w:rPr>
          <w:i/>
          <w:iCs/>
        </w:rPr>
        <w:t xml:space="preserve">Corporate Fraud </w:t>
      </w:r>
    </w:p>
    <w:p w:rsidR="006C37CD" w:rsidRDefault="006C37CD" w:rsidP="006C37CD">
      <w:pPr>
        <w:rPr>
          <w:iCs/>
        </w:rPr>
      </w:pPr>
    </w:p>
    <w:p w:rsidR="006C37CD" w:rsidRPr="00043D0C" w:rsidRDefault="006C37CD" w:rsidP="006C37CD">
      <w:r>
        <w:t>The Criminal Division is conducting complex corporate fraud investigations involving financial services firms impacting the integrity of the financial system.  These cases are challenging: they require experienced white collar prosecutors, sophisticated agents and forensic financial accountants, and the support of an experienced paralegal staff to manage the vast inflow of electronic records.  Moreover, corporate executives have become increasingly sophisticated in concealing and limiting their communications to make it harder for prosecutors to find incriminating evidence of their misdeeds.  This only increases the need for greater electronic forensic analysis of email and phone records.  The need for increased resources is highlighted by several recent corporate resolutions involving the Criminal Division, which required the resources of numerous Criminal Division prosecutors. In 2012 and early 2013, the Criminal Division entered into corporate resolutions with Barclays Bank, the Royal Bank of Scotland (“RBS”), and UBS AG, and also entered into guilty pleas with the Japanese subsidiaries of RBS and UBS, for their roles in the global manipulation of reported benchmark interest rates.  These resolutions collectively involved the imposition of over $800 million in monetary penalties and criminal fines.  If the Criminal Division is to continue to effectively prosecute corporate fraud in the financial system, it will require increased prosecutorial and paralegal resources.</w:t>
      </w:r>
    </w:p>
    <w:p w:rsidR="006C37CD" w:rsidRDefault="006C37CD" w:rsidP="006C37CD">
      <w:pPr>
        <w:rPr>
          <w:i/>
        </w:rPr>
      </w:pPr>
    </w:p>
    <w:p w:rsidR="006C37CD" w:rsidRPr="0060205F" w:rsidRDefault="006C37CD" w:rsidP="006C37CD">
      <w:pPr>
        <w:rPr>
          <w:i/>
        </w:rPr>
      </w:pPr>
      <w:r w:rsidRPr="0060205F">
        <w:rPr>
          <w:i/>
        </w:rPr>
        <w:t>Sophisticated Investment Frauds</w:t>
      </w:r>
    </w:p>
    <w:p w:rsidR="006C37CD" w:rsidRDefault="006C37CD" w:rsidP="006C37CD"/>
    <w:p w:rsidR="006C37CD" w:rsidRDefault="006C37CD" w:rsidP="006C37CD">
      <w:r>
        <w:t>The Criminal Division is investigating and prosecuting large investment fraud schemes (sometimes known as “</w:t>
      </w:r>
      <w:proofErr w:type="spellStart"/>
      <w:r>
        <w:t>Ponzi</w:t>
      </w:r>
      <w:proofErr w:type="spellEnd"/>
      <w:r>
        <w:t xml:space="preserve">” schemes) that result in injuries to thousands of innocent, </w:t>
      </w:r>
      <w:r>
        <w:lastRenderedPageBreak/>
        <w:t xml:space="preserve">vulnerable investors.  Often times, investors are robbed of their life savings in schemes that result in hundreds of millions of dollars in investor losses.  These investment fraud schemes are increasingly sophisticated, relying on the use of sham partnerships, corporations and investment vehicles.  In addition, these schemes are nationwide and even transnational. In 2012, for example, the Criminal Division obtained the convictions of Robert Allen Stanford and three other individuals for their roles in a massive multi-billion dollar </w:t>
      </w:r>
      <w:proofErr w:type="spellStart"/>
      <w:r>
        <w:t>Ponzi</w:t>
      </w:r>
      <w:proofErr w:type="spellEnd"/>
      <w:r>
        <w:t xml:space="preserve"> scheme involving the fraudulent sale of certificates of deposit issued by the Stanford International Bank to thousands of investors in the United States, Latin America and elsewhere.  The scheme involved significant Criminal Division resources, including the involvement of numerous attorneys and paralegals and the retention of a major consulting firm to assist in the challenging task of forensic accounting for the funds obtained from investors.  In order to protect Main Street investors from these financial predators, increased investigative and prosecutorial resources are required.</w:t>
      </w:r>
    </w:p>
    <w:p w:rsidR="006C37CD" w:rsidRDefault="006C37CD" w:rsidP="006C37CD"/>
    <w:p w:rsidR="006C37CD" w:rsidRPr="00DA4720" w:rsidRDefault="006C37CD" w:rsidP="006C37CD">
      <w:pPr>
        <w:widowControl w:val="0"/>
        <w:autoSpaceDE w:val="0"/>
        <w:autoSpaceDN w:val="0"/>
        <w:adjustRightInd w:val="0"/>
        <w:rPr>
          <w:b/>
          <w:i/>
        </w:rPr>
      </w:pPr>
      <w:r w:rsidRPr="00DA4720">
        <w:rPr>
          <w:b/>
          <w:i/>
        </w:rPr>
        <w:t>Resources Needed for Effective Support of Prosecutions</w:t>
      </w:r>
    </w:p>
    <w:p w:rsidR="006C37CD" w:rsidRDefault="006C37CD" w:rsidP="006C37CD">
      <w:pPr>
        <w:rPr>
          <w:b/>
          <w:i/>
        </w:rPr>
      </w:pPr>
    </w:p>
    <w:p w:rsidR="006C37CD" w:rsidRPr="00D956CC" w:rsidRDefault="006C37CD" w:rsidP="006C37CD">
      <w:pPr>
        <w:rPr>
          <w:b/>
          <w:i/>
        </w:rPr>
      </w:pPr>
      <w:r w:rsidRPr="00D956CC">
        <w:rPr>
          <w:b/>
        </w:rPr>
        <w:t>Investigators:</w:t>
      </w:r>
      <w:r>
        <w:rPr>
          <w:b/>
          <w:i/>
        </w:rPr>
        <w:t xml:space="preserve"> </w:t>
      </w:r>
      <w:r>
        <w:t xml:space="preserve"> In-house investigators are necessary to assist prosecutors in investigating financial and mortgage fraud.  These investigators would analyze records and databases, identify illicit patterns of activity, seek additional information on suspicious persons and entities, analyze electronic communications among co-conspirators, assist in obtaining electronic evidence from service providers, and assist in preparing for trial by investigating the backgrounds of defense witnesses.  As noted above, mortgage and investment fraud schemes prosecuted by the Division are increasingly complex, involving layers of sham partnerships and corporations, use of multiple accounts, and use of electronic communications between individuals.  In-house investigators would be able to assist in analyzing and obtaining such evidence.</w:t>
      </w:r>
    </w:p>
    <w:p w:rsidR="006C37CD" w:rsidRDefault="006C37CD" w:rsidP="006C37CD"/>
    <w:p w:rsidR="006C37CD" w:rsidRPr="00D956CC" w:rsidRDefault="006C37CD" w:rsidP="006C37CD">
      <w:pPr>
        <w:rPr>
          <w:b/>
        </w:rPr>
      </w:pPr>
      <w:r>
        <w:rPr>
          <w:b/>
        </w:rPr>
        <w:t>Fo</w:t>
      </w:r>
      <w:r w:rsidRPr="00D956CC">
        <w:rPr>
          <w:b/>
        </w:rPr>
        <w:t>rensic Accountants</w:t>
      </w:r>
      <w:r>
        <w:rPr>
          <w:b/>
        </w:rPr>
        <w:t xml:space="preserve">:  </w:t>
      </w:r>
      <w:r>
        <w:t>A large number of the Division’s cases involve the use of bank accounts in the name of shell entities that are set up to purposely evade law enforcement and launder funds.  As such, the work of forensic accountants is critical in investigating the illicit flow of funds because of the complexity of the financial transactions.  Corporate accounting fraud cases also require forensic accountants to analyze the books, ledgers and journal entries of a corporation.  Presently, because of the Division’s overwhelming case load, many cases do not have adequate financial forensic support, causing significant delays in the investigation and prosecution of these cases.</w:t>
      </w:r>
    </w:p>
    <w:p w:rsidR="006C37CD" w:rsidRDefault="006C37CD" w:rsidP="006C37CD">
      <w:pPr>
        <w:ind w:left="720"/>
      </w:pPr>
    </w:p>
    <w:p w:rsidR="006C37CD" w:rsidRDefault="006C37CD" w:rsidP="006C37CD">
      <w:r w:rsidRPr="00D956CC">
        <w:rPr>
          <w:b/>
        </w:rPr>
        <w:t xml:space="preserve">Paralegals:  </w:t>
      </w:r>
      <w:r w:rsidRPr="00D956CC">
        <w:t>T</w:t>
      </w:r>
      <w:r>
        <w:t xml:space="preserve">he financial and mortgage fraud cases prosecuted and investigated by the Criminal Division involve significant electronic and physical records produced from numerous sources.  Multi-defendant cases also entail complex discovery obligations.  Paralegals are a critical component in the effective prosecution of these cases.  The work of the prosecutors is heavily dependent on skilled paralegal support, particularly in complying with the ever increasing discovery obligations being imposed on DOJ prosecutors.  Paralegals also assist in drafting subpoena requests and requests for evidence from foreign jurisdictions.  Thus, increased paralegal staffing is required to support the work of the Division’s attorneys.  </w:t>
      </w:r>
    </w:p>
    <w:p w:rsidR="006C37CD" w:rsidRDefault="006C37CD" w:rsidP="006C37CD">
      <w:pPr>
        <w:rPr>
          <w:b/>
          <w:i/>
        </w:rPr>
      </w:pPr>
    </w:p>
    <w:p w:rsidR="006C37CD" w:rsidRPr="00D956CC" w:rsidRDefault="006C37CD" w:rsidP="006C37CD">
      <w:pPr>
        <w:rPr>
          <w:b/>
          <w:i/>
        </w:rPr>
      </w:pPr>
      <w:r w:rsidRPr="00D956CC">
        <w:rPr>
          <w:b/>
        </w:rPr>
        <w:t xml:space="preserve">Clerical Support:  </w:t>
      </w:r>
      <w:r>
        <w:t>For all the reasons stated above, the Division will also require the support of clerical support personnel.  These clerical personnel will support attorneys and other staff in the administrative functions of travel, reimbursements, time keeping, correspondence, photocopying, filing, and other routine administrative matters.  By employing three additional clerical support positions, attorneys would be able to focus on their case work.</w:t>
      </w:r>
    </w:p>
    <w:p w:rsidR="006C37CD" w:rsidRDefault="006C37CD" w:rsidP="006C37CD"/>
    <w:p w:rsidR="006C37CD" w:rsidRDefault="006C37CD" w:rsidP="006C37CD">
      <w:r w:rsidRPr="00050296">
        <w:rPr>
          <w:b/>
        </w:rPr>
        <w:t>Litigation Support</w:t>
      </w:r>
      <w:r w:rsidRPr="00105477">
        <w:rPr>
          <w:b/>
        </w:rPr>
        <w:t>:</w:t>
      </w:r>
      <w:r>
        <w:t xml:space="preserve">  Given the change in which documents are electronically stored, criminal investigations and prosecutions now involve an overwhelming  volume of documents that must be scanned and reviewed, data that must be shared with multiple agencies, and the use of expert witnesses and consultants to support the government’s efforts.  As the Division takes on more investigations and cases, the Division has to expend resources on contracts that far surpass average case costs.  To support the requested attorney and support positions and for this initiative to be successful, the Division must also receive additional litigation support resources.  </w:t>
      </w:r>
    </w:p>
    <w:p w:rsidR="006C37CD" w:rsidRDefault="006C37CD" w:rsidP="006C37CD"/>
    <w:p w:rsidR="006C37CD" w:rsidRDefault="006C37CD" w:rsidP="006C37CD">
      <w:pPr>
        <w:pStyle w:val="xl24"/>
        <w:spacing w:before="0" w:after="0"/>
        <w:rPr>
          <w:rFonts w:eastAsia="Times New Roman"/>
        </w:rPr>
      </w:pPr>
      <w:r>
        <w:rPr>
          <w:rFonts w:eastAsia="Times New Roman"/>
        </w:rPr>
        <w:t>Impact on Performance (Relationship of Increase to Strategic Goals and Priority Goals)</w:t>
      </w:r>
    </w:p>
    <w:p w:rsidR="006C37CD" w:rsidRDefault="006C37CD" w:rsidP="006C37CD">
      <w:pPr>
        <w:rPr>
          <w:iCs/>
        </w:rPr>
      </w:pPr>
    </w:p>
    <w:p w:rsidR="006C37CD" w:rsidRPr="00105477" w:rsidRDefault="006C37CD" w:rsidP="006C37CD">
      <w:pPr>
        <w:rPr>
          <w:i/>
          <w:iCs/>
        </w:rPr>
      </w:pPr>
      <w:r w:rsidRPr="00372C3C">
        <w:rPr>
          <w:iCs/>
        </w:rPr>
        <w:t xml:space="preserve">These requested resources will directly support </w:t>
      </w:r>
      <w:r w:rsidRPr="00A860AB">
        <w:rPr>
          <w:iCs/>
        </w:rPr>
        <w:t xml:space="preserve">the </w:t>
      </w:r>
      <w:r w:rsidRPr="00105477">
        <w:rPr>
          <w:iCs/>
        </w:rPr>
        <w:t>Department’s</w:t>
      </w:r>
      <w:r>
        <w:rPr>
          <w:iCs/>
        </w:rPr>
        <w:t xml:space="preserve"> Strategic Goal 2: </w:t>
      </w:r>
      <w:r w:rsidRPr="00105477">
        <w:rPr>
          <w:i/>
          <w:iCs/>
        </w:rPr>
        <w:t>Prevent crime, protect the rights of the American people, and enforce federal law</w:t>
      </w:r>
      <w:r>
        <w:rPr>
          <w:i/>
          <w:iCs/>
        </w:rPr>
        <w:t>;</w:t>
      </w:r>
      <w:r w:rsidRPr="00105477">
        <w:rPr>
          <w:i/>
          <w:iCs/>
        </w:rPr>
        <w:t xml:space="preserve"> </w:t>
      </w:r>
      <w:r w:rsidRPr="0035693C">
        <w:rPr>
          <w:iCs/>
        </w:rPr>
        <w:t>Strategic Objective 2.4</w:t>
      </w:r>
      <w:r>
        <w:rPr>
          <w:iCs/>
        </w:rPr>
        <w:t>:</w:t>
      </w:r>
      <w:r w:rsidRPr="0035693C">
        <w:rPr>
          <w:iCs/>
        </w:rPr>
        <w:t xml:space="preserve"> </w:t>
      </w:r>
      <w:r w:rsidRPr="00105477">
        <w:rPr>
          <w:i/>
          <w:iCs/>
        </w:rPr>
        <w:t>Combat corruption, economic crimes, and international organized crime.</w:t>
      </w:r>
    </w:p>
    <w:p w:rsidR="006C37CD" w:rsidRPr="00372C3C" w:rsidRDefault="006C37CD" w:rsidP="006C37CD">
      <w:pPr>
        <w:rPr>
          <w:iCs/>
        </w:rPr>
      </w:pPr>
    </w:p>
    <w:p w:rsidR="006C37CD" w:rsidRDefault="006C37CD" w:rsidP="006C37CD">
      <w:pPr>
        <w:rPr>
          <w:bCs/>
        </w:rPr>
      </w:pPr>
      <w:r>
        <w:t xml:space="preserve">By expanding the Division’s ability to target </w:t>
      </w:r>
      <w:r w:rsidRPr="003017BE">
        <w:t xml:space="preserve">mortgage fraud, corporate fraud, </w:t>
      </w:r>
      <w:r>
        <w:t xml:space="preserve">and </w:t>
      </w:r>
      <w:r w:rsidRPr="003017BE">
        <w:t xml:space="preserve">sophisticated investment </w:t>
      </w:r>
      <w:r>
        <w:rPr>
          <w:bCs/>
        </w:rPr>
        <w:t xml:space="preserve">fraud, the Division will be able </w:t>
      </w:r>
      <w:r w:rsidRPr="000927DC">
        <w:t>to capitalize on its unique expertise and ability.</w:t>
      </w:r>
      <w:r>
        <w:t xml:space="preserve"> </w:t>
      </w:r>
      <w:r>
        <w:rPr>
          <w:bCs/>
        </w:rPr>
        <w:t xml:space="preserve"> </w:t>
      </w:r>
      <w:r w:rsidRPr="00EE0C93">
        <w:rPr>
          <w:bCs/>
        </w:rPr>
        <w:t>The U.S. Attorneys’ Offices and</w:t>
      </w:r>
      <w:r>
        <w:rPr>
          <w:bCs/>
        </w:rPr>
        <w:t xml:space="preserve"> all</w:t>
      </w:r>
      <w:r w:rsidRPr="00EE0C93">
        <w:rPr>
          <w:bCs/>
        </w:rPr>
        <w:t xml:space="preserve"> law enforcement agencies will </w:t>
      </w:r>
      <w:r>
        <w:rPr>
          <w:bCs/>
        </w:rPr>
        <w:t xml:space="preserve">also </w:t>
      </w:r>
      <w:r w:rsidRPr="00EE0C93">
        <w:rPr>
          <w:bCs/>
        </w:rPr>
        <w:t>benefit from the funding of this request</w:t>
      </w:r>
      <w:r>
        <w:rPr>
          <w:bCs/>
        </w:rPr>
        <w:t>,</w:t>
      </w:r>
      <w:r w:rsidRPr="00EE0C93">
        <w:rPr>
          <w:bCs/>
        </w:rPr>
        <w:t xml:space="preserve"> because they re</w:t>
      </w:r>
      <w:r>
        <w:rPr>
          <w:bCs/>
        </w:rPr>
        <w:t xml:space="preserve">ly on the Criminal Division’s expertise and support, particularly in multi-district and transnational financial crime cases.  For example, in the HOA mortgage fraud case referenced above, the Criminal Division continues to play a leading role in the ongoing investigation and is a partner to national and local law enforcement agencies in that case.  The Criminal Division also is increasingly asked by other agencies to play a leading role in the prosecution of complex multi-district and transnational investment fraud investigations, and additional resources are needed to fulfill that leadership role. </w:t>
      </w:r>
      <w:r>
        <w:rPr>
          <w:bCs/>
          <w:color w:val="FF0000"/>
        </w:rPr>
        <w:t xml:space="preserve"> </w:t>
      </w:r>
      <w:r>
        <w:rPr>
          <w:bCs/>
        </w:rPr>
        <w:t xml:space="preserve">We anticipate that this additional funding will enable the Division to continue and enhance these important partnerships to the benefit of the entire nation.  </w:t>
      </w:r>
    </w:p>
    <w:p w:rsidR="006C37CD" w:rsidRDefault="006C37CD" w:rsidP="00ED3E9D"/>
    <w:p w:rsidR="00ED3E9D" w:rsidRDefault="00ED3E9D" w:rsidP="00ED3E9D">
      <w:pPr>
        <w:pStyle w:val="Heading1"/>
        <w:rPr>
          <w:rFonts w:ascii="Times New Roman" w:hAnsi="Times New Roman"/>
          <w:bCs/>
        </w:rPr>
      </w:pPr>
      <w:r>
        <w:rPr>
          <w:rFonts w:ascii="Times New Roman" w:hAnsi="Times New Roman"/>
          <w:bCs/>
        </w:rPr>
        <w:t>Funding</w:t>
      </w:r>
    </w:p>
    <w:p w:rsidR="00ED3E9D" w:rsidRDefault="00ED3E9D" w:rsidP="00ED3E9D">
      <w:pPr>
        <w:jc w:val="center"/>
      </w:pPr>
    </w:p>
    <w:p w:rsidR="00ED3E9D" w:rsidRDefault="00ED3E9D" w:rsidP="00ED3E9D">
      <w:pPr>
        <w:pStyle w:val="xl24"/>
        <w:spacing w:before="0" w:after="0"/>
        <w:rPr>
          <w:rFonts w:eastAsia="Times New Roman"/>
        </w:rPr>
      </w:pPr>
      <w:r>
        <w:rPr>
          <w:rFonts w:eastAsia="Times New Roman"/>
        </w:rPr>
        <w:t>Base Funding</w:t>
      </w:r>
    </w:p>
    <w:p w:rsidR="00ED3E9D" w:rsidRDefault="00ED3E9D" w:rsidP="00ED3E9D">
      <w:pPr>
        <w:pStyle w:val="xl24"/>
        <w:spacing w:before="0" w:after="0"/>
        <w:rPr>
          <w:rFonts w:eastAsia="Times New Roman"/>
        </w:rPr>
      </w:pPr>
    </w:p>
    <w:p w:rsidR="00ED3E9D" w:rsidRDefault="00ED3E9D" w:rsidP="00ED3E9D">
      <w:pPr>
        <w:pStyle w:val="xl24"/>
        <w:spacing w:before="0" w:after="0"/>
        <w:rPr>
          <w:rFonts w:eastAsia="Times New Roma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572"/>
        <w:gridCol w:w="1395"/>
        <w:gridCol w:w="603"/>
        <w:gridCol w:w="607"/>
        <w:gridCol w:w="672"/>
        <w:gridCol w:w="1358"/>
        <w:gridCol w:w="590"/>
        <w:gridCol w:w="607"/>
        <w:gridCol w:w="672"/>
        <w:gridCol w:w="1535"/>
      </w:tblGrid>
      <w:tr w:rsidR="00ED3E9D" w:rsidTr="00F80A9F">
        <w:tc>
          <w:tcPr>
            <w:tcW w:w="3168" w:type="dxa"/>
            <w:gridSpan w:val="4"/>
            <w:shd w:val="clear" w:color="auto" w:fill="E6E6E6"/>
          </w:tcPr>
          <w:p w:rsidR="00ED3E9D" w:rsidRPr="000F321C" w:rsidRDefault="00ED3E9D" w:rsidP="00F80A9F">
            <w:pPr>
              <w:pStyle w:val="Heading7"/>
              <w:rPr>
                <w:sz w:val="20"/>
              </w:rPr>
            </w:pPr>
            <w:r w:rsidRPr="000F321C">
              <w:rPr>
                <w:sz w:val="20"/>
              </w:rPr>
              <w:t xml:space="preserve"> FY 201</w:t>
            </w:r>
            <w:r>
              <w:rPr>
                <w:sz w:val="20"/>
              </w:rPr>
              <w:t>2</w:t>
            </w:r>
            <w:r w:rsidRPr="000F321C">
              <w:rPr>
                <w:sz w:val="20"/>
              </w:rPr>
              <w:t xml:space="preserve"> Enacted </w:t>
            </w:r>
          </w:p>
        </w:tc>
        <w:tc>
          <w:tcPr>
            <w:tcW w:w="3240" w:type="dxa"/>
            <w:gridSpan w:val="4"/>
            <w:shd w:val="clear" w:color="auto" w:fill="E6E6E6"/>
          </w:tcPr>
          <w:p w:rsidR="00ED3E9D" w:rsidRPr="000F321C" w:rsidRDefault="00ED3E9D" w:rsidP="00F80A9F">
            <w:pPr>
              <w:pStyle w:val="Heading7"/>
              <w:rPr>
                <w:sz w:val="20"/>
              </w:rPr>
            </w:pPr>
            <w:r w:rsidRPr="000F321C">
              <w:rPr>
                <w:sz w:val="20"/>
              </w:rPr>
              <w:t>FY 201</w:t>
            </w:r>
            <w:r>
              <w:rPr>
                <w:sz w:val="20"/>
              </w:rPr>
              <w:t>3</w:t>
            </w:r>
            <w:r w:rsidRPr="000F321C">
              <w:rPr>
                <w:sz w:val="20"/>
              </w:rPr>
              <w:t xml:space="preserve"> </w:t>
            </w:r>
            <w:r>
              <w:rPr>
                <w:sz w:val="20"/>
              </w:rPr>
              <w:t>CR</w:t>
            </w:r>
          </w:p>
        </w:tc>
        <w:tc>
          <w:tcPr>
            <w:tcW w:w="3404" w:type="dxa"/>
            <w:gridSpan w:val="4"/>
            <w:shd w:val="clear" w:color="auto" w:fill="E6E6E6"/>
          </w:tcPr>
          <w:p w:rsidR="00ED3E9D" w:rsidRPr="000F321C" w:rsidRDefault="00ED3E9D" w:rsidP="00F80A9F">
            <w:pPr>
              <w:pStyle w:val="Heading7"/>
              <w:rPr>
                <w:sz w:val="20"/>
              </w:rPr>
            </w:pPr>
            <w:r w:rsidRPr="000F321C">
              <w:rPr>
                <w:sz w:val="20"/>
              </w:rPr>
              <w:t>FY 201</w:t>
            </w:r>
            <w:r>
              <w:rPr>
                <w:sz w:val="20"/>
              </w:rPr>
              <w:t>4</w:t>
            </w:r>
            <w:r w:rsidRPr="000F321C">
              <w:rPr>
                <w:sz w:val="20"/>
              </w:rPr>
              <w:t xml:space="preserve"> Current Services</w:t>
            </w:r>
          </w:p>
        </w:tc>
      </w:tr>
      <w:tr w:rsidR="00ED3E9D" w:rsidTr="00F80A9F">
        <w:tc>
          <w:tcPr>
            <w:tcW w:w="594"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ED3E9D" w:rsidRPr="000F321C" w:rsidRDefault="00ED3E9D" w:rsidP="00F80A9F">
            <w:pPr>
              <w:pStyle w:val="xl24"/>
              <w:spacing w:before="0" w:after="0"/>
              <w:jc w:val="center"/>
              <w:rPr>
                <w:rFonts w:eastAsia="Times New Roman"/>
                <w:sz w:val="20"/>
                <w:u w:val="none"/>
              </w:rPr>
            </w:pPr>
            <w:proofErr w:type="spellStart"/>
            <w:r w:rsidRPr="000F321C">
              <w:rPr>
                <w:rFonts w:eastAsia="Times New Roman"/>
                <w:sz w:val="20"/>
                <w:u w:val="none"/>
              </w:rPr>
              <w:t>a</w:t>
            </w:r>
            <w:r>
              <w:rPr>
                <w:rFonts w:eastAsia="Times New Roman"/>
                <w:sz w:val="20"/>
                <w:u w:val="none"/>
              </w:rPr>
              <w:t>tty</w:t>
            </w:r>
            <w:proofErr w:type="spellEnd"/>
          </w:p>
        </w:tc>
        <w:tc>
          <w:tcPr>
            <w:tcW w:w="572"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FTE</w:t>
            </w:r>
          </w:p>
        </w:tc>
        <w:tc>
          <w:tcPr>
            <w:tcW w:w="1395"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$(000)</w:t>
            </w:r>
          </w:p>
        </w:tc>
        <w:tc>
          <w:tcPr>
            <w:tcW w:w="603"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ED3E9D" w:rsidRPr="000F321C" w:rsidRDefault="00ED3E9D" w:rsidP="00F80A9F">
            <w:pPr>
              <w:pStyle w:val="xl24"/>
              <w:spacing w:before="0" w:after="0"/>
              <w:jc w:val="center"/>
              <w:rPr>
                <w:rFonts w:eastAsia="Times New Roman"/>
                <w:sz w:val="20"/>
                <w:u w:val="none"/>
              </w:rPr>
            </w:pPr>
            <w:proofErr w:type="spellStart"/>
            <w:r w:rsidRPr="000F321C">
              <w:rPr>
                <w:rFonts w:eastAsia="Times New Roman"/>
                <w:sz w:val="20"/>
                <w:u w:val="none"/>
              </w:rPr>
              <w:t>a</w:t>
            </w:r>
            <w:r>
              <w:rPr>
                <w:rFonts w:eastAsia="Times New Roman"/>
                <w:sz w:val="20"/>
                <w:u w:val="none"/>
              </w:rPr>
              <w:t>tty</w:t>
            </w:r>
            <w:proofErr w:type="spellEnd"/>
          </w:p>
        </w:tc>
        <w:tc>
          <w:tcPr>
            <w:tcW w:w="672"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FTE</w:t>
            </w:r>
          </w:p>
        </w:tc>
        <w:tc>
          <w:tcPr>
            <w:tcW w:w="1358"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$(000)</w:t>
            </w:r>
          </w:p>
        </w:tc>
        <w:tc>
          <w:tcPr>
            <w:tcW w:w="590"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ED3E9D" w:rsidRPr="000F321C" w:rsidRDefault="00ED3E9D" w:rsidP="00F80A9F">
            <w:pPr>
              <w:pStyle w:val="xl24"/>
              <w:spacing w:before="0" w:after="0"/>
              <w:jc w:val="center"/>
              <w:rPr>
                <w:rFonts w:eastAsia="Times New Roman"/>
                <w:sz w:val="20"/>
                <w:u w:val="none"/>
              </w:rPr>
            </w:pPr>
            <w:proofErr w:type="spellStart"/>
            <w:r w:rsidRPr="000F321C">
              <w:rPr>
                <w:rFonts w:eastAsia="Times New Roman"/>
                <w:sz w:val="20"/>
                <w:u w:val="none"/>
              </w:rPr>
              <w:t>atty</w:t>
            </w:r>
            <w:proofErr w:type="spellEnd"/>
          </w:p>
        </w:tc>
        <w:tc>
          <w:tcPr>
            <w:tcW w:w="672"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FTE</w:t>
            </w:r>
          </w:p>
        </w:tc>
        <w:tc>
          <w:tcPr>
            <w:tcW w:w="1535"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$(000)</w:t>
            </w:r>
          </w:p>
        </w:tc>
      </w:tr>
      <w:tr w:rsidR="00ED3E9D" w:rsidTr="00F80A9F">
        <w:tc>
          <w:tcPr>
            <w:tcW w:w="594"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268</w:t>
            </w:r>
          </w:p>
        </w:tc>
        <w:tc>
          <w:tcPr>
            <w:tcW w:w="607"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178</w:t>
            </w:r>
          </w:p>
        </w:tc>
        <w:tc>
          <w:tcPr>
            <w:tcW w:w="572"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264</w:t>
            </w:r>
          </w:p>
        </w:tc>
        <w:tc>
          <w:tcPr>
            <w:tcW w:w="1395"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$63,636</w:t>
            </w:r>
          </w:p>
        </w:tc>
        <w:tc>
          <w:tcPr>
            <w:tcW w:w="603"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268</w:t>
            </w:r>
          </w:p>
        </w:tc>
        <w:tc>
          <w:tcPr>
            <w:tcW w:w="607"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178</w:t>
            </w:r>
          </w:p>
        </w:tc>
        <w:tc>
          <w:tcPr>
            <w:tcW w:w="672"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230</w:t>
            </w:r>
          </w:p>
        </w:tc>
        <w:tc>
          <w:tcPr>
            <w:tcW w:w="1358"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$64,025</w:t>
            </w:r>
          </w:p>
        </w:tc>
        <w:tc>
          <w:tcPr>
            <w:tcW w:w="590"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268</w:t>
            </w:r>
          </w:p>
        </w:tc>
        <w:tc>
          <w:tcPr>
            <w:tcW w:w="607"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178</w:t>
            </w:r>
          </w:p>
        </w:tc>
        <w:tc>
          <w:tcPr>
            <w:tcW w:w="672"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230</w:t>
            </w:r>
          </w:p>
        </w:tc>
        <w:tc>
          <w:tcPr>
            <w:tcW w:w="1535" w:type="dxa"/>
          </w:tcPr>
          <w:p w:rsidR="00ED3E9D" w:rsidRPr="00913B2C" w:rsidRDefault="00ED3E9D" w:rsidP="00F80A9F">
            <w:pPr>
              <w:pStyle w:val="xl24"/>
              <w:spacing w:before="0" w:after="0"/>
              <w:jc w:val="right"/>
              <w:rPr>
                <w:rFonts w:eastAsia="Times New Roman"/>
                <w:sz w:val="20"/>
                <w:u w:val="none"/>
              </w:rPr>
            </w:pPr>
            <w:r w:rsidRPr="00913B2C">
              <w:rPr>
                <w:rFonts w:eastAsia="Times New Roman"/>
                <w:sz w:val="20"/>
                <w:u w:val="none"/>
              </w:rPr>
              <w:t>$62,814</w:t>
            </w:r>
          </w:p>
        </w:tc>
      </w:tr>
    </w:tbl>
    <w:p w:rsidR="00ED3E9D" w:rsidRDefault="00ED3E9D" w:rsidP="00ED3E9D">
      <w:pPr>
        <w:pStyle w:val="xl24"/>
        <w:spacing w:before="0" w:after="0"/>
        <w:rPr>
          <w:rFonts w:eastAsia="Times New Roman"/>
        </w:rPr>
      </w:pPr>
    </w:p>
    <w:p w:rsidR="00ED3E9D" w:rsidRDefault="00ED3E9D" w:rsidP="00ED3E9D">
      <w:pPr>
        <w:pStyle w:val="BodyText"/>
      </w:pPr>
      <w:r>
        <w:rPr>
          <w:u w:val="single"/>
        </w:rPr>
        <w:t>Personnel Reduction Cost Summary</w:t>
      </w:r>
    </w:p>
    <w:p w:rsidR="00ED3E9D" w:rsidRDefault="00ED3E9D" w:rsidP="00ED3E9D">
      <w:pPr>
        <w:pStyle w:val="BodyText"/>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5"/>
        <w:gridCol w:w="1433"/>
        <w:gridCol w:w="1440"/>
        <w:gridCol w:w="1530"/>
        <w:gridCol w:w="1890"/>
        <w:gridCol w:w="1890"/>
      </w:tblGrid>
      <w:tr w:rsidR="00ED3E9D" w:rsidTr="00F80A9F">
        <w:tc>
          <w:tcPr>
            <w:tcW w:w="1645" w:type="dxa"/>
            <w:shd w:val="clear" w:color="auto" w:fill="E6E6E6"/>
            <w:vAlign w:val="center"/>
          </w:tcPr>
          <w:p w:rsidR="00ED3E9D" w:rsidRDefault="00ED3E9D" w:rsidP="00F80A9F">
            <w:pPr>
              <w:jc w:val="center"/>
              <w:rPr>
                <w:sz w:val="20"/>
              </w:rPr>
            </w:pPr>
            <w:r>
              <w:rPr>
                <w:sz w:val="20"/>
              </w:rPr>
              <w:t>Type of Position</w:t>
            </w:r>
          </w:p>
        </w:tc>
        <w:tc>
          <w:tcPr>
            <w:tcW w:w="1433" w:type="dxa"/>
            <w:vAlign w:val="center"/>
          </w:tcPr>
          <w:p w:rsidR="00ED3E9D" w:rsidRDefault="00ED3E9D" w:rsidP="00F80A9F">
            <w:pPr>
              <w:jc w:val="center"/>
              <w:rPr>
                <w:sz w:val="20"/>
              </w:rPr>
            </w:pPr>
            <w:r>
              <w:rPr>
                <w:sz w:val="20"/>
              </w:rPr>
              <w:t>Modular Cost</w:t>
            </w:r>
          </w:p>
          <w:p w:rsidR="00ED3E9D" w:rsidRDefault="00ED3E9D" w:rsidP="00F80A9F">
            <w:pPr>
              <w:jc w:val="center"/>
              <w:rPr>
                <w:sz w:val="20"/>
              </w:rPr>
            </w:pPr>
            <w:r>
              <w:rPr>
                <w:sz w:val="20"/>
              </w:rPr>
              <w:t>per Position</w:t>
            </w:r>
          </w:p>
          <w:p w:rsidR="00ED3E9D" w:rsidRDefault="00ED3E9D" w:rsidP="00F80A9F">
            <w:pPr>
              <w:jc w:val="center"/>
              <w:rPr>
                <w:sz w:val="20"/>
              </w:rPr>
            </w:pPr>
            <w:r>
              <w:rPr>
                <w:sz w:val="20"/>
              </w:rPr>
              <w:t>($000)</w:t>
            </w:r>
          </w:p>
        </w:tc>
        <w:tc>
          <w:tcPr>
            <w:tcW w:w="1440" w:type="dxa"/>
            <w:vAlign w:val="center"/>
          </w:tcPr>
          <w:p w:rsidR="00ED3E9D" w:rsidRDefault="00ED3E9D" w:rsidP="00F80A9F">
            <w:pPr>
              <w:jc w:val="center"/>
              <w:rPr>
                <w:sz w:val="20"/>
              </w:rPr>
            </w:pPr>
            <w:r>
              <w:rPr>
                <w:sz w:val="20"/>
              </w:rPr>
              <w:t>Number of</w:t>
            </w:r>
          </w:p>
          <w:p w:rsidR="00ED3E9D" w:rsidRDefault="00ED3E9D" w:rsidP="00F80A9F">
            <w:pPr>
              <w:jc w:val="center"/>
              <w:rPr>
                <w:sz w:val="20"/>
              </w:rPr>
            </w:pPr>
            <w:r>
              <w:rPr>
                <w:sz w:val="20"/>
              </w:rPr>
              <w:t>Positions</w:t>
            </w:r>
          </w:p>
          <w:p w:rsidR="00ED3E9D" w:rsidRDefault="00ED3E9D" w:rsidP="00F80A9F">
            <w:pPr>
              <w:jc w:val="center"/>
              <w:rPr>
                <w:sz w:val="20"/>
              </w:rPr>
            </w:pPr>
            <w:r>
              <w:rPr>
                <w:sz w:val="20"/>
              </w:rPr>
              <w:t>Reduced</w:t>
            </w:r>
          </w:p>
        </w:tc>
        <w:tc>
          <w:tcPr>
            <w:tcW w:w="1530" w:type="dxa"/>
            <w:vAlign w:val="center"/>
          </w:tcPr>
          <w:p w:rsidR="00ED3E9D" w:rsidRDefault="00ED3E9D" w:rsidP="00F80A9F">
            <w:pPr>
              <w:jc w:val="center"/>
              <w:rPr>
                <w:sz w:val="20"/>
              </w:rPr>
            </w:pPr>
            <w:r>
              <w:rPr>
                <w:sz w:val="20"/>
              </w:rPr>
              <w:t>FY 2014</w:t>
            </w:r>
          </w:p>
          <w:p w:rsidR="00ED3E9D" w:rsidRDefault="00ED3E9D" w:rsidP="00F80A9F">
            <w:pPr>
              <w:jc w:val="center"/>
              <w:rPr>
                <w:sz w:val="20"/>
              </w:rPr>
            </w:pPr>
            <w:r>
              <w:rPr>
                <w:sz w:val="20"/>
              </w:rPr>
              <w:t>Request</w:t>
            </w:r>
          </w:p>
          <w:p w:rsidR="00ED3E9D" w:rsidRDefault="00ED3E9D" w:rsidP="00F80A9F">
            <w:pPr>
              <w:jc w:val="center"/>
              <w:rPr>
                <w:sz w:val="20"/>
              </w:rPr>
            </w:pPr>
            <w:r>
              <w:rPr>
                <w:sz w:val="20"/>
              </w:rPr>
              <w:t>($000)</w:t>
            </w:r>
          </w:p>
        </w:tc>
        <w:tc>
          <w:tcPr>
            <w:tcW w:w="1890" w:type="dxa"/>
            <w:vAlign w:val="center"/>
          </w:tcPr>
          <w:p w:rsidR="00ED3E9D" w:rsidRDefault="00ED3E9D" w:rsidP="00F80A9F">
            <w:pPr>
              <w:jc w:val="center"/>
              <w:rPr>
                <w:sz w:val="20"/>
              </w:rPr>
            </w:pPr>
            <w:r>
              <w:rPr>
                <w:sz w:val="20"/>
              </w:rPr>
              <w:t>FY 2015 Net</w:t>
            </w:r>
          </w:p>
          <w:p w:rsidR="00ED3E9D" w:rsidRDefault="00ED3E9D" w:rsidP="00F80A9F">
            <w:pPr>
              <w:jc w:val="center"/>
              <w:rPr>
                <w:sz w:val="20"/>
              </w:rPr>
            </w:pPr>
            <w:proofErr w:type="spellStart"/>
            <w:r>
              <w:rPr>
                <w:sz w:val="20"/>
              </w:rPr>
              <w:t>Annualization</w:t>
            </w:r>
            <w:proofErr w:type="spellEnd"/>
            <w:r>
              <w:rPr>
                <w:sz w:val="20"/>
              </w:rPr>
              <w:t xml:space="preserve"> (change from 2014)</w:t>
            </w:r>
          </w:p>
          <w:p w:rsidR="00ED3E9D" w:rsidRDefault="00ED3E9D" w:rsidP="00F80A9F">
            <w:pPr>
              <w:jc w:val="center"/>
              <w:rPr>
                <w:sz w:val="20"/>
              </w:rPr>
            </w:pPr>
            <w:r>
              <w:rPr>
                <w:sz w:val="20"/>
              </w:rPr>
              <w:t>($000)</w:t>
            </w:r>
          </w:p>
        </w:tc>
        <w:tc>
          <w:tcPr>
            <w:tcW w:w="1890" w:type="dxa"/>
          </w:tcPr>
          <w:p w:rsidR="00ED3E9D" w:rsidRDefault="00ED3E9D" w:rsidP="00F80A9F">
            <w:pPr>
              <w:jc w:val="center"/>
              <w:rPr>
                <w:sz w:val="20"/>
              </w:rPr>
            </w:pPr>
            <w:r>
              <w:rPr>
                <w:sz w:val="20"/>
              </w:rPr>
              <w:t>FY 2016 Net</w:t>
            </w:r>
          </w:p>
          <w:p w:rsidR="00ED3E9D" w:rsidRDefault="00ED3E9D" w:rsidP="00F80A9F">
            <w:pPr>
              <w:jc w:val="center"/>
              <w:rPr>
                <w:sz w:val="20"/>
              </w:rPr>
            </w:pPr>
            <w:proofErr w:type="spellStart"/>
            <w:r>
              <w:rPr>
                <w:sz w:val="20"/>
              </w:rPr>
              <w:t>Annualization</w:t>
            </w:r>
            <w:proofErr w:type="spellEnd"/>
            <w:r>
              <w:rPr>
                <w:sz w:val="20"/>
              </w:rPr>
              <w:t xml:space="preserve"> (change from 2015)</w:t>
            </w:r>
          </w:p>
          <w:p w:rsidR="00ED3E9D" w:rsidRDefault="00ED3E9D" w:rsidP="00F80A9F">
            <w:pPr>
              <w:jc w:val="center"/>
              <w:rPr>
                <w:sz w:val="20"/>
              </w:rPr>
            </w:pPr>
            <w:r>
              <w:rPr>
                <w:sz w:val="20"/>
              </w:rPr>
              <w:t>($000)</w:t>
            </w:r>
          </w:p>
        </w:tc>
      </w:tr>
      <w:tr w:rsidR="00ED3E9D" w:rsidTr="00F80A9F">
        <w:tc>
          <w:tcPr>
            <w:tcW w:w="1645" w:type="dxa"/>
          </w:tcPr>
          <w:p w:rsidR="00ED3E9D" w:rsidRDefault="00ED3E9D" w:rsidP="00F80A9F">
            <w:pPr>
              <w:rPr>
                <w:sz w:val="20"/>
              </w:rPr>
            </w:pPr>
            <w:r>
              <w:rPr>
                <w:sz w:val="20"/>
              </w:rPr>
              <w:t>Attorney</w:t>
            </w:r>
          </w:p>
        </w:tc>
        <w:tc>
          <w:tcPr>
            <w:tcW w:w="1433" w:type="dxa"/>
            <w:vAlign w:val="center"/>
          </w:tcPr>
          <w:p w:rsidR="00ED3E9D" w:rsidRDefault="00ED3E9D" w:rsidP="00F80A9F">
            <w:pPr>
              <w:jc w:val="right"/>
              <w:rPr>
                <w:sz w:val="20"/>
              </w:rPr>
            </w:pPr>
            <w:r>
              <w:rPr>
                <w:sz w:val="20"/>
              </w:rPr>
              <w:t>$114</w:t>
            </w:r>
          </w:p>
        </w:tc>
        <w:tc>
          <w:tcPr>
            <w:tcW w:w="1440" w:type="dxa"/>
            <w:vAlign w:val="center"/>
          </w:tcPr>
          <w:p w:rsidR="00ED3E9D" w:rsidRDefault="00ED3E9D" w:rsidP="00F80A9F">
            <w:pPr>
              <w:jc w:val="right"/>
              <w:rPr>
                <w:sz w:val="20"/>
              </w:rPr>
            </w:pPr>
            <w:r>
              <w:rPr>
                <w:sz w:val="20"/>
              </w:rPr>
              <w:t>16</w:t>
            </w:r>
          </w:p>
        </w:tc>
        <w:tc>
          <w:tcPr>
            <w:tcW w:w="1530" w:type="dxa"/>
            <w:vAlign w:val="center"/>
          </w:tcPr>
          <w:p w:rsidR="00ED3E9D" w:rsidRDefault="00ED3E9D" w:rsidP="00F80A9F">
            <w:pPr>
              <w:jc w:val="right"/>
              <w:rPr>
                <w:sz w:val="20"/>
              </w:rPr>
            </w:pPr>
            <w:r>
              <w:rPr>
                <w:sz w:val="20"/>
              </w:rPr>
              <w:t>$1,824</w:t>
            </w:r>
          </w:p>
        </w:tc>
        <w:tc>
          <w:tcPr>
            <w:tcW w:w="1890" w:type="dxa"/>
            <w:vAlign w:val="center"/>
          </w:tcPr>
          <w:p w:rsidR="00ED3E9D" w:rsidRDefault="00ED3E9D" w:rsidP="00F80A9F">
            <w:pPr>
              <w:jc w:val="right"/>
              <w:rPr>
                <w:sz w:val="20"/>
              </w:rPr>
            </w:pPr>
            <w:r>
              <w:rPr>
                <w:sz w:val="20"/>
              </w:rPr>
              <w:t>$1,728</w:t>
            </w:r>
          </w:p>
        </w:tc>
        <w:tc>
          <w:tcPr>
            <w:tcW w:w="1890" w:type="dxa"/>
          </w:tcPr>
          <w:p w:rsidR="00ED3E9D" w:rsidRDefault="00ED3E9D" w:rsidP="00F80A9F">
            <w:pPr>
              <w:jc w:val="right"/>
              <w:rPr>
                <w:sz w:val="20"/>
              </w:rPr>
            </w:pPr>
            <w:r>
              <w:rPr>
                <w:sz w:val="20"/>
              </w:rPr>
              <w:t>$0</w:t>
            </w:r>
          </w:p>
        </w:tc>
      </w:tr>
      <w:tr w:rsidR="00ED3E9D" w:rsidTr="00F80A9F">
        <w:tc>
          <w:tcPr>
            <w:tcW w:w="1645" w:type="dxa"/>
          </w:tcPr>
          <w:p w:rsidR="00ED3E9D" w:rsidRDefault="00ED3E9D" w:rsidP="00F80A9F">
            <w:pPr>
              <w:rPr>
                <w:sz w:val="20"/>
              </w:rPr>
            </w:pPr>
            <w:r>
              <w:rPr>
                <w:sz w:val="20"/>
              </w:rPr>
              <w:t>Professional</w:t>
            </w:r>
          </w:p>
        </w:tc>
        <w:tc>
          <w:tcPr>
            <w:tcW w:w="1433" w:type="dxa"/>
            <w:vAlign w:val="center"/>
          </w:tcPr>
          <w:p w:rsidR="00ED3E9D" w:rsidRDefault="00ED3E9D" w:rsidP="00F80A9F">
            <w:pPr>
              <w:jc w:val="right"/>
              <w:rPr>
                <w:sz w:val="20"/>
              </w:rPr>
            </w:pPr>
            <w:r>
              <w:rPr>
                <w:sz w:val="20"/>
              </w:rPr>
              <w:t>$63</w:t>
            </w:r>
          </w:p>
        </w:tc>
        <w:tc>
          <w:tcPr>
            <w:tcW w:w="1440" w:type="dxa"/>
            <w:vAlign w:val="center"/>
          </w:tcPr>
          <w:p w:rsidR="00ED3E9D" w:rsidRDefault="00ED3E9D" w:rsidP="00F80A9F">
            <w:pPr>
              <w:jc w:val="right"/>
              <w:rPr>
                <w:sz w:val="20"/>
              </w:rPr>
            </w:pPr>
            <w:r>
              <w:rPr>
                <w:sz w:val="20"/>
              </w:rPr>
              <w:t>9</w:t>
            </w:r>
          </w:p>
        </w:tc>
        <w:tc>
          <w:tcPr>
            <w:tcW w:w="1530" w:type="dxa"/>
            <w:vAlign w:val="center"/>
          </w:tcPr>
          <w:p w:rsidR="00ED3E9D" w:rsidRDefault="00ED3E9D" w:rsidP="00F80A9F">
            <w:pPr>
              <w:jc w:val="right"/>
              <w:rPr>
                <w:sz w:val="20"/>
              </w:rPr>
            </w:pPr>
            <w:r>
              <w:rPr>
                <w:sz w:val="20"/>
              </w:rPr>
              <w:t>$567</w:t>
            </w:r>
          </w:p>
        </w:tc>
        <w:tc>
          <w:tcPr>
            <w:tcW w:w="1890" w:type="dxa"/>
            <w:vAlign w:val="center"/>
          </w:tcPr>
          <w:p w:rsidR="00ED3E9D" w:rsidRDefault="00ED3E9D" w:rsidP="00F80A9F">
            <w:pPr>
              <w:jc w:val="right"/>
              <w:rPr>
                <w:sz w:val="20"/>
              </w:rPr>
            </w:pPr>
            <w:r>
              <w:rPr>
                <w:sz w:val="20"/>
              </w:rPr>
              <w:t>$396</w:t>
            </w:r>
          </w:p>
        </w:tc>
        <w:tc>
          <w:tcPr>
            <w:tcW w:w="1890" w:type="dxa"/>
          </w:tcPr>
          <w:p w:rsidR="00ED3E9D" w:rsidRDefault="00ED3E9D" w:rsidP="00F80A9F">
            <w:pPr>
              <w:jc w:val="right"/>
              <w:rPr>
                <w:sz w:val="20"/>
              </w:rPr>
            </w:pPr>
            <w:r>
              <w:rPr>
                <w:sz w:val="20"/>
              </w:rPr>
              <w:t>$441</w:t>
            </w:r>
          </w:p>
        </w:tc>
      </w:tr>
      <w:tr w:rsidR="00ED3E9D" w:rsidTr="00F80A9F">
        <w:tc>
          <w:tcPr>
            <w:tcW w:w="1645" w:type="dxa"/>
          </w:tcPr>
          <w:p w:rsidR="00ED3E9D" w:rsidRDefault="00ED3E9D" w:rsidP="00F80A9F">
            <w:pPr>
              <w:rPr>
                <w:sz w:val="20"/>
              </w:rPr>
            </w:pPr>
            <w:r>
              <w:rPr>
                <w:sz w:val="20"/>
              </w:rPr>
              <w:t>Clerical</w:t>
            </w:r>
          </w:p>
        </w:tc>
        <w:tc>
          <w:tcPr>
            <w:tcW w:w="1433" w:type="dxa"/>
            <w:vAlign w:val="center"/>
          </w:tcPr>
          <w:p w:rsidR="00ED3E9D" w:rsidRDefault="00ED3E9D" w:rsidP="00F80A9F">
            <w:pPr>
              <w:jc w:val="right"/>
              <w:rPr>
                <w:sz w:val="20"/>
              </w:rPr>
            </w:pPr>
            <w:r>
              <w:rPr>
                <w:sz w:val="20"/>
              </w:rPr>
              <w:t>$52</w:t>
            </w:r>
          </w:p>
        </w:tc>
        <w:tc>
          <w:tcPr>
            <w:tcW w:w="1440" w:type="dxa"/>
            <w:vAlign w:val="center"/>
          </w:tcPr>
          <w:p w:rsidR="00ED3E9D" w:rsidRDefault="00ED3E9D" w:rsidP="00F80A9F">
            <w:pPr>
              <w:jc w:val="right"/>
              <w:rPr>
                <w:sz w:val="20"/>
              </w:rPr>
            </w:pPr>
            <w:r>
              <w:rPr>
                <w:sz w:val="20"/>
              </w:rPr>
              <w:t>3</w:t>
            </w:r>
          </w:p>
        </w:tc>
        <w:tc>
          <w:tcPr>
            <w:tcW w:w="1530" w:type="dxa"/>
            <w:vAlign w:val="center"/>
          </w:tcPr>
          <w:p w:rsidR="00ED3E9D" w:rsidRDefault="00ED3E9D" w:rsidP="00F80A9F">
            <w:pPr>
              <w:jc w:val="right"/>
              <w:rPr>
                <w:sz w:val="20"/>
              </w:rPr>
            </w:pPr>
            <w:r>
              <w:rPr>
                <w:sz w:val="20"/>
              </w:rPr>
              <w:t>$156</w:t>
            </w:r>
          </w:p>
        </w:tc>
        <w:tc>
          <w:tcPr>
            <w:tcW w:w="1890" w:type="dxa"/>
            <w:vAlign w:val="center"/>
          </w:tcPr>
          <w:p w:rsidR="00ED3E9D" w:rsidRDefault="00ED3E9D" w:rsidP="00F80A9F">
            <w:pPr>
              <w:jc w:val="right"/>
              <w:rPr>
                <w:sz w:val="20"/>
              </w:rPr>
            </w:pPr>
            <w:r>
              <w:rPr>
                <w:sz w:val="20"/>
              </w:rPr>
              <w:t>$120</w:t>
            </w:r>
          </w:p>
        </w:tc>
        <w:tc>
          <w:tcPr>
            <w:tcW w:w="1890" w:type="dxa"/>
          </w:tcPr>
          <w:p w:rsidR="00ED3E9D" w:rsidRDefault="00ED3E9D" w:rsidP="00F80A9F">
            <w:pPr>
              <w:jc w:val="right"/>
              <w:rPr>
                <w:sz w:val="20"/>
              </w:rPr>
            </w:pPr>
            <w:r>
              <w:rPr>
                <w:sz w:val="20"/>
              </w:rPr>
              <w:t>$0</w:t>
            </w:r>
          </w:p>
        </w:tc>
      </w:tr>
      <w:tr w:rsidR="00ED3E9D" w:rsidTr="00F80A9F">
        <w:tc>
          <w:tcPr>
            <w:tcW w:w="1645" w:type="dxa"/>
          </w:tcPr>
          <w:p w:rsidR="00ED3E9D" w:rsidRDefault="00ED3E9D" w:rsidP="00F80A9F">
            <w:pPr>
              <w:rPr>
                <w:sz w:val="20"/>
              </w:rPr>
            </w:pPr>
            <w:r>
              <w:rPr>
                <w:sz w:val="20"/>
              </w:rPr>
              <w:t>Total Personnel</w:t>
            </w:r>
          </w:p>
        </w:tc>
        <w:tc>
          <w:tcPr>
            <w:tcW w:w="1433" w:type="dxa"/>
            <w:vAlign w:val="center"/>
          </w:tcPr>
          <w:p w:rsidR="00ED3E9D" w:rsidRDefault="00ED3E9D" w:rsidP="00F80A9F">
            <w:pPr>
              <w:jc w:val="right"/>
              <w:rPr>
                <w:sz w:val="20"/>
              </w:rPr>
            </w:pPr>
            <w:r>
              <w:rPr>
                <w:sz w:val="20"/>
              </w:rPr>
              <w:t>n/a</w:t>
            </w:r>
          </w:p>
        </w:tc>
        <w:tc>
          <w:tcPr>
            <w:tcW w:w="1440" w:type="dxa"/>
            <w:vAlign w:val="center"/>
          </w:tcPr>
          <w:p w:rsidR="00ED3E9D" w:rsidRDefault="00ED3E9D" w:rsidP="00F80A9F">
            <w:pPr>
              <w:jc w:val="right"/>
              <w:rPr>
                <w:sz w:val="20"/>
              </w:rPr>
            </w:pPr>
            <w:r>
              <w:rPr>
                <w:sz w:val="20"/>
              </w:rPr>
              <w:t>28</w:t>
            </w:r>
          </w:p>
        </w:tc>
        <w:tc>
          <w:tcPr>
            <w:tcW w:w="1530" w:type="dxa"/>
            <w:vAlign w:val="center"/>
          </w:tcPr>
          <w:p w:rsidR="00ED3E9D" w:rsidRDefault="00ED3E9D" w:rsidP="00F80A9F">
            <w:pPr>
              <w:jc w:val="right"/>
              <w:rPr>
                <w:sz w:val="20"/>
              </w:rPr>
            </w:pPr>
            <w:r>
              <w:rPr>
                <w:sz w:val="20"/>
              </w:rPr>
              <w:t>$2,547</w:t>
            </w:r>
          </w:p>
        </w:tc>
        <w:tc>
          <w:tcPr>
            <w:tcW w:w="1890" w:type="dxa"/>
            <w:vAlign w:val="center"/>
          </w:tcPr>
          <w:p w:rsidR="00ED3E9D" w:rsidRDefault="00ED3E9D" w:rsidP="00F80A9F">
            <w:pPr>
              <w:jc w:val="right"/>
              <w:rPr>
                <w:sz w:val="20"/>
              </w:rPr>
            </w:pPr>
            <w:r>
              <w:rPr>
                <w:sz w:val="20"/>
              </w:rPr>
              <w:t>$2,244</w:t>
            </w:r>
          </w:p>
        </w:tc>
        <w:tc>
          <w:tcPr>
            <w:tcW w:w="1890" w:type="dxa"/>
          </w:tcPr>
          <w:p w:rsidR="00ED3E9D" w:rsidRDefault="00ED3E9D" w:rsidP="00F80A9F">
            <w:pPr>
              <w:jc w:val="right"/>
              <w:rPr>
                <w:sz w:val="20"/>
              </w:rPr>
            </w:pPr>
            <w:r>
              <w:rPr>
                <w:sz w:val="20"/>
              </w:rPr>
              <w:t>$441</w:t>
            </w:r>
          </w:p>
        </w:tc>
      </w:tr>
    </w:tbl>
    <w:p w:rsidR="00ED3E9D" w:rsidRDefault="00ED3E9D" w:rsidP="00ED3E9D">
      <w:pPr>
        <w:rPr>
          <w:sz w:val="20"/>
        </w:rPr>
      </w:pPr>
    </w:p>
    <w:p w:rsidR="00460C01" w:rsidRDefault="00460C01" w:rsidP="00ED3E9D">
      <w:pPr>
        <w:pStyle w:val="xl24"/>
        <w:spacing w:before="0" w:after="0"/>
        <w:rPr>
          <w:rFonts w:eastAsia="Times New Roman"/>
        </w:rPr>
      </w:pPr>
    </w:p>
    <w:p w:rsidR="00460C01" w:rsidRDefault="00460C01" w:rsidP="00ED3E9D">
      <w:pPr>
        <w:pStyle w:val="xl24"/>
        <w:spacing w:before="0" w:after="0"/>
        <w:rPr>
          <w:rFonts w:eastAsia="Times New Roman"/>
        </w:rPr>
      </w:pPr>
    </w:p>
    <w:p w:rsidR="00ED3E9D" w:rsidRDefault="00ED3E9D" w:rsidP="00ED3E9D">
      <w:pPr>
        <w:pStyle w:val="xl24"/>
        <w:spacing w:before="0" w:after="0"/>
        <w:rPr>
          <w:rFonts w:eastAsia="Times New Roman"/>
        </w:rPr>
      </w:pPr>
      <w:r>
        <w:rPr>
          <w:rFonts w:eastAsia="Times New Roman"/>
        </w:rPr>
        <w:lastRenderedPageBreak/>
        <w:t>Non-Personnel Reduction Cost Summary</w:t>
      </w:r>
    </w:p>
    <w:p w:rsidR="00ED3E9D" w:rsidRDefault="00ED3E9D" w:rsidP="00ED3E9D">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4"/>
        <w:gridCol w:w="1344"/>
        <w:gridCol w:w="1530"/>
        <w:gridCol w:w="1530"/>
        <w:gridCol w:w="1890"/>
        <w:gridCol w:w="1890"/>
      </w:tblGrid>
      <w:tr w:rsidR="00ED3E9D" w:rsidTr="00F80A9F">
        <w:tc>
          <w:tcPr>
            <w:tcW w:w="1644" w:type="dxa"/>
            <w:shd w:val="clear" w:color="auto" w:fill="E6E6E6"/>
            <w:vAlign w:val="center"/>
          </w:tcPr>
          <w:p w:rsidR="00ED3E9D" w:rsidRDefault="00ED3E9D" w:rsidP="00F80A9F">
            <w:pPr>
              <w:jc w:val="center"/>
              <w:rPr>
                <w:sz w:val="20"/>
              </w:rPr>
            </w:pPr>
            <w:r>
              <w:rPr>
                <w:sz w:val="20"/>
              </w:rPr>
              <w:t>Non-Personnel Item</w:t>
            </w:r>
          </w:p>
        </w:tc>
        <w:tc>
          <w:tcPr>
            <w:tcW w:w="1344" w:type="dxa"/>
            <w:vAlign w:val="center"/>
          </w:tcPr>
          <w:p w:rsidR="00ED3E9D" w:rsidRDefault="00ED3E9D" w:rsidP="00F80A9F">
            <w:pPr>
              <w:jc w:val="center"/>
              <w:rPr>
                <w:sz w:val="20"/>
              </w:rPr>
            </w:pPr>
            <w:r>
              <w:rPr>
                <w:sz w:val="20"/>
              </w:rPr>
              <w:t>Unit</w:t>
            </w:r>
          </w:p>
        </w:tc>
        <w:tc>
          <w:tcPr>
            <w:tcW w:w="1530" w:type="dxa"/>
            <w:vAlign w:val="center"/>
          </w:tcPr>
          <w:p w:rsidR="00ED3E9D" w:rsidRDefault="00ED3E9D" w:rsidP="00F80A9F">
            <w:pPr>
              <w:jc w:val="center"/>
              <w:rPr>
                <w:sz w:val="20"/>
              </w:rPr>
            </w:pPr>
            <w:r>
              <w:rPr>
                <w:sz w:val="20"/>
              </w:rPr>
              <w:t>Quantity</w:t>
            </w:r>
          </w:p>
        </w:tc>
        <w:tc>
          <w:tcPr>
            <w:tcW w:w="1530" w:type="dxa"/>
            <w:vAlign w:val="center"/>
          </w:tcPr>
          <w:p w:rsidR="00ED3E9D" w:rsidRDefault="00ED3E9D" w:rsidP="00F80A9F">
            <w:pPr>
              <w:jc w:val="center"/>
              <w:rPr>
                <w:sz w:val="20"/>
              </w:rPr>
            </w:pPr>
            <w:r>
              <w:rPr>
                <w:sz w:val="20"/>
              </w:rPr>
              <w:t>FY 2014</w:t>
            </w:r>
          </w:p>
          <w:p w:rsidR="00ED3E9D" w:rsidRDefault="00ED3E9D" w:rsidP="00F80A9F">
            <w:pPr>
              <w:jc w:val="center"/>
              <w:rPr>
                <w:sz w:val="20"/>
              </w:rPr>
            </w:pPr>
            <w:r>
              <w:rPr>
                <w:sz w:val="20"/>
              </w:rPr>
              <w:t>Request</w:t>
            </w:r>
          </w:p>
          <w:p w:rsidR="00ED3E9D" w:rsidRDefault="00ED3E9D" w:rsidP="00F80A9F">
            <w:pPr>
              <w:jc w:val="center"/>
              <w:rPr>
                <w:sz w:val="20"/>
              </w:rPr>
            </w:pPr>
            <w:r>
              <w:rPr>
                <w:sz w:val="20"/>
              </w:rPr>
              <w:t>($000)</w:t>
            </w:r>
          </w:p>
        </w:tc>
        <w:tc>
          <w:tcPr>
            <w:tcW w:w="1890" w:type="dxa"/>
            <w:vAlign w:val="center"/>
          </w:tcPr>
          <w:p w:rsidR="00ED3E9D" w:rsidRDefault="00ED3E9D" w:rsidP="00F80A9F">
            <w:pPr>
              <w:jc w:val="center"/>
              <w:rPr>
                <w:sz w:val="20"/>
              </w:rPr>
            </w:pPr>
            <w:r>
              <w:rPr>
                <w:sz w:val="20"/>
              </w:rPr>
              <w:t>FY 2015 Net</w:t>
            </w:r>
          </w:p>
          <w:p w:rsidR="00ED3E9D" w:rsidRDefault="00ED3E9D" w:rsidP="00F80A9F">
            <w:pPr>
              <w:jc w:val="center"/>
              <w:rPr>
                <w:sz w:val="20"/>
              </w:rPr>
            </w:pPr>
            <w:proofErr w:type="spellStart"/>
            <w:r>
              <w:rPr>
                <w:sz w:val="20"/>
              </w:rPr>
              <w:t>Annualization</w:t>
            </w:r>
            <w:proofErr w:type="spellEnd"/>
            <w:r>
              <w:rPr>
                <w:sz w:val="20"/>
              </w:rPr>
              <w:t xml:space="preserve"> (change from 2014)</w:t>
            </w:r>
          </w:p>
          <w:p w:rsidR="00ED3E9D" w:rsidRDefault="00ED3E9D" w:rsidP="00F80A9F">
            <w:pPr>
              <w:jc w:val="center"/>
              <w:rPr>
                <w:sz w:val="20"/>
              </w:rPr>
            </w:pPr>
            <w:r>
              <w:rPr>
                <w:sz w:val="20"/>
              </w:rPr>
              <w:t>($000)</w:t>
            </w:r>
          </w:p>
        </w:tc>
        <w:tc>
          <w:tcPr>
            <w:tcW w:w="1890" w:type="dxa"/>
          </w:tcPr>
          <w:p w:rsidR="00ED3E9D" w:rsidRDefault="00ED3E9D" w:rsidP="00F80A9F">
            <w:pPr>
              <w:jc w:val="center"/>
              <w:rPr>
                <w:sz w:val="20"/>
              </w:rPr>
            </w:pPr>
            <w:r>
              <w:rPr>
                <w:sz w:val="20"/>
              </w:rPr>
              <w:t>FY 2016 Net</w:t>
            </w:r>
          </w:p>
          <w:p w:rsidR="00ED3E9D" w:rsidRDefault="00ED3E9D" w:rsidP="00F80A9F">
            <w:pPr>
              <w:jc w:val="center"/>
              <w:rPr>
                <w:sz w:val="20"/>
              </w:rPr>
            </w:pPr>
            <w:proofErr w:type="spellStart"/>
            <w:r>
              <w:rPr>
                <w:sz w:val="20"/>
              </w:rPr>
              <w:t>Annualization</w:t>
            </w:r>
            <w:proofErr w:type="spellEnd"/>
            <w:r>
              <w:rPr>
                <w:sz w:val="20"/>
              </w:rPr>
              <w:t xml:space="preserve"> (change from 2015)</w:t>
            </w:r>
          </w:p>
          <w:p w:rsidR="00ED3E9D" w:rsidRDefault="00ED3E9D" w:rsidP="00F80A9F">
            <w:pPr>
              <w:jc w:val="center"/>
              <w:rPr>
                <w:sz w:val="20"/>
              </w:rPr>
            </w:pPr>
            <w:r>
              <w:rPr>
                <w:sz w:val="20"/>
              </w:rPr>
              <w:t>($000)</w:t>
            </w:r>
          </w:p>
        </w:tc>
      </w:tr>
      <w:tr w:rsidR="00ED3E9D" w:rsidTr="00F80A9F">
        <w:tc>
          <w:tcPr>
            <w:tcW w:w="1644" w:type="dxa"/>
            <w:vAlign w:val="center"/>
          </w:tcPr>
          <w:p w:rsidR="00ED3E9D" w:rsidRDefault="00ED3E9D" w:rsidP="00F80A9F">
            <w:pPr>
              <w:jc w:val="right"/>
              <w:rPr>
                <w:sz w:val="20"/>
              </w:rPr>
            </w:pPr>
            <w:r>
              <w:rPr>
                <w:sz w:val="20"/>
              </w:rPr>
              <w:t>Litigation Support</w:t>
            </w:r>
          </w:p>
        </w:tc>
        <w:tc>
          <w:tcPr>
            <w:tcW w:w="1344" w:type="dxa"/>
            <w:vAlign w:val="center"/>
          </w:tcPr>
          <w:p w:rsidR="00ED3E9D" w:rsidRDefault="00ED3E9D" w:rsidP="00F80A9F">
            <w:pPr>
              <w:pStyle w:val="xl19"/>
              <w:spacing w:before="0" w:after="0"/>
              <w:jc w:val="right"/>
              <w:rPr>
                <w:rFonts w:eastAsia="Times New Roman"/>
                <w:sz w:val="20"/>
                <w:szCs w:val="24"/>
              </w:rPr>
            </w:pPr>
            <w:r>
              <w:rPr>
                <w:rFonts w:eastAsia="Times New Roman"/>
                <w:sz w:val="20"/>
                <w:szCs w:val="24"/>
              </w:rPr>
              <w:t>n/a</w:t>
            </w:r>
          </w:p>
        </w:tc>
        <w:tc>
          <w:tcPr>
            <w:tcW w:w="1530" w:type="dxa"/>
            <w:vAlign w:val="center"/>
          </w:tcPr>
          <w:p w:rsidR="00ED3E9D" w:rsidRDefault="00ED3E9D" w:rsidP="00F80A9F">
            <w:pPr>
              <w:jc w:val="right"/>
              <w:rPr>
                <w:sz w:val="20"/>
              </w:rPr>
            </w:pPr>
            <w:r>
              <w:rPr>
                <w:sz w:val="20"/>
              </w:rPr>
              <w:t>n/a</w:t>
            </w:r>
          </w:p>
        </w:tc>
        <w:tc>
          <w:tcPr>
            <w:tcW w:w="1530" w:type="dxa"/>
            <w:vAlign w:val="center"/>
          </w:tcPr>
          <w:p w:rsidR="00ED3E9D" w:rsidRDefault="00ED3E9D" w:rsidP="00F80A9F">
            <w:pPr>
              <w:jc w:val="right"/>
              <w:rPr>
                <w:sz w:val="20"/>
              </w:rPr>
            </w:pPr>
            <w:r>
              <w:rPr>
                <w:sz w:val="20"/>
              </w:rPr>
              <w:t>$2,453</w:t>
            </w:r>
          </w:p>
        </w:tc>
        <w:tc>
          <w:tcPr>
            <w:tcW w:w="1890" w:type="dxa"/>
            <w:vAlign w:val="center"/>
          </w:tcPr>
          <w:p w:rsidR="00ED3E9D" w:rsidRDefault="00ED3E9D" w:rsidP="00F80A9F">
            <w:pPr>
              <w:jc w:val="right"/>
              <w:rPr>
                <w:sz w:val="20"/>
              </w:rPr>
            </w:pPr>
            <w:r>
              <w:rPr>
                <w:sz w:val="20"/>
              </w:rPr>
              <w:t>$2,453</w:t>
            </w:r>
          </w:p>
        </w:tc>
        <w:tc>
          <w:tcPr>
            <w:tcW w:w="1890" w:type="dxa"/>
            <w:vAlign w:val="center"/>
          </w:tcPr>
          <w:p w:rsidR="00ED3E9D" w:rsidRDefault="00ED3E9D" w:rsidP="00F80A9F">
            <w:pPr>
              <w:jc w:val="right"/>
              <w:rPr>
                <w:sz w:val="20"/>
              </w:rPr>
            </w:pPr>
            <w:r>
              <w:rPr>
                <w:sz w:val="20"/>
              </w:rPr>
              <w:t>$0</w:t>
            </w:r>
          </w:p>
        </w:tc>
      </w:tr>
      <w:tr w:rsidR="00ED3E9D" w:rsidTr="00F80A9F">
        <w:tc>
          <w:tcPr>
            <w:tcW w:w="1644" w:type="dxa"/>
            <w:vAlign w:val="center"/>
          </w:tcPr>
          <w:p w:rsidR="00ED3E9D" w:rsidRDefault="00ED3E9D" w:rsidP="00F80A9F">
            <w:pPr>
              <w:jc w:val="right"/>
              <w:rPr>
                <w:sz w:val="20"/>
              </w:rPr>
            </w:pPr>
            <w:r>
              <w:rPr>
                <w:sz w:val="20"/>
              </w:rPr>
              <w:t>Total Non-Personnel</w:t>
            </w:r>
          </w:p>
        </w:tc>
        <w:tc>
          <w:tcPr>
            <w:tcW w:w="1344" w:type="dxa"/>
            <w:vAlign w:val="center"/>
          </w:tcPr>
          <w:p w:rsidR="00ED3E9D" w:rsidRDefault="00ED3E9D" w:rsidP="00F80A9F">
            <w:pPr>
              <w:pStyle w:val="xl19"/>
              <w:spacing w:before="0" w:after="0"/>
              <w:jc w:val="right"/>
              <w:rPr>
                <w:rFonts w:eastAsia="Times New Roman"/>
                <w:sz w:val="20"/>
                <w:szCs w:val="24"/>
              </w:rPr>
            </w:pPr>
            <w:r>
              <w:rPr>
                <w:rFonts w:eastAsia="Times New Roman"/>
                <w:sz w:val="20"/>
                <w:szCs w:val="24"/>
              </w:rPr>
              <w:t>n/a</w:t>
            </w:r>
          </w:p>
        </w:tc>
        <w:tc>
          <w:tcPr>
            <w:tcW w:w="1530" w:type="dxa"/>
            <w:vAlign w:val="center"/>
          </w:tcPr>
          <w:p w:rsidR="00ED3E9D" w:rsidRDefault="00ED3E9D" w:rsidP="00F80A9F">
            <w:pPr>
              <w:jc w:val="right"/>
              <w:rPr>
                <w:sz w:val="20"/>
              </w:rPr>
            </w:pPr>
            <w:r>
              <w:rPr>
                <w:sz w:val="20"/>
              </w:rPr>
              <w:t>n/a</w:t>
            </w:r>
          </w:p>
        </w:tc>
        <w:tc>
          <w:tcPr>
            <w:tcW w:w="1530" w:type="dxa"/>
            <w:vAlign w:val="center"/>
          </w:tcPr>
          <w:p w:rsidR="00ED3E9D" w:rsidRDefault="00ED3E9D" w:rsidP="00F80A9F">
            <w:pPr>
              <w:jc w:val="right"/>
              <w:rPr>
                <w:sz w:val="20"/>
              </w:rPr>
            </w:pPr>
            <w:r>
              <w:rPr>
                <w:sz w:val="20"/>
              </w:rPr>
              <w:t>$2,453</w:t>
            </w:r>
          </w:p>
        </w:tc>
        <w:tc>
          <w:tcPr>
            <w:tcW w:w="1890" w:type="dxa"/>
            <w:vAlign w:val="center"/>
          </w:tcPr>
          <w:p w:rsidR="00ED3E9D" w:rsidRDefault="00ED3E9D" w:rsidP="00F80A9F">
            <w:pPr>
              <w:jc w:val="right"/>
              <w:rPr>
                <w:sz w:val="20"/>
              </w:rPr>
            </w:pPr>
            <w:r>
              <w:rPr>
                <w:sz w:val="20"/>
              </w:rPr>
              <w:t>$2,453</w:t>
            </w:r>
          </w:p>
        </w:tc>
        <w:tc>
          <w:tcPr>
            <w:tcW w:w="1890" w:type="dxa"/>
            <w:vAlign w:val="center"/>
          </w:tcPr>
          <w:p w:rsidR="00ED3E9D" w:rsidRDefault="00ED3E9D" w:rsidP="00F80A9F">
            <w:pPr>
              <w:jc w:val="right"/>
              <w:rPr>
                <w:sz w:val="20"/>
              </w:rPr>
            </w:pPr>
            <w:r>
              <w:rPr>
                <w:sz w:val="20"/>
              </w:rPr>
              <w:t>$0</w:t>
            </w:r>
          </w:p>
        </w:tc>
      </w:tr>
    </w:tbl>
    <w:p w:rsidR="00ED3E9D" w:rsidRDefault="00ED3E9D" w:rsidP="00ED3E9D">
      <w:pPr>
        <w:rPr>
          <w:sz w:val="20"/>
        </w:rPr>
      </w:pPr>
    </w:p>
    <w:p w:rsidR="00E94641" w:rsidRDefault="00E94641" w:rsidP="00ED3E9D">
      <w:pPr>
        <w:rPr>
          <w:sz w:val="20"/>
        </w:rPr>
      </w:pPr>
    </w:p>
    <w:p w:rsidR="00ED3E9D" w:rsidRDefault="00ED3E9D" w:rsidP="00ED3E9D">
      <w:pPr>
        <w:pStyle w:val="xl24"/>
        <w:spacing w:before="0" w:after="0"/>
        <w:rPr>
          <w:rFonts w:eastAsia="Times New Roman"/>
          <w:szCs w:val="24"/>
        </w:rPr>
      </w:pPr>
      <w:r>
        <w:rPr>
          <w:rFonts w:eastAsia="Times New Roman"/>
          <w:szCs w:val="24"/>
        </w:rPr>
        <w:t>Total Request for this Item</w:t>
      </w:r>
    </w:p>
    <w:p w:rsidR="00ED3E9D" w:rsidRDefault="00ED3E9D" w:rsidP="00ED3E9D">
      <w:pPr>
        <w:pStyle w:val="xl24"/>
        <w:spacing w:before="0" w:after="0"/>
        <w:rPr>
          <w:rFonts w:eastAsia="Times New Roman"/>
          <w:szCs w:val="24"/>
        </w:rPr>
      </w:pPr>
    </w:p>
    <w:tbl>
      <w:tblPr>
        <w:tblW w:w="1036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9"/>
        <w:gridCol w:w="613"/>
        <w:gridCol w:w="959"/>
        <w:gridCol w:w="646"/>
        <w:gridCol w:w="1132"/>
        <w:gridCol w:w="1177"/>
        <w:gridCol w:w="960"/>
        <w:gridCol w:w="1872"/>
        <w:gridCol w:w="1890"/>
      </w:tblGrid>
      <w:tr w:rsidR="00ED3E9D" w:rsidTr="00F80A9F">
        <w:trPr>
          <w:trHeight w:val="658"/>
        </w:trPr>
        <w:tc>
          <w:tcPr>
            <w:tcW w:w="1119" w:type="dxa"/>
            <w:shd w:val="clear" w:color="auto" w:fill="E6E6E6"/>
            <w:vAlign w:val="center"/>
          </w:tcPr>
          <w:p w:rsidR="00ED3E9D" w:rsidRDefault="00ED3E9D" w:rsidP="00F80A9F">
            <w:pPr>
              <w:jc w:val="center"/>
              <w:rPr>
                <w:sz w:val="20"/>
              </w:rPr>
            </w:pPr>
          </w:p>
        </w:tc>
        <w:tc>
          <w:tcPr>
            <w:tcW w:w="613" w:type="dxa"/>
            <w:vAlign w:val="center"/>
          </w:tcPr>
          <w:p w:rsidR="00ED3E9D" w:rsidRDefault="00ED3E9D" w:rsidP="00F80A9F">
            <w:pPr>
              <w:jc w:val="center"/>
              <w:rPr>
                <w:sz w:val="20"/>
              </w:rPr>
            </w:pPr>
            <w:r>
              <w:rPr>
                <w:sz w:val="20"/>
              </w:rPr>
              <w:t>Pos</w:t>
            </w:r>
          </w:p>
        </w:tc>
        <w:tc>
          <w:tcPr>
            <w:tcW w:w="959" w:type="dxa"/>
            <w:vAlign w:val="center"/>
          </w:tcPr>
          <w:p w:rsidR="00ED3E9D" w:rsidRDefault="00ED3E9D" w:rsidP="00F80A9F">
            <w:pPr>
              <w:jc w:val="center"/>
              <w:rPr>
                <w:sz w:val="20"/>
              </w:rPr>
            </w:pPr>
          </w:p>
          <w:p w:rsidR="00ED3E9D" w:rsidRDefault="00ED3E9D" w:rsidP="00F80A9F">
            <w:pPr>
              <w:jc w:val="center"/>
              <w:rPr>
                <w:sz w:val="20"/>
              </w:rPr>
            </w:pPr>
            <w:proofErr w:type="spellStart"/>
            <w:r>
              <w:rPr>
                <w:sz w:val="20"/>
              </w:rPr>
              <w:t>Atty</w:t>
            </w:r>
            <w:proofErr w:type="spellEnd"/>
          </w:p>
          <w:p w:rsidR="00ED3E9D" w:rsidRDefault="00ED3E9D" w:rsidP="00F80A9F">
            <w:pPr>
              <w:jc w:val="center"/>
              <w:rPr>
                <w:sz w:val="20"/>
              </w:rPr>
            </w:pPr>
          </w:p>
        </w:tc>
        <w:tc>
          <w:tcPr>
            <w:tcW w:w="646" w:type="dxa"/>
            <w:vAlign w:val="center"/>
          </w:tcPr>
          <w:p w:rsidR="00ED3E9D" w:rsidRDefault="00ED3E9D" w:rsidP="00F80A9F">
            <w:pPr>
              <w:jc w:val="center"/>
              <w:rPr>
                <w:sz w:val="20"/>
              </w:rPr>
            </w:pPr>
            <w:r>
              <w:rPr>
                <w:sz w:val="20"/>
              </w:rPr>
              <w:t>FTE</w:t>
            </w:r>
          </w:p>
        </w:tc>
        <w:tc>
          <w:tcPr>
            <w:tcW w:w="1132" w:type="dxa"/>
            <w:vAlign w:val="center"/>
          </w:tcPr>
          <w:p w:rsidR="00ED3E9D" w:rsidRDefault="00ED3E9D" w:rsidP="00F80A9F">
            <w:pPr>
              <w:jc w:val="center"/>
              <w:rPr>
                <w:sz w:val="20"/>
              </w:rPr>
            </w:pPr>
            <w:r>
              <w:rPr>
                <w:sz w:val="20"/>
              </w:rPr>
              <w:t>Personnel</w:t>
            </w:r>
          </w:p>
          <w:p w:rsidR="00ED3E9D" w:rsidRDefault="00ED3E9D" w:rsidP="00F80A9F">
            <w:pPr>
              <w:jc w:val="center"/>
              <w:rPr>
                <w:sz w:val="20"/>
              </w:rPr>
            </w:pPr>
            <w:r>
              <w:rPr>
                <w:sz w:val="20"/>
              </w:rPr>
              <w:t>($000)</w:t>
            </w:r>
          </w:p>
        </w:tc>
        <w:tc>
          <w:tcPr>
            <w:tcW w:w="1177" w:type="dxa"/>
            <w:vAlign w:val="center"/>
          </w:tcPr>
          <w:p w:rsidR="00ED3E9D" w:rsidRDefault="00ED3E9D" w:rsidP="00F80A9F">
            <w:pPr>
              <w:jc w:val="center"/>
              <w:rPr>
                <w:sz w:val="20"/>
              </w:rPr>
            </w:pPr>
            <w:r>
              <w:rPr>
                <w:sz w:val="20"/>
              </w:rPr>
              <w:t>Non-Personnel</w:t>
            </w:r>
          </w:p>
          <w:p w:rsidR="00ED3E9D" w:rsidRDefault="00ED3E9D" w:rsidP="00F80A9F">
            <w:pPr>
              <w:jc w:val="center"/>
              <w:rPr>
                <w:sz w:val="20"/>
              </w:rPr>
            </w:pPr>
            <w:r>
              <w:rPr>
                <w:sz w:val="20"/>
              </w:rPr>
              <w:t>($000)</w:t>
            </w:r>
          </w:p>
        </w:tc>
        <w:tc>
          <w:tcPr>
            <w:tcW w:w="960" w:type="dxa"/>
            <w:vAlign w:val="center"/>
          </w:tcPr>
          <w:p w:rsidR="00ED3E9D" w:rsidRDefault="00ED3E9D" w:rsidP="00F80A9F">
            <w:pPr>
              <w:jc w:val="center"/>
              <w:rPr>
                <w:sz w:val="20"/>
              </w:rPr>
            </w:pPr>
            <w:r>
              <w:rPr>
                <w:sz w:val="20"/>
              </w:rPr>
              <w:t>Total</w:t>
            </w:r>
          </w:p>
          <w:p w:rsidR="00ED3E9D" w:rsidRDefault="00ED3E9D" w:rsidP="00F80A9F">
            <w:pPr>
              <w:jc w:val="center"/>
              <w:rPr>
                <w:sz w:val="20"/>
              </w:rPr>
            </w:pPr>
            <w:r>
              <w:rPr>
                <w:sz w:val="20"/>
              </w:rPr>
              <w:t>($000)</w:t>
            </w:r>
          </w:p>
        </w:tc>
        <w:tc>
          <w:tcPr>
            <w:tcW w:w="1872" w:type="dxa"/>
            <w:vAlign w:val="center"/>
          </w:tcPr>
          <w:p w:rsidR="00ED3E9D" w:rsidRDefault="00ED3E9D" w:rsidP="00F80A9F">
            <w:pPr>
              <w:jc w:val="center"/>
              <w:rPr>
                <w:sz w:val="20"/>
              </w:rPr>
            </w:pPr>
            <w:r>
              <w:rPr>
                <w:sz w:val="20"/>
              </w:rPr>
              <w:t>FY 2015 Net</w:t>
            </w:r>
          </w:p>
          <w:p w:rsidR="00ED3E9D" w:rsidRDefault="00ED3E9D" w:rsidP="00F80A9F">
            <w:pPr>
              <w:jc w:val="center"/>
              <w:rPr>
                <w:sz w:val="20"/>
              </w:rPr>
            </w:pPr>
            <w:proofErr w:type="spellStart"/>
            <w:r>
              <w:rPr>
                <w:sz w:val="20"/>
              </w:rPr>
              <w:t>Annualization</w:t>
            </w:r>
            <w:proofErr w:type="spellEnd"/>
            <w:r>
              <w:rPr>
                <w:sz w:val="20"/>
              </w:rPr>
              <w:t xml:space="preserve"> (change from 2014)</w:t>
            </w:r>
          </w:p>
          <w:p w:rsidR="00ED3E9D" w:rsidRDefault="00ED3E9D" w:rsidP="00F80A9F">
            <w:pPr>
              <w:jc w:val="center"/>
              <w:rPr>
                <w:sz w:val="20"/>
              </w:rPr>
            </w:pPr>
            <w:r>
              <w:rPr>
                <w:sz w:val="20"/>
              </w:rPr>
              <w:t>($000)</w:t>
            </w:r>
          </w:p>
        </w:tc>
        <w:tc>
          <w:tcPr>
            <w:tcW w:w="1890" w:type="dxa"/>
            <w:vAlign w:val="center"/>
          </w:tcPr>
          <w:p w:rsidR="00ED3E9D" w:rsidRDefault="00ED3E9D" w:rsidP="00F80A9F">
            <w:pPr>
              <w:jc w:val="center"/>
              <w:rPr>
                <w:sz w:val="20"/>
              </w:rPr>
            </w:pPr>
            <w:r>
              <w:rPr>
                <w:sz w:val="20"/>
              </w:rPr>
              <w:t>FY 2016 Net</w:t>
            </w:r>
          </w:p>
          <w:p w:rsidR="00ED3E9D" w:rsidRDefault="00ED3E9D" w:rsidP="00F80A9F">
            <w:pPr>
              <w:jc w:val="center"/>
              <w:rPr>
                <w:sz w:val="20"/>
              </w:rPr>
            </w:pPr>
            <w:proofErr w:type="spellStart"/>
            <w:r>
              <w:rPr>
                <w:sz w:val="20"/>
              </w:rPr>
              <w:t>Annualization</w:t>
            </w:r>
            <w:proofErr w:type="spellEnd"/>
            <w:r>
              <w:rPr>
                <w:sz w:val="20"/>
              </w:rPr>
              <w:t xml:space="preserve"> (change from 2015)</w:t>
            </w:r>
          </w:p>
          <w:p w:rsidR="00ED3E9D" w:rsidRDefault="00ED3E9D" w:rsidP="00F80A9F">
            <w:pPr>
              <w:jc w:val="center"/>
              <w:rPr>
                <w:sz w:val="20"/>
              </w:rPr>
            </w:pPr>
            <w:r>
              <w:rPr>
                <w:sz w:val="20"/>
              </w:rPr>
              <w:t>($000)</w:t>
            </w:r>
          </w:p>
        </w:tc>
      </w:tr>
      <w:tr w:rsidR="00ED3E9D" w:rsidTr="00F80A9F">
        <w:trPr>
          <w:trHeight w:val="215"/>
        </w:trPr>
        <w:tc>
          <w:tcPr>
            <w:tcW w:w="1119" w:type="dxa"/>
            <w:vAlign w:val="center"/>
          </w:tcPr>
          <w:p w:rsidR="00ED3E9D" w:rsidRDefault="00ED3E9D" w:rsidP="00F80A9F">
            <w:pPr>
              <w:jc w:val="right"/>
              <w:rPr>
                <w:sz w:val="20"/>
              </w:rPr>
            </w:pPr>
            <w:r>
              <w:rPr>
                <w:sz w:val="20"/>
              </w:rPr>
              <w:t>Current Services</w:t>
            </w:r>
          </w:p>
        </w:tc>
        <w:tc>
          <w:tcPr>
            <w:tcW w:w="613" w:type="dxa"/>
            <w:vAlign w:val="center"/>
          </w:tcPr>
          <w:p w:rsidR="00ED3E9D" w:rsidRDefault="00ED3E9D" w:rsidP="00F80A9F">
            <w:pPr>
              <w:jc w:val="right"/>
              <w:rPr>
                <w:sz w:val="20"/>
              </w:rPr>
            </w:pPr>
            <w:r>
              <w:rPr>
                <w:sz w:val="20"/>
              </w:rPr>
              <w:t>268</w:t>
            </w:r>
          </w:p>
        </w:tc>
        <w:tc>
          <w:tcPr>
            <w:tcW w:w="959" w:type="dxa"/>
            <w:vAlign w:val="center"/>
          </w:tcPr>
          <w:p w:rsidR="00ED3E9D" w:rsidRDefault="00ED3E9D" w:rsidP="00F80A9F">
            <w:pPr>
              <w:jc w:val="right"/>
              <w:rPr>
                <w:sz w:val="20"/>
              </w:rPr>
            </w:pPr>
            <w:r>
              <w:rPr>
                <w:sz w:val="20"/>
              </w:rPr>
              <w:t>178</w:t>
            </w:r>
          </w:p>
        </w:tc>
        <w:tc>
          <w:tcPr>
            <w:tcW w:w="646" w:type="dxa"/>
            <w:vAlign w:val="center"/>
          </w:tcPr>
          <w:p w:rsidR="00ED3E9D" w:rsidRDefault="00ED3E9D" w:rsidP="00F80A9F">
            <w:pPr>
              <w:jc w:val="right"/>
              <w:rPr>
                <w:sz w:val="20"/>
              </w:rPr>
            </w:pPr>
            <w:r>
              <w:rPr>
                <w:sz w:val="20"/>
              </w:rPr>
              <w:t>230</w:t>
            </w:r>
          </w:p>
        </w:tc>
        <w:tc>
          <w:tcPr>
            <w:tcW w:w="1132" w:type="dxa"/>
            <w:vAlign w:val="center"/>
          </w:tcPr>
          <w:p w:rsidR="00ED3E9D" w:rsidRDefault="00ED3E9D" w:rsidP="00F80A9F">
            <w:pPr>
              <w:jc w:val="right"/>
              <w:rPr>
                <w:sz w:val="20"/>
              </w:rPr>
            </w:pPr>
            <w:r>
              <w:rPr>
                <w:sz w:val="20"/>
              </w:rPr>
              <w:t>n/a</w:t>
            </w:r>
          </w:p>
        </w:tc>
        <w:tc>
          <w:tcPr>
            <w:tcW w:w="1177" w:type="dxa"/>
            <w:vAlign w:val="center"/>
          </w:tcPr>
          <w:p w:rsidR="00ED3E9D" w:rsidRDefault="00ED3E9D" w:rsidP="00F80A9F">
            <w:pPr>
              <w:jc w:val="right"/>
              <w:rPr>
                <w:sz w:val="20"/>
              </w:rPr>
            </w:pPr>
            <w:r>
              <w:rPr>
                <w:sz w:val="20"/>
              </w:rPr>
              <w:t>n/a</w:t>
            </w:r>
          </w:p>
        </w:tc>
        <w:tc>
          <w:tcPr>
            <w:tcW w:w="960" w:type="dxa"/>
            <w:vAlign w:val="center"/>
          </w:tcPr>
          <w:p w:rsidR="00ED3E9D" w:rsidRDefault="00ED3E9D" w:rsidP="00F80A9F">
            <w:pPr>
              <w:jc w:val="right"/>
              <w:rPr>
                <w:sz w:val="20"/>
              </w:rPr>
            </w:pPr>
            <w:r>
              <w:rPr>
                <w:sz w:val="20"/>
              </w:rPr>
              <w:t>$62,814</w:t>
            </w:r>
          </w:p>
        </w:tc>
        <w:tc>
          <w:tcPr>
            <w:tcW w:w="1872" w:type="dxa"/>
            <w:vAlign w:val="center"/>
          </w:tcPr>
          <w:p w:rsidR="00ED3E9D" w:rsidRDefault="00ED3E9D" w:rsidP="00F80A9F">
            <w:pPr>
              <w:jc w:val="right"/>
              <w:rPr>
                <w:sz w:val="20"/>
              </w:rPr>
            </w:pPr>
            <w:r>
              <w:rPr>
                <w:sz w:val="20"/>
              </w:rPr>
              <w:t>n/a</w:t>
            </w:r>
          </w:p>
        </w:tc>
        <w:tc>
          <w:tcPr>
            <w:tcW w:w="1890" w:type="dxa"/>
            <w:vAlign w:val="center"/>
          </w:tcPr>
          <w:p w:rsidR="00ED3E9D" w:rsidRDefault="00ED3E9D" w:rsidP="00F80A9F">
            <w:pPr>
              <w:jc w:val="right"/>
              <w:rPr>
                <w:sz w:val="20"/>
              </w:rPr>
            </w:pPr>
            <w:r>
              <w:rPr>
                <w:sz w:val="20"/>
              </w:rPr>
              <w:t>n/a</w:t>
            </w:r>
          </w:p>
        </w:tc>
      </w:tr>
      <w:tr w:rsidR="00ED3E9D" w:rsidTr="00F80A9F">
        <w:trPr>
          <w:trHeight w:val="215"/>
        </w:trPr>
        <w:tc>
          <w:tcPr>
            <w:tcW w:w="1119" w:type="dxa"/>
            <w:vAlign w:val="center"/>
          </w:tcPr>
          <w:p w:rsidR="00ED3E9D" w:rsidRDefault="00ED3E9D" w:rsidP="00F80A9F">
            <w:pPr>
              <w:jc w:val="right"/>
              <w:rPr>
                <w:sz w:val="20"/>
              </w:rPr>
            </w:pPr>
            <w:r>
              <w:rPr>
                <w:sz w:val="20"/>
              </w:rPr>
              <w:t>Increases</w:t>
            </w:r>
          </w:p>
        </w:tc>
        <w:tc>
          <w:tcPr>
            <w:tcW w:w="613" w:type="dxa"/>
            <w:vAlign w:val="center"/>
          </w:tcPr>
          <w:p w:rsidR="00ED3E9D" w:rsidRDefault="00ED3E9D" w:rsidP="00F80A9F">
            <w:pPr>
              <w:jc w:val="right"/>
              <w:rPr>
                <w:sz w:val="20"/>
              </w:rPr>
            </w:pPr>
            <w:r>
              <w:rPr>
                <w:sz w:val="20"/>
              </w:rPr>
              <w:t>28</w:t>
            </w:r>
          </w:p>
        </w:tc>
        <w:tc>
          <w:tcPr>
            <w:tcW w:w="959" w:type="dxa"/>
            <w:vAlign w:val="center"/>
          </w:tcPr>
          <w:p w:rsidR="00ED3E9D" w:rsidRDefault="00ED3E9D" w:rsidP="00F80A9F">
            <w:pPr>
              <w:jc w:val="right"/>
              <w:rPr>
                <w:sz w:val="20"/>
              </w:rPr>
            </w:pPr>
            <w:r>
              <w:rPr>
                <w:sz w:val="20"/>
              </w:rPr>
              <w:t>16</w:t>
            </w:r>
          </w:p>
        </w:tc>
        <w:tc>
          <w:tcPr>
            <w:tcW w:w="646" w:type="dxa"/>
            <w:vAlign w:val="center"/>
          </w:tcPr>
          <w:p w:rsidR="00ED3E9D" w:rsidRDefault="00ED3E9D" w:rsidP="00F80A9F">
            <w:pPr>
              <w:jc w:val="right"/>
              <w:rPr>
                <w:sz w:val="20"/>
              </w:rPr>
            </w:pPr>
            <w:r>
              <w:rPr>
                <w:sz w:val="20"/>
              </w:rPr>
              <w:t>14</w:t>
            </w:r>
          </w:p>
        </w:tc>
        <w:tc>
          <w:tcPr>
            <w:tcW w:w="1132" w:type="dxa"/>
            <w:vAlign w:val="center"/>
          </w:tcPr>
          <w:p w:rsidR="00ED3E9D" w:rsidRDefault="00ED3E9D" w:rsidP="00F80A9F">
            <w:pPr>
              <w:jc w:val="right"/>
              <w:rPr>
                <w:sz w:val="20"/>
              </w:rPr>
            </w:pPr>
            <w:r>
              <w:rPr>
                <w:sz w:val="20"/>
              </w:rPr>
              <w:t>$2,547</w:t>
            </w:r>
          </w:p>
        </w:tc>
        <w:tc>
          <w:tcPr>
            <w:tcW w:w="1177" w:type="dxa"/>
            <w:vAlign w:val="center"/>
          </w:tcPr>
          <w:p w:rsidR="00ED3E9D" w:rsidRDefault="00ED3E9D" w:rsidP="00F80A9F">
            <w:pPr>
              <w:jc w:val="right"/>
              <w:rPr>
                <w:sz w:val="20"/>
              </w:rPr>
            </w:pPr>
            <w:r>
              <w:rPr>
                <w:sz w:val="20"/>
              </w:rPr>
              <w:t>2,453</w:t>
            </w:r>
          </w:p>
        </w:tc>
        <w:tc>
          <w:tcPr>
            <w:tcW w:w="960" w:type="dxa"/>
            <w:vAlign w:val="center"/>
          </w:tcPr>
          <w:p w:rsidR="00ED3E9D" w:rsidRDefault="00ED3E9D" w:rsidP="00F80A9F">
            <w:pPr>
              <w:jc w:val="right"/>
              <w:rPr>
                <w:sz w:val="20"/>
              </w:rPr>
            </w:pPr>
            <w:r>
              <w:rPr>
                <w:sz w:val="20"/>
              </w:rPr>
              <w:t>$5,000</w:t>
            </w:r>
          </w:p>
        </w:tc>
        <w:tc>
          <w:tcPr>
            <w:tcW w:w="1872" w:type="dxa"/>
            <w:vAlign w:val="center"/>
          </w:tcPr>
          <w:p w:rsidR="00ED3E9D" w:rsidRDefault="00ED3E9D" w:rsidP="00F80A9F">
            <w:pPr>
              <w:jc w:val="right"/>
              <w:rPr>
                <w:sz w:val="20"/>
              </w:rPr>
            </w:pPr>
            <w:r>
              <w:rPr>
                <w:sz w:val="20"/>
              </w:rPr>
              <w:t>$4,697</w:t>
            </w:r>
          </w:p>
        </w:tc>
        <w:tc>
          <w:tcPr>
            <w:tcW w:w="1890" w:type="dxa"/>
            <w:vAlign w:val="center"/>
          </w:tcPr>
          <w:p w:rsidR="00ED3E9D" w:rsidRDefault="00ED3E9D" w:rsidP="00F80A9F">
            <w:pPr>
              <w:jc w:val="right"/>
              <w:rPr>
                <w:sz w:val="20"/>
              </w:rPr>
            </w:pPr>
            <w:r>
              <w:rPr>
                <w:sz w:val="20"/>
              </w:rPr>
              <w:t>$441</w:t>
            </w:r>
          </w:p>
        </w:tc>
      </w:tr>
      <w:tr w:rsidR="00ED3E9D" w:rsidTr="00F80A9F">
        <w:trPr>
          <w:trHeight w:val="215"/>
        </w:trPr>
        <w:tc>
          <w:tcPr>
            <w:tcW w:w="1119" w:type="dxa"/>
            <w:vAlign w:val="center"/>
          </w:tcPr>
          <w:p w:rsidR="00ED3E9D" w:rsidRDefault="00ED3E9D" w:rsidP="00F80A9F">
            <w:pPr>
              <w:jc w:val="right"/>
              <w:rPr>
                <w:sz w:val="20"/>
              </w:rPr>
            </w:pPr>
            <w:r>
              <w:rPr>
                <w:sz w:val="20"/>
              </w:rPr>
              <w:t>Grand Total</w:t>
            </w:r>
          </w:p>
        </w:tc>
        <w:tc>
          <w:tcPr>
            <w:tcW w:w="613" w:type="dxa"/>
            <w:vAlign w:val="center"/>
          </w:tcPr>
          <w:p w:rsidR="00ED3E9D" w:rsidRDefault="00ED3E9D" w:rsidP="00F80A9F">
            <w:pPr>
              <w:jc w:val="right"/>
              <w:rPr>
                <w:sz w:val="20"/>
              </w:rPr>
            </w:pPr>
            <w:r>
              <w:rPr>
                <w:sz w:val="20"/>
              </w:rPr>
              <w:t>296</w:t>
            </w:r>
          </w:p>
        </w:tc>
        <w:tc>
          <w:tcPr>
            <w:tcW w:w="959" w:type="dxa"/>
            <w:vAlign w:val="center"/>
          </w:tcPr>
          <w:p w:rsidR="00ED3E9D" w:rsidRDefault="00ED3E9D" w:rsidP="00F80A9F">
            <w:pPr>
              <w:jc w:val="right"/>
              <w:rPr>
                <w:sz w:val="20"/>
              </w:rPr>
            </w:pPr>
            <w:r>
              <w:rPr>
                <w:sz w:val="20"/>
              </w:rPr>
              <w:t>194</w:t>
            </w:r>
          </w:p>
        </w:tc>
        <w:tc>
          <w:tcPr>
            <w:tcW w:w="646" w:type="dxa"/>
            <w:vAlign w:val="center"/>
          </w:tcPr>
          <w:p w:rsidR="00ED3E9D" w:rsidRDefault="00ED3E9D" w:rsidP="00F80A9F">
            <w:pPr>
              <w:jc w:val="right"/>
              <w:rPr>
                <w:sz w:val="20"/>
              </w:rPr>
            </w:pPr>
            <w:r>
              <w:rPr>
                <w:sz w:val="20"/>
              </w:rPr>
              <w:t>244</w:t>
            </w:r>
          </w:p>
        </w:tc>
        <w:tc>
          <w:tcPr>
            <w:tcW w:w="1132" w:type="dxa"/>
            <w:vAlign w:val="center"/>
          </w:tcPr>
          <w:p w:rsidR="00ED3E9D" w:rsidRDefault="00ED3E9D" w:rsidP="00F80A9F">
            <w:pPr>
              <w:jc w:val="right"/>
              <w:rPr>
                <w:sz w:val="20"/>
              </w:rPr>
            </w:pPr>
            <w:r>
              <w:rPr>
                <w:sz w:val="20"/>
              </w:rPr>
              <w:t>$2,547</w:t>
            </w:r>
          </w:p>
        </w:tc>
        <w:tc>
          <w:tcPr>
            <w:tcW w:w="1177" w:type="dxa"/>
            <w:vAlign w:val="center"/>
          </w:tcPr>
          <w:p w:rsidR="00ED3E9D" w:rsidRDefault="00ED3E9D" w:rsidP="00F80A9F">
            <w:pPr>
              <w:jc w:val="right"/>
              <w:rPr>
                <w:sz w:val="20"/>
              </w:rPr>
            </w:pPr>
            <w:r>
              <w:rPr>
                <w:sz w:val="20"/>
              </w:rPr>
              <w:t>$2,453</w:t>
            </w:r>
          </w:p>
        </w:tc>
        <w:tc>
          <w:tcPr>
            <w:tcW w:w="960" w:type="dxa"/>
            <w:vAlign w:val="center"/>
          </w:tcPr>
          <w:p w:rsidR="00ED3E9D" w:rsidRDefault="00ED3E9D" w:rsidP="00F80A9F">
            <w:pPr>
              <w:jc w:val="right"/>
              <w:rPr>
                <w:sz w:val="20"/>
              </w:rPr>
            </w:pPr>
            <w:r>
              <w:rPr>
                <w:sz w:val="20"/>
              </w:rPr>
              <w:t>$67,814</w:t>
            </w:r>
          </w:p>
        </w:tc>
        <w:tc>
          <w:tcPr>
            <w:tcW w:w="1872" w:type="dxa"/>
            <w:vAlign w:val="center"/>
          </w:tcPr>
          <w:p w:rsidR="00ED3E9D" w:rsidRDefault="00ED3E9D" w:rsidP="00F80A9F">
            <w:pPr>
              <w:jc w:val="right"/>
              <w:rPr>
                <w:sz w:val="20"/>
              </w:rPr>
            </w:pPr>
            <w:r>
              <w:rPr>
                <w:sz w:val="20"/>
              </w:rPr>
              <w:t>$4,697</w:t>
            </w:r>
          </w:p>
        </w:tc>
        <w:tc>
          <w:tcPr>
            <w:tcW w:w="1890" w:type="dxa"/>
            <w:vAlign w:val="center"/>
          </w:tcPr>
          <w:p w:rsidR="00ED3E9D" w:rsidRDefault="00ED3E9D" w:rsidP="00F80A9F">
            <w:pPr>
              <w:jc w:val="right"/>
              <w:rPr>
                <w:sz w:val="20"/>
              </w:rPr>
            </w:pPr>
            <w:r>
              <w:rPr>
                <w:sz w:val="20"/>
              </w:rPr>
              <w:t>$441</w:t>
            </w:r>
          </w:p>
        </w:tc>
      </w:tr>
    </w:tbl>
    <w:p w:rsidR="00ED3E9D" w:rsidRDefault="00ED3E9D" w:rsidP="00ED3E9D">
      <w:pPr>
        <w:pStyle w:val="Footer"/>
        <w:tabs>
          <w:tab w:val="clear" w:pos="8640"/>
          <w:tab w:val="left" w:leader="dot" w:pos="4320"/>
        </w:tabs>
        <w:jc w:val="center"/>
        <w:rPr>
          <w:rFonts w:ascii="Times New Roman" w:hAnsi="Times New Roman"/>
          <w:b/>
          <w:sz w:val="36"/>
        </w:rPr>
      </w:pPr>
    </w:p>
    <w:p w:rsidR="00E94641" w:rsidRDefault="00E94641" w:rsidP="00ED3E9D">
      <w:pPr>
        <w:spacing w:after="200" w:line="276" w:lineRule="auto"/>
        <w:rPr>
          <w:b/>
        </w:rPr>
      </w:pPr>
    </w:p>
    <w:p w:rsidR="004305CE" w:rsidRDefault="004305CE">
      <w:pPr>
        <w:rPr>
          <w:b/>
        </w:rPr>
      </w:pPr>
      <w:r>
        <w:rPr>
          <w:b/>
        </w:rPr>
        <w:br w:type="page"/>
      </w:r>
    </w:p>
    <w:p w:rsidR="00ED3E9D" w:rsidRDefault="00ED3E9D" w:rsidP="00ED3E9D">
      <w:pPr>
        <w:spacing w:after="200" w:line="276" w:lineRule="auto"/>
      </w:pPr>
      <w:r w:rsidRPr="00534DCF">
        <w:rPr>
          <w:b/>
        </w:rPr>
        <w:lastRenderedPageBreak/>
        <w:t>Item Name:</w:t>
      </w:r>
      <w:r w:rsidRPr="00534DCF">
        <w:t xml:space="preserve"> </w:t>
      </w:r>
      <w:r>
        <w:tab/>
      </w:r>
      <w:r>
        <w:tab/>
      </w:r>
      <w:r>
        <w:tab/>
      </w:r>
      <w:r>
        <w:tab/>
      </w:r>
      <w:bookmarkStart w:id="36" w:name="IPE"/>
      <w:r w:rsidRPr="000672C6">
        <w:rPr>
          <w:b/>
          <w:u w:val="single"/>
        </w:rPr>
        <w:t>Intellectual Property Enforcement</w:t>
      </w:r>
      <w:bookmarkEnd w:id="36"/>
    </w:p>
    <w:p w:rsidR="00ED3E9D" w:rsidRPr="00534DCF" w:rsidRDefault="00ED3E9D" w:rsidP="00ED3E9D"/>
    <w:p w:rsidR="00ED3E9D" w:rsidRDefault="00ED3E9D" w:rsidP="00ED3E9D">
      <w:r>
        <w:t>Budget Decision Unit</w:t>
      </w:r>
      <w:r w:rsidRPr="00534DCF">
        <w:t xml:space="preserve">:  </w:t>
      </w:r>
      <w:r>
        <w:tab/>
      </w:r>
      <w:r>
        <w:tab/>
      </w:r>
      <w:r w:rsidRPr="007502CD">
        <w:rPr>
          <w:u w:val="single"/>
        </w:rPr>
        <w:t>Enforcing Federal Criminal Laws</w:t>
      </w:r>
    </w:p>
    <w:p w:rsidR="00ED3E9D" w:rsidRPr="00534DCF" w:rsidRDefault="00ED3E9D" w:rsidP="00ED3E9D"/>
    <w:p w:rsidR="00ED3E9D" w:rsidRPr="002B78B1" w:rsidRDefault="00ED3E9D" w:rsidP="00ED3E9D">
      <w:pPr>
        <w:ind w:left="3600" w:hanging="3600"/>
      </w:pPr>
      <w:r w:rsidRPr="00534DCF">
        <w:t xml:space="preserve">Strategic Goal(s) &amp; Objective(s): </w:t>
      </w:r>
      <w:r>
        <w:tab/>
      </w:r>
      <w:r w:rsidRPr="002B78B1">
        <w:rPr>
          <w:u w:val="single"/>
        </w:rPr>
        <w:t>Goal 2: Prevent Crime, Protect the Rights of the American People, and Enforce Federal Law</w:t>
      </w:r>
    </w:p>
    <w:p w:rsidR="00ED3E9D" w:rsidRPr="007502CD" w:rsidRDefault="00ED3E9D" w:rsidP="00ED3E9D">
      <w:pPr>
        <w:ind w:left="3600" w:hanging="3600"/>
        <w:rPr>
          <w:u w:val="single"/>
        </w:rPr>
      </w:pPr>
      <w:r w:rsidRPr="002B78B1">
        <w:tab/>
      </w:r>
      <w:r w:rsidRPr="002B78B1">
        <w:rPr>
          <w:u w:val="single"/>
        </w:rPr>
        <w:t>Objective 2.4: Combat</w:t>
      </w:r>
      <w:r w:rsidRPr="007502CD">
        <w:rPr>
          <w:u w:val="single"/>
        </w:rPr>
        <w:t xml:space="preserve"> corruption, economic crimes, and international organized crime</w:t>
      </w:r>
    </w:p>
    <w:p w:rsidR="00ED3E9D" w:rsidRPr="00534DCF" w:rsidRDefault="00ED3E9D" w:rsidP="00ED3E9D">
      <w:r w:rsidRPr="00534DCF">
        <w:t xml:space="preserve">                                 </w:t>
      </w:r>
    </w:p>
    <w:p w:rsidR="00ED3E9D" w:rsidRPr="00534DCF" w:rsidRDefault="00ED3E9D" w:rsidP="00ED3E9D">
      <w:r w:rsidRPr="00534DCF">
        <w:t xml:space="preserve">Organizational Program: </w:t>
      </w:r>
      <w:r>
        <w:tab/>
      </w:r>
      <w:r>
        <w:tab/>
      </w:r>
      <w:r w:rsidRPr="007502CD">
        <w:rPr>
          <w:u w:val="single"/>
        </w:rPr>
        <w:t>Criminal Division</w:t>
      </w:r>
      <w:r w:rsidRPr="00534DCF">
        <w:t xml:space="preserve"> </w:t>
      </w:r>
    </w:p>
    <w:p w:rsidR="00ED3E9D" w:rsidRDefault="00ED3E9D" w:rsidP="00ED3E9D"/>
    <w:p w:rsidR="00ED3E9D" w:rsidRPr="0042723A" w:rsidRDefault="00ED3E9D" w:rsidP="00ED3E9D">
      <w:pPr>
        <w:rPr>
          <w:u w:val="single"/>
        </w:rPr>
      </w:pPr>
      <w:r w:rsidRPr="00534DCF">
        <w:t xml:space="preserve">Component Ranking of Item:        </w:t>
      </w:r>
      <w:r>
        <w:tab/>
      </w:r>
      <w:r w:rsidRPr="0042723A">
        <w:rPr>
          <w:u w:val="single"/>
        </w:rPr>
        <w:t>3 of 3</w:t>
      </w:r>
    </w:p>
    <w:p w:rsidR="00ED3E9D" w:rsidRDefault="00ED3E9D" w:rsidP="00ED3E9D"/>
    <w:p w:rsidR="00ED3E9D" w:rsidRPr="00534DCF" w:rsidRDefault="00ED3E9D" w:rsidP="00ED3E9D">
      <w:pPr>
        <w:ind w:left="3600" w:hanging="3600"/>
      </w:pPr>
      <w:r w:rsidRPr="00534DCF">
        <w:t xml:space="preserve">Program Increase:   </w:t>
      </w:r>
      <w:r>
        <w:tab/>
      </w:r>
      <w:r w:rsidRPr="00534DCF">
        <w:t>Positions</w:t>
      </w:r>
      <w:r>
        <w:t xml:space="preserve"> </w:t>
      </w:r>
      <w:r w:rsidRPr="002A5C9F">
        <w:rPr>
          <w:u w:val="single"/>
        </w:rPr>
        <w:t>1</w:t>
      </w:r>
      <w:r>
        <w:rPr>
          <w:u w:val="single"/>
        </w:rPr>
        <w:t>1</w:t>
      </w:r>
      <w:r>
        <w:t xml:space="preserve">  </w:t>
      </w:r>
      <w:r w:rsidRPr="00534DCF">
        <w:t xml:space="preserve">  </w:t>
      </w:r>
      <w:proofErr w:type="spellStart"/>
      <w:r w:rsidRPr="00534DCF">
        <w:t>Atty</w:t>
      </w:r>
      <w:proofErr w:type="spellEnd"/>
      <w:r w:rsidRPr="00534DCF">
        <w:t xml:space="preserve"> </w:t>
      </w:r>
      <w:proofErr w:type="gramStart"/>
      <w:r>
        <w:t>7</w:t>
      </w:r>
      <w:r w:rsidRPr="00534DCF">
        <w:t xml:space="preserve">  FTE</w:t>
      </w:r>
      <w:proofErr w:type="gramEnd"/>
      <w:r w:rsidRPr="00534DCF">
        <w:t xml:space="preserve"> </w:t>
      </w:r>
      <w:r>
        <w:t>6</w:t>
      </w:r>
      <w:r w:rsidRPr="00534DCF">
        <w:t xml:space="preserve">  Dollars  </w:t>
      </w:r>
      <w:r w:rsidRPr="00534DCF">
        <w:rPr>
          <w:u w:val="single"/>
        </w:rPr>
        <w:t>$</w:t>
      </w:r>
      <w:r>
        <w:rPr>
          <w:u w:val="single"/>
        </w:rPr>
        <w:t>3</w:t>
      </w:r>
      <w:r w:rsidRPr="00534DCF">
        <w:rPr>
          <w:u w:val="single"/>
        </w:rPr>
        <w:t>,</w:t>
      </w:r>
      <w:r>
        <w:rPr>
          <w:u w:val="single"/>
        </w:rPr>
        <w:t>5</w:t>
      </w:r>
      <w:r w:rsidRPr="00534DCF">
        <w:rPr>
          <w:u w:val="single"/>
        </w:rPr>
        <w:t>00,000</w:t>
      </w:r>
    </w:p>
    <w:p w:rsidR="00ED3E9D" w:rsidRDefault="00ED3E9D" w:rsidP="00ED3E9D"/>
    <w:p w:rsidR="00ED3E9D" w:rsidRPr="00534DCF" w:rsidRDefault="00ED3E9D" w:rsidP="00ED3E9D">
      <w:pPr>
        <w:rPr>
          <w:u w:val="single"/>
        </w:rPr>
      </w:pPr>
      <w:r w:rsidRPr="00534DCF">
        <w:rPr>
          <w:u w:val="single"/>
        </w:rPr>
        <w:t>Description of Item</w:t>
      </w:r>
    </w:p>
    <w:p w:rsidR="00ED3E9D" w:rsidRDefault="00ED3E9D" w:rsidP="00ED3E9D"/>
    <w:p w:rsidR="00ED3E9D" w:rsidRPr="00534DCF" w:rsidRDefault="00ED3E9D" w:rsidP="00ED3E9D">
      <w:r w:rsidRPr="00534DCF">
        <w:t xml:space="preserve">The Criminal Division requests an enhancement of </w:t>
      </w:r>
      <w:r>
        <w:t xml:space="preserve">11 positions (including 7 attorneys), 6 FTE, </w:t>
      </w:r>
      <w:r w:rsidRPr="00534DCF">
        <w:t>and $</w:t>
      </w:r>
      <w:r>
        <w:t>3,</w:t>
      </w:r>
      <w:r w:rsidRPr="00534DCF">
        <w:t xml:space="preserve">500,000 to place </w:t>
      </w:r>
      <w:r>
        <w:t>four</w:t>
      </w:r>
      <w:r w:rsidRPr="00534DCF">
        <w:t xml:space="preserve"> DOJ Attachés overseas to fight transnational crime, with particular emphasis on intellectual property crime.  These DOJ Attachés will serve as regional International Computer Hacking and Intellectual Property coordinators (ICHIPs) and will be well</w:t>
      </w:r>
      <w:r>
        <w:t xml:space="preserve"> </w:t>
      </w:r>
      <w:r w:rsidRPr="00534DCF">
        <w:t>positioned to combat the increasing threat of transnational intellectual property crime.</w:t>
      </w:r>
      <w:r>
        <w:t xml:space="preserve">  The Criminal Division also requests that a portion of this enhancement be used to increase the capacity of the Division’s domestic IP program to provide critical support to the ICHIP/Attachés and ensure the </w:t>
      </w:r>
      <w:r w:rsidRPr="00E5605B">
        <w:t>coordinated use of ICHIP resources overseas.</w:t>
      </w:r>
      <w:r>
        <w:t xml:space="preserve">  </w:t>
      </w:r>
    </w:p>
    <w:p w:rsidR="00ED3E9D" w:rsidRDefault="00ED3E9D" w:rsidP="00ED3E9D"/>
    <w:p w:rsidR="00ED3E9D" w:rsidRPr="00534DCF" w:rsidRDefault="00ED3E9D" w:rsidP="00ED3E9D">
      <w:pPr>
        <w:rPr>
          <w:u w:val="single"/>
        </w:rPr>
      </w:pPr>
      <w:r w:rsidRPr="00534DCF">
        <w:rPr>
          <w:u w:val="single"/>
        </w:rPr>
        <w:t>Justification</w:t>
      </w:r>
    </w:p>
    <w:p w:rsidR="00ED3E9D" w:rsidRDefault="00ED3E9D" w:rsidP="00ED3E9D"/>
    <w:p w:rsidR="00ED3E9D" w:rsidRPr="003A569C" w:rsidRDefault="001A225A" w:rsidP="00ED3E9D">
      <w:r>
        <w:t>P</w:t>
      </w:r>
      <w:r w:rsidR="00ED3E9D" w:rsidRPr="003A569C">
        <w:t xml:space="preserve">rotecting </w:t>
      </w:r>
      <w:r w:rsidR="00ED3E9D">
        <w:t>intellectual property</w:t>
      </w:r>
      <w:r w:rsidR="00ED3E9D" w:rsidRPr="003A569C">
        <w:t xml:space="preserve"> rights is essential to safeguarding confidence in our economy, creating economic growth, and ensuring integrity, fairness, and competitiveness in the global marketplace.  In today’s environment, however, where </w:t>
      </w:r>
      <w:r w:rsidR="00ED3E9D" w:rsidRPr="00D15A81">
        <w:t xml:space="preserve">virtually every significant </w:t>
      </w:r>
      <w:r w:rsidR="00ED3E9D">
        <w:t>intellectual property</w:t>
      </w:r>
      <w:r w:rsidR="00ED3E9D" w:rsidRPr="00D15A81">
        <w:t xml:space="preserve"> crime investigated and prosecuted in the United States has an international component, it is impossible</w:t>
      </w:r>
      <w:r w:rsidR="00ED3E9D" w:rsidRPr="003A569C">
        <w:t xml:space="preserve"> to address </w:t>
      </w:r>
      <w:r w:rsidR="00ED3E9D">
        <w:t>intellectual property</w:t>
      </w:r>
      <w:r w:rsidR="00ED3E9D" w:rsidRPr="003A569C">
        <w:t xml:space="preserve"> crime adequately without significant and strong international engagement. </w:t>
      </w:r>
    </w:p>
    <w:p w:rsidR="00ED3E9D" w:rsidRDefault="00ED3E9D" w:rsidP="00ED3E9D">
      <w:r w:rsidRPr="00534DCF">
        <w:t xml:space="preserve">   </w:t>
      </w:r>
    </w:p>
    <w:p w:rsidR="00ED3E9D" w:rsidRDefault="00ED3E9D" w:rsidP="00ED3E9D">
      <w:r>
        <w:t>The Department of Justice has long recognized that intellectual property crime, including offenses involving copyright, trademarks and trade secrets, among others, not only has a significant international component but in many cases also has a substantial overlap with other economic crimes, including those related to cyber offenses, money laundering and tax evasion, and smuggling</w:t>
      </w:r>
      <w:r w:rsidRPr="00534DCF">
        <w:t xml:space="preserve">.  </w:t>
      </w:r>
      <w:r w:rsidRPr="003A569C">
        <w:t xml:space="preserve">Because the vast majority of </w:t>
      </w:r>
      <w:r>
        <w:t>intellectual property</w:t>
      </w:r>
      <w:r w:rsidRPr="003A569C">
        <w:t xml:space="preserve"> </w:t>
      </w:r>
      <w:r>
        <w:t xml:space="preserve">and other computer </w:t>
      </w:r>
      <w:r w:rsidRPr="003A569C">
        <w:t>crime</w:t>
      </w:r>
      <w:r>
        <w:t>s</w:t>
      </w:r>
      <w:r w:rsidRPr="003A569C">
        <w:t xml:space="preserve"> originate in other countries, the Department has made its efforts to strengthen international law enforcement relationships a top priority</w:t>
      </w:r>
      <w:r>
        <w:t>.</w:t>
      </w:r>
      <w:r w:rsidRPr="003A569C">
        <w:t xml:space="preserve"> </w:t>
      </w:r>
    </w:p>
    <w:p w:rsidR="00ED3E9D" w:rsidRDefault="00ED3E9D" w:rsidP="00ED3E9D"/>
    <w:p w:rsidR="00ED3E9D" w:rsidRDefault="00ED3E9D" w:rsidP="00ED3E9D">
      <w:r>
        <w:t>T</w:t>
      </w:r>
      <w:r w:rsidRPr="00534DCF">
        <w:t xml:space="preserve">he Department </w:t>
      </w:r>
      <w:r>
        <w:t xml:space="preserve">has </w:t>
      </w:r>
      <w:r w:rsidRPr="003A569C">
        <w:t>collaborat</w:t>
      </w:r>
      <w:r>
        <w:t xml:space="preserve">ed </w:t>
      </w:r>
      <w:r w:rsidRPr="003A569C">
        <w:t xml:space="preserve">with other U.S. agencies and foreign law enforcement counterparts </w:t>
      </w:r>
      <w:r w:rsidRPr="00534DCF">
        <w:t xml:space="preserve">to address international intellectual property crime </w:t>
      </w:r>
      <w:r>
        <w:t>through</w:t>
      </w:r>
      <w:r w:rsidRPr="00534DCF">
        <w:t xml:space="preserve"> a combination of joint </w:t>
      </w:r>
      <w:r>
        <w:t xml:space="preserve">criminal enforcement operations, </w:t>
      </w:r>
      <w:r w:rsidRPr="00534DCF">
        <w:t xml:space="preserve">case referrals for foreign </w:t>
      </w:r>
      <w:r>
        <w:t xml:space="preserve">investigations and </w:t>
      </w:r>
      <w:r w:rsidRPr="00534DCF">
        <w:t xml:space="preserve">prosecutions, training </w:t>
      </w:r>
      <w:r>
        <w:t xml:space="preserve">and technical assistance programs for </w:t>
      </w:r>
      <w:r w:rsidRPr="00534DCF">
        <w:t>foreign law enforcement, judiciary</w:t>
      </w:r>
      <w:r>
        <w:t>,</w:t>
      </w:r>
      <w:r w:rsidRPr="00534DCF">
        <w:t xml:space="preserve"> </w:t>
      </w:r>
      <w:r>
        <w:t xml:space="preserve">and </w:t>
      </w:r>
      <w:r>
        <w:lastRenderedPageBreak/>
        <w:t>legislators</w:t>
      </w:r>
      <w:r w:rsidRPr="00534DCF">
        <w:t xml:space="preserve">, and engagement in bilateral and multi-lateral working groups </w:t>
      </w:r>
      <w:r>
        <w:t>that</w:t>
      </w:r>
      <w:r w:rsidRPr="00534DCF">
        <w:t xml:space="preserve"> address trademark counterfeiting and copyright piracy. </w:t>
      </w:r>
    </w:p>
    <w:p w:rsidR="00ED3E9D" w:rsidRDefault="00ED3E9D" w:rsidP="00ED3E9D"/>
    <w:p w:rsidR="00ED3E9D" w:rsidRDefault="00ED3E9D" w:rsidP="00ED3E9D">
      <w:r w:rsidRPr="00534DCF">
        <w:t xml:space="preserve">The Department has also worked vigorously to </w:t>
      </w:r>
      <w:r>
        <w:t>develop</w:t>
      </w:r>
      <w:r w:rsidRPr="00534DCF">
        <w:t xml:space="preserve"> international </w:t>
      </w:r>
      <w:r>
        <w:t xml:space="preserve">methods </w:t>
      </w:r>
      <w:r w:rsidRPr="00534DCF">
        <w:t>to address cybercrime through cooperative case work, rapid information sharing, and long-term engagement to train law enforcement and improve legal regimes to respond to the threat of Internet-based crime and the proliferation of electronic evidence in a wide range of offenses.</w:t>
      </w:r>
    </w:p>
    <w:p w:rsidR="00ED3E9D" w:rsidRPr="00534DCF" w:rsidRDefault="00ED3E9D" w:rsidP="00ED3E9D"/>
    <w:p w:rsidR="00ED3E9D" w:rsidRDefault="00ED3E9D" w:rsidP="00ED3E9D">
      <w:r>
        <w:t xml:space="preserve">Instances of </w:t>
      </w:r>
      <w:r w:rsidRPr="00534DCF">
        <w:t xml:space="preserve">international </w:t>
      </w:r>
      <w:r>
        <w:t>intellectual property</w:t>
      </w:r>
      <w:r w:rsidRPr="00534DCF">
        <w:t xml:space="preserve"> crime may be addressed effectively by direct contact between prosecutors and investigators</w:t>
      </w:r>
      <w:r>
        <w:t xml:space="preserve"> on specific cases.</w:t>
      </w:r>
      <w:r w:rsidRPr="00534DCF">
        <w:t xml:space="preserve"> </w:t>
      </w:r>
      <w:r>
        <w:t xml:space="preserve"> However, to address systemic and pervasive international intellectual property crime effectively, greater and more sustained engagement is essential.  For example, s</w:t>
      </w:r>
      <w:r w:rsidRPr="00534DCF">
        <w:t xml:space="preserve">ince 2006, </w:t>
      </w:r>
      <w:r>
        <w:t xml:space="preserve">through the Department’s Intellectual Property Law Enforcement Coordinator (IPLEC) Program, </w:t>
      </w:r>
      <w:r w:rsidRPr="00660485">
        <w:t xml:space="preserve">the Department has deployed experienced federal prosecutors overseas to take the lead on our </w:t>
      </w:r>
      <w:r>
        <w:t>intellectual property</w:t>
      </w:r>
      <w:r w:rsidRPr="00660485">
        <w:t xml:space="preserve"> protection efforts in key regions including Asia and, until March </w:t>
      </w:r>
      <w:r>
        <w:t>2011</w:t>
      </w:r>
      <w:r w:rsidRPr="00660485">
        <w:t xml:space="preserve"> (when State Department funding expired), Eastern Europe.</w:t>
      </w:r>
      <w:r w:rsidRPr="00660485">
        <w:rPr>
          <w:bCs/>
        </w:rPr>
        <w:t xml:space="preserve"> </w:t>
      </w:r>
      <w:r>
        <w:rPr>
          <w:bCs/>
        </w:rPr>
        <w:t xml:space="preserve"> </w:t>
      </w:r>
      <w:r>
        <w:t xml:space="preserve">Through the IPLEC program, </w:t>
      </w:r>
      <w:r w:rsidRPr="0026357B">
        <w:t xml:space="preserve">the Department has seen a substantial increase in foreign enforcement and cooperative casework </w:t>
      </w:r>
      <w:r>
        <w:t xml:space="preserve">where </w:t>
      </w:r>
      <w:r w:rsidRPr="0026357B">
        <w:t xml:space="preserve">U.S. law enforcement has </w:t>
      </w:r>
      <w:r>
        <w:t xml:space="preserve">had </w:t>
      </w:r>
      <w:r w:rsidRPr="0026357B">
        <w:t xml:space="preserve">a visible and ongoing presence in the most active countries or regions.  </w:t>
      </w:r>
      <w:r>
        <w:t>T</w:t>
      </w:r>
      <w:r w:rsidRPr="00534DCF">
        <w:t xml:space="preserve">his </w:t>
      </w:r>
      <w:r>
        <w:t>enhancement request</w:t>
      </w:r>
      <w:r w:rsidRPr="00534DCF">
        <w:t xml:space="preserve"> would allow for the expansion of the program to additiona</w:t>
      </w:r>
      <w:r>
        <w:t>l critical regions</w:t>
      </w:r>
      <w:r w:rsidRPr="00534DCF">
        <w:t xml:space="preserve"> and also cover the rapidly developing </w:t>
      </w:r>
      <w:r>
        <w:t xml:space="preserve">and overlapping </w:t>
      </w:r>
      <w:r w:rsidRPr="00534DCF">
        <w:t>area of international cybercrime.</w:t>
      </w:r>
    </w:p>
    <w:p w:rsidR="00ED3E9D" w:rsidRDefault="00ED3E9D" w:rsidP="00ED3E9D">
      <w:pPr>
        <w:rPr>
          <w:b/>
          <w:u w:val="single"/>
        </w:rPr>
      </w:pPr>
    </w:p>
    <w:p w:rsidR="00ED3E9D" w:rsidRPr="0065314F" w:rsidRDefault="00ED3E9D" w:rsidP="00ED3E9D">
      <w:pPr>
        <w:rPr>
          <w:b/>
          <w:u w:val="single"/>
        </w:rPr>
      </w:pPr>
      <w:r w:rsidRPr="0065314F">
        <w:rPr>
          <w:b/>
          <w:u w:val="single"/>
        </w:rPr>
        <w:t>ICHIPs/Attachés</w:t>
      </w:r>
    </w:p>
    <w:p w:rsidR="00ED3E9D" w:rsidRDefault="00ED3E9D" w:rsidP="00ED3E9D">
      <w:pPr>
        <w:rPr>
          <w:b/>
        </w:rPr>
      </w:pPr>
    </w:p>
    <w:p w:rsidR="00ED3E9D" w:rsidRPr="00534DCF" w:rsidRDefault="00ED3E9D" w:rsidP="00ED3E9D">
      <w:r>
        <w:t>The</w:t>
      </w:r>
      <w:r w:rsidRPr="00534DCF">
        <w:t xml:space="preserve"> Criminal Division </w:t>
      </w:r>
      <w:r>
        <w:t xml:space="preserve">has identified four </w:t>
      </w:r>
      <w:r w:rsidRPr="00534DCF">
        <w:t>important areas (in order of pr</w:t>
      </w:r>
      <w:r>
        <w:t xml:space="preserve">iority) for the placement of </w:t>
      </w:r>
      <w:r w:rsidRPr="00534DCF">
        <w:t>International Computer Hacking and Intellectual Property (ICHIP) Attaché</w:t>
      </w:r>
      <w:r>
        <w:t>s</w:t>
      </w:r>
      <w:r w:rsidRPr="00534DCF">
        <w:t xml:space="preserve">.  </w:t>
      </w:r>
      <w:r>
        <w:t>T</w:t>
      </w:r>
      <w:r w:rsidRPr="00534DCF">
        <w:t>he cross-designation of these positions as ICHIPs</w:t>
      </w:r>
      <w:r>
        <w:t>/</w:t>
      </w:r>
      <w:r w:rsidRPr="00534DCF">
        <w:t xml:space="preserve">DOJ Attachés is critical to the success of the Department’s overseas law enforcement mission.  The effectiveness of cross-designating the </w:t>
      </w:r>
      <w:r>
        <w:t>current Asia IPLEC/Attaché</w:t>
      </w:r>
      <w:r w:rsidRPr="00534DCF">
        <w:t xml:space="preserve"> position is well-documented and gives operational advantages not necessarily available to ICHIPs who do not also possess the DOJ Attaché designation.  For example, a DOJ Attaché has greater access to case files and resources because they are not perceived as doing </w:t>
      </w:r>
      <w:r>
        <w:t>intellectual property</w:t>
      </w:r>
      <w:r w:rsidRPr="00534DCF">
        <w:t xml:space="preserve"> work exclusively; ICHIPs</w:t>
      </w:r>
      <w:r>
        <w:t>, by contrast,</w:t>
      </w:r>
      <w:r w:rsidRPr="00534DCF">
        <w:t xml:space="preserve"> can be marginalized by foreign law enforcement if they are thought of as limited to one area of expertise.  Since </w:t>
      </w:r>
      <w:r>
        <w:t>intellectual property</w:t>
      </w:r>
      <w:r w:rsidRPr="00534DCF">
        <w:t xml:space="preserve"> crime often intersects with other types of cases, like international organized crime, the designation of these new positions as solely ICHIPs will hinder their effectiveness in fighting the </w:t>
      </w:r>
      <w:r>
        <w:t>intellectual property crime</w:t>
      </w:r>
      <w:r w:rsidRPr="00534DCF">
        <w:t xml:space="preserve"> threat.  </w:t>
      </w:r>
    </w:p>
    <w:p w:rsidR="00ED3E9D" w:rsidRPr="00534DCF" w:rsidRDefault="00ED3E9D" w:rsidP="00ED3E9D"/>
    <w:p w:rsidR="00ED3E9D" w:rsidRPr="00534DCF" w:rsidRDefault="00ED3E9D" w:rsidP="00ED3E9D">
      <w:r w:rsidRPr="00534DCF">
        <w:t xml:space="preserve">The Division plans to hire attorneys with a strong background in criminal prosecution who are capable of and invested in focusing on the </w:t>
      </w:r>
      <w:r>
        <w:t xml:space="preserve">intellectual property crime </w:t>
      </w:r>
      <w:r w:rsidRPr="00534DCF">
        <w:t>threat in these regions.  This approach will help ensure that the bulk of the ICHIP</w:t>
      </w:r>
      <w:r>
        <w:t>/Attaché</w:t>
      </w:r>
      <w:r w:rsidRPr="00534DCF">
        <w:t xml:space="preserve">s’ time and effort will contribute to the Department’s efforts against </w:t>
      </w:r>
      <w:r>
        <w:t>intellectual property</w:t>
      </w:r>
      <w:r w:rsidRPr="00534DCF">
        <w:t xml:space="preserve"> and </w:t>
      </w:r>
      <w:r>
        <w:t>c</w:t>
      </w:r>
      <w:r w:rsidRPr="00534DCF">
        <w:t>ybercrime.</w:t>
      </w:r>
    </w:p>
    <w:p w:rsidR="00ED3E9D" w:rsidRPr="0065314F" w:rsidRDefault="00ED3E9D" w:rsidP="00ED3E9D">
      <w:pPr>
        <w:rPr>
          <w:b/>
        </w:rPr>
      </w:pPr>
    </w:p>
    <w:p w:rsidR="00ED3E9D" w:rsidRDefault="00ED3E9D" w:rsidP="00ED3E9D">
      <w:r w:rsidRPr="00534DCF">
        <w:t>All foreign placements would be subject to approval of the State Department and individual embassies or consulates.</w:t>
      </w:r>
      <w:r>
        <w:t xml:space="preserve"> </w:t>
      </w:r>
      <w:r w:rsidRPr="00C01749">
        <w:t xml:space="preserve"> </w:t>
      </w:r>
      <w:r w:rsidRPr="00534DCF">
        <w:t xml:space="preserve">Since conditions in these regions could change, countries in these regions will remain under review and the Division (in consultation with the State Department and the </w:t>
      </w:r>
      <w:r>
        <w:t xml:space="preserve">White House’s </w:t>
      </w:r>
      <w:r w:rsidRPr="00534DCF">
        <w:t>I</w:t>
      </w:r>
      <w:r>
        <w:t xml:space="preserve">ntellectual </w:t>
      </w:r>
      <w:r w:rsidRPr="00534DCF">
        <w:t>P</w:t>
      </w:r>
      <w:r>
        <w:t xml:space="preserve">roperty </w:t>
      </w:r>
      <w:r w:rsidRPr="00534DCF">
        <w:t>E</w:t>
      </w:r>
      <w:r>
        <w:t xml:space="preserve">nforcement </w:t>
      </w:r>
      <w:r w:rsidRPr="00534DCF">
        <w:t>C</w:t>
      </w:r>
      <w:r>
        <w:t>oordinator</w:t>
      </w:r>
      <w:r w:rsidRPr="00534DCF">
        <w:t xml:space="preserve">) will make a final determination regarding the locations in all </w:t>
      </w:r>
      <w:r>
        <w:t>four</w:t>
      </w:r>
      <w:r w:rsidRPr="00534DCF">
        <w:t xml:space="preserve"> r</w:t>
      </w:r>
      <w:r>
        <w:t>egions if</w:t>
      </w:r>
      <w:r w:rsidRPr="00534DCF">
        <w:t xml:space="preserve"> the</w:t>
      </w:r>
      <w:r>
        <w:t>se</w:t>
      </w:r>
      <w:r w:rsidRPr="00534DCF">
        <w:t xml:space="preserve"> resources are </w:t>
      </w:r>
      <w:r>
        <w:t>funded.</w:t>
      </w:r>
    </w:p>
    <w:p w:rsidR="00ED3E9D" w:rsidRPr="00534DCF" w:rsidRDefault="00ED3E9D" w:rsidP="00ED3E9D"/>
    <w:p w:rsidR="00ED3E9D" w:rsidRPr="00A8752D" w:rsidRDefault="00ED3E9D" w:rsidP="00ED3E9D">
      <w:r w:rsidRPr="00A8752D">
        <w:rPr>
          <w:b/>
        </w:rPr>
        <w:lastRenderedPageBreak/>
        <w:t>China:</w:t>
      </w:r>
      <w:r w:rsidRPr="00A8752D">
        <w:rPr>
          <w:b/>
          <w:i/>
        </w:rPr>
        <w:t xml:space="preserve">  </w:t>
      </w:r>
      <w:r w:rsidRPr="00A8752D">
        <w:t>China continues to be the largest source of trademark counterfeiting and copyright piracy in the world and bears a direct or indirect relationship to the majority of economic espionage and federal trade secret prosecutions in the United States.  The Department has met with some success in developing joint investigations through the Intellectual Property Criminal Enforcement Working Group (IPCEWG) of the U.S.-China Joint Liaison Group for Law Enforcement Cooperation.  However, an ongoing presence in the country will move existing cases at a faster pace and greatly increase the ability to address new investigations and leads in a timely manner.</w:t>
      </w:r>
    </w:p>
    <w:p w:rsidR="00ED3E9D" w:rsidRPr="00A8752D" w:rsidRDefault="00ED3E9D" w:rsidP="00ED3E9D">
      <w:pPr>
        <w:rPr>
          <w:b/>
          <w:u w:val="single"/>
        </w:rPr>
      </w:pPr>
    </w:p>
    <w:p w:rsidR="00ED3E9D" w:rsidRPr="00A8752D" w:rsidRDefault="00ED3E9D" w:rsidP="00ED3E9D">
      <w:r w:rsidRPr="00A8752D">
        <w:rPr>
          <w:b/>
        </w:rPr>
        <w:t>Eastern Europe:</w:t>
      </w:r>
      <w:r w:rsidRPr="00A8752D">
        <w:rPr>
          <w:b/>
          <w:i/>
        </w:rPr>
        <w:t xml:space="preserve"> </w:t>
      </w:r>
      <w:r w:rsidRPr="00A8752D">
        <w:rPr>
          <w:b/>
        </w:rPr>
        <w:t xml:space="preserve"> </w:t>
      </w:r>
      <w:r w:rsidRPr="00A8752D">
        <w:t>There is a large amount of intellectual property and cybercrime in Eastern Europe.  Romania would serve as strong base of operations for Eastern Europe because of the significant intellectual property and cybercrime activity within the country and because of the close relationship that exists with Romanian law enforcement.  This position would build upon the strong foundation created by the State Department-funded IPLEC who was posted in Sofia, Bulgaria until March 2011.</w:t>
      </w:r>
    </w:p>
    <w:p w:rsidR="00ED3E9D" w:rsidRPr="00A8752D" w:rsidRDefault="00ED3E9D" w:rsidP="00ED3E9D">
      <w:pPr>
        <w:rPr>
          <w:b/>
          <w:u w:val="single"/>
        </w:rPr>
      </w:pPr>
    </w:p>
    <w:p w:rsidR="00ED3E9D" w:rsidRPr="00A8752D" w:rsidRDefault="00ED3E9D" w:rsidP="00ED3E9D">
      <w:r w:rsidRPr="00A8752D">
        <w:rPr>
          <w:b/>
        </w:rPr>
        <w:t>Latin America:</w:t>
      </w:r>
      <w:r w:rsidRPr="00A8752D">
        <w:rPr>
          <w:b/>
          <w:i/>
        </w:rPr>
        <w:t xml:space="preserve"> </w:t>
      </w:r>
      <w:r w:rsidRPr="00A8752D">
        <w:rPr>
          <w:b/>
        </w:rPr>
        <w:t xml:space="preserve"> </w:t>
      </w:r>
      <w:r w:rsidRPr="00A8752D">
        <w:t xml:space="preserve">South America has a tremendously high concentration of countries facing serious intellectual property challenges.  The 2012 U.S. Trade Representative’s (USTR) </w:t>
      </w:r>
      <w:r w:rsidRPr="00A8752D">
        <w:rPr>
          <w:i/>
        </w:rPr>
        <w:t>Special 301 Report</w:t>
      </w:r>
      <w:r w:rsidRPr="00A8752D">
        <w:t xml:space="preserve"> included Argentina, Chile and Venezuela on the </w:t>
      </w:r>
      <w:r w:rsidRPr="00A8752D">
        <w:rPr>
          <w:i/>
        </w:rPr>
        <w:t>Priority Watch List</w:t>
      </w:r>
      <w:r w:rsidRPr="00A8752D">
        <w:t xml:space="preserve">; Bolivia, Brazil, Colombia, Ecuador, and Peru on the </w:t>
      </w:r>
      <w:r w:rsidRPr="00A8752D">
        <w:rPr>
          <w:i/>
        </w:rPr>
        <w:t>Watch List</w:t>
      </w:r>
      <w:r w:rsidRPr="00A8752D">
        <w:t>, and Paraguay subject to monitoring pursuant to Section 306.  Likewise, there is extensive cybercrime in the region.  However, there is also strong interest from many governments in the region to improve enforcement efforts and electronic evidence collection.  Numerous Latin American countries, for example, have indicated interest in becoming Parties to the Budapest Convention on Cybercrime and in receiving practical enforcement assistance from the U.S.  An ICHIP/Attaché placed in Brazil or Argentina, for example, would be well positioned to guide the development of regional coordination of intellectual property and cybercrime enforcement efforts.  The ICHIP/Attaché would also provide a link between affected U.S. companies and law enforcement officials responsible for intellectual property and cyber enforcement in the region.</w:t>
      </w:r>
    </w:p>
    <w:p w:rsidR="00ED3E9D" w:rsidRPr="00A8752D" w:rsidRDefault="00ED3E9D" w:rsidP="00ED3E9D">
      <w:pPr>
        <w:rPr>
          <w:b/>
          <w:u w:val="single"/>
        </w:rPr>
      </w:pPr>
    </w:p>
    <w:p w:rsidR="00ED3E9D" w:rsidRPr="00A8752D" w:rsidRDefault="00ED3E9D" w:rsidP="00ED3E9D">
      <w:r w:rsidRPr="00A8752D">
        <w:rPr>
          <w:b/>
        </w:rPr>
        <w:t xml:space="preserve">South Asia: </w:t>
      </w:r>
      <w:r w:rsidRPr="00A8752D">
        <w:rPr>
          <w:i/>
        </w:rPr>
        <w:t xml:space="preserve"> </w:t>
      </w:r>
      <w:r w:rsidRPr="00A8752D">
        <w:t xml:space="preserve">The violation of intellectual property rights, particularly counterfeiting and copyright piracy, are ongoing problems in a number of South Asian countries.  India and Pakistan have each been listed on the USTR </w:t>
      </w:r>
      <w:r w:rsidRPr="00A8752D">
        <w:rPr>
          <w:i/>
        </w:rPr>
        <w:t>Special 301 Priority Watch List</w:t>
      </w:r>
      <w:r w:rsidRPr="00A8752D">
        <w:t xml:space="preserve"> for several years, and, after China, are two of the largest sources of manufacture for counterfeit and unauthorized pharmaceuticals.  The U.S. has invested in training law enforcement officials in Pakistan and investigators, prosecutors, and judges in India to improve the protection of intellectual property rights.  Additionally, South Asia has a burgeoning information technology industry and an increasingly electronically-sophisticated populace.  Growing cyber threats and terrorism investigations in that region require enhanced law enforcement relationships and training to increase investigations, as well as cooperation in those investigations, that rely heavily on electronic evidence.  A regional ICHIP/Attaché, most likely stationed at the U.S. Embassy in India, would substantially improve the opportunities to build on the foundation of training and develop joint cases. </w:t>
      </w:r>
    </w:p>
    <w:p w:rsidR="00ED3E9D" w:rsidRPr="000B285E" w:rsidRDefault="00ED3E9D" w:rsidP="00ED3E9D">
      <w:pPr>
        <w:rPr>
          <w:b/>
          <w:highlight w:val="yellow"/>
          <w:u w:val="single"/>
        </w:rPr>
      </w:pPr>
    </w:p>
    <w:p w:rsidR="00ED3E9D" w:rsidRPr="0065314F" w:rsidRDefault="00ED3E9D" w:rsidP="00ED3E9D">
      <w:pPr>
        <w:rPr>
          <w:b/>
          <w:u w:val="single"/>
        </w:rPr>
      </w:pPr>
      <w:r w:rsidRPr="0065314F">
        <w:rPr>
          <w:b/>
          <w:u w:val="single"/>
        </w:rPr>
        <w:t xml:space="preserve">Domestic </w:t>
      </w:r>
      <w:r>
        <w:rPr>
          <w:b/>
          <w:u w:val="single"/>
        </w:rPr>
        <w:t>Intellectual Property</w:t>
      </w:r>
      <w:r w:rsidRPr="0065314F">
        <w:rPr>
          <w:b/>
          <w:u w:val="single"/>
        </w:rPr>
        <w:t xml:space="preserve"> Program Support for ICHIP/Attachés</w:t>
      </w:r>
    </w:p>
    <w:p w:rsidR="00ED3E9D" w:rsidRPr="00534DCF" w:rsidRDefault="00ED3E9D" w:rsidP="00ED3E9D">
      <w:pPr>
        <w:rPr>
          <w:b/>
          <w:u w:val="single"/>
        </w:rPr>
      </w:pPr>
    </w:p>
    <w:p w:rsidR="00ED3E9D" w:rsidRDefault="00ED3E9D" w:rsidP="00ED3E9D">
      <w:r w:rsidRPr="00534DCF">
        <w:t>With the potential implementation of the ICHIP</w:t>
      </w:r>
      <w:r>
        <w:t>/Attaché</w:t>
      </w:r>
      <w:r w:rsidRPr="00534DCF">
        <w:t xml:space="preserve"> program</w:t>
      </w:r>
      <w:r>
        <w:t>,</w:t>
      </w:r>
      <w:r w:rsidRPr="00534DCF">
        <w:t xml:space="preserve"> there will be substantial need for support within the U.S</w:t>
      </w:r>
      <w:r>
        <w:t>., including attorneys, professional staff, and a cybercrime analyst.</w:t>
      </w:r>
    </w:p>
    <w:p w:rsidR="00ED3E9D" w:rsidRDefault="00ED3E9D" w:rsidP="00ED3E9D"/>
    <w:p w:rsidR="00ED3E9D" w:rsidRDefault="00ED3E9D" w:rsidP="00ED3E9D">
      <w:r>
        <w:rPr>
          <w:b/>
        </w:rPr>
        <w:t xml:space="preserve">Attorneys:  </w:t>
      </w:r>
      <w:r>
        <w:t xml:space="preserve">Additional attorneys positioned at Criminal Division headquarters are necessary to meet the demands posed by increased </w:t>
      </w:r>
      <w:r w:rsidRPr="00382B2D">
        <w:t xml:space="preserve">international capacity </w:t>
      </w:r>
      <w:r>
        <w:t xml:space="preserve">and to ensure that ICHIP/Attaché resources are effectively used, managed, and supported.  The Division’s Computer Crime and Intellectual Property Section (CCIPS) provides subject matter expertise on computer and intellectual property crimes, manages the domestic Computer Hacking and Intellectual Property (CHIP) program, and has assisted in and overseen aspects of the prior IPLECs’ responsibilities.  CCIPS is also the Department’s liaison to the National Intellectual Property Coordination Center (“IPR Center”) and its 20 domestic and international partner agencies.  Likewise, the Criminal Division’s Office of International Affairs (OIA) oversees the Department’s Attaché program and </w:t>
      </w:r>
      <w:r w:rsidRPr="003B29D0">
        <w:t xml:space="preserve">coordinates the extradition or other legal </w:t>
      </w:r>
      <w:r>
        <w:t xml:space="preserve">return </w:t>
      </w:r>
      <w:r w:rsidRPr="003B29D0">
        <w:t>of international fugitives and all international evidence</w:t>
      </w:r>
      <w:r>
        <w:t>-</w:t>
      </w:r>
      <w:r w:rsidRPr="003B29D0">
        <w:t>gathering</w:t>
      </w:r>
      <w:r>
        <w:t xml:space="preserve">. </w:t>
      </w:r>
      <w:r w:rsidR="009A72AE">
        <w:t xml:space="preserve"> </w:t>
      </w:r>
      <w:r w:rsidRPr="008D3B39">
        <w:t>Attorneys</w:t>
      </w:r>
      <w:r>
        <w:t xml:space="preserve"> in each office will </w:t>
      </w:r>
      <w:r w:rsidRPr="008D3B39">
        <w:t>ensure that foreign leads are provided and followed by U.S. investigative agencies, and that appropriate cases are pursued within the U.S. to provide deterrence to foreign criminals and criminal organizations.</w:t>
      </w:r>
      <w:r>
        <w:t xml:space="preserve">  Such attorneys will also provide </w:t>
      </w:r>
      <w:r w:rsidRPr="008D3B39">
        <w:t>legal support in the Northern District of Califor</w:t>
      </w:r>
      <w:r>
        <w:t xml:space="preserve">nia </w:t>
      </w:r>
      <w:r w:rsidRPr="008D3B39">
        <w:t>to address the overwhelming flow of legal process and evidentiary requests in intellectual property and cybercrime cases that are addressed to Silicon Valley companies</w:t>
      </w:r>
      <w:r>
        <w:t xml:space="preserve">. </w:t>
      </w:r>
    </w:p>
    <w:p w:rsidR="00ED3E9D" w:rsidRDefault="00ED3E9D" w:rsidP="00ED3E9D"/>
    <w:p w:rsidR="00ED3E9D" w:rsidRPr="008D3B39" w:rsidRDefault="00ED3E9D" w:rsidP="00ED3E9D">
      <w:r w:rsidRPr="00E34242">
        <w:rPr>
          <w:b/>
        </w:rPr>
        <w:t>Professional Staff</w:t>
      </w:r>
      <w:r>
        <w:rPr>
          <w:b/>
        </w:rPr>
        <w:t>:</w:t>
      </w:r>
      <w:r>
        <w:t xml:space="preserve">  </w:t>
      </w:r>
      <w:r w:rsidRPr="008D3B39">
        <w:t>Additional professional staff</w:t>
      </w:r>
      <w:r>
        <w:t xml:space="preserve"> is </w:t>
      </w:r>
      <w:r w:rsidRPr="008D3B39">
        <w:t>necessary to ensure the smooth administration of hiring, retention, and support of the ICHIP</w:t>
      </w:r>
      <w:r>
        <w:t>/Attaché</w:t>
      </w:r>
      <w:r w:rsidRPr="008D3B39">
        <w:t xml:space="preserve"> </w:t>
      </w:r>
      <w:r>
        <w:t>program</w:t>
      </w:r>
      <w:r w:rsidRPr="008D3B39">
        <w:t>.</w:t>
      </w:r>
    </w:p>
    <w:p w:rsidR="00ED3E9D" w:rsidRPr="008D3B39" w:rsidRDefault="00ED3E9D" w:rsidP="00ED3E9D"/>
    <w:p w:rsidR="00ED3E9D" w:rsidRDefault="00ED3E9D" w:rsidP="00ED3E9D">
      <w:r>
        <w:rPr>
          <w:b/>
        </w:rPr>
        <w:t xml:space="preserve">Cybercrime </w:t>
      </w:r>
      <w:r w:rsidRPr="00E34242">
        <w:rPr>
          <w:b/>
        </w:rPr>
        <w:t>Analyst</w:t>
      </w:r>
      <w:r>
        <w:rPr>
          <w:b/>
        </w:rPr>
        <w:t>:</w:t>
      </w:r>
      <w:r>
        <w:t xml:space="preserve">  I</w:t>
      </w:r>
      <w:r w:rsidRPr="00534DCF">
        <w:t>n recent years</w:t>
      </w:r>
      <w:r>
        <w:t>,</w:t>
      </w:r>
      <w:r w:rsidRPr="00534DCF">
        <w:t xml:space="preserve"> there has been a rapidly increasing demand for technical training by the CCIPS Cybercrime Lab by foreign countries seeking to develop expertise in cyber forensics and computer crime.  The proposed additional cybercrime analyst will allow CCIPS to greatly increase the amount of training provided, while directly supporting foreign </w:t>
      </w:r>
      <w:r>
        <w:t>investigations</w:t>
      </w:r>
      <w:r w:rsidRPr="00534DCF">
        <w:t>.</w:t>
      </w:r>
    </w:p>
    <w:p w:rsidR="00ED3E9D" w:rsidRDefault="00ED3E9D" w:rsidP="00ED3E9D"/>
    <w:p w:rsidR="00ED3E9D" w:rsidRPr="00534DCF" w:rsidRDefault="00ED3E9D" w:rsidP="00ED3E9D">
      <w:r>
        <w:t>This enhancement also requests</w:t>
      </w:r>
      <w:r w:rsidRPr="00534DCF">
        <w:t xml:space="preserve"> individual travel and programming budgets to be administered by the ICHIPs within their regions</w:t>
      </w:r>
      <w:r>
        <w:t xml:space="preserve"> as well as additional travel, litigation support, and domestic training resources that will be used to increase the capacity and effectiveness of the overall intellectual property program.</w:t>
      </w:r>
    </w:p>
    <w:p w:rsidR="00ED3E9D" w:rsidRDefault="00ED3E9D" w:rsidP="00ED3E9D"/>
    <w:p w:rsidR="00ED3E9D" w:rsidRDefault="00ED3E9D" w:rsidP="00ED3E9D">
      <w:pPr>
        <w:rPr>
          <w:u w:val="single"/>
        </w:rPr>
      </w:pPr>
      <w:r w:rsidRPr="0065314F">
        <w:rPr>
          <w:u w:val="single"/>
        </w:rPr>
        <w:t>Impact on Performance (Relationship of Increase to Strategic Goals and Priority Goals</w:t>
      </w:r>
      <w:r>
        <w:rPr>
          <w:u w:val="single"/>
        </w:rPr>
        <w:t>)</w:t>
      </w:r>
      <w:r w:rsidRPr="0065314F">
        <w:rPr>
          <w:u w:val="single"/>
        </w:rPr>
        <w:t>:</w:t>
      </w:r>
    </w:p>
    <w:p w:rsidR="00ED3E9D" w:rsidRDefault="00ED3E9D" w:rsidP="00ED3E9D">
      <w:pPr>
        <w:rPr>
          <w:iCs/>
        </w:rPr>
      </w:pPr>
    </w:p>
    <w:p w:rsidR="00ED3E9D" w:rsidRPr="002B78B1" w:rsidRDefault="00ED3E9D" w:rsidP="00ED3E9D">
      <w:pPr>
        <w:rPr>
          <w:iCs/>
        </w:rPr>
      </w:pPr>
      <w:r w:rsidRPr="00372C3C">
        <w:rPr>
          <w:iCs/>
        </w:rPr>
        <w:t xml:space="preserve">These requested resources will directly support </w:t>
      </w:r>
      <w:r w:rsidRPr="00A860AB">
        <w:rPr>
          <w:iCs/>
        </w:rPr>
        <w:t xml:space="preserve">the </w:t>
      </w:r>
      <w:r w:rsidRPr="00105477">
        <w:rPr>
          <w:iCs/>
        </w:rPr>
        <w:t>Department’s</w:t>
      </w:r>
      <w:r>
        <w:rPr>
          <w:iCs/>
        </w:rPr>
        <w:t xml:space="preserve"> Strategic Goal 2:  </w:t>
      </w:r>
      <w:r w:rsidRPr="00105477">
        <w:rPr>
          <w:i/>
          <w:iCs/>
        </w:rPr>
        <w:t>Prevent crime, protect the rights of the American people, and enforce federal law</w:t>
      </w:r>
      <w:r>
        <w:rPr>
          <w:i/>
          <w:iCs/>
        </w:rPr>
        <w:t>;</w:t>
      </w:r>
      <w:r w:rsidRPr="00105477">
        <w:rPr>
          <w:i/>
          <w:iCs/>
        </w:rPr>
        <w:t xml:space="preserve"> </w:t>
      </w:r>
      <w:r w:rsidRPr="002B78B1">
        <w:rPr>
          <w:iCs/>
        </w:rPr>
        <w:t xml:space="preserve">Strategic Objective 2.4: </w:t>
      </w:r>
      <w:r w:rsidRPr="00105477">
        <w:rPr>
          <w:i/>
          <w:iCs/>
        </w:rPr>
        <w:t xml:space="preserve"> Combat corruption, economic crimes, and international organized crime.</w:t>
      </w:r>
      <w:r>
        <w:rPr>
          <w:iCs/>
        </w:rPr>
        <w:t xml:space="preserve">  In particular, they will allow the U.S. Government to:</w:t>
      </w:r>
    </w:p>
    <w:p w:rsidR="00ED3E9D" w:rsidRPr="00534DCF" w:rsidRDefault="00ED3E9D" w:rsidP="00ED3E9D"/>
    <w:p w:rsidR="00ED3E9D" w:rsidRDefault="00ED3E9D" w:rsidP="00ED3E9D">
      <w:pPr>
        <w:pStyle w:val="ListParagraph"/>
        <w:numPr>
          <w:ilvl w:val="0"/>
          <w:numId w:val="32"/>
        </w:numPr>
        <w:contextualSpacing/>
      </w:pPr>
      <w:r w:rsidRPr="0021494D">
        <w:t xml:space="preserve">Develop </w:t>
      </w:r>
      <w:r>
        <w:t xml:space="preserve">the </w:t>
      </w:r>
      <w:r w:rsidRPr="0021494D">
        <w:t xml:space="preserve">capacity of nations in several important regions to combat </w:t>
      </w:r>
      <w:r>
        <w:t>intellectual property</w:t>
      </w:r>
      <w:r w:rsidRPr="0021494D">
        <w:t xml:space="preserve"> and computer crimes;</w:t>
      </w:r>
    </w:p>
    <w:p w:rsidR="00ED3E9D" w:rsidRPr="0065314F" w:rsidRDefault="00ED3E9D" w:rsidP="00ED3E9D">
      <w:pPr>
        <w:ind w:left="360"/>
      </w:pPr>
    </w:p>
    <w:p w:rsidR="00ED3E9D" w:rsidRDefault="00ED3E9D" w:rsidP="00ED3E9D">
      <w:pPr>
        <w:pStyle w:val="ListParagraph"/>
        <w:numPr>
          <w:ilvl w:val="0"/>
          <w:numId w:val="32"/>
        </w:numPr>
        <w:contextualSpacing/>
      </w:pPr>
      <w:r w:rsidRPr="0021494D">
        <w:t xml:space="preserve">Increase </w:t>
      </w:r>
      <w:r>
        <w:t xml:space="preserve">the </w:t>
      </w:r>
      <w:r w:rsidRPr="0021494D">
        <w:t>number and scope of cooperative international prosecutions targeting high-tech and intellectual property crimes;</w:t>
      </w:r>
    </w:p>
    <w:p w:rsidR="00ED3E9D" w:rsidRPr="0021494D" w:rsidRDefault="00ED3E9D" w:rsidP="00ED3E9D">
      <w:pPr>
        <w:pStyle w:val="ListParagraph"/>
      </w:pPr>
    </w:p>
    <w:p w:rsidR="00ED3E9D" w:rsidRPr="0065314F" w:rsidRDefault="00ED3E9D" w:rsidP="00ED3E9D">
      <w:pPr>
        <w:pStyle w:val="ListParagraph"/>
        <w:numPr>
          <w:ilvl w:val="0"/>
          <w:numId w:val="32"/>
        </w:numPr>
        <w:contextualSpacing/>
      </w:pPr>
      <w:r w:rsidRPr="0021494D">
        <w:t>Increase coordination of international cases involving computer crimes, intellectual property crimes, and digital evidence;</w:t>
      </w:r>
    </w:p>
    <w:p w:rsidR="00ED3E9D" w:rsidRDefault="00ED3E9D" w:rsidP="00ED3E9D">
      <w:pPr>
        <w:pStyle w:val="ListParagraph"/>
      </w:pPr>
    </w:p>
    <w:p w:rsidR="00ED3E9D" w:rsidRPr="0021494D" w:rsidRDefault="00ED3E9D" w:rsidP="00ED3E9D">
      <w:pPr>
        <w:pStyle w:val="ListParagraph"/>
        <w:numPr>
          <w:ilvl w:val="0"/>
          <w:numId w:val="32"/>
        </w:numPr>
        <w:contextualSpacing/>
      </w:pPr>
      <w:r w:rsidRPr="0021494D">
        <w:lastRenderedPageBreak/>
        <w:t xml:space="preserve">Build upon the successful integration of </w:t>
      </w:r>
      <w:r>
        <w:t>intellectual property</w:t>
      </w:r>
      <w:r w:rsidRPr="0021494D">
        <w:t xml:space="preserve"> and cybercrime expertise that currently exists in the domestic Computer Hacking and Intellectual Property (CHIP) Network;</w:t>
      </w:r>
    </w:p>
    <w:p w:rsidR="00ED3E9D" w:rsidRDefault="00ED3E9D" w:rsidP="00ED3E9D">
      <w:pPr>
        <w:pStyle w:val="ListParagraph"/>
      </w:pPr>
    </w:p>
    <w:p w:rsidR="00ED3E9D" w:rsidRPr="0021494D" w:rsidRDefault="00ED3E9D" w:rsidP="00ED3E9D">
      <w:pPr>
        <w:pStyle w:val="ListParagraph"/>
        <w:numPr>
          <w:ilvl w:val="0"/>
          <w:numId w:val="32"/>
        </w:numPr>
        <w:contextualSpacing/>
      </w:pPr>
      <w:r w:rsidRPr="0021494D">
        <w:t>Replace the IP</w:t>
      </w:r>
      <w:r>
        <w:t>LEC</w:t>
      </w:r>
      <w:r w:rsidRPr="0021494D">
        <w:t xml:space="preserve"> for Eastern Europe, which </w:t>
      </w:r>
      <w:r>
        <w:t>will</w:t>
      </w:r>
      <w:r w:rsidRPr="0021494D">
        <w:t xml:space="preserve"> no longer be funded by the State Department; and </w:t>
      </w:r>
    </w:p>
    <w:p w:rsidR="00ED3E9D" w:rsidRDefault="00ED3E9D" w:rsidP="00ED3E9D">
      <w:pPr>
        <w:pStyle w:val="ListParagraph"/>
      </w:pPr>
    </w:p>
    <w:p w:rsidR="00ED3E9D" w:rsidRDefault="00ED3E9D" w:rsidP="00ED3E9D">
      <w:pPr>
        <w:pStyle w:val="ListParagraph"/>
        <w:numPr>
          <w:ilvl w:val="0"/>
          <w:numId w:val="32"/>
        </w:numPr>
        <w:contextualSpacing/>
      </w:pPr>
      <w:r w:rsidRPr="0021494D">
        <w:t>Strengthen the DOJ Attaché program’s ability to address transnational organized crime.</w:t>
      </w:r>
    </w:p>
    <w:p w:rsidR="004305CE" w:rsidRDefault="004305CE">
      <w:pPr>
        <w:rPr>
          <w:b/>
          <w:bCs/>
          <w:szCs w:val="20"/>
        </w:rPr>
      </w:pPr>
    </w:p>
    <w:p w:rsidR="00ED3E9D" w:rsidRDefault="00ED3E9D" w:rsidP="00ED3E9D">
      <w:pPr>
        <w:pStyle w:val="Heading1"/>
        <w:rPr>
          <w:rFonts w:ascii="Times New Roman" w:hAnsi="Times New Roman"/>
          <w:bCs/>
        </w:rPr>
      </w:pPr>
      <w:r>
        <w:rPr>
          <w:rFonts w:ascii="Times New Roman" w:hAnsi="Times New Roman"/>
          <w:bCs/>
        </w:rPr>
        <w:t>Funding</w:t>
      </w:r>
    </w:p>
    <w:p w:rsidR="00ED3E9D" w:rsidRDefault="00ED3E9D" w:rsidP="00ED3E9D">
      <w:pPr>
        <w:pStyle w:val="xl24"/>
        <w:spacing w:before="0" w:after="0"/>
        <w:rPr>
          <w:rFonts w:eastAsia="Times New Roman"/>
        </w:rPr>
      </w:pPr>
    </w:p>
    <w:p w:rsidR="00ED3E9D" w:rsidRDefault="00ED3E9D" w:rsidP="00ED3E9D">
      <w:pPr>
        <w:pStyle w:val="xl24"/>
        <w:spacing w:before="0" w:after="0"/>
        <w:rPr>
          <w:rFonts w:eastAsia="Times New Roman"/>
        </w:rPr>
      </w:pPr>
      <w:r>
        <w:rPr>
          <w:rFonts w:eastAsia="Times New Roman"/>
        </w:rPr>
        <w:t>Base Funding</w:t>
      </w:r>
    </w:p>
    <w:p w:rsidR="00ED3E9D" w:rsidRDefault="00ED3E9D" w:rsidP="00ED3E9D">
      <w:pPr>
        <w:pStyle w:val="xl24"/>
        <w:spacing w:before="0" w:after="0"/>
        <w:rPr>
          <w:rFonts w:eastAsia="Times New Roman"/>
        </w:rPr>
      </w:pPr>
    </w:p>
    <w:p w:rsidR="000A37EB" w:rsidRDefault="000A37EB" w:rsidP="00ED3E9D">
      <w:pPr>
        <w:pStyle w:val="xl24"/>
        <w:spacing w:before="0" w:after="0"/>
        <w:rPr>
          <w:rFonts w:eastAsia="Times New Roman"/>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07"/>
        <w:gridCol w:w="572"/>
        <w:gridCol w:w="1395"/>
        <w:gridCol w:w="603"/>
        <w:gridCol w:w="607"/>
        <w:gridCol w:w="672"/>
        <w:gridCol w:w="1358"/>
        <w:gridCol w:w="590"/>
        <w:gridCol w:w="607"/>
        <w:gridCol w:w="672"/>
        <w:gridCol w:w="1535"/>
      </w:tblGrid>
      <w:tr w:rsidR="00ED3E9D" w:rsidTr="00F80A9F">
        <w:tc>
          <w:tcPr>
            <w:tcW w:w="3168" w:type="dxa"/>
            <w:gridSpan w:val="4"/>
            <w:shd w:val="clear" w:color="auto" w:fill="E6E6E6"/>
          </w:tcPr>
          <w:p w:rsidR="00ED3E9D" w:rsidRPr="000F321C" w:rsidRDefault="00ED3E9D" w:rsidP="00F80A9F">
            <w:pPr>
              <w:pStyle w:val="Heading7"/>
              <w:rPr>
                <w:sz w:val="20"/>
              </w:rPr>
            </w:pPr>
            <w:r w:rsidRPr="000F321C">
              <w:rPr>
                <w:sz w:val="20"/>
              </w:rPr>
              <w:t xml:space="preserve"> FY 20</w:t>
            </w:r>
            <w:r>
              <w:rPr>
                <w:sz w:val="20"/>
              </w:rPr>
              <w:t>12</w:t>
            </w:r>
            <w:r w:rsidRPr="000F321C">
              <w:rPr>
                <w:sz w:val="20"/>
              </w:rPr>
              <w:t xml:space="preserve"> Enacted</w:t>
            </w:r>
          </w:p>
        </w:tc>
        <w:tc>
          <w:tcPr>
            <w:tcW w:w="3240" w:type="dxa"/>
            <w:gridSpan w:val="4"/>
            <w:shd w:val="clear" w:color="auto" w:fill="E6E6E6"/>
          </w:tcPr>
          <w:p w:rsidR="00ED3E9D" w:rsidRPr="000F321C" w:rsidRDefault="00ED3E9D" w:rsidP="00F80A9F">
            <w:pPr>
              <w:pStyle w:val="Heading7"/>
              <w:rPr>
                <w:sz w:val="20"/>
              </w:rPr>
            </w:pPr>
            <w:r w:rsidRPr="000F321C">
              <w:rPr>
                <w:sz w:val="20"/>
              </w:rPr>
              <w:t>FY 201</w:t>
            </w:r>
            <w:r>
              <w:rPr>
                <w:sz w:val="20"/>
              </w:rPr>
              <w:t>3</w:t>
            </w:r>
            <w:r w:rsidRPr="000F321C">
              <w:rPr>
                <w:sz w:val="20"/>
              </w:rPr>
              <w:t xml:space="preserve"> </w:t>
            </w:r>
            <w:r>
              <w:rPr>
                <w:sz w:val="20"/>
              </w:rPr>
              <w:t>CR</w:t>
            </w:r>
          </w:p>
        </w:tc>
        <w:tc>
          <w:tcPr>
            <w:tcW w:w="3404" w:type="dxa"/>
            <w:gridSpan w:val="4"/>
            <w:shd w:val="clear" w:color="auto" w:fill="E6E6E6"/>
          </w:tcPr>
          <w:p w:rsidR="00ED3E9D" w:rsidRPr="000F321C" w:rsidRDefault="00ED3E9D" w:rsidP="00F80A9F">
            <w:pPr>
              <w:pStyle w:val="Heading7"/>
              <w:rPr>
                <w:sz w:val="20"/>
              </w:rPr>
            </w:pPr>
            <w:r w:rsidRPr="000F321C">
              <w:rPr>
                <w:sz w:val="20"/>
              </w:rPr>
              <w:t>FY 201</w:t>
            </w:r>
            <w:r>
              <w:rPr>
                <w:sz w:val="20"/>
              </w:rPr>
              <w:t>4</w:t>
            </w:r>
            <w:r w:rsidRPr="000F321C">
              <w:rPr>
                <w:sz w:val="20"/>
              </w:rPr>
              <w:t xml:space="preserve"> Current Services</w:t>
            </w:r>
          </w:p>
        </w:tc>
      </w:tr>
      <w:tr w:rsidR="00ED3E9D" w:rsidTr="00F80A9F">
        <w:tc>
          <w:tcPr>
            <w:tcW w:w="594"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ED3E9D" w:rsidRPr="000F321C" w:rsidRDefault="00ED3E9D" w:rsidP="00F80A9F">
            <w:pPr>
              <w:pStyle w:val="xl24"/>
              <w:spacing w:before="0" w:after="0"/>
              <w:jc w:val="center"/>
              <w:rPr>
                <w:rFonts w:eastAsia="Times New Roman"/>
                <w:sz w:val="20"/>
                <w:u w:val="none"/>
              </w:rPr>
            </w:pPr>
            <w:proofErr w:type="spellStart"/>
            <w:r w:rsidRPr="000F321C">
              <w:rPr>
                <w:rFonts w:eastAsia="Times New Roman"/>
                <w:sz w:val="20"/>
                <w:u w:val="none"/>
              </w:rPr>
              <w:t>atty</w:t>
            </w:r>
            <w:proofErr w:type="spellEnd"/>
          </w:p>
        </w:tc>
        <w:tc>
          <w:tcPr>
            <w:tcW w:w="572"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FTE</w:t>
            </w:r>
          </w:p>
        </w:tc>
        <w:tc>
          <w:tcPr>
            <w:tcW w:w="1395"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$(000)</w:t>
            </w:r>
          </w:p>
        </w:tc>
        <w:tc>
          <w:tcPr>
            <w:tcW w:w="603"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ED3E9D" w:rsidRPr="000F321C" w:rsidRDefault="00ED3E9D" w:rsidP="00F80A9F">
            <w:pPr>
              <w:pStyle w:val="xl24"/>
              <w:spacing w:before="0" w:after="0"/>
              <w:jc w:val="center"/>
              <w:rPr>
                <w:rFonts w:eastAsia="Times New Roman"/>
                <w:sz w:val="20"/>
                <w:u w:val="none"/>
              </w:rPr>
            </w:pPr>
            <w:proofErr w:type="spellStart"/>
            <w:r w:rsidRPr="000F321C">
              <w:rPr>
                <w:rFonts w:eastAsia="Times New Roman"/>
                <w:sz w:val="20"/>
                <w:u w:val="none"/>
              </w:rPr>
              <w:t>atty</w:t>
            </w:r>
            <w:proofErr w:type="spellEnd"/>
          </w:p>
        </w:tc>
        <w:tc>
          <w:tcPr>
            <w:tcW w:w="672"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FTE</w:t>
            </w:r>
          </w:p>
        </w:tc>
        <w:tc>
          <w:tcPr>
            <w:tcW w:w="1358"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$(000)</w:t>
            </w:r>
          </w:p>
        </w:tc>
        <w:tc>
          <w:tcPr>
            <w:tcW w:w="590"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Pos</w:t>
            </w:r>
          </w:p>
        </w:tc>
        <w:tc>
          <w:tcPr>
            <w:tcW w:w="607" w:type="dxa"/>
          </w:tcPr>
          <w:p w:rsidR="00ED3E9D" w:rsidRPr="000F321C" w:rsidRDefault="00ED3E9D" w:rsidP="00F80A9F">
            <w:pPr>
              <w:pStyle w:val="xl24"/>
              <w:spacing w:before="0" w:after="0"/>
              <w:jc w:val="center"/>
              <w:rPr>
                <w:rFonts w:eastAsia="Times New Roman"/>
                <w:sz w:val="20"/>
                <w:u w:val="none"/>
              </w:rPr>
            </w:pPr>
            <w:proofErr w:type="spellStart"/>
            <w:r w:rsidRPr="000F321C">
              <w:rPr>
                <w:rFonts w:eastAsia="Times New Roman"/>
                <w:sz w:val="20"/>
                <w:u w:val="none"/>
              </w:rPr>
              <w:t>atty</w:t>
            </w:r>
            <w:proofErr w:type="spellEnd"/>
          </w:p>
        </w:tc>
        <w:tc>
          <w:tcPr>
            <w:tcW w:w="672"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FTE</w:t>
            </w:r>
          </w:p>
        </w:tc>
        <w:tc>
          <w:tcPr>
            <w:tcW w:w="1535" w:type="dxa"/>
          </w:tcPr>
          <w:p w:rsidR="00ED3E9D" w:rsidRPr="000F321C" w:rsidRDefault="00ED3E9D" w:rsidP="00F80A9F">
            <w:pPr>
              <w:pStyle w:val="xl24"/>
              <w:spacing w:before="0" w:after="0"/>
              <w:jc w:val="center"/>
              <w:rPr>
                <w:rFonts w:eastAsia="Times New Roman"/>
                <w:sz w:val="20"/>
                <w:u w:val="none"/>
              </w:rPr>
            </w:pPr>
            <w:r w:rsidRPr="000F321C">
              <w:rPr>
                <w:rFonts w:eastAsia="Times New Roman"/>
                <w:sz w:val="20"/>
                <w:u w:val="none"/>
              </w:rPr>
              <w:t>$(000)</w:t>
            </w:r>
          </w:p>
        </w:tc>
      </w:tr>
      <w:tr w:rsidR="00ED3E9D" w:rsidTr="00F80A9F">
        <w:tc>
          <w:tcPr>
            <w:tcW w:w="594" w:type="dxa"/>
          </w:tcPr>
          <w:p w:rsidR="00ED3E9D" w:rsidRPr="002438EC" w:rsidRDefault="00ED3E9D" w:rsidP="00F80A9F">
            <w:pPr>
              <w:pStyle w:val="xl24"/>
              <w:spacing w:before="0" w:after="0"/>
              <w:jc w:val="right"/>
              <w:rPr>
                <w:rFonts w:eastAsia="Times New Roman"/>
                <w:sz w:val="20"/>
                <w:u w:val="none"/>
              </w:rPr>
            </w:pPr>
            <w:r>
              <w:rPr>
                <w:rFonts w:eastAsia="Times New Roman"/>
                <w:sz w:val="20"/>
                <w:u w:val="none"/>
              </w:rPr>
              <w:t>20</w:t>
            </w:r>
          </w:p>
        </w:tc>
        <w:tc>
          <w:tcPr>
            <w:tcW w:w="607" w:type="dxa"/>
          </w:tcPr>
          <w:p w:rsidR="00ED3E9D" w:rsidRPr="002438EC" w:rsidRDefault="00ED3E9D" w:rsidP="00F80A9F">
            <w:pPr>
              <w:pStyle w:val="xl24"/>
              <w:spacing w:before="0" w:after="0"/>
              <w:jc w:val="right"/>
              <w:rPr>
                <w:rFonts w:eastAsia="Times New Roman"/>
                <w:sz w:val="20"/>
                <w:u w:val="none"/>
              </w:rPr>
            </w:pPr>
            <w:r>
              <w:rPr>
                <w:rFonts w:eastAsia="Times New Roman"/>
                <w:sz w:val="20"/>
                <w:u w:val="none"/>
              </w:rPr>
              <w:t>17</w:t>
            </w:r>
          </w:p>
        </w:tc>
        <w:tc>
          <w:tcPr>
            <w:tcW w:w="572" w:type="dxa"/>
          </w:tcPr>
          <w:p w:rsidR="00ED3E9D" w:rsidRPr="002438EC" w:rsidRDefault="00ED3E9D" w:rsidP="00F80A9F">
            <w:pPr>
              <w:pStyle w:val="xl24"/>
              <w:spacing w:before="0" w:after="0"/>
              <w:jc w:val="right"/>
              <w:rPr>
                <w:rFonts w:eastAsia="Times New Roman"/>
                <w:sz w:val="20"/>
                <w:u w:val="none"/>
              </w:rPr>
            </w:pPr>
            <w:r>
              <w:rPr>
                <w:rFonts w:eastAsia="Times New Roman"/>
                <w:sz w:val="20"/>
                <w:u w:val="none"/>
              </w:rPr>
              <w:t>20</w:t>
            </w:r>
          </w:p>
        </w:tc>
        <w:tc>
          <w:tcPr>
            <w:tcW w:w="1395" w:type="dxa"/>
          </w:tcPr>
          <w:p w:rsidR="00ED3E9D" w:rsidRPr="002438EC" w:rsidRDefault="00ED3E9D" w:rsidP="00F80A9F">
            <w:pPr>
              <w:pStyle w:val="xl24"/>
              <w:spacing w:before="0" w:after="0"/>
              <w:jc w:val="right"/>
              <w:rPr>
                <w:rFonts w:eastAsia="Times New Roman"/>
                <w:sz w:val="20"/>
                <w:u w:val="none"/>
              </w:rPr>
            </w:pPr>
            <w:r w:rsidRPr="002438EC">
              <w:rPr>
                <w:rFonts w:eastAsia="Times New Roman"/>
                <w:sz w:val="20"/>
                <w:u w:val="none"/>
              </w:rPr>
              <w:t>$</w:t>
            </w:r>
            <w:r>
              <w:rPr>
                <w:rFonts w:eastAsia="Times New Roman"/>
                <w:sz w:val="20"/>
                <w:u w:val="none"/>
              </w:rPr>
              <w:t>4,712</w:t>
            </w:r>
          </w:p>
        </w:tc>
        <w:tc>
          <w:tcPr>
            <w:tcW w:w="603" w:type="dxa"/>
          </w:tcPr>
          <w:p w:rsidR="00ED3E9D" w:rsidRPr="00A47D77" w:rsidRDefault="00ED3E9D" w:rsidP="00F80A9F">
            <w:pPr>
              <w:pStyle w:val="xl24"/>
              <w:spacing w:before="0" w:after="0"/>
              <w:jc w:val="right"/>
              <w:rPr>
                <w:rFonts w:eastAsia="Times New Roman"/>
                <w:sz w:val="20"/>
                <w:u w:val="none"/>
              </w:rPr>
            </w:pPr>
            <w:r>
              <w:rPr>
                <w:rFonts w:eastAsia="Times New Roman"/>
                <w:sz w:val="20"/>
                <w:u w:val="none"/>
              </w:rPr>
              <w:t>22</w:t>
            </w:r>
          </w:p>
        </w:tc>
        <w:tc>
          <w:tcPr>
            <w:tcW w:w="607" w:type="dxa"/>
          </w:tcPr>
          <w:p w:rsidR="00ED3E9D" w:rsidRPr="00A47D77" w:rsidRDefault="00ED3E9D" w:rsidP="00F80A9F">
            <w:pPr>
              <w:pStyle w:val="xl24"/>
              <w:spacing w:before="0" w:after="0"/>
              <w:jc w:val="right"/>
              <w:rPr>
                <w:rFonts w:eastAsia="Times New Roman"/>
                <w:sz w:val="20"/>
                <w:u w:val="none"/>
              </w:rPr>
            </w:pPr>
            <w:r>
              <w:rPr>
                <w:rFonts w:eastAsia="Times New Roman"/>
                <w:sz w:val="20"/>
                <w:u w:val="none"/>
              </w:rPr>
              <w:t>18</w:t>
            </w:r>
          </w:p>
        </w:tc>
        <w:tc>
          <w:tcPr>
            <w:tcW w:w="672" w:type="dxa"/>
          </w:tcPr>
          <w:p w:rsidR="00ED3E9D" w:rsidRPr="00A47D77" w:rsidRDefault="00ED3E9D" w:rsidP="00F80A9F">
            <w:pPr>
              <w:pStyle w:val="xl24"/>
              <w:spacing w:before="0" w:after="0"/>
              <w:jc w:val="right"/>
              <w:rPr>
                <w:rFonts w:eastAsia="Times New Roman"/>
                <w:sz w:val="20"/>
                <w:u w:val="none"/>
              </w:rPr>
            </w:pPr>
            <w:r>
              <w:rPr>
                <w:rFonts w:eastAsia="Times New Roman"/>
                <w:sz w:val="20"/>
                <w:u w:val="none"/>
              </w:rPr>
              <w:t>18</w:t>
            </w:r>
          </w:p>
        </w:tc>
        <w:tc>
          <w:tcPr>
            <w:tcW w:w="1358" w:type="dxa"/>
          </w:tcPr>
          <w:p w:rsidR="00ED3E9D" w:rsidRPr="00A47D77" w:rsidRDefault="00ED3E9D" w:rsidP="00F80A9F">
            <w:pPr>
              <w:pStyle w:val="xl24"/>
              <w:spacing w:before="0" w:after="0"/>
              <w:jc w:val="right"/>
              <w:rPr>
                <w:rFonts w:eastAsia="Times New Roman"/>
                <w:sz w:val="20"/>
                <w:u w:val="none"/>
              </w:rPr>
            </w:pPr>
            <w:r>
              <w:rPr>
                <w:rFonts w:eastAsia="Times New Roman"/>
                <w:sz w:val="20"/>
                <w:u w:val="none"/>
              </w:rPr>
              <w:t>$5,179</w:t>
            </w:r>
          </w:p>
        </w:tc>
        <w:tc>
          <w:tcPr>
            <w:tcW w:w="590" w:type="dxa"/>
          </w:tcPr>
          <w:p w:rsidR="00ED3E9D" w:rsidRPr="00A47D77" w:rsidRDefault="00ED3E9D" w:rsidP="00F80A9F">
            <w:pPr>
              <w:pStyle w:val="xl24"/>
              <w:spacing w:before="0" w:after="0"/>
              <w:jc w:val="right"/>
              <w:rPr>
                <w:rFonts w:eastAsia="Times New Roman"/>
                <w:sz w:val="20"/>
                <w:u w:val="none"/>
              </w:rPr>
            </w:pPr>
            <w:r>
              <w:rPr>
                <w:rFonts w:eastAsia="Times New Roman"/>
                <w:sz w:val="20"/>
                <w:u w:val="none"/>
              </w:rPr>
              <w:t>22</w:t>
            </w:r>
          </w:p>
        </w:tc>
        <w:tc>
          <w:tcPr>
            <w:tcW w:w="607" w:type="dxa"/>
          </w:tcPr>
          <w:p w:rsidR="00ED3E9D" w:rsidRPr="00A47D77" w:rsidRDefault="00ED3E9D" w:rsidP="00F80A9F">
            <w:pPr>
              <w:pStyle w:val="xl24"/>
              <w:spacing w:before="0" w:after="0"/>
              <w:jc w:val="right"/>
              <w:rPr>
                <w:rFonts w:eastAsia="Times New Roman"/>
                <w:sz w:val="20"/>
                <w:u w:val="none"/>
              </w:rPr>
            </w:pPr>
            <w:r>
              <w:rPr>
                <w:rFonts w:eastAsia="Times New Roman"/>
                <w:sz w:val="20"/>
                <w:u w:val="none"/>
              </w:rPr>
              <w:t>18</w:t>
            </w:r>
          </w:p>
        </w:tc>
        <w:tc>
          <w:tcPr>
            <w:tcW w:w="672" w:type="dxa"/>
          </w:tcPr>
          <w:p w:rsidR="00ED3E9D" w:rsidRPr="00A47D77" w:rsidRDefault="00ED3E9D" w:rsidP="00F80A9F">
            <w:pPr>
              <w:pStyle w:val="xl24"/>
              <w:spacing w:before="0" w:after="0"/>
              <w:jc w:val="right"/>
              <w:rPr>
                <w:rFonts w:eastAsia="Times New Roman"/>
                <w:sz w:val="20"/>
                <w:u w:val="none"/>
              </w:rPr>
            </w:pPr>
            <w:r>
              <w:rPr>
                <w:rFonts w:eastAsia="Times New Roman"/>
                <w:sz w:val="20"/>
                <w:u w:val="none"/>
              </w:rPr>
              <w:t>21</w:t>
            </w:r>
          </w:p>
        </w:tc>
        <w:tc>
          <w:tcPr>
            <w:tcW w:w="1535" w:type="dxa"/>
          </w:tcPr>
          <w:p w:rsidR="00ED3E9D" w:rsidRPr="00A47D77" w:rsidRDefault="00ED3E9D" w:rsidP="00F80A9F">
            <w:pPr>
              <w:pStyle w:val="xl24"/>
              <w:spacing w:before="0" w:after="0"/>
              <w:jc w:val="right"/>
              <w:rPr>
                <w:rFonts w:eastAsia="Times New Roman"/>
                <w:sz w:val="20"/>
                <w:u w:val="none"/>
              </w:rPr>
            </w:pPr>
            <w:r>
              <w:rPr>
                <w:rFonts w:eastAsia="Times New Roman"/>
                <w:sz w:val="20"/>
                <w:u w:val="none"/>
              </w:rPr>
              <w:t>5,081</w:t>
            </w:r>
          </w:p>
        </w:tc>
      </w:tr>
    </w:tbl>
    <w:p w:rsidR="00ED3E9D" w:rsidRDefault="00ED3E9D" w:rsidP="00ED3E9D">
      <w:pPr>
        <w:pStyle w:val="BodyText"/>
        <w:rPr>
          <w:u w:val="single"/>
        </w:rPr>
      </w:pPr>
    </w:p>
    <w:p w:rsidR="00ED3E9D" w:rsidRDefault="00ED3E9D" w:rsidP="00ED3E9D">
      <w:pPr>
        <w:pStyle w:val="BodyText"/>
      </w:pPr>
      <w:r>
        <w:rPr>
          <w:u w:val="single"/>
        </w:rPr>
        <w:t>Personnel Increase Cost Summary</w:t>
      </w:r>
    </w:p>
    <w:p w:rsidR="00ED3E9D" w:rsidRDefault="00ED3E9D" w:rsidP="00ED3E9D">
      <w:pPr>
        <w:pStyle w:val="BodyText"/>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12"/>
        <w:gridCol w:w="1579"/>
        <w:gridCol w:w="1349"/>
        <w:gridCol w:w="1508"/>
        <w:gridCol w:w="1890"/>
        <w:gridCol w:w="1890"/>
      </w:tblGrid>
      <w:tr w:rsidR="00ED3E9D" w:rsidTr="00F80A9F">
        <w:tc>
          <w:tcPr>
            <w:tcW w:w="1612" w:type="dxa"/>
            <w:shd w:val="clear" w:color="auto" w:fill="E6E6E6"/>
            <w:vAlign w:val="center"/>
          </w:tcPr>
          <w:p w:rsidR="00ED3E9D" w:rsidRDefault="00ED3E9D" w:rsidP="00F80A9F">
            <w:pPr>
              <w:jc w:val="center"/>
              <w:rPr>
                <w:sz w:val="20"/>
              </w:rPr>
            </w:pPr>
            <w:r>
              <w:rPr>
                <w:sz w:val="20"/>
              </w:rPr>
              <w:t>Type of Position</w:t>
            </w:r>
          </w:p>
        </w:tc>
        <w:tc>
          <w:tcPr>
            <w:tcW w:w="1579" w:type="dxa"/>
            <w:vAlign w:val="center"/>
          </w:tcPr>
          <w:p w:rsidR="00ED3E9D" w:rsidRDefault="00ED3E9D" w:rsidP="00F80A9F">
            <w:pPr>
              <w:jc w:val="center"/>
              <w:rPr>
                <w:sz w:val="20"/>
              </w:rPr>
            </w:pPr>
            <w:r>
              <w:rPr>
                <w:sz w:val="20"/>
              </w:rPr>
              <w:t>Modular Cost</w:t>
            </w:r>
          </w:p>
          <w:p w:rsidR="00ED3E9D" w:rsidRDefault="00ED3E9D" w:rsidP="00F80A9F">
            <w:pPr>
              <w:jc w:val="center"/>
              <w:rPr>
                <w:sz w:val="20"/>
              </w:rPr>
            </w:pPr>
            <w:r>
              <w:rPr>
                <w:sz w:val="20"/>
              </w:rPr>
              <w:t>per Position ($000)</w:t>
            </w:r>
          </w:p>
        </w:tc>
        <w:tc>
          <w:tcPr>
            <w:tcW w:w="1349" w:type="dxa"/>
            <w:vAlign w:val="center"/>
          </w:tcPr>
          <w:p w:rsidR="00ED3E9D" w:rsidRDefault="00ED3E9D" w:rsidP="00F80A9F">
            <w:pPr>
              <w:jc w:val="center"/>
              <w:rPr>
                <w:sz w:val="20"/>
              </w:rPr>
            </w:pPr>
            <w:r>
              <w:rPr>
                <w:sz w:val="20"/>
              </w:rPr>
              <w:t>Number of</w:t>
            </w:r>
          </w:p>
          <w:p w:rsidR="00ED3E9D" w:rsidRDefault="00ED3E9D" w:rsidP="00F80A9F">
            <w:pPr>
              <w:jc w:val="center"/>
              <w:rPr>
                <w:sz w:val="20"/>
              </w:rPr>
            </w:pPr>
            <w:r>
              <w:rPr>
                <w:sz w:val="20"/>
              </w:rPr>
              <w:t>Positions</w:t>
            </w:r>
          </w:p>
          <w:p w:rsidR="00ED3E9D" w:rsidRDefault="00ED3E9D" w:rsidP="00F80A9F">
            <w:pPr>
              <w:jc w:val="center"/>
              <w:rPr>
                <w:sz w:val="20"/>
              </w:rPr>
            </w:pPr>
            <w:r>
              <w:rPr>
                <w:sz w:val="20"/>
              </w:rPr>
              <w:t>Requested</w:t>
            </w:r>
          </w:p>
        </w:tc>
        <w:tc>
          <w:tcPr>
            <w:tcW w:w="1508" w:type="dxa"/>
            <w:vAlign w:val="center"/>
          </w:tcPr>
          <w:p w:rsidR="00ED3E9D" w:rsidRDefault="00ED3E9D" w:rsidP="00F80A9F">
            <w:pPr>
              <w:jc w:val="center"/>
              <w:rPr>
                <w:sz w:val="20"/>
              </w:rPr>
            </w:pPr>
            <w:r>
              <w:rPr>
                <w:sz w:val="20"/>
              </w:rPr>
              <w:t>FY 2014</w:t>
            </w:r>
          </w:p>
          <w:p w:rsidR="00ED3E9D" w:rsidRDefault="00ED3E9D" w:rsidP="00F80A9F">
            <w:pPr>
              <w:jc w:val="center"/>
              <w:rPr>
                <w:sz w:val="20"/>
              </w:rPr>
            </w:pPr>
            <w:r>
              <w:rPr>
                <w:sz w:val="20"/>
              </w:rPr>
              <w:t>Request</w:t>
            </w:r>
          </w:p>
          <w:p w:rsidR="00ED3E9D" w:rsidRDefault="00ED3E9D" w:rsidP="00F80A9F">
            <w:pPr>
              <w:jc w:val="center"/>
              <w:rPr>
                <w:sz w:val="20"/>
              </w:rPr>
            </w:pPr>
            <w:r>
              <w:rPr>
                <w:sz w:val="20"/>
              </w:rPr>
              <w:t xml:space="preserve"> ($000)</w:t>
            </w:r>
          </w:p>
        </w:tc>
        <w:tc>
          <w:tcPr>
            <w:tcW w:w="1890" w:type="dxa"/>
            <w:vAlign w:val="center"/>
          </w:tcPr>
          <w:p w:rsidR="00ED3E9D" w:rsidRDefault="00ED3E9D" w:rsidP="00F80A9F">
            <w:pPr>
              <w:jc w:val="center"/>
              <w:rPr>
                <w:sz w:val="20"/>
              </w:rPr>
            </w:pPr>
            <w:r>
              <w:rPr>
                <w:sz w:val="20"/>
              </w:rPr>
              <w:t xml:space="preserve">FY 2015 </w:t>
            </w:r>
          </w:p>
          <w:p w:rsidR="00ED3E9D" w:rsidRDefault="00ED3E9D" w:rsidP="00F80A9F">
            <w:pPr>
              <w:jc w:val="center"/>
              <w:rPr>
                <w:sz w:val="20"/>
              </w:rPr>
            </w:pPr>
            <w:r>
              <w:rPr>
                <w:sz w:val="20"/>
              </w:rPr>
              <w:t xml:space="preserve">Net </w:t>
            </w:r>
            <w:proofErr w:type="spellStart"/>
            <w:r>
              <w:rPr>
                <w:sz w:val="20"/>
              </w:rPr>
              <w:t>Annualization</w:t>
            </w:r>
            <w:proofErr w:type="spellEnd"/>
          </w:p>
          <w:p w:rsidR="00ED3E9D" w:rsidRDefault="00ED3E9D" w:rsidP="00F80A9F">
            <w:pPr>
              <w:jc w:val="center"/>
              <w:rPr>
                <w:sz w:val="20"/>
              </w:rPr>
            </w:pPr>
            <w:r>
              <w:rPr>
                <w:sz w:val="20"/>
              </w:rPr>
              <w:t>(change from 2014)</w:t>
            </w:r>
          </w:p>
          <w:p w:rsidR="00ED3E9D" w:rsidRDefault="00ED3E9D" w:rsidP="00F80A9F">
            <w:pPr>
              <w:jc w:val="center"/>
              <w:rPr>
                <w:sz w:val="20"/>
              </w:rPr>
            </w:pPr>
            <w:r>
              <w:rPr>
                <w:sz w:val="20"/>
              </w:rPr>
              <w:t>($000)</w:t>
            </w:r>
          </w:p>
        </w:tc>
        <w:tc>
          <w:tcPr>
            <w:tcW w:w="1890" w:type="dxa"/>
          </w:tcPr>
          <w:p w:rsidR="00ED3E9D" w:rsidRDefault="00ED3E9D" w:rsidP="00F80A9F">
            <w:pPr>
              <w:jc w:val="center"/>
              <w:rPr>
                <w:sz w:val="20"/>
              </w:rPr>
            </w:pPr>
            <w:r>
              <w:rPr>
                <w:sz w:val="20"/>
              </w:rPr>
              <w:t xml:space="preserve">FY 2016 </w:t>
            </w:r>
          </w:p>
          <w:p w:rsidR="00ED3E9D" w:rsidRDefault="00ED3E9D" w:rsidP="00F80A9F">
            <w:pPr>
              <w:jc w:val="center"/>
              <w:rPr>
                <w:sz w:val="20"/>
              </w:rPr>
            </w:pPr>
            <w:r>
              <w:rPr>
                <w:sz w:val="20"/>
              </w:rPr>
              <w:t xml:space="preserve">Net </w:t>
            </w:r>
            <w:proofErr w:type="spellStart"/>
            <w:r>
              <w:rPr>
                <w:sz w:val="20"/>
              </w:rPr>
              <w:t>Annualization</w:t>
            </w:r>
            <w:proofErr w:type="spellEnd"/>
          </w:p>
          <w:p w:rsidR="00ED3E9D" w:rsidRDefault="00ED3E9D" w:rsidP="00F80A9F">
            <w:pPr>
              <w:jc w:val="center"/>
              <w:rPr>
                <w:sz w:val="20"/>
              </w:rPr>
            </w:pPr>
            <w:r>
              <w:rPr>
                <w:sz w:val="20"/>
              </w:rPr>
              <w:t>(change from 2015)</w:t>
            </w:r>
          </w:p>
          <w:p w:rsidR="00ED3E9D" w:rsidRDefault="00ED3E9D" w:rsidP="00F80A9F">
            <w:pPr>
              <w:jc w:val="center"/>
              <w:rPr>
                <w:sz w:val="20"/>
              </w:rPr>
            </w:pPr>
            <w:r>
              <w:rPr>
                <w:sz w:val="20"/>
              </w:rPr>
              <w:t>($000)</w:t>
            </w:r>
          </w:p>
        </w:tc>
      </w:tr>
      <w:tr w:rsidR="00ED3E9D" w:rsidTr="00F80A9F">
        <w:tc>
          <w:tcPr>
            <w:tcW w:w="1612" w:type="dxa"/>
          </w:tcPr>
          <w:p w:rsidR="00ED3E9D" w:rsidRDefault="00ED3E9D" w:rsidP="00F80A9F">
            <w:pPr>
              <w:pStyle w:val="Footer"/>
              <w:widowControl/>
              <w:tabs>
                <w:tab w:val="clear" w:pos="432"/>
                <w:tab w:val="clear" w:pos="4320"/>
                <w:tab w:val="clear" w:pos="5040"/>
                <w:tab w:val="clear" w:pos="6210"/>
                <w:tab w:val="clear" w:pos="6930"/>
                <w:tab w:val="clear" w:pos="8190"/>
                <w:tab w:val="clear" w:pos="8640"/>
                <w:tab w:val="clear" w:pos="8820"/>
                <w:tab w:val="clear" w:pos="9810"/>
              </w:tabs>
              <w:rPr>
                <w:rFonts w:ascii="Times New Roman" w:hAnsi="Times New Roman"/>
                <w:szCs w:val="24"/>
              </w:rPr>
            </w:pPr>
            <w:r>
              <w:rPr>
                <w:rFonts w:ascii="Times New Roman" w:hAnsi="Times New Roman"/>
                <w:szCs w:val="24"/>
              </w:rPr>
              <w:t xml:space="preserve"> Foreign Attorney</w:t>
            </w:r>
          </w:p>
        </w:tc>
        <w:tc>
          <w:tcPr>
            <w:tcW w:w="1579" w:type="dxa"/>
            <w:vAlign w:val="center"/>
          </w:tcPr>
          <w:p w:rsidR="00ED3E9D" w:rsidRDefault="00ED3E9D" w:rsidP="00F80A9F">
            <w:pPr>
              <w:jc w:val="right"/>
              <w:rPr>
                <w:sz w:val="20"/>
              </w:rPr>
            </w:pPr>
            <w:r>
              <w:rPr>
                <w:sz w:val="20"/>
              </w:rPr>
              <w:t>$475</w:t>
            </w:r>
          </w:p>
        </w:tc>
        <w:tc>
          <w:tcPr>
            <w:tcW w:w="1349" w:type="dxa"/>
            <w:vAlign w:val="center"/>
          </w:tcPr>
          <w:p w:rsidR="00ED3E9D" w:rsidRDefault="00ED3E9D" w:rsidP="00F80A9F">
            <w:pPr>
              <w:jc w:val="right"/>
              <w:rPr>
                <w:sz w:val="20"/>
              </w:rPr>
            </w:pPr>
            <w:r>
              <w:rPr>
                <w:sz w:val="20"/>
              </w:rPr>
              <w:t>4</w:t>
            </w:r>
          </w:p>
        </w:tc>
        <w:tc>
          <w:tcPr>
            <w:tcW w:w="1508" w:type="dxa"/>
            <w:vAlign w:val="center"/>
          </w:tcPr>
          <w:p w:rsidR="00ED3E9D" w:rsidRDefault="00ED3E9D" w:rsidP="00F80A9F">
            <w:pPr>
              <w:jc w:val="right"/>
            </w:pPr>
            <w:r>
              <w:t>$1,900</w:t>
            </w:r>
          </w:p>
        </w:tc>
        <w:tc>
          <w:tcPr>
            <w:tcW w:w="1890" w:type="dxa"/>
            <w:vAlign w:val="center"/>
          </w:tcPr>
          <w:p w:rsidR="00ED3E9D" w:rsidRDefault="00ED3E9D" w:rsidP="00F80A9F">
            <w:pPr>
              <w:jc w:val="right"/>
            </w:pPr>
            <w:r>
              <w:t>$704</w:t>
            </w:r>
          </w:p>
        </w:tc>
        <w:tc>
          <w:tcPr>
            <w:tcW w:w="1890" w:type="dxa"/>
          </w:tcPr>
          <w:p w:rsidR="00ED3E9D" w:rsidRDefault="00ED3E9D" w:rsidP="00F80A9F">
            <w:pPr>
              <w:jc w:val="right"/>
            </w:pPr>
            <w:r>
              <w:t>$0</w:t>
            </w:r>
          </w:p>
        </w:tc>
      </w:tr>
      <w:tr w:rsidR="00ED3E9D" w:rsidTr="00F80A9F">
        <w:tc>
          <w:tcPr>
            <w:tcW w:w="1612" w:type="dxa"/>
          </w:tcPr>
          <w:p w:rsidR="00ED3E9D" w:rsidRDefault="00ED3E9D" w:rsidP="00F80A9F">
            <w:pPr>
              <w:pStyle w:val="Footer"/>
              <w:widowControl/>
              <w:tabs>
                <w:tab w:val="clear" w:pos="432"/>
                <w:tab w:val="clear" w:pos="4320"/>
                <w:tab w:val="clear" w:pos="5040"/>
                <w:tab w:val="clear" w:pos="6210"/>
                <w:tab w:val="clear" w:pos="6930"/>
                <w:tab w:val="clear" w:pos="8190"/>
                <w:tab w:val="clear" w:pos="8640"/>
                <w:tab w:val="clear" w:pos="8820"/>
                <w:tab w:val="clear" w:pos="9810"/>
              </w:tabs>
              <w:rPr>
                <w:rFonts w:ascii="Times New Roman" w:hAnsi="Times New Roman"/>
                <w:szCs w:val="24"/>
              </w:rPr>
            </w:pPr>
            <w:r>
              <w:rPr>
                <w:rFonts w:ascii="Times New Roman" w:hAnsi="Times New Roman"/>
                <w:szCs w:val="24"/>
              </w:rPr>
              <w:t>Attorney</w:t>
            </w:r>
          </w:p>
        </w:tc>
        <w:tc>
          <w:tcPr>
            <w:tcW w:w="1579" w:type="dxa"/>
            <w:vAlign w:val="center"/>
          </w:tcPr>
          <w:p w:rsidR="00ED3E9D" w:rsidRDefault="00ED3E9D" w:rsidP="00F80A9F">
            <w:pPr>
              <w:jc w:val="right"/>
              <w:rPr>
                <w:sz w:val="20"/>
              </w:rPr>
            </w:pPr>
            <w:r>
              <w:rPr>
                <w:sz w:val="20"/>
              </w:rPr>
              <w:t>$114</w:t>
            </w:r>
          </w:p>
        </w:tc>
        <w:tc>
          <w:tcPr>
            <w:tcW w:w="1349" w:type="dxa"/>
            <w:vAlign w:val="center"/>
          </w:tcPr>
          <w:p w:rsidR="00ED3E9D" w:rsidRDefault="00ED3E9D" w:rsidP="00F80A9F">
            <w:pPr>
              <w:jc w:val="right"/>
              <w:rPr>
                <w:sz w:val="20"/>
              </w:rPr>
            </w:pPr>
            <w:r>
              <w:rPr>
                <w:sz w:val="20"/>
              </w:rPr>
              <w:t>3</w:t>
            </w:r>
          </w:p>
        </w:tc>
        <w:tc>
          <w:tcPr>
            <w:tcW w:w="1508" w:type="dxa"/>
            <w:vAlign w:val="center"/>
          </w:tcPr>
          <w:p w:rsidR="00ED3E9D" w:rsidRDefault="00ED3E9D" w:rsidP="00F80A9F">
            <w:pPr>
              <w:jc w:val="right"/>
            </w:pPr>
            <w:r>
              <w:t>$342</w:t>
            </w:r>
          </w:p>
        </w:tc>
        <w:tc>
          <w:tcPr>
            <w:tcW w:w="1890" w:type="dxa"/>
            <w:vAlign w:val="center"/>
          </w:tcPr>
          <w:p w:rsidR="00ED3E9D" w:rsidRDefault="00ED3E9D" w:rsidP="00F80A9F">
            <w:pPr>
              <w:jc w:val="right"/>
            </w:pPr>
            <w:r>
              <w:t>$324</w:t>
            </w:r>
          </w:p>
        </w:tc>
        <w:tc>
          <w:tcPr>
            <w:tcW w:w="1890" w:type="dxa"/>
          </w:tcPr>
          <w:p w:rsidR="00ED3E9D" w:rsidRDefault="00ED3E9D" w:rsidP="00F80A9F">
            <w:pPr>
              <w:jc w:val="right"/>
            </w:pPr>
            <w:r>
              <w:t>$0</w:t>
            </w:r>
          </w:p>
        </w:tc>
      </w:tr>
      <w:tr w:rsidR="00ED3E9D" w:rsidTr="00F80A9F">
        <w:tc>
          <w:tcPr>
            <w:tcW w:w="1612" w:type="dxa"/>
          </w:tcPr>
          <w:p w:rsidR="00ED3E9D" w:rsidRDefault="00ED3E9D" w:rsidP="00F80A9F">
            <w:pPr>
              <w:rPr>
                <w:sz w:val="20"/>
              </w:rPr>
            </w:pPr>
            <w:r>
              <w:rPr>
                <w:sz w:val="20"/>
              </w:rPr>
              <w:t xml:space="preserve"> Professional</w:t>
            </w:r>
          </w:p>
        </w:tc>
        <w:tc>
          <w:tcPr>
            <w:tcW w:w="1579" w:type="dxa"/>
            <w:vAlign w:val="center"/>
          </w:tcPr>
          <w:p w:rsidR="00ED3E9D" w:rsidRDefault="00ED3E9D" w:rsidP="00F80A9F">
            <w:pPr>
              <w:jc w:val="right"/>
              <w:rPr>
                <w:sz w:val="20"/>
              </w:rPr>
            </w:pPr>
            <w:r>
              <w:rPr>
                <w:sz w:val="20"/>
              </w:rPr>
              <w:t>$63</w:t>
            </w:r>
          </w:p>
        </w:tc>
        <w:tc>
          <w:tcPr>
            <w:tcW w:w="1349" w:type="dxa"/>
            <w:vAlign w:val="center"/>
          </w:tcPr>
          <w:p w:rsidR="00ED3E9D" w:rsidRDefault="00ED3E9D" w:rsidP="00F80A9F">
            <w:pPr>
              <w:jc w:val="right"/>
            </w:pPr>
            <w:r>
              <w:t>4</w:t>
            </w:r>
          </w:p>
        </w:tc>
        <w:tc>
          <w:tcPr>
            <w:tcW w:w="1508" w:type="dxa"/>
            <w:vAlign w:val="center"/>
          </w:tcPr>
          <w:p w:rsidR="00ED3E9D" w:rsidRDefault="00ED3E9D" w:rsidP="00F80A9F">
            <w:pPr>
              <w:jc w:val="right"/>
            </w:pPr>
            <w:r>
              <w:t>$252</w:t>
            </w:r>
          </w:p>
        </w:tc>
        <w:tc>
          <w:tcPr>
            <w:tcW w:w="1890" w:type="dxa"/>
            <w:vAlign w:val="center"/>
          </w:tcPr>
          <w:p w:rsidR="00ED3E9D" w:rsidRDefault="00ED3E9D" w:rsidP="00F80A9F">
            <w:pPr>
              <w:jc w:val="right"/>
            </w:pPr>
            <w:r>
              <w:t>$176</w:t>
            </w:r>
          </w:p>
        </w:tc>
        <w:tc>
          <w:tcPr>
            <w:tcW w:w="1890" w:type="dxa"/>
          </w:tcPr>
          <w:p w:rsidR="00ED3E9D" w:rsidRDefault="00ED3E9D" w:rsidP="00F80A9F">
            <w:pPr>
              <w:jc w:val="right"/>
            </w:pPr>
            <w:r>
              <w:t>$196</w:t>
            </w:r>
          </w:p>
        </w:tc>
      </w:tr>
      <w:tr w:rsidR="00ED3E9D" w:rsidTr="00F80A9F">
        <w:tc>
          <w:tcPr>
            <w:tcW w:w="1612" w:type="dxa"/>
          </w:tcPr>
          <w:p w:rsidR="00ED3E9D" w:rsidRDefault="00ED3E9D" w:rsidP="00F80A9F">
            <w:pPr>
              <w:rPr>
                <w:sz w:val="20"/>
              </w:rPr>
            </w:pPr>
            <w:r>
              <w:rPr>
                <w:sz w:val="20"/>
              </w:rPr>
              <w:t>Total Personnel</w:t>
            </w:r>
          </w:p>
        </w:tc>
        <w:tc>
          <w:tcPr>
            <w:tcW w:w="1579" w:type="dxa"/>
            <w:vAlign w:val="center"/>
          </w:tcPr>
          <w:p w:rsidR="00ED3E9D" w:rsidRDefault="00ED3E9D" w:rsidP="00F80A9F">
            <w:pPr>
              <w:jc w:val="right"/>
              <w:rPr>
                <w:sz w:val="20"/>
              </w:rPr>
            </w:pPr>
            <w:r>
              <w:rPr>
                <w:sz w:val="20"/>
              </w:rPr>
              <w:t>n/a</w:t>
            </w:r>
          </w:p>
        </w:tc>
        <w:tc>
          <w:tcPr>
            <w:tcW w:w="1349" w:type="dxa"/>
            <w:vAlign w:val="center"/>
          </w:tcPr>
          <w:p w:rsidR="00ED3E9D" w:rsidRDefault="00ED3E9D" w:rsidP="00F80A9F">
            <w:pPr>
              <w:jc w:val="right"/>
            </w:pPr>
            <w:r>
              <w:t>11</w:t>
            </w:r>
          </w:p>
        </w:tc>
        <w:tc>
          <w:tcPr>
            <w:tcW w:w="1508" w:type="dxa"/>
            <w:vAlign w:val="center"/>
          </w:tcPr>
          <w:p w:rsidR="00ED3E9D" w:rsidRDefault="00ED3E9D" w:rsidP="00F80A9F">
            <w:pPr>
              <w:jc w:val="right"/>
            </w:pPr>
            <w:r>
              <w:t>$2,494</w:t>
            </w:r>
          </w:p>
        </w:tc>
        <w:tc>
          <w:tcPr>
            <w:tcW w:w="1890" w:type="dxa"/>
            <w:vAlign w:val="center"/>
          </w:tcPr>
          <w:p w:rsidR="00ED3E9D" w:rsidRDefault="00ED3E9D" w:rsidP="00F80A9F">
            <w:pPr>
              <w:jc w:val="right"/>
            </w:pPr>
            <w:r>
              <w:t>$1,204</w:t>
            </w:r>
          </w:p>
        </w:tc>
        <w:tc>
          <w:tcPr>
            <w:tcW w:w="1890" w:type="dxa"/>
          </w:tcPr>
          <w:p w:rsidR="00ED3E9D" w:rsidRDefault="00ED3E9D" w:rsidP="00F80A9F">
            <w:pPr>
              <w:jc w:val="right"/>
            </w:pPr>
            <w:r>
              <w:t>$196</w:t>
            </w:r>
          </w:p>
        </w:tc>
      </w:tr>
    </w:tbl>
    <w:p w:rsidR="00ED3E9D" w:rsidRDefault="00ED3E9D" w:rsidP="00ED3E9D"/>
    <w:p w:rsidR="00ED3E9D" w:rsidRDefault="00ED3E9D" w:rsidP="00ED3E9D">
      <w:pPr>
        <w:pStyle w:val="xl24"/>
        <w:spacing w:before="0" w:after="0"/>
        <w:rPr>
          <w:rFonts w:eastAsia="Times New Roman"/>
        </w:rPr>
      </w:pPr>
      <w:r>
        <w:rPr>
          <w:rFonts w:eastAsia="Times New Roman"/>
        </w:rPr>
        <w:t>Non-Personnel Increase Cost Summary</w:t>
      </w:r>
    </w:p>
    <w:p w:rsidR="00ED3E9D" w:rsidRDefault="00ED3E9D" w:rsidP="00ED3E9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4"/>
        <w:gridCol w:w="1344"/>
        <w:gridCol w:w="1350"/>
        <w:gridCol w:w="1620"/>
        <w:gridCol w:w="1890"/>
        <w:gridCol w:w="1980"/>
      </w:tblGrid>
      <w:tr w:rsidR="00ED3E9D" w:rsidTr="00F80A9F">
        <w:tc>
          <w:tcPr>
            <w:tcW w:w="1644" w:type="dxa"/>
            <w:shd w:val="clear" w:color="auto" w:fill="E6E6E6"/>
            <w:vAlign w:val="center"/>
          </w:tcPr>
          <w:p w:rsidR="00ED3E9D" w:rsidRDefault="00ED3E9D" w:rsidP="00F80A9F">
            <w:pPr>
              <w:jc w:val="center"/>
              <w:rPr>
                <w:sz w:val="20"/>
              </w:rPr>
            </w:pPr>
            <w:r>
              <w:rPr>
                <w:sz w:val="20"/>
              </w:rPr>
              <w:t>Non-Personnel Item</w:t>
            </w:r>
          </w:p>
        </w:tc>
        <w:tc>
          <w:tcPr>
            <w:tcW w:w="1344" w:type="dxa"/>
            <w:vAlign w:val="center"/>
          </w:tcPr>
          <w:p w:rsidR="00ED3E9D" w:rsidRDefault="00ED3E9D" w:rsidP="00F80A9F">
            <w:pPr>
              <w:jc w:val="center"/>
              <w:rPr>
                <w:sz w:val="20"/>
              </w:rPr>
            </w:pPr>
            <w:r>
              <w:rPr>
                <w:sz w:val="20"/>
              </w:rPr>
              <w:t>Unit Cost</w:t>
            </w:r>
          </w:p>
        </w:tc>
        <w:tc>
          <w:tcPr>
            <w:tcW w:w="1350" w:type="dxa"/>
            <w:vAlign w:val="center"/>
          </w:tcPr>
          <w:p w:rsidR="00ED3E9D" w:rsidRDefault="00ED3E9D" w:rsidP="00F80A9F">
            <w:pPr>
              <w:jc w:val="center"/>
              <w:rPr>
                <w:sz w:val="20"/>
              </w:rPr>
            </w:pPr>
            <w:r>
              <w:rPr>
                <w:sz w:val="20"/>
              </w:rPr>
              <w:t>Quantity</w:t>
            </w:r>
          </w:p>
        </w:tc>
        <w:tc>
          <w:tcPr>
            <w:tcW w:w="1620" w:type="dxa"/>
            <w:vAlign w:val="center"/>
          </w:tcPr>
          <w:p w:rsidR="00ED3E9D" w:rsidRDefault="00ED3E9D" w:rsidP="00F80A9F">
            <w:pPr>
              <w:jc w:val="center"/>
              <w:rPr>
                <w:sz w:val="20"/>
              </w:rPr>
            </w:pPr>
            <w:r>
              <w:rPr>
                <w:sz w:val="20"/>
              </w:rPr>
              <w:t>FY 2014 Request</w:t>
            </w:r>
          </w:p>
          <w:p w:rsidR="00ED3E9D" w:rsidRDefault="00ED3E9D" w:rsidP="00F80A9F">
            <w:pPr>
              <w:jc w:val="center"/>
              <w:rPr>
                <w:sz w:val="20"/>
              </w:rPr>
            </w:pPr>
            <w:r>
              <w:rPr>
                <w:sz w:val="20"/>
              </w:rPr>
              <w:t>($000)</w:t>
            </w:r>
          </w:p>
        </w:tc>
        <w:tc>
          <w:tcPr>
            <w:tcW w:w="1890" w:type="dxa"/>
            <w:vAlign w:val="center"/>
          </w:tcPr>
          <w:p w:rsidR="00ED3E9D" w:rsidRDefault="00ED3E9D" w:rsidP="00F80A9F">
            <w:pPr>
              <w:jc w:val="center"/>
              <w:rPr>
                <w:sz w:val="20"/>
              </w:rPr>
            </w:pPr>
            <w:r>
              <w:rPr>
                <w:sz w:val="20"/>
              </w:rPr>
              <w:t>FY 2015 Net</w:t>
            </w:r>
          </w:p>
          <w:p w:rsidR="00ED3E9D" w:rsidRDefault="00ED3E9D" w:rsidP="00F80A9F">
            <w:pPr>
              <w:jc w:val="center"/>
              <w:rPr>
                <w:sz w:val="20"/>
              </w:rPr>
            </w:pPr>
            <w:proofErr w:type="spellStart"/>
            <w:r>
              <w:rPr>
                <w:sz w:val="20"/>
              </w:rPr>
              <w:t>Annualization</w:t>
            </w:r>
            <w:proofErr w:type="spellEnd"/>
          </w:p>
          <w:p w:rsidR="00ED3E9D" w:rsidRDefault="00ED3E9D" w:rsidP="00F80A9F">
            <w:pPr>
              <w:jc w:val="center"/>
              <w:rPr>
                <w:sz w:val="20"/>
              </w:rPr>
            </w:pPr>
            <w:r>
              <w:rPr>
                <w:sz w:val="20"/>
              </w:rPr>
              <w:t>(Change from 2014)</w:t>
            </w:r>
          </w:p>
          <w:p w:rsidR="00ED3E9D" w:rsidRDefault="00ED3E9D" w:rsidP="00F80A9F">
            <w:pPr>
              <w:jc w:val="center"/>
              <w:rPr>
                <w:sz w:val="20"/>
              </w:rPr>
            </w:pPr>
            <w:r>
              <w:rPr>
                <w:sz w:val="20"/>
              </w:rPr>
              <w:t>($000)</w:t>
            </w:r>
          </w:p>
        </w:tc>
        <w:tc>
          <w:tcPr>
            <w:tcW w:w="1980" w:type="dxa"/>
          </w:tcPr>
          <w:p w:rsidR="00ED3E9D" w:rsidRDefault="00ED3E9D" w:rsidP="00F80A9F">
            <w:pPr>
              <w:jc w:val="center"/>
              <w:rPr>
                <w:sz w:val="20"/>
              </w:rPr>
            </w:pPr>
            <w:r>
              <w:rPr>
                <w:sz w:val="20"/>
              </w:rPr>
              <w:t>FY 2016 Net</w:t>
            </w:r>
          </w:p>
          <w:p w:rsidR="00ED3E9D" w:rsidRDefault="00ED3E9D" w:rsidP="00F80A9F">
            <w:pPr>
              <w:jc w:val="center"/>
              <w:rPr>
                <w:sz w:val="20"/>
              </w:rPr>
            </w:pPr>
            <w:proofErr w:type="spellStart"/>
            <w:r>
              <w:rPr>
                <w:sz w:val="20"/>
              </w:rPr>
              <w:t>Annualization</w:t>
            </w:r>
            <w:proofErr w:type="spellEnd"/>
          </w:p>
          <w:p w:rsidR="00ED3E9D" w:rsidRDefault="00ED3E9D" w:rsidP="00F80A9F">
            <w:pPr>
              <w:jc w:val="center"/>
              <w:rPr>
                <w:sz w:val="20"/>
              </w:rPr>
            </w:pPr>
            <w:r>
              <w:rPr>
                <w:sz w:val="20"/>
              </w:rPr>
              <w:t>(Change from 2015)</w:t>
            </w:r>
          </w:p>
          <w:p w:rsidR="00ED3E9D" w:rsidRDefault="00ED3E9D" w:rsidP="00F80A9F">
            <w:pPr>
              <w:jc w:val="center"/>
              <w:rPr>
                <w:sz w:val="20"/>
              </w:rPr>
            </w:pPr>
            <w:r>
              <w:rPr>
                <w:sz w:val="20"/>
              </w:rPr>
              <w:t>($000)</w:t>
            </w:r>
          </w:p>
        </w:tc>
      </w:tr>
      <w:tr w:rsidR="00ED3E9D" w:rsidTr="00F80A9F">
        <w:tc>
          <w:tcPr>
            <w:tcW w:w="1644" w:type="dxa"/>
          </w:tcPr>
          <w:p w:rsidR="00ED3E9D" w:rsidRDefault="00ED3E9D" w:rsidP="00F80A9F">
            <w:pPr>
              <w:rPr>
                <w:sz w:val="20"/>
              </w:rPr>
            </w:pPr>
            <w:r>
              <w:rPr>
                <w:sz w:val="20"/>
              </w:rPr>
              <w:t>FSN</w:t>
            </w:r>
          </w:p>
        </w:tc>
        <w:tc>
          <w:tcPr>
            <w:tcW w:w="1344" w:type="dxa"/>
            <w:vAlign w:val="center"/>
          </w:tcPr>
          <w:p w:rsidR="00ED3E9D" w:rsidRDefault="00ED3E9D" w:rsidP="00F80A9F">
            <w:pPr>
              <w:pStyle w:val="xl19"/>
              <w:spacing w:before="0" w:after="0"/>
              <w:jc w:val="right"/>
              <w:rPr>
                <w:rFonts w:eastAsia="Times New Roman"/>
                <w:sz w:val="20"/>
                <w:szCs w:val="24"/>
              </w:rPr>
            </w:pPr>
            <w:r>
              <w:rPr>
                <w:rFonts w:eastAsia="Times New Roman"/>
                <w:sz w:val="20"/>
                <w:szCs w:val="24"/>
              </w:rPr>
              <w:t>$59</w:t>
            </w:r>
          </w:p>
        </w:tc>
        <w:tc>
          <w:tcPr>
            <w:tcW w:w="1350" w:type="dxa"/>
            <w:vAlign w:val="center"/>
          </w:tcPr>
          <w:p w:rsidR="00ED3E9D" w:rsidRDefault="00ED3E9D" w:rsidP="00F80A9F">
            <w:pPr>
              <w:jc w:val="right"/>
              <w:rPr>
                <w:sz w:val="20"/>
              </w:rPr>
            </w:pPr>
            <w:r>
              <w:rPr>
                <w:sz w:val="20"/>
              </w:rPr>
              <w:t>4</w:t>
            </w:r>
          </w:p>
        </w:tc>
        <w:tc>
          <w:tcPr>
            <w:tcW w:w="1620" w:type="dxa"/>
            <w:vAlign w:val="center"/>
          </w:tcPr>
          <w:p w:rsidR="00ED3E9D" w:rsidRDefault="00ED3E9D" w:rsidP="00F80A9F">
            <w:pPr>
              <w:jc w:val="right"/>
              <w:rPr>
                <w:sz w:val="20"/>
              </w:rPr>
            </w:pPr>
            <w:r>
              <w:rPr>
                <w:sz w:val="20"/>
              </w:rPr>
              <w:t>$236</w:t>
            </w:r>
          </w:p>
        </w:tc>
        <w:tc>
          <w:tcPr>
            <w:tcW w:w="1890" w:type="dxa"/>
            <w:vAlign w:val="center"/>
          </w:tcPr>
          <w:p w:rsidR="00ED3E9D" w:rsidRDefault="00ED3E9D" w:rsidP="00F80A9F">
            <w:pPr>
              <w:jc w:val="right"/>
              <w:rPr>
                <w:sz w:val="20"/>
              </w:rPr>
            </w:pPr>
            <w:r>
              <w:rPr>
                <w:sz w:val="20"/>
              </w:rPr>
              <w:t>$0</w:t>
            </w:r>
          </w:p>
        </w:tc>
        <w:tc>
          <w:tcPr>
            <w:tcW w:w="1980" w:type="dxa"/>
            <w:vAlign w:val="center"/>
          </w:tcPr>
          <w:p w:rsidR="00ED3E9D" w:rsidRDefault="00ED3E9D" w:rsidP="00F80A9F">
            <w:pPr>
              <w:jc w:val="right"/>
              <w:rPr>
                <w:sz w:val="20"/>
              </w:rPr>
            </w:pPr>
            <w:r>
              <w:rPr>
                <w:sz w:val="20"/>
              </w:rPr>
              <w:t>$0</w:t>
            </w:r>
          </w:p>
        </w:tc>
      </w:tr>
      <w:tr w:rsidR="00ED3E9D" w:rsidTr="00F80A9F">
        <w:tc>
          <w:tcPr>
            <w:tcW w:w="1644" w:type="dxa"/>
          </w:tcPr>
          <w:p w:rsidR="00ED3E9D" w:rsidRDefault="00ED3E9D" w:rsidP="00F80A9F">
            <w:pPr>
              <w:rPr>
                <w:sz w:val="20"/>
              </w:rPr>
            </w:pPr>
            <w:r>
              <w:rPr>
                <w:sz w:val="20"/>
              </w:rPr>
              <w:t>Travel</w:t>
            </w:r>
          </w:p>
        </w:tc>
        <w:tc>
          <w:tcPr>
            <w:tcW w:w="1344" w:type="dxa"/>
            <w:vAlign w:val="center"/>
          </w:tcPr>
          <w:p w:rsidR="00ED3E9D" w:rsidRDefault="00ED3E9D" w:rsidP="00F80A9F">
            <w:pPr>
              <w:pStyle w:val="xl19"/>
              <w:spacing w:before="0" w:after="0"/>
              <w:jc w:val="right"/>
              <w:rPr>
                <w:rFonts w:eastAsia="Times New Roman"/>
                <w:sz w:val="20"/>
                <w:szCs w:val="24"/>
              </w:rPr>
            </w:pPr>
            <w:r>
              <w:rPr>
                <w:rFonts w:eastAsia="Times New Roman"/>
                <w:sz w:val="20"/>
                <w:szCs w:val="24"/>
              </w:rPr>
              <w:t>n/a</w:t>
            </w:r>
          </w:p>
        </w:tc>
        <w:tc>
          <w:tcPr>
            <w:tcW w:w="1350" w:type="dxa"/>
            <w:vAlign w:val="center"/>
          </w:tcPr>
          <w:p w:rsidR="00ED3E9D" w:rsidRDefault="00ED3E9D" w:rsidP="00F80A9F">
            <w:pPr>
              <w:jc w:val="right"/>
              <w:rPr>
                <w:sz w:val="20"/>
              </w:rPr>
            </w:pPr>
            <w:r>
              <w:rPr>
                <w:sz w:val="20"/>
              </w:rPr>
              <w:t>n/a</w:t>
            </w:r>
          </w:p>
        </w:tc>
        <w:tc>
          <w:tcPr>
            <w:tcW w:w="1620" w:type="dxa"/>
            <w:vAlign w:val="center"/>
          </w:tcPr>
          <w:p w:rsidR="00ED3E9D" w:rsidRDefault="00ED3E9D" w:rsidP="00F80A9F">
            <w:pPr>
              <w:jc w:val="right"/>
              <w:rPr>
                <w:sz w:val="20"/>
              </w:rPr>
            </w:pPr>
            <w:r>
              <w:rPr>
                <w:sz w:val="20"/>
              </w:rPr>
              <w:t>$259</w:t>
            </w:r>
          </w:p>
        </w:tc>
        <w:tc>
          <w:tcPr>
            <w:tcW w:w="1890" w:type="dxa"/>
            <w:vAlign w:val="center"/>
          </w:tcPr>
          <w:p w:rsidR="00ED3E9D" w:rsidRDefault="00ED3E9D" w:rsidP="00F80A9F">
            <w:pPr>
              <w:jc w:val="right"/>
              <w:rPr>
                <w:sz w:val="20"/>
              </w:rPr>
            </w:pPr>
            <w:r>
              <w:rPr>
                <w:sz w:val="20"/>
              </w:rPr>
              <w:t>$259</w:t>
            </w:r>
          </w:p>
        </w:tc>
        <w:tc>
          <w:tcPr>
            <w:tcW w:w="1980" w:type="dxa"/>
            <w:vAlign w:val="center"/>
          </w:tcPr>
          <w:p w:rsidR="00ED3E9D" w:rsidRDefault="00ED3E9D" w:rsidP="00F80A9F">
            <w:pPr>
              <w:jc w:val="right"/>
              <w:rPr>
                <w:sz w:val="20"/>
              </w:rPr>
            </w:pPr>
            <w:r>
              <w:rPr>
                <w:sz w:val="20"/>
              </w:rPr>
              <w:t>$0</w:t>
            </w:r>
          </w:p>
        </w:tc>
      </w:tr>
      <w:tr w:rsidR="00ED3E9D" w:rsidTr="00F80A9F">
        <w:tc>
          <w:tcPr>
            <w:tcW w:w="1644" w:type="dxa"/>
          </w:tcPr>
          <w:p w:rsidR="00ED3E9D" w:rsidRDefault="00ED3E9D" w:rsidP="00F80A9F">
            <w:pPr>
              <w:rPr>
                <w:sz w:val="20"/>
              </w:rPr>
            </w:pPr>
            <w:r>
              <w:rPr>
                <w:sz w:val="20"/>
              </w:rPr>
              <w:t>Training</w:t>
            </w:r>
          </w:p>
        </w:tc>
        <w:tc>
          <w:tcPr>
            <w:tcW w:w="1344" w:type="dxa"/>
            <w:vAlign w:val="center"/>
          </w:tcPr>
          <w:p w:rsidR="00ED3E9D" w:rsidRDefault="00ED3E9D" w:rsidP="00F80A9F">
            <w:pPr>
              <w:pStyle w:val="xl19"/>
              <w:spacing w:before="0" w:after="0"/>
              <w:jc w:val="right"/>
              <w:rPr>
                <w:rFonts w:eastAsia="Times New Roman"/>
                <w:sz w:val="20"/>
                <w:szCs w:val="24"/>
              </w:rPr>
            </w:pPr>
            <w:r>
              <w:rPr>
                <w:rFonts w:eastAsia="Times New Roman"/>
                <w:sz w:val="20"/>
                <w:szCs w:val="24"/>
              </w:rPr>
              <w:t>n/a</w:t>
            </w:r>
          </w:p>
        </w:tc>
        <w:tc>
          <w:tcPr>
            <w:tcW w:w="1350" w:type="dxa"/>
            <w:vAlign w:val="center"/>
          </w:tcPr>
          <w:p w:rsidR="00ED3E9D" w:rsidRDefault="00ED3E9D" w:rsidP="00F80A9F">
            <w:pPr>
              <w:jc w:val="right"/>
              <w:rPr>
                <w:sz w:val="20"/>
              </w:rPr>
            </w:pPr>
            <w:r>
              <w:rPr>
                <w:sz w:val="20"/>
              </w:rPr>
              <w:t>n/a</w:t>
            </w:r>
          </w:p>
        </w:tc>
        <w:tc>
          <w:tcPr>
            <w:tcW w:w="1620" w:type="dxa"/>
            <w:vAlign w:val="center"/>
          </w:tcPr>
          <w:p w:rsidR="00ED3E9D" w:rsidRDefault="00ED3E9D" w:rsidP="00F80A9F">
            <w:pPr>
              <w:jc w:val="right"/>
              <w:rPr>
                <w:sz w:val="20"/>
              </w:rPr>
            </w:pPr>
            <w:r>
              <w:rPr>
                <w:sz w:val="20"/>
              </w:rPr>
              <w:t>$511</w:t>
            </w:r>
          </w:p>
        </w:tc>
        <w:tc>
          <w:tcPr>
            <w:tcW w:w="1890" w:type="dxa"/>
            <w:vAlign w:val="center"/>
          </w:tcPr>
          <w:p w:rsidR="00ED3E9D" w:rsidRDefault="00ED3E9D" w:rsidP="00F80A9F">
            <w:pPr>
              <w:jc w:val="right"/>
              <w:rPr>
                <w:sz w:val="20"/>
              </w:rPr>
            </w:pPr>
            <w:r>
              <w:rPr>
                <w:sz w:val="20"/>
              </w:rPr>
              <w:t>$511</w:t>
            </w:r>
          </w:p>
        </w:tc>
        <w:tc>
          <w:tcPr>
            <w:tcW w:w="1980" w:type="dxa"/>
            <w:vAlign w:val="center"/>
          </w:tcPr>
          <w:p w:rsidR="00ED3E9D" w:rsidRDefault="00ED3E9D" w:rsidP="00F80A9F">
            <w:pPr>
              <w:jc w:val="right"/>
              <w:rPr>
                <w:sz w:val="20"/>
              </w:rPr>
            </w:pPr>
            <w:r>
              <w:rPr>
                <w:sz w:val="20"/>
              </w:rPr>
              <w:t>$0</w:t>
            </w:r>
          </w:p>
        </w:tc>
      </w:tr>
      <w:tr w:rsidR="00ED3E9D" w:rsidTr="00F80A9F">
        <w:tc>
          <w:tcPr>
            <w:tcW w:w="1644" w:type="dxa"/>
          </w:tcPr>
          <w:p w:rsidR="00ED3E9D" w:rsidRDefault="00ED3E9D" w:rsidP="00F80A9F">
            <w:pPr>
              <w:rPr>
                <w:sz w:val="20"/>
              </w:rPr>
            </w:pPr>
            <w:r>
              <w:rPr>
                <w:sz w:val="20"/>
              </w:rPr>
              <w:t>Total Non-Personnel</w:t>
            </w:r>
          </w:p>
        </w:tc>
        <w:tc>
          <w:tcPr>
            <w:tcW w:w="1344" w:type="dxa"/>
            <w:vAlign w:val="center"/>
          </w:tcPr>
          <w:p w:rsidR="00ED3E9D" w:rsidRDefault="00ED3E9D" w:rsidP="00F80A9F">
            <w:pPr>
              <w:pStyle w:val="xl19"/>
              <w:spacing w:before="0" w:after="0"/>
              <w:jc w:val="right"/>
              <w:rPr>
                <w:rFonts w:eastAsia="Times New Roman"/>
                <w:sz w:val="20"/>
                <w:szCs w:val="24"/>
              </w:rPr>
            </w:pPr>
            <w:r>
              <w:rPr>
                <w:rFonts w:eastAsia="Times New Roman"/>
                <w:sz w:val="20"/>
                <w:szCs w:val="24"/>
              </w:rPr>
              <w:t>n/a</w:t>
            </w:r>
          </w:p>
        </w:tc>
        <w:tc>
          <w:tcPr>
            <w:tcW w:w="1350" w:type="dxa"/>
            <w:vAlign w:val="center"/>
          </w:tcPr>
          <w:p w:rsidR="00ED3E9D" w:rsidRDefault="00ED3E9D" w:rsidP="00F80A9F">
            <w:pPr>
              <w:jc w:val="right"/>
              <w:rPr>
                <w:sz w:val="20"/>
              </w:rPr>
            </w:pPr>
            <w:r>
              <w:rPr>
                <w:sz w:val="20"/>
              </w:rPr>
              <w:t>n/a</w:t>
            </w:r>
          </w:p>
        </w:tc>
        <w:tc>
          <w:tcPr>
            <w:tcW w:w="1620" w:type="dxa"/>
            <w:vAlign w:val="center"/>
          </w:tcPr>
          <w:p w:rsidR="00ED3E9D" w:rsidRDefault="00ED3E9D" w:rsidP="00F80A9F">
            <w:pPr>
              <w:jc w:val="right"/>
              <w:rPr>
                <w:sz w:val="20"/>
              </w:rPr>
            </w:pPr>
            <w:r>
              <w:rPr>
                <w:sz w:val="20"/>
              </w:rPr>
              <w:t>1,006</w:t>
            </w:r>
          </w:p>
        </w:tc>
        <w:tc>
          <w:tcPr>
            <w:tcW w:w="1890" w:type="dxa"/>
            <w:vAlign w:val="center"/>
          </w:tcPr>
          <w:p w:rsidR="00ED3E9D" w:rsidRDefault="00ED3E9D" w:rsidP="00F80A9F">
            <w:pPr>
              <w:jc w:val="right"/>
              <w:rPr>
                <w:sz w:val="20"/>
              </w:rPr>
            </w:pPr>
            <w:r>
              <w:rPr>
                <w:sz w:val="20"/>
              </w:rPr>
              <w:t>$770</w:t>
            </w:r>
          </w:p>
        </w:tc>
        <w:tc>
          <w:tcPr>
            <w:tcW w:w="1980" w:type="dxa"/>
            <w:vAlign w:val="center"/>
          </w:tcPr>
          <w:p w:rsidR="00ED3E9D" w:rsidRDefault="00ED3E9D" w:rsidP="00F80A9F">
            <w:pPr>
              <w:jc w:val="right"/>
              <w:rPr>
                <w:sz w:val="20"/>
              </w:rPr>
            </w:pPr>
            <w:r>
              <w:rPr>
                <w:sz w:val="20"/>
              </w:rPr>
              <w:t>$0</w:t>
            </w:r>
          </w:p>
        </w:tc>
      </w:tr>
    </w:tbl>
    <w:p w:rsidR="00460C01" w:rsidRDefault="00460C01" w:rsidP="00ED3E9D">
      <w:pPr>
        <w:pStyle w:val="xl24"/>
        <w:spacing w:before="0" w:after="0"/>
        <w:rPr>
          <w:rFonts w:eastAsia="Times New Roman"/>
          <w:szCs w:val="24"/>
        </w:rPr>
      </w:pPr>
    </w:p>
    <w:p w:rsidR="00ED3E9D" w:rsidRDefault="00ED3E9D" w:rsidP="00ED3E9D">
      <w:pPr>
        <w:pStyle w:val="xl24"/>
        <w:spacing w:before="0" w:after="0"/>
        <w:rPr>
          <w:rFonts w:eastAsia="Times New Roman"/>
          <w:szCs w:val="24"/>
        </w:rPr>
      </w:pPr>
      <w:r>
        <w:rPr>
          <w:rFonts w:eastAsia="Times New Roman"/>
          <w:szCs w:val="24"/>
        </w:rPr>
        <w:t>Total Request for this Item</w:t>
      </w:r>
    </w:p>
    <w:p w:rsidR="00ED3E9D" w:rsidRDefault="00ED3E9D" w:rsidP="00ED3E9D"/>
    <w:tbl>
      <w:tblPr>
        <w:tblW w:w="102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7"/>
        <w:gridCol w:w="604"/>
        <w:gridCol w:w="928"/>
        <w:gridCol w:w="669"/>
        <w:gridCol w:w="1030"/>
        <w:gridCol w:w="1297"/>
        <w:gridCol w:w="1043"/>
        <w:gridCol w:w="1710"/>
        <w:gridCol w:w="1890"/>
      </w:tblGrid>
      <w:tr w:rsidR="00ED3E9D" w:rsidTr="00F80A9F">
        <w:trPr>
          <w:trHeight w:val="658"/>
        </w:trPr>
        <w:tc>
          <w:tcPr>
            <w:tcW w:w="1107" w:type="dxa"/>
            <w:shd w:val="clear" w:color="auto" w:fill="E6E6E6"/>
          </w:tcPr>
          <w:p w:rsidR="00ED3E9D" w:rsidRDefault="00ED3E9D" w:rsidP="00F80A9F">
            <w:pPr>
              <w:rPr>
                <w:sz w:val="20"/>
              </w:rPr>
            </w:pPr>
          </w:p>
          <w:p w:rsidR="00ED3E9D" w:rsidRPr="006A30E2" w:rsidRDefault="00ED3E9D" w:rsidP="00F80A9F">
            <w:pPr>
              <w:rPr>
                <w:sz w:val="20"/>
              </w:rPr>
            </w:pPr>
          </w:p>
        </w:tc>
        <w:tc>
          <w:tcPr>
            <w:tcW w:w="604" w:type="dxa"/>
            <w:vAlign w:val="center"/>
          </w:tcPr>
          <w:p w:rsidR="00ED3E9D" w:rsidRDefault="00ED3E9D" w:rsidP="00F80A9F">
            <w:pPr>
              <w:jc w:val="center"/>
              <w:rPr>
                <w:sz w:val="20"/>
              </w:rPr>
            </w:pPr>
            <w:r>
              <w:rPr>
                <w:sz w:val="20"/>
              </w:rPr>
              <w:t>Pos</w:t>
            </w:r>
          </w:p>
        </w:tc>
        <w:tc>
          <w:tcPr>
            <w:tcW w:w="928" w:type="dxa"/>
            <w:vAlign w:val="center"/>
          </w:tcPr>
          <w:p w:rsidR="00ED3E9D" w:rsidRDefault="00ED3E9D" w:rsidP="00F80A9F">
            <w:pPr>
              <w:jc w:val="center"/>
              <w:rPr>
                <w:sz w:val="20"/>
              </w:rPr>
            </w:pPr>
          </w:p>
          <w:p w:rsidR="00ED3E9D" w:rsidRDefault="00ED3E9D" w:rsidP="00F80A9F">
            <w:pPr>
              <w:jc w:val="center"/>
              <w:rPr>
                <w:sz w:val="20"/>
              </w:rPr>
            </w:pPr>
            <w:proofErr w:type="spellStart"/>
            <w:r>
              <w:rPr>
                <w:sz w:val="20"/>
              </w:rPr>
              <w:t>Atty</w:t>
            </w:r>
            <w:proofErr w:type="spellEnd"/>
          </w:p>
          <w:p w:rsidR="00ED3E9D" w:rsidRDefault="00ED3E9D" w:rsidP="00F80A9F">
            <w:pPr>
              <w:jc w:val="center"/>
              <w:rPr>
                <w:sz w:val="20"/>
              </w:rPr>
            </w:pPr>
          </w:p>
        </w:tc>
        <w:tc>
          <w:tcPr>
            <w:tcW w:w="669" w:type="dxa"/>
            <w:vAlign w:val="center"/>
          </w:tcPr>
          <w:p w:rsidR="00ED3E9D" w:rsidRDefault="00ED3E9D" w:rsidP="00F80A9F">
            <w:pPr>
              <w:jc w:val="center"/>
              <w:rPr>
                <w:sz w:val="20"/>
              </w:rPr>
            </w:pPr>
            <w:r>
              <w:rPr>
                <w:sz w:val="20"/>
              </w:rPr>
              <w:t>FTE</w:t>
            </w:r>
          </w:p>
        </w:tc>
        <w:tc>
          <w:tcPr>
            <w:tcW w:w="1030" w:type="dxa"/>
            <w:vAlign w:val="center"/>
          </w:tcPr>
          <w:p w:rsidR="00ED3E9D" w:rsidRDefault="00ED3E9D" w:rsidP="00F80A9F">
            <w:pPr>
              <w:jc w:val="center"/>
              <w:rPr>
                <w:sz w:val="20"/>
              </w:rPr>
            </w:pPr>
            <w:r>
              <w:rPr>
                <w:sz w:val="20"/>
              </w:rPr>
              <w:t>Personnel</w:t>
            </w:r>
          </w:p>
          <w:p w:rsidR="00ED3E9D" w:rsidRDefault="00ED3E9D" w:rsidP="00F80A9F">
            <w:pPr>
              <w:jc w:val="center"/>
              <w:rPr>
                <w:sz w:val="20"/>
              </w:rPr>
            </w:pPr>
            <w:r>
              <w:rPr>
                <w:sz w:val="20"/>
              </w:rPr>
              <w:t>($000)</w:t>
            </w:r>
          </w:p>
        </w:tc>
        <w:tc>
          <w:tcPr>
            <w:tcW w:w="1297" w:type="dxa"/>
            <w:vAlign w:val="center"/>
          </w:tcPr>
          <w:p w:rsidR="00ED3E9D" w:rsidRDefault="00ED3E9D" w:rsidP="00F80A9F">
            <w:pPr>
              <w:jc w:val="center"/>
              <w:rPr>
                <w:sz w:val="20"/>
              </w:rPr>
            </w:pPr>
            <w:r>
              <w:rPr>
                <w:sz w:val="20"/>
              </w:rPr>
              <w:t>Non-Personnel</w:t>
            </w:r>
          </w:p>
          <w:p w:rsidR="00ED3E9D" w:rsidRDefault="00ED3E9D" w:rsidP="00F80A9F">
            <w:pPr>
              <w:jc w:val="center"/>
              <w:rPr>
                <w:sz w:val="20"/>
              </w:rPr>
            </w:pPr>
            <w:r>
              <w:rPr>
                <w:sz w:val="20"/>
              </w:rPr>
              <w:t>($000)</w:t>
            </w:r>
          </w:p>
        </w:tc>
        <w:tc>
          <w:tcPr>
            <w:tcW w:w="1043" w:type="dxa"/>
          </w:tcPr>
          <w:p w:rsidR="00ED3E9D" w:rsidRDefault="00ED3E9D" w:rsidP="00F80A9F">
            <w:pPr>
              <w:jc w:val="center"/>
              <w:rPr>
                <w:sz w:val="20"/>
              </w:rPr>
            </w:pPr>
          </w:p>
          <w:p w:rsidR="00ED3E9D" w:rsidRDefault="00ED3E9D" w:rsidP="00F80A9F">
            <w:pPr>
              <w:jc w:val="center"/>
              <w:rPr>
                <w:sz w:val="20"/>
              </w:rPr>
            </w:pPr>
            <w:r>
              <w:rPr>
                <w:sz w:val="20"/>
              </w:rPr>
              <w:t>Total</w:t>
            </w:r>
          </w:p>
          <w:p w:rsidR="00ED3E9D" w:rsidRDefault="00ED3E9D" w:rsidP="00F80A9F">
            <w:pPr>
              <w:jc w:val="center"/>
              <w:rPr>
                <w:sz w:val="20"/>
              </w:rPr>
            </w:pPr>
            <w:r>
              <w:rPr>
                <w:sz w:val="20"/>
              </w:rPr>
              <w:t>($000)</w:t>
            </w:r>
          </w:p>
        </w:tc>
        <w:tc>
          <w:tcPr>
            <w:tcW w:w="1710" w:type="dxa"/>
            <w:vAlign w:val="center"/>
          </w:tcPr>
          <w:p w:rsidR="00ED3E9D" w:rsidRDefault="00ED3E9D" w:rsidP="00F80A9F">
            <w:pPr>
              <w:jc w:val="center"/>
              <w:rPr>
                <w:sz w:val="20"/>
              </w:rPr>
            </w:pPr>
            <w:r>
              <w:rPr>
                <w:sz w:val="20"/>
              </w:rPr>
              <w:t>FY 2015 Net</w:t>
            </w:r>
          </w:p>
          <w:p w:rsidR="00ED3E9D" w:rsidRDefault="00ED3E9D" w:rsidP="00F80A9F">
            <w:pPr>
              <w:jc w:val="center"/>
              <w:rPr>
                <w:sz w:val="20"/>
              </w:rPr>
            </w:pPr>
            <w:proofErr w:type="spellStart"/>
            <w:r>
              <w:rPr>
                <w:sz w:val="20"/>
              </w:rPr>
              <w:t>Annualization</w:t>
            </w:r>
            <w:proofErr w:type="spellEnd"/>
          </w:p>
          <w:p w:rsidR="00ED3E9D" w:rsidRDefault="00ED3E9D" w:rsidP="00F80A9F">
            <w:pPr>
              <w:jc w:val="center"/>
              <w:rPr>
                <w:sz w:val="20"/>
              </w:rPr>
            </w:pPr>
            <w:r>
              <w:rPr>
                <w:sz w:val="20"/>
              </w:rPr>
              <w:t>(Change from 2014)</w:t>
            </w:r>
          </w:p>
          <w:p w:rsidR="00ED3E9D" w:rsidRDefault="00ED3E9D" w:rsidP="00F80A9F">
            <w:pPr>
              <w:jc w:val="center"/>
              <w:rPr>
                <w:sz w:val="20"/>
              </w:rPr>
            </w:pPr>
            <w:r>
              <w:rPr>
                <w:sz w:val="20"/>
              </w:rPr>
              <w:t>($000)</w:t>
            </w:r>
          </w:p>
        </w:tc>
        <w:tc>
          <w:tcPr>
            <w:tcW w:w="1890" w:type="dxa"/>
          </w:tcPr>
          <w:p w:rsidR="00ED3E9D" w:rsidRDefault="00ED3E9D" w:rsidP="00F80A9F">
            <w:pPr>
              <w:jc w:val="center"/>
              <w:rPr>
                <w:sz w:val="20"/>
              </w:rPr>
            </w:pPr>
            <w:r>
              <w:rPr>
                <w:sz w:val="20"/>
              </w:rPr>
              <w:t>FY 2016 Net</w:t>
            </w:r>
          </w:p>
          <w:p w:rsidR="00ED3E9D" w:rsidRDefault="00ED3E9D" w:rsidP="00F80A9F">
            <w:pPr>
              <w:jc w:val="center"/>
              <w:rPr>
                <w:sz w:val="20"/>
              </w:rPr>
            </w:pPr>
            <w:proofErr w:type="spellStart"/>
            <w:r>
              <w:rPr>
                <w:sz w:val="20"/>
              </w:rPr>
              <w:t>Annualization</w:t>
            </w:r>
            <w:proofErr w:type="spellEnd"/>
          </w:p>
          <w:p w:rsidR="00ED3E9D" w:rsidRDefault="00ED3E9D" w:rsidP="00F80A9F">
            <w:pPr>
              <w:jc w:val="center"/>
              <w:rPr>
                <w:sz w:val="20"/>
              </w:rPr>
            </w:pPr>
            <w:r>
              <w:rPr>
                <w:sz w:val="20"/>
              </w:rPr>
              <w:t>(Change from 2015)</w:t>
            </w:r>
          </w:p>
          <w:p w:rsidR="00ED3E9D" w:rsidRDefault="00ED3E9D" w:rsidP="00F80A9F">
            <w:pPr>
              <w:jc w:val="center"/>
              <w:rPr>
                <w:sz w:val="20"/>
              </w:rPr>
            </w:pPr>
            <w:r>
              <w:rPr>
                <w:sz w:val="20"/>
              </w:rPr>
              <w:t>($000)</w:t>
            </w:r>
          </w:p>
        </w:tc>
      </w:tr>
      <w:tr w:rsidR="00ED3E9D" w:rsidTr="00F80A9F">
        <w:trPr>
          <w:trHeight w:val="215"/>
        </w:trPr>
        <w:tc>
          <w:tcPr>
            <w:tcW w:w="1107" w:type="dxa"/>
          </w:tcPr>
          <w:p w:rsidR="00ED3E9D" w:rsidRDefault="00ED3E9D" w:rsidP="00F80A9F">
            <w:pPr>
              <w:rPr>
                <w:sz w:val="20"/>
              </w:rPr>
            </w:pPr>
            <w:r>
              <w:rPr>
                <w:sz w:val="20"/>
              </w:rPr>
              <w:t>Current Services</w:t>
            </w:r>
          </w:p>
        </w:tc>
        <w:tc>
          <w:tcPr>
            <w:tcW w:w="604" w:type="dxa"/>
            <w:vAlign w:val="center"/>
          </w:tcPr>
          <w:p w:rsidR="00ED3E9D" w:rsidRDefault="00ED3E9D" w:rsidP="00F80A9F">
            <w:pPr>
              <w:jc w:val="right"/>
              <w:rPr>
                <w:sz w:val="20"/>
              </w:rPr>
            </w:pPr>
            <w:r>
              <w:rPr>
                <w:sz w:val="20"/>
              </w:rPr>
              <w:t>22</w:t>
            </w:r>
          </w:p>
        </w:tc>
        <w:tc>
          <w:tcPr>
            <w:tcW w:w="928" w:type="dxa"/>
            <w:vAlign w:val="center"/>
          </w:tcPr>
          <w:p w:rsidR="00ED3E9D" w:rsidRDefault="00ED3E9D" w:rsidP="00F80A9F">
            <w:pPr>
              <w:jc w:val="right"/>
              <w:rPr>
                <w:sz w:val="20"/>
              </w:rPr>
            </w:pPr>
            <w:r>
              <w:rPr>
                <w:sz w:val="20"/>
              </w:rPr>
              <w:t>18</w:t>
            </w:r>
          </w:p>
        </w:tc>
        <w:tc>
          <w:tcPr>
            <w:tcW w:w="669" w:type="dxa"/>
            <w:vAlign w:val="center"/>
          </w:tcPr>
          <w:p w:rsidR="00ED3E9D" w:rsidRDefault="00ED3E9D" w:rsidP="00F80A9F">
            <w:pPr>
              <w:jc w:val="right"/>
              <w:rPr>
                <w:sz w:val="20"/>
              </w:rPr>
            </w:pPr>
            <w:r>
              <w:rPr>
                <w:sz w:val="20"/>
              </w:rPr>
              <w:t>21</w:t>
            </w:r>
          </w:p>
        </w:tc>
        <w:tc>
          <w:tcPr>
            <w:tcW w:w="1030" w:type="dxa"/>
            <w:vAlign w:val="center"/>
          </w:tcPr>
          <w:p w:rsidR="00ED3E9D" w:rsidRDefault="00ED3E9D" w:rsidP="00F80A9F">
            <w:pPr>
              <w:jc w:val="right"/>
              <w:rPr>
                <w:sz w:val="20"/>
              </w:rPr>
            </w:pPr>
            <w:r>
              <w:rPr>
                <w:sz w:val="20"/>
              </w:rPr>
              <w:t>n/a</w:t>
            </w:r>
          </w:p>
        </w:tc>
        <w:tc>
          <w:tcPr>
            <w:tcW w:w="1297" w:type="dxa"/>
            <w:vAlign w:val="center"/>
          </w:tcPr>
          <w:p w:rsidR="00ED3E9D" w:rsidRDefault="00ED3E9D" w:rsidP="00F80A9F">
            <w:pPr>
              <w:jc w:val="right"/>
              <w:rPr>
                <w:sz w:val="20"/>
              </w:rPr>
            </w:pPr>
            <w:r>
              <w:rPr>
                <w:sz w:val="20"/>
              </w:rPr>
              <w:t>n/a</w:t>
            </w:r>
          </w:p>
        </w:tc>
        <w:tc>
          <w:tcPr>
            <w:tcW w:w="1043" w:type="dxa"/>
            <w:vAlign w:val="center"/>
          </w:tcPr>
          <w:p w:rsidR="00ED3E9D" w:rsidRDefault="00ED3E9D" w:rsidP="00F80A9F">
            <w:pPr>
              <w:jc w:val="right"/>
              <w:rPr>
                <w:sz w:val="20"/>
              </w:rPr>
            </w:pPr>
            <w:r>
              <w:rPr>
                <w:sz w:val="20"/>
              </w:rPr>
              <w:t>$5,081</w:t>
            </w:r>
          </w:p>
        </w:tc>
        <w:tc>
          <w:tcPr>
            <w:tcW w:w="1710" w:type="dxa"/>
            <w:vAlign w:val="center"/>
          </w:tcPr>
          <w:p w:rsidR="00ED3E9D" w:rsidRDefault="00ED3E9D" w:rsidP="00F80A9F">
            <w:pPr>
              <w:jc w:val="right"/>
              <w:rPr>
                <w:sz w:val="20"/>
              </w:rPr>
            </w:pPr>
            <w:r>
              <w:rPr>
                <w:sz w:val="20"/>
              </w:rPr>
              <w:t>n/a</w:t>
            </w:r>
          </w:p>
        </w:tc>
        <w:tc>
          <w:tcPr>
            <w:tcW w:w="1890" w:type="dxa"/>
            <w:vAlign w:val="center"/>
          </w:tcPr>
          <w:p w:rsidR="00ED3E9D" w:rsidRDefault="00ED3E9D" w:rsidP="00F80A9F">
            <w:pPr>
              <w:jc w:val="right"/>
              <w:rPr>
                <w:sz w:val="20"/>
              </w:rPr>
            </w:pPr>
            <w:r>
              <w:rPr>
                <w:sz w:val="20"/>
              </w:rPr>
              <w:t>n/a</w:t>
            </w:r>
          </w:p>
        </w:tc>
      </w:tr>
      <w:tr w:rsidR="00ED3E9D" w:rsidTr="00F80A9F">
        <w:trPr>
          <w:trHeight w:val="215"/>
        </w:trPr>
        <w:tc>
          <w:tcPr>
            <w:tcW w:w="1107" w:type="dxa"/>
          </w:tcPr>
          <w:p w:rsidR="00ED3E9D" w:rsidRDefault="00ED3E9D" w:rsidP="00F80A9F">
            <w:pPr>
              <w:rPr>
                <w:sz w:val="20"/>
              </w:rPr>
            </w:pPr>
            <w:r>
              <w:rPr>
                <w:sz w:val="20"/>
              </w:rPr>
              <w:lastRenderedPageBreak/>
              <w:t>Increases</w:t>
            </w:r>
          </w:p>
        </w:tc>
        <w:tc>
          <w:tcPr>
            <w:tcW w:w="604" w:type="dxa"/>
            <w:vAlign w:val="center"/>
          </w:tcPr>
          <w:p w:rsidR="00ED3E9D" w:rsidRDefault="00ED3E9D" w:rsidP="00F80A9F">
            <w:pPr>
              <w:jc w:val="right"/>
              <w:rPr>
                <w:sz w:val="20"/>
              </w:rPr>
            </w:pPr>
            <w:r>
              <w:rPr>
                <w:sz w:val="20"/>
              </w:rPr>
              <w:t>11</w:t>
            </w:r>
          </w:p>
        </w:tc>
        <w:tc>
          <w:tcPr>
            <w:tcW w:w="928" w:type="dxa"/>
            <w:vAlign w:val="center"/>
          </w:tcPr>
          <w:p w:rsidR="00ED3E9D" w:rsidRDefault="00ED3E9D" w:rsidP="00F80A9F">
            <w:pPr>
              <w:jc w:val="right"/>
              <w:rPr>
                <w:sz w:val="20"/>
              </w:rPr>
            </w:pPr>
            <w:r>
              <w:rPr>
                <w:sz w:val="20"/>
              </w:rPr>
              <w:t>7</w:t>
            </w:r>
          </w:p>
        </w:tc>
        <w:tc>
          <w:tcPr>
            <w:tcW w:w="669" w:type="dxa"/>
            <w:vAlign w:val="center"/>
          </w:tcPr>
          <w:p w:rsidR="00ED3E9D" w:rsidRDefault="00ED3E9D" w:rsidP="00F80A9F">
            <w:pPr>
              <w:jc w:val="right"/>
              <w:rPr>
                <w:sz w:val="20"/>
              </w:rPr>
            </w:pPr>
            <w:r>
              <w:rPr>
                <w:sz w:val="20"/>
              </w:rPr>
              <w:t>6</w:t>
            </w:r>
          </w:p>
        </w:tc>
        <w:tc>
          <w:tcPr>
            <w:tcW w:w="1030" w:type="dxa"/>
            <w:vAlign w:val="center"/>
          </w:tcPr>
          <w:p w:rsidR="00ED3E9D" w:rsidRDefault="00ED3E9D" w:rsidP="00F80A9F">
            <w:pPr>
              <w:jc w:val="right"/>
              <w:rPr>
                <w:sz w:val="20"/>
              </w:rPr>
            </w:pPr>
            <w:r>
              <w:rPr>
                <w:sz w:val="20"/>
              </w:rPr>
              <w:t>$2,494</w:t>
            </w:r>
          </w:p>
        </w:tc>
        <w:tc>
          <w:tcPr>
            <w:tcW w:w="1297" w:type="dxa"/>
            <w:vAlign w:val="center"/>
          </w:tcPr>
          <w:p w:rsidR="00ED3E9D" w:rsidRDefault="00ED3E9D" w:rsidP="00F80A9F">
            <w:pPr>
              <w:jc w:val="right"/>
              <w:rPr>
                <w:sz w:val="20"/>
              </w:rPr>
            </w:pPr>
            <w:r>
              <w:rPr>
                <w:sz w:val="20"/>
              </w:rPr>
              <w:t>$1,006</w:t>
            </w:r>
          </w:p>
        </w:tc>
        <w:tc>
          <w:tcPr>
            <w:tcW w:w="1043" w:type="dxa"/>
            <w:vAlign w:val="center"/>
          </w:tcPr>
          <w:p w:rsidR="00ED3E9D" w:rsidRDefault="00ED3E9D" w:rsidP="00F80A9F">
            <w:pPr>
              <w:jc w:val="right"/>
              <w:rPr>
                <w:sz w:val="20"/>
              </w:rPr>
            </w:pPr>
            <w:r>
              <w:rPr>
                <w:sz w:val="20"/>
              </w:rPr>
              <w:t>$3,500</w:t>
            </w:r>
          </w:p>
        </w:tc>
        <w:tc>
          <w:tcPr>
            <w:tcW w:w="1710" w:type="dxa"/>
            <w:vAlign w:val="center"/>
          </w:tcPr>
          <w:p w:rsidR="00ED3E9D" w:rsidRDefault="00ED3E9D" w:rsidP="00F80A9F">
            <w:pPr>
              <w:jc w:val="right"/>
              <w:rPr>
                <w:sz w:val="20"/>
              </w:rPr>
            </w:pPr>
            <w:r>
              <w:rPr>
                <w:sz w:val="20"/>
              </w:rPr>
              <w:t>$1,974</w:t>
            </w:r>
          </w:p>
        </w:tc>
        <w:tc>
          <w:tcPr>
            <w:tcW w:w="1890" w:type="dxa"/>
            <w:vAlign w:val="center"/>
          </w:tcPr>
          <w:p w:rsidR="00ED3E9D" w:rsidRDefault="00ED3E9D" w:rsidP="00F80A9F">
            <w:pPr>
              <w:jc w:val="right"/>
              <w:rPr>
                <w:sz w:val="20"/>
              </w:rPr>
            </w:pPr>
            <w:r>
              <w:rPr>
                <w:sz w:val="20"/>
              </w:rPr>
              <w:t>$196</w:t>
            </w:r>
          </w:p>
        </w:tc>
      </w:tr>
      <w:tr w:rsidR="00ED3E9D" w:rsidTr="00F80A9F">
        <w:trPr>
          <w:trHeight w:val="215"/>
        </w:trPr>
        <w:tc>
          <w:tcPr>
            <w:tcW w:w="1107" w:type="dxa"/>
          </w:tcPr>
          <w:p w:rsidR="00ED3E9D" w:rsidRDefault="00ED3E9D" w:rsidP="00F80A9F">
            <w:pPr>
              <w:rPr>
                <w:sz w:val="20"/>
              </w:rPr>
            </w:pPr>
            <w:r>
              <w:rPr>
                <w:sz w:val="20"/>
              </w:rPr>
              <w:t>Grand Total</w:t>
            </w:r>
          </w:p>
        </w:tc>
        <w:tc>
          <w:tcPr>
            <w:tcW w:w="604" w:type="dxa"/>
            <w:vAlign w:val="center"/>
          </w:tcPr>
          <w:p w:rsidR="00ED3E9D" w:rsidRDefault="00ED3E9D" w:rsidP="00F80A9F">
            <w:pPr>
              <w:jc w:val="right"/>
              <w:rPr>
                <w:sz w:val="20"/>
              </w:rPr>
            </w:pPr>
            <w:r>
              <w:rPr>
                <w:sz w:val="20"/>
              </w:rPr>
              <w:t>33</w:t>
            </w:r>
          </w:p>
        </w:tc>
        <w:tc>
          <w:tcPr>
            <w:tcW w:w="928" w:type="dxa"/>
            <w:vAlign w:val="center"/>
          </w:tcPr>
          <w:p w:rsidR="00ED3E9D" w:rsidRDefault="00ED3E9D" w:rsidP="00F80A9F">
            <w:pPr>
              <w:jc w:val="right"/>
              <w:rPr>
                <w:sz w:val="20"/>
              </w:rPr>
            </w:pPr>
            <w:r>
              <w:rPr>
                <w:sz w:val="20"/>
              </w:rPr>
              <w:t>25</w:t>
            </w:r>
          </w:p>
        </w:tc>
        <w:tc>
          <w:tcPr>
            <w:tcW w:w="669" w:type="dxa"/>
            <w:vAlign w:val="center"/>
          </w:tcPr>
          <w:p w:rsidR="00ED3E9D" w:rsidRDefault="00ED3E9D" w:rsidP="00F80A9F">
            <w:pPr>
              <w:jc w:val="right"/>
              <w:rPr>
                <w:sz w:val="20"/>
              </w:rPr>
            </w:pPr>
            <w:r>
              <w:rPr>
                <w:sz w:val="20"/>
              </w:rPr>
              <w:t>27</w:t>
            </w:r>
          </w:p>
        </w:tc>
        <w:tc>
          <w:tcPr>
            <w:tcW w:w="1030" w:type="dxa"/>
            <w:vAlign w:val="center"/>
          </w:tcPr>
          <w:p w:rsidR="00ED3E9D" w:rsidRDefault="00ED3E9D" w:rsidP="00F80A9F">
            <w:pPr>
              <w:jc w:val="right"/>
              <w:rPr>
                <w:sz w:val="20"/>
              </w:rPr>
            </w:pPr>
            <w:r>
              <w:rPr>
                <w:sz w:val="20"/>
              </w:rPr>
              <w:t>$2,494</w:t>
            </w:r>
          </w:p>
        </w:tc>
        <w:tc>
          <w:tcPr>
            <w:tcW w:w="1297" w:type="dxa"/>
            <w:vAlign w:val="center"/>
          </w:tcPr>
          <w:p w:rsidR="00ED3E9D" w:rsidRDefault="00ED3E9D" w:rsidP="00F80A9F">
            <w:pPr>
              <w:jc w:val="right"/>
              <w:rPr>
                <w:sz w:val="20"/>
              </w:rPr>
            </w:pPr>
            <w:r>
              <w:rPr>
                <w:sz w:val="20"/>
              </w:rPr>
              <w:t>$1,006</w:t>
            </w:r>
          </w:p>
        </w:tc>
        <w:tc>
          <w:tcPr>
            <w:tcW w:w="1043" w:type="dxa"/>
            <w:vAlign w:val="center"/>
          </w:tcPr>
          <w:p w:rsidR="00ED3E9D" w:rsidRDefault="00ED3E9D" w:rsidP="00F80A9F">
            <w:pPr>
              <w:jc w:val="right"/>
              <w:rPr>
                <w:sz w:val="20"/>
              </w:rPr>
            </w:pPr>
            <w:r>
              <w:rPr>
                <w:sz w:val="20"/>
              </w:rPr>
              <w:t>$8,581</w:t>
            </w:r>
          </w:p>
        </w:tc>
        <w:tc>
          <w:tcPr>
            <w:tcW w:w="1710" w:type="dxa"/>
            <w:vAlign w:val="center"/>
          </w:tcPr>
          <w:p w:rsidR="00ED3E9D" w:rsidRDefault="00ED3E9D" w:rsidP="00F80A9F">
            <w:pPr>
              <w:jc w:val="right"/>
              <w:rPr>
                <w:sz w:val="20"/>
              </w:rPr>
            </w:pPr>
            <w:r>
              <w:rPr>
                <w:sz w:val="20"/>
              </w:rPr>
              <w:t>$1,974</w:t>
            </w:r>
          </w:p>
        </w:tc>
        <w:tc>
          <w:tcPr>
            <w:tcW w:w="1890" w:type="dxa"/>
            <w:vAlign w:val="center"/>
          </w:tcPr>
          <w:p w:rsidR="00ED3E9D" w:rsidRDefault="00ED3E9D" w:rsidP="00F80A9F">
            <w:pPr>
              <w:jc w:val="right"/>
              <w:rPr>
                <w:sz w:val="20"/>
              </w:rPr>
            </w:pPr>
            <w:r>
              <w:rPr>
                <w:sz w:val="20"/>
              </w:rPr>
              <w:t>$196</w:t>
            </w:r>
          </w:p>
        </w:tc>
      </w:tr>
    </w:tbl>
    <w:p w:rsidR="00ED3E9D" w:rsidRDefault="00ED3E9D" w:rsidP="00ED3E9D">
      <w:pPr>
        <w:pStyle w:val="BodyText2"/>
        <w:rPr>
          <w:sz w:val="24"/>
        </w:rPr>
      </w:pPr>
    </w:p>
    <w:p w:rsidR="00ED3E9D" w:rsidRDefault="00ED3E9D" w:rsidP="00ED3E9D">
      <w:pPr>
        <w:rPr>
          <w:b/>
        </w:rPr>
      </w:pPr>
    </w:p>
    <w:p w:rsidR="00C171B6" w:rsidRDefault="00C171B6" w:rsidP="00ED3E9D">
      <w:pPr>
        <w:rPr>
          <w:b/>
        </w:rPr>
      </w:pPr>
    </w:p>
    <w:p w:rsidR="004305CE" w:rsidRDefault="004305CE">
      <w:pPr>
        <w:rPr>
          <w:b/>
          <w:sz w:val="28"/>
          <w:szCs w:val="28"/>
        </w:rPr>
      </w:pPr>
      <w:r>
        <w:rPr>
          <w:b/>
          <w:sz w:val="28"/>
          <w:szCs w:val="28"/>
        </w:rPr>
        <w:br w:type="page"/>
      </w:r>
    </w:p>
    <w:p w:rsidR="00814C7E" w:rsidRPr="00284E43" w:rsidRDefault="00814C7E" w:rsidP="00284E43">
      <w:pPr>
        <w:pStyle w:val="Footer"/>
        <w:tabs>
          <w:tab w:val="clear" w:pos="8640"/>
          <w:tab w:val="left" w:leader="dot" w:pos="4320"/>
        </w:tabs>
        <w:rPr>
          <w:rFonts w:ascii="Times New Roman" w:hAnsi="Times New Roman"/>
          <w:b/>
          <w:sz w:val="28"/>
          <w:szCs w:val="28"/>
        </w:rPr>
      </w:pPr>
      <w:bookmarkStart w:id="37" w:name="Vi"/>
      <w:r w:rsidRPr="00284E43">
        <w:rPr>
          <w:rFonts w:ascii="Times New Roman" w:hAnsi="Times New Roman"/>
          <w:b/>
          <w:sz w:val="28"/>
          <w:szCs w:val="28"/>
        </w:rPr>
        <w:lastRenderedPageBreak/>
        <w:t>VI. Program Offsets by Item</w:t>
      </w:r>
      <w:r w:rsidR="00107F57" w:rsidRPr="00284E43">
        <w:rPr>
          <w:rFonts w:ascii="Times New Roman" w:hAnsi="Times New Roman"/>
          <w:b/>
          <w:sz w:val="28"/>
          <w:szCs w:val="28"/>
        </w:rPr>
        <w:t xml:space="preserve"> – N/A</w:t>
      </w:r>
    </w:p>
    <w:p w:rsidR="00814C7E" w:rsidRDefault="00814C7E" w:rsidP="00E43151">
      <w:pPr>
        <w:pStyle w:val="Footer"/>
        <w:tabs>
          <w:tab w:val="clear" w:pos="8640"/>
          <w:tab w:val="left" w:leader="dot" w:pos="4320"/>
        </w:tabs>
        <w:rPr>
          <w:rFonts w:ascii="Times New Roman" w:hAnsi="Times New Roman"/>
          <w:b/>
          <w:sz w:val="28"/>
          <w:szCs w:val="28"/>
        </w:rPr>
      </w:pPr>
      <w:bookmarkStart w:id="38" w:name="_GoBack"/>
      <w:bookmarkEnd w:id="37"/>
      <w:bookmarkEnd w:id="38"/>
    </w:p>
    <w:p w:rsidR="00224A36" w:rsidRPr="00DC4C9F" w:rsidRDefault="00A733D6" w:rsidP="00E43151">
      <w:pPr>
        <w:pStyle w:val="Footer"/>
        <w:tabs>
          <w:tab w:val="clear" w:pos="8640"/>
          <w:tab w:val="left" w:leader="dot" w:pos="4320"/>
        </w:tabs>
        <w:rPr>
          <w:rFonts w:ascii="Times New Roman" w:hAnsi="Times New Roman"/>
          <w:b/>
          <w:sz w:val="28"/>
          <w:szCs w:val="28"/>
        </w:rPr>
      </w:pPr>
      <w:bookmarkStart w:id="39" w:name="VII"/>
      <w:r w:rsidRPr="00DC4C9F">
        <w:rPr>
          <w:rFonts w:ascii="Times New Roman" w:hAnsi="Times New Roman"/>
          <w:b/>
          <w:sz w:val="28"/>
          <w:szCs w:val="28"/>
        </w:rPr>
        <w:t>VI</w:t>
      </w:r>
      <w:r w:rsidR="001123BA" w:rsidRPr="00DC4C9F">
        <w:rPr>
          <w:rFonts w:ascii="Times New Roman" w:hAnsi="Times New Roman"/>
          <w:b/>
          <w:sz w:val="28"/>
          <w:szCs w:val="28"/>
        </w:rPr>
        <w:t>I</w:t>
      </w:r>
      <w:r w:rsidR="00284E43">
        <w:rPr>
          <w:rFonts w:ascii="Times New Roman" w:hAnsi="Times New Roman"/>
          <w:b/>
          <w:sz w:val="28"/>
          <w:szCs w:val="28"/>
        </w:rPr>
        <w:t>.</w:t>
      </w:r>
      <w:r w:rsidRPr="00DC4C9F">
        <w:rPr>
          <w:rFonts w:ascii="Times New Roman" w:hAnsi="Times New Roman"/>
          <w:b/>
          <w:sz w:val="28"/>
          <w:szCs w:val="28"/>
        </w:rPr>
        <w:t xml:space="preserve"> </w:t>
      </w:r>
      <w:r w:rsidR="00D6225E">
        <w:rPr>
          <w:rFonts w:ascii="Times New Roman" w:hAnsi="Times New Roman"/>
          <w:b/>
          <w:sz w:val="28"/>
          <w:szCs w:val="28"/>
        </w:rPr>
        <w:t>Exhibits</w:t>
      </w:r>
      <w:r w:rsidR="00284E43">
        <w:rPr>
          <w:rFonts w:ascii="Times New Roman" w:hAnsi="Times New Roman"/>
          <w:b/>
          <w:sz w:val="28"/>
          <w:szCs w:val="28"/>
        </w:rPr>
        <w:t xml:space="preserve"> – </w:t>
      </w:r>
      <w:r w:rsidR="00D6225E">
        <w:rPr>
          <w:rFonts w:ascii="Times New Roman" w:hAnsi="Times New Roman"/>
          <w:b/>
          <w:sz w:val="28"/>
          <w:szCs w:val="28"/>
        </w:rPr>
        <w:t xml:space="preserve">Please </w:t>
      </w:r>
      <w:r w:rsidR="00284E43">
        <w:rPr>
          <w:rFonts w:ascii="Times New Roman" w:hAnsi="Times New Roman"/>
          <w:b/>
          <w:sz w:val="28"/>
          <w:szCs w:val="28"/>
        </w:rPr>
        <w:t>see attached</w:t>
      </w:r>
    </w:p>
    <w:bookmarkEnd w:id="39"/>
    <w:p w:rsidR="006C689E" w:rsidRDefault="006C689E" w:rsidP="00400C58">
      <w:pPr>
        <w:pStyle w:val="BodyText"/>
      </w:pPr>
    </w:p>
    <w:sectPr w:rsidR="006C689E" w:rsidSect="009136AE">
      <w:headerReference w:type="even" r:id="rId20"/>
      <w:headerReference w:type="default" r:id="rId21"/>
      <w:headerReference w:type="first" r:id="rId22"/>
      <w:pgSz w:w="12240" w:h="15840" w:code="1"/>
      <w:pgMar w:top="1152" w:right="1440" w:bottom="1152" w:left="1440" w:header="432" w:footer="43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C1" w:rsidRDefault="006F2EC1">
      <w:r>
        <w:separator/>
      </w:r>
    </w:p>
  </w:endnote>
  <w:endnote w:type="continuationSeparator" w:id="0">
    <w:p w:rsidR="006F2EC1" w:rsidRDefault="006F2E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C1" w:rsidRPr="00AB1AEA" w:rsidRDefault="006F2EC1" w:rsidP="009838A1">
    <w:pPr>
      <w:pStyle w:val="Footer"/>
      <w:jc w:val="center"/>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C1" w:rsidRPr="0030404A" w:rsidRDefault="006F2EC1" w:rsidP="009838A1">
    <w:pPr>
      <w:pStyle w:val="Footer"/>
      <w:framePr w:wrap="around" w:vAnchor="text" w:hAnchor="margin" w:xAlign="center" w:y="1"/>
      <w:rPr>
        <w:rStyle w:val="PageNumber"/>
        <w:rFonts w:ascii="Times New Roman" w:hAnsi="Times New Roman"/>
      </w:rPr>
    </w:pPr>
  </w:p>
  <w:p w:rsidR="006F2EC1" w:rsidRDefault="006F2EC1" w:rsidP="005664D9">
    <w:pPr>
      <w:pStyle w:val="Footer"/>
      <w:pBdr>
        <w:bottom w:val="single" w:sz="4" w:space="1" w:color="auto"/>
      </w:pBdr>
      <w:jc w:val="center"/>
      <w:rPr>
        <w:rStyle w:val="PageNumber"/>
        <w:rFonts w:ascii="Times New Roman" w:hAnsi="Times New Roman"/>
      </w:rPr>
    </w:pPr>
  </w:p>
  <w:p w:rsidR="006F2EC1" w:rsidRDefault="006F2EC1" w:rsidP="009838A1">
    <w:pPr>
      <w:pStyle w:val="Footer"/>
      <w:jc w:val="center"/>
      <w:rPr>
        <w:rStyle w:val="PageNumber"/>
        <w:rFonts w:ascii="Times New Roman" w:hAnsi="Times New Roman"/>
      </w:rPr>
    </w:pPr>
  </w:p>
  <w:p w:rsidR="006F2EC1" w:rsidRPr="00AB1AEA" w:rsidRDefault="006F2EC1" w:rsidP="009838A1">
    <w:pPr>
      <w:pStyle w:val="Footer"/>
      <w:jc w:val="center"/>
      <w:rPr>
        <w:rFonts w:ascii="Times New Roman" w:hAnsi="Times New Roman"/>
      </w:rPr>
    </w:pPr>
    <w:r>
      <w:rPr>
        <w:rStyle w:val="PageNumber"/>
        <w:rFonts w:ascii="Times New Roman" w:hAnsi="Times New Roman"/>
      </w:rPr>
      <w:t xml:space="preserve">Page </w:t>
    </w:r>
    <w:r w:rsidR="001336D2" w:rsidRPr="00AB1AEA">
      <w:rPr>
        <w:rStyle w:val="PageNumber"/>
        <w:rFonts w:ascii="Times New Roman" w:hAnsi="Times New Roman"/>
      </w:rPr>
      <w:fldChar w:fldCharType="begin"/>
    </w:r>
    <w:r w:rsidRPr="00AB1AEA">
      <w:rPr>
        <w:rStyle w:val="PageNumber"/>
        <w:rFonts w:ascii="Times New Roman" w:hAnsi="Times New Roman"/>
      </w:rPr>
      <w:instrText xml:space="preserve"> PAGE </w:instrText>
    </w:r>
    <w:r w:rsidR="001336D2" w:rsidRPr="00AB1AEA">
      <w:rPr>
        <w:rStyle w:val="PageNumber"/>
        <w:rFonts w:ascii="Times New Roman" w:hAnsi="Times New Roman"/>
      </w:rPr>
      <w:fldChar w:fldCharType="separate"/>
    </w:r>
    <w:r w:rsidR="00050CAA">
      <w:rPr>
        <w:rStyle w:val="PageNumber"/>
        <w:rFonts w:ascii="Times New Roman" w:hAnsi="Times New Roman"/>
        <w:noProof/>
      </w:rPr>
      <w:t>18</w:t>
    </w:r>
    <w:r w:rsidR="001336D2" w:rsidRPr="00AB1AEA">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C1" w:rsidRDefault="006F2EC1">
      <w:r>
        <w:separator/>
      </w:r>
    </w:p>
  </w:footnote>
  <w:footnote w:type="continuationSeparator" w:id="0">
    <w:p w:rsidR="006F2EC1" w:rsidRDefault="006F2EC1">
      <w:r>
        <w:continuationSeparator/>
      </w:r>
    </w:p>
  </w:footnote>
  <w:footnote w:id="1">
    <w:p w:rsidR="006F2EC1" w:rsidRPr="00E67585" w:rsidRDefault="006F2EC1" w:rsidP="00613F52">
      <w:pPr>
        <w:pStyle w:val="FootnoteText"/>
      </w:pPr>
      <w:r w:rsidRPr="00E67585">
        <w:rPr>
          <w:rStyle w:val="FootnoteReference"/>
        </w:rPr>
        <w:footnoteRef/>
      </w:r>
      <w:r w:rsidRPr="00E67585">
        <w:t xml:space="preserve"> </w:t>
      </w:r>
      <w:r w:rsidRPr="00E67585">
        <w:rPr>
          <w:i/>
        </w:rPr>
        <w:t>See, e.g.,</w:t>
      </w:r>
      <w:r w:rsidRPr="00E67585">
        <w:t xml:space="preserve"> Press Release, U.S. Attorney’s Office for the Southern District of N.Y., Six Hackers in the United States and Abroad Charged for Crimes Affecting Over One Million Victims (Mar. 6, 2012), </w:t>
      </w:r>
      <w:r w:rsidRPr="00E67585">
        <w:rPr>
          <w:i/>
        </w:rPr>
        <w:t>available at</w:t>
      </w:r>
      <w:r w:rsidRPr="00E67585">
        <w:t xml:space="preserve"> </w:t>
      </w:r>
      <w:hyperlink r:id="rId1" w:history="1">
        <w:r w:rsidRPr="00E67585">
          <w:rPr>
            <w:rStyle w:val="Hyperlink"/>
          </w:rPr>
          <w:t>http://www.justice.gov/usao/nys/pressreleases/March12/ackroydetalindictmentpr.pdf</w:t>
        </w:r>
      </w:hyperlink>
      <w:r w:rsidRPr="00E67585">
        <w:t xml:space="preserve">; Matt </w:t>
      </w:r>
      <w:proofErr w:type="spellStart"/>
      <w:r w:rsidRPr="00E67585">
        <w:t>Peckham</w:t>
      </w:r>
      <w:proofErr w:type="spellEnd"/>
      <w:r w:rsidRPr="00E67585">
        <w:t>,</w:t>
      </w:r>
      <w:r w:rsidRPr="00E67585">
        <w:rPr>
          <w:i/>
        </w:rPr>
        <w:t xml:space="preserve"> Anonymous and </w:t>
      </w:r>
      <w:proofErr w:type="spellStart"/>
      <w:r w:rsidRPr="00E67585">
        <w:rPr>
          <w:i/>
        </w:rPr>
        <w:t>LulzSec</w:t>
      </w:r>
      <w:proofErr w:type="spellEnd"/>
      <w:r w:rsidRPr="00E67585">
        <w:rPr>
          <w:i/>
        </w:rPr>
        <w:t xml:space="preserve"> Fire Back at Police with Lethal Data Dump</w:t>
      </w:r>
      <w:r w:rsidRPr="00E67585">
        <w:t>, T</w:t>
      </w:r>
      <w:r w:rsidRPr="00E67585">
        <w:rPr>
          <w:smallCaps/>
        </w:rPr>
        <w:t xml:space="preserve">ime </w:t>
      </w:r>
      <w:proofErr w:type="spellStart"/>
      <w:r w:rsidRPr="00E67585">
        <w:rPr>
          <w:smallCaps/>
        </w:rPr>
        <w:t>Techland</w:t>
      </w:r>
      <w:proofErr w:type="spellEnd"/>
      <w:r w:rsidRPr="00E67585">
        <w:t xml:space="preserve"> (Aug. 8, 2011)</w:t>
      </w:r>
      <w:r w:rsidRPr="00E67585">
        <w:rPr>
          <w:i/>
        </w:rPr>
        <w:t xml:space="preserve">, </w:t>
      </w:r>
      <w:hyperlink r:id="rId2" w:history="1">
        <w:r w:rsidRPr="00E67585">
          <w:rPr>
            <w:rStyle w:val="Hyperlink"/>
          </w:rPr>
          <w:t>http://techland.time.com/2011/08/08/anonymous-and-lulzsec-fire-back-at-police-with-lethal-data-dump/</w:t>
        </w:r>
      </w:hyperlink>
      <w:r w:rsidRPr="00E67585">
        <w:t>.</w:t>
      </w:r>
    </w:p>
  </w:footnote>
  <w:footnote w:id="2">
    <w:p w:rsidR="006F2EC1" w:rsidRPr="00E67585" w:rsidRDefault="006F2EC1" w:rsidP="00613F52">
      <w:pPr>
        <w:pStyle w:val="FootnoteText"/>
      </w:pPr>
      <w:r w:rsidRPr="00E67585">
        <w:rPr>
          <w:rStyle w:val="FootnoteReference"/>
        </w:rPr>
        <w:footnoteRef/>
      </w:r>
      <w:r w:rsidRPr="00E67585">
        <w:t xml:space="preserve"> </w:t>
      </w:r>
      <w:proofErr w:type="gramStart"/>
      <w:r w:rsidRPr="00E67585">
        <w:rPr>
          <w:i/>
        </w:rPr>
        <w:t>See, e.g.,</w:t>
      </w:r>
      <w:r w:rsidRPr="00E67585">
        <w:t xml:space="preserve"> Press Release, Dep’t of Justice Office of Pub.</w:t>
      </w:r>
      <w:proofErr w:type="gramEnd"/>
      <w:r w:rsidRPr="00E67585">
        <w:t xml:space="preserve"> Affairs,</w:t>
      </w:r>
      <w:r w:rsidRPr="00E67585" w:rsidDel="00644A26">
        <w:t xml:space="preserve"> </w:t>
      </w:r>
      <w:r w:rsidRPr="00E67585">
        <w:t xml:space="preserve">Online Identity Thief Sentenced in Virginia to 14 Years in Prison for Selling Counterfeit Credit Cards Leading to More than $3 Million in Losses  (Sept. 9, 2011), </w:t>
      </w:r>
      <w:r w:rsidRPr="00E67585">
        <w:rPr>
          <w:i/>
        </w:rPr>
        <w:t>available at</w:t>
      </w:r>
      <w:r w:rsidRPr="00E67585">
        <w:t xml:space="preserve"> </w:t>
      </w:r>
      <w:hyperlink r:id="rId3" w:history="1">
        <w:r w:rsidRPr="00E67585">
          <w:rPr>
            <w:rStyle w:val="Hyperlink"/>
          </w:rPr>
          <w:t>http://www.justice.gov/opa/pr/2011/September/11-crm-1163.html</w:t>
        </w:r>
      </w:hyperlink>
      <w:r w:rsidRPr="00E67585">
        <w:t xml:space="preserve">; </w:t>
      </w:r>
      <w:r w:rsidRPr="00E67585">
        <w:rPr>
          <w:i/>
        </w:rPr>
        <w:t xml:space="preserve">Identity Theft: A Victims Bill of Rights: Hearing Before the </w:t>
      </w:r>
      <w:proofErr w:type="spellStart"/>
      <w:r w:rsidRPr="00E67585">
        <w:rPr>
          <w:i/>
        </w:rPr>
        <w:t>Subcomm</w:t>
      </w:r>
      <w:proofErr w:type="spellEnd"/>
      <w:r w:rsidRPr="00E67585">
        <w:rPr>
          <w:i/>
        </w:rPr>
        <w:t xml:space="preserve">. </w:t>
      </w:r>
      <w:proofErr w:type="gramStart"/>
      <w:r w:rsidRPr="00E67585">
        <w:rPr>
          <w:i/>
        </w:rPr>
        <w:t>on</w:t>
      </w:r>
      <w:proofErr w:type="gramEnd"/>
      <w:r w:rsidRPr="00E67585">
        <w:rPr>
          <w:i/>
        </w:rPr>
        <w:t xml:space="preserve"> Info. Policy, Census, and Nat’l Archives of the H. Comm. on Oversight and </w:t>
      </w:r>
      <w:proofErr w:type="spellStart"/>
      <w:r w:rsidRPr="00E67585">
        <w:rPr>
          <w:i/>
        </w:rPr>
        <w:t>Gov’t</w:t>
      </w:r>
      <w:proofErr w:type="spellEnd"/>
      <w:r w:rsidRPr="00E67585">
        <w:rPr>
          <w:i/>
        </w:rPr>
        <w:t xml:space="preserve"> Reform </w:t>
      </w:r>
      <w:r w:rsidRPr="00E67585">
        <w:t>(June 17, 2009)</w:t>
      </w:r>
      <w:r w:rsidRPr="00E67585">
        <w:rPr>
          <w:i/>
        </w:rPr>
        <w:t xml:space="preserve"> </w:t>
      </w:r>
      <w:r w:rsidRPr="00E67585">
        <w:t xml:space="preserve"> (statement of Jason M. Weinstein, Deputy Assistant </w:t>
      </w:r>
      <w:proofErr w:type="spellStart"/>
      <w:r w:rsidRPr="00E67585">
        <w:t>Att’y</w:t>
      </w:r>
      <w:proofErr w:type="spellEnd"/>
      <w:r w:rsidRPr="00E67585">
        <w:t xml:space="preserve"> Gen. of the Crim. Div. of the U.S. Dep’t of Justice), </w:t>
      </w:r>
      <w:r w:rsidRPr="00E67585">
        <w:rPr>
          <w:i/>
        </w:rPr>
        <w:t>available at</w:t>
      </w:r>
      <w:r w:rsidRPr="00E67585">
        <w:t xml:space="preserve"> </w:t>
      </w:r>
      <w:hyperlink r:id="rId4" w:history="1">
        <w:r w:rsidRPr="00E67585">
          <w:rPr>
            <w:rStyle w:val="Hyperlink"/>
          </w:rPr>
          <w:t>http://www.justice.gov/ola/testimony/111-1/2009-06-17-crm-weinstein-identity-theft.pdf</w:t>
        </w:r>
      </w:hyperlink>
      <w:r w:rsidRPr="00E67585">
        <w:t>.</w:t>
      </w:r>
    </w:p>
  </w:footnote>
  <w:footnote w:id="3">
    <w:p w:rsidR="006F2EC1" w:rsidRPr="00E67585" w:rsidRDefault="006F2EC1" w:rsidP="00613F52">
      <w:pPr>
        <w:pStyle w:val="FootnoteText"/>
      </w:pPr>
      <w:r w:rsidRPr="00E67585">
        <w:rPr>
          <w:rStyle w:val="FootnoteReference"/>
        </w:rPr>
        <w:footnoteRef/>
      </w:r>
      <w:r w:rsidRPr="00E67585">
        <w:t xml:space="preserve"> </w:t>
      </w:r>
      <w:r w:rsidRPr="00E67585">
        <w:rPr>
          <w:i/>
        </w:rPr>
        <w:t>See, e.g.,</w:t>
      </w:r>
      <w:r w:rsidRPr="00E67585">
        <w:t xml:space="preserve"> Insider Threat Team, </w:t>
      </w:r>
      <w:r w:rsidRPr="00E67585">
        <w:rPr>
          <w:i/>
        </w:rPr>
        <w:t>Theft of Intellectual Property and Tips for Prevention</w:t>
      </w:r>
      <w:r w:rsidRPr="00E67585">
        <w:t>, CERT I</w:t>
      </w:r>
      <w:r w:rsidRPr="00E67585">
        <w:rPr>
          <w:smallCaps/>
        </w:rPr>
        <w:t>nsider</w:t>
      </w:r>
      <w:r w:rsidRPr="00E67585">
        <w:t xml:space="preserve"> T</w:t>
      </w:r>
      <w:r w:rsidRPr="00E67585">
        <w:rPr>
          <w:smallCaps/>
        </w:rPr>
        <w:t>hreat</w:t>
      </w:r>
      <w:r w:rsidRPr="00E67585">
        <w:t xml:space="preserve"> B</w:t>
      </w:r>
      <w:r w:rsidRPr="00E67585">
        <w:rPr>
          <w:smallCaps/>
        </w:rPr>
        <w:t>log</w:t>
      </w:r>
      <w:r w:rsidRPr="00E67585">
        <w:t xml:space="preserve"> (July 21, 2011, 1:29 PM), </w:t>
      </w:r>
      <w:hyperlink r:id="rId5" w:history="1">
        <w:r w:rsidRPr="00E67585">
          <w:rPr>
            <w:rStyle w:val="Hyperlink"/>
          </w:rPr>
          <w:t>https://www.cert.org/blogs/insider_threat/2011/07/insider_threat_methods_of_exfiltration.html</w:t>
        </w:r>
      </w:hyperlink>
      <w:r w:rsidRPr="00E67585">
        <w:t xml:space="preserve">; Peter </w:t>
      </w:r>
      <w:proofErr w:type="spellStart"/>
      <w:r w:rsidRPr="00E67585">
        <w:t>Lattman</w:t>
      </w:r>
      <w:proofErr w:type="spellEnd"/>
      <w:r w:rsidRPr="00E67585">
        <w:t xml:space="preserve">, </w:t>
      </w:r>
      <w:r w:rsidRPr="00E67585">
        <w:rPr>
          <w:i/>
        </w:rPr>
        <w:t>Former Goldman Programmer Found Guilty of Code Theft</w:t>
      </w:r>
      <w:r w:rsidRPr="00E67585">
        <w:t>, N.Y. T</w:t>
      </w:r>
      <w:r w:rsidRPr="00E67585">
        <w:rPr>
          <w:smallCaps/>
        </w:rPr>
        <w:t>imes</w:t>
      </w:r>
      <w:r w:rsidRPr="00E67585">
        <w:t xml:space="preserve"> </w:t>
      </w:r>
      <w:proofErr w:type="spellStart"/>
      <w:r w:rsidRPr="00E67585">
        <w:t>D</w:t>
      </w:r>
      <w:r w:rsidRPr="00E67585">
        <w:rPr>
          <w:smallCaps/>
        </w:rPr>
        <w:t>eal</w:t>
      </w:r>
      <w:r w:rsidRPr="00E67585">
        <w:t>B</w:t>
      </w:r>
      <w:r w:rsidRPr="00E67585">
        <w:rPr>
          <w:smallCaps/>
        </w:rPr>
        <w:t>ook</w:t>
      </w:r>
      <w:proofErr w:type="spellEnd"/>
      <w:r w:rsidRPr="00E67585">
        <w:t xml:space="preserve">, (Dec. 10, 2010, 8:16 PM), </w:t>
      </w:r>
      <w:hyperlink r:id="rId6" w:history="1">
        <w:r w:rsidRPr="00E67585">
          <w:rPr>
            <w:rStyle w:val="Hyperlink"/>
          </w:rPr>
          <w:t>http://dealbook.nytimes.com/2010/12/10/ex-goldman-programmer-is-convicted/</w:t>
        </w:r>
      </w:hyperlink>
      <w:r w:rsidRPr="00E67585">
        <w:t>.</w:t>
      </w:r>
    </w:p>
  </w:footnote>
  <w:footnote w:id="4">
    <w:p w:rsidR="006F2EC1" w:rsidRPr="00E47DFC" w:rsidRDefault="006F2EC1" w:rsidP="00613F52">
      <w:pPr>
        <w:pStyle w:val="FootnoteText"/>
        <w:rPr>
          <w:i/>
        </w:rPr>
      </w:pPr>
      <w:r w:rsidRPr="00E67585">
        <w:rPr>
          <w:rStyle w:val="FootnoteReference"/>
        </w:rPr>
        <w:footnoteRef/>
      </w:r>
      <w:r w:rsidRPr="00E67585">
        <w:t xml:space="preserve"> </w:t>
      </w:r>
      <w:r w:rsidRPr="00E67585">
        <w:rPr>
          <w:i/>
        </w:rPr>
        <w:t>See, e.g.,</w:t>
      </w:r>
      <w:r w:rsidRPr="00B00CF4">
        <w:t xml:space="preserve"> </w:t>
      </w:r>
      <w:r>
        <w:t xml:space="preserve"> </w:t>
      </w:r>
      <w:proofErr w:type="spellStart"/>
      <w:r>
        <w:t>Pierluigi</w:t>
      </w:r>
      <w:proofErr w:type="spellEnd"/>
      <w:r>
        <w:t xml:space="preserve"> Paganini, </w:t>
      </w:r>
      <w:r>
        <w:rPr>
          <w:i/>
        </w:rPr>
        <w:t xml:space="preserve">SCADA &amp; Security of Critical Infrastructures, </w:t>
      </w:r>
      <w:proofErr w:type="spellStart"/>
      <w:r>
        <w:t>Infosec</w:t>
      </w:r>
      <w:proofErr w:type="spellEnd"/>
      <w:r>
        <w:t xml:space="preserve"> Institute (February 22, 2013), </w:t>
      </w:r>
      <w:hyperlink r:id="rId7" w:history="1">
        <w:r w:rsidRPr="00020EAA">
          <w:rPr>
            <w:rStyle w:val="Hyperlink"/>
            <w:i/>
          </w:rPr>
          <w:t>http://resources.infosecinstitute.com/scada-security-of-critical-infrastructures/</w:t>
        </w:r>
      </w:hyperlink>
      <w:r>
        <w:rPr>
          <w:i/>
        </w:rPr>
        <w:t xml:space="preserve">; </w:t>
      </w:r>
      <w:r w:rsidRPr="00E47DFC">
        <w:rPr>
          <w:i/>
        </w:rPr>
        <w:t xml:space="preserve"> </w:t>
      </w:r>
      <w:r w:rsidRPr="00E67585">
        <w:t xml:space="preserve">Michael S. Schmidt, </w:t>
      </w:r>
      <w:r w:rsidRPr="00E67585">
        <w:rPr>
          <w:i/>
        </w:rPr>
        <w:t>New Interest in Hacking as Threat to Security</w:t>
      </w:r>
      <w:r w:rsidRPr="00E67585">
        <w:t>, N.Y. T</w:t>
      </w:r>
      <w:r w:rsidRPr="00E67585">
        <w:rPr>
          <w:smallCaps/>
        </w:rPr>
        <w:t>imes</w:t>
      </w:r>
      <w:r w:rsidRPr="00E67585">
        <w:t xml:space="preserve">, Mar. 14, 2012, at A16, </w:t>
      </w:r>
      <w:r w:rsidRPr="00E67585">
        <w:rPr>
          <w:i/>
        </w:rPr>
        <w:t>available at</w:t>
      </w:r>
      <w:r w:rsidRPr="00E67585">
        <w:t xml:space="preserve"> </w:t>
      </w:r>
      <w:hyperlink r:id="rId8" w:history="1">
        <w:r w:rsidRPr="00E67585">
          <w:rPr>
            <w:rStyle w:val="Hyperlink"/>
          </w:rPr>
          <w:t>http://www.nytimes.com/2012/03/14/us/new-interest-in-hacking-as-threat-to-us-security.html</w:t>
        </w:r>
      </w:hyperlink>
      <w:r w:rsidRPr="00E67585">
        <w:t xml:space="preserve">; J. Nicholas Hoover, </w:t>
      </w:r>
      <w:r w:rsidRPr="00E67585">
        <w:rPr>
          <w:i/>
        </w:rPr>
        <w:t>Cyber Threats to Critical Infrastructure Spike</w:t>
      </w:r>
      <w:r w:rsidRPr="00E67585">
        <w:t>, I</w:t>
      </w:r>
      <w:r w:rsidRPr="00E67585">
        <w:rPr>
          <w:smallCaps/>
        </w:rPr>
        <w:t>nfo</w:t>
      </w:r>
      <w:r w:rsidRPr="00E67585">
        <w:t xml:space="preserve">. </w:t>
      </w:r>
      <w:proofErr w:type="gramStart"/>
      <w:r w:rsidRPr="00E67585">
        <w:t>W</w:t>
      </w:r>
      <w:r w:rsidRPr="00E67585">
        <w:rPr>
          <w:smallCaps/>
        </w:rPr>
        <w:t>eek</w:t>
      </w:r>
      <w:r w:rsidRPr="00E67585">
        <w:t xml:space="preserve"> (Apr. 19, 2011, 2:08 PM), </w:t>
      </w:r>
      <w:hyperlink r:id="rId9" w:history="1">
        <w:r w:rsidRPr="00E67585">
          <w:rPr>
            <w:rStyle w:val="Hyperlink"/>
          </w:rPr>
          <w:t>http://www.informationweek.com/news/government/security/229401858</w:t>
        </w:r>
      </w:hyperlink>
      <w:r w:rsidRPr="00E67585">
        <w:t>.</w:t>
      </w:r>
      <w:proofErr w:type="gramEnd"/>
      <w:r w:rsidRPr="00E67585">
        <w:t xml:space="preserve"> </w:t>
      </w:r>
      <w:r>
        <w:t xml:space="preserve">  </w:t>
      </w:r>
      <w:r>
        <w:rPr>
          <w:i/>
        </w:rPr>
        <w:t xml:space="preserve">See also, Executive Order—Improving Critical Infrastructure </w:t>
      </w:r>
      <w:proofErr w:type="spellStart"/>
      <w:r>
        <w:rPr>
          <w:i/>
        </w:rPr>
        <w:t>Cybersecurity</w:t>
      </w:r>
      <w:proofErr w:type="spellEnd"/>
      <w:r>
        <w:rPr>
          <w:i/>
        </w:rPr>
        <w:t xml:space="preserve"> </w:t>
      </w:r>
      <w:r>
        <w:t xml:space="preserve">(February 12, 2013), </w:t>
      </w:r>
      <w:hyperlink r:id="rId10" w:history="1">
        <w:r w:rsidRPr="00020EAA">
          <w:rPr>
            <w:rStyle w:val="Hyperlink"/>
          </w:rPr>
          <w:t>http://www.whitehouse.gov/the-press-office/2013/02/12/executive-order-improving-critical-infrastructure-cybersecurity</w:t>
        </w:r>
      </w:hyperlink>
      <w:r>
        <w:t>.</w:t>
      </w:r>
    </w:p>
  </w:footnote>
  <w:footnote w:id="5">
    <w:p w:rsidR="006F2EC1" w:rsidRPr="00E67585" w:rsidRDefault="006F2EC1" w:rsidP="00613F52">
      <w:pPr>
        <w:pStyle w:val="FootnoteText"/>
      </w:pPr>
      <w:r w:rsidRPr="00E67585">
        <w:rPr>
          <w:rStyle w:val="FootnoteReference"/>
        </w:rPr>
        <w:footnoteRef/>
      </w:r>
      <w:r w:rsidRPr="00E67585">
        <w:t xml:space="preserve"> </w:t>
      </w:r>
      <w:r w:rsidRPr="00E67585">
        <w:rPr>
          <w:i/>
        </w:rPr>
        <w:t xml:space="preserve">See, e.g., </w:t>
      </w:r>
      <w:r w:rsidRPr="00E67585">
        <w:t xml:space="preserve">Salvador Rodriguez, </w:t>
      </w:r>
      <w:r w:rsidRPr="00E67585">
        <w:rPr>
          <w:i/>
        </w:rPr>
        <w:t>Cyber Crimes Are More Common and More Costly, Study Finds</w:t>
      </w:r>
      <w:r w:rsidRPr="00E67585">
        <w:t>, L.A. T</w:t>
      </w:r>
      <w:r w:rsidRPr="00E67585">
        <w:rPr>
          <w:smallCaps/>
        </w:rPr>
        <w:t>imes</w:t>
      </w:r>
      <w:r w:rsidRPr="00E67585">
        <w:t xml:space="preserve">, Aug. 3, 2011, </w:t>
      </w:r>
      <w:hyperlink r:id="rId11" w:history="1">
        <w:r w:rsidRPr="00E67585">
          <w:rPr>
            <w:rStyle w:val="Hyperlink"/>
          </w:rPr>
          <w:t>http://articles.latimes.com/2011/aug/03/business/la-fi-cyber-attacks-20110803</w:t>
        </w:r>
      </w:hyperlink>
      <w:r w:rsidRPr="00E67585">
        <w:t xml:space="preserve">; Identity Theft Resource Center, </w:t>
      </w:r>
      <w:r>
        <w:rPr>
          <w:i/>
        </w:rPr>
        <w:t xml:space="preserve">2012 </w:t>
      </w:r>
      <w:r w:rsidRPr="00E67585">
        <w:rPr>
          <w:i/>
        </w:rPr>
        <w:t>ITRC Breach Report</w:t>
      </w:r>
      <w:r w:rsidRPr="00E67585">
        <w:t xml:space="preserve"> (</w:t>
      </w:r>
      <w:r>
        <w:t>December 26, 2012</w:t>
      </w:r>
      <w:r w:rsidRPr="00E67585">
        <w:t>),</w:t>
      </w:r>
      <w:r w:rsidRPr="00E47DFC">
        <w:t xml:space="preserve"> http://www.idtheftcenter.org/ITRC%20Breach%20Report%202012.pdf</w:t>
      </w:r>
      <w:r w:rsidRPr="00E67585">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C1" w:rsidRDefault="006F2EC1" w:rsidP="005664D9">
    <w:pPr>
      <w:pStyle w:val="Header"/>
    </w:pPr>
  </w:p>
  <w:p w:rsidR="006F2EC1" w:rsidRDefault="006F2EC1" w:rsidP="005664D9">
    <w:pPr>
      <w:pStyle w:val="Header"/>
    </w:pPr>
  </w:p>
  <w:p w:rsidR="006F2EC1" w:rsidRDefault="006F2EC1" w:rsidP="005664D9">
    <w:pPr>
      <w:pStyle w:val="Header"/>
      <w:pBdr>
        <w:top w:val="thinThickSmallGap" w:sz="2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C1" w:rsidRDefault="006F2E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C1" w:rsidRDefault="006F2EC1" w:rsidP="005664D9">
    <w:pPr>
      <w:pStyle w:val="Header"/>
    </w:pPr>
  </w:p>
  <w:p w:rsidR="006F2EC1" w:rsidRDefault="006F2EC1" w:rsidP="005664D9">
    <w:pPr>
      <w:pStyle w:val="Header"/>
    </w:pPr>
  </w:p>
  <w:p w:rsidR="006F2EC1" w:rsidRDefault="006F2EC1" w:rsidP="005664D9">
    <w:pPr>
      <w:pStyle w:val="Header"/>
      <w:pBdr>
        <w:top w:val="thinThickSmallGap" w:sz="24"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EC1" w:rsidRDefault="006F2E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7588494"/>
    <w:lvl w:ilvl="0">
      <w:start w:val="1"/>
      <w:numFmt w:val="decimal"/>
      <w:lvlText w:val="%1."/>
      <w:lvlJc w:val="left"/>
      <w:pPr>
        <w:tabs>
          <w:tab w:val="num" w:pos="1800"/>
        </w:tabs>
        <w:ind w:left="1800" w:hanging="360"/>
      </w:pPr>
    </w:lvl>
  </w:abstractNum>
  <w:abstractNum w:abstractNumId="1">
    <w:nsid w:val="FFFFFF7D"/>
    <w:multiLevelType w:val="singleLevel"/>
    <w:tmpl w:val="B4AA8EAC"/>
    <w:lvl w:ilvl="0">
      <w:start w:val="1"/>
      <w:numFmt w:val="decimal"/>
      <w:lvlText w:val="%1."/>
      <w:lvlJc w:val="left"/>
      <w:pPr>
        <w:tabs>
          <w:tab w:val="num" w:pos="1440"/>
        </w:tabs>
        <w:ind w:left="1440" w:hanging="360"/>
      </w:pPr>
    </w:lvl>
  </w:abstractNum>
  <w:abstractNum w:abstractNumId="2">
    <w:nsid w:val="FFFFFF7E"/>
    <w:multiLevelType w:val="singleLevel"/>
    <w:tmpl w:val="CBD660A0"/>
    <w:lvl w:ilvl="0">
      <w:start w:val="1"/>
      <w:numFmt w:val="decimal"/>
      <w:lvlText w:val="%1."/>
      <w:lvlJc w:val="left"/>
      <w:pPr>
        <w:tabs>
          <w:tab w:val="num" w:pos="1080"/>
        </w:tabs>
        <w:ind w:left="1080" w:hanging="360"/>
      </w:pPr>
    </w:lvl>
  </w:abstractNum>
  <w:abstractNum w:abstractNumId="3">
    <w:nsid w:val="FFFFFF7F"/>
    <w:multiLevelType w:val="singleLevel"/>
    <w:tmpl w:val="4364C1B8"/>
    <w:lvl w:ilvl="0">
      <w:start w:val="1"/>
      <w:numFmt w:val="decimal"/>
      <w:lvlText w:val="%1."/>
      <w:lvlJc w:val="left"/>
      <w:pPr>
        <w:tabs>
          <w:tab w:val="num" w:pos="720"/>
        </w:tabs>
        <w:ind w:left="720" w:hanging="360"/>
      </w:pPr>
    </w:lvl>
  </w:abstractNum>
  <w:abstractNum w:abstractNumId="4">
    <w:nsid w:val="FFFFFF80"/>
    <w:multiLevelType w:val="singleLevel"/>
    <w:tmpl w:val="74DED1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2662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9B44C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EA816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2DAAA8C"/>
    <w:lvl w:ilvl="0">
      <w:start w:val="1"/>
      <w:numFmt w:val="decimal"/>
      <w:lvlText w:val="%1."/>
      <w:lvlJc w:val="left"/>
      <w:pPr>
        <w:tabs>
          <w:tab w:val="num" w:pos="360"/>
        </w:tabs>
        <w:ind w:left="360" w:hanging="360"/>
      </w:pPr>
    </w:lvl>
  </w:abstractNum>
  <w:abstractNum w:abstractNumId="9">
    <w:nsid w:val="FFFFFF89"/>
    <w:multiLevelType w:val="singleLevel"/>
    <w:tmpl w:val="75EAEF2C"/>
    <w:lvl w:ilvl="0">
      <w:start w:val="1"/>
      <w:numFmt w:val="bullet"/>
      <w:lvlText w:val=""/>
      <w:lvlJc w:val="left"/>
      <w:pPr>
        <w:tabs>
          <w:tab w:val="num" w:pos="360"/>
        </w:tabs>
        <w:ind w:left="360" w:hanging="360"/>
      </w:pPr>
      <w:rPr>
        <w:rFonts w:ascii="Symbol" w:hAnsi="Symbol" w:hint="default"/>
      </w:rPr>
    </w:lvl>
  </w:abstractNum>
  <w:abstractNum w:abstractNumId="10">
    <w:nsid w:val="005E4BB4"/>
    <w:multiLevelType w:val="hybridMultilevel"/>
    <w:tmpl w:val="EB1AF3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9F0710"/>
    <w:multiLevelType w:val="hybridMultilevel"/>
    <w:tmpl w:val="B00416E2"/>
    <w:lvl w:ilvl="0" w:tplc="04090015">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10C46D5E"/>
    <w:multiLevelType w:val="hybridMultilevel"/>
    <w:tmpl w:val="5C3CC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F36800"/>
    <w:multiLevelType w:val="hybridMultilevel"/>
    <w:tmpl w:val="223CE12C"/>
    <w:lvl w:ilvl="0" w:tplc="DDFA5E90">
      <w:start w:val="4"/>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B0705E2"/>
    <w:multiLevelType w:val="hybridMultilevel"/>
    <w:tmpl w:val="ADC8673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C16394D"/>
    <w:multiLevelType w:val="hybridMultilevel"/>
    <w:tmpl w:val="8222DF40"/>
    <w:lvl w:ilvl="0" w:tplc="866660D0">
      <w:start w:val="6"/>
      <w:numFmt w:val="upperLetter"/>
      <w:pStyle w:val="Heading4"/>
      <w:lvlText w:val="%1."/>
      <w:lvlJc w:val="left"/>
      <w:pPr>
        <w:tabs>
          <w:tab w:val="num" w:pos="1080"/>
        </w:tabs>
        <w:ind w:left="1080" w:hanging="7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F424BF3"/>
    <w:multiLevelType w:val="hybridMultilevel"/>
    <w:tmpl w:val="3A7638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8893F25"/>
    <w:multiLevelType w:val="hybridMultilevel"/>
    <w:tmpl w:val="CAC2EAD8"/>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887A10"/>
    <w:multiLevelType w:val="hybridMultilevel"/>
    <w:tmpl w:val="B418B522"/>
    <w:lvl w:ilvl="0" w:tplc="EFEA6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45686A"/>
    <w:multiLevelType w:val="hybridMultilevel"/>
    <w:tmpl w:val="D6C843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36570DB"/>
    <w:multiLevelType w:val="hybridMultilevel"/>
    <w:tmpl w:val="A09AB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D41726"/>
    <w:multiLevelType w:val="hybridMultilevel"/>
    <w:tmpl w:val="392CD4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575662"/>
    <w:multiLevelType w:val="hybridMultilevel"/>
    <w:tmpl w:val="4894E018"/>
    <w:lvl w:ilvl="0" w:tplc="813667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6B41B1"/>
    <w:multiLevelType w:val="hybridMultilevel"/>
    <w:tmpl w:val="E24E6602"/>
    <w:lvl w:ilvl="0" w:tplc="04090001">
      <w:start w:val="1"/>
      <w:numFmt w:val="bullet"/>
      <w:lvlText w:val=""/>
      <w:lvlJc w:val="left"/>
      <w:pPr>
        <w:tabs>
          <w:tab w:val="num" w:pos="720"/>
        </w:tabs>
        <w:ind w:left="720" w:hanging="360"/>
      </w:pPr>
      <w:rPr>
        <w:rFonts w:ascii="Wingdings" w:hAnsi="Wingdings"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30261B"/>
    <w:multiLevelType w:val="hybridMultilevel"/>
    <w:tmpl w:val="E70C51E2"/>
    <w:lvl w:ilvl="0" w:tplc="04090005">
      <w:start w:val="1"/>
      <w:numFmt w:val="decimal"/>
      <w:lvlText w:val="%1."/>
      <w:lvlJc w:val="left"/>
      <w:pPr>
        <w:tabs>
          <w:tab w:val="num" w:pos="720"/>
        </w:tabs>
        <w:ind w:left="720" w:hanging="360"/>
      </w:pPr>
    </w:lvl>
    <w:lvl w:ilvl="1" w:tplc="ACD87EDA">
      <w:start w:val="5"/>
      <w:numFmt w:val="upperRoman"/>
      <w:lvlText w:val="%2."/>
      <w:lvlJc w:val="left"/>
      <w:pPr>
        <w:tabs>
          <w:tab w:val="num" w:pos="1800"/>
        </w:tabs>
        <w:ind w:left="1800" w:hanging="72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53F23370"/>
    <w:multiLevelType w:val="hybridMultilevel"/>
    <w:tmpl w:val="26248126"/>
    <w:lvl w:ilvl="0" w:tplc="04090001">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B75A7B"/>
    <w:multiLevelType w:val="multilevel"/>
    <w:tmpl w:val="E46C8040"/>
    <w:lvl w:ilvl="0">
      <w:start w:val="1"/>
      <w:numFmt w:val="upperLetter"/>
      <w:pStyle w:val="Heading6"/>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nsid w:val="61EF5F21"/>
    <w:multiLevelType w:val="hybridMultilevel"/>
    <w:tmpl w:val="3628F6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EE105B"/>
    <w:multiLevelType w:val="hybridMultilevel"/>
    <w:tmpl w:val="6DF4A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34A5FFF"/>
    <w:multiLevelType w:val="hybridMultilevel"/>
    <w:tmpl w:val="CD48C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CA5674"/>
    <w:multiLevelType w:val="hybridMultilevel"/>
    <w:tmpl w:val="96CC737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1">
    <w:nsid w:val="7D7532FA"/>
    <w:multiLevelType w:val="hybridMultilevel"/>
    <w:tmpl w:val="A3742F2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10"/>
  </w:num>
  <w:num w:numId="4">
    <w:abstractNumId w:val="13"/>
  </w:num>
  <w:num w:numId="5">
    <w:abstractNumId w:val="7"/>
  </w:num>
  <w:num w:numId="6">
    <w:abstractNumId w:val="16"/>
  </w:num>
  <w:num w:numId="7">
    <w:abstractNumId w:val="12"/>
  </w:num>
  <w:num w:numId="8">
    <w:abstractNumId w:val="17"/>
  </w:num>
  <w:num w:numId="9">
    <w:abstractNumId w:val="31"/>
  </w:num>
  <w:num w:numId="10">
    <w:abstractNumId w:val="23"/>
  </w:num>
  <w:num w:numId="11">
    <w:abstractNumId w:val="21"/>
  </w:num>
  <w:num w:numId="12">
    <w:abstractNumId w:val="19"/>
  </w:num>
  <w:num w:numId="13">
    <w:abstractNumId w:val="11"/>
  </w:num>
  <w:num w:numId="14">
    <w:abstractNumId w:val="24"/>
  </w:num>
  <w:num w:numId="15">
    <w:abstractNumId w:val="25"/>
  </w:num>
  <w:num w:numId="16">
    <w:abstractNumId w:val="20"/>
  </w:num>
  <w:num w:numId="17">
    <w:abstractNumId w:val="27"/>
  </w:num>
  <w:num w:numId="18">
    <w:abstractNumId w:val="18"/>
  </w:num>
  <w:num w:numId="19">
    <w:abstractNumId w:val="30"/>
  </w:num>
  <w:num w:numId="20">
    <w:abstractNumId w:val="28"/>
  </w:num>
  <w:num w:numId="21">
    <w:abstractNumId w:val="29"/>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8"/>
  <w:stylePaneSortMethod w:val="0000"/>
  <w:doNotTrackFormatting/>
  <w:defaultTabStop w:val="720"/>
  <w:drawingGridHorizontalSpacing w:val="120"/>
  <w:displayHorizontalDrawingGridEvery w:val="2"/>
  <w:noPunctuationKerning/>
  <w:characterSpacingControl w:val="doNotCompress"/>
  <w:hdrShapeDefaults>
    <o:shapedefaults v:ext="edit" spidmax="137217"/>
  </w:hdrShapeDefaults>
  <w:footnotePr>
    <w:footnote w:id="-1"/>
    <w:footnote w:id="0"/>
  </w:footnotePr>
  <w:endnotePr>
    <w:endnote w:id="-1"/>
    <w:endnote w:id="0"/>
  </w:endnotePr>
  <w:compat/>
  <w:rsids>
    <w:rsidRoot w:val="003D0E7B"/>
    <w:rsid w:val="00000E0A"/>
    <w:rsid w:val="00005EFD"/>
    <w:rsid w:val="00006EDF"/>
    <w:rsid w:val="0001481B"/>
    <w:rsid w:val="00014F8E"/>
    <w:rsid w:val="000164DC"/>
    <w:rsid w:val="00016CE5"/>
    <w:rsid w:val="000203AA"/>
    <w:rsid w:val="000214F1"/>
    <w:rsid w:val="00023728"/>
    <w:rsid w:val="00025EF7"/>
    <w:rsid w:val="00030811"/>
    <w:rsid w:val="00034954"/>
    <w:rsid w:val="00042B3C"/>
    <w:rsid w:val="0004368A"/>
    <w:rsid w:val="00044C68"/>
    <w:rsid w:val="00050CAA"/>
    <w:rsid w:val="00050E0C"/>
    <w:rsid w:val="00051D53"/>
    <w:rsid w:val="00053960"/>
    <w:rsid w:val="00053DBF"/>
    <w:rsid w:val="00053DD2"/>
    <w:rsid w:val="0005445F"/>
    <w:rsid w:val="00054E1A"/>
    <w:rsid w:val="00054E33"/>
    <w:rsid w:val="000557CB"/>
    <w:rsid w:val="00056F09"/>
    <w:rsid w:val="00060C77"/>
    <w:rsid w:val="0006689A"/>
    <w:rsid w:val="00067156"/>
    <w:rsid w:val="000672C6"/>
    <w:rsid w:val="00072EAE"/>
    <w:rsid w:val="000731A2"/>
    <w:rsid w:val="00073538"/>
    <w:rsid w:val="0007449E"/>
    <w:rsid w:val="000755B1"/>
    <w:rsid w:val="00075E02"/>
    <w:rsid w:val="00080297"/>
    <w:rsid w:val="00087CCF"/>
    <w:rsid w:val="000937A9"/>
    <w:rsid w:val="000960C6"/>
    <w:rsid w:val="000A0803"/>
    <w:rsid w:val="000A11F5"/>
    <w:rsid w:val="000A1682"/>
    <w:rsid w:val="000A224F"/>
    <w:rsid w:val="000A37EB"/>
    <w:rsid w:val="000A3E86"/>
    <w:rsid w:val="000A40C2"/>
    <w:rsid w:val="000A71A4"/>
    <w:rsid w:val="000B4E34"/>
    <w:rsid w:val="000C002F"/>
    <w:rsid w:val="000C084A"/>
    <w:rsid w:val="000C3194"/>
    <w:rsid w:val="000C40C2"/>
    <w:rsid w:val="000C79E1"/>
    <w:rsid w:val="000D73EC"/>
    <w:rsid w:val="000D74C1"/>
    <w:rsid w:val="000E2AEC"/>
    <w:rsid w:val="000F15A2"/>
    <w:rsid w:val="000F2A30"/>
    <w:rsid w:val="000F321C"/>
    <w:rsid w:val="000F4A43"/>
    <w:rsid w:val="001012AA"/>
    <w:rsid w:val="00104C69"/>
    <w:rsid w:val="001071A0"/>
    <w:rsid w:val="00107D7C"/>
    <w:rsid w:val="00107F57"/>
    <w:rsid w:val="00110160"/>
    <w:rsid w:val="001116B5"/>
    <w:rsid w:val="001123BA"/>
    <w:rsid w:val="0011291B"/>
    <w:rsid w:val="00113A1D"/>
    <w:rsid w:val="00116820"/>
    <w:rsid w:val="00116E2D"/>
    <w:rsid w:val="00126B7E"/>
    <w:rsid w:val="00127F6C"/>
    <w:rsid w:val="00131C99"/>
    <w:rsid w:val="001336D2"/>
    <w:rsid w:val="001347E9"/>
    <w:rsid w:val="001436CB"/>
    <w:rsid w:val="001526DA"/>
    <w:rsid w:val="00152DDC"/>
    <w:rsid w:val="0016008A"/>
    <w:rsid w:val="001608AB"/>
    <w:rsid w:val="00161168"/>
    <w:rsid w:val="001613C6"/>
    <w:rsid w:val="00163AD7"/>
    <w:rsid w:val="00165BD8"/>
    <w:rsid w:val="00175569"/>
    <w:rsid w:val="00180538"/>
    <w:rsid w:val="00181487"/>
    <w:rsid w:val="00183FC1"/>
    <w:rsid w:val="00184F7E"/>
    <w:rsid w:val="0019205E"/>
    <w:rsid w:val="00194C20"/>
    <w:rsid w:val="001A225A"/>
    <w:rsid w:val="001A3012"/>
    <w:rsid w:val="001A5F34"/>
    <w:rsid w:val="001A6122"/>
    <w:rsid w:val="001A6FAF"/>
    <w:rsid w:val="001B1BCA"/>
    <w:rsid w:val="001B1FC5"/>
    <w:rsid w:val="001B2A05"/>
    <w:rsid w:val="001B2AFD"/>
    <w:rsid w:val="001B31B3"/>
    <w:rsid w:val="001B5D53"/>
    <w:rsid w:val="001B5DB4"/>
    <w:rsid w:val="001B7193"/>
    <w:rsid w:val="001C0F82"/>
    <w:rsid w:val="001C2463"/>
    <w:rsid w:val="001D0652"/>
    <w:rsid w:val="001D0D9A"/>
    <w:rsid w:val="001D13BD"/>
    <w:rsid w:val="001E0799"/>
    <w:rsid w:val="001E10C6"/>
    <w:rsid w:val="001E532B"/>
    <w:rsid w:val="001E72A1"/>
    <w:rsid w:val="001E7EB2"/>
    <w:rsid w:val="001F3BCA"/>
    <w:rsid w:val="001F4890"/>
    <w:rsid w:val="002015E7"/>
    <w:rsid w:val="0020204D"/>
    <w:rsid w:val="00203CA3"/>
    <w:rsid w:val="002112F5"/>
    <w:rsid w:val="00217B3B"/>
    <w:rsid w:val="002218C8"/>
    <w:rsid w:val="00222AA8"/>
    <w:rsid w:val="00224A36"/>
    <w:rsid w:val="00230481"/>
    <w:rsid w:val="00230DC4"/>
    <w:rsid w:val="00230F8A"/>
    <w:rsid w:val="00231886"/>
    <w:rsid w:val="00235B47"/>
    <w:rsid w:val="002371D6"/>
    <w:rsid w:val="00242306"/>
    <w:rsid w:val="00242E43"/>
    <w:rsid w:val="0024599A"/>
    <w:rsid w:val="00251A04"/>
    <w:rsid w:val="00256741"/>
    <w:rsid w:val="0025682D"/>
    <w:rsid w:val="0026374C"/>
    <w:rsid w:val="0026799E"/>
    <w:rsid w:val="00270349"/>
    <w:rsid w:val="00270F26"/>
    <w:rsid w:val="00271618"/>
    <w:rsid w:val="00274A2A"/>
    <w:rsid w:val="00277B36"/>
    <w:rsid w:val="00282951"/>
    <w:rsid w:val="00284E43"/>
    <w:rsid w:val="00287636"/>
    <w:rsid w:val="00291015"/>
    <w:rsid w:val="00292688"/>
    <w:rsid w:val="002930E6"/>
    <w:rsid w:val="00293AB3"/>
    <w:rsid w:val="00295130"/>
    <w:rsid w:val="002975AF"/>
    <w:rsid w:val="002A19E0"/>
    <w:rsid w:val="002A33D5"/>
    <w:rsid w:val="002A507A"/>
    <w:rsid w:val="002B4426"/>
    <w:rsid w:val="002B4A75"/>
    <w:rsid w:val="002B6EFB"/>
    <w:rsid w:val="002B6F42"/>
    <w:rsid w:val="002B70A0"/>
    <w:rsid w:val="002C03BD"/>
    <w:rsid w:val="002C2984"/>
    <w:rsid w:val="002C5589"/>
    <w:rsid w:val="002D4687"/>
    <w:rsid w:val="002E12B9"/>
    <w:rsid w:val="002E27B7"/>
    <w:rsid w:val="002F12AF"/>
    <w:rsid w:val="002F45A7"/>
    <w:rsid w:val="002F49A8"/>
    <w:rsid w:val="002F4C1E"/>
    <w:rsid w:val="002F6D16"/>
    <w:rsid w:val="002F6F98"/>
    <w:rsid w:val="00305761"/>
    <w:rsid w:val="00306000"/>
    <w:rsid w:val="0030636F"/>
    <w:rsid w:val="00307107"/>
    <w:rsid w:val="00317730"/>
    <w:rsid w:val="00321DCF"/>
    <w:rsid w:val="00323381"/>
    <w:rsid w:val="00324849"/>
    <w:rsid w:val="00326AC8"/>
    <w:rsid w:val="00326FAF"/>
    <w:rsid w:val="00330439"/>
    <w:rsid w:val="0033094F"/>
    <w:rsid w:val="00331BB9"/>
    <w:rsid w:val="00337579"/>
    <w:rsid w:val="003425B7"/>
    <w:rsid w:val="0034640F"/>
    <w:rsid w:val="00346613"/>
    <w:rsid w:val="00350CEA"/>
    <w:rsid w:val="00354EAC"/>
    <w:rsid w:val="003578DC"/>
    <w:rsid w:val="0036031A"/>
    <w:rsid w:val="0036043A"/>
    <w:rsid w:val="00366CF3"/>
    <w:rsid w:val="00372C3E"/>
    <w:rsid w:val="003768C9"/>
    <w:rsid w:val="003820BA"/>
    <w:rsid w:val="00382578"/>
    <w:rsid w:val="003825DA"/>
    <w:rsid w:val="00383505"/>
    <w:rsid w:val="00383B00"/>
    <w:rsid w:val="0038674E"/>
    <w:rsid w:val="00387586"/>
    <w:rsid w:val="00390760"/>
    <w:rsid w:val="00396366"/>
    <w:rsid w:val="003A201D"/>
    <w:rsid w:val="003A7660"/>
    <w:rsid w:val="003A7922"/>
    <w:rsid w:val="003B05E8"/>
    <w:rsid w:val="003B0CB9"/>
    <w:rsid w:val="003B3A59"/>
    <w:rsid w:val="003B4C60"/>
    <w:rsid w:val="003B6AC9"/>
    <w:rsid w:val="003C6D07"/>
    <w:rsid w:val="003D0667"/>
    <w:rsid w:val="003D0E7B"/>
    <w:rsid w:val="003D0FEA"/>
    <w:rsid w:val="003D2773"/>
    <w:rsid w:val="003D3E88"/>
    <w:rsid w:val="003D41AB"/>
    <w:rsid w:val="003E08AD"/>
    <w:rsid w:val="003E0DB9"/>
    <w:rsid w:val="003E0E22"/>
    <w:rsid w:val="003E240E"/>
    <w:rsid w:val="003E5664"/>
    <w:rsid w:val="003E615F"/>
    <w:rsid w:val="003E7356"/>
    <w:rsid w:val="003E746C"/>
    <w:rsid w:val="003F1CF3"/>
    <w:rsid w:val="003F2498"/>
    <w:rsid w:val="003F3C8F"/>
    <w:rsid w:val="003F657D"/>
    <w:rsid w:val="00400C58"/>
    <w:rsid w:val="00405B57"/>
    <w:rsid w:val="00413D62"/>
    <w:rsid w:val="004168F0"/>
    <w:rsid w:val="00417846"/>
    <w:rsid w:val="00420649"/>
    <w:rsid w:val="00423164"/>
    <w:rsid w:val="00427F7F"/>
    <w:rsid w:val="004305CE"/>
    <w:rsid w:val="00433BB2"/>
    <w:rsid w:val="004365F4"/>
    <w:rsid w:val="00436958"/>
    <w:rsid w:val="00437BA4"/>
    <w:rsid w:val="00442363"/>
    <w:rsid w:val="00445581"/>
    <w:rsid w:val="00446A90"/>
    <w:rsid w:val="00447075"/>
    <w:rsid w:val="00455DEB"/>
    <w:rsid w:val="00455FEB"/>
    <w:rsid w:val="00457FD6"/>
    <w:rsid w:val="0046013D"/>
    <w:rsid w:val="00460C01"/>
    <w:rsid w:val="00461825"/>
    <w:rsid w:val="0046208B"/>
    <w:rsid w:val="0047187B"/>
    <w:rsid w:val="004753FC"/>
    <w:rsid w:val="0048075E"/>
    <w:rsid w:val="00483CF2"/>
    <w:rsid w:val="00486AC6"/>
    <w:rsid w:val="004918D1"/>
    <w:rsid w:val="00492E21"/>
    <w:rsid w:val="00493966"/>
    <w:rsid w:val="00494B65"/>
    <w:rsid w:val="004A6B92"/>
    <w:rsid w:val="004B1656"/>
    <w:rsid w:val="004B698D"/>
    <w:rsid w:val="004C078B"/>
    <w:rsid w:val="004C0DDD"/>
    <w:rsid w:val="004C1AF6"/>
    <w:rsid w:val="004C2FBB"/>
    <w:rsid w:val="004C581E"/>
    <w:rsid w:val="004C5857"/>
    <w:rsid w:val="004D1D69"/>
    <w:rsid w:val="004E2886"/>
    <w:rsid w:val="004E48F4"/>
    <w:rsid w:val="004F263A"/>
    <w:rsid w:val="004F2F6E"/>
    <w:rsid w:val="004F7D52"/>
    <w:rsid w:val="0050165F"/>
    <w:rsid w:val="0050285A"/>
    <w:rsid w:val="00507DEF"/>
    <w:rsid w:val="005112E5"/>
    <w:rsid w:val="00511AD2"/>
    <w:rsid w:val="00511CFB"/>
    <w:rsid w:val="00515ADA"/>
    <w:rsid w:val="005169E9"/>
    <w:rsid w:val="00517EDD"/>
    <w:rsid w:val="00520917"/>
    <w:rsid w:val="00533085"/>
    <w:rsid w:val="00535AF9"/>
    <w:rsid w:val="005360B6"/>
    <w:rsid w:val="005364AE"/>
    <w:rsid w:val="00540A7B"/>
    <w:rsid w:val="00540F18"/>
    <w:rsid w:val="00540F69"/>
    <w:rsid w:val="0054214F"/>
    <w:rsid w:val="00543629"/>
    <w:rsid w:val="00550F33"/>
    <w:rsid w:val="00555DF0"/>
    <w:rsid w:val="00555FFC"/>
    <w:rsid w:val="005647DA"/>
    <w:rsid w:val="00564A1A"/>
    <w:rsid w:val="005664D9"/>
    <w:rsid w:val="00566F71"/>
    <w:rsid w:val="005730E5"/>
    <w:rsid w:val="0057431F"/>
    <w:rsid w:val="00574941"/>
    <w:rsid w:val="00581610"/>
    <w:rsid w:val="00584C3E"/>
    <w:rsid w:val="0059020B"/>
    <w:rsid w:val="005914FD"/>
    <w:rsid w:val="00592F15"/>
    <w:rsid w:val="00593CBE"/>
    <w:rsid w:val="005955E2"/>
    <w:rsid w:val="005977D1"/>
    <w:rsid w:val="005B382C"/>
    <w:rsid w:val="005B391D"/>
    <w:rsid w:val="005B4F15"/>
    <w:rsid w:val="005B60A8"/>
    <w:rsid w:val="005B6BB2"/>
    <w:rsid w:val="005C109D"/>
    <w:rsid w:val="005C16EA"/>
    <w:rsid w:val="005C1702"/>
    <w:rsid w:val="005C21DC"/>
    <w:rsid w:val="005C37D9"/>
    <w:rsid w:val="005C624C"/>
    <w:rsid w:val="005D14B4"/>
    <w:rsid w:val="005D2FF1"/>
    <w:rsid w:val="005D39D7"/>
    <w:rsid w:val="005E018C"/>
    <w:rsid w:val="005E5169"/>
    <w:rsid w:val="005F06B9"/>
    <w:rsid w:val="005F3263"/>
    <w:rsid w:val="005F37CD"/>
    <w:rsid w:val="005F48E6"/>
    <w:rsid w:val="00601A72"/>
    <w:rsid w:val="006039C5"/>
    <w:rsid w:val="006041CE"/>
    <w:rsid w:val="00604A97"/>
    <w:rsid w:val="006108AA"/>
    <w:rsid w:val="00611931"/>
    <w:rsid w:val="00612476"/>
    <w:rsid w:val="00613F52"/>
    <w:rsid w:val="006153BA"/>
    <w:rsid w:val="00615A4D"/>
    <w:rsid w:val="00617017"/>
    <w:rsid w:val="0063361D"/>
    <w:rsid w:val="006364D4"/>
    <w:rsid w:val="006366E2"/>
    <w:rsid w:val="00637F58"/>
    <w:rsid w:val="006425DA"/>
    <w:rsid w:val="00651E86"/>
    <w:rsid w:val="00656BB5"/>
    <w:rsid w:val="00660989"/>
    <w:rsid w:val="006629F4"/>
    <w:rsid w:val="0066304C"/>
    <w:rsid w:val="00670138"/>
    <w:rsid w:val="00670357"/>
    <w:rsid w:val="00672BFB"/>
    <w:rsid w:val="00674F56"/>
    <w:rsid w:val="00675064"/>
    <w:rsid w:val="006751EA"/>
    <w:rsid w:val="00675254"/>
    <w:rsid w:val="0069364A"/>
    <w:rsid w:val="00693F48"/>
    <w:rsid w:val="0069585D"/>
    <w:rsid w:val="00695EDC"/>
    <w:rsid w:val="00696A00"/>
    <w:rsid w:val="006A29E1"/>
    <w:rsid w:val="006A30E2"/>
    <w:rsid w:val="006A62B1"/>
    <w:rsid w:val="006A72B5"/>
    <w:rsid w:val="006A7EAB"/>
    <w:rsid w:val="006B4CA9"/>
    <w:rsid w:val="006C0D3E"/>
    <w:rsid w:val="006C1021"/>
    <w:rsid w:val="006C1870"/>
    <w:rsid w:val="006C1CE0"/>
    <w:rsid w:val="006C37CD"/>
    <w:rsid w:val="006C6373"/>
    <w:rsid w:val="006C689E"/>
    <w:rsid w:val="006E00F4"/>
    <w:rsid w:val="006E01E3"/>
    <w:rsid w:val="006E3B4B"/>
    <w:rsid w:val="006E5D8A"/>
    <w:rsid w:val="006E6513"/>
    <w:rsid w:val="006F280D"/>
    <w:rsid w:val="006F2EC1"/>
    <w:rsid w:val="00702B92"/>
    <w:rsid w:val="00705513"/>
    <w:rsid w:val="007055B6"/>
    <w:rsid w:val="00710A68"/>
    <w:rsid w:val="00711E94"/>
    <w:rsid w:val="007139B4"/>
    <w:rsid w:val="00713F17"/>
    <w:rsid w:val="00721A17"/>
    <w:rsid w:val="007234E3"/>
    <w:rsid w:val="00724102"/>
    <w:rsid w:val="00724FEC"/>
    <w:rsid w:val="00727ADE"/>
    <w:rsid w:val="007317F5"/>
    <w:rsid w:val="0073201D"/>
    <w:rsid w:val="00734CE0"/>
    <w:rsid w:val="00735604"/>
    <w:rsid w:val="00736FFF"/>
    <w:rsid w:val="007371B8"/>
    <w:rsid w:val="00740CE9"/>
    <w:rsid w:val="00751AD0"/>
    <w:rsid w:val="00752D19"/>
    <w:rsid w:val="00752F94"/>
    <w:rsid w:val="00754EC3"/>
    <w:rsid w:val="00761568"/>
    <w:rsid w:val="00761AA5"/>
    <w:rsid w:val="00764C71"/>
    <w:rsid w:val="0076666E"/>
    <w:rsid w:val="00766792"/>
    <w:rsid w:val="0076792E"/>
    <w:rsid w:val="00771421"/>
    <w:rsid w:val="0077209F"/>
    <w:rsid w:val="007734F8"/>
    <w:rsid w:val="00774848"/>
    <w:rsid w:val="007749AA"/>
    <w:rsid w:val="00776054"/>
    <w:rsid w:val="0078303E"/>
    <w:rsid w:val="007918BF"/>
    <w:rsid w:val="00792186"/>
    <w:rsid w:val="00792421"/>
    <w:rsid w:val="007975E7"/>
    <w:rsid w:val="007978D8"/>
    <w:rsid w:val="007979FE"/>
    <w:rsid w:val="007A2829"/>
    <w:rsid w:val="007A3F28"/>
    <w:rsid w:val="007A4428"/>
    <w:rsid w:val="007A688C"/>
    <w:rsid w:val="007B0CF3"/>
    <w:rsid w:val="007B3004"/>
    <w:rsid w:val="007B406F"/>
    <w:rsid w:val="007B40D4"/>
    <w:rsid w:val="007B4BCB"/>
    <w:rsid w:val="007B55EE"/>
    <w:rsid w:val="007B6252"/>
    <w:rsid w:val="007C0D16"/>
    <w:rsid w:val="007C238C"/>
    <w:rsid w:val="007C40A1"/>
    <w:rsid w:val="007C4781"/>
    <w:rsid w:val="007C570E"/>
    <w:rsid w:val="007C6814"/>
    <w:rsid w:val="007C7EB7"/>
    <w:rsid w:val="007D12F5"/>
    <w:rsid w:val="007D4619"/>
    <w:rsid w:val="007D6D4E"/>
    <w:rsid w:val="007E613C"/>
    <w:rsid w:val="007F45A2"/>
    <w:rsid w:val="007F4D5D"/>
    <w:rsid w:val="007F6312"/>
    <w:rsid w:val="008001B8"/>
    <w:rsid w:val="008007C4"/>
    <w:rsid w:val="008021AD"/>
    <w:rsid w:val="008021DD"/>
    <w:rsid w:val="008127B5"/>
    <w:rsid w:val="00814C7E"/>
    <w:rsid w:val="00815081"/>
    <w:rsid w:val="008157AC"/>
    <w:rsid w:val="00816635"/>
    <w:rsid w:val="00825661"/>
    <w:rsid w:val="008345F7"/>
    <w:rsid w:val="0084110B"/>
    <w:rsid w:val="008451EF"/>
    <w:rsid w:val="00846D74"/>
    <w:rsid w:val="00851836"/>
    <w:rsid w:val="008530DA"/>
    <w:rsid w:val="00856F18"/>
    <w:rsid w:val="0086381F"/>
    <w:rsid w:val="00870DC6"/>
    <w:rsid w:val="00874230"/>
    <w:rsid w:val="0087565C"/>
    <w:rsid w:val="00880581"/>
    <w:rsid w:val="00881D1D"/>
    <w:rsid w:val="0088279C"/>
    <w:rsid w:val="00890A9F"/>
    <w:rsid w:val="00890DB6"/>
    <w:rsid w:val="0089771B"/>
    <w:rsid w:val="008A0516"/>
    <w:rsid w:val="008A1064"/>
    <w:rsid w:val="008B1C11"/>
    <w:rsid w:val="008B256E"/>
    <w:rsid w:val="008B295B"/>
    <w:rsid w:val="008B2DFB"/>
    <w:rsid w:val="008B5471"/>
    <w:rsid w:val="008B672C"/>
    <w:rsid w:val="008C043E"/>
    <w:rsid w:val="008C3D47"/>
    <w:rsid w:val="008C4C9E"/>
    <w:rsid w:val="008D015D"/>
    <w:rsid w:val="008D0C2A"/>
    <w:rsid w:val="008D100D"/>
    <w:rsid w:val="008D128A"/>
    <w:rsid w:val="008D27AC"/>
    <w:rsid w:val="008D46B7"/>
    <w:rsid w:val="008D50ED"/>
    <w:rsid w:val="008D6134"/>
    <w:rsid w:val="008D677A"/>
    <w:rsid w:val="008E2B1C"/>
    <w:rsid w:val="008F0F4B"/>
    <w:rsid w:val="008F4379"/>
    <w:rsid w:val="008F460B"/>
    <w:rsid w:val="008F5966"/>
    <w:rsid w:val="008F5B91"/>
    <w:rsid w:val="008F6B17"/>
    <w:rsid w:val="008F7449"/>
    <w:rsid w:val="008F7450"/>
    <w:rsid w:val="009017AA"/>
    <w:rsid w:val="00904169"/>
    <w:rsid w:val="00904A60"/>
    <w:rsid w:val="00906DF9"/>
    <w:rsid w:val="00907BDE"/>
    <w:rsid w:val="00910CDC"/>
    <w:rsid w:val="009136AE"/>
    <w:rsid w:val="00913D96"/>
    <w:rsid w:val="009147A6"/>
    <w:rsid w:val="00915CDE"/>
    <w:rsid w:val="00915DE9"/>
    <w:rsid w:val="009173FF"/>
    <w:rsid w:val="00925A5F"/>
    <w:rsid w:val="00925CD7"/>
    <w:rsid w:val="0093076A"/>
    <w:rsid w:val="00930DD2"/>
    <w:rsid w:val="00934D0C"/>
    <w:rsid w:val="00937C22"/>
    <w:rsid w:val="00942E38"/>
    <w:rsid w:val="00946BAC"/>
    <w:rsid w:val="0094770D"/>
    <w:rsid w:val="00954547"/>
    <w:rsid w:val="0095733D"/>
    <w:rsid w:val="00961DD5"/>
    <w:rsid w:val="00962547"/>
    <w:rsid w:val="00967760"/>
    <w:rsid w:val="00971703"/>
    <w:rsid w:val="0097259E"/>
    <w:rsid w:val="00974BE8"/>
    <w:rsid w:val="009776DB"/>
    <w:rsid w:val="00981721"/>
    <w:rsid w:val="00982480"/>
    <w:rsid w:val="009838A1"/>
    <w:rsid w:val="009842DA"/>
    <w:rsid w:val="00984AD4"/>
    <w:rsid w:val="009933AB"/>
    <w:rsid w:val="00993556"/>
    <w:rsid w:val="0099399E"/>
    <w:rsid w:val="00997AC6"/>
    <w:rsid w:val="009A4734"/>
    <w:rsid w:val="009A6A8F"/>
    <w:rsid w:val="009A710D"/>
    <w:rsid w:val="009A72AE"/>
    <w:rsid w:val="009B744E"/>
    <w:rsid w:val="009B7888"/>
    <w:rsid w:val="009C031F"/>
    <w:rsid w:val="009C62D0"/>
    <w:rsid w:val="009C6CE3"/>
    <w:rsid w:val="009E0FEA"/>
    <w:rsid w:val="009E164D"/>
    <w:rsid w:val="009E32FA"/>
    <w:rsid w:val="009E6E14"/>
    <w:rsid w:val="009E764E"/>
    <w:rsid w:val="009F0881"/>
    <w:rsid w:val="009F0B96"/>
    <w:rsid w:val="009F6B30"/>
    <w:rsid w:val="009F7337"/>
    <w:rsid w:val="00A01467"/>
    <w:rsid w:val="00A02026"/>
    <w:rsid w:val="00A0467F"/>
    <w:rsid w:val="00A05F17"/>
    <w:rsid w:val="00A0692E"/>
    <w:rsid w:val="00A077A3"/>
    <w:rsid w:val="00A10E15"/>
    <w:rsid w:val="00A13AA0"/>
    <w:rsid w:val="00A144E7"/>
    <w:rsid w:val="00A16778"/>
    <w:rsid w:val="00A20E8E"/>
    <w:rsid w:val="00A25111"/>
    <w:rsid w:val="00A25C65"/>
    <w:rsid w:val="00A3478B"/>
    <w:rsid w:val="00A419B0"/>
    <w:rsid w:val="00A55F6D"/>
    <w:rsid w:val="00A56B6E"/>
    <w:rsid w:val="00A6112B"/>
    <w:rsid w:val="00A61C6D"/>
    <w:rsid w:val="00A62C56"/>
    <w:rsid w:val="00A67E3F"/>
    <w:rsid w:val="00A704DC"/>
    <w:rsid w:val="00A733D6"/>
    <w:rsid w:val="00A748A8"/>
    <w:rsid w:val="00A826DB"/>
    <w:rsid w:val="00A867D1"/>
    <w:rsid w:val="00A87425"/>
    <w:rsid w:val="00A87822"/>
    <w:rsid w:val="00A964E5"/>
    <w:rsid w:val="00A965C2"/>
    <w:rsid w:val="00AA20B2"/>
    <w:rsid w:val="00AA3992"/>
    <w:rsid w:val="00AB1422"/>
    <w:rsid w:val="00AB3436"/>
    <w:rsid w:val="00AB5E25"/>
    <w:rsid w:val="00AC06DD"/>
    <w:rsid w:val="00AC2C96"/>
    <w:rsid w:val="00AC4566"/>
    <w:rsid w:val="00AC5E2B"/>
    <w:rsid w:val="00AD3063"/>
    <w:rsid w:val="00AD5EE6"/>
    <w:rsid w:val="00AD630D"/>
    <w:rsid w:val="00AE3308"/>
    <w:rsid w:val="00AE75A2"/>
    <w:rsid w:val="00AF1926"/>
    <w:rsid w:val="00AF33F5"/>
    <w:rsid w:val="00AF3691"/>
    <w:rsid w:val="00AF6AA6"/>
    <w:rsid w:val="00AF7E9F"/>
    <w:rsid w:val="00B01D2E"/>
    <w:rsid w:val="00B02BCF"/>
    <w:rsid w:val="00B03A1E"/>
    <w:rsid w:val="00B04FD6"/>
    <w:rsid w:val="00B058E9"/>
    <w:rsid w:val="00B05DA7"/>
    <w:rsid w:val="00B07BDB"/>
    <w:rsid w:val="00B139E3"/>
    <w:rsid w:val="00B1486E"/>
    <w:rsid w:val="00B2226F"/>
    <w:rsid w:val="00B24952"/>
    <w:rsid w:val="00B270AC"/>
    <w:rsid w:val="00B27868"/>
    <w:rsid w:val="00B34DBE"/>
    <w:rsid w:val="00B352EE"/>
    <w:rsid w:val="00B37221"/>
    <w:rsid w:val="00B37CE7"/>
    <w:rsid w:val="00B42743"/>
    <w:rsid w:val="00B461C2"/>
    <w:rsid w:val="00B50B54"/>
    <w:rsid w:val="00B50CCC"/>
    <w:rsid w:val="00B5141E"/>
    <w:rsid w:val="00B5248B"/>
    <w:rsid w:val="00B5344E"/>
    <w:rsid w:val="00B544DE"/>
    <w:rsid w:val="00B55938"/>
    <w:rsid w:val="00B6160D"/>
    <w:rsid w:val="00B6253B"/>
    <w:rsid w:val="00B62A69"/>
    <w:rsid w:val="00B64D26"/>
    <w:rsid w:val="00B666C5"/>
    <w:rsid w:val="00B66E6E"/>
    <w:rsid w:val="00B70E30"/>
    <w:rsid w:val="00B77982"/>
    <w:rsid w:val="00B825F2"/>
    <w:rsid w:val="00B85B84"/>
    <w:rsid w:val="00B86509"/>
    <w:rsid w:val="00B86D37"/>
    <w:rsid w:val="00B87D1D"/>
    <w:rsid w:val="00BA627E"/>
    <w:rsid w:val="00BA6550"/>
    <w:rsid w:val="00BA7C29"/>
    <w:rsid w:val="00BB0AD4"/>
    <w:rsid w:val="00BB5538"/>
    <w:rsid w:val="00BC2D05"/>
    <w:rsid w:val="00BC3C38"/>
    <w:rsid w:val="00BC3D84"/>
    <w:rsid w:val="00BC3F40"/>
    <w:rsid w:val="00BD22F3"/>
    <w:rsid w:val="00BD44E0"/>
    <w:rsid w:val="00BD4814"/>
    <w:rsid w:val="00BD497F"/>
    <w:rsid w:val="00BD7466"/>
    <w:rsid w:val="00BD7EBD"/>
    <w:rsid w:val="00BE111F"/>
    <w:rsid w:val="00BE21EA"/>
    <w:rsid w:val="00BE4EA6"/>
    <w:rsid w:val="00BF15A3"/>
    <w:rsid w:val="00BF34A3"/>
    <w:rsid w:val="00BF35A7"/>
    <w:rsid w:val="00BF6388"/>
    <w:rsid w:val="00C01747"/>
    <w:rsid w:val="00C04EF3"/>
    <w:rsid w:val="00C10AEF"/>
    <w:rsid w:val="00C124E8"/>
    <w:rsid w:val="00C171B6"/>
    <w:rsid w:val="00C24B0B"/>
    <w:rsid w:val="00C25D4E"/>
    <w:rsid w:val="00C2783D"/>
    <w:rsid w:val="00C30C7B"/>
    <w:rsid w:val="00C33FC8"/>
    <w:rsid w:val="00C33FCA"/>
    <w:rsid w:val="00C35A96"/>
    <w:rsid w:val="00C36838"/>
    <w:rsid w:val="00C36DD2"/>
    <w:rsid w:val="00C40B38"/>
    <w:rsid w:val="00C41F94"/>
    <w:rsid w:val="00C50CEF"/>
    <w:rsid w:val="00C522BF"/>
    <w:rsid w:val="00C52AFB"/>
    <w:rsid w:val="00C55CE9"/>
    <w:rsid w:val="00C562F6"/>
    <w:rsid w:val="00C56F81"/>
    <w:rsid w:val="00C60952"/>
    <w:rsid w:val="00C62824"/>
    <w:rsid w:val="00C6466B"/>
    <w:rsid w:val="00C7120E"/>
    <w:rsid w:val="00C745DD"/>
    <w:rsid w:val="00C74952"/>
    <w:rsid w:val="00C75359"/>
    <w:rsid w:val="00C804DA"/>
    <w:rsid w:val="00C809AE"/>
    <w:rsid w:val="00C83BA7"/>
    <w:rsid w:val="00C83F9F"/>
    <w:rsid w:val="00C845DB"/>
    <w:rsid w:val="00C90672"/>
    <w:rsid w:val="00C94ABB"/>
    <w:rsid w:val="00C97183"/>
    <w:rsid w:val="00CA09EF"/>
    <w:rsid w:val="00CA263F"/>
    <w:rsid w:val="00CA3C1B"/>
    <w:rsid w:val="00CB070C"/>
    <w:rsid w:val="00CB08A0"/>
    <w:rsid w:val="00CC1EF3"/>
    <w:rsid w:val="00CC3680"/>
    <w:rsid w:val="00CC5EE1"/>
    <w:rsid w:val="00CD0B74"/>
    <w:rsid w:val="00CD4683"/>
    <w:rsid w:val="00CD52BB"/>
    <w:rsid w:val="00CD5DDA"/>
    <w:rsid w:val="00CE2BB4"/>
    <w:rsid w:val="00CF22C7"/>
    <w:rsid w:val="00CF44BE"/>
    <w:rsid w:val="00CF4593"/>
    <w:rsid w:val="00CF49BE"/>
    <w:rsid w:val="00CF6AAF"/>
    <w:rsid w:val="00D10210"/>
    <w:rsid w:val="00D10E98"/>
    <w:rsid w:val="00D12F8A"/>
    <w:rsid w:val="00D14978"/>
    <w:rsid w:val="00D15BAD"/>
    <w:rsid w:val="00D167DD"/>
    <w:rsid w:val="00D203E4"/>
    <w:rsid w:val="00D21491"/>
    <w:rsid w:val="00D215A6"/>
    <w:rsid w:val="00D23376"/>
    <w:rsid w:val="00D31D5A"/>
    <w:rsid w:val="00D3425E"/>
    <w:rsid w:val="00D3644F"/>
    <w:rsid w:val="00D36FC3"/>
    <w:rsid w:val="00D43B22"/>
    <w:rsid w:val="00D441EC"/>
    <w:rsid w:val="00D5798D"/>
    <w:rsid w:val="00D613FA"/>
    <w:rsid w:val="00D61C3F"/>
    <w:rsid w:val="00D6225E"/>
    <w:rsid w:val="00D66DE2"/>
    <w:rsid w:val="00D721A8"/>
    <w:rsid w:val="00D7524D"/>
    <w:rsid w:val="00D80271"/>
    <w:rsid w:val="00D8321E"/>
    <w:rsid w:val="00D85C89"/>
    <w:rsid w:val="00D92B78"/>
    <w:rsid w:val="00D93C31"/>
    <w:rsid w:val="00D966CF"/>
    <w:rsid w:val="00DA20CA"/>
    <w:rsid w:val="00DA4058"/>
    <w:rsid w:val="00DB0543"/>
    <w:rsid w:val="00DB3B33"/>
    <w:rsid w:val="00DB5178"/>
    <w:rsid w:val="00DB5593"/>
    <w:rsid w:val="00DC05E8"/>
    <w:rsid w:val="00DC1E5A"/>
    <w:rsid w:val="00DC2BF0"/>
    <w:rsid w:val="00DC3DC8"/>
    <w:rsid w:val="00DC4C9F"/>
    <w:rsid w:val="00DD31EC"/>
    <w:rsid w:val="00DD3546"/>
    <w:rsid w:val="00DE304A"/>
    <w:rsid w:val="00DE33F7"/>
    <w:rsid w:val="00DE35F3"/>
    <w:rsid w:val="00DE42D9"/>
    <w:rsid w:val="00DE5D4D"/>
    <w:rsid w:val="00DF07C7"/>
    <w:rsid w:val="00DF6AD8"/>
    <w:rsid w:val="00DF7068"/>
    <w:rsid w:val="00E0065D"/>
    <w:rsid w:val="00E00ADB"/>
    <w:rsid w:val="00E01FDF"/>
    <w:rsid w:val="00E041EE"/>
    <w:rsid w:val="00E0504C"/>
    <w:rsid w:val="00E0756A"/>
    <w:rsid w:val="00E076EB"/>
    <w:rsid w:val="00E07B93"/>
    <w:rsid w:val="00E11B09"/>
    <w:rsid w:val="00E37324"/>
    <w:rsid w:val="00E37662"/>
    <w:rsid w:val="00E42A80"/>
    <w:rsid w:val="00E43151"/>
    <w:rsid w:val="00E43A0F"/>
    <w:rsid w:val="00E4629C"/>
    <w:rsid w:val="00E53184"/>
    <w:rsid w:val="00E5560F"/>
    <w:rsid w:val="00E62A98"/>
    <w:rsid w:val="00E62C8B"/>
    <w:rsid w:val="00E668DC"/>
    <w:rsid w:val="00E701B2"/>
    <w:rsid w:val="00E71297"/>
    <w:rsid w:val="00E7479A"/>
    <w:rsid w:val="00E90F31"/>
    <w:rsid w:val="00E910D5"/>
    <w:rsid w:val="00E94641"/>
    <w:rsid w:val="00E96B32"/>
    <w:rsid w:val="00EB01EC"/>
    <w:rsid w:val="00EB2312"/>
    <w:rsid w:val="00EB3299"/>
    <w:rsid w:val="00EC1415"/>
    <w:rsid w:val="00EC6E85"/>
    <w:rsid w:val="00EC7220"/>
    <w:rsid w:val="00ED0B5E"/>
    <w:rsid w:val="00ED3E9D"/>
    <w:rsid w:val="00ED4789"/>
    <w:rsid w:val="00ED6601"/>
    <w:rsid w:val="00ED79B0"/>
    <w:rsid w:val="00EE16F7"/>
    <w:rsid w:val="00EE336E"/>
    <w:rsid w:val="00EE6333"/>
    <w:rsid w:val="00EE7701"/>
    <w:rsid w:val="00EF20FD"/>
    <w:rsid w:val="00EF4106"/>
    <w:rsid w:val="00EF56BD"/>
    <w:rsid w:val="00F043B0"/>
    <w:rsid w:val="00F0658B"/>
    <w:rsid w:val="00F1552C"/>
    <w:rsid w:val="00F159F9"/>
    <w:rsid w:val="00F16E91"/>
    <w:rsid w:val="00F16EFE"/>
    <w:rsid w:val="00F200A4"/>
    <w:rsid w:val="00F20A1F"/>
    <w:rsid w:val="00F21213"/>
    <w:rsid w:val="00F23B33"/>
    <w:rsid w:val="00F24802"/>
    <w:rsid w:val="00F24A99"/>
    <w:rsid w:val="00F321C5"/>
    <w:rsid w:val="00F34FD3"/>
    <w:rsid w:val="00F36620"/>
    <w:rsid w:val="00F40141"/>
    <w:rsid w:val="00F41668"/>
    <w:rsid w:val="00F422C9"/>
    <w:rsid w:val="00F429DA"/>
    <w:rsid w:val="00F506BE"/>
    <w:rsid w:val="00F5377D"/>
    <w:rsid w:val="00F57FCD"/>
    <w:rsid w:val="00F62580"/>
    <w:rsid w:val="00F71A04"/>
    <w:rsid w:val="00F77864"/>
    <w:rsid w:val="00F807FB"/>
    <w:rsid w:val="00F80A9F"/>
    <w:rsid w:val="00F81BB0"/>
    <w:rsid w:val="00F836E4"/>
    <w:rsid w:val="00F865B4"/>
    <w:rsid w:val="00F87281"/>
    <w:rsid w:val="00F90ABC"/>
    <w:rsid w:val="00F91C17"/>
    <w:rsid w:val="00F92A16"/>
    <w:rsid w:val="00F9306B"/>
    <w:rsid w:val="00F964CF"/>
    <w:rsid w:val="00FA00B4"/>
    <w:rsid w:val="00FA0CC6"/>
    <w:rsid w:val="00FA59CC"/>
    <w:rsid w:val="00FB1FE2"/>
    <w:rsid w:val="00FB3DB9"/>
    <w:rsid w:val="00FC00DD"/>
    <w:rsid w:val="00FC41DD"/>
    <w:rsid w:val="00FC4A03"/>
    <w:rsid w:val="00FC6F30"/>
    <w:rsid w:val="00FD0B3C"/>
    <w:rsid w:val="00FD1C96"/>
    <w:rsid w:val="00FD3A36"/>
    <w:rsid w:val="00FE650A"/>
    <w:rsid w:val="00FE71C1"/>
    <w:rsid w:val="00FF1D21"/>
    <w:rsid w:val="00FF5BA9"/>
    <w:rsid w:val="00FF5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37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5CE"/>
    <w:rPr>
      <w:sz w:val="24"/>
      <w:szCs w:val="24"/>
    </w:rPr>
  </w:style>
  <w:style w:type="paragraph" w:styleId="Heading1">
    <w:name w:val="heading 1"/>
    <w:basedOn w:val="Normal"/>
    <w:next w:val="Normal"/>
    <w:link w:val="Heading1Char"/>
    <w:qFormat/>
    <w:rsid w:val="003B3A59"/>
    <w:pPr>
      <w:keepNext/>
      <w:jc w:val="center"/>
      <w:outlineLvl w:val="0"/>
    </w:pPr>
    <w:rPr>
      <w:rFonts w:ascii="Courier" w:hAnsi="Courier"/>
      <w:b/>
      <w:szCs w:val="20"/>
    </w:rPr>
  </w:style>
  <w:style w:type="paragraph" w:styleId="Heading2">
    <w:name w:val="heading 2"/>
    <w:basedOn w:val="Normal"/>
    <w:next w:val="Normal"/>
    <w:link w:val="Heading2Char"/>
    <w:qFormat/>
    <w:rsid w:val="003B3A59"/>
    <w:pPr>
      <w:keepNext/>
      <w:jc w:val="right"/>
      <w:outlineLvl w:val="1"/>
    </w:pPr>
    <w:rPr>
      <w:rFonts w:ascii="Arial" w:hAnsi="Arial"/>
      <w:b/>
      <w:sz w:val="20"/>
      <w:szCs w:val="20"/>
      <w:u w:val="single"/>
    </w:rPr>
  </w:style>
  <w:style w:type="paragraph" w:styleId="Heading3">
    <w:name w:val="heading 3"/>
    <w:basedOn w:val="Normal"/>
    <w:next w:val="Normal"/>
    <w:qFormat/>
    <w:rsid w:val="003B3A59"/>
    <w:pPr>
      <w:keepNext/>
      <w:tabs>
        <w:tab w:val="left" w:pos="540"/>
      </w:tabs>
      <w:autoSpaceDE w:val="0"/>
      <w:autoSpaceDN w:val="0"/>
      <w:adjustRightInd w:val="0"/>
      <w:outlineLvl w:val="2"/>
    </w:pPr>
    <w:rPr>
      <w:b/>
      <w:bCs/>
      <w:color w:val="000000"/>
    </w:rPr>
  </w:style>
  <w:style w:type="paragraph" w:styleId="Heading4">
    <w:name w:val="heading 4"/>
    <w:basedOn w:val="Normal"/>
    <w:next w:val="Normal"/>
    <w:qFormat/>
    <w:rsid w:val="003B3A59"/>
    <w:pPr>
      <w:keepNext/>
      <w:numPr>
        <w:numId w:val="2"/>
      </w:numPr>
      <w:outlineLvl w:val="3"/>
    </w:pPr>
    <w:rPr>
      <w:rFonts w:ascii="Courier New" w:hAnsi="Courier New"/>
      <w:b/>
      <w:szCs w:val="20"/>
    </w:rPr>
  </w:style>
  <w:style w:type="paragraph" w:styleId="Heading5">
    <w:name w:val="heading 5"/>
    <w:basedOn w:val="Normal"/>
    <w:next w:val="Normal"/>
    <w:qFormat/>
    <w:rsid w:val="003B3A59"/>
    <w:pPr>
      <w:keepNext/>
      <w:outlineLvl w:val="4"/>
    </w:pPr>
    <w:rPr>
      <w:b/>
      <w:bCs/>
      <w:sz w:val="18"/>
    </w:rPr>
  </w:style>
  <w:style w:type="paragraph" w:styleId="Heading6">
    <w:name w:val="heading 6"/>
    <w:basedOn w:val="Normal"/>
    <w:next w:val="Normal"/>
    <w:qFormat/>
    <w:rsid w:val="003B3A59"/>
    <w:pPr>
      <w:keepNext/>
      <w:numPr>
        <w:numId w:val="1"/>
      </w:numPr>
      <w:outlineLvl w:val="5"/>
    </w:pPr>
    <w:rPr>
      <w:b/>
      <w:szCs w:val="20"/>
    </w:rPr>
  </w:style>
  <w:style w:type="paragraph" w:styleId="Heading7">
    <w:name w:val="heading 7"/>
    <w:basedOn w:val="Normal"/>
    <w:next w:val="Normal"/>
    <w:link w:val="Heading7Char"/>
    <w:qFormat/>
    <w:rsid w:val="003B3A59"/>
    <w:pPr>
      <w:keepNext/>
      <w:jc w:val="center"/>
      <w:outlineLvl w:val="6"/>
    </w:pPr>
    <w:rPr>
      <w:szCs w:val="20"/>
    </w:rPr>
  </w:style>
  <w:style w:type="paragraph" w:styleId="Heading8">
    <w:name w:val="heading 8"/>
    <w:basedOn w:val="Normal"/>
    <w:next w:val="Normal"/>
    <w:qFormat/>
    <w:rsid w:val="003B3A59"/>
    <w:pPr>
      <w:keepNext/>
      <w:tabs>
        <w:tab w:val="right" w:pos="8928"/>
      </w:tabs>
      <w:jc w:val="center"/>
      <w:outlineLvl w:val="7"/>
    </w:pPr>
    <w:rPr>
      <w:rFonts w:ascii="Arial" w:hAnsi="Arial" w:cs="Arial"/>
      <w:b/>
      <w:sz w:val="48"/>
    </w:rPr>
  </w:style>
  <w:style w:type="paragraph" w:styleId="Heading9">
    <w:name w:val="heading 9"/>
    <w:basedOn w:val="Normal"/>
    <w:next w:val="Normal"/>
    <w:qFormat/>
    <w:rsid w:val="003B3A59"/>
    <w:pPr>
      <w:keepNext/>
      <w:ind w:left="720"/>
      <w:outlineLvl w:val="8"/>
    </w:pPr>
    <w:rPr>
      <w:rFonts w:ascii="Courier" w:hAnsi="Courie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3A59"/>
    <w:pPr>
      <w:widowControl w:val="0"/>
      <w:tabs>
        <w:tab w:val="left" w:pos="432"/>
        <w:tab w:val="center" w:pos="4320"/>
        <w:tab w:val="right" w:pos="5040"/>
        <w:tab w:val="right" w:pos="6210"/>
        <w:tab w:val="right" w:pos="6930"/>
        <w:tab w:val="right" w:pos="8190"/>
        <w:tab w:val="right" w:pos="8640"/>
        <w:tab w:val="right" w:pos="8820"/>
        <w:tab w:val="right" w:pos="9810"/>
      </w:tabs>
    </w:pPr>
    <w:rPr>
      <w:rFonts w:ascii="Courier New" w:hAnsi="Courier New"/>
      <w:sz w:val="20"/>
      <w:szCs w:val="20"/>
    </w:rPr>
  </w:style>
  <w:style w:type="paragraph" w:customStyle="1" w:styleId="xl19">
    <w:name w:val="xl19"/>
    <w:basedOn w:val="Normal"/>
    <w:rsid w:val="003B3A59"/>
    <w:pPr>
      <w:spacing w:before="100" w:after="100"/>
    </w:pPr>
    <w:rPr>
      <w:rFonts w:eastAsia="Arial Unicode MS"/>
      <w:szCs w:val="20"/>
    </w:rPr>
  </w:style>
  <w:style w:type="paragraph" w:customStyle="1" w:styleId="APP-3A">
    <w:name w:val="APP-3A"/>
    <w:rsid w:val="003B3A59"/>
    <w:rPr>
      <w:rFonts w:ascii="Arial" w:hAnsi="Arial"/>
      <w:b/>
    </w:rPr>
  </w:style>
  <w:style w:type="paragraph" w:customStyle="1" w:styleId="xl33">
    <w:name w:val="xl33"/>
    <w:basedOn w:val="Normal"/>
    <w:rsid w:val="003B3A59"/>
    <w:pPr>
      <w:spacing w:before="100" w:after="100"/>
      <w:jc w:val="center"/>
    </w:pPr>
    <w:rPr>
      <w:rFonts w:ascii="Arial" w:eastAsia="Arial Unicode MS" w:hAnsi="Arial"/>
      <w:b/>
      <w:szCs w:val="20"/>
    </w:rPr>
  </w:style>
  <w:style w:type="paragraph" w:styleId="BodyText">
    <w:name w:val="Body Text"/>
    <w:basedOn w:val="Normal"/>
    <w:link w:val="BodyTextChar"/>
    <w:rsid w:val="003B3A59"/>
    <w:rPr>
      <w:szCs w:val="20"/>
    </w:rPr>
  </w:style>
  <w:style w:type="paragraph" w:customStyle="1" w:styleId="xl27">
    <w:name w:val="xl27"/>
    <w:basedOn w:val="Normal"/>
    <w:rsid w:val="003B3A59"/>
    <w:pPr>
      <w:spacing w:before="100" w:after="100"/>
    </w:pPr>
    <w:rPr>
      <w:rFonts w:ascii="Arial" w:eastAsia="Arial Unicode MS" w:hAnsi="Arial"/>
      <w:b/>
      <w:szCs w:val="20"/>
    </w:rPr>
  </w:style>
  <w:style w:type="paragraph" w:styleId="FootnoteText">
    <w:name w:val="footnote text"/>
    <w:basedOn w:val="Normal"/>
    <w:link w:val="FootnoteTextChar"/>
    <w:uiPriority w:val="99"/>
    <w:semiHidden/>
    <w:rsid w:val="003B3A59"/>
    <w:rPr>
      <w:sz w:val="20"/>
      <w:szCs w:val="20"/>
    </w:rPr>
  </w:style>
  <w:style w:type="paragraph" w:customStyle="1" w:styleId="xl34">
    <w:name w:val="xl34"/>
    <w:basedOn w:val="Normal"/>
    <w:rsid w:val="003B3A59"/>
    <w:pPr>
      <w:spacing w:before="100" w:after="100"/>
      <w:jc w:val="center"/>
    </w:pPr>
    <w:rPr>
      <w:rFonts w:eastAsia="Arial Unicode MS"/>
      <w:b/>
      <w:sz w:val="20"/>
      <w:szCs w:val="20"/>
    </w:rPr>
  </w:style>
  <w:style w:type="paragraph" w:styleId="Title">
    <w:name w:val="Title"/>
    <w:basedOn w:val="Normal"/>
    <w:qFormat/>
    <w:rsid w:val="003B3A59"/>
    <w:pPr>
      <w:ind w:left="720"/>
      <w:jc w:val="center"/>
    </w:pPr>
    <w:rPr>
      <w:b/>
      <w:i/>
      <w:szCs w:val="20"/>
    </w:rPr>
  </w:style>
  <w:style w:type="paragraph" w:styleId="BodyText2">
    <w:name w:val="Body Text 2"/>
    <w:basedOn w:val="Normal"/>
    <w:link w:val="BodyText2Char"/>
    <w:rsid w:val="003B3A59"/>
    <w:rPr>
      <w:sz w:val="20"/>
      <w:szCs w:val="20"/>
    </w:rPr>
  </w:style>
  <w:style w:type="paragraph" w:styleId="Header">
    <w:name w:val="header"/>
    <w:basedOn w:val="Normal"/>
    <w:rsid w:val="003B3A59"/>
    <w:pPr>
      <w:tabs>
        <w:tab w:val="center" w:pos="4320"/>
        <w:tab w:val="right" w:pos="8640"/>
      </w:tabs>
    </w:pPr>
    <w:rPr>
      <w:rFonts w:ascii="CG Times" w:hAnsi="CG Times"/>
      <w:szCs w:val="20"/>
    </w:rPr>
  </w:style>
  <w:style w:type="paragraph" w:customStyle="1" w:styleId="xl24">
    <w:name w:val="xl24"/>
    <w:basedOn w:val="Normal"/>
    <w:rsid w:val="003B3A59"/>
    <w:pPr>
      <w:spacing w:before="100" w:after="100"/>
    </w:pPr>
    <w:rPr>
      <w:rFonts w:eastAsia="Arial Unicode MS"/>
      <w:szCs w:val="20"/>
      <w:u w:val="single"/>
    </w:rPr>
  </w:style>
  <w:style w:type="paragraph" w:styleId="BodyText3">
    <w:name w:val="Body Text 3"/>
    <w:basedOn w:val="Normal"/>
    <w:rsid w:val="003B3A59"/>
    <w:rPr>
      <w:color w:val="000000"/>
      <w:szCs w:val="20"/>
    </w:rPr>
  </w:style>
  <w:style w:type="paragraph" w:customStyle="1" w:styleId="xl22">
    <w:name w:val="xl22"/>
    <w:basedOn w:val="Normal"/>
    <w:rsid w:val="003B3A59"/>
    <w:pPr>
      <w:spacing w:before="100" w:after="100"/>
      <w:jc w:val="center"/>
    </w:pPr>
    <w:rPr>
      <w:rFonts w:eastAsia="Arial Unicode MS"/>
      <w:szCs w:val="20"/>
      <w:u w:val="single"/>
    </w:rPr>
  </w:style>
  <w:style w:type="paragraph" w:styleId="TOC1">
    <w:name w:val="toc 1"/>
    <w:basedOn w:val="Normal"/>
    <w:next w:val="Normal"/>
    <w:autoRedefine/>
    <w:semiHidden/>
    <w:rsid w:val="003B3A59"/>
    <w:pPr>
      <w:jc w:val="right"/>
    </w:pPr>
    <w:rPr>
      <w:szCs w:val="20"/>
    </w:rPr>
  </w:style>
  <w:style w:type="paragraph" w:styleId="TOAHeading">
    <w:name w:val="toa heading"/>
    <w:basedOn w:val="Normal"/>
    <w:next w:val="Normal"/>
    <w:semiHidden/>
    <w:rsid w:val="003B3A59"/>
    <w:pPr>
      <w:widowControl w:val="0"/>
      <w:tabs>
        <w:tab w:val="right" w:pos="9360"/>
      </w:tabs>
      <w:suppressAutoHyphens/>
    </w:pPr>
    <w:rPr>
      <w:rFonts w:ascii="Courier New" w:hAnsi="Courier New"/>
      <w:sz w:val="20"/>
      <w:szCs w:val="20"/>
    </w:rPr>
  </w:style>
  <w:style w:type="character" w:styleId="PageNumber">
    <w:name w:val="page number"/>
    <w:basedOn w:val="DefaultParagraphFont"/>
    <w:rsid w:val="003B3A59"/>
  </w:style>
  <w:style w:type="paragraph" w:styleId="BodyTextIndent">
    <w:name w:val="Body Text Indent"/>
    <w:basedOn w:val="Normal"/>
    <w:rsid w:val="003B3A59"/>
    <w:pPr>
      <w:tabs>
        <w:tab w:val="left" w:leader="dot" w:pos="7920"/>
        <w:tab w:val="right" w:pos="8640"/>
      </w:tabs>
      <w:ind w:left="720"/>
    </w:pPr>
    <w:rPr>
      <w:bCs/>
      <w:i/>
      <w:iCs/>
    </w:rPr>
  </w:style>
  <w:style w:type="paragraph" w:styleId="BalloonText">
    <w:name w:val="Balloon Text"/>
    <w:basedOn w:val="Normal"/>
    <w:semiHidden/>
    <w:rsid w:val="003B3A59"/>
    <w:rPr>
      <w:rFonts w:ascii="Tahoma" w:hAnsi="Tahoma" w:cs="Tahoma"/>
      <w:sz w:val="16"/>
      <w:szCs w:val="16"/>
    </w:rPr>
  </w:style>
  <w:style w:type="paragraph" w:styleId="List2">
    <w:name w:val="List 2"/>
    <w:basedOn w:val="Normal"/>
    <w:rsid w:val="00E0065D"/>
    <w:pPr>
      <w:ind w:left="720" w:hanging="360"/>
    </w:pPr>
  </w:style>
  <w:style w:type="paragraph" w:styleId="List3">
    <w:name w:val="List 3"/>
    <w:basedOn w:val="Normal"/>
    <w:rsid w:val="00E0065D"/>
    <w:pPr>
      <w:ind w:left="1080" w:hanging="360"/>
    </w:pPr>
  </w:style>
  <w:style w:type="paragraph" w:styleId="ListBullet2">
    <w:name w:val="List Bullet 2"/>
    <w:basedOn w:val="Normal"/>
    <w:rsid w:val="00E0065D"/>
    <w:pPr>
      <w:numPr>
        <w:numId w:val="5"/>
      </w:numPr>
    </w:pPr>
  </w:style>
  <w:style w:type="paragraph" w:styleId="BodyTextFirstIndent2">
    <w:name w:val="Body Text First Indent 2"/>
    <w:basedOn w:val="BodyTextIndent"/>
    <w:rsid w:val="00E0065D"/>
    <w:pPr>
      <w:tabs>
        <w:tab w:val="clear" w:pos="7920"/>
        <w:tab w:val="clear" w:pos="8640"/>
      </w:tabs>
      <w:spacing w:after="120"/>
      <w:ind w:left="360" w:firstLine="210"/>
    </w:pPr>
    <w:rPr>
      <w:bCs w:val="0"/>
      <w:i w:val="0"/>
      <w:iCs w:val="0"/>
    </w:rPr>
  </w:style>
  <w:style w:type="table" w:styleId="TableGrid">
    <w:name w:val="Table Grid"/>
    <w:basedOn w:val="TableNormal"/>
    <w:rsid w:val="00875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82951"/>
    <w:rPr>
      <w:sz w:val="16"/>
      <w:szCs w:val="16"/>
    </w:rPr>
  </w:style>
  <w:style w:type="paragraph" w:styleId="CommentText">
    <w:name w:val="annotation text"/>
    <w:basedOn w:val="Normal"/>
    <w:link w:val="CommentTextChar"/>
    <w:uiPriority w:val="99"/>
    <w:rsid w:val="00282951"/>
    <w:rPr>
      <w:sz w:val="20"/>
      <w:szCs w:val="20"/>
    </w:rPr>
  </w:style>
  <w:style w:type="paragraph" w:styleId="CommentSubject">
    <w:name w:val="annotation subject"/>
    <w:basedOn w:val="CommentText"/>
    <w:next w:val="CommentText"/>
    <w:semiHidden/>
    <w:rsid w:val="00282951"/>
    <w:rPr>
      <w:b/>
      <w:bCs/>
    </w:rPr>
  </w:style>
  <w:style w:type="character" w:styleId="Hyperlink">
    <w:name w:val="Hyperlink"/>
    <w:basedOn w:val="DefaultParagraphFont"/>
    <w:rsid w:val="00E5560F"/>
    <w:rPr>
      <w:color w:val="auto"/>
      <w:u w:val="none"/>
    </w:rPr>
  </w:style>
  <w:style w:type="paragraph" w:styleId="ListParagraph">
    <w:name w:val="List Paragraph"/>
    <w:basedOn w:val="Normal"/>
    <w:uiPriority w:val="34"/>
    <w:qFormat/>
    <w:rsid w:val="00014F8E"/>
    <w:pPr>
      <w:ind w:left="720"/>
    </w:pPr>
  </w:style>
  <w:style w:type="character" w:customStyle="1" w:styleId="FooterChar">
    <w:name w:val="Footer Char"/>
    <w:basedOn w:val="DefaultParagraphFont"/>
    <w:link w:val="Footer"/>
    <w:uiPriority w:val="99"/>
    <w:rsid w:val="00427F7F"/>
    <w:rPr>
      <w:rFonts w:ascii="Courier New" w:hAnsi="Courier New"/>
    </w:rPr>
  </w:style>
  <w:style w:type="character" w:styleId="FollowedHyperlink">
    <w:name w:val="FollowedHyperlink"/>
    <w:basedOn w:val="DefaultParagraphFont"/>
    <w:rsid w:val="00BF34A3"/>
    <w:rPr>
      <w:color w:val="auto"/>
      <w:u w:val="none"/>
    </w:rPr>
  </w:style>
  <w:style w:type="character" w:customStyle="1" w:styleId="BodyTextChar">
    <w:name w:val="Body Text Char"/>
    <w:basedOn w:val="DefaultParagraphFont"/>
    <w:link w:val="BodyText"/>
    <w:rsid w:val="003B6AC9"/>
    <w:rPr>
      <w:sz w:val="24"/>
    </w:rPr>
  </w:style>
  <w:style w:type="character" w:customStyle="1" w:styleId="Heading1Char">
    <w:name w:val="Heading 1 Char"/>
    <w:basedOn w:val="DefaultParagraphFont"/>
    <w:link w:val="Heading1"/>
    <w:rsid w:val="001F4890"/>
    <w:rPr>
      <w:rFonts w:ascii="Courier" w:hAnsi="Courier"/>
      <w:b/>
      <w:sz w:val="24"/>
    </w:rPr>
  </w:style>
  <w:style w:type="character" w:customStyle="1" w:styleId="Heading7Char">
    <w:name w:val="Heading 7 Char"/>
    <w:basedOn w:val="DefaultParagraphFont"/>
    <w:link w:val="Heading7"/>
    <w:rsid w:val="001F4890"/>
    <w:rPr>
      <w:sz w:val="24"/>
    </w:rPr>
  </w:style>
  <w:style w:type="character" w:customStyle="1" w:styleId="FootnoteTextChar">
    <w:name w:val="Footnote Text Char"/>
    <w:basedOn w:val="DefaultParagraphFont"/>
    <w:link w:val="FootnoteText"/>
    <w:uiPriority w:val="99"/>
    <w:semiHidden/>
    <w:rsid w:val="001F4890"/>
  </w:style>
  <w:style w:type="character" w:styleId="FootnoteReference">
    <w:name w:val="footnote reference"/>
    <w:basedOn w:val="DefaultParagraphFont"/>
    <w:uiPriority w:val="99"/>
    <w:unhideWhenUsed/>
    <w:rsid w:val="001F4890"/>
    <w:rPr>
      <w:vertAlign w:val="superscript"/>
    </w:rPr>
  </w:style>
  <w:style w:type="character" w:customStyle="1" w:styleId="CommentTextChar">
    <w:name w:val="Comment Text Char"/>
    <w:basedOn w:val="DefaultParagraphFont"/>
    <w:link w:val="CommentText"/>
    <w:uiPriority w:val="99"/>
    <w:rsid w:val="001F4890"/>
  </w:style>
  <w:style w:type="paragraph" w:styleId="NormalWeb">
    <w:name w:val="Normal (Web)"/>
    <w:basedOn w:val="Normal"/>
    <w:uiPriority w:val="99"/>
    <w:rsid w:val="001F4890"/>
    <w:pPr>
      <w:spacing w:before="100" w:beforeAutospacing="1" w:after="100" w:afterAutospacing="1"/>
    </w:pPr>
  </w:style>
  <w:style w:type="paragraph" w:styleId="Revision">
    <w:name w:val="Revision"/>
    <w:hidden/>
    <w:uiPriority w:val="99"/>
    <w:semiHidden/>
    <w:rsid w:val="00A704DC"/>
    <w:rPr>
      <w:sz w:val="24"/>
      <w:szCs w:val="24"/>
    </w:rPr>
  </w:style>
  <w:style w:type="character" w:customStyle="1" w:styleId="BodyText2Char">
    <w:name w:val="Body Text 2 Char"/>
    <w:basedOn w:val="DefaultParagraphFont"/>
    <w:link w:val="BodyText2"/>
    <w:rsid w:val="00ED3E9D"/>
  </w:style>
  <w:style w:type="character" w:customStyle="1" w:styleId="Heading2Char">
    <w:name w:val="Heading 2 Char"/>
    <w:basedOn w:val="DefaultParagraphFont"/>
    <w:link w:val="Heading2"/>
    <w:rsid w:val="00613F52"/>
    <w:rPr>
      <w:rFonts w:ascii="Arial" w:hAnsi="Arial"/>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5CE"/>
    <w:rPr>
      <w:sz w:val="24"/>
      <w:szCs w:val="24"/>
    </w:rPr>
  </w:style>
  <w:style w:type="paragraph" w:styleId="Heading1">
    <w:name w:val="heading 1"/>
    <w:basedOn w:val="Normal"/>
    <w:next w:val="Normal"/>
    <w:link w:val="Heading1Char"/>
    <w:qFormat/>
    <w:rsid w:val="003B3A59"/>
    <w:pPr>
      <w:keepNext/>
      <w:jc w:val="center"/>
      <w:outlineLvl w:val="0"/>
    </w:pPr>
    <w:rPr>
      <w:rFonts w:ascii="Courier" w:hAnsi="Courier"/>
      <w:b/>
      <w:szCs w:val="20"/>
    </w:rPr>
  </w:style>
  <w:style w:type="paragraph" w:styleId="Heading2">
    <w:name w:val="heading 2"/>
    <w:basedOn w:val="Normal"/>
    <w:next w:val="Normal"/>
    <w:link w:val="Heading2Char"/>
    <w:qFormat/>
    <w:rsid w:val="003B3A59"/>
    <w:pPr>
      <w:keepNext/>
      <w:jc w:val="right"/>
      <w:outlineLvl w:val="1"/>
    </w:pPr>
    <w:rPr>
      <w:rFonts w:ascii="Arial" w:hAnsi="Arial"/>
      <w:b/>
      <w:sz w:val="20"/>
      <w:szCs w:val="20"/>
      <w:u w:val="single"/>
    </w:rPr>
  </w:style>
  <w:style w:type="paragraph" w:styleId="Heading3">
    <w:name w:val="heading 3"/>
    <w:basedOn w:val="Normal"/>
    <w:next w:val="Normal"/>
    <w:qFormat/>
    <w:rsid w:val="003B3A59"/>
    <w:pPr>
      <w:keepNext/>
      <w:tabs>
        <w:tab w:val="left" w:pos="540"/>
      </w:tabs>
      <w:autoSpaceDE w:val="0"/>
      <w:autoSpaceDN w:val="0"/>
      <w:adjustRightInd w:val="0"/>
      <w:outlineLvl w:val="2"/>
    </w:pPr>
    <w:rPr>
      <w:b/>
      <w:bCs/>
      <w:color w:val="000000"/>
    </w:rPr>
  </w:style>
  <w:style w:type="paragraph" w:styleId="Heading4">
    <w:name w:val="heading 4"/>
    <w:basedOn w:val="Normal"/>
    <w:next w:val="Normal"/>
    <w:qFormat/>
    <w:rsid w:val="003B3A59"/>
    <w:pPr>
      <w:keepNext/>
      <w:numPr>
        <w:numId w:val="2"/>
      </w:numPr>
      <w:outlineLvl w:val="3"/>
    </w:pPr>
    <w:rPr>
      <w:rFonts w:ascii="Courier New" w:hAnsi="Courier New"/>
      <w:b/>
      <w:szCs w:val="20"/>
    </w:rPr>
  </w:style>
  <w:style w:type="paragraph" w:styleId="Heading5">
    <w:name w:val="heading 5"/>
    <w:basedOn w:val="Normal"/>
    <w:next w:val="Normal"/>
    <w:qFormat/>
    <w:rsid w:val="003B3A59"/>
    <w:pPr>
      <w:keepNext/>
      <w:outlineLvl w:val="4"/>
    </w:pPr>
    <w:rPr>
      <w:b/>
      <w:bCs/>
      <w:sz w:val="18"/>
    </w:rPr>
  </w:style>
  <w:style w:type="paragraph" w:styleId="Heading6">
    <w:name w:val="heading 6"/>
    <w:basedOn w:val="Normal"/>
    <w:next w:val="Normal"/>
    <w:qFormat/>
    <w:rsid w:val="003B3A59"/>
    <w:pPr>
      <w:keepNext/>
      <w:numPr>
        <w:numId w:val="1"/>
      </w:numPr>
      <w:outlineLvl w:val="5"/>
    </w:pPr>
    <w:rPr>
      <w:b/>
      <w:szCs w:val="20"/>
    </w:rPr>
  </w:style>
  <w:style w:type="paragraph" w:styleId="Heading7">
    <w:name w:val="heading 7"/>
    <w:basedOn w:val="Normal"/>
    <w:next w:val="Normal"/>
    <w:link w:val="Heading7Char"/>
    <w:qFormat/>
    <w:rsid w:val="003B3A59"/>
    <w:pPr>
      <w:keepNext/>
      <w:jc w:val="center"/>
      <w:outlineLvl w:val="6"/>
    </w:pPr>
    <w:rPr>
      <w:szCs w:val="20"/>
    </w:rPr>
  </w:style>
  <w:style w:type="paragraph" w:styleId="Heading8">
    <w:name w:val="heading 8"/>
    <w:basedOn w:val="Normal"/>
    <w:next w:val="Normal"/>
    <w:qFormat/>
    <w:rsid w:val="003B3A59"/>
    <w:pPr>
      <w:keepNext/>
      <w:tabs>
        <w:tab w:val="right" w:pos="8928"/>
      </w:tabs>
      <w:jc w:val="center"/>
      <w:outlineLvl w:val="7"/>
    </w:pPr>
    <w:rPr>
      <w:rFonts w:ascii="Arial" w:hAnsi="Arial" w:cs="Arial"/>
      <w:b/>
      <w:sz w:val="48"/>
    </w:rPr>
  </w:style>
  <w:style w:type="paragraph" w:styleId="Heading9">
    <w:name w:val="heading 9"/>
    <w:basedOn w:val="Normal"/>
    <w:next w:val="Normal"/>
    <w:qFormat/>
    <w:rsid w:val="003B3A59"/>
    <w:pPr>
      <w:keepNext/>
      <w:ind w:left="720"/>
      <w:outlineLvl w:val="8"/>
    </w:pPr>
    <w:rPr>
      <w:rFonts w:ascii="Courier" w:hAnsi="Courie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3A59"/>
    <w:pPr>
      <w:widowControl w:val="0"/>
      <w:tabs>
        <w:tab w:val="left" w:pos="432"/>
        <w:tab w:val="center" w:pos="4320"/>
        <w:tab w:val="right" w:pos="5040"/>
        <w:tab w:val="right" w:pos="6210"/>
        <w:tab w:val="right" w:pos="6930"/>
        <w:tab w:val="right" w:pos="8190"/>
        <w:tab w:val="right" w:pos="8640"/>
        <w:tab w:val="right" w:pos="8820"/>
        <w:tab w:val="right" w:pos="9810"/>
      </w:tabs>
    </w:pPr>
    <w:rPr>
      <w:rFonts w:ascii="Courier New" w:hAnsi="Courier New"/>
      <w:sz w:val="20"/>
      <w:szCs w:val="20"/>
    </w:rPr>
  </w:style>
  <w:style w:type="paragraph" w:customStyle="1" w:styleId="xl19">
    <w:name w:val="xl19"/>
    <w:basedOn w:val="Normal"/>
    <w:rsid w:val="003B3A59"/>
    <w:pPr>
      <w:spacing w:before="100" w:after="100"/>
    </w:pPr>
    <w:rPr>
      <w:rFonts w:eastAsia="Arial Unicode MS"/>
      <w:szCs w:val="20"/>
    </w:rPr>
  </w:style>
  <w:style w:type="paragraph" w:customStyle="1" w:styleId="APP-3A">
    <w:name w:val="APP-3A"/>
    <w:rsid w:val="003B3A59"/>
    <w:rPr>
      <w:rFonts w:ascii="Arial" w:hAnsi="Arial"/>
      <w:b/>
    </w:rPr>
  </w:style>
  <w:style w:type="paragraph" w:customStyle="1" w:styleId="xl33">
    <w:name w:val="xl33"/>
    <w:basedOn w:val="Normal"/>
    <w:rsid w:val="003B3A59"/>
    <w:pPr>
      <w:spacing w:before="100" w:after="100"/>
      <w:jc w:val="center"/>
    </w:pPr>
    <w:rPr>
      <w:rFonts w:ascii="Arial" w:eastAsia="Arial Unicode MS" w:hAnsi="Arial"/>
      <w:b/>
      <w:szCs w:val="20"/>
    </w:rPr>
  </w:style>
  <w:style w:type="paragraph" w:styleId="BodyText">
    <w:name w:val="Body Text"/>
    <w:basedOn w:val="Normal"/>
    <w:link w:val="BodyTextChar"/>
    <w:rsid w:val="003B3A59"/>
    <w:rPr>
      <w:szCs w:val="20"/>
    </w:rPr>
  </w:style>
  <w:style w:type="paragraph" w:customStyle="1" w:styleId="xl27">
    <w:name w:val="xl27"/>
    <w:basedOn w:val="Normal"/>
    <w:rsid w:val="003B3A59"/>
    <w:pPr>
      <w:spacing w:before="100" w:after="100"/>
    </w:pPr>
    <w:rPr>
      <w:rFonts w:ascii="Arial" w:eastAsia="Arial Unicode MS" w:hAnsi="Arial"/>
      <w:b/>
      <w:szCs w:val="20"/>
    </w:rPr>
  </w:style>
  <w:style w:type="paragraph" w:styleId="FootnoteText">
    <w:name w:val="footnote text"/>
    <w:basedOn w:val="Normal"/>
    <w:link w:val="FootnoteTextChar"/>
    <w:uiPriority w:val="99"/>
    <w:semiHidden/>
    <w:rsid w:val="003B3A59"/>
    <w:rPr>
      <w:sz w:val="20"/>
      <w:szCs w:val="20"/>
    </w:rPr>
  </w:style>
  <w:style w:type="paragraph" w:customStyle="1" w:styleId="xl34">
    <w:name w:val="xl34"/>
    <w:basedOn w:val="Normal"/>
    <w:rsid w:val="003B3A59"/>
    <w:pPr>
      <w:spacing w:before="100" w:after="100"/>
      <w:jc w:val="center"/>
    </w:pPr>
    <w:rPr>
      <w:rFonts w:eastAsia="Arial Unicode MS"/>
      <w:b/>
      <w:sz w:val="20"/>
      <w:szCs w:val="20"/>
    </w:rPr>
  </w:style>
  <w:style w:type="paragraph" w:styleId="Title">
    <w:name w:val="Title"/>
    <w:basedOn w:val="Normal"/>
    <w:qFormat/>
    <w:rsid w:val="003B3A59"/>
    <w:pPr>
      <w:ind w:left="720"/>
      <w:jc w:val="center"/>
    </w:pPr>
    <w:rPr>
      <w:b/>
      <w:i/>
      <w:szCs w:val="20"/>
    </w:rPr>
  </w:style>
  <w:style w:type="paragraph" w:styleId="BodyText2">
    <w:name w:val="Body Text 2"/>
    <w:basedOn w:val="Normal"/>
    <w:link w:val="BodyText2Char"/>
    <w:rsid w:val="003B3A59"/>
    <w:rPr>
      <w:sz w:val="20"/>
      <w:szCs w:val="20"/>
    </w:rPr>
  </w:style>
  <w:style w:type="paragraph" w:styleId="Header">
    <w:name w:val="header"/>
    <w:basedOn w:val="Normal"/>
    <w:rsid w:val="003B3A59"/>
    <w:pPr>
      <w:tabs>
        <w:tab w:val="center" w:pos="4320"/>
        <w:tab w:val="right" w:pos="8640"/>
      </w:tabs>
    </w:pPr>
    <w:rPr>
      <w:rFonts w:ascii="CG Times" w:hAnsi="CG Times"/>
      <w:szCs w:val="20"/>
    </w:rPr>
  </w:style>
  <w:style w:type="paragraph" w:customStyle="1" w:styleId="xl24">
    <w:name w:val="xl24"/>
    <w:basedOn w:val="Normal"/>
    <w:rsid w:val="003B3A59"/>
    <w:pPr>
      <w:spacing w:before="100" w:after="100"/>
    </w:pPr>
    <w:rPr>
      <w:rFonts w:eastAsia="Arial Unicode MS"/>
      <w:szCs w:val="20"/>
      <w:u w:val="single"/>
    </w:rPr>
  </w:style>
  <w:style w:type="paragraph" w:styleId="BodyText3">
    <w:name w:val="Body Text 3"/>
    <w:basedOn w:val="Normal"/>
    <w:rsid w:val="003B3A59"/>
    <w:rPr>
      <w:color w:val="000000"/>
      <w:szCs w:val="20"/>
    </w:rPr>
  </w:style>
  <w:style w:type="paragraph" w:customStyle="1" w:styleId="xl22">
    <w:name w:val="xl22"/>
    <w:basedOn w:val="Normal"/>
    <w:rsid w:val="003B3A59"/>
    <w:pPr>
      <w:spacing w:before="100" w:after="100"/>
      <w:jc w:val="center"/>
    </w:pPr>
    <w:rPr>
      <w:rFonts w:eastAsia="Arial Unicode MS"/>
      <w:szCs w:val="20"/>
      <w:u w:val="single"/>
    </w:rPr>
  </w:style>
  <w:style w:type="paragraph" w:styleId="TOC1">
    <w:name w:val="toc 1"/>
    <w:basedOn w:val="Normal"/>
    <w:next w:val="Normal"/>
    <w:autoRedefine/>
    <w:semiHidden/>
    <w:rsid w:val="003B3A59"/>
    <w:pPr>
      <w:jc w:val="right"/>
    </w:pPr>
    <w:rPr>
      <w:szCs w:val="20"/>
    </w:rPr>
  </w:style>
  <w:style w:type="paragraph" w:styleId="TOAHeading">
    <w:name w:val="toa heading"/>
    <w:basedOn w:val="Normal"/>
    <w:next w:val="Normal"/>
    <w:semiHidden/>
    <w:rsid w:val="003B3A59"/>
    <w:pPr>
      <w:widowControl w:val="0"/>
      <w:tabs>
        <w:tab w:val="right" w:pos="9360"/>
      </w:tabs>
      <w:suppressAutoHyphens/>
    </w:pPr>
    <w:rPr>
      <w:rFonts w:ascii="Courier New" w:hAnsi="Courier New"/>
      <w:sz w:val="20"/>
      <w:szCs w:val="20"/>
    </w:rPr>
  </w:style>
  <w:style w:type="character" w:styleId="PageNumber">
    <w:name w:val="page number"/>
    <w:basedOn w:val="DefaultParagraphFont"/>
    <w:rsid w:val="003B3A59"/>
  </w:style>
  <w:style w:type="paragraph" w:styleId="BodyTextIndent">
    <w:name w:val="Body Text Indent"/>
    <w:basedOn w:val="Normal"/>
    <w:rsid w:val="003B3A59"/>
    <w:pPr>
      <w:tabs>
        <w:tab w:val="left" w:leader="dot" w:pos="7920"/>
        <w:tab w:val="right" w:pos="8640"/>
      </w:tabs>
      <w:ind w:left="720"/>
    </w:pPr>
    <w:rPr>
      <w:bCs/>
      <w:i/>
      <w:iCs/>
    </w:rPr>
  </w:style>
  <w:style w:type="paragraph" w:styleId="BalloonText">
    <w:name w:val="Balloon Text"/>
    <w:basedOn w:val="Normal"/>
    <w:semiHidden/>
    <w:rsid w:val="003B3A59"/>
    <w:rPr>
      <w:rFonts w:ascii="Tahoma" w:hAnsi="Tahoma" w:cs="Tahoma"/>
      <w:sz w:val="16"/>
      <w:szCs w:val="16"/>
    </w:rPr>
  </w:style>
  <w:style w:type="paragraph" w:styleId="List2">
    <w:name w:val="List 2"/>
    <w:basedOn w:val="Normal"/>
    <w:rsid w:val="00E0065D"/>
    <w:pPr>
      <w:ind w:left="720" w:hanging="360"/>
    </w:pPr>
  </w:style>
  <w:style w:type="paragraph" w:styleId="List3">
    <w:name w:val="List 3"/>
    <w:basedOn w:val="Normal"/>
    <w:rsid w:val="00E0065D"/>
    <w:pPr>
      <w:ind w:left="1080" w:hanging="360"/>
    </w:pPr>
  </w:style>
  <w:style w:type="paragraph" w:styleId="ListBullet2">
    <w:name w:val="List Bullet 2"/>
    <w:basedOn w:val="Normal"/>
    <w:rsid w:val="00E0065D"/>
    <w:pPr>
      <w:numPr>
        <w:numId w:val="5"/>
      </w:numPr>
    </w:pPr>
  </w:style>
  <w:style w:type="paragraph" w:styleId="BodyTextFirstIndent2">
    <w:name w:val="Body Text First Indent 2"/>
    <w:basedOn w:val="BodyTextIndent"/>
    <w:rsid w:val="00E0065D"/>
    <w:pPr>
      <w:tabs>
        <w:tab w:val="clear" w:pos="7920"/>
        <w:tab w:val="clear" w:pos="8640"/>
      </w:tabs>
      <w:spacing w:after="120"/>
      <w:ind w:left="360" w:firstLine="210"/>
    </w:pPr>
    <w:rPr>
      <w:bCs w:val="0"/>
      <w:i w:val="0"/>
      <w:iCs w:val="0"/>
    </w:rPr>
  </w:style>
  <w:style w:type="table" w:styleId="TableGrid">
    <w:name w:val="Table Grid"/>
    <w:basedOn w:val="TableNormal"/>
    <w:rsid w:val="00875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282951"/>
    <w:rPr>
      <w:sz w:val="16"/>
      <w:szCs w:val="16"/>
    </w:rPr>
  </w:style>
  <w:style w:type="paragraph" w:styleId="CommentText">
    <w:name w:val="annotation text"/>
    <w:basedOn w:val="Normal"/>
    <w:link w:val="CommentTextChar"/>
    <w:uiPriority w:val="99"/>
    <w:rsid w:val="00282951"/>
    <w:rPr>
      <w:sz w:val="20"/>
      <w:szCs w:val="20"/>
    </w:rPr>
  </w:style>
  <w:style w:type="paragraph" w:styleId="CommentSubject">
    <w:name w:val="annotation subject"/>
    <w:basedOn w:val="CommentText"/>
    <w:next w:val="CommentText"/>
    <w:semiHidden/>
    <w:rsid w:val="00282951"/>
    <w:rPr>
      <w:b/>
      <w:bCs/>
    </w:rPr>
  </w:style>
  <w:style w:type="character" w:styleId="Hyperlink">
    <w:name w:val="Hyperlink"/>
    <w:basedOn w:val="DefaultParagraphFont"/>
    <w:rsid w:val="00E5560F"/>
    <w:rPr>
      <w:color w:val="auto"/>
      <w:u w:val="none"/>
    </w:rPr>
  </w:style>
  <w:style w:type="paragraph" w:styleId="ListParagraph">
    <w:name w:val="List Paragraph"/>
    <w:basedOn w:val="Normal"/>
    <w:uiPriority w:val="34"/>
    <w:qFormat/>
    <w:rsid w:val="00014F8E"/>
    <w:pPr>
      <w:ind w:left="720"/>
    </w:pPr>
  </w:style>
  <w:style w:type="character" w:customStyle="1" w:styleId="FooterChar">
    <w:name w:val="Footer Char"/>
    <w:basedOn w:val="DefaultParagraphFont"/>
    <w:link w:val="Footer"/>
    <w:uiPriority w:val="99"/>
    <w:rsid w:val="00427F7F"/>
    <w:rPr>
      <w:rFonts w:ascii="Courier New" w:hAnsi="Courier New"/>
    </w:rPr>
  </w:style>
  <w:style w:type="character" w:styleId="FollowedHyperlink">
    <w:name w:val="FollowedHyperlink"/>
    <w:basedOn w:val="DefaultParagraphFont"/>
    <w:rsid w:val="00BF34A3"/>
    <w:rPr>
      <w:color w:val="auto"/>
      <w:u w:val="none"/>
    </w:rPr>
  </w:style>
  <w:style w:type="character" w:customStyle="1" w:styleId="BodyTextChar">
    <w:name w:val="Body Text Char"/>
    <w:basedOn w:val="DefaultParagraphFont"/>
    <w:link w:val="BodyText"/>
    <w:rsid w:val="003B6AC9"/>
    <w:rPr>
      <w:sz w:val="24"/>
    </w:rPr>
  </w:style>
  <w:style w:type="character" w:customStyle="1" w:styleId="Heading1Char">
    <w:name w:val="Heading 1 Char"/>
    <w:basedOn w:val="DefaultParagraphFont"/>
    <w:link w:val="Heading1"/>
    <w:rsid w:val="001F4890"/>
    <w:rPr>
      <w:rFonts w:ascii="Courier" w:hAnsi="Courier"/>
      <w:b/>
      <w:sz w:val="24"/>
    </w:rPr>
  </w:style>
  <w:style w:type="character" w:customStyle="1" w:styleId="Heading7Char">
    <w:name w:val="Heading 7 Char"/>
    <w:basedOn w:val="DefaultParagraphFont"/>
    <w:link w:val="Heading7"/>
    <w:rsid w:val="001F4890"/>
    <w:rPr>
      <w:sz w:val="24"/>
    </w:rPr>
  </w:style>
  <w:style w:type="character" w:customStyle="1" w:styleId="FootnoteTextChar">
    <w:name w:val="Footnote Text Char"/>
    <w:basedOn w:val="DefaultParagraphFont"/>
    <w:link w:val="FootnoteText"/>
    <w:uiPriority w:val="99"/>
    <w:semiHidden/>
    <w:rsid w:val="001F4890"/>
  </w:style>
  <w:style w:type="character" w:styleId="FootnoteReference">
    <w:name w:val="footnote reference"/>
    <w:basedOn w:val="DefaultParagraphFont"/>
    <w:uiPriority w:val="99"/>
    <w:unhideWhenUsed/>
    <w:rsid w:val="001F4890"/>
    <w:rPr>
      <w:vertAlign w:val="superscript"/>
    </w:rPr>
  </w:style>
  <w:style w:type="character" w:customStyle="1" w:styleId="CommentTextChar">
    <w:name w:val="Comment Text Char"/>
    <w:basedOn w:val="DefaultParagraphFont"/>
    <w:link w:val="CommentText"/>
    <w:uiPriority w:val="99"/>
    <w:rsid w:val="001F4890"/>
  </w:style>
  <w:style w:type="paragraph" w:styleId="NormalWeb">
    <w:name w:val="Normal (Web)"/>
    <w:basedOn w:val="Normal"/>
    <w:uiPriority w:val="99"/>
    <w:rsid w:val="001F4890"/>
    <w:pPr>
      <w:spacing w:before="100" w:beforeAutospacing="1" w:after="100" w:afterAutospacing="1"/>
    </w:pPr>
  </w:style>
  <w:style w:type="paragraph" w:styleId="Revision">
    <w:name w:val="Revision"/>
    <w:hidden/>
    <w:uiPriority w:val="99"/>
    <w:semiHidden/>
    <w:rsid w:val="00A704DC"/>
    <w:rPr>
      <w:sz w:val="24"/>
      <w:szCs w:val="24"/>
    </w:rPr>
  </w:style>
  <w:style w:type="character" w:customStyle="1" w:styleId="BodyText2Char">
    <w:name w:val="Body Text 2 Char"/>
    <w:basedOn w:val="DefaultParagraphFont"/>
    <w:link w:val="BodyText2"/>
    <w:rsid w:val="00ED3E9D"/>
  </w:style>
  <w:style w:type="character" w:customStyle="1" w:styleId="Heading2Char">
    <w:name w:val="Heading 2 Char"/>
    <w:basedOn w:val="DefaultParagraphFont"/>
    <w:link w:val="Heading2"/>
    <w:rsid w:val="00613F52"/>
    <w:rPr>
      <w:rFonts w:ascii="Arial" w:hAnsi="Arial"/>
      <w:b/>
      <w:u w:val="single"/>
    </w:rPr>
  </w:style>
</w:styles>
</file>

<file path=word/webSettings.xml><?xml version="1.0" encoding="utf-8"?>
<w:webSettings xmlns:r="http://schemas.openxmlformats.org/officeDocument/2006/relationships" xmlns:w="http://schemas.openxmlformats.org/wordprocessingml/2006/main">
  <w:divs>
    <w:div w:id="455486379">
      <w:bodyDiv w:val="1"/>
      <w:marLeft w:val="0"/>
      <w:marRight w:val="0"/>
      <w:marTop w:val="0"/>
      <w:marBottom w:val="0"/>
      <w:divBdr>
        <w:top w:val="none" w:sz="0" w:space="0" w:color="auto"/>
        <w:left w:val="none" w:sz="0" w:space="0" w:color="auto"/>
        <w:bottom w:val="none" w:sz="0" w:space="0" w:color="auto"/>
        <w:right w:val="none" w:sz="0" w:space="0" w:color="auto"/>
      </w:divBdr>
    </w:div>
    <w:div w:id="1020816761">
      <w:bodyDiv w:val="1"/>
      <w:marLeft w:val="0"/>
      <w:marRight w:val="0"/>
      <w:marTop w:val="0"/>
      <w:marBottom w:val="0"/>
      <w:divBdr>
        <w:top w:val="none" w:sz="0" w:space="0" w:color="auto"/>
        <w:left w:val="none" w:sz="0" w:space="0" w:color="auto"/>
        <w:bottom w:val="none" w:sz="0" w:space="0" w:color="auto"/>
        <w:right w:val="none" w:sz="0" w:space="0" w:color="auto"/>
      </w:divBdr>
    </w:div>
    <w:div w:id="183838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oleObject" Target="embeddings/Microsoft_Office_Excel_97-2003_Worksheet3.xls"/><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Microsoft_Office_Excel_97-2003_Worksheet2.xls"/><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www.justice.gov/02organizations/bpp.ht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Office_Excel_97-2003_Worksheet1.xls"/><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nytimes.com/2012/03/14/us/new-interest-in-hacking-as-threat-to-us-security.html" TargetMode="External"/><Relationship Id="rId3" Type="http://schemas.openxmlformats.org/officeDocument/2006/relationships/hyperlink" Target="http://www.justice.gov/opa/pr/2011/September/11-crm-1163.html" TargetMode="External"/><Relationship Id="rId7" Type="http://schemas.openxmlformats.org/officeDocument/2006/relationships/hyperlink" Target="http://resources.infosecinstitute.com/scada-security-of-critical-infrastructures/" TargetMode="External"/><Relationship Id="rId2" Type="http://schemas.openxmlformats.org/officeDocument/2006/relationships/hyperlink" Target="http://techland.time.com/2011/08/08/anonymous-and-lulzsec-fire-back-at-police-with-lethal-data-dump/" TargetMode="External"/><Relationship Id="rId1" Type="http://schemas.openxmlformats.org/officeDocument/2006/relationships/hyperlink" Target="http://www.justice.gov/usao/nys/pressreleases/March12/ackroydetalindictmentpr.pdf" TargetMode="External"/><Relationship Id="rId6" Type="http://schemas.openxmlformats.org/officeDocument/2006/relationships/hyperlink" Target="http://dealbook.nytimes.com/2010/12/10/ex-goldman-programmer-is-convicted/" TargetMode="External"/><Relationship Id="rId11" Type="http://schemas.openxmlformats.org/officeDocument/2006/relationships/hyperlink" Target="http://articles.latimes.com/2011/aug/03/business/la-fi-cyber-attacks-20110803" TargetMode="External"/><Relationship Id="rId5" Type="http://schemas.openxmlformats.org/officeDocument/2006/relationships/hyperlink" Target="https://www.cert.org/blogs/insider_threat/2011/07/insider_threat_methods_of_exfiltration.html" TargetMode="External"/><Relationship Id="rId10" Type="http://schemas.openxmlformats.org/officeDocument/2006/relationships/hyperlink" Target="http://www.whitehouse.gov/the-press-office/2013/02/12/executive-order-improving-critical-infrastructure-cybersecurity" TargetMode="External"/><Relationship Id="rId4" Type="http://schemas.openxmlformats.org/officeDocument/2006/relationships/hyperlink" Target="http://www.justice.gov/ola/testimony/111-1/2009-06-17-crm-weinstein-identity-theft.pdf" TargetMode="External"/><Relationship Id="rId9" Type="http://schemas.openxmlformats.org/officeDocument/2006/relationships/hyperlink" Target="http://www.informationweek.com/news/government/security/229401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80849-4001-47CF-BB42-8CB4256F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11582</Words>
  <Characters>70725</Characters>
  <Application>Microsoft Office Word</Application>
  <DocSecurity>0</DocSecurity>
  <Lines>589</Lines>
  <Paragraphs>164</Paragraphs>
  <ScaleCrop>false</ScaleCrop>
  <HeadingPairs>
    <vt:vector size="2" baseType="variant">
      <vt:variant>
        <vt:lpstr>Title</vt:lpstr>
      </vt:variant>
      <vt:variant>
        <vt:i4>1</vt:i4>
      </vt:variant>
    </vt:vector>
  </HeadingPairs>
  <TitlesOfParts>
    <vt:vector size="1" baseType="lpstr">
      <vt:lpstr>DRAFT</vt:lpstr>
    </vt:vector>
  </TitlesOfParts>
  <Company>Department of Justice</Company>
  <LinksUpToDate>false</LinksUpToDate>
  <CharactersWithSpaces>82143</CharactersWithSpaces>
  <SharedDoc>false</SharedDoc>
  <HLinks>
    <vt:vector size="12" baseType="variant">
      <vt:variant>
        <vt:i4>1900629</vt:i4>
      </vt:variant>
      <vt:variant>
        <vt:i4>3</vt:i4>
      </vt:variant>
      <vt:variant>
        <vt:i4>0</vt:i4>
      </vt:variant>
      <vt:variant>
        <vt:i4>5</vt:i4>
      </vt:variant>
      <vt:variant>
        <vt:lpwstr>../../../../2012 Products/FY 12 Formulation/debjones/Local Settings/FY11 Spring Submission/FY11 Spring Call Instructions/www.usdoj.gov/jmd/ep</vt:lpwstr>
      </vt:variant>
      <vt:variant>
        <vt:lpwstr/>
      </vt:variant>
      <vt:variant>
        <vt:i4>3407907</vt:i4>
      </vt:variant>
      <vt:variant>
        <vt:i4>0</vt:i4>
      </vt:variant>
      <vt:variant>
        <vt:i4>0</vt:i4>
      </vt:variant>
      <vt:variant>
        <vt:i4>5</vt:i4>
      </vt:variant>
      <vt:variant>
        <vt:lpwstr>https://max.omb.gov/community/x/QZAlIg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debjones</dc:creator>
  <cp:lastModifiedBy>Jason Dolon</cp:lastModifiedBy>
  <cp:revision>16</cp:revision>
  <cp:lastPrinted>2013-03-25T15:51:00Z</cp:lastPrinted>
  <dcterms:created xsi:type="dcterms:W3CDTF">2013-03-21T15:22:00Z</dcterms:created>
  <dcterms:modified xsi:type="dcterms:W3CDTF">2013-03-26T19:13:00Z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