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7D" w:rsidRPr="004408AA" w:rsidRDefault="001C671D" w:rsidP="00AC2B33">
      <w:r w:rsidRPr="004408AA">
        <w:rPr>
          <w:noProof/>
        </w:rPr>
        <w:drawing>
          <wp:inline distT="0" distB="0" distL="0" distR="0">
            <wp:extent cx="5486400" cy="762000"/>
            <wp:effectExtent l="19050" t="0" r="0" b="0"/>
            <wp:docPr id="1" name="Picture 0" descr="LETHEA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HEAD.TIF"/>
                    <pic:cNvPicPr/>
                  </pic:nvPicPr>
                  <pic:blipFill>
                    <a:blip r:embed="rId8" cstate="print"/>
                    <a:stretch>
                      <a:fillRect/>
                    </a:stretch>
                  </pic:blipFill>
                  <pic:spPr>
                    <a:xfrm>
                      <a:off x="0" y="0"/>
                      <a:ext cx="5486400" cy="762000"/>
                    </a:xfrm>
                    <a:prstGeom prst="rect">
                      <a:avLst/>
                    </a:prstGeom>
                  </pic:spPr>
                </pic:pic>
              </a:graphicData>
            </a:graphic>
          </wp:inline>
        </w:drawing>
      </w:r>
    </w:p>
    <w:p w:rsidR="004332B3" w:rsidRPr="004408AA" w:rsidRDefault="004332B3" w:rsidP="00AC2B33"/>
    <w:p w:rsidR="005C5C73" w:rsidRPr="004408AA" w:rsidRDefault="005C5C73" w:rsidP="005C5C73">
      <w:pPr>
        <w:jc w:val="center"/>
        <w:rPr>
          <w:b/>
          <w:sz w:val="40"/>
          <w:szCs w:val="40"/>
        </w:rPr>
      </w:pPr>
    </w:p>
    <w:p w:rsidR="005C5C73" w:rsidRPr="004408AA" w:rsidRDefault="005C5C73" w:rsidP="005C5C73">
      <w:pPr>
        <w:jc w:val="center"/>
        <w:rPr>
          <w:b/>
          <w:sz w:val="40"/>
          <w:szCs w:val="40"/>
        </w:rPr>
      </w:pPr>
    </w:p>
    <w:p w:rsidR="005C5C73" w:rsidRPr="004408AA" w:rsidRDefault="005C5C73" w:rsidP="005C5C73">
      <w:pPr>
        <w:jc w:val="center"/>
        <w:rPr>
          <w:b/>
          <w:sz w:val="40"/>
          <w:szCs w:val="40"/>
        </w:rPr>
      </w:pPr>
    </w:p>
    <w:p w:rsidR="005C5C73" w:rsidRPr="004408AA" w:rsidRDefault="005C5C73" w:rsidP="005C5C73">
      <w:pPr>
        <w:jc w:val="center"/>
        <w:rPr>
          <w:b/>
          <w:sz w:val="40"/>
          <w:szCs w:val="40"/>
        </w:rPr>
      </w:pPr>
    </w:p>
    <w:p w:rsidR="005C5C73" w:rsidRPr="004408AA" w:rsidRDefault="005C5C73" w:rsidP="005C5C73">
      <w:pPr>
        <w:jc w:val="center"/>
        <w:rPr>
          <w:b/>
          <w:sz w:val="40"/>
          <w:szCs w:val="40"/>
        </w:rPr>
      </w:pPr>
    </w:p>
    <w:p w:rsidR="005C5C73" w:rsidRPr="004408AA" w:rsidRDefault="005C5C73" w:rsidP="005C5C73">
      <w:pPr>
        <w:jc w:val="center"/>
        <w:rPr>
          <w:b/>
          <w:sz w:val="40"/>
          <w:szCs w:val="40"/>
        </w:rPr>
      </w:pPr>
    </w:p>
    <w:p w:rsidR="005C5C73" w:rsidRPr="004408AA" w:rsidRDefault="005C5C73" w:rsidP="005C5C73">
      <w:pPr>
        <w:jc w:val="center"/>
        <w:rPr>
          <w:b/>
          <w:sz w:val="40"/>
          <w:szCs w:val="40"/>
        </w:rPr>
      </w:pPr>
    </w:p>
    <w:p w:rsidR="005C5C73" w:rsidRPr="004408AA" w:rsidRDefault="005C5C73" w:rsidP="005C5C73">
      <w:pPr>
        <w:jc w:val="center"/>
        <w:rPr>
          <w:b/>
          <w:sz w:val="40"/>
          <w:szCs w:val="40"/>
        </w:rPr>
      </w:pPr>
    </w:p>
    <w:p w:rsidR="005C5C73" w:rsidRPr="004408AA" w:rsidRDefault="005C5C73" w:rsidP="005C5C73">
      <w:pPr>
        <w:jc w:val="center"/>
        <w:rPr>
          <w:b/>
          <w:sz w:val="40"/>
          <w:szCs w:val="40"/>
        </w:rPr>
      </w:pPr>
    </w:p>
    <w:p w:rsidR="005C5C73" w:rsidRPr="004408AA" w:rsidRDefault="005C5C73" w:rsidP="005C5C73">
      <w:pPr>
        <w:jc w:val="center"/>
        <w:rPr>
          <w:b/>
          <w:sz w:val="40"/>
          <w:szCs w:val="40"/>
        </w:rPr>
      </w:pPr>
    </w:p>
    <w:p w:rsidR="005C5C73" w:rsidRPr="004408AA" w:rsidRDefault="005C5C73" w:rsidP="005C5C73">
      <w:pPr>
        <w:jc w:val="center"/>
        <w:rPr>
          <w:b/>
          <w:sz w:val="40"/>
          <w:szCs w:val="40"/>
        </w:rPr>
      </w:pPr>
      <w:r w:rsidRPr="004408AA">
        <w:rPr>
          <w:b/>
          <w:sz w:val="40"/>
          <w:szCs w:val="40"/>
        </w:rPr>
        <w:t>Digest of Business Reviews</w:t>
      </w:r>
    </w:p>
    <w:p w:rsidR="005C5C73" w:rsidRPr="004408AA" w:rsidRDefault="005C5C73" w:rsidP="005C5C73">
      <w:pPr>
        <w:ind w:firstLine="720"/>
        <w:jc w:val="center"/>
        <w:rPr>
          <w:b/>
          <w:sz w:val="40"/>
          <w:szCs w:val="40"/>
        </w:rPr>
      </w:pPr>
    </w:p>
    <w:p w:rsidR="005C5C73" w:rsidRPr="004408AA" w:rsidRDefault="005C5C73" w:rsidP="005C5C73">
      <w:pPr>
        <w:jc w:val="center"/>
        <w:rPr>
          <w:b/>
          <w:sz w:val="40"/>
          <w:szCs w:val="40"/>
        </w:rPr>
      </w:pPr>
      <w:r w:rsidRPr="004408AA">
        <w:rPr>
          <w:b/>
          <w:sz w:val="40"/>
          <w:szCs w:val="40"/>
        </w:rPr>
        <w:t>2008-2015</w:t>
      </w:r>
    </w:p>
    <w:p w:rsidR="004332B3" w:rsidRPr="00AC53EE" w:rsidRDefault="005C5C73" w:rsidP="005C5C73">
      <w:pPr>
        <w:jc w:val="center"/>
        <w:rPr>
          <w:b/>
          <w:caps/>
        </w:rPr>
      </w:pPr>
      <w:r w:rsidRPr="004408AA">
        <w:rPr>
          <w:b/>
          <w:sz w:val="40"/>
          <w:szCs w:val="40"/>
        </w:rPr>
        <w:br w:type="page"/>
      </w:r>
      <w:r w:rsidRPr="00AC53EE">
        <w:rPr>
          <w:b/>
          <w:caps/>
        </w:rPr>
        <w:lastRenderedPageBreak/>
        <w:t>Digest of Business Reviews</w:t>
      </w:r>
    </w:p>
    <w:p w:rsidR="005C5C73" w:rsidRPr="004408AA" w:rsidRDefault="005C5C73" w:rsidP="005C5C73">
      <w:pPr>
        <w:jc w:val="center"/>
        <w:rPr>
          <w:b/>
        </w:rPr>
      </w:pPr>
    </w:p>
    <w:p w:rsidR="005C5C73" w:rsidRPr="004408AA" w:rsidRDefault="005C5C73" w:rsidP="005C5C73">
      <w:pPr>
        <w:jc w:val="center"/>
        <w:rPr>
          <w:b/>
        </w:rPr>
      </w:pPr>
      <w:r w:rsidRPr="004408AA">
        <w:rPr>
          <w:b/>
        </w:rPr>
        <w:t>2008</w:t>
      </w:r>
    </w:p>
    <w:p w:rsidR="004332B3" w:rsidRPr="004408AA" w:rsidRDefault="004332B3" w:rsidP="005C5C73">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760"/>
        <w:gridCol w:w="2376"/>
      </w:tblGrid>
      <w:tr w:rsidR="005C5C73" w:rsidRPr="004408AA" w:rsidTr="001C6E21">
        <w:tc>
          <w:tcPr>
            <w:tcW w:w="720" w:type="dxa"/>
            <w:tcMar>
              <w:left w:w="0" w:type="dxa"/>
              <w:right w:w="0" w:type="dxa"/>
            </w:tcMar>
          </w:tcPr>
          <w:p w:rsidR="005C5C73" w:rsidRPr="004408AA" w:rsidRDefault="005C5C73" w:rsidP="00AC2B33">
            <w:r w:rsidRPr="004408AA">
              <w:t>08-1</w:t>
            </w:r>
          </w:p>
        </w:tc>
        <w:tc>
          <w:tcPr>
            <w:tcW w:w="5760" w:type="dxa"/>
            <w:tcMar>
              <w:left w:w="0" w:type="dxa"/>
              <w:right w:w="0" w:type="dxa"/>
            </w:tcMar>
          </w:tcPr>
          <w:p w:rsidR="005C5C73" w:rsidRPr="004408AA" w:rsidRDefault="00E30F67" w:rsidP="0052053F">
            <w:hyperlink r:id="rId9" w:history="1">
              <w:r w:rsidR="005C5C73" w:rsidRPr="0039663E">
                <w:rPr>
                  <w:rStyle w:val="Hyperlink"/>
                </w:rPr>
                <w:t>Media Rating Council</w:t>
              </w:r>
            </w:hyperlink>
          </w:p>
        </w:tc>
        <w:tc>
          <w:tcPr>
            <w:tcW w:w="2376" w:type="dxa"/>
            <w:tcMar>
              <w:left w:w="0" w:type="dxa"/>
              <w:right w:w="0" w:type="dxa"/>
            </w:tcMar>
          </w:tcPr>
          <w:p w:rsidR="005C5C73" w:rsidRPr="004408AA" w:rsidRDefault="005C5C73" w:rsidP="00AC2B33">
            <w:r w:rsidRPr="004408AA">
              <w:t>04/11/</w:t>
            </w:r>
            <w:r w:rsidR="009E0EDD" w:rsidRPr="004408AA">
              <w:t>20</w:t>
            </w:r>
            <w:r w:rsidRPr="004408AA">
              <w:t>08</w:t>
            </w:r>
          </w:p>
        </w:tc>
      </w:tr>
      <w:tr w:rsidR="005C5C73" w:rsidRPr="004408AA" w:rsidTr="001C6E21">
        <w:tc>
          <w:tcPr>
            <w:tcW w:w="720" w:type="dxa"/>
          </w:tcPr>
          <w:p w:rsidR="005C5C73" w:rsidRPr="004408AA" w:rsidRDefault="005C5C73" w:rsidP="00AC2B33"/>
        </w:tc>
        <w:tc>
          <w:tcPr>
            <w:tcW w:w="5760" w:type="dxa"/>
            <w:tcMar>
              <w:left w:w="0" w:type="dxa"/>
              <w:right w:w="0" w:type="dxa"/>
            </w:tcMar>
          </w:tcPr>
          <w:p w:rsidR="005C5C73" w:rsidRPr="004408AA" w:rsidRDefault="005C5C73" w:rsidP="00AC2B33"/>
        </w:tc>
        <w:tc>
          <w:tcPr>
            <w:tcW w:w="2376" w:type="dxa"/>
            <w:tcMar>
              <w:left w:w="0" w:type="dxa"/>
              <w:right w:w="0" w:type="dxa"/>
            </w:tcMar>
          </w:tcPr>
          <w:p w:rsidR="005C5C73" w:rsidRPr="004408AA" w:rsidRDefault="005C5C73" w:rsidP="00AC2B33"/>
        </w:tc>
      </w:tr>
      <w:tr w:rsidR="005C5C73" w:rsidRPr="004408AA" w:rsidTr="001C6E21">
        <w:tc>
          <w:tcPr>
            <w:tcW w:w="720" w:type="dxa"/>
          </w:tcPr>
          <w:p w:rsidR="005C5C73" w:rsidRPr="004408AA" w:rsidRDefault="005C5C73" w:rsidP="00AC2B33"/>
        </w:tc>
        <w:tc>
          <w:tcPr>
            <w:tcW w:w="5760" w:type="dxa"/>
            <w:tcMar>
              <w:left w:w="0" w:type="dxa"/>
              <w:right w:w="0" w:type="dxa"/>
            </w:tcMar>
          </w:tcPr>
          <w:p w:rsidR="005C5C73" w:rsidRPr="004408AA" w:rsidRDefault="00C134CC" w:rsidP="002A674C">
            <w:r w:rsidRPr="004408AA">
              <w:t>Advertising</w:t>
            </w:r>
          </w:p>
        </w:tc>
        <w:tc>
          <w:tcPr>
            <w:tcW w:w="2376" w:type="dxa"/>
            <w:tcMar>
              <w:left w:w="0" w:type="dxa"/>
              <w:right w:w="0" w:type="dxa"/>
            </w:tcMar>
          </w:tcPr>
          <w:p w:rsidR="005C5C73" w:rsidRPr="004408AA" w:rsidRDefault="002A674C" w:rsidP="00DB4D90">
            <w:r w:rsidRPr="004408AA">
              <w:t xml:space="preserve">Accreditation </w:t>
            </w:r>
          </w:p>
        </w:tc>
      </w:tr>
    </w:tbl>
    <w:p w:rsidR="004332B3" w:rsidRPr="004408AA" w:rsidRDefault="004332B3" w:rsidP="00AC2B33"/>
    <w:p w:rsidR="004332B3" w:rsidRPr="004408AA" w:rsidRDefault="005C5C73" w:rsidP="00AC2B33">
      <w:r w:rsidRPr="004408AA">
        <w:tab/>
        <w:t xml:space="preserve">Facts: </w:t>
      </w:r>
      <w:r w:rsidR="00352555" w:rsidRPr="004408AA">
        <w:t>The Media Rating Council (“MRC”)</w:t>
      </w:r>
      <w:r w:rsidR="002A674C" w:rsidRPr="004408AA">
        <w:t>, a nonprofit,</w:t>
      </w:r>
      <w:r w:rsidR="00352555" w:rsidRPr="004408AA">
        <w:t xml:space="preserve"> is </w:t>
      </w:r>
      <w:r w:rsidR="002A674C" w:rsidRPr="004408AA">
        <w:t>the sole</w:t>
      </w:r>
      <w:r w:rsidR="00352555" w:rsidRPr="004408AA">
        <w:t xml:space="preserve"> association</w:t>
      </w:r>
      <w:r w:rsidR="002A674C" w:rsidRPr="004408AA">
        <w:t xml:space="preserve"> that</w:t>
      </w:r>
      <w:r w:rsidR="00352555" w:rsidRPr="004408AA">
        <w:t xml:space="preserve"> </w:t>
      </w:r>
      <w:r w:rsidR="002A674C" w:rsidRPr="004408AA">
        <w:t>a</w:t>
      </w:r>
      <w:r w:rsidR="00AC53EE">
        <w:t>udits and accredits</w:t>
      </w:r>
      <w:r w:rsidR="002A674C" w:rsidRPr="004408AA">
        <w:t xml:space="preserve"> audienc</w:t>
      </w:r>
      <w:r w:rsidR="00C134CC" w:rsidRPr="004408AA">
        <w:t xml:space="preserve">e membership products (“AMPs”).  AMPs </w:t>
      </w:r>
      <w:r w:rsidR="002A674C" w:rsidRPr="004408AA">
        <w:t>measure the size and demographics of an audience for a particular medium</w:t>
      </w:r>
      <w:r w:rsidR="00491C0B">
        <w:t>.  The</w:t>
      </w:r>
      <w:r w:rsidR="00C134CC" w:rsidRPr="004408AA">
        <w:t xml:space="preserve"> financial value of advertising is based on </w:t>
      </w:r>
      <w:r w:rsidR="00491C0B">
        <w:t xml:space="preserve">particular kinds of AMPs called </w:t>
      </w:r>
      <w:r w:rsidR="00C134CC" w:rsidRPr="004408AA">
        <w:t>Currency AMP</w:t>
      </w:r>
      <w:r w:rsidR="00AC53EE">
        <w:t>s</w:t>
      </w:r>
      <w:r w:rsidR="00491C0B">
        <w:t xml:space="preserve">.  </w:t>
      </w:r>
      <w:r w:rsidR="00DB4D90" w:rsidRPr="004408AA">
        <w:t>The MRC proposes to amen</w:t>
      </w:r>
      <w:r w:rsidR="0052053F" w:rsidRPr="004408AA">
        <w:t xml:space="preserve">d its rules to encourage </w:t>
      </w:r>
      <w:r w:rsidR="00491C0B">
        <w:t xml:space="preserve">a </w:t>
      </w:r>
      <w:r w:rsidR="0052053F" w:rsidRPr="004408AA">
        <w:t>rating</w:t>
      </w:r>
      <w:r w:rsidR="00491C0B">
        <w:t xml:space="preserve"> service</w:t>
      </w:r>
      <w:r w:rsidR="00DB4D90" w:rsidRPr="004408AA">
        <w:t xml:space="preserve"> that </w:t>
      </w:r>
      <w:r w:rsidR="00491C0B">
        <w:t>is</w:t>
      </w:r>
      <w:r w:rsidR="00DB4D90" w:rsidRPr="004408AA">
        <w:t xml:space="preserve"> replacing an already-accredited Currency AMP to obtain accredit</w:t>
      </w:r>
      <w:r w:rsidR="00491C0B">
        <w:t>ation of the replacement product</w:t>
      </w:r>
      <w:r w:rsidR="00DB4D90" w:rsidRPr="004408AA">
        <w:t xml:space="preserve"> before discontinuing the </w:t>
      </w:r>
      <w:r w:rsidR="00C134CC" w:rsidRPr="004408AA">
        <w:t>previous</w:t>
      </w:r>
      <w:r w:rsidR="00DB4D90" w:rsidRPr="004408AA">
        <w:t xml:space="preserve"> product.  </w:t>
      </w:r>
      <w:r w:rsidR="00C134CC" w:rsidRPr="004408AA">
        <w:t>C</w:t>
      </w:r>
      <w:r w:rsidR="00DB4D90" w:rsidRPr="004408AA">
        <w:t>ompliance with this proposed rule is voluntary</w:t>
      </w:r>
      <w:r w:rsidR="00C134CC" w:rsidRPr="004408AA">
        <w:t>,</w:t>
      </w:r>
      <w:r w:rsidR="00DB4D90" w:rsidRPr="004408AA">
        <w:t xml:space="preserve"> and </w:t>
      </w:r>
      <w:r w:rsidR="0052053F" w:rsidRPr="004408AA">
        <w:t xml:space="preserve">a rating service will not be penalized for </w:t>
      </w:r>
      <w:r w:rsidR="00DB4D90" w:rsidRPr="004408AA">
        <w:t>failure to comply</w:t>
      </w:r>
      <w:r w:rsidR="00C134CC" w:rsidRPr="004408AA">
        <w:t>.</w:t>
      </w:r>
    </w:p>
    <w:p w:rsidR="0052053F" w:rsidRPr="004408AA" w:rsidRDefault="0052053F" w:rsidP="0052053F">
      <w:pPr>
        <w:tabs>
          <w:tab w:val="left" w:pos="3180"/>
        </w:tabs>
      </w:pPr>
      <w:r w:rsidRPr="004408AA">
        <w:tab/>
      </w:r>
    </w:p>
    <w:p w:rsidR="0052053F" w:rsidRPr="004408AA" w:rsidRDefault="0052053F" w:rsidP="00AC2B33">
      <w:r w:rsidRPr="004408AA">
        <w:tab/>
        <w:t xml:space="preserve">Response: The Department has no present intention </w:t>
      </w:r>
      <w:r w:rsidR="00491C0B">
        <w:t>to</w:t>
      </w:r>
      <w:r w:rsidRPr="004408AA">
        <w:t xml:space="preserve"> challen</w:t>
      </w:r>
      <w:r w:rsidR="00491C0B">
        <w:t>ge</w:t>
      </w:r>
      <w:r w:rsidRPr="004408AA">
        <w:t xml:space="preserve"> the proposed rule</w:t>
      </w:r>
      <w:r w:rsidR="00C134CC" w:rsidRPr="004408AA">
        <w:t>.  MRC’s proposal may help smooth the transition from one Currency AMP to its replacement.  Moreover, the proposal is</w:t>
      </w:r>
      <w:r w:rsidRPr="004408AA">
        <w:t xml:space="preserve"> unlikely to discourage</w:t>
      </w:r>
      <w:r w:rsidR="00C134CC" w:rsidRPr="004408AA">
        <w:t xml:space="preserve"> competition in</w:t>
      </w:r>
      <w:r w:rsidRPr="004408AA">
        <w:t xml:space="preserve"> the creation of new </w:t>
      </w:r>
      <w:r w:rsidR="00491C0B">
        <w:t xml:space="preserve">Currency </w:t>
      </w:r>
      <w:r w:rsidRPr="004408AA">
        <w:t>AMPs</w:t>
      </w:r>
      <w:r w:rsidR="00C134CC" w:rsidRPr="004408AA">
        <w:t xml:space="preserve">.  The new rule </w:t>
      </w:r>
      <w:r w:rsidRPr="004408AA">
        <w:t xml:space="preserve">will </w:t>
      </w:r>
      <w:r w:rsidR="00C134CC" w:rsidRPr="004408AA">
        <w:t>not affect</w:t>
      </w:r>
      <w:r w:rsidRPr="004408AA">
        <w:t xml:space="preserve"> rating services that are introducing entirely new </w:t>
      </w:r>
      <w:r w:rsidR="00491C0B">
        <w:t xml:space="preserve">Currency </w:t>
      </w:r>
      <w:r w:rsidRPr="004408AA">
        <w:t xml:space="preserve">AMPs.  And </w:t>
      </w:r>
      <w:r w:rsidR="00C134CC" w:rsidRPr="004408AA">
        <w:t xml:space="preserve">compliance with </w:t>
      </w:r>
      <w:r w:rsidRPr="004408AA">
        <w:t xml:space="preserve">the rule is </w:t>
      </w:r>
      <w:r w:rsidR="00C134CC" w:rsidRPr="004408AA">
        <w:t>voluntary</w:t>
      </w:r>
      <w:r w:rsidRPr="004408AA">
        <w:t xml:space="preserve">, even when a rating service is attempting to replace a </w:t>
      </w:r>
      <w:r w:rsidR="00491C0B">
        <w:t>previous Currency</w:t>
      </w:r>
      <w:r w:rsidRPr="004408AA">
        <w:t xml:space="preserve"> AMP.</w:t>
      </w:r>
    </w:p>
    <w:p w:rsidR="0072453C" w:rsidRPr="004408AA" w:rsidRDefault="0072453C">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850"/>
        <w:gridCol w:w="2286"/>
      </w:tblGrid>
      <w:tr w:rsidR="0052053F" w:rsidRPr="004408AA" w:rsidTr="001C6E21">
        <w:tc>
          <w:tcPr>
            <w:tcW w:w="720" w:type="dxa"/>
            <w:tcMar>
              <w:left w:w="0" w:type="dxa"/>
              <w:right w:w="0" w:type="dxa"/>
            </w:tcMar>
          </w:tcPr>
          <w:p w:rsidR="0052053F" w:rsidRPr="004408AA" w:rsidRDefault="0072453C" w:rsidP="0052053F">
            <w:r w:rsidRPr="004408AA">
              <w:br w:type="page"/>
            </w:r>
            <w:r w:rsidR="0052053F" w:rsidRPr="004408AA">
              <w:t>08-2</w:t>
            </w:r>
          </w:p>
        </w:tc>
        <w:tc>
          <w:tcPr>
            <w:tcW w:w="5850" w:type="dxa"/>
            <w:tcMar>
              <w:left w:w="0" w:type="dxa"/>
              <w:right w:w="0" w:type="dxa"/>
            </w:tcMar>
          </w:tcPr>
          <w:p w:rsidR="0052053F" w:rsidRPr="004408AA" w:rsidRDefault="00E30F67" w:rsidP="0052053F">
            <w:hyperlink r:id="rId10" w:history="1">
              <w:r w:rsidR="0052053F" w:rsidRPr="00DB6396">
                <w:rPr>
                  <w:rStyle w:val="Hyperlink"/>
                </w:rPr>
                <w:t>External Compliance Officer, Inc.</w:t>
              </w:r>
            </w:hyperlink>
          </w:p>
        </w:tc>
        <w:tc>
          <w:tcPr>
            <w:tcW w:w="2286" w:type="dxa"/>
            <w:tcMar>
              <w:left w:w="0" w:type="dxa"/>
              <w:right w:w="0" w:type="dxa"/>
            </w:tcMar>
          </w:tcPr>
          <w:p w:rsidR="0052053F" w:rsidRPr="004408AA" w:rsidRDefault="0052053F" w:rsidP="0052053F">
            <w:r w:rsidRPr="004408AA">
              <w:t>07/01/</w:t>
            </w:r>
            <w:r w:rsidR="009E0EDD" w:rsidRPr="004408AA">
              <w:t>20</w:t>
            </w:r>
            <w:r w:rsidRPr="004408AA">
              <w:t>08</w:t>
            </w:r>
          </w:p>
        </w:tc>
      </w:tr>
      <w:tr w:rsidR="0052053F" w:rsidRPr="004408AA" w:rsidTr="001C6E21">
        <w:tc>
          <w:tcPr>
            <w:tcW w:w="720" w:type="dxa"/>
          </w:tcPr>
          <w:p w:rsidR="0052053F" w:rsidRPr="004408AA" w:rsidRDefault="0052053F" w:rsidP="0052053F"/>
        </w:tc>
        <w:tc>
          <w:tcPr>
            <w:tcW w:w="5850" w:type="dxa"/>
            <w:tcMar>
              <w:left w:w="0" w:type="dxa"/>
              <w:right w:w="0" w:type="dxa"/>
            </w:tcMar>
          </w:tcPr>
          <w:p w:rsidR="0052053F" w:rsidRPr="004408AA" w:rsidRDefault="0052053F" w:rsidP="0052053F"/>
        </w:tc>
        <w:tc>
          <w:tcPr>
            <w:tcW w:w="2286" w:type="dxa"/>
            <w:tcMar>
              <w:left w:w="0" w:type="dxa"/>
              <w:right w:w="0" w:type="dxa"/>
            </w:tcMar>
          </w:tcPr>
          <w:p w:rsidR="0052053F" w:rsidRPr="004408AA" w:rsidRDefault="0052053F" w:rsidP="0052053F"/>
        </w:tc>
      </w:tr>
      <w:tr w:rsidR="0052053F" w:rsidRPr="004408AA" w:rsidTr="001C6E21">
        <w:tc>
          <w:tcPr>
            <w:tcW w:w="720" w:type="dxa"/>
          </w:tcPr>
          <w:p w:rsidR="0052053F" w:rsidRPr="004408AA" w:rsidRDefault="0052053F" w:rsidP="0052053F"/>
        </w:tc>
        <w:tc>
          <w:tcPr>
            <w:tcW w:w="5850" w:type="dxa"/>
            <w:tcMar>
              <w:left w:w="0" w:type="dxa"/>
              <w:right w:w="0" w:type="dxa"/>
            </w:tcMar>
          </w:tcPr>
          <w:p w:rsidR="0052053F" w:rsidRPr="004408AA" w:rsidRDefault="00C134CC" w:rsidP="0052053F">
            <w:r w:rsidRPr="004408AA">
              <w:t>Financial</w:t>
            </w:r>
            <w:r w:rsidR="001C6E21" w:rsidRPr="004408AA">
              <w:t xml:space="preserve"> Services</w:t>
            </w:r>
          </w:p>
        </w:tc>
        <w:tc>
          <w:tcPr>
            <w:tcW w:w="2286" w:type="dxa"/>
            <w:tcMar>
              <w:left w:w="0" w:type="dxa"/>
              <w:right w:w="0" w:type="dxa"/>
            </w:tcMar>
          </w:tcPr>
          <w:p w:rsidR="0052053F" w:rsidRPr="004408AA" w:rsidRDefault="001C6E21" w:rsidP="0052053F">
            <w:r w:rsidRPr="004408AA">
              <w:t>Information Exchange</w:t>
            </w:r>
          </w:p>
        </w:tc>
      </w:tr>
    </w:tbl>
    <w:p w:rsidR="0052053F" w:rsidRPr="004408AA" w:rsidRDefault="0052053F" w:rsidP="0052053F"/>
    <w:p w:rsidR="0052053F" w:rsidRPr="004408AA" w:rsidRDefault="0052053F" w:rsidP="0052053F">
      <w:r w:rsidRPr="004408AA">
        <w:tab/>
        <w:t>Facts:</w:t>
      </w:r>
      <w:r w:rsidR="0072453C" w:rsidRPr="004408AA">
        <w:t xml:space="preserve"> </w:t>
      </w:r>
      <w:r w:rsidR="009F4764" w:rsidRPr="004408AA">
        <w:t>External Compliance Officer, Inc. (“ECO”)</w:t>
      </w:r>
      <w:r w:rsidR="00CA1033" w:rsidRPr="004408AA">
        <w:t>, a privately-held corporation,</w:t>
      </w:r>
      <w:r w:rsidR="005D6BC9" w:rsidRPr="004408AA">
        <w:t xml:space="preserve"> provides anti-money laundering consulting services to </w:t>
      </w:r>
      <w:r w:rsidR="00802E4D" w:rsidRPr="004408AA">
        <w:t xml:space="preserve">financial institutions, including </w:t>
      </w:r>
      <w:r w:rsidR="005D6BC9" w:rsidRPr="004408AA">
        <w:t xml:space="preserve">money transmitters.  </w:t>
      </w:r>
      <w:r w:rsidR="00C134CC" w:rsidRPr="004408AA">
        <w:t>Money transmitter agents are intermediaries between</w:t>
      </w:r>
      <w:r w:rsidR="00491C0B" w:rsidRPr="00491C0B">
        <w:t xml:space="preserve"> </w:t>
      </w:r>
      <w:r w:rsidR="00491C0B" w:rsidRPr="004408AA">
        <w:t>money transmitters</w:t>
      </w:r>
      <w:r w:rsidR="00491C0B">
        <w:t xml:space="preserve"> and</w:t>
      </w:r>
      <w:r w:rsidR="00C134CC" w:rsidRPr="004408AA">
        <w:t xml:space="preserve"> consumers of </w:t>
      </w:r>
      <w:r w:rsidR="00491C0B">
        <w:t>money transmission services</w:t>
      </w:r>
      <w:r w:rsidR="00802E4D" w:rsidRPr="004408AA">
        <w:t>.  Various federal and state laws require money transmitters to determine whether a prospective money trans</w:t>
      </w:r>
      <w:r w:rsidR="00C134CC" w:rsidRPr="004408AA">
        <w:t>mitter agent presents a risk of</w:t>
      </w:r>
      <w:r w:rsidR="00802E4D" w:rsidRPr="004408AA">
        <w:t xml:space="preserve"> money laundering or terrorist funding.  </w:t>
      </w:r>
      <w:r w:rsidR="00722206">
        <w:t xml:space="preserve">The </w:t>
      </w:r>
      <w:r w:rsidR="005D6BC9" w:rsidRPr="004408AA">
        <w:t>ECO</w:t>
      </w:r>
      <w:r w:rsidR="009F4764" w:rsidRPr="004408AA">
        <w:t xml:space="preserve"> </w:t>
      </w:r>
      <w:r w:rsidR="00CA1033" w:rsidRPr="004408AA">
        <w:t>proposes</w:t>
      </w:r>
      <w:r w:rsidR="005D6BC9" w:rsidRPr="004408AA">
        <w:t xml:space="preserve"> to</w:t>
      </w:r>
      <w:r w:rsidR="00CA1033" w:rsidRPr="004408AA">
        <w:t xml:space="preserve"> </w:t>
      </w:r>
      <w:r w:rsidR="005D6BC9" w:rsidRPr="004408AA">
        <w:t xml:space="preserve">aggregate </w:t>
      </w:r>
      <w:r w:rsidR="00CA1033" w:rsidRPr="004408AA">
        <w:t xml:space="preserve">information from money transmitters </w:t>
      </w:r>
      <w:r w:rsidR="00C134CC" w:rsidRPr="004408AA">
        <w:t>regarding</w:t>
      </w:r>
      <w:r w:rsidR="00CA1033" w:rsidRPr="004408AA">
        <w:t xml:space="preserve"> whether and why they have terminated money transmitter agents</w:t>
      </w:r>
      <w:r w:rsidR="005D6BC9" w:rsidRPr="004408AA">
        <w:t xml:space="preserve">.  </w:t>
      </w:r>
      <w:r w:rsidR="00722206">
        <w:t xml:space="preserve">The </w:t>
      </w:r>
      <w:r w:rsidR="005D6BC9" w:rsidRPr="004408AA">
        <w:t>ECO proposes to make this information available</w:t>
      </w:r>
      <w:r w:rsidR="00802E4D" w:rsidRPr="004408AA">
        <w:t xml:space="preserve"> to client money transmitters in a databas</w:t>
      </w:r>
      <w:r w:rsidR="00C134CC" w:rsidRPr="004408AA">
        <w:t xml:space="preserve">e.  </w:t>
      </w:r>
      <w:r w:rsidR="00722206">
        <w:t xml:space="preserve">The </w:t>
      </w:r>
      <w:r w:rsidR="00C134CC" w:rsidRPr="004408AA">
        <w:t xml:space="preserve">ECO </w:t>
      </w:r>
      <w:r w:rsidR="00802E4D" w:rsidRPr="004408AA">
        <w:t>will</w:t>
      </w:r>
      <w:r w:rsidR="00C134CC" w:rsidRPr="004408AA">
        <w:t xml:space="preserve"> also</w:t>
      </w:r>
      <w:r w:rsidR="00491C0B">
        <w:t xml:space="preserve"> notify</w:t>
      </w:r>
      <w:r w:rsidR="00802E4D" w:rsidRPr="004408AA">
        <w:t xml:space="preserve"> money transmitter agent</w:t>
      </w:r>
      <w:r w:rsidR="00491C0B">
        <w:t>s</w:t>
      </w:r>
      <w:r w:rsidR="00802E4D" w:rsidRPr="004408AA">
        <w:t xml:space="preserve"> when th</w:t>
      </w:r>
      <w:r w:rsidR="00491C0B">
        <w:t>ey are</w:t>
      </w:r>
      <w:r w:rsidR="00802E4D" w:rsidRPr="004408AA">
        <w:t xml:space="preserve"> added to the database.</w:t>
      </w:r>
    </w:p>
    <w:p w:rsidR="0052053F" w:rsidRPr="004408AA" w:rsidRDefault="0052053F" w:rsidP="0052053F">
      <w:pPr>
        <w:tabs>
          <w:tab w:val="left" w:pos="3180"/>
        </w:tabs>
      </w:pPr>
      <w:r w:rsidRPr="004408AA">
        <w:tab/>
      </w:r>
    </w:p>
    <w:p w:rsidR="0052053F" w:rsidRPr="004408AA" w:rsidRDefault="00802E4D" w:rsidP="0052053F">
      <w:r w:rsidRPr="004408AA">
        <w:tab/>
        <w:t xml:space="preserve">Response: The Department has no present intention to challenge ECO’s proposal, as it is unlikely to harm competition and may help money transmitters comply with their federal and state law obligations to </w:t>
      </w:r>
      <w:r w:rsidR="00C134CC" w:rsidRPr="004408AA">
        <w:t>prevent</w:t>
      </w:r>
      <w:r w:rsidRPr="004408AA">
        <w:t xml:space="preserve"> money l</w:t>
      </w:r>
      <w:r w:rsidR="001C6E21" w:rsidRPr="004408AA">
        <w:t>aundering and terrorist funding</w:t>
      </w:r>
      <w:r w:rsidRPr="004408AA">
        <w:t xml:space="preserve">.  </w:t>
      </w:r>
      <w:r w:rsidR="002C77A1">
        <w:t xml:space="preserve">The </w:t>
      </w:r>
      <w:r w:rsidRPr="004408AA">
        <w:t xml:space="preserve">ECO’s proposed collection and dissemination of information is unlikely to produce collusion or otherwise harm competition among money transmitters.  </w:t>
      </w:r>
      <w:r w:rsidR="001C6E21" w:rsidRPr="004408AA">
        <w:t>Notifying</w:t>
      </w:r>
      <w:r w:rsidRPr="004408AA">
        <w:t xml:space="preserve"> agents that they have been added to the database will</w:t>
      </w:r>
      <w:r w:rsidR="001C6E21" w:rsidRPr="004408AA">
        <w:t xml:space="preserve"> help en</w:t>
      </w:r>
      <w:r w:rsidR="00491C0B">
        <w:t>sure that it contains accurate information about agent termination</w:t>
      </w:r>
      <w:r w:rsidR="001C6E21" w:rsidRPr="004408AA">
        <w:t>.</w:t>
      </w:r>
    </w:p>
    <w:p w:rsidR="0052053F" w:rsidRPr="004408AA" w:rsidRDefault="0052053F" w:rsidP="0052053F"/>
    <w:p w:rsidR="009F4764" w:rsidRPr="004408AA" w:rsidRDefault="009F4764">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760"/>
        <w:gridCol w:w="2376"/>
      </w:tblGrid>
      <w:tr w:rsidR="0052053F" w:rsidRPr="004408AA" w:rsidTr="001C6E21">
        <w:tc>
          <w:tcPr>
            <w:tcW w:w="720" w:type="dxa"/>
            <w:tcMar>
              <w:left w:w="0" w:type="dxa"/>
              <w:right w:w="0" w:type="dxa"/>
            </w:tcMar>
          </w:tcPr>
          <w:p w:rsidR="0052053F" w:rsidRPr="004408AA" w:rsidRDefault="0052053F" w:rsidP="0052053F">
            <w:r w:rsidRPr="004408AA">
              <w:t>08-3</w:t>
            </w:r>
          </w:p>
        </w:tc>
        <w:tc>
          <w:tcPr>
            <w:tcW w:w="5760" w:type="dxa"/>
            <w:tcMar>
              <w:left w:w="0" w:type="dxa"/>
              <w:right w:w="0" w:type="dxa"/>
            </w:tcMar>
          </w:tcPr>
          <w:p w:rsidR="0052053F" w:rsidRPr="004408AA" w:rsidRDefault="00E30F67" w:rsidP="00712611">
            <w:hyperlink r:id="rId11" w:history="1">
              <w:r w:rsidR="0052053F" w:rsidRPr="00EA2ED0">
                <w:rPr>
                  <w:rStyle w:val="Hyperlink"/>
                </w:rPr>
                <w:t>CEO Roundtable on Cancer</w:t>
              </w:r>
            </w:hyperlink>
          </w:p>
        </w:tc>
        <w:tc>
          <w:tcPr>
            <w:tcW w:w="2376" w:type="dxa"/>
            <w:tcMar>
              <w:left w:w="0" w:type="dxa"/>
              <w:right w:w="0" w:type="dxa"/>
            </w:tcMar>
          </w:tcPr>
          <w:p w:rsidR="0052053F" w:rsidRPr="004408AA" w:rsidRDefault="0072453C" w:rsidP="0052053F">
            <w:r w:rsidRPr="004408AA">
              <w:t>09/17</w:t>
            </w:r>
            <w:r w:rsidR="0052053F" w:rsidRPr="004408AA">
              <w:t>/</w:t>
            </w:r>
            <w:r w:rsidR="009E0EDD" w:rsidRPr="004408AA">
              <w:t>20</w:t>
            </w:r>
            <w:r w:rsidR="0052053F" w:rsidRPr="004408AA">
              <w:t>08</w:t>
            </w:r>
          </w:p>
        </w:tc>
      </w:tr>
      <w:tr w:rsidR="0052053F" w:rsidRPr="004408AA" w:rsidTr="001C6E21">
        <w:tc>
          <w:tcPr>
            <w:tcW w:w="720" w:type="dxa"/>
          </w:tcPr>
          <w:p w:rsidR="0052053F" w:rsidRPr="004408AA" w:rsidRDefault="0052053F" w:rsidP="0052053F"/>
        </w:tc>
        <w:tc>
          <w:tcPr>
            <w:tcW w:w="5760" w:type="dxa"/>
            <w:tcMar>
              <w:left w:w="0" w:type="dxa"/>
              <w:right w:w="0" w:type="dxa"/>
            </w:tcMar>
          </w:tcPr>
          <w:p w:rsidR="0052053F" w:rsidRPr="004408AA" w:rsidRDefault="0052053F" w:rsidP="0052053F"/>
        </w:tc>
        <w:tc>
          <w:tcPr>
            <w:tcW w:w="2376" w:type="dxa"/>
            <w:tcMar>
              <w:left w:w="0" w:type="dxa"/>
              <w:right w:w="0" w:type="dxa"/>
            </w:tcMar>
          </w:tcPr>
          <w:p w:rsidR="0052053F" w:rsidRPr="004408AA" w:rsidRDefault="0052053F" w:rsidP="0052053F"/>
        </w:tc>
      </w:tr>
      <w:tr w:rsidR="0052053F" w:rsidRPr="004408AA" w:rsidTr="001C6E21">
        <w:tc>
          <w:tcPr>
            <w:tcW w:w="720" w:type="dxa"/>
          </w:tcPr>
          <w:p w:rsidR="0052053F" w:rsidRPr="004408AA" w:rsidRDefault="0052053F" w:rsidP="0052053F"/>
        </w:tc>
        <w:tc>
          <w:tcPr>
            <w:tcW w:w="5760" w:type="dxa"/>
            <w:tcMar>
              <w:left w:w="0" w:type="dxa"/>
              <w:right w:w="0" w:type="dxa"/>
            </w:tcMar>
          </w:tcPr>
          <w:p w:rsidR="0052053F" w:rsidRPr="004408AA" w:rsidRDefault="00712611" w:rsidP="0052053F">
            <w:r w:rsidRPr="004408AA">
              <w:t>Clinical Trials</w:t>
            </w:r>
          </w:p>
        </w:tc>
        <w:tc>
          <w:tcPr>
            <w:tcW w:w="2376" w:type="dxa"/>
            <w:tcMar>
              <w:left w:w="0" w:type="dxa"/>
              <w:right w:w="0" w:type="dxa"/>
            </w:tcMar>
          </w:tcPr>
          <w:p w:rsidR="0052053F" w:rsidRPr="004408AA" w:rsidRDefault="00644DB3" w:rsidP="0052053F">
            <w:r w:rsidRPr="004408AA">
              <w:t>Model Contract</w:t>
            </w:r>
            <w:r w:rsidR="0052053F" w:rsidRPr="004408AA">
              <w:t xml:space="preserve"> </w:t>
            </w:r>
          </w:p>
        </w:tc>
      </w:tr>
    </w:tbl>
    <w:p w:rsidR="0052053F" w:rsidRPr="004408AA" w:rsidRDefault="0052053F" w:rsidP="0052053F"/>
    <w:p w:rsidR="0052053F" w:rsidRPr="004408AA" w:rsidRDefault="0052053F" w:rsidP="0052053F">
      <w:r w:rsidRPr="004408AA">
        <w:tab/>
        <w:t>Facts:</w:t>
      </w:r>
      <w:r w:rsidR="0072453C" w:rsidRPr="004408AA">
        <w:t xml:space="preserve"> </w:t>
      </w:r>
      <w:r w:rsidR="00C134CC" w:rsidRPr="004408AA">
        <w:t>The CEO Roundtable on Cancer (“CRC”</w:t>
      </w:r>
      <w:r w:rsidR="0072453C" w:rsidRPr="004408AA">
        <w:t>), a non-profit organization whose goal is to make continuous progress toward eliminating cancer, and the National Cancer Institute (</w:t>
      </w:r>
      <w:r w:rsidR="00C134CC" w:rsidRPr="004408AA">
        <w:t>“NCI”</w:t>
      </w:r>
      <w:r w:rsidR="0072453C" w:rsidRPr="004408AA">
        <w:t>), the federal government</w:t>
      </w:r>
      <w:r w:rsidR="00C134CC" w:rsidRPr="004408AA">
        <w:t>’</w:t>
      </w:r>
      <w:r w:rsidR="0072453C" w:rsidRPr="004408AA">
        <w:t>s principal agency for cancer</w:t>
      </w:r>
      <w:r w:rsidR="00C134CC" w:rsidRPr="004408AA">
        <w:t xml:space="preserve"> research and training, propose</w:t>
      </w:r>
      <w:r w:rsidR="0072453C" w:rsidRPr="004408AA">
        <w:t xml:space="preserve"> to develop and publicize model clauses for use in clinical-trial agreements. Clinical-trial agreements typically involve three parties: a pharmaceutical or medical-device company</w:t>
      </w:r>
      <w:r w:rsidR="00712611" w:rsidRPr="004408AA">
        <w:t>,</w:t>
      </w:r>
      <w:r w:rsidR="0072453C" w:rsidRPr="004408AA">
        <w:t xml:space="preserve"> known as a sponsor; a hospital, clinic, or university where the research is performed, known as the research institution; and the physician in charge of the trial, known as the principa</w:t>
      </w:r>
      <w:r w:rsidR="00C134CC" w:rsidRPr="004408AA">
        <w:t>l investigator. The CRC propose</w:t>
      </w:r>
      <w:r w:rsidR="00491C0B">
        <w:t>s</w:t>
      </w:r>
      <w:r w:rsidR="0072453C" w:rsidRPr="004408AA">
        <w:t xml:space="preserve"> to make the model language available to sponsors, research institutions, and principal investigators.</w:t>
      </w:r>
    </w:p>
    <w:p w:rsidR="0052053F" w:rsidRPr="004408AA" w:rsidRDefault="0052053F" w:rsidP="0052053F">
      <w:pPr>
        <w:tabs>
          <w:tab w:val="left" w:pos="3180"/>
        </w:tabs>
      </w:pPr>
      <w:r w:rsidRPr="004408AA">
        <w:tab/>
      </w:r>
    </w:p>
    <w:p w:rsidR="0052053F" w:rsidRPr="004408AA" w:rsidRDefault="0052053F" w:rsidP="0052053F">
      <w:r w:rsidRPr="004408AA">
        <w:tab/>
        <w:t xml:space="preserve">Response: </w:t>
      </w:r>
      <w:r w:rsidR="00644DB3" w:rsidRPr="004408AA">
        <w:t xml:space="preserve">The Department has no present intention to challenge the proposal. </w:t>
      </w:r>
      <w:r w:rsidR="0072453C" w:rsidRPr="004408AA">
        <w:t>The model language is not likely to be anticompetitive and can be used to help increase efficiency in contract negotiations, potentially reducing costs and shortening the time needed to begin clinical trials. The model language does not contain any provisions specifying prices or rates, and each party acting independently will determine whether to use the language or any of its provisions.</w:t>
      </w:r>
    </w:p>
    <w:p w:rsidR="0052053F" w:rsidRPr="004408AA" w:rsidRDefault="0052053F" w:rsidP="0052053F"/>
    <w:p w:rsidR="009F4764" w:rsidRPr="004408AA" w:rsidRDefault="009F4764">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760"/>
        <w:gridCol w:w="2376"/>
      </w:tblGrid>
      <w:tr w:rsidR="0072453C" w:rsidRPr="004408AA" w:rsidTr="001C6E21">
        <w:tc>
          <w:tcPr>
            <w:tcW w:w="720" w:type="dxa"/>
            <w:tcMar>
              <w:left w:w="0" w:type="dxa"/>
              <w:right w:w="0" w:type="dxa"/>
            </w:tcMar>
          </w:tcPr>
          <w:p w:rsidR="0072453C" w:rsidRPr="004408AA" w:rsidRDefault="0072453C" w:rsidP="0072453C">
            <w:r w:rsidRPr="004408AA">
              <w:t>08-4</w:t>
            </w:r>
          </w:p>
        </w:tc>
        <w:tc>
          <w:tcPr>
            <w:tcW w:w="5760" w:type="dxa"/>
            <w:tcMar>
              <w:left w:w="0" w:type="dxa"/>
              <w:right w:w="0" w:type="dxa"/>
            </w:tcMar>
          </w:tcPr>
          <w:p w:rsidR="0072453C" w:rsidRPr="004408AA" w:rsidRDefault="00E30F67" w:rsidP="0072453C">
            <w:hyperlink r:id="rId12" w:history="1">
              <w:r w:rsidR="00712611" w:rsidRPr="002308BC">
                <w:rPr>
                  <w:rStyle w:val="Hyperlink"/>
                </w:rPr>
                <w:t>RFID Consortium LLC</w:t>
              </w:r>
            </w:hyperlink>
          </w:p>
        </w:tc>
        <w:tc>
          <w:tcPr>
            <w:tcW w:w="2376" w:type="dxa"/>
            <w:tcMar>
              <w:left w:w="0" w:type="dxa"/>
              <w:right w:w="0" w:type="dxa"/>
            </w:tcMar>
          </w:tcPr>
          <w:p w:rsidR="0072453C" w:rsidRPr="004408AA" w:rsidRDefault="00712611" w:rsidP="0072453C">
            <w:r w:rsidRPr="004408AA">
              <w:t>10/21/</w:t>
            </w:r>
            <w:r w:rsidR="009E0EDD" w:rsidRPr="004408AA">
              <w:t>20</w:t>
            </w:r>
            <w:r w:rsidRPr="004408AA">
              <w:t>08</w:t>
            </w:r>
          </w:p>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72453C" w:rsidP="0072453C"/>
        </w:tc>
        <w:tc>
          <w:tcPr>
            <w:tcW w:w="237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491C0B" w:rsidP="0072453C">
            <w:r w:rsidRPr="004408AA">
              <w:t>Electronics and Electrical Equipment</w:t>
            </w:r>
          </w:p>
        </w:tc>
        <w:tc>
          <w:tcPr>
            <w:tcW w:w="2376" w:type="dxa"/>
            <w:tcMar>
              <w:left w:w="0" w:type="dxa"/>
              <w:right w:w="0" w:type="dxa"/>
            </w:tcMar>
          </w:tcPr>
          <w:p w:rsidR="0072453C" w:rsidRPr="004408AA" w:rsidRDefault="00712611" w:rsidP="0072453C">
            <w:r w:rsidRPr="004408AA">
              <w:t>Patent Licensing</w:t>
            </w:r>
          </w:p>
        </w:tc>
      </w:tr>
    </w:tbl>
    <w:p w:rsidR="0072453C" w:rsidRPr="004408AA" w:rsidRDefault="0072453C" w:rsidP="0072453C"/>
    <w:p w:rsidR="0072453C" w:rsidRPr="004408AA" w:rsidRDefault="00FB4C54" w:rsidP="0072453C">
      <w:r w:rsidRPr="004408AA">
        <w:tab/>
        <w:t>Facts: The RFID Consortium LLC (the “Consortium”) proposes to pool patents that are essential for the UHF RFID Generation 2 (</w:t>
      </w:r>
      <w:r w:rsidR="00F25BD8" w:rsidRPr="004408AA">
        <w:t>“Gen-2”) standard.  UHF RFID systems</w:t>
      </w:r>
      <w:r w:rsidR="00886F4C">
        <w:t xml:space="preserve"> help identify objects by labeling them</w:t>
      </w:r>
      <w:r w:rsidR="00F25BD8" w:rsidRPr="004408AA">
        <w:t xml:space="preserve"> with chips that transmit UHF radio signals when scanned with </w:t>
      </w:r>
      <w:r w:rsidR="00484386" w:rsidRPr="004408AA">
        <w:t>UHF RFID readers</w:t>
      </w:r>
      <w:r w:rsidRPr="004408AA">
        <w:t xml:space="preserve">.  </w:t>
      </w:r>
      <w:r w:rsidR="00F25BD8" w:rsidRPr="004408AA">
        <w:t>T</w:t>
      </w:r>
      <w:r w:rsidRPr="004408AA">
        <w:t>he Consortium</w:t>
      </w:r>
      <w:r w:rsidR="00886F4C">
        <w:t>’s</w:t>
      </w:r>
      <w:r w:rsidRPr="004408AA">
        <w:t xml:space="preserve"> seven member companies hold patents that are essential to the </w:t>
      </w:r>
      <w:r w:rsidR="00F25BD8" w:rsidRPr="004408AA">
        <w:t>Gen-2 standard, meaning that the patented technology</w:t>
      </w:r>
      <w:r w:rsidRPr="004408AA">
        <w:t xml:space="preserve"> is</w:t>
      </w:r>
      <w:r w:rsidR="00484386" w:rsidRPr="004408AA">
        <w:t xml:space="preserve"> technically or economically necessary </w:t>
      </w:r>
      <w:r w:rsidR="00886F4C">
        <w:t>to implement</w:t>
      </w:r>
      <w:r w:rsidRPr="004408AA">
        <w:t xml:space="preserve"> the standard.  The Consortium’s members have agreed to give it the nonexclusive right to grant nonexclusive licenses to </w:t>
      </w:r>
      <w:r w:rsidR="00A1646D" w:rsidRPr="004408AA">
        <w:t>these essential patents.</w:t>
      </w:r>
      <w:r w:rsidRPr="004408AA">
        <w:t xml:space="preserve">  </w:t>
      </w:r>
      <w:r w:rsidR="00A1646D" w:rsidRPr="004408AA">
        <w:t>T</w:t>
      </w:r>
      <w:r w:rsidR="00803D82">
        <w:t>he Consortium members will split</w:t>
      </w:r>
      <w:r w:rsidR="00A1646D" w:rsidRPr="004408AA">
        <w:t xml:space="preserve"> the royalties, </w:t>
      </w:r>
      <w:r w:rsidR="00DD588D">
        <w:t xml:space="preserve">with </w:t>
      </w:r>
      <w:r w:rsidR="00803D82">
        <w:t>each member receiving a share based in part</w:t>
      </w:r>
      <w:r w:rsidR="00A1646D" w:rsidRPr="004408AA">
        <w:t xml:space="preserve"> on</w:t>
      </w:r>
      <w:r w:rsidRPr="004408AA">
        <w:t xml:space="preserve"> the number of patents </w:t>
      </w:r>
      <w:r w:rsidR="00803D82">
        <w:t>the member</w:t>
      </w:r>
      <w:r w:rsidRPr="004408AA">
        <w:t xml:space="preserve"> contribute</w:t>
      </w:r>
      <w:r w:rsidR="00803D82">
        <w:t>s</w:t>
      </w:r>
      <w:r w:rsidRPr="004408AA">
        <w:t xml:space="preserve"> to the pool.  The</w:t>
      </w:r>
      <w:r w:rsidR="00803D82">
        <w:t xml:space="preserve"> Consortium will grant</w:t>
      </w:r>
      <w:r w:rsidR="00DD588D">
        <w:t xml:space="preserve"> any potential licensee a </w:t>
      </w:r>
      <w:r w:rsidR="00A1646D" w:rsidRPr="004408AA">
        <w:t>license</w:t>
      </w:r>
      <w:r w:rsidR="00803D82">
        <w:t xml:space="preserve"> to the pooled patents under</w:t>
      </w:r>
      <w:r w:rsidR="00DD588D">
        <w:t xml:space="preserve"> </w:t>
      </w:r>
      <w:r w:rsidR="00DD588D" w:rsidRPr="004408AA">
        <w:t>reasonable and nondiscriminatory terms</w:t>
      </w:r>
      <w:r w:rsidR="00A1646D" w:rsidRPr="004408AA">
        <w:t>.  To obtain a licens</w:t>
      </w:r>
      <w:r w:rsidR="00886F4C">
        <w:t xml:space="preserve">e from the Consortium, </w:t>
      </w:r>
      <w:r w:rsidR="00A1646D" w:rsidRPr="004408AA">
        <w:t xml:space="preserve">licensees must grant back to the Consortium the nonexclusive right to </w:t>
      </w:r>
      <w:r w:rsidR="00484386" w:rsidRPr="004408AA">
        <w:t>license</w:t>
      </w:r>
      <w:r w:rsidR="00886F4C">
        <w:t xml:space="preserve"> their own</w:t>
      </w:r>
      <w:r w:rsidR="00A1646D" w:rsidRPr="004408AA">
        <w:t xml:space="preserve"> patents that are essential to the Gen-2 standard.  These licensees will then obtain part of the Consortium’s shared royalties.  Finally, the Consortium proposes appointing an independent license administrator to oversee the day-to-day operation of the licensing agreement.  </w:t>
      </w:r>
      <w:r w:rsidR="00886F4C">
        <w:t>The administrator will report o</w:t>
      </w:r>
      <w:r w:rsidR="008268AB" w:rsidRPr="004408AA">
        <w:t>nly aggregate</w:t>
      </w:r>
      <w:r w:rsidR="00484386" w:rsidRPr="004408AA">
        <w:t>d</w:t>
      </w:r>
      <w:r w:rsidR="008268AB" w:rsidRPr="004408AA">
        <w:t xml:space="preserve"> information to the Consortium members.</w:t>
      </w:r>
    </w:p>
    <w:p w:rsidR="0072453C" w:rsidRPr="004408AA" w:rsidRDefault="0072453C" w:rsidP="0072453C">
      <w:pPr>
        <w:tabs>
          <w:tab w:val="left" w:pos="3180"/>
        </w:tabs>
      </w:pPr>
      <w:r w:rsidRPr="004408AA">
        <w:tab/>
      </w:r>
    </w:p>
    <w:p w:rsidR="0072453C" w:rsidRPr="004408AA" w:rsidRDefault="008268AB" w:rsidP="0072453C">
      <w:r w:rsidRPr="004408AA">
        <w:tab/>
        <w:t xml:space="preserve">Response: </w:t>
      </w:r>
      <w:r w:rsidR="00A00617" w:rsidRPr="004408AA">
        <w:t xml:space="preserve">Applying the rule of reason, the Department has no present intention to challenge the Consortium’s proposal. </w:t>
      </w:r>
      <w:r w:rsidRPr="004408AA">
        <w:t xml:space="preserve">This patent pool </w:t>
      </w:r>
      <w:r w:rsidR="00886F4C">
        <w:t>is potentially procompetitive</w:t>
      </w:r>
      <w:r w:rsidR="00484386" w:rsidRPr="004408AA">
        <w:t xml:space="preserve"> because it will prevent</w:t>
      </w:r>
      <w:r w:rsidR="00A00617" w:rsidRPr="004408AA">
        <w:t xml:space="preserve"> Consortium members from </w:t>
      </w:r>
      <w:r w:rsidR="006A564B" w:rsidRPr="004408AA">
        <w:t>blocking access to</w:t>
      </w:r>
      <w:r w:rsidR="00886F4C">
        <w:t xml:space="preserve"> their patents.  Further,</w:t>
      </w:r>
      <w:r w:rsidR="006A564B" w:rsidRPr="004408AA">
        <w:t xml:space="preserve"> </w:t>
      </w:r>
      <w:r w:rsidR="00B57E2E" w:rsidRPr="004408AA">
        <w:t xml:space="preserve">the Consortium will </w:t>
      </w:r>
      <w:r w:rsidRPr="004408AA">
        <w:t xml:space="preserve">likely decrease transaction costs for </w:t>
      </w:r>
      <w:r w:rsidR="00B57E2E" w:rsidRPr="004408AA">
        <w:t>both its</w:t>
      </w:r>
      <w:r w:rsidRPr="004408AA">
        <w:t xml:space="preserve"> members and</w:t>
      </w:r>
      <w:r w:rsidR="00B57E2E" w:rsidRPr="004408AA">
        <w:t xml:space="preserve"> its</w:t>
      </w:r>
      <w:r w:rsidRPr="004408AA">
        <w:t xml:space="preserve"> licensees.  The patent pool also </w:t>
      </w:r>
      <w:r w:rsidR="00A00617" w:rsidRPr="004408AA">
        <w:t>has numerous safeguards</w:t>
      </w:r>
      <w:r w:rsidRPr="004408AA">
        <w:t xml:space="preserve"> </w:t>
      </w:r>
      <w:r w:rsidR="00A00617" w:rsidRPr="004408AA">
        <w:t>against harms to</w:t>
      </w:r>
      <w:r w:rsidRPr="004408AA">
        <w:t xml:space="preserve"> </w:t>
      </w:r>
      <w:r w:rsidR="00A00617" w:rsidRPr="004408AA">
        <w:t>competition</w:t>
      </w:r>
      <w:r w:rsidR="00B57E2E" w:rsidRPr="004408AA">
        <w:t>.  For example,</w:t>
      </w:r>
      <w:r w:rsidR="00A00617" w:rsidRPr="004408AA">
        <w:t xml:space="preserve"> p</w:t>
      </w:r>
      <w:r w:rsidRPr="004408AA">
        <w:t>atents that are invalidated will be removed from the pool; only complementary rather than substitut</w:t>
      </w:r>
      <w:r w:rsidR="002308BC">
        <w:t>e</w:t>
      </w:r>
      <w:r w:rsidRPr="004408AA">
        <w:t xml:space="preserve"> patent</w:t>
      </w:r>
      <w:r w:rsidR="00886F4C">
        <w:t xml:space="preserve">s are allowed in the pool; </w:t>
      </w:r>
      <w:r w:rsidR="00A00617" w:rsidRPr="004408AA">
        <w:t>the Consor</w:t>
      </w:r>
      <w:r w:rsidR="00886F4C">
        <w:t>tium likely</w:t>
      </w:r>
      <w:r w:rsidR="00DC5EF3">
        <w:t xml:space="preserve"> will</w:t>
      </w:r>
      <w:r w:rsidR="00886F4C">
        <w:t xml:space="preserve"> not harm downstream </w:t>
      </w:r>
      <w:r w:rsidR="00A00617" w:rsidRPr="004408AA">
        <w:t>markets</w:t>
      </w:r>
      <w:r w:rsidRPr="004408AA">
        <w:t xml:space="preserve"> because </w:t>
      </w:r>
      <w:r w:rsidR="00A00617" w:rsidRPr="004408AA">
        <w:t>it must issue licenses on nondiscriminatory terms and</w:t>
      </w:r>
      <w:r w:rsidRPr="004408AA">
        <w:t xml:space="preserve"> </w:t>
      </w:r>
      <w:r w:rsidR="00DD588D">
        <w:t xml:space="preserve">because Consortium members </w:t>
      </w:r>
      <w:r w:rsidR="00DC5EF3">
        <w:t xml:space="preserve">only </w:t>
      </w:r>
      <w:r w:rsidR="00DD588D">
        <w:t>will have access to</w:t>
      </w:r>
      <w:r w:rsidR="00886F4C">
        <w:t xml:space="preserve"> aggregated inf</w:t>
      </w:r>
      <w:r w:rsidR="00DD588D">
        <w:t>ormation about licensees</w:t>
      </w:r>
      <w:r w:rsidR="00A00617" w:rsidRPr="004408AA">
        <w:t xml:space="preserve">; </w:t>
      </w:r>
      <w:r w:rsidR="006A564B" w:rsidRPr="004408AA">
        <w:t xml:space="preserve">and </w:t>
      </w:r>
      <w:r w:rsidR="00A00617" w:rsidRPr="004408AA">
        <w:t>the grant back to the Consortium from licensees is nonexclusive and allows the licensee</w:t>
      </w:r>
      <w:r w:rsidR="00803D82">
        <w:t>s</w:t>
      </w:r>
      <w:r w:rsidR="00A00617" w:rsidRPr="004408AA">
        <w:t xml:space="preserve"> to join the shared royalty program</w:t>
      </w:r>
      <w:r w:rsidR="006A564B" w:rsidRPr="004408AA">
        <w:t xml:space="preserve">. </w:t>
      </w:r>
    </w:p>
    <w:p w:rsidR="009F4764" w:rsidRPr="004408AA" w:rsidRDefault="009F4764">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760"/>
        <w:gridCol w:w="2376"/>
      </w:tblGrid>
      <w:tr w:rsidR="0072453C" w:rsidRPr="004408AA" w:rsidTr="001C6E21">
        <w:tc>
          <w:tcPr>
            <w:tcW w:w="720" w:type="dxa"/>
            <w:tcMar>
              <w:left w:w="0" w:type="dxa"/>
              <w:right w:w="0" w:type="dxa"/>
            </w:tcMar>
          </w:tcPr>
          <w:p w:rsidR="0072453C" w:rsidRPr="004408AA" w:rsidRDefault="0072453C" w:rsidP="0072453C">
            <w:r w:rsidRPr="004408AA">
              <w:t>08-5</w:t>
            </w:r>
          </w:p>
        </w:tc>
        <w:tc>
          <w:tcPr>
            <w:tcW w:w="5760" w:type="dxa"/>
            <w:tcMar>
              <w:left w:w="0" w:type="dxa"/>
              <w:right w:w="0" w:type="dxa"/>
            </w:tcMar>
          </w:tcPr>
          <w:p w:rsidR="0072453C" w:rsidRPr="004408AA" w:rsidRDefault="00E30F67" w:rsidP="0072453C">
            <w:hyperlink r:id="rId13" w:history="1">
              <w:r w:rsidR="00FF490C" w:rsidRPr="003E335C">
                <w:rPr>
                  <w:rStyle w:val="Hyperlink"/>
                </w:rPr>
                <w:t>Ivy Capital Group, LLC</w:t>
              </w:r>
            </w:hyperlink>
          </w:p>
        </w:tc>
        <w:tc>
          <w:tcPr>
            <w:tcW w:w="2376" w:type="dxa"/>
            <w:tcMar>
              <w:left w:w="0" w:type="dxa"/>
              <w:right w:w="0" w:type="dxa"/>
            </w:tcMar>
          </w:tcPr>
          <w:p w:rsidR="0072453C" w:rsidRPr="004408AA" w:rsidRDefault="00FF490C" w:rsidP="0072453C">
            <w:r w:rsidRPr="004408AA">
              <w:t>11/24/</w:t>
            </w:r>
            <w:r w:rsidR="009E0EDD" w:rsidRPr="004408AA">
              <w:t>20</w:t>
            </w:r>
            <w:r w:rsidRPr="004408AA">
              <w:t>08</w:t>
            </w:r>
          </w:p>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72453C" w:rsidP="0072453C"/>
        </w:tc>
        <w:tc>
          <w:tcPr>
            <w:tcW w:w="237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917E91" w:rsidP="0072453C">
            <w:r w:rsidRPr="004408AA">
              <w:t>Insurance</w:t>
            </w:r>
          </w:p>
        </w:tc>
        <w:tc>
          <w:tcPr>
            <w:tcW w:w="2376" w:type="dxa"/>
            <w:tcMar>
              <w:left w:w="0" w:type="dxa"/>
              <w:right w:w="0" w:type="dxa"/>
            </w:tcMar>
          </w:tcPr>
          <w:p w:rsidR="0072453C" w:rsidRPr="004408AA" w:rsidRDefault="00716022" w:rsidP="0072453C">
            <w:r w:rsidRPr="004408AA">
              <w:t>Competitor Co</w:t>
            </w:r>
            <w:r w:rsidR="00093D3C" w:rsidRPr="004408AA">
              <w:t>llaboration</w:t>
            </w:r>
          </w:p>
        </w:tc>
      </w:tr>
    </w:tbl>
    <w:p w:rsidR="0072453C" w:rsidRPr="004408AA" w:rsidRDefault="0072453C" w:rsidP="0072453C"/>
    <w:p w:rsidR="0072453C" w:rsidRPr="004408AA" w:rsidRDefault="00716022" w:rsidP="0072453C">
      <w:r w:rsidRPr="004408AA">
        <w:tab/>
        <w:t xml:space="preserve">Facts: Ivy Capital Group, LLC (“Ivy”) proposes to form </w:t>
      </w:r>
      <w:proofErr w:type="spellStart"/>
      <w:r w:rsidRPr="004408AA">
        <w:t>Concepta</w:t>
      </w:r>
      <w:proofErr w:type="spellEnd"/>
      <w:r w:rsidRPr="004408AA">
        <w:t xml:space="preserve"> Services, LLC (“</w:t>
      </w:r>
      <w:proofErr w:type="spellStart"/>
      <w:r w:rsidRPr="004408AA">
        <w:t>Concepta</w:t>
      </w:r>
      <w:proofErr w:type="spellEnd"/>
      <w:r w:rsidRPr="004408AA">
        <w:t xml:space="preserve">”).  </w:t>
      </w:r>
      <w:proofErr w:type="spellStart"/>
      <w:r w:rsidRPr="004408AA">
        <w:t>Concepta</w:t>
      </w:r>
      <w:proofErr w:type="spellEnd"/>
      <w:r w:rsidRPr="004408AA">
        <w:t xml:space="preserve"> will</w:t>
      </w:r>
      <w:r w:rsidR="00DD1A6F" w:rsidRPr="004408AA">
        <w:t xml:space="preserve"> offer large commercial insurance policies (defined as policies for over $250 million) by</w:t>
      </w:r>
      <w:r w:rsidRPr="004408AA">
        <w:t xml:space="preserve"> </w:t>
      </w:r>
      <w:r w:rsidR="00DD1A6F" w:rsidRPr="004408AA">
        <w:t>consolidating</w:t>
      </w:r>
      <w:r w:rsidRPr="004408AA">
        <w:t xml:space="preserve"> the capacity of participating com</w:t>
      </w:r>
      <w:r w:rsidR="00DD588D">
        <w:t>mercial insurers that could not independently</w:t>
      </w:r>
      <w:r w:rsidRPr="004408AA">
        <w:t xml:space="preserve"> underwrite </w:t>
      </w:r>
      <w:r w:rsidR="00DD1A6F" w:rsidRPr="004408AA">
        <w:t xml:space="preserve">such </w:t>
      </w:r>
      <w:r w:rsidR="00DD588D">
        <w:t xml:space="preserve">large </w:t>
      </w:r>
      <w:r w:rsidR="00DD1A6F" w:rsidRPr="004408AA">
        <w:t>policies</w:t>
      </w:r>
      <w:r w:rsidRPr="004408AA">
        <w:t xml:space="preserve">.  </w:t>
      </w:r>
      <w:proofErr w:type="spellStart"/>
      <w:r w:rsidRPr="004408AA">
        <w:t>Concepta’s</w:t>
      </w:r>
      <w:proofErr w:type="spellEnd"/>
      <w:r w:rsidRPr="004408AA">
        <w:t xml:space="preserve"> likely participating ins</w:t>
      </w:r>
      <w:r w:rsidR="00DD1A6F" w:rsidRPr="004408AA">
        <w:t>urers currently generate approximately 5</w:t>
      </w:r>
      <w:r w:rsidR="00DC5EF3">
        <w:t xml:space="preserve"> percent</w:t>
      </w:r>
      <w:r w:rsidRPr="004408AA">
        <w:t xml:space="preserve"> of all premiums i</w:t>
      </w:r>
      <w:r w:rsidR="00DD1A6F" w:rsidRPr="004408AA">
        <w:t>n the large commercial insurance market</w:t>
      </w:r>
      <w:r w:rsidRPr="004408AA">
        <w:t>.</w:t>
      </w:r>
      <w:r w:rsidR="00DD1A6F" w:rsidRPr="004408AA">
        <w:t xml:space="preserve">  Ivy represents that it will recruit insurers that specialize in different submarkets, </w:t>
      </w:r>
      <w:r w:rsidR="00DD588D">
        <w:t>so</w:t>
      </w:r>
      <w:r w:rsidR="00DD1A6F" w:rsidRPr="004408AA">
        <w:t xml:space="preserve"> participating insurers will </w:t>
      </w:r>
      <w:r w:rsidR="00DD588D">
        <w:t xml:space="preserve">not </w:t>
      </w:r>
      <w:r w:rsidR="00DD1A6F" w:rsidRPr="004408AA">
        <w:t>have a substantial market share in any particular submarket.</w:t>
      </w:r>
    </w:p>
    <w:p w:rsidR="0072453C" w:rsidRPr="004408AA" w:rsidRDefault="0072453C" w:rsidP="0072453C">
      <w:pPr>
        <w:tabs>
          <w:tab w:val="left" w:pos="3180"/>
        </w:tabs>
      </w:pPr>
      <w:r w:rsidRPr="004408AA">
        <w:tab/>
      </w:r>
    </w:p>
    <w:p w:rsidR="0072453C" w:rsidRPr="004408AA" w:rsidRDefault="00DD1A6F" w:rsidP="0072453C">
      <w:r w:rsidRPr="004408AA">
        <w:tab/>
        <w:t xml:space="preserve">Response: The Department has no present intention </w:t>
      </w:r>
      <w:r w:rsidR="006A564B" w:rsidRPr="004408AA">
        <w:t>to challenge</w:t>
      </w:r>
      <w:r w:rsidRPr="004408AA">
        <w:t xml:space="preserve"> </w:t>
      </w:r>
      <w:proofErr w:type="spellStart"/>
      <w:r w:rsidRPr="004408AA">
        <w:t>Concepta</w:t>
      </w:r>
      <w:proofErr w:type="spellEnd"/>
      <w:r w:rsidRPr="004408AA">
        <w:t xml:space="preserve">, at least with respect to the large commercial insurance market.  </w:t>
      </w:r>
      <w:proofErr w:type="spellStart"/>
      <w:r w:rsidRPr="004408AA">
        <w:t>Concepta</w:t>
      </w:r>
      <w:proofErr w:type="spellEnd"/>
      <w:r w:rsidRPr="004408AA">
        <w:t xml:space="preserve"> could offer a new competitive option for </w:t>
      </w:r>
      <w:r w:rsidR="00B26206">
        <w:t>consumers</w:t>
      </w:r>
      <w:r w:rsidR="00DD588D">
        <w:t xml:space="preserve"> of </w:t>
      </w:r>
      <w:r w:rsidRPr="004408AA">
        <w:t>large commercial insurance policies.  Moreover, because the likely p</w:t>
      </w:r>
      <w:r w:rsidR="006A564B" w:rsidRPr="004408AA">
        <w:t>articipating insurers represent</w:t>
      </w:r>
      <w:r w:rsidRPr="004408AA">
        <w:t xml:space="preserve"> less than 20 percent of the large commercial insurance market, the proposal falls within the “antitrust safety zone” pro</w:t>
      </w:r>
      <w:r w:rsidR="006A564B" w:rsidRPr="004408AA">
        <w:t xml:space="preserve">vided by </w:t>
      </w:r>
      <w:r w:rsidRPr="004408AA">
        <w:t xml:space="preserve">Section 4.2 of the Department of Justice’s and Federal Trade Commission’s </w:t>
      </w:r>
      <w:r w:rsidRPr="004408AA">
        <w:rPr>
          <w:i/>
        </w:rPr>
        <w:t>Antitrust Guidelines for Collaborations Among Competitors</w:t>
      </w:r>
      <w:r w:rsidR="006A564B" w:rsidRPr="004408AA">
        <w:t xml:space="preserve"> (2000)</w:t>
      </w:r>
      <w:r w:rsidRPr="004408AA">
        <w:t xml:space="preserve">.  </w:t>
      </w:r>
      <w:r w:rsidR="00FD5BD2" w:rsidRPr="004408AA">
        <w:t>T</w:t>
      </w:r>
      <w:r w:rsidR="006A564B" w:rsidRPr="004408AA">
        <w:t>he Department does not consider</w:t>
      </w:r>
      <w:r w:rsidR="00FD5BD2" w:rsidRPr="004408AA">
        <w:t xml:space="preserve"> whether </w:t>
      </w:r>
      <w:proofErr w:type="spellStart"/>
      <w:r w:rsidR="00FD5BD2" w:rsidRPr="004408AA">
        <w:t>Concepta</w:t>
      </w:r>
      <w:proofErr w:type="spellEnd"/>
      <w:r w:rsidR="00FD5BD2" w:rsidRPr="004408AA">
        <w:t xml:space="preserve"> is likely to reduce competition in the smaller</w:t>
      </w:r>
      <w:r w:rsidR="003E335C">
        <w:t xml:space="preserve"> commercial</w:t>
      </w:r>
      <w:r w:rsidR="00FD5BD2" w:rsidRPr="004408AA">
        <w:t xml:space="preserve"> insurance policy market </w:t>
      </w:r>
      <w:r w:rsidR="006A564B" w:rsidRPr="004408AA">
        <w:t xml:space="preserve">because </w:t>
      </w:r>
      <w:r w:rsidR="00B26206">
        <w:t xml:space="preserve">the </w:t>
      </w:r>
      <w:r w:rsidR="00B26206" w:rsidRPr="004408AA">
        <w:t>Department</w:t>
      </w:r>
      <w:r w:rsidR="006A564B" w:rsidRPr="004408AA">
        <w:t xml:space="preserve"> </w:t>
      </w:r>
      <w:r w:rsidR="00F047AD" w:rsidRPr="004408AA">
        <w:t>currently</w:t>
      </w:r>
      <w:r w:rsidR="006A564B" w:rsidRPr="004408AA">
        <w:t xml:space="preserve"> lacks sufficient information about</w:t>
      </w:r>
      <w:r w:rsidR="00F047AD" w:rsidRPr="004408AA">
        <w:t xml:space="preserve"> </w:t>
      </w:r>
      <w:proofErr w:type="spellStart"/>
      <w:r w:rsidR="00F047AD" w:rsidRPr="004408AA">
        <w:t>Concepta’s</w:t>
      </w:r>
      <w:proofErr w:type="spellEnd"/>
      <w:r w:rsidR="00F047AD" w:rsidRPr="004408AA">
        <w:t xml:space="preserve"> safeguards </w:t>
      </w:r>
      <w:r w:rsidR="00B26206">
        <w:t xml:space="preserve">against its members’ collaboration </w:t>
      </w:r>
      <w:r w:rsidR="00DC5EF3">
        <w:t xml:space="preserve">in </w:t>
      </w:r>
      <w:r w:rsidR="00B26206">
        <w:t>the smaller insurance market</w:t>
      </w:r>
      <w:r w:rsidR="00F047AD" w:rsidRPr="004408AA">
        <w:t>.</w:t>
      </w:r>
    </w:p>
    <w:p w:rsidR="0072453C" w:rsidRPr="004408AA" w:rsidRDefault="00B26206" w:rsidP="00B26206">
      <w:pPr>
        <w:tabs>
          <w:tab w:val="left" w:pos="2880"/>
        </w:tabs>
      </w:pPr>
      <w:r>
        <w:tab/>
      </w:r>
    </w:p>
    <w:p w:rsidR="006A564B" w:rsidRPr="00AC53EE" w:rsidRDefault="009F4764" w:rsidP="009F4764">
      <w:pPr>
        <w:jc w:val="center"/>
        <w:rPr>
          <w:b/>
          <w:caps/>
        </w:rPr>
      </w:pPr>
      <w:r w:rsidRPr="004408AA">
        <w:br w:type="page"/>
      </w:r>
      <w:r w:rsidR="006A564B" w:rsidRPr="00AC53EE">
        <w:rPr>
          <w:b/>
          <w:caps/>
        </w:rPr>
        <w:lastRenderedPageBreak/>
        <w:t>Digest of Business Reviews</w:t>
      </w:r>
    </w:p>
    <w:p w:rsidR="006A564B" w:rsidRPr="004408AA" w:rsidRDefault="006A564B" w:rsidP="009F4764">
      <w:pPr>
        <w:jc w:val="center"/>
      </w:pPr>
    </w:p>
    <w:p w:rsidR="009F4764" w:rsidRPr="004408AA" w:rsidRDefault="009F4764" w:rsidP="009F4764">
      <w:pPr>
        <w:jc w:val="center"/>
        <w:rPr>
          <w:b/>
        </w:rPr>
      </w:pPr>
      <w:r w:rsidRPr="004408AA">
        <w:rPr>
          <w:b/>
        </w:rPr>
        <w:t>2009</w:t>
      </w:r>
    </w:p>
    <w:p w:rsidR="009F4764" w:rsidRPr="004408AA" w:rsidRDefault="009F4764" w:rsidP="009F4764">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760"/>
        <w:gridCol w:w="2376"/>
      </w:tblGrid>
      <w:tr w:rsidR="0072453C" w:rsidRPr="004408AA" w:rsidTr="001C6E21">
        <w:tc>
          <w:tcPr>
            <w:tcW w:w="720" w:type="dxa"/>
            <w:tcMar>
              <w:left w:w="0" w:type="dxa"/>
              <w:right w:w="0" w:type="dxa"/>
            </w:tcMar>
          </w:tcPr>
          <w:p w:rsidR="0072453C" w:rsidRPr="004408AA" w:rsidRDefault="0072453C" w:rsidP="0072453C">
            <w:r w:rsidRPr="004408AA">
              <w:t>09-1</w:t>
            </w:r>
          </w:p>
        </w:tc>
        <w:tc>
          <w:tcPr>
            <w:tcW w:w="5760" w:type="dxa"/>
            <w:tcMar>
              <w:left w:w="0" w:type="dxa"/>
              <w:right w:w="0" w:type="dxa"/>
            </w:tcMar>
          </w:tcPr>
          <w:p w:rsidR="0072453C" w:rsidRPr="004408AA" w:rsidRDefault="00E30F67" w:rsidP="00083EB3">
            <w:hyperlink r:id="rId14" w:history="1">
              <w:r w:rsidR="0072453C" w:rsidRPr="003E335C">
                <w:rPr>
                  <w:rStyle w:val="Hyperlink"/>
                </w:rPr>
                <w:t>Memorial Health, Inc. and St. Joseph’s/Candler Health System</w:t>
              </w:r>
            </w:hyperlink>
          </w:p>
        </w:tc>
        <w:tc>
          <w:tcPr>
            <w:tcW w:w="2376" w:type="dxa"/>
            <w:tcMar>
              <w:left w:w="0" w:type="dxa"/>
              <w:right w:w="0" w:type="dxa"/>
            </w:tcMar>
          </w:tcPr>
          <w:p w:rsidR="0072453C" w:rsidRPr="004408AA" w:rsidRDefault="0072453C" w:rsidP="0072453C">
            <w:r w:rsidRPr="004408AA">
              <w:t>09/04/2009</w:t>
            </w:r>
          </w:p>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72453C" w:rsidP="0072453C"/>
        </w:tc>
        <w:tc>
          <w:tcPr>
            <w:tcW w:w="237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083EB3" w:rsidP="0072453C">
            <w:r w:rsidRPr="004408AA">
              <w:t>Hospital Services</w:t>
            </w:r>
          </w:p>
        </w:tc>
        <w:tc>
          <w:tcPr>
            <w:tcW w:w="2376" w:type="dxa"/>
            <w:tcMar>
              <w:left w:w="0" w:type="dxa"/>
              <w:right w:w="0" w:type="dxa"/>
            </w:tcMar>
          </w:tcPr>
          <w:p w:rsidR="0072453C" w:rsidRPr="004408AA" w:rsidRDefault="00083EB3" w:rsidP="0039527C">
            <w:r w:rsidRPr="004408AA">
              <w:t xml:space="preserve">Joint Purchasing </w:t>
            </w:r>
          </w:p>
        </w:tc>
      </w:tr>
    </w:tbl>
    <w:p w:rsidR="0072453C" w:rsidRPr="004408AA" w:rsidRDefault="0072453C" w:rsidP="0072453C"/>
    <w:p w:rsidR="0072453C" w:rsidRPr="004408AA" w:rsidRDefault="0072453C" w:rsidP="0072453C">
      <w:r w:rsidRPr="004408AA">
        <w:tab/>
        <w:t>Facts: Memorial and St. Joseph</w:t>
      </w:r>
      <w:r w:rsidR="00083EB3" w:rsidRPr="004408AA">
        <w:t>’</w:t>
      </w:r>
      <w:r w:rsidRPr="004408AA">
        <w:t>s/Candler are 501(c</w:t>
      </w:r>
      <w:proofErr w:type="gramStart"/>
      <w:r w:rsidRPr="004408AA">
        <w:t>)(</w:t>
      </w:r>
      <w:proofErr w:type="gramEnd"/>
      <w:r w:rsidRPr="004408AA">
        <w:t>3) non-profit organizations that own acute tertiary care hospitals in Savannah, Georgia, that serve Southeast Georgia and the low-country area of South Carolina. Memorial owns and operates the Memorial Health Univer</w:t>
      </w:r>
      <w:r w:rsidR="00083EB3" w:rsidRPr="004408AA">
        <w:t>sity Medical Center. St. Joseph’</w:t>
      </w:r>
      <w:r w:rsidRPr="004408AA">
        <w:t>s/Candl</w:t>
      </w:r>
      <w:r w:rsidR="00083EB3" w:rsidRPr="004408AA">
        <w:t xml:space="preserve">er </w:t>
      </w:r>
      <w:proofErr w:type="gramStart"/>
      <w:r w:rsidR="00083EB3" w:rsidRPr="004408AA">
        <w:t>owns</w:t>
      </w:r>
      <w:proofErr w:type="gramEnd"/>
      <w:r w:rsidR="00083EB3" w:rsidRPr="004408AA">
        <w:t xml:space="preserve"> and operates St. Joseph’</w:t>
      </w:r>
      <w:r w:rsidRPr="004408AA">
        <w:t>s Hospital and Candler Hospital. Under the proposed agreement, Memorial and St. Joseph</w:t>
      </w:r>
      <w:r w:rsidR="00083EB3" w:rsidRPr="004408AA">
        <w:t>’</w:t>
      </w:r>
      <w:r w:rsidRPr="004408AA">
        <w:t>s/Candler would jointly evaluate medical and surgical products, designate suppliers, and negotiate prices and other terms with them.</w:t>
      </w:r>
    </w:p>
    <w:p w:rsidR="0072453C" w:rsidRPr="004408AA" w:rsidRDefault="0072453C" w:rsidP="0072453C">
      <w:pPr>
        <w:tabs>
          <w:tab w:val="left" w:pos="3180"/>
        </w:tabs>
      </w:pPr>
      <w:r w:rsidRPr="004408AA">
        <w:tab/>
      </w:r>
    </w:p>
    <w:p w:rsidR="0072453C" w:rsidRPr="004408AA" w:rsidRDefault="0072453C" w:rsidP="0072453C">
      <w:r w:rsidRPr="004408AA">
        <w:tab/>
        <w:t xml:space="preserve">Response: </w:t>
      </w:r>
      <w:r w:rsidR="007C084C" w:rsidRPr="004408AA">
        <w:t>The Department has no present inten</w:t>
      </w:r>
      <w:r w:rsidR="00083EB3" w:rsidRPr="004408AA">
        <w:t>tion to challenge this joint purchasing agreement.</w:t>
      </w:r>
      <w:r w:rsidR="007C084C" w:rsidRPr="004408AA">
        <w:t xml:space="preserve"> </w:t>
      </w:r>
      <w:r w:rsidRPr="004408AA">
        <w:t>The proposed joint purchasing agreement may yield volume discounts and reduced transaction costs for the hospitals and ultimately could result in lower costs and increased hospital services for consumers. Furthermore, the proposal meets the requirements of the antitrust safety zone set forth i</w:t>
      </w:r>
      <w:r w:rsidR="00083EB3" w:rsidRPr="004408AA">
        <w:t>n Statement 7 of the Department’</w:t>
      </w:r>
      <w:r w:rsidRPr="004408AA">
        <w:t>s and Federal Trade Commission</w:t>
      </w:r>
      <w:r w:rsidR="00083EB3" w:rsidRPr="004408AA">
        <w:t>’</w:t>
      </w:r>
      <w:r w:rsidRPr="004408AA">
        <w:t xml:space="preserve">s </w:t>
      </w:r>
      <w:r w:rsidRPr="004408AA">
        <w:rPr>
          <w:i/>
          <w:iCs/>
        </w:rPr>
        <w:t>Statements of Antitrust Enforcement Policy in Health Care</w:t>
      </w:r>
      <w:r w:rsidR="00C25494">
        <w:rPr>
          <w:iCs/>
        </w:rPr>
        <w:t xml:space="preserve"> (1996)</w:t>
      </w:r>
      <w:r w:rsidRPr="004408AA">
        <w:t>. The safety zone requires that the cost of all products purchased through the joint purchasing agreement account for less than 20 percent of the total revenue of all products and services sold by each participant in the agreement. It also requires that products purchased through the joint purchasing agreement from a given supplier account for less than 35 percent of that supplier</w:t>
      </w:r>
      <w:r w:rsidR="00083EB3" w:rsidRPr="004408AA">
        <w:t>’</w:t>
      </w:r>
      <w:r w:rsidRPr="004408AA">
        <w:t xml:space="preserve">s sale of those products in the relevant </w:t>
      </w:r>
      <w:r w:rsidR="00083EB3" w:rsidRPr="004408AA">
        <w:t>market. Memorial and St. Joseph’</w:t>
      </w:r>
      <w:r w:rsidRPr="004408AA">
        <w:t xml:space="preserve">s/Candler represented that they will </w:t>
      </w:r>
      <w:r w:rsidR="00DC5EF3">
        <w:t>meet the safety zone requirements</w:t>
      </w:r>
      <w:r w:rsidRPr="004408AA">
        <w:t>.</w:t>
      </w:r>
    </w:p>
    <w:p w:rsidR="00A777BF" w:rsidRDefault="00DC5EF3">
      <w:pPr>
        <w:tabs>
          <w:tab w:val="left" w:pos="7142"/>
        </w:tabs>
      </w:pPr>
      <w:r>
        <w:tab/>
      </w:r>
    </w:p>
    <w:p w:rsidR="009F4764" w:rsidRPr="004408AA" w:rsidRDefault="009F4764">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850"/>
        <w:gridCol w:w="2286"/>
      </w:tblGrid>
      <w:tr w:rsidR="0072453C" w:rsidRPr="004408AA" w:rsidTr="001C6E21">
        <w:tc>
          <w:tcPr>
            <w:tcW w:w="720" w:type="dxa"/>
            <w:tcMar>
              <w:left w:w="0" w:type="dxa"/>
              <w:right w:w="0" w:type="dxa"/>
            </w:tcMar>
          </w:tcPr>
          <w:p w:rsidR="0072453C" w:rsidRPr="004408AA" w:rsidRDefault="0072453C" w:rsidP="0072453C">
            <w:r w:rsidRPr="004408AA">
              <w:t>09-2</w:t>
            </w:r>
          </w:p>
        </w:tc>
        <w:tc>
          <w:tcPr>
            <w:tcW w:w="5850" w:type="dxa"/>
            <w:tcMar>
              <w:left w:w="0" w:type="dxa"/>
              <w:right w:w="0" w:type="dxa"/>
            </w:tcMar>
          </w:tcPr>
          <w:p w:rsidR="0072453C" w:rsidRPr="004408AA" w:rsidRDefault="00E30F67" w:rsidP="0072453C">
            <w:hyperlink r:id="rId15" w:history="1">
              <w:r w:rsidR="00083EB3" w:rsidRPr="003E335C">
                <w:rPr>
                  <w:rStyle w:val="Hyperlink"/>
                </w:rPr>
                <w:t>The Reliance Network</w:t>
              </w:r>
            </w:hyperlink>
          </w:p>
        </w:tc>
        <w:tc>
          <w:tcPr>
            <w:tcW w:w="2286" w:type="dxa"/>
            <w:tcMar>
              <w:left w:w="0" w:type="dxa"/>
              <w:right w:w="0" w:type="dxa"/>
            </w:tcMar>
          </w:tcPr>
          <w:p w:rsidR="0072453C" w:rsidRPr="004408AA" w:rsidRDefault="00083EB3" w:rsidP="0072453C">
            <w:r w:rsidRPr="004408AA">
              <w:t>09/08/</w:t>
            </w:r>
            <w:r w:rsidR="009E0EDD" w:rsidRPr="004408AA">
              <w:t>20</w:t>
            </w:r>
            <w:r w:rsidRPr="004408AA">
              <w:t>09</w:t>
            </w:r>
          </w:p>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72453C" w:rsidP="0072453C"/>
        </w:tc>
        <w:tc>
          <w:tcPr>
            <w:tcW w:w="228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8D2501" w:rsidP="0072453C">
            <w:r w:rsidRPr="004408AA">
              <w:t>Transportation Services</w:t>
            </w:r>
          </w:p>
        </w:tc>
        <w:tc>
          <w:tcPr>
            <w:tcW w:w="2286" w:type="dxa"/>
            <w:tcMar>
              <w:left w:w="0" w:type="dxa"/>
              <w:right w:w="0" w:type="dxa"/>
            </w:tcMar>
          </w:tcPr>
          <w:p w:rsidR="0072453C" w:rsidRPr="004408AA" w:rsidRDefault="008D2501" w:rsidP="0072453C">
            <w:r w:rsidRPr="004408AA">
              <w:t>Joint Venture</w:t>
            </w:r>
          </w:p>
        </w:tc>
      </w:tr>
    </w:tbl>
    <w:p w:rsidR="0072453C" w:rsidRPr="004408AA" w:rsidRDefault="0072453C" w:rsidP="0072453C"/>
    <w:p w:rsidR="0072453C" w:rsidRPr="004408AA" w:rsidRDefault="008D2501" w:rsidP="0072453C">
      <w:r w:rsidRPr="004408AA">
        <w:tab/>
        <w:t xml:space="preserve">Facts: The Reliance Network </w:t>
      </w:r>
      <w:r w:rsidR="00716022" w:rsidRPr="004408AA">
        <w:t>(“Reliance”) is a joint venture between</w:t>
      </w:r>
      <w:r w:rsidRPr="004408AA">
        <w:t xml:space="preserve"> numerous regional companies that provide less-than truckload (“LTL”) freight transportation</w:t>
      </w:r>
      <w:r w:rsidR="00716022" w:rsidRPr="004408AA">
        <w:t>.  Reliance</w:t>
      </w:r>
      <w:r w:rsidRPr="004408AA">
        <w:t xml:space="preserve"> </w:t>
      </w:r>
      <w:r w:rsidR="00DC5EF3">
        <w:t>plans</w:t>
      </w:r>
      <w:r w:rsidR="00DC5EF3" w:rsidRPr="004408AA">
        <w:t xml:space="preserve"> </w:t>
      </w:r>
      <w:r w:rsidRPr="004408AA">
        <w:t xml:space="preserve">to compete with nationwide LTL transportation companies.  While the Surface Transportation </w:t>
      </w:r>
      <w:r w:rsidR="006A2128">
        <w:t>Board has approved some of Reliance’s</w:t>
      </w:r>
      <w:r w:rsidRPr="004408AA">
        <w:t xml:space="preserve"> proposed policies, </w:t>
      </w:r>
      <w:r w:rsidR="00716022" w:rsidRPr="004408AA">
        <w:t xml:space="preserve">thereby </w:t>
      </w:r>
      <w:r w:rsidRPr="004408AA">
        <w:t xml:space="preserve">exempting these policies from antitrust law, </w:t>
      </w:r>
      <w:r w:rsidR="00716022" w:rsidRPr="004408AA">
        <w:t>Reliance</w:t>
      </w:r>
      <w:r w:rsidRPr="004408AA">
        <w:t xml:space="preserve"> represents that it needs to implement several additional policies to be able to compete with nationwide LTL tran</w:t>
      </w:r>
      <w:r w:rsidR="006A2128">
        <w:t>sportation companies.  First, Reliance</w:t>
      </w:r>
      <w:r w:rsidRPr="004408AA">
        <w:t xml:space="preserve"> proposes to implement procedures for collaborative pricing when a customer contacts a </w:t>
      </w:r>
      <w:r w:rsidR="006A2128">
        <w:t xml:space="preserve">Reliance member about LTL services </w:t>
      </w:r>
      <w:r w:rsidR="007A1F8C">
        <w:t>that will originate</w:t>
      </w:r>
      <w:r w:rsidRPr="004408AA">
        <w:t xml:space="preserve"> in the regions of multiple Reliance companies.  Reliance represents that it</w:t>
      </w:r>
      <w:r w:rsidR="006A564B" w:rsidRPr="004408AA">
        <w:t>s members</w:t>
      </w:r>
      <w:r w:rsidRPr="004408AA">
        <w:t xml:space="preserve"> will not collaborate on other pricing.  Second, it proposes to</w:t>
      </w:r>
      <w:r w:rsidR="006A564B" w:rsidRPr="004408AA">
        <w:t xml:space="preserve"> implement procedures to prevent</w:t>
      </w:r>
      <w:r w:rsidRPr="004408AA">
        <w:t xml:space="preserve"> a Reliance </w:t>
      </w:r>
      <w:r w:rsidR="006A564B" w:rsidRPr="004408AA">
        <w:t xml:space="preserve">member </w:t>
      </w:r>
      <w:r w:rsidRPr="004408AA">
        <w:t>company from expanding into another me</w:t>
      </w:r>
      <w:r w:rsidR="00C9528B" w:rsidRPr="004408AA">
        <w:t xml:space="preserve">mber’s territory without consent.  If the </w:t>
      </w:r>
      <w:r w:rsidR="007A1F8C">
        <w:t>company does not obtain</w:t>
      </w:r>
      <w:r w:rsidR="00C9528B" w:rsidRPr="004408AA">
        <w:t xml:space="preserve"> consent, either Reliance or the company may </w:t>
      </w:r>
      <w:r w:rsidR="006A564B" w:rsidRPr="004408AA">
        <w:t>withdraw the company</w:t>
      </w:r>
      <w:r w:rsidR="00C9528B" w:rsidRPr="004408AA">
        <w:t xml:space="preserve"> from the network.  Reliance represents that no member company or combination of member companies maintains over 20 percent of the market share in any region.</w:t>
      </w:r>
    </w:p>
    <w:p w:rsidR="0072453C" w:rsidRPr="004408AA" w:rsidRDefault="0072453C" w:rsidP="0072453C">
      <w:pPr>
        <w:tabs>
          <w:tab w:val="left" w:pos="3180"/>
        </w:tabs>
      </w:pPr>
      <w:r w:rsidRPr="004408AA">
        <w:tab/>
      </w:r>
    </w:p>
    <w:p w:rsidR="0072453C" w:rsidRPr="004408AA" w:rsidRDefault="00C9528B" w:rsidP="0072453C">
      <w:r w:rsidRPr="004408AA">
        <w:tab/>
        <w:t>Response: The Depart</w:t>
      </w:r>
      <w:r w:rsidR="006A564B" w:rsidRPr="004408AA">
        <w:t>ment has no present intention to challenge</w:t>
      </w:r>
      <w:r w:rsidRPr="004408AA">
        <w:t xml:space="preserve"> </w:t>
      </w:r>
      <w:r w:rsidR="00224D35">
        <w:t>Reliance’s</w:t>
      </w:r>
      <w:r w:rsidRPr="004408AA">
        <w:t xml:space="preserve"> proposals.  The establishment of Reliance may promote competition by providing an additional</w:t>
      </w:r>
      <w:r w:rsidR="006A564B" w:rsidRPr="004408AA">
        <w:t xml:space="preserve"> nationwide LTL</w:t>
      </w:r>
      <w:r w:rsidRPr="004408AA">
        <w:t xml:space="preserve"> option</w:t>
      </w:r>
      <w:r w:rsidR="00224D35">
        <w:t>.  Further, Reliance’s</w:t>
      </w:r>
      <w:r w:rsidRPr="004408AA">
        <w:t xml:space="preserve"> proposals are unlikely to produce anticompetitive effects because no member has a significant share of LTL shipments within its own region, and</w:t>
      </w:r>
      <w:r w:rsidR="00716022" w:rsidRPr="004408AA">
        <w:t xml:space="preserve"> it is unlikely that, absent Reliance</w:t>
      </w:r>
      <w:r w:rsidRPr="004408AA">
        <w:t>, any member would be a</w:t>
      </w:r>
      <w:r w:rsidR="006A564B" w:rsidRPr="004408AA">
        <w:t xml:space="preserve"> significant current or future</w:t>
      </w:r>
      <w:r w:rsidRPr="004408AA">
        <w:t xml:space="preserve"> rival to any other member company.  The Department notes, however, that Rel</w:t>
      </w:r>
      <w:r w:rsidR="00224D35">
        <w:t>iance will need to be careful about</w:t>
      </w:r>
      <w:r w:rsidRPr="004408AA">
        <w:t xml:space="preserve"> avoid</w:t>
      </w:r>
      <w:r w:rsidR="00224D35">
        <w:t>ing</w:t>
      </w:r>
      <w:r w:rsidRPr="004408AA">
        <w:t xml:space="preserve"> collaborative rate-setting between member companies that become actual competitors</w:t>
      </w:r>
      <w:r w:rsidR="00224D35">
        <w:t xml:space="preserve"> (</w:t>
      </w:r>
      <w:r w:rsidR="006A564B" w:rsidRPr="004408AA">
        <w:t>which could hap</w:t>
      </w:r>
      <w:r w:rsidR="00224D35">
        <w:t>pen if a member company obtains</w:t>
      </w:r>
      <w:r w:rsidRPr="004408AA">
        <w:t xml:space="preserve"> consent to compete in another member company’s territory</w:t>
      </w:r>
      <w:r w:rsidR="00224D35">
        <w:t>)</w:t>
      </w:r>
      <w:r w:rsidRPr="004408AA">
        <w:t>.</w:t>
      </w:r>
    </w:p>
    <w:p w:rsidR="0072453C" w:rsidRPr="004408AA" w:rsidRDefault="0072453C" w:rsidP="0072453C"/>
    <w:p w:rsidR="006A564B" w:rsidRPr="00AC53EE" w:rsidRDefault="009F4764" w:rsidP="008D1F6F">
      <w:pPr>
        <w:jc w:val="center"/>
        <w:rPr>
          <w:b/>
          <w:caps/>
        </w:rPr>
      </w:pPr>
      <w:r w:rsidRPr="004408AA">
        <w:rPr>
          <w:b/>
        </w:rPr>
        <w:br w:type="page"/>
      </w:r>
      <w:r w:rsidR="006A564B" w:rsidRPr="00AC53EE">
        <w:rPr>
          <w:b/>
          <w:caps/>
        </w:rPr>
        <w:lastRenderedPageBreak/>
        <w:t>Digest of Business Reviews</w:t>
      </w:r>
    </w:p>
    <w:p w:rsidR="006A564B" w:rsidRPr="004408AA" w:rsidRDefault="006A564B" w:rsidP="008D1F6F">
      <w:pPr>
        <w:jc w:val="center"/>
      </w:pPr>
    </w:p>
    <w:p w:rsidR="009F4764" w:rsidRPr="004408AA" w:rsidRDefault="008641DA" w:rsidP="008D1F6F">
      <w:pPr>
        <w:jc w:val="center"/>
        <w:rPr>
          <w:b/>
        </w:rPr>
      </w:pPr>
      <w:r w:rsidRPr="004408AA">
        <w:rPr>
          <w:b/>
        </w:rPr>
        <w:t>2010</w:t>
      </w:r>
    </w:p>
    <w:p w:rsidR="008D1F6F" w:rsidRPr="004408AA" w:rsidRDefault="008D1F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850"/>
        <w:gridCol w:w="2286"/>
      </w:tblGrid>
      <w:tr w:rsidR="0072453C" w:rsidRPr="004408AA" w:rsidTr="001C6E21">
        <w:tc>
          <w:tcPr>
            <w:tcW w:w="720" w:type="dxa"/>
            <w:tcMar>
              <w:left w:w="0" w:type="dxa"/>
              <w:right w:w="0" w:type="dxa"/>
            </w:tcMar>
          </w:tcPr>
          <w:p w:rsidR="0072453C" w:rsidRPr="004408AA" w:rsidRDefault="0072453C" w:rsidP="0072453C">
            <w:r w:rsidRPr="004408AA">
              <w:t>10-1</w:t>
            </w:r>
          </w:p>
        </w:tc>
        <w:tc>
          <w:tcPr>
            <w:tcW w:w="5850" w:type="dxa"/>
            <w:tcMar>
              <w:left w:w="0" w:type="dxa"/>
              <w:right w:w="0" w:type="dxa"/>
            </w:tcMar>
          </w:tcPr>
          <w:p w:rsidR="0072453C" w:rsidRPr="004408AA" w:rsidRDefault="00E30F67" w:rsidP="0072453C">
            <w:hyperlink r:id="rId16" w:history="1">
              <w:proofErr w:type="spellStart"/>
              <w:r w:rsidR="008D1F6F" w:rsidRPr="00F31B42">
                <w:rPr>
                  <w:rStyle w:val="Hyperlink"/>
                </w:rPr>
                <w:t>MyWire</w:t>
              </w:r>
              <w:proofErr w:type="spellEnd"/>
              <w:r w:rsidR="008D1F6F" w:rsidRPr="00F31B42">
                <w:rPr>
                  <w:rStyle w:val="Hyperlink"/>
                </w:rPr>
                <w:t>, Inc.</w:t>
              </w:r>
            </w:hyperlink>
          </w:p>
        </w:tc>
        <w:tc>
          <w:tcPr>
            <w:tcW w:w="2286" w:type="dxa"/>
            <w:tcMar>
              <w:left w:w="0" w:type="dxa"/>
              <w:right w:w="0" w:type="dxa"/>
            </w:tcMar>
          </w:tcPr>
          <w:p w:rsidR="0072453C" w:rsidRPr="004408AA" w:rsidRDefault="008D1F6F" w:rsidP="0072453C">
            <w:r w:rsidRPr="004408AA">
              <w:t>02/24/2010</w:t>
            </w:r>
          </w:p>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72453C" w:rsidP="0072453C"/>
        </w:tc>
        <w:tc>
          <w:tcPr>
            <w:tcW w:w="228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8641DA" w:rsidP="0072453C">
            <w:r w:rsidRPr="004408AA">
              <w:t>Internet News Services</w:t>
            </w:r>
          </w:p>
        </w:tc>
        <w:tc>
          <w:tcPr>
            <w:tcW w:w="2286" w:type="dxa"/>
            <w:tcMar>
              <w:left w:w="0" w:type="dxa"/>
              <w:right w:w="0" w:type="dxa"/>
            </w:tcMar>
          </w:tcPr>
          <w:p w:rsidR="0072453C" w:rsidRPr="004408AA" w:rsidRDefault="0039527C" w:rsidP="0072453C">
            <w:r w:rsidRPr="004408AA">
              <w:t>Vertical Practice (Misc.)</w:t>
            </w:r>
          </w:p>
        </w:tc>
      </w:tr>
    </w:tbl>
    <w:p w:rsidR="0072453C" w:rsidRPr="004408AA" w:rsidRDefault="0072453C" w:rsidP="0072453C"/>
    <w:p w:rsidR="0072453C" w:rsidRPr="004408AA" w:rsidRDefault="008D1F6F" w:rsidP="0072453C">
      <w:r w:rsidRPr="004408AA">
        <w:tab/>
        <w:t xml:space="preserve">Facts: </w:t>
      </w:r>
      <w:proofErr w:type="spellStart"/>
      <w:r w:rsidRPr="004408AA">
        <w:t>MyWire</w:t>
      </w:r>
      <w:proofErr w:type="spellEnd"/>
      <w:r w:rsidRPr="004408AA">
        <w:t>, Inc. (“</w:t>
      </w:r>
      <w:proofErr w:type="spellStart"/>
      <w:r w:rsidRPr="004408AA">
        <w:t>MyWire</w:t>
      </w:r>
      <w:proofErr w:type="spellEnd"/>
      <w:r w:rsidRPr="004408AA">
        <w:t>”) proposes to develop and operate an Internet media subscription news aggregation service, the Global News Service (“GNS”).</w:t>
      </w:r>
      <w:r w:rsidR="005F4A60" w:rsidRPr="004408AA">
        <w:t xml:space="preserve">  </w:t>
      </w:r>
      <w:proofErr w:type="spellStart"/>
      <w:r w:rsidR="005F4A60" w:rsidRPr="004408AA">
        <w:t>MyWire</w:t>
      </w:r>
      <w:proofErr w:type="spellEnd"/>
      <w:r w:rsidR="005F4A60" w:rsidRPr="004408AA">
        <w:t>, which does not provide any news content itself, proposes to implement GN</w:t>
      </w:r>
      <w:r w:rsidR="00F31B42">
        <w:t>S by entering into vertical non</w:t>
      </w:r>
      <w:r w:rsidR="005F4A60" w:rsidRPr="004408AA">
        <w:t xml:space="preserve">exclusive agreements with news publishers.  GNS will provide a client publisher with </w:t>
      </w:r>
      <w:r w:rsidR="006A2128">
        <w:t>blocks</w:t>
      </w:r>
      <w:r w:rsidR="005F4A60" w:rsidRPr="004408AA">
        <w:t xml:space="preserve"> that can appear</w:t>
      </w:r>
      <w:r w:rsidR="006A564B" w:rsidRPr="004408AA">
        <w:t xml:space="preserve"> alongside </w:t>
      </w:r>
      <w:r w:rsidR="007A1F8C">
        <w:t>the publisher’s</w:t>
      </w:r>
      <w:r w:rsidR="006A564B" w:rsidRPr="004408AA">
        <w:t xml:space="preserve"> own news content.  These </w:t>
      </w:r>
      <w:r w:rsidR="006A2128">
        <w:t>blocks</w:t>
      </w:r>
      <w:r w:rsidR="006A564B" w:rsidRPr="004408AA">
        <w:t xml:space="preserve"> </w:t>
      </w:r>
      <w:r w:rsidR="005F4A60" w:rsidRPr="004408AA">
        <w:t xml:space="preserve">will contain hyperlinks to related content </w:t>
      </w:r>
      <w:r w:rsidR="007A1F8C">
        <w:t>on</w:t>
      </w:r>
      <w:r w:rsidR="0009189A" w:rsidRPr="004408AA">
        <w:t xml:space="preserve"> the websites of</w:t>
      </w:r>
      <w:r w:rsidR="005F4A60" w:rsidRPr="004408AA">
        <w:t xml:space="preserve"> other client publishers.  The </w:t>
      </w:r>
      <w:r w:rsidR="0009189A" w:rsidRPr="004408AA">
        <w:t xml:space="preserve">“sending” </w:t>
      </w:r>
      <w:r w:rsidR="005F4A60" w:rsidRPr="004408AA">
        <w:t xml:space="preserve">publisher </w:t>
      </w:r>
      <w:r w:rsidR="0009189A" w:rsidRPr="004408AA">
        <w:t>will</w:t>
      </w:r>
      <w:r w:rsidR="005F4A60" w:rsidRPr="004408AA">
        <w:t xml:space="preserve"> be paid </w:t>
      </w:r>
      <w:r w:rsidR="0009189A" w:rsidRPr="004408AA">
        <w:t>a per-click fee by the “receiving” publisher at a uniform rate set by GNS.</w:t>
      </w:r>
      <w:r w:rsidR="005F4A60" w:rsidRPr="004408AA">
        <w:t xml:space="preserve"> </w:t>
      </w:r>
      <w:r w:rsidR="0009189A" w:rsidRPr="004408AA">
        <w:t xml:space="preserve"> Publishers will </w:t>
      </w:r>
      <w:r w:rsidR="006A2128">
        <w:t>designate whether their own related</w:t>
      </w:r>
      <w:r w:rsidR="005F4A60" w:rsidRPr="004408AA">
        <w:t xml:space="preserve"> content </w:t>
      </w:r>
      <w:r w:rsidR="0009189A" w:rsidRPr="004408AA">
        <w:t>is</w:t>
      </w:r>
      <w:r w:rsidR="006A2128">
        <w:t xml:space="preserve"> free </w:t>
      </w:r>
      <w:r w:rsidR="005F4A60" w:rsidRPr="004408AA">
        <w:t xml:space="preserve">or accessible </w:t>
      </w:r>
      <w:r w:rsidR="00B26206">
        <w:t>for</w:t>
      </w:r>
      <w:r w:rsidR="005F4A60" w:rsidRPr="004408AA">
        <w:t xml:space="preserve"> a fee</w:t>
      </w:r>
      <w:r w:rsidR="0009189A" w:rsidRPr="004408AA">
        <w:t xml:space="preserve">, but they </w:t>
      </w:r>
      <w:r w:rsidR="00F31B42">
        <w:t>will</w:t>
      </w:r>
      <w:r w:rsidR="0009189A" w:rsidRPr="004408AA">
        <w:t xml:space="preserve"> not be able to set a fee</w:t>
      </w:r>
      <w:r w:rsidR="006A2128">
        <w:t xml:space="preserve"> for content that is</w:t>
      </w:r>
      <w:r w:rsidR="0009189A" w:rsidRPr="004408AA">
        <w:t xml:space="preserve"> free </w:t>
      </w:r>
      <w:r w:rsidR="006A564B" w:rsidRPr="004408AA">
        <w:t>elsewhere</w:t>
      </w:r>
      <w:r w:rsidR="007A1F8C">
        <w:t xml:space="preserve">.  Customers who subscribe to GNS for a fee set by </w:t>
      </w:r>
      <w:proofErr w:type="spellStart"/>
      <w:r w:rsidR="007A1F8C">
        <w:t>MyWire</w:t>
      </w:r>
      <w:proofErr w:type="spellEnd"/>
      <w:r w:rsidR="007A1F8C">
        <w:t xml:space="preserve"> will be able to access any of GNS’s</w:t>
      </w:r>
      <w:r w:rsidR="005F4A60" w:rsidRPr="004408AA">
        <w:t xml:space="preserve"> fee-based content.</w:t>
      </w:r>
      <w:r w:rsidR="0009189A" w:rsidRPr="004408AA">
        <w:t xml:space="preserve">  Publishers </w:t>
      </w:r>
      <w:r w:rsidR="00F31B42">
        <w:t>will</w:t>
      </w:r>
      <w:r w:rsidR="007A1F8C">
        <w:t xml:space="preserve"> </w:t>
      </w:r>
      <w:r w:rsidR="0009189A" w:rsidRPr="004408AA">
        <w:t>also</w:t>
      </w:r>
      <w:r w:rsidR="007A1F8C">
        <w:t xml:space="preserve"> have the option to</w:t>
      </w:r>
      <w:r w:rsidR="0009189A" w:rsidRPr="004408AA">
        <w:t xml:space="preserve"> set their own</w:t>
      </w:r>
      <w:r w:rsidR="006A2128">
        <w:t xml:space="preserve"> per-item fee</w:t>
      </w:r>
      <w:r w:rsidR="007A1F8C">
        <w:t>s</w:t>
      </w:r>
      <w:r w:rsidR="006A2128">
        <w:t xml:space="preserve"> for non-GNS subscribers</w:t>
      </w:r>
      <w:r w:rsidR="0009189A" w:rsidRPr="004408AA">
        <w:t>.</w:t>
      </w:r>
    </w:p>
    <w:p w:rsidR="0072453C" w:rsidRPr="004408AA" w:rsidRDefault="0072453C" w:rsidP="0009189A">
      <w:pPr>
        <w:tabs>
          <w:tab w:val="left" w:pos="3180"/>
          <w:tab w:val="left" w:pos="6566"/>
        </w:tabs>
      </w:pPr>
      <w:r w:rsidRPr="004408AA">
        <w:tab/>
      </w:r>
      <w:r w:rsidR="0009189A" w:rsidRPr="004408AA">
        <w:tab/>
      </w:r>
    </w:p>
    <w:p w:rsidR="0072453C" w:rsidRPr="004408AA" w:rsidRDefault="0009189A" w:rsidP="0072453C">
      <w:r w:rsidRPr="004408AA">
        <w:tab/>
        <w:t xml:space="preserve">Response: </w:t>
      </w:r>
      <w:r w:rsidR="00C25494" w:rsidRPr="004408AA">
        <w:t>The Department has no present intention to challenge GNS.</w:t>
      </w:r>
      <w:r w:rsidR="00C25494">
        <w:t xml:space="preserve">  </w:t>
      </w:r>
      <w:r w:rsidRPr="004408AA">
        <w:t xml:space="preserve">GNS may benefit consumers and publishers by broadening consumers’ access to publishers’ content.  The proposed agreements are purely vertical, and GNS will not provide information to publishers about other publishers.  The proposed agreements are also nonexclusive, so other news aggregation services can compete with GNS.  </w:t>
      </w:r>
      <w:proofErr w:type="spellStart"/>
      <w:r w:rsidRPr="004408AA">
        <w:t>MyWire</w:t>
      </w:r>
      <w:proofErr w:type="spellEnd"/>
      <w:r w:rsidRPr="004408AA">
        <w:t xml:space="preserve"> proposes to only set one price restriction (that publishers cannot set a fee</w:t>
      </w:r>
      <w:r w:rsidR="006A2128">
        <w:t xml:space="preserve"> </w:t>
      </w:r>
      <w:r w:rsidR="007A1F8C">
        <w:t>for content that they provide</w:t>
      </w:r>
      <w:r w:rsidRPr="004408AA">
        <w:t xml:space="preserve"> for free elsewhere), and this restriction is nec</w:t>
      </w:r>
      <w:r w:rsidR="00E03F4A">
        <w:t>essary for GNS’s operation</w:t>
      </w:r>
      <w:r w:rsidR="00C25494">
        <w:t>.</w:t>
      </w:r>
    </w:p>
    <w:p w:rsidR="0072453C" w:rsidRPr="004408AA" w:rsidRDefault="0072453C" w:rsidP="0072453C"/>
    <w:p w:rsidR="008D1F6F" w:rsidRPr="004408AA" w:rsidRDefault="008D1F6F">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850"/>
        <w:gridCol w:w="2286"/>
      </w:tblGrid>
      <w:tr w:rsidR="0072453C" w:rsidRPr="004408AA" w:rsidTr="001C6E21">
        <w:tc>
          <w:tcPr>
            <w:tcW w:w="720" w:type="dxa"/>
            <w:tcMar>
              <w:left w:w="0" w:type="dxa"/>
              <w:right w:w="0" w:type="dxa"/>
            </w:tcMar>
          </w:tcPr>
          <w:p w:rsidR="0072453C" w:rsidRPr="004408AA" w:rsidRDefault="0072453C" w:rsidP="0072453C">
            <w:r w:rsidRPr="004408AA">
              <w:t>10-2</w:t>
            </w:r>
          </w:p>
        </w:tc>
        <w:tc>
          <w:tcPr>
            <w:tcW w:w="5850" w:type="dxa"/>
            <w:tcMar>
              <w:left w:w="0" w:type="dxa"/>
              <w:right w:w="0" w:type="dxa"/>
            </w:tcMar>
          </w:tcPr>
          <w:p w:rsidR="0072453C" w:rsidRPr="004408AA" w:rsidRDefault="00E30F67" w:rsidP="0072453C">
            <w:hyperlink r:id="rId17" w:history="1">
              <w:r w:rsidR="007B3B1B" w:rsidRPr="007B3B1B">
                <w:rPr>
                  <w:rStyle w:val="Hyperlink"/>
                </w:rPr>
                <w:t xml:space="preserve">The </w:t>
              </w:r>
              <w:r w:rsidR="00836DBF" w:rsidRPr="007B3B1B">
                <w:rPr>
                  <w:rStyle w:val="Hyperlink"/>
                </w:rPr>
                <w:t>Associated Press</w:t>
              </w:r>
            </w:hyperlink>
          </w:p>
        </w:tc>
        <w:tc>
          <w:tcPr>
            <w:tcW w:w="2286" w:type="dxa"/>
            <w:tcMar>
              <w:left w:w="0" w:type="dxa"/>
              <w:right w:w="0" w:type="dxa"/>
            </w:tcMar>
          </w:tcPr>
          <w:p w:rsidR="0072453C" w:rsidRPr="004408AA" w:rsidRDefault="00836DBF" w:rsidP="0072453C">
            <w:r w:rsidRPr="004408AA">
              <w:t>03/31/2010</w:t>
            </w:r>
          </w:p>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72453C" w:rsidP="0072453C"/>
        </w:tc>
        <w:tc>
          <w:tcPr>
            <w:tcW w:w="228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8641DA" w:rsidP="0072453C">
            <w:r w:rsidRPr="004408AA">
              <w:t>Internet News Services</w:t>
            </w:r>
          </w:p>
        </w:tc>
        <w:tc>
          <w:tcPr>
            <w:tcW w:w="2286" w:type="dxa"/>
            <w:tcMar>
              <w:left w:w="0" w:type="dxa"/>
              <w:right w:w="0" w:type="dxa"/>
            </w:tcMar>
          </w:tcPr>
          <w:p w:rsidR="0072453C" w:rsidRPr="004408AA" w:rsidRDefault="0039527C" w:rsidP="0039527C">
            <w:r w:rsidRPr="004408AA">
              <w:t xml:space="preserve">Licensing </w:t>
            </w:r>
          </w:p>
        </w:tc>
      </w:tr>
    </w:tbl>
    <w:p w:rsidR="0072453C" w:rsidRPr="004408AA" w:rsidRDefault="0072453C" w:rsidP="0072453C"/>
    <w:p w:rsidR="0072453C" w:rsidRPr="004408AA" w:rsidRDefault="00836DBF" w:rsidP="0072453C">
      <w:r w:rsidRPr="004408AA">
        <w:tab/>
        <w:t>Facts: The Associated Press (“AP”) is a not-for-profit membership cooperative of media outlets.</w:t>
      </w:r>
      <w:r w:rsidR="00DD448B" w:rsidRPr="004408AA">
        <w:t xml:space="preserve">  It proposes to create a registry to facilitate the licensing of original news content on the Internet.</w:t>
      </w:r>
      <w:r w:rsidR="008A530D" w:rsidRPr="004408AA">
        <w:t xml:space="preserve">  AP will retain all equity interests in the registry.  It</w:t>
      </w:r>
      <w:r w:rsidR="00DD448B" w:rsidRPr="004408AA">
        <w:t xml:space="preserve"> will consist of a centralized digital database where content owners can list content, specify uses </w:t>
      </w:r>
      <w:r w:rsidR="006A564B" w:rsidRPr="004408AA">
        <w:t>for</w:t>
      </w:r>
      <w:r w:rsidR="007A1F8C">
        <w:t xml:space="preserve"> the content, and describe licensing terms</w:t>
      </w:r>
      <w:r w:rsidR="008A530D" w:rsidRPr="004408AA">
        <w:t xml:space="preserve"> on a per-item or blanket basis</w:t>
      </w:r>
      <w:r w:rsidR="00DD448B" w:rsidRPr="004408AA">
        <w:t>.  The registry will be open to both members and nonmembers of AP on a nondiscriminatory</w:t>
      </w:r>
      <w:r w:rsidR="004408AA" w:rsidRPr="004408AA">
        <w:t xml:space="preserve"> and </w:t>
      </w:r>
      <w:r w:rsidR="008A530D" w:rsidRPr="004408AA">
        <w:t>nonexclusive</w:t>
      </w:r>
      <w:r w:rsidR="00DD448B" w:rsidRPr="004408AA">
        <w:t xml:space="preserve"> basis.</w:t>
      </w:r>
      <w:r w:rsidR="008A530D" w:rsidRPr="004408AA">
        <w:t xml:space="preserve">  Both content owners and </w:t>
      </w:r>
      <w:r w:rsidR="006A564B" w:rsidRPr="004408AA">
        <w:t xml:space="preserve">content users will be charged </w:t>
      </w:r>
      <w:r w:rsidR="008A530D" w:rsidRPr="004408AA">
        <w:t>fee</w:t>
      </w:r>
      <w:r w:rsidR="006A564B" w:rsidRPr="004408AA">
        <w:t>s</w:t>
      </w:r>
      <w:r w:rsidR="008A530D" w:rsidRPr="004408AA">
        <w:t xml:space="preserve"> for using the registry.</w:t>
      </w:r>
    </w:p>
    <w:p w:rsidR="0072453C" w:rsidRPr="004408AA" w:rsidRDefault="0072453C" w:rsidP="0072453C">
      <w:pPr>
        <w:tabs>
          <w:tab w:val="left" w:pos="3180"/>
        </w:tabs>
      </w:pPr>
      <w:r w:rsidRPr="004408AA">
        <w:tab/>
      </w:r>
    </w:p>
    <w:p w:rsidR="0072453C" w:rsidRPr="004408AA" w:rsidRDefault="0039527C" w:rsidP="0072453C">
      <w:r w:rsidRPr="004408AA">
        <w:tab/>
        <w:t>Response: The Department has no present intention to challenge the AP’s proposal.</w:t>
      </w:r>
      <w:r w:rsidR="008A530D" w:rsidRPr="004408AA">
        <w:t xml:space="preserve">  The registry will not be exclusive or exclusionary, so it is unlikely to have anticompetitive effects among content owners or users.  The registry is unlikely to facilitate coordination among content owners because they will not be given access to competitors’ confidential business information</w:t>
      </w:r>
      <w:r w:rsidR="006A564B" w:rsidRPr="004408AA">
        <w:t>,</w:t>
      </w:r>
      <w:r w:rsidR="008A530D" w:rsidRPr="004408AA">
        <w:t xml:space="preserve"> and</w:t>
      </w:r>
      <w:r w:rsidR="006A564B" w:rsidRPr="004408AA">
        <w:t xml:space="preserve"> because</w:t>
      </w:r>
      <w:r w:rsidR="008A530D" w:rsidRPr="004408AA">
        <w:t xml:space="preserve"> each content owner will set its license terms independently and unilaterally.  Further, AP’s proposal may lead to competitive benefits by, for example, decreasing the transaction costs for licensing content.</w:t>
      </w:r>
    </w:p>
    <w:p w:rsidR="0072453C" w:rsidRPr="004408AA" w:rsidRDefault="0072453C" w:rsidP="0072453C"/>
    <w:p w:rsidR="00836DBF" w:rsidRPr="004408AA" w:rsidRDefault="00836DBF">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760"/>
        <w:gridCol w:w="2376"/>
      </w:tblGrid>
      <w:tr w:rsidR="0072453C" w:rsidRPr="004408AA" w:rsidTr="001C6E21">
        <w:tc>
          <w:tcPr>
            <w:tcW w:w="720" w:type="dxa"/>
            <w:tcMar>
              <w:left w:w="0" w:type="dxa"/>
              <w:right w:w="0" w:type="dxa"/>
            </w:tcMar>
          </w:tcPr>
          <w:p w:rsidR="0072453C" w:rsidRPr="004408AA" w:rsidRDefault="0072453C" w:rsidP="0072453C">
            <w:r w:rsidRPr="004408AA">
              <w:t>10-3</w:t>
            </w:r>
          </w:p>
        </w:tc>
        <w:tc>
          <w:tcPr>
            <w:tcW w:w="5760" w:type="dxa"/>
            <w:tcMar>
              <w:left w:w="0" w:type="dxa"/>
              <w:right w:w="0" w:type="dxa"/>
            </w:tcMar>
          </w:tcPr>
          <w:p w:rsidR="0072453C" w:rsidRPr="004408AA" w:rsidRDefault="00E30F67" w:rsidP="003007D8">
            <w:hyperlink r:id="rId18" w:history="1">
              <w:r w:rsidR="0072453C" w:rsidRPr="002D39BD">
                <w:rPr>
                  <w:rStyle w:val="Hyperlink"/>
                </w:rPr>
                <w:t>Pacific Business Group on Health</w:t>
              </w:r>
            </w:hyperlink>
          </w:p>
        </w:tc>
        <w:tc>
          <w:tcPr>
            <w:tcW w:w="2376" w:type="dxa"/>
            <w:tcMar>
              <w:left w:w="0" w:type="dxa"/>
              <w:right w:w="0" w:type="dxa"/>
            </w:tcMar>
          </w:tcPr>
          <w:p w:rsidR="0072453C" w:rsidRPr="004408AA" w:rsidRDefault="0072453C" w:rsidP="0072453C">
            <w:r w:rsidRPr="004408AA">
              <w:t>04/26/</w:t>
            </w:r>
            <w:r w:rsidR="009E0EDD" w:rsidRPr="004408AA">
              <w:t>20</w:t>
            </w:r>
            <w:r w:rsidRPr="004408AA">
              <w:t>10</w:t>
            </w:r>
          </w:p>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72453C" w:rsidP="0072453C"/>
        </w:tc>
        <w:tc>
          <w:tcPr>
            <w:tcW w:w="237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8A530D" w:rsidP="0072453C">
            <w:r w:rsidRPr="004408AA">
              <w:t>Hospital Services</w:t>
            </w:r>
          </w:p>
        </w:tc>
        <w:tc>
          <w:tcPr>
            <w:tcW w:w="2376" w:type="dxa"/>
            <w:tcMar>
              <w:left w:w="0" w:type="dxa"/>
              <w:right w:w="0" w:type="dxa"/>
            </w:tcMar>
          </w:tcPr>
          <w:p w:rsidR="0072453C" w:rsidRPr="004408AA" w:rsidRDefault="008A530D" w:rsidP="0072453C">
            <w:r w:rsidRPr="004408AA">
              <w:t>Information Exchange</w:t>
            </w:r>
          </w:p>
        </w:tc>
      </w:tr>
    </w:tbl>
    <w:p w:rsidR="0072453C" w:rsidRPr="004408AA" w:rsidRDefault="0072453C" w:rsidP="0072453C"/>
    <w:p w:rsidR="0072453C" w:rsidRPr="004408AA" w:rsidRDefault="0072453C" w:rsidP="0072453C">
      <w:pPr>
        <w:pStyle w:val="Default"/>
      </w:pPr>
      <w:r w:rsidRPr="004408AA">
        <w:tab/>
        <w:t>Facts: Three broad-based associations–the Pacific Business Group on Health</w:t>
      </w:r>
      <w:r w:rsidR="003007D8" w:rsidRPr="004408AA">
        <w:t>,</w:t>
      </w:r>
      <w:r w:rsidRPr="004408AA">
        <w:t xml:space="preserve"> the California Public Employees’ Retirement System, and the California Health Care Coalition, representing group purchasers of health care services for mor</w:t>
      </w:r>
      <w:r w:rsidR="003007D8" w:rsidRPr="004408AA">
        <w:t>e than 7 million people–propose</w:t>
      </w:r>
      <w:r w:rsidRPr="004408AA">
        <w:t xml:space="preserve"> a data exchange program for hospital services called the Hospital Value Initiative (</w:t>
      </w:r>
      <w:r w:rsidR="003007D8" w:rsidRPr="004408AA">
        <w:t>“</w:t>
      </w:r>
      <w:r w:rsidRPr="004408AA">
        <w:t>HVI</w:t>
      </w:r>
      <w:r w:rsidR="003007D8" w:rsidRPr="004408AA">
        <w:t>”). The HVI proposes</w:t>
      </w:r>
      <w:r w:rsidRPr="004408AA">
        <w:t xml:space="preserve"> to (1) analyze the claims data that major third-party health plans (hereinafter </w:t>
      </w:r>
      <w:r w:rsidR="003007D8" w:rsidRPr="004408AA">
        <w:t>“</w:t>
      </w:r>
      <w:proofErr w:type="spellStart"/>
      <w:r w:rsidRPr="004408AA">
        <w:t>payors</w:t>
      </w:r>
      <w:proofErr w:type="spellEnd"/>
      <w:r w:rsidR="003007D8" w:rsidRPr="004408AA">
        <w:t>”</w:t>
      </w:r>
      <w:r w:rsidRPr="004408AA">
        <w:t xml:space="preserve">) receive from hospitals; (2) develop index scores from the data that will allow for comparison of the relative cost and resource utilization efficiency of hospitals in California; and (3) distribute these index scores to hospitals, </w:t>
      </w:r>
      <w:proofErr w:type="spellStart"/>
      <w:r w:rsidRPr="004408AA">
        <w:t>payors</w:t>
      </w:r>
      <w:proofErr w:type="spellEnd"/>
      <w:r w:rsidRPr="004408AA">
        <w:t>, and group purchasers of health care services.</w:t>
      </w:r>
    </w:p>
    <w:p w:rsidR="0072453C" w:rsidRPr="004408AA" w:rsidRDefault="0072453C" w:rsidP="0072453C">
      <w:pPr>
        <w:tabs>
          <w:tab w:val="left" w:pos="3180"/>
        </w:tabs>
      </w:pPr>
      <w:r w:rsidRPr="004408AA">
        <w:tab/>
      </w:r>
    </w:p>
    <w:p w:rsidR="0072453C" w:rsidRPr="004408AA" w:rsidRDefault="0072453C" w:rsidP="0072453C">
      <w:r w:rsidRPr="004408AA">
        <w:tab/>
        <w:t xml:space="preserve">Response: </w:t>
      </w:r>
      <w:r w:rsidR="008A530D" w:rsidRPr="004408AA">
        <w:t xml:space="preserve">The Department has no present intention </w:t>
      </w:r>
      <w:r w:rsidR="003007D8" w:rsidRPr="004408AA">
        <w:t>to</w:t>
      </w:r>
      <w:r w:rsidR="008A530D" w:rsidRPr="004408AA">
        <w:t xml:space="preserve"> chal</w:t>
      </w:r>
      <w:r w:rsidR="003007D8" w:rsidRPr="004408AA">
        <w:t>lenge</w:t>
      </w:r>
      <w:r w:rsidR="008A530D" w:rsidRPr="004408AA">
        <w:t xml:space="preserve"> HVI’s proposal.  The</w:t>
      </w:r>
      <w:r w:rsidRPr="004408AA">
        <w:t xml:space="preserve"> proposal is not likely to produce anticompetitive effects because the exchange would involve </w:t>
      </w:r>
      <w:r w:rsidR="00D129A6">
        <w:t xml:space="preserve">old </w:t>
      </w:r>
      <w:r w:rsidRPr="004408AA">
        <w:t>data and the program would not disclose disaggregated data or any hospitals</w:t>
      </w:r>
      <w:r w:rsidR="003007D8" w:rsidRPr="004408AA">
        <w:t>’</w:t>
      </w:r>
      <w:r w:rsidRPr="004408AA">
        <w:t xml:space="preserve"> actual service fees. The H</w:t>
      </w:r>
      <w:r w:rsidR="003007D8" w:rsidRPr="004408AA">
        <w:t>VI’</w:t>
      </w:r>
      <w:r w:rsidRPr="004408AA">
        <w:t>s data exchange program could potentially benefit consumers by increasing the transparency of the relative costs and resource efficiency of hundreds of hospitals in California. The proposed information exchange may reduce health care costs by improving competition among hundreds of hospitals in California and facilitating more informed purchasing decisions by group purchasers of health care services.</w:t>
      </w:r>
    </w:p>
    <w:p w:rsidR="0072453C" w:rsidRPr="004408AA" w:rsidRDefault="0072453C" w:rsidP="0052053F"/>
    <w:p w:rsidR="006A564B" w:rsidRPr="00AC53EE" w:rsidRDefault="003007D8" w:rsidP="008641DA">
      <w:pPr>
        <w:jc w:val="center"/>
        <w:rPr>
          <w:b/>
          <w:caps/>
        </w:rPr>
      </w:pPr>
      <w:r w:rsidRPr="004408AA">
        <w:br w:type="page"/>
      </w:r>
      <w:r w:rsidR="006A564B" w:rsidRPr="00AC53EE">
        <w:rPr>
          <w:b/>
          <w:caps/>
        </w:rPr>
        <w:lastRenderedPageBreak/>
        <w:t>Digest of Business Reviews</w:t>
      </w:r>
    </w:p>
    <w:p w:rsidR="006A564B" w:rsidRPr="004408AA" w:rsidRDefault="006A564B" w:rsidP="008641DA">
      <w:pPr>
        <w:jc w:val="center"/>
      </w:pPr>
    </w:p>
    <w:p w:rsidR="003007D8" w:rsidRPr="004408AA" w:rsidRDefault="008641DA" w:rsidP="008641DA">
      <w:pPr>
        <w:jc w:val="center"/>
        <w:rPr>
          <w:b/>
        </w:rPr>
      </w:pPr>
      <w:r w:rsidRPr="004408AA">
        <w:rPr>
          <w:b/>
        </w:rPr>
        <w:t>2011</w:t>
      </w:r>
    </w:p>
    <w:p w:rsidR="008641DA" w:rsidRPr="004408AA" w:rsidRDefault="008641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850"/>
        <w:gridCol w:w="2286"/>
      </w:tblGrid>
      <w:tr w:rsidR="0072453C" w:rsidRPr="004408AA" w:rsidTr="001C6E21">
        <w:tc>
          <w:tcPr>
            <w:tcW w:w="720" w:type="dxa"/>
            <w:tcMar>
              <w:left w:w="0" w:type="dxa"/>
              <w:right w:w="0" w:type="dxa"/>
            </w:tcMar>
          </w:tcPr>
          <w:p w:rsidR="0072453C" w:rsidRPr="004408AA" w:rsidRDefault="0072453C" w:rsidP="0072453C">
            <w:r w:rsidRPr="004408AA">
              <w:t>11-1</w:t>
            </w:r>
          </w:p>
        </w:tc>
        <w:tc>
          <w:tcPr>
            <w:tcW w:w="5850" w:type="dxa"/>
            <w:tcMar>
              <w:left w:w="0" w:type="dxa"/>
              <w:right w:w="0" w:type="dxa"/>
            </w:tcMar>
          </w:tcPr>
          <w:p w:rsidR="0072453C" w:rsidRPr="004408AA" w:rsidRDefault="00E30F67" w:rsidP="0072453C">
            <w:hyperlink r:id="rId19" w:history="1">
              <w:r w:rsidR="008641DA" w:rsidRPr="002D39BD">
                <w:rPr>
                  <w:rStyle w:val="Hyperlink"/>
                </w:rPr>
                <w:t>Producers Guild of America</w:t>
              </w:r>
            </w:hyperlink>
          </w:p>
        </w:tc>
        <w:tc>
          <w:tcPr>
            <w:tcW w:w="2286" w:type="dxa"/>
            <w:tcMar>
              <w:left w:w="0" w:type="dxa"/>
              <w:right w:w="0" w:type="dxa"/>
            </w:tcMar>
          </w:tcPr>
          <w:p w:rsidR="0072453C" w:rsidRPr="004408AA" w:rsidRDefault="008641DA" w:rsidP="0072453C">
            <w:r w:rsidRPr="004408AA">
              <w:t>08/26/</w:t>
            </w:r>
            <w:r w:rsidR="009E0EDD" w:rsidRPr="004408AA">
              <w:t>20</w:t>
            </w:r>
            <w:r w:rsidRPr="004408AA">
              <w:t>11</w:t>
            </w:r>
          </w:p>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72453C" w:rsidP="0072453C"/>
        </w:tc>
        <w:tc>
          <w:tcPr>
            <w:tcW w:w="228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524226" w:rsidP="0072453C">
            <w:r w:rsidRPr="004408AA">
              <w:t xml:space="preserve">Television and </w:t>
            </w:r>
            <w:r w:rsidR="0013132F" w:rsidRPr="004408AA">
              <w:t xml:space="preserve">Film </w:t>
            </w:r>
            <w:r w:rsidR="001D4F5F" w:rsidRPr="004408AA">
              <w:t>Producing Services</w:t>
            </w:r>
          </w:p>
        </w:tc>
        <w:tc>
          <w:tcPr>
            <w:tcW w:w="2286" w:type="dxa"/>
            <w:tcMar>
              <w:left w:w="0" w:type="dxa"/>
              <w:right w:w="0" w:type="dxa"/>
            </w:tcMar>
          </w:tcPr>
          <w:p w:rsidR="0072453C" w:rsidRPr="004408AA" w:rsidRDefault="0013132F" w:rsidP="0072453C">
            <w:r w:rsidRPr="004408AA">
              <w:t xml:space="preserve">Trade Association and </w:t>
            </w:r>
            <w:r w:rsidR="001D4F5F" w:rsidRPr="004408AA">
              <w:t>Certification</w:t>
            </w:r>
          </w:p>
        </w:tc>
      </w:tr>
    </w:tbl>
    <w:p w:rsidR="0072453C" w:rsidRPr="004408AA" w:rsidRDefault="0072453C" w:rsidP="0072453C"/>
    <w:p w:rsidR="0072453C" w:rsidRPr="004408AA" w:rsidRDefault="008641DA" w:rsidP="0072453C">
      <w:r w:rsidRPr="004408AA">
        <w:tab/>
        <w:t xml:space="preserve">Facts: The Producers Guild of America (PGA) is a voluntary professional trade association made up of </w:t>
      </w:r>
      <w:r w:rsidR="001D4F5F" w:rsidRPr="004408AA">
        <w:t>television and film producers.  It proposes to create a voluntary certification program</w:t>
      </w:r>
      <w:r w:rsidR="004C2671" w:rsidRPr="004408AA">
        <w:t xml:space="preserve"> designed to </w:t>
      </w:r>
      <w:r w:rsidR="006A564B" w:rsidRPr="004408AA">
        <w:t>ide</w:t>
      </w:r>
      <w:r w:rsidR="00524226" w:rsidRPr="004408AA">
        <w:t xml:space="preserve">ntify people who have performed </w:t>
      </w:r>
      <w:r w:rsidR="007A1F8C">
        <w:t>what the PGA defines as</w:t>
      </w:r>
      <w:r w:rsidR="006A564B" w:rsidRPr="004408AA">
        <w:t xml:space="preserve"> the </w:t>
      </w:r>
      <w:r w:rsidR="004C2671" w:rsidRPr="004408AA">
        <w:t>producer’s role</w:t>
      </w:r>
      <w:r w:rsidR="007A1F8C">
        <w:t xml:space="preserve"> on a film or television show</w:t>
      </w:r>
      <w:r w:rsidR="006A564B" w:rsidRPr="004408AA">
        <w:t>.  The certification will distinguish these producers</w:t>
      </w:r>
      <w:r w:rsidR="004C2671" w:rsidRPr="004408AA">
        <w:t xml:space="preserve"> from financiers, actors, lawyers, or others in the industry who have negotiated for a producer’s credit. </w:t>
      </w:r>
      <w:r w:rsidR="001D4F5F" w:rsidRPr="004408AA">
        <w:t xml:space="preserve"> </w:t>
      </w:r>
      <w:r w:rsidR="004C2671" w:rsidRPr="004408AA">
        <w:t>The certification is therefore d</w:t>
      </w:r>
      <w:r w:rsidR="006A564B" w:rsidRPr="004408AA">
        <w:t xml:space="preserve">esigned to </w:t>
      </w:r>
      <w:r w:rsidR="007A1F8C">
        <w:t>improve</w:t>
      </w:r>
      <w:r w:rsidR="006A564B" w:rsidRPr="004408AA">
        <w:t xml:space="preserve"> clarity for</w:t>
      </w:r>
      <w:r w:rsidR="004C2671" w:rsidRPr="004408AA">
        <w:t xml:space="preserve"> the film industry and the public.  </w:t>
      </w:r>
      <w:r w:rsidR="00995539">
        <w:t>Certification</w:t>
      </w:r>
      <w:r w:rsidR="004C2671" w:rsidRPr="004408AA">
        <w:t xml:space="preserve"> will be available to both PGA members and nonmembers.  The certification process will begin when a studio or film production company voluntarily notifies the PGA</w:t>
      </w:r>
      <w:r w:rsidR="001D4F5F" w:rsidRPr="004408AA">
        <w:t xml:space="preserve"> </w:t>
      </w:r>
      <w:r w:rsidR="004C2671" w:rsidRPr="004408AA">
        <w:t xml:space="preserve">of </w:t>
      </w:r>
      <w:r w:rsidR="00E03F4A">
        <w:t>a</w:t>
      </w:r>
      <w:r w:rsidR="004C2671" w:rsidRPr="004408AA">
        <w:t xml:space="preserve"> </w:t>
      </w:r>
      <w:r w:rsidR="00E03F4A">
        <w:t xml:space="preserve">show or </w:t>
      </w:r>
      <w:proofErr w:type="gramStart"/>
      <w:r w:rsidR="00E03F4A">
        <w:t>film’s</w:t>
      </w:r>
      <w:proofErr w:type="gramEnd"/>
      <w:r w:rsidR="006A564B" w:rsidRPr="004408AA">
        <w:t xml:space="preserve"> credited producers</w:t>
      </w:r>
      <w:r w:rsidR="004C2671" w:rsidRPr="004408AA">
        <w:t>.  The PGA will then contact the listed producer</w:t>
      </w:r>
      <w:r w:rsidR="00524226" w:rsidRPr="004408AA">
        <w:t>s and invite them</w:t>
      </w:r>
      <w:r w:rsidR="004C2671" w:rsidRPr="004408AA">
        <w:t xml:space="preserve"> to apply for certification.  The PGA will </w:t>
      </w:r>
      <w:r w:rsidR="006A564B" w:rsidRPr="004408AA">
        <w:t xml:space="preserve">establish a system to </w:t>
      </w:r>
      <w:r w:rsidR="004C2671" w:rsidRPr="004408AA">
        <w:t>determine whether certification should be granted.</w:t>
      </w:r>
    </w:p>
    <w:p w:rsidR="0072453C" w:rsidRPr="004408AA" w:rsidRDefault="0072453C" w:rsidP="0072453C">
      <w:pPr>
        <w:tabs>
          <w:tab w:val="left" w:pos="3180"/>
        </w:tabs>
      </w:pPr>
      <w:r w:rsidRPr="004408AA">
        <w:tab/>
      </w:r>
    </w:p>
    <w:p w:rsidR="0072453C" w:rsidRPr="004408AA" w:rsidRDefault="008641DA" w:rsidP="0072453C">
      <w:r w:rsidRPr="004408AA">
        <w:tab/>
        <w:t>Response: The Department has no present intention to challenge</w:t>
      </w:r>
      <w:r w:rsidR="00524226" w:rsidRPr="004408AA">
        <w:t xml:space="preserve"> the</w:t>
      </w:r>
      <w:r w:rsidRPr="004408AA">
        <w:t xml:space="preserve"> PGA’s proposal.</w:t>
      </w:r>
      <w:r w:rsidR="004C2671" w:rsidRPr="004408AA">
        <w:t xml:space="preserve">  The certification is unlikely to produce anticompetitive effects because it</w:t>
      </w:r>
      <w:r w:rsidR="00524226" w:rsidRPr="004408AA">
        <w:t xml:space="preserve"> is voluntary and</w:t>
      </w:r>
      <w:r w:rsidR="004C2671" w:rsidRPr="004408AA">
        <w:t xml:space="preserve"> will not prevent</w:t>
      </w:r>
      <w:r w:rsidR="00524226" w:rsidRPr="004408AA">
        <w:t xml:space="preserve"> uncertified</w:t>
      </w:r>
      <w:r w:rsidR="004C2671" w:rsidRPr="004408AA">
        <w:t xml:space="preserve"> producers from providing producer services.</w:t>
      </w:r>
      <w:r w:rsidR="00524226" w:rsidRPr="004408AA">
        <w:t xml:space="preserve">  The certification program may also produce the procompetitive benefit of providing additional clarity </w:t>
      </w:r>
      <w:r w:rsidR="00E03F4A">
        <w:t>in</w:t>
      </w:r>
      <w:r w:rsidR="00524226" w:rsidRPr="004408AA">
        <w:t xml:space="preserve"> film credits.</w:t>
      </w:r>
    </w:p>
    <w:p w:rsidR="0072453C" w:rsidRPr="004408AA" w:rsidRDefault="0072453C" w:rsidP="0072453C"/>
    <w:p w:rsidR="008641DA" w:rsidRPr="004408AA" w:rsidRDefault="008641DA">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760"/>
        <w:gridCol w:w="2376"/>
      </w:tblGrid>
      <w:tr w:rsidR="0072453C" w:rsidRPr="004408AA" w:rsidTr="001C6E21">
        <w:tc>
          <w:tcPr>
            <w:tcW w:w="720" w:type="dxa"/>
            <w:tcMar>
              <w:left w:w="0" w:type="dxa"/>
              <w:right w:w="0" w:type="dxa"/>
            </w:tcMar>
          </w:tcPr>
          <w:p w:rsidR="0072453C" w:rsidRPr="004408AA" w:rsidRDefault="0072453C" w:rsidP="0072453C">
            <w:r w:rsidRPr="004408AA">
              <w:t>11-2</w:t>
            </w:r>
          </w:p>
        </w:tc>
        <w:tc>
          <w:tcPr>
            <w:tcW w:w="5760" w:type="dxa"/>
            <w:tcMar>
              <w:left w:w="0" w:type="dxa"/>
              <w:right w:w="0" w:type="dxa"/>
            </w:tcMar>
          </w:tcPr>
          <w:p w:rsidR="0072453C" w:rsidRPr="004408AA" w:rsidRDefault="00E30F67" w:rsidP="0072453C">
            <w:hyperlink r:id="rId20" w:history="1">
              <w:r w:rsidR="004C2671" w:rsidRPr="002D39BD">
                <w:rPr>
                  <w:rStyle w:val="Hyperlink"/>
                </w:rPr>
                <w:t>Worker Rights Consortium</w:t>
              </w:r>
            </w:hyperlink>
          </w:p>
        </w:tc>
        <w:tc>
          <w:tcPr>
            <w:tcW w:w="2376" w:type="dxa"/>
            <w:tcMar>
              <w:left w:w="0" w:type="dxa"/>
              <w:right w:w="0" w:type="dxa"/>
            </w:tcMar>
          </w:tcPr>
          <w:p w:rsidR="0072453C" w:rsidRPr="004408AA" w:rsidRDefault="000774BE" w:rsidP="0072453C">
            <w:r w:rsidRPr="004408AA">
              <w:t>12/16/</w:t>
            </w:r>
            <w:r w:rsidR="009E0EDD" w:rsidRPr="004408AA">
              <w:t>20</w:t>
            </w:r>
            <w:r w:rsidRPr="004408AA">
              <w:t>11</w:t>
            </w:r>
          </w:p>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72453C" w:rsidP="0072453C"/>
        </w:tc>
        <w:tc>
          <w:tcPr>
            <w:tcW w:w="237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93304B" w:rsidP="0072453C">
            <w:r w:rsidRPr="004408AA">
              <w:t>Textile Products</w:t>
            </w:r>
          </w:p>
        </w:tc>
        <w:tc>
          <w:tcPr>
            <w:tcW w:w="2376" w:type="dxa"/>
            <w:tcMar>
              <w:left w:w="0" w:type="dxa"/>
              <w:right w:w="0" w:type="dxa"/>
            </w:tcMar>
          </w:tcPr>
          <w:p w:rsidR="0072453C" w:rsidRPr="004408AA" w:rsidRDefault="0035432F" w:rsidP="007E5A86">
            <w:r w:rsidRPr="004408AA">
              <w:t>Licensing and</w:t>
            </w:r>
            <w:r w:rsidR="007E5A86" w:rsidRPr="004408AA">
              <w:t xml:space="preserve"> Model Contract</w:t>
            </w:r>
          </w:p>
        </w:tc>
      </w:tr>
    </w:tbl>
    <w:p w:rsidR="0072453C" w:rsidRPr="004408AA" w:rsidRDefault="0072453C" w:rsidP="0072453C"/>
    <w:p w:rsidR="0072453C" w:rsidRPr="004408AA" w:rsidRDefault="0093304B" w:rsidP="0072453C">
      <w:r w:rsidRPr="004408AA">
        <w:tab/>
        <w:t xml:space="preserve">Facts: The Work Rights Consortium (“WRC”) is a nonprofit corporation that attempts to </w:t>
      </w:r>
      <w:r w:rsidR="001424A2" w:rsidRPr="004408AA">
        <w:t>ensure that</w:t>
      </w:r>
      <w:r w:rsidRPr="004408AA">
        <w:t xml:space="preserve"> licensees and manufacture</w:t>
      </w:r>
      <w:r w:rsidR="0013132F" w:rsidRPr="004408AA">
        <w:t>r</w:t>
      </w:r>
      <w:r w:rsidRPr="004408AA">
        <w:t>s of college and university-licensed apparel and textile products</w:t>
      </w:r>
      <w:r w:rsidR="001424A2" w:rsidRPr="004408AA">
        <w:t xml:space="preserve"> comply with fair labor standards.  To promote this compliance, WRC</w:t>
      </w:r>
      <w:r w:rsidRPr="004408AA">
        <w:t xml:space="preserve"> proposes to implement a Design</w:t>
      </w:r>
      <w:r w:rsidR="001424A2" w:rsidRPr="004408AA">
        <w:t>ated Suppliers Program (“DSP”).  Schools that join the DSP will be encouraged but not required to incor</w:t>
      </w:r>
      <w:r w:rsidR="0013132F" w:rsidRPr="004408AA">
        <w:t xml:space="preserve">porate certain terms into licensing </w:t>
      </w:r>
      <w:r w:rsidR="001424A2" w:rsidRPr="004408AA">
        <w:t>agreements with the licens</w:t>
      </w:r>
      <w:r w:rsidR="0013132F" w:rsidRPr="004408AA">
        <w:t>ees of their college apparel.  For example, t</w:t>
      </w:r>
      <w:r w:rsidR="001424A2" w:rsidRPr="004408AA">
        <w:t xml:space="preserve">he </w:t>
      </w:r>
      <w:r w:rsidR="00E03F4A">
        <w:t>suggested</w:t>
      </w:r>
      <w:r w:rsidR="001424A2" w:rsidRPr="004408AA">
        <w:t xml:space="preserve"> terms </w:t>
      </w:r>
      <w:r w:rsidR="00E03F4A">
        <w:t>would</w:t>
      </w:r>
      <w:r w:rsidR="001424A2" w:rsidRPr="004408AA">
        <w:t xml:space="preserve"> require licensees to </w:t>
      </w:r>
      <w:r w:rsidR="0013132F" w:rsidRPr="004408AA">
        <w:t>pay f</w:t>
      </w:r>
      <w:r w:rsidR="008E4BE9">
        <w:t>actories enough to allow payment of living wages to the workers</w:t>
      </w:r>
      <w:r w:rsidR="00DF7495" w:rsidRPr="004408AA">
        <w:t xml:space="preserve">.  College apparel produced under these standards </w:t>
      </w:r>
      <w:r w:rsidR="00E03F4A">
        <w:t>would</w:t>
      </w:r>
      <w:r w:rsidR="00DF7495" w:rsidRPr="004408AA">
        <w:t xml:space="preserve"> be labeled </w:t>
      </w:r>
      <w:r w:rsidR="006A564B" w:rsidRPr="004408AA">
        <w:t>as such</w:t>
      </w:r>
      <w:r w:rsidR="00DF7495" w:rsidRPr="004408AA">
        <w:t>.</w:t>
      </w:r>
    </w:p>
    <w:p w:rsidR="0072453C" w:rsidRPr="004408AA" w:rsidRDefault="0072453C" w:rsidP="0072453C">
      <w:pPr>
        <w:tabs>
          <w:tab w:val="left" w:pos="3180"/>
        </w:tabs>
      </w:pPr>
      <w:r w:rsidRPr="004408AA">
        <w:tab/>
      </w:r>
    </w:p>
    <w:p w:rsidR="0072453C" w:rsidRPr="004408AA" w:rsidRDefault="00DF7495" w:rsidP="0072453C">
      <w:r w:rsidRPr="004408AA">
        <w:tab/>
        <w:t xml:space="preserve">Response: The Department has no present intention of challenging the WRC’s proposal.  The DSP is unlikely to lead to anticompetitive effects between potentially participating schools because use of the proposed </w:t>
      </w:r>
      <w:r w:rsidR="002D39BD">
        <w:t xml:space="preserve">licensing agreement </w:t>
      </w:r>
      <w:r w:rsidRPr="004408AA">
        <w:t xml:space="preserve">terms is optional, even among DSP participants.  The DSP is also unlikely to have a substantial effect on the labor market (because the impacted factories will constitute only a small portion of the labor market) or on downstream competition for apparel sales.  Further, the DSP may </w:t>
      </w:r>
      <w:r w:rsidR="0013132F" w:rsidRPr="004408AA">
        <w:t>provide an additional avenue for</w:t>
      </w:r>
      <w:r w:rsidRPr="004408AA">
        <w:t xml:space="preserve"> competition by providing information about whether apparel was produced according to DSP’s fair labor standards.</w:t>
      </w:r>
    </w:p>
    <w:p w:rsidR="0072453C" w:rsidRPr="004408AA" w:rsidRDefault="0072453C" w:rsidP="0072453C"/>
    <w:p w:rsidR="006A564B" w:rsidRPr="00AC53EE" w:rsidRDefault="0093304B" w:rsidP="001E1E4C">
      <w:pPr>
        <w:jc w:val="center"/>
        <w:rPr>
          <w:b/>
          <w:caps/>
        </w:rPr>
      </w:pPr>
      <w:r w:rsidRPr="004408AA">
        <w:br w:type="page"/>
      </w:r>
      <w:r w:rsidR="006A564B" w:rsidRPr="00AC53EE">
        <w:rPr>
          <w:b/>
          <w:caps/>
        </w:rPr>
        <w:lastRenderedPageBreak/>
        <w:t>Digest of Business Reviews</w:t>
      </w:r>
    </w:p>
    <w:p w:rsidR="006A564B" w:rsidRPr="004408AA" w:rsidRDefault="006A564B" w:rsidP="001E1E4C">
      <w:pPr>
        <w:jc w:val="center"/>
      </w:pPr>
    </w:p>
    <w:p w:rsidR="0093304B" w:rsidRPr="004408AA" w:rsidRDefault="001E1E4C" w:rsidP="001E1E4C">
      <w:pPr>
        <w:jc w:val="center"/>
        <w:rPr>
          <w:b/>
        </w:rPr>
      </w:pPr>
      <w:r w:rsidRPr="004408AA">
        <w:rPr>
          <w:b/>
        </w:rPr>
        <w:t>2012</w:t>
      </w:r>
    </w:p>
    <w:p w:rsidR="001E1E4C" w:rsidRPr="004408AA" w:rsidRDefault="001E1E4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760"/>
        <w:gridCol w:w="2376"/>
      </w:tblGrid>
      <w:tr w:rsidR="0072453C" w:rsidRPr="004408AA" w:rsidTr="001C6E21">
        <w:tc>
          <w:tcPr>
            <w:tcW w:w="720" w:type="dxa"/>
            <w:tcMar>
              <w:left w:w="0" w:type="dxa"/>
              <w:right w:w="0" w:type="dxa"/>
            </w:tcMar>
          </w:tcPr>
          <w:p w:rsidR="0072453C" w:rsidRPr="004408AA" w:rsidRDefault="0072453C" w:rsidP="0072453C">
            <w:r w:rsidRPr="004408AA">
              <w:t>12-1</w:t>
            </w:r>
          </w:p>
        </w:tc>
        <w:tc>
          <w:tcPr>
            <w:tcW w:w="5760" w:type="dxa"/>
            <w:tcMar>
              <w:left w:w="0" w:type="dxa"/>
              <w:right w:w="0" w:type="dxa"/>
            </w:tcMar>
          </w:tcPr>
          <w:p w:rsidR="0072453C" w:rsidRPr="004408AA" w:rsidRDefault="00E30F67" w:rsidP="0072453C">
            <w:hyperlink r:id="rId21" w:history="1">
              <w:r w:rsidR="001E1E4C" w:rsidRPr="002D39BD">
                <w:rPr>
                  <w:rStyle w:val="Hyperlink"/>
                </w:rPr>
                <w:t>STARS Alliance LLC</w:t>
              </w:r>
            </w:hyperlink>
          </w:p>
        </w:tc>
        <w:tc>
          <w:tcPr>
            <w:tcW w:w="2376" w:type="dxa"/>
            <w:tcMar>
              <w:left w:w="0" w:type="dxa"/>
              <w:right w:w="0" w:type="dxa"/>
            </w:tcMar>
          </w:tcPr>
          <w:p w:rsidR="0072453C" w:rsidRPr="004408AA" w:rsidRDefault="001E1E4C" w:rsidP="0072453C">
            <w:r w:rsidRPr="004408AA">
              <w:t>07/03/2012</w:t>
            </w:r>
          </w:p>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72453C" w:rsidP="0072453C"/>
        </w:tc>
        <w:tc>
          <w:tcPr>
            <w:tcW w:w="237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760" w:type="dxa"/>
            <w:tcMar>
              <w:left w:w="0" w:type="dxa"/>
              <w:right w:w="0" w:type="dxa"/>
            </w:tcMar>
          </w:tcPr>
          <w:p w:rsidR="0072453C" w:rsidRPr="004408AA" w:rsidRDefault="001E1E4C" w:rsidP="001E1E4C">
            <w:r w:rsidRPr="004408AA">
              <w:t>Nuclear Plants</w:t>
            </w:r>
          </w:p>
        </w:tc>
        <w:tc>
          <w:tcPr>
            <w:tcW w:w="2376" w:type="dxa"/>
            <w:tcMar>
              <w:left w:w="0" w:type="dxa"/>
              <w:right w:w="0" w:type="dxa"/>
            </w:tcMar>
          </w:tcPr>
          <w:p w:rsidR="0072453C" w:rsidRPr="004408AA" w:rsidRDefault="00093D3C" w:rsidP="00E21C55">
            <w:r w:rsidRPr="004408AA">
              <w:t>Competitor Collaboration</w:t>
            </w:r>
            <w:r w:rsidR="0035432F" w:rsidRPr="004408AA">
              <w:t xml:space="preserve"> </w:t>
            </w:r>
            <w:r w:rsidR="00E21C55" w:rsidRPr="004408AA">
              <w:t>a</w:t>
            </w:r>
            <w:r w:rsidR="0035432F" w:rsidRPr="004408AA">
              <w:t>nd</w:t>
            </w:r>
            <w:r w:rsidR="001E1E4C" w:rsidRPr="004408AA">
              <w:t xml:space="preserve"> Best Practices</w:t>
            </w:r>
          </w:p>
        </w:tc>
      </w:tr>
    </w:tbl>
    <w:p w:rsidR="0072453C" w:rsidRPr="004408AA" w:rsidRDefault="0072453C" w:rsidP="0072453C"/>
    <w:p w:rsidR="0072453C" w:rsidRPr="004408AA" w:rsidRDefault="005604F3" w:rsidP="0072453C">
      <w:r w:rsidRPr="004408AA">
        <w:tab/>
        <w:t>Facts: STARS Alliance LL</w:t>
      </w:r>
      <w:r w:rsidR="00E21C55" w:rsidRPr="004408AA">
        <w:t>C (“STARS”) is a proposed collaboration</w:t>
      </w:r>
      <w:r w:rsidRPr="004408AA">
        <w:t xml:space="preserve"> of seven electricity companies that operate nuclear electric generation plants.  STARS members are competitors only</w:t>
      </w:r>
      <w:r w:rsidR="003E4E4E" w:rsidRPr="004408AA">
        <w:t xml:space="preserve"> in limited geographical markets.  E</w:t>
      </w:r>
      <w:r w:rsidRPr="004408AA">
        <w:t xml:space="preserve">ven in these </w:t>
      </w:r>
      <w:r w:rsidR="003E4E4E" w:rsidRPr="004408AA">
        <w:t xml:space="preserve">limited geographical </w:t>
      </w:r>
      <w:r w:rsidRPr="004408AA">
        <w:t xml:space="preserve">markets, the STARS members do not set the market clearing price for electricity.  </w:t>
      </w:r>
      <w:proofErr w:type="gramStart"/>
      <w:r w:rsidRPr="004408AA">
        <w:t>STARS proposes</w:t>
      </w:r>
      <w:proofErr w:type="gramEnd"/>
      <w:r w:rsidRPr="004408AA">
        <w:t xml:space="preserve"> to share existing resources such as personnel and equipment.  It also plans to </w:t>
      </w:r>
      <w:r w:rsidR="008E4BE9">
        <w:t xml:space="preserve">share best practices and to </w:t>
      </w:r>
      <w:r w:rsidRPr="004408AA">
        <w:t>coordinate joint planning and operating activities.</w:t>
      </w:r>
      <w:r w:rsidR="003E4E4E" w:rsidRPr="004408AA">
        <w:t xml:space="preserve">  STARS members are not required to participate in any STARS activity.</w:t>
      </w:r>
    </w:p>
    <w:p w:rsidR="0072453C" w:rsidRPr="004408AA" w:rsidRDefault="0072453C" w:rsidP="0072453C">
      <w:pPr>
        <w:tabs>
          <w:tab w:val="left" w:pos="3180"/>
        </w:tabs>
      </w:pPr>
      <w:r w:rsidRPr="004408AA">
        <w:tab/>
      </w:r>
    </w:p>
    <w:p w:rsidR="0072453C" w:rsidRPr="004408AA" w:rsidRDefault="005604F3" w:rsidP="0072453C">
      <w:r w:rsidRPr="004408AA">
        <w:tab/>
        <w:t xml:space="preserve">Response: The Department has no present intention </w:t>
      </w:r>
      <w:r w:rsidR="003E4E4E" w:rsidRPr="004408AA">
        <w:t xml:space="preserve">to challenge the proposal.  </w:t>
      </w:r>
      <w:proofErr w:type="gramStart"/>
      <w:r w:rsidR="003E4E4E" w:rsidRPr="004408AA">
        <w:t>STARS is</w:t>
      </w:r>
      <w:proofErr w:type="gramEnd"/>
      <w:r w:rsidR="003E4E4E" w:rsidRPr="004408AA">
        <w:t xml:space="preserve"> unlikely to have an anticompetitive effect.  STARS </w:t>
      </w:r>
      <w:r w:rsidRPr="004408AA">
        <w:t>members generally compete in different geographic</w:t>
      </w:r>
      <w:r w:rsidR="003E4E4E" w:rsidRPr="004408AA">
        <w:t>al</w:t>
      </w:r>
      <w:r w:rsidRPr="004408AA">
        <w:t xml:space="preserve"> markets</w:t>
      </w:r>
      <w:r w:rsidR="003E4E4E" w:rsidRPr="004408AA">
        <w:t>.  Even in the limited geographic</w:t>
      </w:r>
      <w:r w:rsidR="008E4BE9">
        <w:t>al</w:t>
      </w:r>
      <w:r w:rsidR="003E4E4E" w:rsidRPr="004408AA">
        <w:t xml:space="preserve"> markets where STARS membe</w:t>
      </w:r>
      <w:r w:rsidR="00093D3C" w:rsidRPr="004408AA">
        <w:t>rs do compete, STARS</w:t>
      </w:r>
      <w:r w:rsidR="003E4E4E" w:rsidRPr="004408AA">
        <w:t xml:space="preserve"> is unlikely to affect electricity prices.  The STARS membe</w:t>
      </w:r>
      <w:r w:rsidR="00093D3C" w:rsidRPr="004408AA">
        <w:t>rs have also represented that they</w:t>
      </w:r>
      <w:r w:rsidR="003E4E4E" w:rsidRPr="004408AA">
        <w:t xml:space="preserve"> will not share competitively sensitive information with each other.  Further, STARS may have a procompetitive effect by lowering costs, increasing output, or </w:t>
      </w:r>
      <w:r w:rsidR="00995539">
        <w:t>improving</w:t>
      </w:r>
      <w:r w:rsidR="003E4E4E" w:rsidRPr="004408AA">
        <w:t xml:space="preserve"> safety.</w:t>
      </w:r>
    </w:p>
    <w:p w:rsidR="0072453C" w:rsidRPr="004408AA" w:rsidRDefault="0072453C" w:rsidP="0072453C"/>
    <w:p w:rsidR="001E1E4C" w:rsidRPr="004408AA" w:rsidRDefault="001E1E4C">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760"/>
        <w:gridCol w:w="2376"/>
      </w:tblGrid>
      <w:tr w:rsidR="003E4E4E" w:rsidRPr="004408AA" w:rsidTr="001C6E21">
        <w:tc>
          <w:tcPr>
            <w:tcW w:w="720" w:type="dxa"/>
            <w:tcMar>
              <w:left w:w="0" w:type="dxa"/>
              <w:right w:w="0" w:type="dxa"/>
            </w:tcMar>
          </w:tcPr>
          <w:p w:rsidR="003E4E4E" w:rsidRPr="004408AA" w:rsidRDefault="003E4E4E" w:rsidP="003E4E4E">
            <w:r w:rsidRPr="004408AA">
              <w:t>12-2</w:t>
            </w:r>
          </w:p>
        </w:tc>
        <w:tc>
          <w:tcPr>
            <w:tcW w:w="5760" w:type="dxa"/>
            <w:tcMar>
              <w:left w:w="0" w:type="dxa"/>
              <w:right w:w="0" w:type="dxa"/>
            </w:tcMar>
          </w:tcPr>
          <w:p w:rsidR="003E4E4E" w:rsidRPr="004408AA" w:rsidRDefault="00E30F67" w:rsidP="003E4E4E">
            <w:hyperlink r:id="rId22" w:history="1">
              <w:r w:rsidR="003E4E4E" w:rsidRPr="00973A66">
                <w:rPr>
                  <w:rStyle w:val="Hyperlink"/>
                </w:rPr>
                <w:t>STARS Alliance LLC</w:t>
              </w:r>
            </w:hyperlink>
          </w:p>
        </w:tc>
        <w:tc>
          <w:tcPr>
            <w:tcW w:w="2376" w:type="dxa"/>
            <w:tcMar>
              <w:left w:w="0" w:type="dxa"/>
              <w:right w:w="0" w:type="dxa"/>
            </w:tcMar>
          </w:tcPr>
          <w:p w:rsidR="003E4E4E" w:rsidRPr="004408AA" w:rsidRDefault="003E4E4E" w:rsidP="003E4E4E">
            <w:r w:rsidRPr="004408AA">
              <w:t>12/20/2012</w:t>
            </w:r>
          </w:p>
        </w:tc>
      </w:tr>
      <w:tr w:rsidR="003E4E4E" w:rsidRPr="004408AA" w:rsidTr="001C6E21">
        <w:tc>
          <w:tcPr>
            <w:tcW w:w="720" w:type="dxa"/>
          </w:tcPr>
          <w:p w:rsidR="003E4E4E" w:rsidRPr="004408AA" w:rsidRDefault="003E4E4E" w:rsidP="003E4E4E"/>
        </w:tc>
        <w:tc>
          <w:tcPr>
            <w:tcW w:w="5760" w:type="dxa"/>
            <w:tcMar>
              <w:left w:w="0" w:type="dxa"/>
              <w:right w:w="0" w:type="dxa"/>
            </w:tcMar>
          </w:tcPr>
          <w:p w:rsidR="003E4E4E" w:rsidRPr="004408AA" w:rsidRDefault="003E4E4E" w:rsidP="003E4E4E"/>
        </w:tc>
        <w:tc>
          <w:tcPr>
            <w:tcW w:w="2376" w:type="dxa"/>
            <w:tcMar>
              <w:left w:w="0" w:type="dxa"/>
              <w:right w:w="0" w:type="dxa"/>
            </w:tcMar>
          </w:tcPr>
          <w:p w:rsidR="003E4E4E" w:rsidRPr="004408AA" w:rsidRDefault="003E4E4E" w:rsidP="003E4E4E"/>
        </w:tc>
      </w:tr>
      <w:tr w:rsidR="003E4E4E" w:rsidRPr="004408AA" w:rsidTr="001C6E21">
        <w:tc>
          <w:tcPr>
            <w:tcW w:w="720" w:type="dxa"/>
          </w:tcPr>
          <w:p w:rsidR="003E4E4E" w:rsidRPr="004408AA" w:rsidRDefault="003E4E4E" w:rsidP="003E4E4E"/>
        </w:tc>
        <w:tc>
          <w:tcPr>
            <w:tcW w:w="5760" w:type="dxa"/>
            <w:tcMar>
              <w:left w:w="0" w:type="dxa"/>
              <w:right w:w="0" w:type="dxa"/>
            </w:tcMar>
          </w:tcPr>
          <w:p w:rsidR="003E4E4E" w:rsidRPr="004408AA" w:rsidRDefault="003E4E4E" w:rsidP="003E4E4E">
            <w:r w:rsidRPr="004408AA">
              <w:t>Nuclear Plants</w:t>
            </w:r>
          </w:p>
        </w:tc>
        <w:tc>
          <w:tcPr>
            <w:tcW w:w="2376" w:type="dxa"/>
            <w:tcMar>
              <w:left w:w="0" w:type="dxa"/>
              <w:right w:w="0" w:type="dxa"/>
            </w:tcMar>
          </w:tcPr>
          <w:p w:rsidR="003E4E4E" w:rsidRPr="004408AA" w:rsidRDefault="003E4E4E" w:rsidP="003E4E4E">
            <w:r w:rsidRPr="004408AA">
              <w:t>Joint Purchasing</w:t>
            </w:r>
          </w:p>
        </w:tc>
      </w:tr>
    </w:tbl>
    <w:p w:rsidR="0072453C" w:rsidRPr="004408AA" w:rsidRDefault="0072453C" w:rsidP="0072453C"/>
    <w:p w:rsidR="003E4E4E" w:rsidRPr="004408AA" w:rsidRDefault="003E4E4E" w:rsidP="003E4E4E">
      <w:r w:rsidRPr="004408AA">
        <w:tab/>
        <w:t xml:space="preserve">Facts: STARS Alliance LLC (“STARS”) is a proposed joint venture of seven electricity companies that operate nuclear electric generation plants.  STARS members are competitors only in limited geographical markets.  Even in these limited geographical markets, the STARS members do not set the market clearing price for electricity.  </w:t>
      </w:r>
      <w:proofErr w:type="gramStart"/>
      <w:r w:rsidRPr="004408AA">
        <w:t>STARS proposes</w:t>
      </w:r>
      <w:proofErr w:type="gramEnd"/>
      <w:r w:rsidRPr="004408AA">
        <w:t xml:space="preserve"> to jointly procure </w:t>
      </w:r>
      <w:r w:rsidR="000777AF" w:rsidRPr="004408AA">
        <w:t>eight categories of</w:t>
      </w:r>
      <w:r w:rsidRPr="004408AA">
        <w:t xml:space="preserve"> goods and services.  STARS represents that it</w:t>
      </w:r>
      <w:r w:rsidR="00093D3C" w:rsidRPr="004408AA">
        <w:t>s members purchase</w:t>
      </w:r>
      <w:r w:rsidRPr="004408AA">
        <w:t xml:space="preserve"> less than 20 percent of the U.S. market </w:t>
      </w:r>
      <w:r w:rsidR="00544D5D" w:rsidRPr="004408AA">
        <w:t>for</w:t>
      </w:r>
      <w:r w:rsidRPr="004408AA">
        <w:t xml:space="preserve"> each of the goods </w:t>
      </w:r>
      <w:r w:rsidR="00544D5D" w:rsidRPr="004408AA">
        <w:t>and services that it proposes to</w:t>
      </w:r>
      <w:r w:rsidRPr="004408AA">
        <w:t xml:space="preserve"> jointly procure.   STARS members are not required to join in any joint purchasing activity.</w:t>
      </w:r>
      <w:r w:rsidR="000777AF" w:rsidRPr="004408AA">
        <w:t xml:space="preserve">  Further, STARS will prohibit its members from discussing downstream electricity prices.  STARS will also prohibit discussion of the prices of upstream goods and services (other than to facilitate joint purchasing of the eight specified goods and services).</w:t>
      </w:r>
    </w:p>
    <w:p w:rsidR="0072453C" w:rsidRPr="004408AA" w:rsidRDefault="0072453C" w:rsidP="0072453C">
      <w:pPr>
        <w:tabs>
          <w:tab w:val="left" w:pos="3180"/>
        </w:tabs>
      </w:pPr>
      <w:r w:rsidRPr="004408AA">
        <w:tab/>
      </w:r>
    </w:p>
    <w:p w:rsidR="0072453C" w:rsidRPr="004408AA" w:rsidRDefault="003E4E4E" w:rsidP="0072453C">
      <w:r w:rsidRPr="004408AA">
        <w:tab/>
        <w:t>Response: The Department has no present intention to challenge the proposal.</w:t>
      </w:r>
      <w:r w:rsidR="00CA570D" w:rsidRPr="004408AA">
        <w:t xml:space="preserve">  </w:t>
      </w:r>
      <w:r w:rsidR="000777AF" w:rsidRPr="004408AA">
        <w:t xml:space="preserve">First, </w:t>
      </w:r>
      <w:r w:rsidR="00CA570D" w:rsidRPr="004408AA">
        <w:t>STARS’s proposed joint purchasing</w:t>
      </w:r>
      <w:r w:rsidRPr="004408AA">
        <w:t xml:space="preserve"> </w:t>
      </w:r>
      <w:r w:rsidR="00CA570D" w:rsidRPr="004408AA">
        <w:t xml:space="preserve">activities are unlikely to produce anticompetitive effects in the upstream markets for </w:t>
      </w:r>
      <w:proofErr w:type="spellStart"/>
      <w:r w:rsidR="00CA570D" w:rsidRPr="004408AA">
        <w:t>good</w:t>
      </w:r>
      <w:proofErr w:type="spellEnd"/>
      <w:r w:rsidR="00CA570D" w:rsidRPr="004408AA">
        <w:t xml:space="preserve"> and services.  Because STARS represents less than 20 percent of the market for each of the goods and services</w:t>
      </w:r>
      <w:r w:rsidR="000777AF" w:rsidRPr="004408AA">
        <w:t xml:space="preserve"> that</w:t>
      </w:r>
      <w:r w:rsidR="00544D5D" w:rsidRPr="004408AA">
        <w:t xml:space="preserve"> it will</w:t>
      </w:r>
      <w:r w:rsidR="00CA570D" w:rsidRPr="004408AA">
        <w:t xml:space="preserve"> jointly procure, the joint purchasing </w:t>
      </w:r>
      <w:r w:rsidR="008E4BE9">
        <w:t>activities fall</w:t>
      </w:r>
      <w:r w:rsidR="00CA570D" w:rsidRPr="004408AA">
        <w:t xml:space="preserve"> within the “antitrust safety zone” provided by </w:t>
      </w:r>
      <w:r w:rsidR="00C44178" w:rsidRPr="004408AA">
        <w:t>Section 4.2 of the Department of Justice’s and Federal Trade Commission’s</w:t>
      </w:r>
      <w:r w:rsidR="00CA570D" w:rsidRPr="004408AA">
        <w:t xml:space="preserve"> </w:t>
      </w:r>
      <w:r w:rsidR="00CA570D" w:rsidRPr="004408AA">
        <w:rPr>
          <w:i/>
        </w:rPr>
        <w:t>Antitrust Guidelines for Collaborations Among Competitors</w:t>
      </w:r>
      <w:r w:rsidR="00544D5D" w:rsidRPr="004408AA">
        <w:t xml:space="preserve"> (2000)</w:t>
      </w:r>
      <w:r w:rsidR="00CA570D" w:rsidRPr="004408AA">
        <w:t xml:space="preserve">. </w:t>
      </w:r>
      <w:r w:rsidRPr="004408AA">
        <w:t xml:space="preserve"> </w:t>
      </w:r>
      <w:r w:rsidR="000777AF" w:rsidRPr="004408AA">
        <w:t xml:space="preserve">Second, </w:t>
      </w:r>
      <w:r w:rsidR="00CA570D" w:rsidRPr="004408AA">
        <w:t xml:space="preserve">STARS’s proposed joint purchasing activities are unlikely to produce anticompetitive effects in any downstream electricity market.  </w:t>
      </w:r>
      <w:r w:rsidRPr="004408AA">
        <w:t>STARS members generally compete in different geographical markets.  Even in the limited geographic</w:t>
      </w:r>
      <w:r w:rsidR="008E4BE9">
        <w:t>al</w:t>
      </w:r>
      <w:r w:rsidRPr="004408AA">
        <w:t xml:space="preserve"> markets where STARS members do compete, the joint venture is unlikely to affect electricity prices.  </w:t>
      </w:r>
      <w:r w:rsidR="00CA570D" w:rsidRPr="004408AA">
        <w:t>Finally, STARS’s proposed joint purchasing activities may create efficiencies that produce a procompetitive effect.</w:t>
      </w:r>
    </w:p>
    <w:p w:rsidR="0072453C" w:rsidRPr="004408AA" w:rsidRDefault="0072453C" w:rsidP="0072453C"/>
    <w:p w:rsidR="00093D3C" w:rsidRPr="00AC53EE" w:rsidRDefault="003E4E4E" w:rsidP="000777AF">
      <w:pPr>
        <w:jc w:val="center"/>
        <w:rPr>
          <w:b/>
          <w:caps/>
        </w:rPr>
      </w:pPr>
      <w:r w:rsidRPr="004408AA">
        <w:br w:type="page"/>
      </w:r>
      <w:r w:rsidR="00093D3C" w:rsidRPr="00AC53EE">
        <w:rPr>
          <w:b/>
          <w:caps/>
        </w:rPr>
        <w:lastRenderedPageBreak/>
        <w:t>Digest of Business Reviews</w:t>
      </w:r>
    </w:p>
    <w:p w:rsidR="00093D3C" w:rsidRPr="004408AA" w:rsidRDefault="00093D3C" w:rsidP="000777AF">
      <w:pPr>
        <w:jc w:val="center"/>
      </w:pPr>
    </w:p>
    <w:p w:rsidR="003E4E4E" w:rsidRPr="004408AA" w:rsidRDefault="000777AF" w:rsidP="000777AF">
      <w:pPr>
        <w:jc w:val="center"/>
        <w:rPr>
          <w:b/>
        </w:rPr>
      </w:pPr>
      <w:r w:rsidRPr="004408AA">
        <w:rPr>
          <w:b/>
        </w:rPr>
        <w:t>2013</w:t>
      </w:r>
    </w:p>
    <w:p w:rsidR="000777AF" w:rsidRPr="004408AA" w:rsidRDefault="000777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850"/>
        <w:gridCol w:w="2286"/>
      </w:tblGrid>
      <w:tr w:rsidR="0072453C" w:rsidRPr="004408AA" w:rsidTr="001C6E21">
        <w:tc>
          <w:tcPr>
            <w:tcW w:w="720" w:type="dxa"/>
            <w:tcMar>
              <w:left w:w="0" w:type="dxa"/>
              <w:right w:w="0" w:type="dxa"/>
            </w:tcMar>
          </w:tcPr>
          <w:p w:rsidR="0072453C" w:rsidRPr="004408AA" w:rsidRDefault="0072453C" w:rsidP="0072453C">
            <w:r w:rsidRPr="004408AA">
              <w:t>13-1</w:t>
            </w:r>
          </w:p>
        </w:tc>
        <w:tc>
          <w:tcPr>
            <w:tcW w:w="5850" w:type="dxa"/>
            <w:tcMar>
              <w:left w:w="0" w:type="dxa"/>
              <w:right w:w="0" w:type="dxa"/>
            </w:tcMar>
          </w:tcPr>
          <w:p w:rsidR="0072453C" w:rsidRPr="004408AA" w:rsidRDefault="00E30F67" w:rsidP="0072453C">
            <w:hyperlink r:id="rId23" w:history="1">
              <w:r w:rsidR="000777AF" w:rsidRPr="002C5A36">
                <w:rPr>
                  <w:rStyle w:val="Hyperlink"/>
                </w:rPr>
                <w:t xml:space="preserve">Columbia Fuel Services, Inc. and </w:t>
              </w:r>
              <w:proofErr w:type="spellStart"/>
              <w:r w:rsidR="000777AF" w:rsidRPr="002C5A36">
                <w:rPr>
                  <w:rStyle w:val="Hyperlink"/>
                </w:rPr>
                <w:t>Lanmar</w:t>
              </w:r>
              <w:proofErr w:type="spellEnd"/>
              <w:r w:rsidR="000777AF" w:rsidRPr="002C5A36">
                <w:rPr>
                  <w:rStyle w:val="Hyperlink"/>
                </w:rPr>
                <w:t xml:space="preserve"> Aviation, Inc.</w:t>
              </w:r>
            </w:hyperlink>
          </w:p>
        </w:tc>
        <w:tc>
          <w:tcPr>
            <w:tcW w:w="2286" w:type="dxa"/>
            <w:tcMar>
              <w:left w:w="0" w:type="dxa"/>
              <w:right w:w="0" w:type="dxa"/>
            </w:tcMar>
          </w:tcPr>
          <w:p w:rsidR="0072453C" w:rsidRPr="004408AA" w:rsidRDefault="002C5A36" w:rsidP="0072453C">
            <w:r>
              <w:t>01/02</w:t>
            </w:r>
            <w:r w:rsidR="000777AF" w:rsidRPr="004408AA">
              <w:t>/</w:t>
            </w:r>
            <w:r w:rsidR="009E0EDD" w:rsidRPr="004408AA">
              <w:t>20</w:t>
            </w:r>
            <w:r w:rsidR="000777AF" w:rsidRPr="004408AA">
              <w:t>13</w:t>
            </w:r>
          </w:p>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72453C" w:rsidP="0072453C"/>
        </w:tc>
        <w:tc>
          <w:tcPr>
            <w:tcW w:w="2286" w:type="dxa"/>
            <w:tcMar>
              <w:left w:w="0" w:type="dxa"/>
              <w:right w:w="0" w:type="dxa"/>
            </w:tcMar>
          </w:tcPr>
          <w:p w:rsidR="0072453C" w:rsidRPr="004408AA" w:rsidRDefault="0072453C" w:rsidP="0072453C"/>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551858" w:rsidP="0072453C">
            <w:r w:rsidRPr="004408AA">
              <w:t>Flight Support</w:t>
            </w:r>
            <w:r w:rsidR="000A6C27" w:rsidRPr="004408AA">
              <w:t xml:space="preserve"> Services</w:t>
            </w:r>
          </w:p>
        </w:tc>
        <w:tc>
          <w:tcPr>
            <w:tcW w:w="2286" w:type="dxa"/>
            <w:tcMar>
              <w:left w:w="0" w:type="dxa"/>
              <w:right w:w="0" w:type="dxa"/>
            </w:tcMar>
          </w:tcPr>
          <w:p w:rsidR="0072453C" w:rsidRPr="004408AA" w:rsidRDefault="000777AF" w:rsidP="0072453C">
            <w:r w:rsidRPr="004408AA">
              <w:t>Joint Venture</w:t>
            </w:r>
          </w:p>
        </w:tc>
      </w:tr>
    </w:tbl>
    <w:p w:rsidR="0072453C" w:rsidRPr="004408AA" w:rsidRDefault="0072453C" w:rsidP="0072453C"/>
    <w:p w:rsidR="0072453C" w:rsidRPr="004408AA" w:rsidRDefault="00A44AE3" w:rsidP="0072453C">
      <w:r w:rsidRPr="004408AA">
        <w:tab/>
        <w:t xml:space="preserve">Facts: Columbia Fuel Services, Inc. (“CFS”) and </w:t>
      </w:r>
      <w:proofErr w:type="spellStart"/>
      <w:r w:rsidRPr="004408AA">
        <w:t>Lanmar</w:t>
      </w:r>
      <w:proofErr w:type="spellEnd"/>
      <w:r w:rsidRPr="004408AA">
        <w:t xml:space="preserve"> Aviation, Inc. (“LA”) are the only two companies that provide flight support services at the Groton-New London Airport (the “Airport”).  These services include </w:t>
      </w:r>
      <w:r w:rsidR="00544D5D" w:rsidRPr="004408AA">
        <w:t>supplying</w:t>
      </w:r>
      <w:r w:rsidRPr="004408AA">
        <w:t xml:space="preserve"> fuel, </w:t>
      </w:r>
      <w:r w:rsidR="00544D5D" w:rsidRPr="004408AA">
        <w:t>renting</w:t>
      </w:r>
      <w:r w:rsidR="00093D3C" w:rsidRPr="004408AA">
        <w:t xml:space="preserve"> </w:t>
      </w:r>
      <w:r w:rsidR="008E4BE9">
        <w:t xml:space="preserve">hangars and </w:t>
      </w:r>
      <w:r w:rsidR="00093D3C" w:rsidRPr="004408AA">
        <w:t>office space</w:t>
      </w:r>
      <w:r w:rsidRPr="004408AA">
        <w:t xml:space="preserve">, and </w:t>
      </w:r>
      <w:r w:rsidR="00544D5D" w:rsidRPr="004408AA">
        <w:t xml:space="preserve">providing </w:t>
      </w:r>
      <w:r w:rsidRPr="004408AA">
        <w:t xml:space="preserve">baggage handling services.  Flight operations have decreased at the Airport between 2006 and 2011, </w:t>
      </w:r>
      <w:r w:rsidR="00093D3C" w:rsidRPr="004408AA">
        <w:t>which has decreased</w:t>
      </w:r>
      <w:r w:rsidRPr="004408AA">
        <w:t xml:space="preserve"> the profitability of both companies.  CFS and LA therefore propose forming a joint venture combining the companies’ flight support services</w:t>
      </w:r>
      <w:r w:rsidR="00093D3C" w:rsidRPr="004408AA">
        <w:t xml:space="preserve"> at the Airport</w:t>
      </w:r>
      <w:r w:rsidRPr="004408AA">
        <w:t xml:space="preserve">.  The two </w:t>
      </w:r>
      <w:proofErr w:type="gramStart"/>
      <w:r w:rsidRPr="004408AA">
        <w:t>companies</w:t>
      </w:r>
      <w:proofErr w:type="gramEnd"/>
      <w:r w:rsidRPr="004408AA">
        <w:t xml:space="preserve"> represent that th</w:t>
      </w:r>
      <w:r w:rsidR="00093D3C" w:rsidRPr="004408AA">
        <w:t>eir combination will not result in</w:t>
      </w:r>
      <w:r w:rsidRPr="004408AA">
        <w:t xml:space="preserve"> supra-competitive prices because surrounding airports</w:t>
      </w:r>
      <w:r w:rsidR="00093D3C" w:rsidRPr="004408AA">
        <w:t>’ service companies</w:t>
      </w:r>
      <w:r w:rsidRPr="004408AA">
        <w:t xml:space="preserve"> w</w:t>
      </w:r>
      <w:r w:rsidR="00093D3C" w:rsidRPr="004408AA">
        <w:t>ill be able to compete for the joint venture’s</w:t>
      </w:r>
      <w:r w:rsidRPr="004408AA">
        <w:t xml:space="preserve"> business; aircraft </w:t>
      </w:r>
      <w:r w:rsidR="00E00432">
        <w:t xml:space="preserve">operators </w:t>
      </w:r>
      <w:r w:rsidRPr="004408AA">
        <w:t xml:space="preserve">can </w:t>
      </w:r>
      <w:r w:rsidR="00E00432">
        <w:t>purchase fuel at other airports</w:t>
      </w:r>
      <w:r w:rsidR="00093D3C" w:rsidRPr="004408AA">
        <w:t>; and competitors could</w:t>
      </w:r>
      <w:r w:rsidRPr="004408AA">
        <w:t xml:space="preserve"> establish services at the Airport.</w:t>
      </w:r>
    </w:p>
    <w:p w:rsidR="0072453C" w:rsidRPr="004408AA" w:rsidRDefault="0072453C" w:rsidP="00A44AE3">
      <w:pPr>
        <w:tabs>
          <w:tab w:val="left" w:pos="3180"/>
          <w:tab w:val="center" w:pos="4680"/>
        </w:tabs>
      </w:pPr>
      <w:r w:rsidRPr="004408AA">
        <w:tab/>
      </w:r>
      <w:r w:rsidR="00A44AE3" w:rsidRPr="004408AA">
        <w:tab/>
      </w:r>
    </w:p>
    <w:p w:rsidR="0072453C" w:rsidRPr="004408AA" w:rsidRDefault="00A44AE3" w:rsidP="0072453C">
      <w:r w:rsidRPr="004408AA">
        <w:tab/>
        <w:t xml:space="preserve">Response: The Department has no present intention to challenge the proposed joint venture.  The proposed joint venture does not appear likely to produce anticompetitive effects, given the </w:t>
      </w:r>
      <w:r w:rsidR="00544D5D" w:rsidRPr="004408AA">
        <w:t xml:space="preserve">parties’ representations and the </w:t>
      </w:r>
      <w:proofErr w:type="gramStart"/>
      <w:r w:rsidRPr="004408AA">
        <w:t>Department’s understanding</w:t>
      </w:r>
      <w:proofErr w:type="gramEnd"/>
      <w:r w:rsidRPr="004408AA">
        <w:t xml:space="preserve"> of </w:t>
      </w:r>
      <w:r w:rsidR="00995539">
        <w:t xml:space="preserve">the </w:t>
      </w:r>
      <w:r w:rsidRPr="004408AA">
        <w:t>competitive conditions for flight support services at the Airport.</w:t>
      </w:r>
    </w:p>
    <w:p w:rsidR="0072453C" w:rsidRPr="004408AA" w:rsidRDefault="0072453C" w:rsidP="0072453C"/>
    <w:p w:rsidR="00A44AE3" w:rsidRPr="004408AA" w:rsidRDefault="000777AF" w:rsidP="00A44AE3">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850"/>
        <w:gridCol w:w="2286"/>
      </w:tblGrid>
      <w:tr w:rsidR="00A44AE3" w:rsidRPr="004408AA" w:rsidTr="00A44AE3">
        <w:tc>
          <w:tcPr>
            <w:tcW w:w="720" w:type="dxa"/>
            <w:tcMar>
              <w:left w:w="0" w:type="dxa"/>
              <w:right w:w="0" w:type="dxa"/>
            </w:tcMar>
          </w:tcPr>
          <w:p w:rsidR="00A44AE3" w:rsidRPr="004408AA" w:rsidRDefault="00A44AE3" w:rsidP="00A44AE3">
            <w:r w:rsidRPr="004408AA">
              <w:t>13-2</w:t>
            </w:r>
          </w:p>
        </w:tc>
        <w:tc>
          <w:tcPr>
            <w:tcW w:w="5850" w:type="dxa"/>
            <w:tcMar>
              <w:left w:w="0" w:type="dxa"/>
              <w:right w:w="0" w:type="dxa"/>
            </w:tcMar>
          </w:tcPr>
          <w:p w:rsidR="00A44AE3" w:rsidRPr="004408AA" w:rsidRDefault="00E30F67" w:rsidP="00C44178">
            <w:hyperlink r:id="rId24" w:history="1">
              <w:r w:rsidR="00A44AE3" w:rsidRPr="00C25494">
                <w:rPr>
                  <w:rStyle w:val="Hyperlink"/>
                </w:rPr>
                <w:t>Greater New York Hospital Association</w:t>
              </w:r>
            </w:hyperlink>
          </w:p>
        </w:tc>
        <w:tc>
          <w:tcPr>
            <w:tcW w:w="2286" w:type="dxa"/>
            <w:tcMar>
              <w:left w:w="0" w:type="dxa"/>
              <w:right w:w="0" w:type="dxa"/>
            </w:tcMar>
          </w:tcPr>
          <w:p w:rsidR="00A44AE3" w:rsidRPr="004408AA" w:rsidRDefault="009E0EDD" w:rsidP="00A44AE3">
            <w:r w:rsidRPr="004408AA">
              <w:t>01/16/20</w:t>
            </w:r>
            <w:r w:rsidR="00A44AE3" w:rsidRPr="004408AA">
              <w:t>13</w:t>
            </w:r>
          </w:p>
        </w:tc>
      </w:tr>
      <w:tr w:rsidR="00A44AE3" w:rsidRPr="004408AA" w:rsidTr="00A44AE3">
        <w:tc>
          <w:tcPr>
            <w:tcW w:w="720" w:type="dxa"/>
          </w:tcPr>
          <w:p w:rsidR="00A44AE3" w:rsidRPr="004408AA" w:rsidRDefault="00A44AE3" w:rsidP="00A44AE3"/>
        </w:tc>
        <w:tc>
          <w:tcPr>
            <w:tcW w:w="5850" w:type="dxa"/>
            <w:tcMar>
              <w:left w:w="0" w:type="dxa"/>
              <w:right w:w="0" w:type="dxa"/>
            </w:tcMar>
          </w:tcPr>
          <w:p w:rsidR="00A44AE3" w:rsidRPr="004408AA" w:rsidRDefault="00A44AE3" w:rsidP="00A44AE3"/>
        </w:tc>
        <w:tc>
          <w:tcPr>
            <w:tcW w:w="2286" w:type="dxa"/>
            <w:tcMar>
              <w:left w:w="0" w:type="dxa"/>
              <w:right w:w="0" w:type="dxa"/>
            </w:tcMar>
          </w:tcPr>
          <w:p w:rsidR="00A44AE3" w:rsidRPr="004408AA" w:rsidRDefault="00A44AE3" w:rsidP="00A44AE3"/>
        </w:tc>
      </w:tr>
      <w:tr w:rsidR="00A44AE3" w:rsidRPr="004408AA" w:rsidTr="00A44AE3">
        <w:tc>
          <w:tcPr>
            <w:tcW w:w="720" w:type="dxa"/>
          </w:tcPr>
          <w:p w:rsidR="00A44AE3" w:rsidRPr="004408AA" w:rsidRDefault="00A44AE3" w:rsidP="00A44AE3"/>
        </w:tc>
        <w:tc>
          <w:tcPr>
            <w:tcW w:w="5850" w:type="dxa"/>
            <w:tcMar>
              <w:left w:w="0" w:type="dxa"/>
              <w:right w:w="0" w:type="dxa"/>
            </w:tcMar>
          </w:tcPr>
          <w:p w:rsidR="00A44AE3" w:rsidRPr="004408AA" w:rsidRDefault="0035432F" w:rsidP="00A44AE3">
            <w:r w:rsidRPr="004408AA">
              <w:t>Hospital Services</w:t>
            </w:r>
          </w:p>
        </w:tc>
        <w:tc>
          <w:tcPr>
            <w:tcW w:w="2286" w:type="dxa"/>
            <w:tcMar>
              <w:left w:w="0" w:type="dxa"/>
              <w:right w:w="0" w:type="dxa"/>
            </w:tcMar>
          </w:tcPr>
          <w:p w:rsidR="00A44AE3" w:rsidRPr="004408AA" w:rsidRDefault="0035432F" w:rsidP="00551858">
            <w:r w:rsidRPr="004408AA">
              <w:t>Information Exchange</w:t>
            </w:r>
            <w:r w:rsidR="00551858" w:rsidRPr="004408AA">
              <w:t xml:space="preserve"> and Best Practices</w:t>
            </w:r>
          </w:p>
        </w:tc>
      </w:tr>
    </w:tbl>
    <w:p w:rsidR="00A44AE3" w:rsidRPr="004408AA" w:rsidRDefault="00A44AE3" w:rsidP="00A44AE3"/>
    <w:p w:rsidR="00A44AE3" w:rsidRPr="004408AA" w:rsidRDefault="00A44AE3" w:rsidP="00A44AE3">
      <w:pPr>
        <w:pStyle w:val="Default"/>
      </w:pPr>
      <w:r w:rsidRPr="004408AA">
        <w:tab/>
        <w:t>Facts: The association, consisting of 250 hospitals and continuing care facilities in New York and several nearby states, propose</w:t>
      </w:r>
      <w:r w:rsidR="00551858" w:rsidRPr="004408AA">
        <w:t>s</w:t>
      </w:r>
      <w:r w:rsidRPr="004408AA">
        <w:t xml:space="preserve"> a voluntary </w:t>
      </w:r>
      <w:proofErr w:type="spellStart"/>
      <w:r w:rsidRPr="004408AA">
        <w:t>gainsharing</w:t>
      </w:r>
      <w:proofErr w:type="spellEnd"/>
      <w:r w:rsidRPr="004408AA">
        <w:t xml:space="preserve"> program through which participating hospitals can measure physician performance against a benchmark</w:t>
      </w:r>
      <w:r w:rsidR="00C44178" w:rsidRPr="004408AA">
        <w:t>–Best Practice Norms–</w:t>
      </w:r>
      <w:r w:rsidRPr="004408AA">
        <w:t>and award bonuses to physicians for improvements in quality and efficiency. Each hospital would determine whether and to what extent to compensate the physicians. Best Practice Norms would be created based on publicly available, historical data.</w:t>
      </w:r>
    </w:p>
    <w:p w:rsidR="00A44AE3" w:rsidRPr="004408AA" w:rsidRDefault="00A44AE3" w:rsidP="00A44AE3">
      <w:pPr>
        <w:tabs>
          <w:tab w:val="left" w:pos="3180"/>
        </w:tabs>
      </w:pPr>
      <w:r w:rsidRPr="004408AA">
        <w:tab/>
      </w:r>
    </w:p>
    <w:p w:rsidR="00A44AE3" w:rsidRPr="004408AA" w:rsidRDefault="00A44AE3" w:rsidP="00A44AE3">
      <w:pPr>
        <w:pStyle w:val="Default"/>
      </w:pPr>
      <w:r w:rsidRPr="004408AA">
        <w:tab/>
        <w:t xml:space="preserve">Response: </w:t>
      </w:r>
      <w:r w:rsidR="004D335F" w:rsidRPr="004408AA">
        <w:t xml:space="preserve">The Department has no present intention to challenge the proposal.  </w:t>
      </w:r>
      <w:r w:rsidRPr="004408AA">
        <w:t xml:space="preserve">First, the </w:t>
      </w:r>
      <w:proofErr w:type="spellStart"/>
      <w:r w:rsidRPr="004408AA">
        <w:t>gainsharing</w:t>
      </w:r>
      <w:proofErr w:type="spellEnd"/>
      <w:r w:rsidRPr="004408AA">
        <w:t xml:space="preserve"> program </w:t>
      </w:r>
      <w:r w:rsidR="00551858" w:rsidRPr="004408AA">
        <w:t>does</w:t>
      </w:r>
      <w:r w:rsidRPr="004408AA">
        <w:t xml:space="preserve"> not constitute a horizontal agreement among competing hospitals about compensation levels for p</w:t>
      </w:r>
      <w:r w:rsidR="00551858" w:rsidRPr="004408AA">
        <w:t>hysicians. No provision involves</w:t>
      </w:r>
      <w:r w:rsidRPr="004408AA">
        <w:t xml:space="preserve"> any agreement or coordination concerning the prices that participating</w:t>
      </w:r>
      <w:r w:rsidR="00551858" w:rsidRPr="004408AA">
        <w:t xml:space="preserve"> hospitals or physicians charge</w:t>
      </w:r>
      <w:r w:rsidRPr="004408AA">
        <w:t xml:space="preserve"> for their services. Hospitals could independently and unilaterally choose whether to participate and determine a hospital-specific incentive payment cap. The two provisions regarding cap regulation a</w:t>
      </w:r>
      <w:r w:rsidR="00551858" w:rsidRPr="004408AA">
        <w:t>nd fair market value analysis a</w:t>
      </w:r>
      <w:r w:rsidRPr="004408AA">
        <w:t>re narrowly tailored to achi</w:t>
      </w:r>
      <w:r w:rsidR="00551858" w:rsidRPr="004408AA">
        <w:t>eve the program’s purpose and a</w:t>
      </w:r>
      <w:r w:rsidRPr="004408AA">
        <w:t>re not intended to coordinate or standardize hospital p</w:t>
      </w:r>
      <w:r w:rsidR="00551858" w:rsidRPr="004408AA">
        <w:t>ayments. Second, the program does</w:t>
      </w:r>
      <w:r w:rsidRPr="004408AA">
        <w:t xml:space="preserve"> not constitute an information exchange among hospitals that would facilitate anticompetitive coordination to limit physician compensation. The only shared information among the hospitals would be Best Practice Norms, which would be built on publicly available data and would be sufficiently aggregated to prevent identification of any competitively sensitive information. </w:t>
      </w:r>
      <w:r w:rsidR="00C44178" w:rsidRPr="004408AA">
        <w:t>T</w:t>
      </w:r>
      <w:r w:rsidRPr="004408AA">
        <w:t>he proposed sharing of Best Practice Norms with participat</w:t>
      </w:r>
      <w:r w:rsidR="00551858" w:rsidRPr="004408AA">
        <w:t>ing hospitals therefore complies</w:t>
      </w:r>
      <w:r w:rsidRPr="004408AA">
        <w:t xml:space="preserve"> with the antitrust safety-zone requirements of Statement 6 of the Department of Justice</w:t>
      </w:r>
      <w:r w:rsidR="00C44178" w:rsidRPr="004408AA">
        <w:t>’</w:t>
      </w:r>
      <w:r w:rsidRPr="004408AA">
        <w:t>s and Federal Trade Commission</w:t>
      </w:r>
      <w:r w:rsidR="00C44178" w:rsidRPr="004408AA">
        <w:t>’</w:t>
      </w:r>
      <w:r w:rsidRPr="004408AA">
        <w:t xml:space="preserve">s </w:t>
      </w:r>
      <w:r w:rsidRPr="004408AA">
        <w:rPr>
          <w:i/>
          <w:iCs/>
        </w:rPr>
        <w:t xml:space="preserve">Statements of Antitrust Enforcement Policy in Health Care </w:t>
      </w:r>
      <w:r w:rsidRPr="004408AA">
        <w:t>(1996).</w:t>
      </w:r>
    </w:p>
    <w:p w:rsidR="0072453C" w:rsidRPr="004408AA" w:rsidRDefault="0072453C" w:rsidP="00A44AE3"/>
    <w:p w:rsidR="00A44AE3" w:rsidRPr="004408AA" w:rsidRDefault="00A44AE3">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850"/>
        <w:gridCol w:w="2286"/>
      </w:tblGrid>
      <w:tr w:rsidR="0072453C" w:rsidRPr="004408AA" w:rsidTr="001C6E21">
        <w:tc>
          <w:tcPr>
            <w:tcW w:w="720" w:type="dxa"/>
            <w:tcMar>
              <w:left w:w="0" w:type="dxa"/>
              <w:right w:w="0" w:type="dxa"/>
            </w:tcMar>
          </w:tcPr>
          <w:p w:rsidR="0072453C" w:rsidRPr="004408AA" w:rsidRDefault="0072453C" w:rsidP="0072453C">
            <w:r w:rsidRPr="004408AA">
              <w:t>13-3</w:t>
            </w:r>
          </w:p>
        </w:tc>
        <w:tc>
          <w:tcPr>
            <w:tcW w:w="5850" w:type="dxa"/>
            <w:tcMar>
              <w:left w:w="0" w:type="dxa"/>
              <w:right w:w="0" w:type="dxa"/>
            </w:tcMar>
          </w:tcPr>
          <w:p w:rsidR="0072453C" w:rsidRPr="004408AA" w:rsidRDefault="00E30F67" w:rsidP="0072453C">
            <w:hyperlink r:id="rId25" w:history="1">
              <w:r w:rsidR="00C44178" w:rsidRPr="00A5496D">
                <w:rPr>
                  <w:rStyle w:val="Hyperlink"/>
                </w:rPr>
                <w:t>Intellectual Property Exchange International, Inc.</w:t>
              </w:r>
            </w:hyperlink>
          </w:p>
        </w:tc>
        <w:tc>
          <w:tcPr>
            <w:tcW w:w="2286" w:type="dxa"/>
            <w:tcMar>
              <w:left w:w="0" w:type="dxa"/>
              <w:right w:w="0" w:type="dxa"/>
            </w:tcMar>
          </w:tcPr>
          <w:p w:rsidR="0072453C" w:rsidRPr="004408AA" w:rsidRDefault="00C44178" w:rsidP="009E0EDD">
            <w:r w:rsidRPr="004408AA">
              <w:t>0</w:t>
            </w:r>
            <w:r w:rsidR="009E0EDD" w:rsidRPr="004408AA">
              <w:t>3</w:t>
            </w:r>
            <w:r w:rsidRPr="004408AA">
              <w:t>/</w:t>
            </w:r>
            <w:r w:rsidR="009E0EDD" w:rsidRPr="004408AA">
              <w:t>26</w:t>
            </w:r>
            <w:r w:rsidRPr="004408AA">
              <w:t>/</w:t>
            </w:r>
            <w:r w:rsidR="009E0EDD" w:rsidRPr="004408AA">
              <w:t>20</w:t>
            </w:r>
            <w:r w:rsidRPr="004408AA">
              <w:t>1</w:t>
            </w:r>
            <w:r w:rsidR="009E0EDD" w:rsidRPr="004408AA">
              <w:t>3</w:t>
            </w:r>
          </w:p>
        </w:tc>
      </w:tr>
      <w:tr w:rsidR="0072453C" w:rsidRPr="004408AA" w:rsidTr="001C6E21">
        <w:tc>
          <w:tcPr>
            <w:tcW w:w="720" w:type="dxa"/>
          </w:tcPr>
          <w:p w:rsidR="0072453C" w:rsidRPr="004408AA" w:rsidRDefault="0072453C" w:rsidP="0072453C"/>
        </w:tc>
        <w:tc>
          <w:tcPr>
            <w:tcW w:w="5850" w:type="dxa"/>
            <w:tcMar>
              <w:left w:w="0" w:type="dxa"/>
              <w:right w:w="0" w:type="dxa"/>
            </w:tcMar>
          </w:tcPr>
          <w:p w:rsidR="0072453C" w:rsidRPr="004408AA" w:rsidRDefault="0072453C" w:rsidP="0072453C"/>
        </w:tc>
        <w:tc>
          <w:tcPr>
            <w:tcW w:w="2286" w:type="dxa"/>
            <w:tcMar>
              <w:left w:w="0" w:type="dxa"/>
              <w:right w:w="0" w:type="dxa"/>
            </w:tcMar>
          </w:tcPr>
          <w:p w:rsidR="0072453C" w:rsidRPr="004408AA" w:rsidRDefault="0072453C" w:rsidP="0072453C"/>
        </w:tc>
      </w:tr>
      <w:tr w:rsidR="0072453C" w:rsidRPr="004408AA" w:rsidTr="003268B8">
        <w:trPr>
          <w:trHeight w:val="252"/>
        </w:trPr>
        <w:tc>
          <w:tcPr>
            <w:tcW w:w="720" w:type="dxa"/>
          </w:tcPr>
          <w:p w:rsidR="0072453C" w:rsidRPr="004408AA" w:rsidRDefault="0072453C" w:rsidP="0072453C"/>
        </w:tc>
        <w:tc>
          <w:tcPr>
            <w:tcW w:w="5850" w:type="dxa"/>
            <w:tcMar>
              <w:left w:w="0" w:type="dxa"/>
              <w:right w:w="0" w:type="dxa"/>
            </w:tcMar>
          </w:tcPr>
          <w:p w:rsidR="0072453C" w:rsidRPr="004408AA" w:rsidRDefault="003268B8" w:rsidP="0072453C">
            <w:r w:rsidRPr="004408AA">
              <w:t>Financial Services</w:t>
            </w:r>
          </w:p>
        </w:tc>
        <w:tc>
          <w:tcPr>
            <w:tcW w:w="2286" w:type="dxa"/>
            <w:tcMar>
              <w:left w:w="0" w:type="dxa"/>
              <w:right w:w="0" w:type="dxa"/>
            </w:tcMar>
          </w:tcPr>
          <w:p w:rsidR="0072453C" w:rsidRPr="004408AA" w:rsidRDefault="007C02DF" w:rsidP="0072453C">
            <w:r w:rsidRPr="004408AA">
              <w:t>Patent Licensing</w:t>
            </w:r>
          </w:p>
        </w:tc>
      </w:tr>
    </w:tbl>
    <w:p w:rsidR="0072453C" w:rsidRPr="004408AA" w:rsidRDefault="0072453C" w:rsidP="0072453C"/>
    <w:p w:rsidR="0072453C" w:rsidRPr="004408AA" w:rsidRDefault="0072453C" w:rsidP="0072453C">
      <w:pPr>
        <w:pStyle w:val="Default"/>
      </w:pPr>
      <w:r w:rsidRPr="004408AA">
        <w:tab/>
        <w:t xml:space="preserve">Facts: </w:t>
      </w:r>
      <w:r w:rsidR="007C02DF" w:rsidRPr="004408AA">
        <w:t xml:space="preserve">Intellectual Property Exchange International, Inc. (“IPXI”) is a </w:t>
      </w:r>
      <w:r w:rsidR="001967BA" w:rsidRPr="004408AA">
        <w:t>proposed financial exchange.  It</w:t>
      </w:r>
      <w:r w:rsidR="00093D3C" w:rsidRPr="004408AA">
        <w:t xml:space="preserve"> intends </w:t>
      </w:r>
      <w:r w:rsidR="00D5123D" w:rsidRPr="004408AA">
        <w:t xml:space="preserve">to convert patent licenses into </w:t>
      </w:r>
      <w:r w:rsidR="001967BA" w:rsidRPr="004408AA">
        <w:t>Unit License Rights (“</w:t>
      </w:r>
      <w:r w:rsidR="00093D3C" w:rsidRPr="004408AA">
        <w:t>ULRs</w:t>
      </w:r>
      <w:r w:rsidR="001967BA" w:rsidRPr="004408AA">
        <w:t>”)</w:t>
      </w:r>
      <w:r w:rsidR="00995539">
        <w:t xml:space="preserve">, which </w:t>
      </w:r>
      <w:r w:rsidR="00551858" w:rsidRPr="004408AA">
        <w:t xml:space="preserve">are </w:t>
      </w:r>
      <w:r w:rsidR="008E4BE9">
        <w:t>meant</w:t>
      </w:r>
      <w:r w:rsidR="00551858" w:rsidRPr="004408AA">
        <w:t xml:space="preserve"> to</w:t>
      </w:r>
      <w:r w:rsidR="001967BA" w:rsidRPr="004408AA">
        <w:t xml:space="preserve"> be</w:t>
      </w:r>
      <w:r w:rsidR="00093D3C" w:rsidRPr="004408AA">
        <w:t xml:space="preserve"> </w:t>
      </w:r>
      <w:r w:rsidR="00D5123D" w:rsidRPr="004408AA">
        <w:t>standardized, transparent, and tradable</w:t>
      </w:r>
      <w:r w:rsidR="007C02DF" w:rsidRPr="004408AA">
        <w:t xml:space="preserve"> </w:t>
      </w:r>
      <w:r w:rsidR="00995539">
        <w:t>instruments.  A ULR</w:t>
      </w:r>
      <w:r w:rsidR="00D5123D" w:rsidRPr="004408AA">
        <w:t xml:space="preserve"> </w:t>
      </w:r>
      <w:r w:rsidR="00995539">
        <w:t>is a</w:t>
      </w:r>
      <w:r w:rsidR="009C6325">
        <w:t xml:space="preserve"> non</w:t>
      </w:r>
      <w:r w:rsidR="00D5123D" w:rsidRPr="004408AA">
        <w:t xml:space="preserve">exclusive sublicense of a patent that </w:t>
      </w:r>
      <w:r w:rsidR="00995539">
        <w:t>is</w:t>
      </w:r>
      <w:r w:rsidR="00D5123D" w:rsidRPr="004408AA">
        <w:t xml:space="preserve"> ext</w:t>
      </w:r>
      <w:r w:rsidR="00093D3C" w:rsidRPr="004408AA">
        <w:t>inguished upon a single use.  Thus</w:t>
      </w:r>
      <w:r w:rsidR="00D5123D" w:rsidRPr="004408AA">
        <w:t xml:space="preserve">, </w:t>
      </w:r>
      <w:r w:rsidR="00FF490C" w:rsidRPr="004408AA">
        <w:t xml:space="preserve">each unit of a product that produces patents in a ULR </w:t>
      </w:r>
      <w:r w:rsidR="00995539">
        <w:t>would</w:t>
      </w:r>
      <w:r w:rsidR="00FF490C" w:rsidRPr="004408AA">
        <w:t xml:space="preserve"> require </w:t>
      </w:r>
      <w:r w:rsidR="00551858" w:rsidRPr="004408AA">
        <w:t>the purchase of one ULR.  To have a patent converted into</w:t>
      </w:r>
      <w:r w:rsidR="00FF490C" w:rsidRPr="004408AA">
        <w:t xml:space="preserve"> a ULR, </w:t>
      </w:r>
      <w:r w:rsidR="00551858" w:rsidRPr="004408AA">
        <w:t xml:space="preserve">the </w:t>
      </w:r>
      <w:r w:rsidR="00FF490C" w:rsidRPr="004408AA">
        <w:t>p</w:t>
      </w:r>
      <w:r w:rsidR="00551858" w:rsidRPr="004408AA">
        <w:t>atent holder will submit it</w:t>
      </w:r>
      <w:r w:rsidR="00FF490C" w:rsidRPr="004408AA">
        <w:t xml:space="preserve"> for IPXI’s review.  IPXI wi</w:t>
      </w:r>
      <w:r w:rsidR="001967BA" w:rsidRPr="004408AA">
        <w:t>ll perform market research to determine</w:t>
      </w:r>
      <w:r w:rsidR="00FF490C" w:rsidRPr="004408AA">
        <w:t xml:space="preserve"> whether the patent is marketable as a ULR and, if so, what terms would be appropriate.  If </w:t>
      </w:r>
      <w:r w:rsidR="00093D3C" w:rsidRPr="004408AA">
        <w:t>IPXI and the patent holder</w:t>
      </w:r>
      <w:r w:rsidR="00FF490C" w:rsidRPr="004408AA">
        <w:t xml:space="preserve"> decide to go forward with the conversion, </w:t>
      </w:r>
      <w:r w:rsidR="00093D3C" w:rsidRPr="004408AA">
        <w:t>they</w:t>
      </w:r>
      <w:r w:rsidR="00FF490C" w:rsidRPr="004408AA">
        <w:t xml:space="preserve"> will agree on the terms for selling the ULR on the primary market.  IPXI may pool several patents into a single ULR, although all patent holders and IPXI will have to agree to the terms</w:t>
      </w:r>
      <w:r w:rsidR="00551858" w:rsidRPr="004408AA">
        <w:t>,</w:t>
      </w:r>
      <w:r w:rsidR="00FF490C" w:rsidRPr="004408AA">
        <w:t xml:space="preserve"> and generally the patent holders will</w:t>
      </w:r>
      <w:r w:rsidR="00551858" w:rsidRPr="004408AA">
        <w:t xml:space="preserve"> also</w:t>
      </w:r>
      <w:r w:rsidR="00FF490C" w:rsidRPr="004408AA">
        <w:t xml:space="preserve"> have to agree to provide their individual patents</w:t>
      </w:r>
      <w:r w:rsidR="00551858" w:rsidRPr="004408AA">
        <w:t xml:space="preserve"> as ULRs</w:t>
      </w:r>
      <w:r w:rsidR="00FF490C" w:rsidRPr="004408AA">
        <w:t>.  I</w:t>
      </w:r>
      <w:r w:rsidR="00093D3C" w:rsidRPr="004408AA">
        <w:t xml:space="preserve">PXI’s </w:t>
      </w:r>
      <w:r w:rsidR="00FF490C" w:rsidRPr="004408AA">
        <w:t xml:space="preserve">staff will attempt to guarantee that </w:t>
      </w:r>
      <w:r w:rsidR="00995539">
        <w:t>IPXI</w:t>
      </w:r>
      <w:r w:rsidR="00093D3C" w:rsidRPr="004408AA">
        <w:t xml:space="preserve"> </w:t>
      </w:r>
      <w:r w:rsidR="00551858" w:rsidRPr="004408AA">
        <w:t>does</w:t>
      </w:r>
      <w:r w:rsidR="00093D3C" w:rsidRPr="004408AA">
        <w:t xml:space="preserve"> not offer ULRs that compete with each other</w:t>
      </w:r>
      <w:r w:rsidR="00FF490C" w:rsidRPr="004408AA">
        <w:t>.</w:t>
      </w:r>
    </w:p>
    <w:p w:rsidR="0072453C" w:rsidRPr="004408AA" w:rsidRDefault="0072453C" w:rsidP="0072453C">
      <w:pPr>
        <w:tabs>
          <w:tab w:val="left" w:pos="3180"/>
        </w:tabs>
      </w:pPr>
      <w:r w:rsidRPr="004408AA">
        <w:tab/>
      </w:r>
    </w:p>
    <w:p w:rsidR="0072453C" w:rsidRPr="004408AA" w:rsidRDefault="0072453C" w:rsidP="007C02DF">
      <w:pPr>
        <w:pStyle w:val="Default"/>
      </w:pPr>
      <w:r w:rsidRPr="004408AA">
        <w:tab/>
        <w:t xml:space="preserve">Response: </w:t>
      </w:r>
      <w:r w:rsidR="00C44178" w:rsidRPr="004408AA">
        <w:t>The Department declines to state its present enforcement intentions regardi</w:t>
      </w:r>
      <w:r w:rsidR="001C3BBE" w:rsidRPr="004408AA">
        <w:t>ng IPXI’s proposal</w:t>
      </w:r>
      <w:r w:rsidR="00551858" w:rsidRPr="004408AA">
        <w:t>.  T</w:t>
      </w:r>
      <w:r w:rsidR="000938EE" w:rsidRPr="004408AA">
        <w:t>oo many uncer</w:t>
      </w:r>
      <w:r w:rsidR="00551858" w:rsidRPr="004408AA">
        <w:t>tainties exist to determine</w:t>
      </w:r>
      <w:r w:rsidR="000938EE" w:rsidRPr="004408AA">
        <w:t xml:space="preserve"> whether IPXI’s novel proposal will </w:t>
      </w:r>
      <w:r w:rsidR="00093D3C" w:rsidRPr="004408AA">
        <w:t>produce</w:t>
      </w:r>
      <w:r w:rsidR="000938EE" w:rsidRPr="004408AA">
        <w:t xml:space="preserve"> anticompetitive effects</w:t>
      </w:r>
      <w:r w:rsidR="001C3BBE" w:rsidRPr="004408AA">
        <w:t xml:space="preserve">.  </w:t>
      </w:r>
      <w:r w:rsidR="000938EE" w:rsidRPr="004408AA">
        <w:t xml:space="preserve">The Department recognizes that IPXI’s proposal may lead to procompetitive effects such as increased licensing efficiency, </w:t>
      </w:r>
      <w:r w:rsidR="00093D3C" w:rsidRPr="004408AA">
        <w:t xml:space="preserve">improved </w:t>
      </w:r>
      <w:r w:rsidR="000938EE" w:rsidRPr="004408AA">
        <w:t>price transparen</w:t>
      </w:r>
      <w:r w:rsidR="00093D3C" w:rsidRPr="004408AA">
        <w:t>cy, and beneficial pooling of U</w:t>
      </w:r>
      <w:r w:rsidR="000938EE" w:rsidRPr="004408AA">
        <w:t>L</w:t>
      </w:r>
      <w:r w:rsidR="00093D3C" w:rsidRPr="004408AA">
        <w:t>R</w:t>
      </w:r>
      <w:r w:rsidR="000938EE" w:rsidRPr="004408AA">
        <w:t>s.  Further, IPXI proposes adequate safeguards against sharing competitively sensitive information.  But it is not yet clear to the Department whether IPXI can successfully guarantee tha</w:t>
      </w:r>
      <w:r w:rsidR="00093D3C" w:rsidRPr="004408AA">
        <w:t>t it does not offer competing U</w:t>
      </w:r>
      <w:r w:rsidR="000938EE" w:rsidRPr="004408AA">
        <w:t>L</w:t>
      </w:r>
      <w:r w:rsidR="00093D3C" w:rsidRPr="004408AA">
        <w:t>Rs.  Offering competing U</w:t>
      </w:r>
      <w:r w:rsidR="000938EE" w:rsidRPr="004408AA">
        <w:t>L</w:t>
      </w:r>
      <w:r w:rsidR="00093D3C" w:rsidRPr="004408AA">
        <w:t>R</w:t>
      </w:r>
      <w:r w:rsidR="000938EE" w:rsidRPr="004408AA">
        <w:t xml:space="preserve">s could raise competitive concerns because IPXI could act as a common agent to ensure that accommodating terms </w:t>
      </w:r>
      <w:r w:rsidR="00093D3C" w:rsidRPr="004408AA">
        <w:t>are</w:t>
      </w:r>
      <w:r w:rsidR="00551858" w:rsidRPr="004408AA">
        <w:t xml:space="preserve"> set for</w:t>
      </w:r>
      <w:r w:rsidR="000938EE" w:rsidRPr="004408AA">
        <w:t xml:space="preserve"> all patent holders.  Also, IPXI’s proposed patent pooling may raise anticompetitive concerns, in part because some of IPXI’s patent pools may inc</w:t>
      </w:r>
      <w:r w:rsidR="007C02DF" w:rsidRPr="004408AA">
        <w:t>lude patents that are substitutes for one another.</w:t>
      </w:r>
    </w:p>
    <w:p w:rsidR="00C44178" w:rsidRPr="004408AA" w:rsidRDefault="00C44178" w:rsidP="0072453C">
      <w:pPr>
        <w:pStyle w:val="Default"/>
      </w:pPr>
    </w:p>
    <w:p w:rsidR="0072453C" w:rsidRPr="004408AA" w:rsidRDefault="0072453C" w:rsidP="0072453C"/>
    <w:p w:rsidR="00093D3C" w:rsidRPr="00AC53EE" w:rsidRDefault="00C44178" w:rsidP="0088374F">
      <w:pPr>
        <w:jc w:val="center"/>
        <w:rPr>
          <w:b/>
          <w:caps/>
        </w:rPr>
      </w:pPr>
      <w:r w:rsidRPr="004408AA">
        <w:br w:type="page"/>
      </w:r>
      <w:r w:rsidR="00093D3C" w:rsidRPr="00AC53EE">
        <w:rPr>
          <w:b/>
          <w:caps/>
        </w:rPr>
        <w:lastRenderedPageBreak/>
        <w:t>Digest of Business Reviews</w:t>
      </w:r>
    </w:p>
    <w:p w:rsidR="00093D3C" w:rsidRPr="004408AA" w:rsidRDefault="00093D3C" w:rsidP="0088374F">
      <w:pPr>
        <w:jc w:val="center"/>
      </w:pPr>
    </w:p>
    <w:p w:rsidR="00C44178" w:rsidRPr="004408AA" w:rsidRDefault="0088374F" w:rsidP="0088374F">
      <w:pPr>
        <w:jc w:val="center"/>
        <w:rPr>
          <w:b/>
        </w:rPr>
      </w:pPr>
      <w:r w:rsidRPr="004408AA">
        <w:rPr>
          <w:b/>
        </w:rPr>
        <w:t>2014</w:t>
      </w:r>
    </w:p>
    <w:p w:rsidR="0088374F" w:rsidRPr="004408AA" w:rsidRDefault="008837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850"/>
        <w:gridCol w:w="2286"/>
      </w:tblGrid>
      <w:tr w:rsidR="00836DBF" w:rsidRPr="004408AA" w:rsidTr="00836DBF">
        <w:tc>
          <w:tcPr>
            <w:tcW w:w="720" w:type="dxa"/>
            <w:tcMar>
              <w:left w:w="0" w:type="dxa"/>
              <w:right w:w="0" w:type="dxa"/>
            </w:tcMar>
          </w:tcPr>
          <w:p w:rsidR="00836DBF" w:rsidRPr="004408AA" w:rsidRDefault="00836DBF" w:rsidP="00836DBF">
            <w:r w:rsidRPr="004408AA">
              <w:t>14-1</w:t>
            </w:r>
          </w:p>
        </w:tc>
        <w:tc>
          <w:tcPr>
            <w:tcW w:w="5850" w:type="dxa"/>
            <w:tcMar>
              <w:left w:w="0" w:type="dxa"/>
              <w:right w:w="0" w:type="dxa"/>
            </w:tcMar>
          </w:tcPr>
          <w:p w:rsidR="00836DBF" w:rsidRPr="004408AA" w:rsidRDefault="00E30F67" w:rsidP="00C26C6A">
            <w:pPr>
              <w:tabs>
                <w:tab w:val="right" w:pos="5850"/>
              </w:tabs>
            </w:pPr>
            <w:hyperlink r:id="rId26" w:history="1">
              <w:r w:rsidR="0088374F" w:rsidRPr="00C26C6A">
                <w:rPr>
                  <w:rStyle w:val="Hyperlink"/>
                </w:rPr>
                <w:t xml:space="preserve">Flexi-Van Leasing, Inc. and Direct </w:t>
              </w:r>
              <w:proofErr w:type="spellStart"/>
              <w:r w:rsidR="0088374F" w:rsidRPr="00C26C6A">
                <w:rPr>
                  <w:rStyle w:val="Hyperlink"/>
                </w:rPr>
                <w:t>ChassisLink</w:t>
              </w:r>
              <w:proofErr w:type="spellEnd"/>
              <w:r w:rsidR="0088374F" w:rsidRPr="00C26C6A">
                <w:rPr>
                  <w:rStyle w:val="Hyperlink"/>
                </w:rPr>
                <w:t>, Inc.</w:t>
              </w:r>
            </w:hyperlink>
            <w:r w:rsidR="00C26C6A">
              <w:tab/>
            </w:r>
          </w:p>
        </w:tc>
        <w:tc>
          <w:tcPr>
            <w:tcW w:w="2286" w:type="dxa"/>
            <w:tcMar>
              <w:left w:w="0" w:type="dxa"/>
              <w:right w:w="0" w:type="dxa"/>
            </w:tcMar>
          </w:tcPr>
          <w:p w:rsidR="00836DBF" w:rsidRPr="004408AA" w:rsidRDefault="0088374F" w:rsidP="00836DBF">
            <w:r w:rsidRPr="004408AA">
              <w:t>09/23/</w:t>
            </w:r>
            <w:r w:rsidR="009E0EDD" w:rsidRPr="004408AA">
              <w:t>20</w:t>
            </w:r>
            <w:r w:rsidRPr="004408AA">
              <w:t>14</w:t>
            </w:r>
          </w:p>
        </w:tc>
      </w:tr>
      <w:tr w:rsidR="00836DBF" w:rsidRPr="004408AA" w:rsidTr="00836DBF">
        <w:tc>
          <w:tcPr>
            <w:tcW w:w="720" w:type="dxa"/>
          </w:tcPr>
          <w:p w:rsidR="00836DBF" w:rsidRPr="004408AA" w:rsidRDefault="00836DBF" w:rsidP="00836DBF"/>
        </w:tc>
        <w:tc>
          <w:tcPr>
            <w:tcW w:w="5850" w:type="dxa"/>
            <w:tcMar>
              <w:left w:w="0" w:type="dxa"/>
              <w:right w:w="0" w:type="dxa"/>
            </w:tcMar>
          </w:tcPr>
          <w:p w:rsidR="00836DBF" w:rsidRPr="004408AA" w:rsidRDefault="00836DBF" w:rsidP="00836DBF"/>
        </w:tc>
        <w:tc>
          <w:tcPr>
            <w:tcW w:w="2286" w:type="dxa"/>
            <w:tcMar>
              <w:left w:w="0" w:type="dxa"/>
              <w:right w:w="0" w:type="dxa"/>
            </w:tcMar>
          </w:tcPr>
          <w:p w:rsidR="00836DBF" w:rsidRPr="004408AA" w:rsidRDefault="00836DBF" w:rsidP="00836DBF"/>
        </w:tc>
      </w:tr>
      <w:tr w:rsidR="00836DBF" w:rsidRPr="004408AA" w:rsidTr="00836DBF">
        <w:tc>
          <w:tcPr>
            <w:tcW w:w="720" w:type="dxa"/>
          </w:tcPr>
          <w:p w:rsidR="00836DBF" w:rsidRPr="004408AA" w:rsidRDefault="00836DBF" w:rsidP="00836DBF"/>
        </w:tc>
        <w:tc>
          <w:tcPr>
            <w:tcW w:w="5850" w:type="dxa"/>
            <w:tcMar>
              <w:left w:w="0" w:type="dxa"/>
              <w:right w:w="0" w:type="dxa"/>
            </w:tcMar>
          </w:tcPr>
          <w:p w:rsidR="00836DBF" w:rsidRPr="004408AA" w:rsidRDefault="007C02DF" w:rsidP="0088374F">
            <w:r w:rsidRPr="004408AA">
              <w:t>Transportation Equipment</w:t>
            </w:r>
          </w:p>
        </w:tc>
        <w:tc>
          <w:tcPr>
            <w:tcW w:w="2286" w:type="dxa"/>
            <w:tcMar>
              <w:left w:w="0" w:type="dxa"/>
              <w:right w:w="0" w:type="dxa"/>
            </w:tcMar>
          </w:tcPr>
          <w:p w:rsidR="00836DBF" w:rsidRPr="004408AA" w:rsidRDefault="0088374F" w:rsidP="00836DBF">
            <w:r w:rsidRPr="004408AA">
              <w:t>Horizontal Agreement (Misc.)</w:t>
            </w:r>
          </w:p>
        </w:tc>
      </w:tr>
    </w:tbl>
    <w:p w:rsidR="00836DBF" w:rsidRPr="004408AA" w:rsidRDefault="00836DBF" w:rsidP="00836DBF"/>
    <w:p w:rsidR="00836DBF" w:rsidRPr="004408AA" w:rsidRDefault="0088374F" w:rsidP="00836DBF">
      <w:r w:rsidRPr="004408AA">
        <w:tab/>
        <w:t xml:space="preserve">Facts: Flexi-Van Leasing, Inc. (“FVLI”) and Direct </w:t>
      </w:r>
      <w:proofErr w:type="spellStart"/>
      <w:r w:rsidRPr="004408AA">
        <w:t>ChassisLink</w:t>
      </w:r>
      <w:proofErr w:type="spellEnd"/>
      <w:r w:rsidRPr="004408AA">
        <w:t>, Inc</w:t>
      </w:r>
      <w:r w:rsidR="00093D3C" w:rsidRPr="004408AA">
        <w:t>.</w:t>
      </w:r>
      <w:r w:rsidRPr="004408AA">
        <w:t xml:space="preserve"> (“DCLI”) are chassis leasing companies that also manage chassis pools at the ports of Los Angeles and Long</w:t>
      </w:r>
      <w:r w:rsidR="00963C7C" w:rsidRPr="004408AA">
        <w:t xml:space="preserve"> Beach, California (“LA/LB”).  </w:t>
      </w:r>
      <w:r w:rsidR="00FB7633" w:rsidRPr="004408AA">
        <w:t>C</w:t>
      </w:r>
      <w:r w:rsidRPr="004408AA">
        <w:t xml:space="preserve">hassis </w:t>
      </w:r>
      <w:r w:rsidR="00FB7633" w:rsidRPr="004408AA">
        <w:t>are used for the intermodal</w:t>
      </w:r>
      <w:r w:rsidR="00963C7C" w:rsidRPr="004408AA">
        <w:t xml:space="preserve"> </w:t>
      </w:r>
      <w:r w:rsidR="00FB7633" w:rsidRPr="004408AA">
        <w:t>transportation of</w:t>
      </w:r>
      <w:r w:rsidRPr="004408AA">
        <w:t xml:space="preserve"> marine containers.  Currently, </w:t>
      </w:r>
      <w:r w:rsidR="00963C7C" w:rsidRPr="004408AA">
        <w:t>six chassis pools</w:t>
      </w:r>
      <w:r w:rsidR="00093D3C" w:rsidRPr="004408AA">
        <w:t xml:space="preserve"> operate</w:t>
      </w:r>
      <w:r w:rsidR="00963C7C" w:rsidRPr="004408AA">
        <w:t xml:space="preserve"> </w:t>
      </w:r>
      <w:r w:rsidR="0015268D">
        <w:t xml:space="preserve">at LA/LB.  </w:t>
      </w:r>
      <w:r w:rsidR="007B357B">
        <w:t>At present</w:t>
      </w:r>
      <w:r w:rsidR="0015268D">
        <w:t>, a c</w:t>
      </w:r>
      <w:r w:rsidR="00FB7633" w:rsidRPr="004408AA">
        <w:t>hassis pool</w:t>
      </w:r>
      <w:r w:rsidR="0015268D">
        <w:t>’s</w:t>
      </w:r>
      <w:r w:rsidR="00FB7633" w:rsidRPr="004408AA">
        <w:t xml:space="preserve"> customers must drop off their chassis at</w:t>
      </w:r>
      <w:r w:rsidR="00963C7C" w:rsidRPr="004408AA">
        <w:t xml:space="preserve"> location</w:t>
      </w:r>
      <w:r w:rsidR="00FB7633" w:rsidRPr="004408AA">
        <w:t>s</w:t>
      </w:r>
      <w:r w:rsidR="00963C7C" w:rsidRPr="004408AA">
        <w:t xml:space="preserve"> operated by the </w:t>
      </w:r>
      <w:r w:rsidR="00FB7633" w:rsidRPr="004408AA">
        <w:t xml:space="preserve">chassis pool’s owner.  This procedure has </w:t>
      </w:r>
      <w:r w:rsidR="00963C7C" w:rsidRPr="004408AA">
        <w:t>increased congestion because the pool drop-off location</w:t>
      </w:r>
      <w:r w:rsidR="00093D3C" w:rsidRPr="004408AA">
        <w:t>s are</w:t>
      </w:r>
      <w:r w:rsidR="00963C7C" w:rsidRPr="004408AA">
        <w:t xml:space="preserve"> often </w:t>
      </w:r>
      <w:r w:rsidR="00093D3C" w:rsidRPr="004408AA">
        <w:t>far</w:t>
      </w:r>
      <w:r w:rsidR="00963C7C" w:rsidRPr="004408AA">
        <w:t xml:space="preserve"> from the </w:t>
      </w:r>
      <w:r w:rsidR="003268B8" w:rsidRPr="004408AA">
        <w:t>chassis pool customer</w:t>
      </w:r>
      <w:r w:rsidR="00963C7C" w:rsidRPr="004408AA">
        <w:t xml:space="preserve">s’ other drop-off and pick-up locations.  FVLI and DCLI propose to </w:t>
      </w:r>
      <w:r w:rsidR="007B357B">
        <w:t>enter into</w:t>
      </w:r>
      <w:r w:rsidR="00963C7C" w:rsidRPr="004408AA">
        <w:t xml:space="preserve"> an agreemen</w:t>
      </w:r>
      <w:r w:rsidR="003268B8" w:rsidRPr="004408AA">
        <w:t>t that will allow chassis pool customers</w:t>
      </w:r>
      <w:r w:rsidR="00963C7C" w:rsidRPr="004408AA">
        <w:t xml:space="preserve"> to pick up and </w:t>
      </w:r>
      <w:r w:rsidR="00093D3C" w:rsidRPr="004408AA">
        <w:t>drop off chassis at FVLI and</w:t>
      </w:r>
      <w:r w:rsidR="00963C7C" w:rsidRPr="004408AA">
        <w:t xml:space="preserve"> DCLI location</w:t>
      </w:r>
      <w:r w:rsidR="00093D3C" w:rsidRPr="004408AA">
        <w:t>s</w:t>
      </w:r>
      <w:r w:rsidR="00963C7C" w:rsidRPr="004408AA">
        <w:t xml:space="preserve">.  FVLI and DCLI will continue to compete for customers for the pool interchange program, and a third-party service provider will ensure that the information exchanged between the two companies </w:t>
      </w:r>
      <w:r w:rsidR="0015268D">
        <w:t>does</w:t>
      </w:r>
      <w:r w:rsidR="00963C7C" w:rsidRPr="004408AA">
        <w:t xml:space="preserve"> not </w:t>
      </w:r>
      <w:r w:rsidR="00113D91">
        <w:t>relate to</w:t>
      </w:r>
      <w:r w:rsidR="00963C7C" w:rsidRPr="004408AA">
        <w:t xml:space="preserve"> customer pricing or other competitively sensitive terms.  The two compa</w:t>
      </w:r>
      <w:r w:rsidR="00093D3C" w:rsidRPr="004408AA">
        <w:t>nies eventually intend to let other companies join</w:t>
      </w:r>
      <w:r w:rsidR="00963C7C" w:rsidRPr="004408AA">
        <w:t xml:space="preserve"> this pool interchange program.</w:t>
      </w:r>
    </w:p>
    <w:p w:rsidR="00836DBF" w:rsidRPr="004408AA" w:rsidRDefault="00836DBF" w:rsidP="00836DBF">
      <w:pPr>
        <w:tabs>
          <w:tab w:val="left" w:pos="3180"/>
        </w:tabs>
      </w:pPr>
      <w:r w:rsidRPr="004408AA">
        <w:tab/>
      </w:r>
    </w:p>
    <w:p w:rsidR="00836DBF" w:rsidRPr="004408AA" w:rsidRDefault="00963C7C" w:rsidP="00836DBF">
      <w:r w:rsidRPr="004408AA">
        <w:tab/>
        <w:t xml:space="preserve">Response: The Department has no present intention to challenge the proposed agreement.  Based on the </w:t>
      </w:r>
      <w:r w:rsidR="003268B8" w:rsidRPr="004408AA">
        <w:t xml:space="preserve">parties’ representations and the available </w:t>
      </w:r>
      <w:r w:rsidRPr="004408AA">
        <w:t xml:space="preserve">information </w:t>
      </w:r>
      <w:r w:rsidR="00093D3C" w:rsidRPr="004408AA">
        <w:t>about the competitive conditions related to the supply of chassis at LA/LB</w:t>
      </w:r>
      <w:r w:rsidRPr="004408AA">
        <w:t>, the proposed agreement is unlikely to produce any anticompetitive effects.</w:t>
      </w:r>
    </w:p>
    <w:p w:rsidR="0072453C" w:rsidRPr="004408AA" w:rsidRDefault="0072453C" w:rsidP="0072453C"/>
    <w:p w:rsidR="0088374F" w:rsidRPr="004408AA" w:rsidRDefault="0088374F">
      <w:r w:rsidRPr="004408A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850"/>
        <w:gridCol w:w="2286"/>
      </w:tblGrid>
      <w:tr w:rsidR="00836DBF" w:rsidRPr="004408AA" w:rsidTr="00836DBF">
        <w:tc>
          <w:tcPr>
            <w:tcW w:w="720" w:type="dxa"/>
            <w:tcMar>
              <w:left w:w="0" w:type="dxa"/>
              <w:right w:w="0" w:type="dxa"/>
            </w:tcMar>
          </w:tcPr>
          <w:p w:rsidR="00836DBF" w:rsidRPr="004408AA" w:rsidRDefault="00836DBF" w:rsidP="00836DBF">
            <w:r w:rsidRPr="004408AA">
              <w:t>14-2</w:t>
            </w:r>
          </w:p>
        </w:tc>
        <w:tc>
          <w:tcPr>
            <w:tcW w:w="5850" w:type="dxa"/>
            <w:tcMar>
              <w:left w:w="0" w:type="dxa"/>
              <w:right w:w="0" w:type="dxa"/>
            </w:tcMar>
          </w:tcPr>
          <w:p w:rsidR="00836DBF" w:rsidRPr="004408AA" w:rsidRDefault="00E30F67" w:rsidP="00836DBF">
            <w:hyperlink r:id="rId27" w:history="1">
              <w:proofErr w:type="spellStart"/>
              <w:r w:rsidR="000930B5" w:rsidRPr="00105C03">
                <w:rPr>
                  <w:rStyle w:val="Hyperlink"/>
                </w:rPr>
                <w:t>CyberPoint</w:t>
              </w:r>
              <w:proofErr w:type="spellEnd"/>
              <w:r w:rsidR="000930B5" w:rsidRPr="00105C03">
                <w:rPr>
                  <w:rStyle w:val="Hyperlink"/>
                </w:rPr>
                <w:t xml:space="preserve"> International</w:t>
              </w:r>
              <w:r w:rsidR="00B9492E" w:rsidRPr="00105C03">
                <w:rPr>
                  <w:rStyle w:val="Hyperlink"/>
                </w:rPr>
                <w:t xml:space="preserve"> LLC</w:t>
              </w:r>
            </w:hyperlink>
          </w:p>
        </w:tc>
        <w:tc>
          <w:tcPr>
            <w:tcW w:w="2286" w:type="dxa"/>
            <w:tcMar>
              <w:left w:w="0" w:type="dxa"/>
              <w:right w:w="0" w:type="dxa"/>
            </w:tcMar>
          </w:tcPr>
          <w:p w:rsidR="00836DBF" w:rsidRPr="004408AA" w:rsidRDefault="000930B5" w:rsidP="00836DBF">
            <w:r w:rsidRPr="004408AA">
              <w:t>10/02/</w:t>
            </w:r>
            <w:r w:rsidR="009E0EDD" w:rsidRPr="004408AA">
              <w:t>20</w:t>
            </w:r>
            <w:r w:rsidRPr="004408AA">
              <w:t>14</w:t>
            </w:r>
          </w:p>
        </w:tc>
      </w:tr>
      <w:tr w:rsidR="00836DBF" w:rsidRPr="004408AA" w:rsidTr="00836DBF">
        <w:tc>
          <w:tcPr>
            <w:tcW w:w="720" w:type="dxa"/>
          </w:tcPr>
          <w:p w:rsidR="00836DBF" w:rsidRPr="004408AA" w:rsidRDefault="00836DBF" w:rsidP="00836DBF"/>
        </w:tc>
        <w:tc>
          <w:tcPr>
            <w:tcW w:w="5850" w:type="dxa"/>
            <w:tcMar>
              <w:left w:w="0" w:type="dxa"/>
              <w:right w:w="0" w:type="dxa"/>
            </w:tcMar>
          </w:tcPr>
          <w:p w:rsidR="00836DBF" w:rsidRPr="004408AA" w:rsidRDefault="00836DBF" w:rsidP="00836DBF"/>
        </w:tc>
        <w:tc>
          <w:tcPr>
            <w:tcW w:w="2286" w:type="dxa"/>
            <w:tcMar>
              <w:left w:w="0" w:type="dxa"/>
              <w:right w:w="0" w:type="dxa"/>
            </w:tcMar>
          </w:tcPr>
          <w:p w:rsidR="00836DBF" w:rsidRPr="004408AA" w:rsidRDefault="00836DBF" w:rsidP="00836DBF"/>
        </w:tc>
      </w:tr>
      <w:tr w:rsidR="00836DBF" w:rsidRPr="004408AA" w:rsidTr="00836DBF">
        <w:tc>
          <w:tcPr>
            <w:tcW w:w="720" w:type="dxa"/>
          </w:tcPr>
          <w:p w:rsidR="00836DBF" w:rsidRPr="004408AA" w:rsidRDefault="00836DBF" w:rsidP="00836DBF"/>
        </w:tc>
        <w:tc>
          <w:tcPr>
            <w:tcW w:w="5850" w:type="dxa"/>
            <w:tcMar>
              <w:left w:w="0" w:type="dxa"/>
              <w:right w:w="0" w:type="dxa"/>
            </w:tcMar>
          </w:tcPr>
          <w:p w:rsidR="00836DBF" w:rsidRPr="004408AA" w:rsidRDefault="00B9492E" w:rsidP="00B9492E">
            <w:r w:rsidRPr="004408AA">
              <w:t>Cyber Security</w:t>
            </w:r>
          </w:p>
        </w:tc>
        <w:tc>
          <w:tcPr>
            <w:tcW w:w="2286" w:type="dxa"/>
            <w:tcMar>
              <w:left w:w="0" w:type="dxa"/>
              <w:right w:w="0" w:type="dxa"/>
            </w:tcMar>
          </w:tcPr>
          <w:p w:rsidR="00836DBF" w:rsidRPr="004408AA" w:rsidRDefault="00B9492E" w:rsidP="00836DBF">
            <w:r w:rsidRPr="004408AA">
              <w:t>Information Exchange</w:t>
            </w:r>
          </w:p>
        </w:tc>
      </w:tr>
    </w:tbl>
    <w:p w:rsidR="00836DBF" w:rsidRPr="004408AA" w:rsidRDefault="00836DBF" w:rsidP="00836DBF"/>
    <w:p w:rsidR="00836DBF" w:rsidRPr="004408AA" w:rsidRDefault="00B9492E" w:rsidP="00836DBF">
      <w:r w:rsidRPr="004408AA">
        <w:tab/>
        <w:t xml:space="preserve">Facts: </w:t>
      </w:r>
      <w:proofErr w:type="spellStart"/>
      <w:r w:rsidRPr="004408AA">
        <w:t>CyberPoint</w:t>
      </w:r>
      <w:proofErr w:type="spellEnd"/>
      <w:r w:rsidRPr="004408AA">
        <w:t xml:space="preserve"> International LLC (“</w:t>
      </w:r>
      <w:proofErr w:type="spellStart"/>
      <w:r w:rsidRPr="004408AA">
        <w:t>CyberPoint</w:t>
      </w:r>
      <w:proofErr w:type="spellEnd"/>
      <w:r w:rsidRPr="004408AA">
        <w:t xml:space="preserve">”) is a privately-held company that provides cyber security services to commercial and government customers.  It proposes to establish the True Security </w:t>
      </w:r>
      <w:proofErr w:type="gramStart"/>
      <w:r w:rsidRPr="004408AA">
        <w:t>Through</w:t>
      </w:r>
      <w:proofErr w:type="gramEnd"/>
      <w:r w:rsidRPr="004408AA">
        <w:t xml:space="preserve"> Anonymous Reporting (“</w:t>
      </w:r>
      <w:proofErr w:type="spellStart"/>
      <w:r w:rsidRPr="004408AA">
        <w:t>TruSTAR</w:t>
      </w:r>
      <w:proofErr w:type="spellEnd"/>
      <w:r w:rsidRPr="004408AA">
        <w:t>”) cyber intelligence data-sharing platform, which will allow members to anonymously report attempted cyber attacks and provide information about the attackers and remediation solutions.</w:t>
      </w:r>
      <w:r w:rsidR="00266D24" w:rsidRPr="004408AA">
        <w:t xml:space="preserve">  These reports will then be distributed to </w:t>
      </w:r>
      <w:proofErr w:type="spellStart"/>
      <w:r w:rsidR="00266D24" w:rsidRPr="004408AA">
        <w:t>TruSTAR</w:t>
      </w:r>
      <w:proofErr w:type="spellEnd"/>
      <w:r w:rsidR="00266D24" w:rsidRPr="004408AA">
        <w:t xml:space="preserve"> members, who can ask follow-up questions about the attacks.  </w:t>
      </w:r>
      <w:proofErr w:type="spellStart"/>
      <w:r w:rsidR="00266D24" w:rsidRPr="004408AA">
        <w:t>TruSTAR</w:t>
      </w:r>
      <w:proofErr w:type="spellEnd"/>
      <w:r w:rsidR="00266D24" w:rsidRPr="004408AA">
        <w:t xml:space="preserve"> members will be prohibited from sharing competitively sensitive information.</w:t>
      </w:r>
    </w:p>
    <w:p w:rsidR="00836DBF" w:rsidRPr="004408AA" w:rsidRDefault="00836DBF" w:rsidP="00836DBF">
      <w:pPr>
        <w:tabs>
          <w:tab w:val="left" w:pos="3180"/>
        </w:tabs>
      </w:pPr>
      <w:r w:rsidRPr="004408AA">
        <w:tab/>
      </w:r>
    </w:p>
    <w:p w:rsidR="00836DBF" w:rsidRPr="004408AA" w:rsidRDefault="00266D24" w:rsidP="00836DBF">
      <w:r w:rsidRPr="004408AA">
        <w:tab/>
        <w:t>Response: The Department has no present intention to cha</w:t>
      </w:r>
      <w:r w:rsidR="00CE2F0A" w:rsidRPr="004408AA">
        <w:t xml:space="preserve">llenge </w:t>
      </w:r>
      <w:proofErr w:type="spellStart"/>
      <w:r w:rsidR="00CE2F0A" w:rsidRPr="004408AA">
        <w:t>CyberPoint’s</w:t>
      </w:r>
      <w:proofErr w:type="spellEnd"/>
      <w:r w:rsidR="00CE2F0A" w:rsidRPr="004408AA">
        <w:t xml:space="preserve"> proposal.  </w:t>
      </w:r>
      <w:r w:rsidR="00A750A5" w:rsidRPr="004408AA">
        <w:t>C</w:t>
      </w:r>
      <w:r w:rsidRPr="004408AA">
        <w:t>ollaborations to share</w:t>
      </w:r>
      <w:r w:rsidR="00CE2F0A" w:rsidRPr="004408AA">
        <w:t xml:space="preserve"> cyber-threat information are analyzed using the </w:t>
      </w:r>
      <w:r w:rsidRPr="004408AA">
        <w:t>rule of reason</w:t>
      </w:r>
      <w:r w:rsidR="00CE2F0A" w:rsidRPr="004408AA">
        <w:t xml:space="preserve">.  Here, the proposal may produce procompetitive effects by improving cyber security and reducing its costs.  Three </w:t>
      </w:r>
      <w:r w:rsidRPr="004408AA">
        <w:t>factors</w:t>
      </w:r>
      <w:r w:rsidR="00CE2F0A" w:rsidRPr="004408AA">
        <w:t xml:space="preserve"> lead the Department to conclude that competitive harm is unlikely</w:t>
      </w:r>
      <w:r w:rsidRPr="004408AA">
        <w:t xml:space="preserve">.  First, the business purpose </w:t>
      </w:r>
      <w:r w:rsidR="0015268D">
        <w:t>and nature of the agreement do</w:t>
      </w:r>
      <w:r w:rsidRPr="004408AA">
        <w:t xml:space="preserve"> not suggest </w:t>
      </w:r>
      <w:r w:rsidR="00FB7633" w:rsidRPr="004408AA">
        <w:t xml:space="preserve">harm to </w:t>
      </w:r>
      <w:r w:rsidRPr="004408AA">
        <w:t>competiti</w:t>
      </w:r>
      <w:r w:rsidR="00CE2F0A" w:rsidRPr="004408AA">
        <w:t xml:space="preserve">on or consumers.  Second, the type of information shared is highly technical data that is unlikely to lead to competitive coordination.  Indeed, the Department of Justice and Federal Trade Commission approved of </w:t>
      </w:r>
      <w:r w:rsidR="009E0EDD" w:rsidRPr="004408AA">
        <w:t>sharing</w:t>
      </w:r>
      <w:r w:rsidR="00105C03">
        <w:t xml:space="preserve"> this kind of information</w:t>
      </w:r>
      <w:r w:rsidR="009E0EDD" w:rsidRPr="004408AA">
        <w:t xml:space="preserve"> </w:t>
      </w:r>
      <w:r w:rsidR="00CE2F0A" w:rsidRPr="004408AA">
        <w:t>in the</w:t>
      </w:r>
      <w:r w:rsidR="00113D91">
        <w:t>ir</w:t>
      </w:r>
      <w:r w:rsidR="00CE2F0A" w:rsidRPr="004408AA">
        <w:t xml:space="preserve"> </w:t>
      </w:r>
      <w:r w:rsidR="00CE2F0A" w:rsidRPr="004408AA">
        <w:rPr>
          <w:i/>
        </w:rPr>
        <w:t>Antitrust Policy</w:t>
      </w:r>
      <w:r w:rsidR="0015268D">
        <w:rPr>
          <w:i/>
        </w:rPr>
        <w:t xml:space="preserve"> Statement on Sharing of </w:t>
      </w:r>
      <w:proofErr w:type="spellStart"/>
      <w:r w:rsidR="0015268D">
        <w:rPr>
          <w:i/>
        </w:rPr>
        <w:t>Cybers</w:t>
      </w:r>
      <w:r w:rsidR="00CE2F0A" w:rsidRPr="004408AA">
        <w:rPr>
          <w:i/>
        </w:rPr>
        <w:t>ecurity</w:t>
      </w:r>
      <w:proofErr w:type="spellEnd"/>
      <w:r w:rsidR="00CE2F0A" w:rsidRPr="004408AA">
        <w:rPr>
          <w:i/>
        </w:rPr>
        <w:t xml:space="preserve"> Information</w:t>
      </w:r>
      <w:r w:rsidR="00CE2F0A" w:rsidRPr="004408AA">
        <w:t xml:space="preserve"> (2014).  Third and finally, </w:t>
      </w:r>
      <w:proofErr w:type="spellStart"/>
      <w:r w:rsidR="00CE2F0A" w:rsidRPr="004408AA">
        <w:t>TruSTAR</w:t>
      </w:r>
      <w:proofErr w:type="spellEnd"/>
      <w:r w:rsidR="00CE2F0A" w:rsidRPr="004408AA">
        <w:t xml:space="preserve"> has adequate safeguards to ensure that competitors do not exchange competitively sensitive information.</w:t>
      </w:r>
    </w:p>
    <w:p w:rsidR="00836DBF" w:rsidRPr="004408AA" w:rsidRDefault="00836DBF" w:rsidP="00836DBF"/>
    <w:p w:rsidR="0072453C" w:rsidRPr="004408AA" w:rsidRDefault="0072453C" w:rsidP="0072453C"/>
    <w:p w:rsidR="0072453C" w:rsidRPr="004408AA" w:rsidRDefault="0072453C" w:rsidP="0072453C"/>
    <w:p w:rsidR="0072453C" w:rsidRPr="004408AA" w:rsidRDefault="0072453C" w:rsidP="0072453C"/>
    <w:p w:rsidR="009E0EDD" w:rsidRPr="00AC53EE" w:rsidRDefault="00F25BD8" w:rsidP="00F25BD8">
      <w:pPr>
        <w:jc w:val="center"/>
        <w:rPr>
          <w:b/>
          <w:caps/>
        </w:rPr>
      </w:pPr>
      <w:r w:rsidRPr="004408AA">
        <w:rPr>
          <w:b/>
        </w:rPr>
        <w:br w:type="page"/>
      </w:r>
      <w:r w:rsidR="009E0EDD" w:rsidRPr="00AC53EE">
        <w:rPr>
          <w:b/>
          <w:caps/>
        </w:rPr>
        <w:lastRenderedPageBreak/>
        <w:t>Digest of Business Reviews</w:t>
      </w:r>
    </w:p>
    <w:p w:rsidR="009E0EDD" w:rsidRPr="004408AA" w:rsidRDefault="009E0EDD" w:rsidP="00F25BD8">
      <w:pPr>
        <w:jc w:val="center"/>
        <w:rPr>
          <w:b/>
        </w:rPr>
      </w:pPr>
    </w:p>
    <w:p w:rsidR="00F25BD8" w:rsidRPr="004408AA" w:rsidRDefault="00F25BD8" w:rsidP="00F25BD8">
      <w:pPr>
        <w:jc w:val="center"/>
        <w:rPr>
          <w:b/>
        </w:rPr>
      </w:pPr>
      <w:r w:rsidRPr="004408AA">
        <w:rPr>
          <w:b/>
        </w:rPr>
        <w:t>2015</w:t>
      </w:r>
    </w:p>
    <w:p w:rsidR="00F25BD8" w:rsidRPr="004408AA" w:rsidRDefault="00F25BD8" w:rsidP="00F25BD8">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5760"/>
        <w:gridCol w:w="2376"/>
      </w:tblGrid>
      <w:tr w:rsidR="00F25BD8" w:rsidRPr="004408AA" w:rsidTr="00F25BD8">
        <w:tc>
          <w:tcPr>
            <w:tcW w:w="720" w:type="dxa"/>
            <w:tcMar>
              <w:left w:w="0" w:type="dxa"/>
              <w:right w:w="0" w:type="dxa"/>
            </w:tcMar>
          </w:tcPr>
          <w:p w:rsidR="00F25BD8" w:rsidRPr="004408AA" w:rsidRDefault="00F25BD8" w:rsidP="00F25BD8">
            <w:r w:rsidRPr="004408AA">
              <w:t>15-1</w:t>
            </w:r>
          </w:p>
        </w:tc>
        <w:tc>
          <w:tcPr>
            <w:tcW w:w="5760" w:type="dxa"/>
            <w:tcMar>
              <w:left w:w="0" w:type="dxa"/>
              <w:right w:w="0" w:type="dxa"/>
            </w:tcMar>
          </w:tcPr>
          <w:p w:rsidR="00F25BD8" w:rsidRPr="004408AA" w:rsidRDefault="00E30F67" w:rsidP="00F25BD8">
            <w:hyperlink r:id="rId28" w:history="1">
              <w:r w:rsidR="00F25BD8" w:rsidRPr="002677E9">
                <w:rPr>
                  <w:rStyle w:val="Hyperlink"/>
                </w:rPr>
                <w:t>Institute of Electrical and Electronics Engineers, Incorporated</w:t>
              </w:r>
            </w:hyperlink>
          </w:p>
        </w:tc>
        <w:tc>
          <w:tcPr>
            <w:tcW w:w="2376" w:type="dxa"/>
            <w:tcMar>
              <w:left w:w="0" w:type="dxa"/>
              <w:right w:w="0" w:type="dxa"/>
            </w:tcMar>
          </w:tcPr>
          <w:p w:rsidR="00F25BD8" w:rsidRPr="004408AA" w:rsidRDefault="00F25BD8" w:rsidP="00F25BD8">
            <w:r w:rsidRPr="004408AA">
              <w:t>02/02/</w:t>
            </w:r>
            <w:r w:rsidR="009E0EDD" w:rsidRPr="004408AA">
              <w:t>20</w:t>
            </w:r>
            <w:r w:rsidRPr="004408AA">
              <w:t>15</w:t>
            </w:r>
          </w:p>
        </w:tc>
      </w:tr>
      <w:tr w:rsidR="00F25BD8" w:rsidRPr="004408AA" w:rsidTr="00F25BD8">
        <w:tc>
          <w:tcPr>
            <w:tcW w:w="720" w:type="dxa"/>
          </w:tcPr>
          <w:p w:rsidR="00F25BD8" w:rsidRPr="004408AA" w:rsidRDefault="00F25BD8" w:rsidP="00F25BD8"/>
        </w:tc>
        <w:tc>
          <w:tcPr>
            <w:tcW w:w="5760" w:type="dxa"/>
            <w:tcMar>
              <w:left w:w="0" w:type="dxa"/>
              <w:right w:w="0" w:type="dxa"/>
            </w:tcMar>
          </w:tcPr>
          <w:p w:rsidR="00F25BD8" w:rsidRPr="004408AA" w:rsidRDefault="00F25BD8" w:rsidP="00F25BD8"/>
        </w:tc>
        <w:tc>
          <w:tcPr>
            <w:tcW w:w="2376" w:type="dxa"/>
            <w:tcMar>
              <w:left w:w="0" w:type="dxa"/>
              <w:right w:w="0" w:type="dxa"/>
            </w:tcMar>
          </w:tcPr>
          <w:p w:rsidR="00F25BD8" w:rsidRPr="004408AA" w:rsidRDefault="00F25BD8" w:rsidP="00F25BD8"/>
        </w:tc>
      </w:tr>
      <w:tr w:rsidR="00F25BD8" w:rsidRPr="004408AA" w:rsidTr="00F25BD8">
        <w:tc>
          <w:tcPr>
            <w:tcW w:w="720" w:type="dxa"/>
          </w:tcPr>
          <w:p w:rsidR="00F25BD8" w:rsidRPr="004408AA" w:rsidRDefault="00F25BD8" w:rsidP="00F25BD8"/>
        </w:tc>
        <w:tc>
          <w:tcPr>
            <w:tcW w:w="5760" w:type="dxa"/>
            <w:tcMar>
              <w:left w:w="0" w:type="dxa"/>
              <w:right w:w="0" w:type="dxa"/>
            </w:tcMar>
          </w:tcPr>
          <w:p w:rsidR="00F25BD8" w:rsidRPr="004408AA" w:rsidRDefault="00F25BD8" w:rsidP="00F25BD8">
            <w:r w:rsidRPr="004408AA">
              <w:t>Electronics and Electrical Equipment</w:t>
            </w:r>
          </w:p>
        </w:tc>
        <w:tc>
          <w:tcPr>
            <w:tcW w:w="2376" w:type="dxa"/>
            <w:tcMar>
              <w:left w:w="0" w:type="dxa"/>
              <w:right w:w="0" w:type="dxa"/>
            </w:tcMar>
          </w:tcPr>
          <w:p w:rsidR="00F25BD8" w:rsidRPr="004408AA" w:rsidRDefault="00F25BD8" w:rsidP="00F25BD8">
            <w:r w:rsidRPr="004408AA">
              <w:t xml:space="preserve">Standards Program </w:t>
            </w:r>
          </w:p>
        </w:tc>
      </w:tr>
    </w:tbl>
    <w:p w:rsidR="0052053F" w:rsidRPr="004408AA" w:rsidRDefault="0052053F" w:rsidP="00AC2B33"/>
    <w:p w:rsidR="00F25BD8" w:rsidRPr="004408AA" w:rsidRDefault="00F25BD8" w:rsidP="00AC2B33">
      <w:r w:rsidRPr="004408AA">
        <w:tab/>
        <w:t xml:space="preserve">Facts: </w:t>
      </w:r>
      <w:r w:rsidR="009B54AC" w:rsidRPr="004408AA">
        <w:t>The Institute of Electrical and Electronics Engineers, Incorporated (“IEEE”) is a non-profit professional association</w:t>
      </w:r>
      <w:r w:rsidR="00C248B6" w:rsidRPr="004408AA">
        <w:t>.  One of its operating units, the IEEE-</w:t>
      </w:r>
      <w:r w:rsidR="00EC0604">
        <w:t>Standards Association (“IEEE-</w:t>
      </w:r>
      <w:r w:rsidR="00C248B6" w:rsidRPr="004408AA">
        <w:t>SA</w:t>
      </w:r>
      <w:r w:rsidR="00EC0604">
        <w:t>”)</w:t>
      </w:r>
      <w:r w:rsidR="00C248B6" w:rsidRPr="004408AA">
        <w:t>,</w:t>
      </w:r>
      <w:r w:rsidR="009E0EDD" w:rsidRPr="004408AA">
        <w:t xml:space="preserve"> </w:t>
      </w:r>
      <w:r w:rsidR="009B54AC" w:rsidRPr="004408AA">
        <w:t xml:space="preserve">develops standards for electrical systems.  </w:t>
      </w:r>
      <w:r w:rsidR="00C248B6" w:rsidRPr="004408AA">
        <w:t>W</w:t>
      </w:r>
      <w:r w:rsidR="009B54AC" w:rsidRPr="004408AA">
        <w:t>orking group</w:t>
      </w:r>
      <w:r w:rsidR="009E0EDD" w:rsidRPr="004408AA">
        <w:t>s</w:t>
      </w:r>
      <w:r w:rsidR="00C248B6" w:rsidRPr="004408AA">
        <w:t xml:space="preserve"> in the IEEE-SA</w:t>
      </w:r>
      <w:r w:rsidR="009B54AC" w:rsidRPr="004408AA">
        <w:t xml:space="preserve"> </w:t>
      </w:r>
      <w:r w:rsidR="009E0EDD" w:rsidRPr="004408AA">
        <w:t>invite</w:t>
      </w:r>
      <w:r w:rsidR="009B54AC" w:rsidRPr="004408AA">
        <w:t xml:space="preserve"> participants to disclose patent claims that may be essential to the standard</w:t>
      </w:r>
      <w:r w:rsidR="009E0EDD" w:rsidRPr="004408AA">
        <w:t>s</w:t>
      </w:r>
      <w:r w:rsidR="009B54AC" w:rsidRPr="004408AA">
        <w:t xml:space="preserve"> under development.</w:t>
      </w:r>
      <w:r w:rsidR="00C64952" w:rsidRPr="004408AA">
        <w:t xml:space="preserve">  If a participant makes such a disclosure, IEEE-SA requests (but does not require)</w:t>
      </w:r>
      <w:r w:rsidR="00113D91">
        <w:t xml:space="preserve"> that</w:t>
      </w:r>
      <w:r w:rsidR="00C64952" w:rsidRPr="004408AA">
        <w:t xml:space="preserve"> the participant </w:t>
      </w:r>
      <w:r w:rsidR="00F13CAC" w:rsidRPr="004408AA">
        <w:t xml:space="preserve">submit a Letter of Assurance </w:t>
      </w:r>
      <w:r w:rsidR="009E0EDD" w:rsidRPr="004408AA">
        <w:t>that discloses</w:t>
      </w:r>
      <w:r w:rsidR="00C64952" w:rsidRPr="004408AA">
        <w:t xml:space="preserve"> whether</w:t>
      </w:r>
      <w:r w:rsidR="001A2F6A" w:rsidRPr="004408AA">
        <w:t xml:space="preserve"> the participant commits to </w:t>
      </w:r>
      <w:r w:rsidR="00C64952" w:rsidRPr="004408AA">
        <w:t>mak</w:t>
      </w:r>
      <w:r w:rsidR="001A2F6A" w:rsidRPr="004408AA">
        <w:t>ing</w:t>
      </w:r>
      <w:r w:rsidR="00C64952" w:rsidRPr="004408AA">
        <w:t xml:space="preserve"> </w:t>
      </w:r>
      <w:r w:rsidR="00886F4C">
        <w:t>a</w:t>
      </w:r>
      <w:r w:rsidR="00C64952" w:rsidRPr="004408AA">
        <w:t xml:space="preserve"> patent</w:t>
      </w:r>
      <w:r w:rsidR="00886F4C">
        <w:t xml:space="preserve"> license</w:t>
      </w:r>
      <w:r w:rsidR="00C64952" w:rsidRPr="004408AA">
        <w:t xml:space="preserve"> available</w:t>
      </w:r>
      <w:r w:rsidR="001A2F6A" w:rsidRPr="004408AA">
        <w:t xml:space="preserve"> under reasonable and nondiscriminatory (RAND) terms</w:t>
      </w:r>
      <w:r w:rsidR="00C64952" w:rsidRPr="004408AA">
        <w:t xml:space="preserve"> </w:t>
      </w:r>
      <w:r w:rsidR="001A2F6A" w:rsidRPr="004408AA">
        <w:t>to implementers of the standard</w:t>
      </w:r>
      <w:r w:rsidR="00C64952" w:rsidRPr="004408AA">
        <w:t xml:space="preserve">.  </w:t>
      </w:r>
      <w:r w:rsidR="009E0EDD" w:rsidRPr="004408AA">
        <w:t>IEEE formed</w:t>
      </w:r>
      <w:r w:rsidR="00967386" w:rsidRPr="004408AA">
        <w:t xml:space="preserve"> an ad hoc committee</w:t>
      </w:r>
      <w:r w:rsidR="00886F4C">
        <w:t xml:space="preserve"> </w:t>
      </w:r>
      <w:r w:rsidR="00CF1550">
        <w:t>tasked with recommending ways to update the policy regarding</w:t>
      </w:r>
      <w:r w:rsidR="001A2F6A" w:rsidRPr="004408AA">
        <w:t xml:space="preserve"> RAND </w:t>
      </w:r>
      <w:r w:rsidR="00CF1550">
        <w:t>commitments</w:t>
      </w:r>
      <w:r w:rsidR="00967386" w:rsidRPr="004408AA">
        <w:t>.  After receiving 680 comments from the public, the</w:t>
      </w:r>
      <w:r w:rsidR="001A2F6A" w:rsidRPr="004408AA">
        <w:t xml:space="preserve"> ad hoc committee produced a proposed policy</w:t>
      </w:r>
      <w:r w:rsidR="00967386" w:rsidRPr="004408AA">
        <w:t xml:space="preserve">, which the </w:t>
      </w:r>
      <w:r w:rsidR="00EC0604" w:rsidRPr="004408AA">
        <w:t xml:space="preserve">IEEE-SA </w:t>
      </w:r>
      <w:r w:rsidR="00EC0604">
        <w:t xml:space="preserve">Standards Board’s </w:t>
      </w:r>
      <w:r w:rsidR="00967386" w:rsidRPr="004408AA">
        <w:t xml:space="preserve">Patent Committee, the IEEE-SA Standards </w:t>
      </w:r>
      <w:r w:rsidR="00EC0604">
        <w:t>Board</w:t>
      </w:r>
      <w:r w:rsidR="00967386" w:rsidRPr="004408AA">
        <w:t xml:space="preserve">, and the IEEE-SA all approved, pending final approval by the IEEE.  The proposed policy would </w:t>
      </w:r>
      <w:r w:rsidR="00F13CAC" w:rsidRPr="004408AA">
        <w:t>state that</w:t>
      </w:r>
      <w:r w:rsidR="00967386" w:rsidRPr="004408AA">
        <w:t xml:space="preserve"> </w:t>
      </w:r>
      <w:r w:rsidR="009E0EDD" w:rsidRPr="004408AA">
        <w:t>a company</w:t>
      </w:r>
      <w:r w:rsidR="00F13CAC" w:rsidRPr="004408AA">
        <w:t xml:space="preserve"> that commit</w:t>
      </w:r>
      <w:r w:rsidR="009E0EDD" w:rsidRPr="004408AA">
        <w:t>s</w:t>
      </w:r>
      <w:r w:rsidR="00F13CAC" w:rsidRPr="004408AA">
        <w:t xml:space="preserve"> to providing</w:t>
      </w:r>
      <w:r w:rsidR="00967386" w:rsidRPr="004408AA">
        <w:t xml:space="preserve"> RAND terms</w:t>
      </w:r>
      <w:r w:rsidR="00F13CAC" w:rsidRPr="004408AA">
        <w:t>: (1) must license its patents for all compliant implementations; (2)</w:t>
      </w:r>
      <w:r w:rsidR="00967386" w:rsidRPr="004408AA">
        <w:t xml:space="preserve"> cannot seek pr</w:t>
      </w:r>
      <w:r w:rsidR="00F13CAC" w:rsidRPr="004408AA">
        <w:t>ohibitive orders against infringing</w:t>
      </w:r>
      <w:r w:rsidR="00967386" w:rsidRPr="004408AA">
        <w:t xml:space="preserve"> implementers </w:t>
      </w:r>
      <w:r w:rsidR="00C27698" w:rsidRPr="004408AA">
        <w:t>(but can seek money damages)</w:t>
      </w:r>
      <w:r w:rsidR="00F13CAC" w:rsidRPr="004408AA">
        <w:t>; and (3) may require a</w:t>
      </w:r>
      <w:r w:rsidR="00C27698" w:rsidRPr="004408AA">
        <w:t xml:space="preserve"> licensee to issue a grant back</w:t>
      </w:r>
      <w:r w:rsidR="001A2F6A" w:rsidRPr="004408AA">
        <w:t xml:space="preserve"> of</w:t>
      </w:r>
      <w:r w:rsidR="00C27698" w:rsidRPr="004408AA">
        <w:t xml:space="preserve"> </w:t>
      </w:r>
      <w:r w:rsidR="00F13CAC" w:rsidRPr="004408AA">
        <w:t>license</w:t>
      </w:r>
      <w:r w:rsidR="009E0EDD" w:rsidRPr="004408AA">
        <w:t>s that are</w:t>
      </w:r>
      <w:r w:rsidR="00F13CAC" w:rsidRPr="004408AA">
        <w:t xml:space="preserve"> essential to the same standard</w:t>
      </w:r>
      <w:r w:rsidR="00967386" w:rsidRPr="004408AA">
        <w:t xml:space="preserve">.   The proposed policy would also define “Reasonable Rate” </w:t>
      </w:r>
      <w:r w:rsidR="0015268D">
        <w:t>to exclude</w:t>
      </w:r>
      <w:r w:rsidR="00967386" w:rsidRPr="004408AA">
        <w:t xml:space="preserve"> any increase in the patent’s value </w:t>
      </w:r>
      <w:r w:rsidR="0015268D">
        <w:t>based on</w:t>
      </w:r>
      <w:r w:rsidR="00967386" w:rsidRPr="004408AA">
        <w:t xml:space="preserve"> the patent</w:t>
      </w:r>
      <w:r w:rsidR="00113D91">
        <w:t>ed</w:t>
      </w:r>
      <w:r w:rsidR="00967386" w:rsidRPr="004408AA">
        <w:t xml:space="preserve"> technology’s inclusion in the IEEE s</w:t>
      </w:r>
      <w:r w:rsidR="009E0EDD" w:rsidRPr="004408AA">
        <w:t>tandard.</w:t>
      </w:r>
    </w:p>
    <w:p w:rsidR="00F13CAC" w:rsidRPr="004408AA" w:rsidRDefault="00F13CAC" w:rsidP="00AC2B33"/>
    <w:p w:rsidR="00F13CAC" w:rsidRPr="00AC2B33" w:rsidRDefault="00F13CAC" w:rsidP="00F13CAC">
      <w:r w:rsidRPr="004408AA">
        <w:tab/>
      </w:r>
      <w:r w:rsidR="004E591A">
        <w:t>Response</w:t>
      </w:r>
      <w:r w:rsidRPr="004408AA">
        <w:t>: The Department has no</w:t>
      </w:r>
      <w:r w:rsidR="009E0EDD" w:rsidRPr="004408AA">
        <w:t xml:space="preserve"> current</w:t>
      </w:r>
      <w:r w:rsidRPr="004408AA">
        <w:t xml:space="preserve"> intention to challenge the proposed policy.  First, the ad hoc committee considered</w:t>
      </w:r>
      <w:r w:rsidR="00CF1550">
        <w:t xml:space="preserve"> 680 public comments, and</w:t>
      </w:r>
      <w:r w:rsidRPr="004408AA">
        <w:t xml:space="preserve"> its proposal was approved by various levels of the IEEE organization.  The Department therefore cannot conclude that the process</w:t>
      </w:r>
      <w:r w:rsidR="00113D91">
        <w:t xml:space="preserve"> for adopting the policy</w:t>
      </w:r>
      <w:r w:rsidR="00E00432">
        <w:t xml:space="preserve"> itself</w:t>
      </w:r>
      <w:r w:rsidRPr="004408AA">
        <w:t xml:space="preserve"> raises antitrust concerns.  </w:t>
      </w:r>
      <w:r w:rsidR="001A2F6A" w:rsidRPr="004408AA">
        <w:t xml:space="preserve">Second, the Department </w:t>
      </w:r>
      <w:r w:rsidR="00C27698" w:rsidRPr="004408AA">
        <w:t>determines that the specific terms of the policy are unlike</w:t>
      </w:r>
      <w:r w:rsidR="001A2F6A" w:rsidRPr="004408AA">
        <w:t xml:space="preserve">ly to produce </w:t>
      </w:r>
      <w:r w:rsidR="00CF1550">
        <w:t>anticompetitive</w:t>
      </w:r>
      <w:r w:rsidR="001A2F6A" w:rsidRPr="004408AA">
        <w:t xml:space="preserve"> effects</w:t>
      </w:r>
      <w:r w:rsidR="00C27698" w:rsidRPr="004408AA">
        <w:t xml:space="preserve"> because, among other things: licensing rates will still be determined by bilateral negotiations; the policy</w:t>
      </w:r>
      <w:r w:rsidR="00CF1550">
        <w:t>’s definition of RAND terms</w:t>
      </w:r>
      <w:r w:rsidR="00C27698" w:rsidRPr="004408AA">
        <w:t xml:space="preserve"> </w:t>
      </w:r>
      <w:r w:rsidR="00CF1550">
        <w:t>is generally consistent with</w:t>
      </w:r>
      <w:r w:rsidR="00C27698" w:rsidRPr="004408AA">
        <w:t xml:space="preserve"> current trends in U.S. </w:t>
      </w:r>
      <w:r w:rsidR="00CF1550">
        <w:t>law</w:t>
      </w:r>
      <w:r w:rsidR="00C27698" w:rsidRPr="004408AA">
        <w:t xml:space="preserve">; and patent holders can still participate in the IEEE-SA, even if they refuse to commit to providing RAND terms.  </w:t>
      </w:r>
      <w:r w:rsidR="001A2F6A" w:rsidRPr="004408AA">
        <w:t>Finally</w:t>
      </w:r>
      <w:r w:rsidR="00C27698" w:rsidRPr="004408AA">
        <w:t>, many of the p</w:t>
      </w:r>
      <w:r w:rsidR="001A2F6A" w:rsidRPr="004408AA">
        <w:t>olicy’s provisions will help define</w:t>
      </w:r>
      <w:r w:rsidR="00C27698" w:rsidRPr="004408AA">
        <w:t xml:space="preserve"> the RAND commitment, which may produce efficiencies by, for example, f</w:t>
      </w:r>
      <w:r w:rsidR="009E0EDD" w:rsidRPr="004408AA">
        <w:t>acilitating licensing negotiations</w:t>
      </w:r>
      <w:r w:rsidR="00C27698" w:rsidRPr="004408AA">
        <w:t>, mitigating royalty stacking and hold up, and speeding adoption of IEEE standards.</w:t>
      </w:r>
      <w:r w:rsidR="00C27698">
        <w:t xml:space="preserve"> </w:t>
      </w:r>
    </w:p>
    <w:p w:rsidR="00F13CAC" w:rsidRPr="00AC2B33" w:rsidRDefault="00F13CAC" w:rsidP="00AC2B33"/>
    <w:sectPr w:rsidR="00F13CAC" w:rsidRPr="00AC2B33" w:rsidSect="005C5C7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B42" w:rsidRDefault="00F31B42" w:rsidP="00F6001D">
      <w:r>
        <w:separator/>
      </w:r>
    </w:p>
  </w:endnote>
  <w:endnote w:type="continuationSeparator" w:id="0">
    <w:p w:rsidR="00F31B42" w:rsidRDefault="00F31B42" w:rsidP="00F60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037" w:rsidRDefault="005410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037" w:rsidRDefault="005410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037" w:rsidRDefault="005410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B42" w:rsidRDefault="00F31B42" w:rsidP="00F6001D">
      <w:r>
        <w:separator/>
      </w:r>
    </w:p>
  </w:footnote>
  <w:footnote w:type="continuationSeparator" w:id="0">
    <w:p w:rsidR="00F31B42" w:rsidRDefault="00F31B42" w:rsidP="00F600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037" w:rsidRDefault="005410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037" w:rsidRDefault="005410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037" w:rsidRDefault="005410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A1E2A"/>
    <w:multiLevelType w:val="hybridMultilevel"/>
    <w:tmpl w:val="12A6E01C"/>
    <w:lvl w:ilvl="0" w:tplc="EF089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oNotTrackMove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C73"/>
    <w:rsid w:val="00004EC0"/>
    <w:rsid w:val="000202DE"/>
    <w:rsid w:val="00022F3E"/>
    <w:rsid w:val="00035B38"/>
    <w:rsid w:val="00036548"/>
    <w:rsid w:val="000378ED"/>
    <w:rsid w:val="00042AAA"/>
    <w:rsid w:val="000570FA"/>
    <w:rsid w:val="000774BE"/>
    <w:rsid w:val="000777AF"/>
    <w:rsid w:val="00077C72"/>
    <w:rsid w:val="00083EB3"/>
    <w:rsid w:val="00086684"/>
    <w:rsid w:val="0009189A"/>
    <w:rsid w:val="000930B5"/>
    <w:rsid w:val="000938EE"/>
    <w:rsid w:val="00093D3C"/>
    <w:rsid w:val="000A1BBB"/>
    <w:rsid w:val="000A2C3D"/>
    <w:rsid w:val="000A3F99"/>
    <w:rsid w:val="000A6C27"/>
    <w:rsid w:val="000B1A3A"/>
    <w:rsid w:val="000B609F"/>
    <w:rsid w:val="000D37FE"/>
    <w:rsid w:val="000E3728"/>
    <w:rsid w:val="00105C03"/>
    <w:rsid w:val="00113D91"/>
    <w:rsid w:val="001165E1"/>
    <w:rsid w:val="001241BF"/>
    <w:rsid w:val="0013132F"/>
    <w:rsid w:val="00134127"/>
    <w:rsid w:val="0013776F"/>
    <w:rsid w:val="00141142"/>
    <w:rsid w:val="001424A2"/>
    <w:rsid w:val="0014464E"/>
    <w:rsid w:val="0015268D"/>
    <w:rsid w:val="00161653"/>
    <w:rsid w:val="001967BA"/>
    <w:rsid w:val="001A069B"/>
    <w:rsid w:val="001A1E28"/>
    <w:rsid w:val="001A2F6A"/>
    <w:rsid w:val="001A2FCE"/>
    <w:rsid w:val="001B1BE6"/>
    <w:rsid w:val="001C3BBE"/>
    <w:rsid w:val="001C671D"/>
    <w:rsid w:val="001C6E21"/>
    <w:rsid w:val="001D4F5F"/>
    <w:rsid w:val="001D72C8"/>
    <w:rsid w:val="001E1E4C"/>
    <w:rsid w:val="001E2F1E"/>
    <w:rsid w:val="001E6982"/>
    <w:rsid w:val="0021377E"/>
    <w:rsid w:val="00220690"/>
    <w:rsid w:val="00224D35"/>
    <w:rsid w:val="002308BC"/>
    <w:rsid w:val="00254F19"/>
    <w:rsid w:val="00257777"/>
    <w:rsid w:val="00261C8F"/>
    <w:rsid w:val="00265FC1"/>
    <w:rsid w:val="00266D24"/>
    <w:rsid w:val="002677E9"/>
    <w:rsid w:val="00270CA3"/>
    <w:rsid w:val="002A674C"/>
    <w:rsid w:val="002C5A36"/>
    <w:rsid w:val="002C77A1"/>
    <w:rsid w:val="002D39BD"/>
    <w:rsid w:val="002F6D3A"/>
    <w:rsid w:val="003007D8"/>
    <w:rsid w:val="003268B8"/>
    <w:rsid w:val="003424B2"/>
    <w:rsid w:val="00352555"/>
    <w:rsid w:val="0035273B"/>
    <w:rsid w:val="00353E7B"/>
    <w:rsid w:val="0035432F"/>
    <w:rsid w:val="0036192F"/>
    <w:rsid w:val="00365DDE"/>
    <w:rsid w:val="00372BF0"/>
    <w:rsid w:val="00373D49"/>
    <w:rsid w:val="00394D32"/>
    <w:rsid w:val="0039527C"/>
    <w:rsid w:val="0039663E"/>
    <w:rsid w:val="003A156F"/>
    <w:rsid w:val="003A52EB"/>
    <w:rsid w:val="003B0FFF"/>
    <w:rsid w:val="003D6A43"/>
    <w:rsid w:val="003E03F4"/>
    <w:rsid w:val="003E335C"/>
    <w:rsid w:val="003E4E4E"/>
    <w:rsid w:val="003F0CD0"/>
    <w:rsid w:val="004176F2"/>
    <w:rsid w:val="0042576D"/>
    <w:rsid w:val="004332B3"/>
    <w:rsid w:val="004408AA"/>
    <w:rsid w:val="0044444B"/>
    <w:rsid w:val="00447E3B"/>
    <w:rsid w:val="0045541B"/>
    <w:rsid w:val="00481AF3"/>
    <w:rsid w:val="00484386"/>
    <w:rsid w:val="00485133"/>
    <w:rsid w:val="00491C0B"/>
    <w:rsid w:val="0049577C"/>
    <w:rsid w:val="004A09A1"/>
    <w:rsid w:val="004C2671"/>
    <w:rsid w:val="004C5AE0"/>
    <w:rsid w:val="004D335F"/>
    <w:rsid w:val="004D6D48"/>
    <w:rsid w:val="004E591A"/>
    <w:rsid w:val="00515888"/>
    <w:rsid w:val="00515F63"/>
    <w:rsid w:val="0052053F"/>
    <w:rsid w:val="00524226"/>
    <w:rsid w:val="00541037"/>
    <w:rsid w:val="0054265D"/>
    <w:rsid w:val="005436E8"/>
    <w:rsid w:val="00544D5D"/>
    <w:rsid w:val="00551839"/>
    <w:rsid w:val="00551858"/>
    <w:rsid w:val="005604F3"/>
    <w:rsid w:val="00562400"/>
    <w:rsid w:val="005A51A7"/>
    <w:rsid w:val="005A54D9"/>
    <w:rsid w:val="005B446A"/>
    <w:rsid w:val="005C26AD"/>
    <w:rsid w:val="005C5C73"/>
    <w:rsid w:val="005D016F"/>
    <w:rsid w:val="005D0C15"/>
    <w:rsid w:val="005D6BC9"/>
    <w:rsid w:val="005F4A60"/>
    <w:rsid w:val="0060370F"/>
    <w:rsid w:val="0060769A"/>
    <w:rsid w:val="006349C7"/>
    <w:rsid w:val="00644DB3"/>
    <w:rsid w:val="0064669A"/>
    <w:rsid w:val="006555B3"/>
    <w:rsid w:val="00661A9F"/>
    <w:rsid w:val="00670560"/>
    <w:rsid w:val="006A2128"/>
    <w:rsid w:val="006A564B"/>
    <w:rsid w:val="006B0E3E"/>
    <w:rsid w:val="006C090A"/>
    <w:rsid w:val="006D7058"/>
    <w:rsid w:val="006E1F9B"/>
    <w:rsid w:val="006E7716"/>
    <w:rsid w:val="00702006"/>
    <w:rsid w:val="00705BE5"/>
    <w:rsid w:val="00712611"/>
    <w:rsid w:val="00716022"/>
    <w:rsid w:val="00722206"/>
    <w:rsid w:val="0072453C"/>
    <w:rsid w:val="007517B7"/>
    <w:rsid w:val="00755109"/>
    <w:rsid w:val="007610D9"/>
    <w:rsid w:val="007632AD"/>
    <w:rsid w:val="00766C55"/>
    <w:rsid w:val="00781517"/>
    <w:rsid w:val="0078183A"/>
    <w:rsid w:val="00783B80"/>
    <w:rsid w:val="0078742B"/>
    <w:rsid w:val="00797223"/>
    <w:rsid w:val="007A1F8C"/>
    <w:rsid w:val="007B357B"/>
    <w:rsid w:val="007B3B1B"/>
    <w:rsid w:val="007B4CCE"/>
    <w:rsid w:val="007C02DF"/>
    <w:rsid w:val="007C084C"/>
    <w:rsid w:val="007E1180"/>
    <w:rsid w:val="007E5A86"/>
    <w:rsid w:val="007E5E9B"/>
    <w:rsid w:val="007E6CE5"/>
    <w:rsid w:val="007F6DB7"/>
    <w:rsid w:val="008003AC"/>
    <w:rsid w:val="00802E4D"/>
    <w:rsid w:val="00803D82"/>
    <w:rsid w:val="00806294"/>
    <w:rsid w:val="008110CF"/>
    <w:rsid w:val="008268AB"/>
    <w:rsid w:val="00834449"/>
    <w:rsid w:val="00836DBF"/>
    <w:rsid w:val="00841D49"/>
    <w:rsid w:val="00853835"/>
    <w:rsid w:val="0085597D"/>
    <w:rsid w:val="008641DA"/>
    <w:rsid w:val="008651C7"/>
    <w:rsid w:val="00865CFE"/>
    <w:rsid w:val="00871665"/>
    <w:rsid w:val="0088374F"/>
    <w:rsid w:val="00885A5F"/>
    <w:rsid w:val="00886A75"/>
    <w:rsid w:val="00886F4C"/>
    <w:rsid w:val="00887EDE"/>
    <w:rsid w:val="0089016D"/>
    <w:rsid w:val="008945CD"/>
    <w:rsid w:val="008A530D"/>
    <w:rsid w:val="008A7F14"/>
    <w:rsid w:val="008C2CFA"/>
    <w:rsid w:val="008D0E56"/>
    <w:rsid w:val="008D1F6F"/>
    <w:rsid w:val="008D2501"/>
    <w:rsid w:val="008D498D"/>
    <w:rsid w:val="008D627A"/>
    <w:rsid w:val="008E4BE9"/>
    <w:rsid w:val="008E64B1"/>
    <w:rsid w:val="008F46A1"/>
    <w:rsid w:val="009059FE"/>
    <w:rsid w:val="00917790"/>
    <w:rsid w:val="00917E91"/>
    <w:rsid w:val="0093304B"/>
    <w:rsid w:val="00933423"/>
    <w:rsid w:val="00941678"/>
    <w:rsid w:val="0095079B"/>
    <w:rsid w:val="00956F1C"/>
    <w:rsid w:val="00963C7C"/>
    <w:rsid w:val="00967386"/>
    <w:rsid w:val="00973A66"/>
    <w:rsid w:val="00983A2A"/>
    <w:rsid w:val="00995539"/>
    <w:rsid w:val="009B54AC"/>
    <w:rsid w:val="009C34C6"/>
    <w:rsid w:val="009C6325"/>
    <w:rsid w:val="009D1D1E"/>
    <w:rsid w:val="009E0EDD"/>
    <w:rsid w:val="009E3A32"/>
    <w:rsid w:val="009F4764"/>
    <w:rsid w:val="009F5B66"/>
    <w:rsid w:val="00A00617"/>
    <w:rsid w:val="00A1646D"/>
    <w:rsid w:val="00A17BB4"/>
    <w:rsid w:val="00A44AE3"/>
    <w:rsid w:val="00A4745D"/>
    <w:rsid w:val="00A52C80"/>
    <w:rsid w:val="00A5496D"/>
    <w:rsid w:val="00A60FFB"/>
    <w:rsid w:val="00A643D6"/>
    <w:rsid w:val="00A750A5"/>
    <w:rsid w:val="00A777BF"/>
    <w:rsid w:val="00A87DCE"/>
    <w:rsid w:val="00AA09A9"/>
    <w:rsid w:val="00AB28F9"/>
    <w:rsid w:val="00AB7117"/>
    <w:rsid w:val="00AB795C"/>
    <w:rsid w:val="00AC2B33"/>
    <w:rsid w:val="00AC53EE"/>
    <w:rsid w:val="00AD7713"/>
    <w:rsid w:val="00B016A7"/>
    <w:rsid w:val="00B26206"/>
    <w:rsid w:val="00B31233"/>
    <w:rsid w:val="00B364CE"/>
    <w:rsid w:val="00B5038C"/>
    <w:rsid w:val="00B57E2E"/>
    <w:rsid w:val="00B774D4"/>
    <w:rsid w:val="00B82FC2"/>
    <w:rsid w:val="00B8755E"/>
    <w:rsid w:val="00B93DC6"/>
    <w:rsid w:val="00B9492E"/>
    <w:rsid w:val="00BA1C53"/>
    <w:rsid w:val="00BA3853"/>
    <w:rsid w:val="00BC297C"/>
    <w:rsid w:val="00BC299E"/>
    <w:rsid w:val="00BD285B"/>
    <w:rsid w:val="00C006EA"/>
    <w:rsid w:val="00C10A97"/>
    <w:rsid w:val="00C134CC"/>
    <w:rsid w:val="00C2095E"/>
    <w:rsid w:val="00C248B6"/>
    <w:rsid w:val="00C25494"/>
    <w:rsid w:val="00C26C6A"/>
    <w:rsid w:val="00C27698"/>
    <w:rsid w:val="00C305F2"/>
    <w:rsid w:val="00C307A3"/>
    <w:rsid w:val="00C33153"/>
    <w:rsid w:val="00C44178"/>
    <w:rsid w:val="00C64952"/>
    <w:rsid w:val="00C716AC"/>
    <w:rsid w:val="00C7387F"/>
    <w:rsid w:val="00C94716"/>
    <w:rsid w:val="00C9528B"/>
    <w:rsid w:val="00C952B3"/>
    <w:rsid w:val="00C9722F"/>
    <w:rsid w:val="00CA1033"/>
    <w:rsid w:val="00CA570D"/>
    <w:rsid w:val="00CB32EB"/>
    <w:rsid w:val="00CB503A"/>
    <w:rsid w:val="00CC7E22"/>
    <w:rsid w:val="00CD7CD5"/>
    <w:rsid w:val="00CE2F0A"/>
    <w:rsid w:val="00CE6900"/>
    <w:rsid w:val="00CF1550"/>
    <w:rsid w:val="00CF4F52"/>
    <w:rsid w:val="00D129A6"/>
    <w:rsid w:val="00D155C2"/>
    <w:rsid w:val="00D21F76"/>
    <w:rsid w:val="00D304DF"/>
    <w:rsid w:val="00D44A94"/>
    <w:rsid w:val="00D4517D"/>
    <w:rsid w:val="00D5123D"/>
    <w:rsid w:val="00D562CC"/>
    <w:rsid w:val="00D64C79"/>
    <w:rsid w:val="00D75DD3"/>
    <w:rsid w:val="00D872C1"/>
    <w:rsid w:val="00D960F7"/>
    <w:rsid w:val="00DB4D90"/>
    <w:rsid w:val="00DB6396"/>
    <w:rsid w:val="00DC5EF3"/>
    <w:rsid w:val="00DD1A6F"/>
    <w:rsid w:val="00DD448B"/>
    <w:rsid w:val="00DD588D"/>
    <w:rsid w:val="00DF0377"/>
    <w:rsid w:val="00DF7495"/>
    <w:rsid w:val="00E00432"/>
    <w:rsid w:val="00E03F4A"/>
    <w:rsid w:val="00E07CCA"/>
    <w:rsid w:val="00E12558"/>
    <w:rsid w:val="00E21C55"/>
    <w:rsid w:val="00E23441"/>
    <w:rsid w:val="00E30F67"/>
    <w:rsid w:val="00E40E2C"/>
    <w:rsid w:val="00E55A19"/>
    <w:rsid w:val="00E77C59"/>
    <w:rsid w:val="00E861B5"/>
    <w:rsid w:val="00E93E68"/>
    <w:rsid w:val="00E97507"/>
    <w:rsid w:val="00EA2ED0"/>
    <w:rsid w:val="00EB196B"/>
    <w:rsid w:val="00EB71E4"/>
    <w:rsid w:val="00EC0604"/>
    <w:rsid w:val="00ED3653"/>
    <w:rsid w:val="00EE3C91"/>
    <w:rsid w:val="00F047AD"/>
    <w:rsid w:val="00F13CAC"/>
    <w:rsid w:val="00F13E64"/>
    <w:rsid w:val="00F2575C"/>
    <w:rsid w:val="00F2597F"/>
    <w:rsid w:val="00F25BD8"/>
    <w:rsid w:val="00F31B42"/>
    <w:rsid w:val="00F331E5"/>
    <w:rsid w:val="00F34CED"/>
    <w:rsid w:val="00F6001D"/>
    <w:rsid w:val="00F86385"/>
    <w:rsid w:val="00F9364E"/>
    <w:rsid w:val="00FA1ED8"/>
    <w:rsid w:val="00FB2D2E"/>
    <w:rsid w:val="00FB4C54"/>
    <w:rsid w:val="00FB7633"/>
    <w:rsid w:val="00FC179A"/>
    <w:rsid w:val="00FC2EB2"/>
    <w:rsid w:val="00FC5501"/>
    <w:rsid w:val="00FD2302"/>
    <w:rsid w:val="00FD57E2"/>
    <w:rsid w:val="00FD5BD2"/>
    <w:rsid w:val="00FE3A4F"/>
    <w:rsid w:val="00FE45BB"/>
    <w:rsid w:val="00FE6821"/>
    <w:rsid w:val="00FF2F13"/>
    <w:rsid w:val="00FF4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001D"/>
    <w:pPr>
      <w:tabs>
        <w:tab w:val="center" w:pos="4680"/>
        <w:tab w:val="right" w:pos="9360"/>
      </w:tabs>
    </w:pPr>
  </w:style>
  <w:style w:type="character" w:customStyle="1" w:styleId="HeaderChar">
    <w:name w:val="Header Char"/>
    <w:basedOn w:val="DefaultParagraphFont"/>
    <w:link w:val="Header"/>
    <w:uiPriority w:val="99"/>
    <w:semiHidden/>
    <w:rsid w:val="00F6001D"/>
    <w:rPr>
      <w:sz w:val="24"/>
      <w:szCs w:val="24"/>
    </w:rPr>
  </w:style>
  <w:style w:type="table" w:styleId="TableGrid">
    <w:name w:val="Table Grid"/>
    <w:basedOn w:val="TableNormal"/>
    <w:uiPriority w:val="59"/>
    <w:rsid w:val="004257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671D"/>
    <w:rPr>
      <w:rFonts w:ascii="Tahoma" w:hAnsi="Tahoma" w:cs="Tahoma"/>
      <w:sz w:val="16"/>
      <w:szCs w:val="16"/>
    </w:rPr>
  </w:style>
  <w:style w:type="character" w:customStyle="1" w:styleId="BalloonTextChar">
    <w:name w:val="Balloon Text Char"/>
    <w:basedOn w:val="DefaultParagraphFont"/>
    <w:link w:val="BalloonText"/>
    <w:uiPriority w:val="99"/>
    <w:semiHidden/>
    <w:rsid w:val="001C671D"/>
    <w:rPr>
      <w:rFonts w:ascii="Tahoma" w:hAnsi="Tahoma" w:cs="Tahoma"/>
      <w:sz w:val="16"/>
      <w:szCs w:val="16"/>
    </w:rPr>
  </w:style>
  <w:style w:type="paragraph" w:customStyle="1" w:styleId="Default">
    <w:name w:val="Default"/>
    <w:rsid w:val="0072453C"/>
    <w:pPr>
      <w:autoSpaceDE w:val="0"/>
      <w:autoSpaceDN w:val="0"/>
      <w:adjustRightInd w:val="0"/>
    </w:pPr>
    <w:rPr>
      <w:color w:val="000000"/>
      <w:sz w:val="24"/>
      <w:szCs w:val="24"/>
    </w:rPr>
  </w:style>
  <w:style w:type="paragraph" w:styleId="Footer">
    <w:name w:val="footer"/>
    <w:basedOn w:val="Normal"/>
    <w:link w:val="FooterChar"/>
    <w:uiPriority w:val="99"/>
    <w:semiHidden/>
    <w:unhideWhenUsed/>
    <w:rsid w:val="009F4764"/>
    <w:pPr>
      <w:tabs>
        <w:tab w:val="center" w:pos="4680"/>
        <w:tab w:val="right" w:pos="9360"/>
      </w:tabs>
    </w:pPr>
  </w:style>
  <w:style w:type="character" w:customStyle="1" w:styleId="FooterChar">
    <w:name w:val="Footer Char"/>
    <w:basedOn w:val="DefaultParagraphFont"/>
    <w:link w:val="Footer"/>
    <w:uiPriority w:val="99"/>
    <w:semiHidden/>
    <w:rsid w:val="009F4764"/>
    <w:rPr>
      <w:sz w:val="24"/>
      <w:szCs w:val="24"/>
    </w:rPr>
  </w:style>
  <w:style w:type="character" w:styleId="Hyperlink">
    <w:name w:val="Hyperlink"/>
    <w:basedOn w:val="DefaultParagraphFont"/>
    <w:uiPriority w:val="99"/>
    <w:unhideWhenUsed/>
    <w:rsid w:val="0039663E"/>
    <w:rPr>
      <w:color w:val="0000FF" w:themeColor="hyperlink"/>
      <w:u w:val="single"/>
    </w:rPr>
  </w:style>
  <w:style w:type="character" w:styleId="FollowedHyperlink">
    <w:name w:val="FollowedHyperlink"/>
    <w:basedOn w:val="DefaultParagraphFont"/>
    <w:uiPriority w:val="99"/>
    <w:semiHidden/>
    <w:unhideWhenUsed/>
    <w:rsid w:val="003E335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justice.gov/atr/response-ivy-capital-group-llcs-ivy-request-business-review-letter" TargetMode="External"/><Relationship Id="rId18" Type="http://schemas.openxmlformats.org/officeDocument/2006/relationships/hyperlink" Target="http://www.justice.gov/atr/response-pacific-business-group-healths-request-business-review-letter" TargetMode="External"/><Relationship Id="rId26" Type="http://schemas.openxmlformats.org/officeDocument/2006/relationships/hyperlink" Target="http://www.justice.gov/atr/response-flexi-van-leasing-inc-and-direct-chassislink-inc-request-business-review" TargetMode="External"/><Relationship Id="rId3" Type="http://schemas.openxmlformats.org/officeDocument/2006/relationships/styles" Target="styles.xml"/><Relationship Id="rId21" Type="http://schemas.openxmlformats.org/officeDocument/2006/relationships/hyperlink" Target="http://www.justice.gov/atr/response-stars-alliance-llcs-request-business-review-letter-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justice.gov/atr/response-rfid-consortium-llcs-request-business-review-letter" TargetMode="External"/><Relationship Id="rId17" Type="http://schemas.openxmlformats.org/officeDocument/2006/relationships/hyperlink" Target="http://www.justice.gov/atr/response-associated-presss-request-business-review-letter" TargetMode="External"/><Relationship Id="rId25" Type="http://schemas.openxmlformats.org/officeDocument/2006/relationships/hyperlink" Target="http://www.justice.gov/atr/response-intellectual-property-exchange-international-incs-request-business-review-letter"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justice.gov/atr/response-mywire-incs-request-business-review-letter" TargetMode="External"/><Relationship Id="rId20" Type="http://schemas.openxmlformats.org/officeDocument/2006/relationships/hyperlink" Target="http://www.justice.gov/atr/response-baker-miller-pllcs-request-business-review-lette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gov/atr/response-ceo-roundtable-cancers-request-business-review-letter" TargetMode="External"/><Relationship Id="rId24" Type="http://schemas.openxmlformats.org/officeDocument/2006/relationships/hyperlink" Target="http://www.justice.gov/atr/response-greater-new-york-hospital-associations-request-business-review-lette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ustice.gov/atr/response-reliance-networks-request-business-review-letter" TargetMode="External"/><Relationship Id="rId23" Type="http://schemas.openxmlformats.org/officeDocument/2006/relationships/hyperlink" Target="http://www.justice.gov/atr/response-columbia-fuel-services-and-lanmar-aviation-incs-request-business-review-letter" TargetMode="External"/><Relationship Id="rId28" Type="http://schemas.openxmlformats.org/officeDocument/2006/relationships/hyperlink" Target="http://www.justice.gov/atr/response-institute-electrical-and-electronics-engineers-incorporated" TargetMode="External"/><Relationship Id="rId36" Type="http://schemas.openxmlformats.org/officeDocument/2006/relationships/theme" Target="theme/theme1.xml"/><Relationship Id="rId10" Type="http://schemas.openxmlformats.org/officeDocument/2006/relationships/hyperlink" Target="http://www.justice.gov/atr/response-external-compliance-officer-incs-request-business-review" TargetMode="External"/><Relationship Id="rId19" Type="http://schemas.openxmlformats.org/officeDocument/2006/relationships/hyperlink" Target="http://www.justice.gov/atr/response-quinn-emanuel-urquhart-oliver-hedges-llps-request-business-review-lette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stice.gov/atr/response-media-rating-councils-request-business-review-letter" TargetMode="External"/><Relationship Id="rId14" Type="http://schemas.openxmlformats.org/officeDocument/2006/relationships/hyperlink" Target="http://www.justice.gov/atr/response-memorial-health-inc-and-st-josephscandler-health-systems-request-business-review-letter" TargetMode="External"/><Relationship Id="rId22" Type="http://schemas.openxmlformats.org/officeDocument/2006/relationships/hyperlink" Target="http://www.justice.gov/atr/response-stars-alliance-llcs-request-business-review-letter" TargetMode="External"/><Relationship Id="rId27" Type="http://schemas.openxmlformats.org/officeDocument/2006/relationships/hyperlink" Target="http://www.justice.gov/atr/response-cyberpoint-international-br-request-business-review-letter"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7EA4-1946-429F-BE0E-64D27B6A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4881</Words>
  <Characters>31598</Characters>
  <Application>Microsoft Office Word</Application>
  <DocSecurity>0</DocSecurity>
  <Lines>263</Lines>
  <Paragraphs>72</Paragraphs>
  <ScaleCrop>false</ScaleCrop>
  <Company/>
  <LinksUpToDate>false</LinksUpToDate>
  <CharactersWithSpaces>36407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2016-02-17T14:55:00Z</dcterms:created>
  <dcterms:modified xsi:type="dcterms:W3CDTF">2016-02-18T17:45:00Z</dcterms:modified>
</cp:coreProperties>
</file>