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98" w:rsidRPr="00F6531F" w:rsidRDefault="00DD7998" w:rsidP="00DD7998">
      <w:pPr>
        <w:pStyle w:val="Title"/>
        <w:rPr>
          <w:rFonts w:ascii="Arial" w:hAnsi="Arial" w:cs="Arial"/>
          <w:color w:val="auto"/>
        </w:rPr>
      </w:pPr>
      <w:bookmarkStart w:id="0" w:name="_GoBack"/>
      <w:bookmarkEnd w:id="0"/>
      <w:r w:rsidRPr="00F6531F">
        <w:rPr>
          <w:rFonts w:ascii="Arial" w:hAnsi="Arial" w:cs="Arial"/>
          <w:color w:val="auto"/>
        </w:rPr>
        <w:t>U.S. Department of Justice</w:t>
      </w:r>
    </w:p>
    <w:p w:rsidR="00DD7998" w:rsidRPr="00F6531F" w:rsidRDefault="00DD7998" w:rsidP="00DD7998">
      <w:pPr>
        <w:pStyle w:val="Title"/>
        <w:rPr>
          <w:rFonts w:ascii="Arial" w:hAnsi="Arial" w:cs="Arial"/>
          <w:color w:val="auto"/>
        </w:rPr>
      </w:pPr>
      <w:r w:rsidRPr="00F6531F">
        <w:rPr>
          <w:rFonts w:ascii="Arial" w:hAnsi="Arial" w:cs="Arial"/>
          <w:color w:val="auto"/>
        </w:rPr>
        <w:t>Civil Rights Division</w:t>
      </w:r>
    </w:p>
    <w:p w:rsidR="00DD7998" w:rsidRDefault="005E26FC" w:rsidP="00DD7998">
      <w:pPr>
        <w:pStyle w:val="Title"/>
        <w:rPr>
          <w:rFonts w:ascii="Arial" w:hAnsi="Arial" w:cs="Arial"/>
          <w:color w:val="auto"/>
        </w:rPr>
      </w:pPr>
      <w:r>
        <w:rPr>
          <w:rFonts w:ascii="Arial" w:hAnsi="Arial" w:cs="Arial"/>
          <w:color w:val="auto"/>
        </w:rPr>
        <w:t xml:space="preserve">Selected </w:t>
      </w:r>
      <w:r w:rsidR="00DD7998" w:rsidRPr="00F6531F">
        <w:rPr>
          <w:rFonts w:ascii="Arial" w:hAnsi="Arial" w:cs="Arial"/>
          <w:color w:val="auto"/>
        </w:rPr>
        <w:t xml:space="preserve">Accomplishments, </w:t>
      </w:r>
      <w:r w:rsidR="00DD7998">
        <w:rPr>
          <w:rFonts w:ascii="Arial" w:hAnsi="Arial" w:cs="Arial"/>
          <w:color w:val="auto"/>
        </w:rPr>
        <w:t>2013</w:t>
      </w:r>
    </w:p>
    <w:p w:rsidR="001206A5" w:rsidRPr="00DD7998" w:rsidRDefault="00962309" w:rsidP="009417F7">
      <w:pPr>
        <w:spacing w:line="240" w:lineRule="auto"/>
        <w:rPr>
          <w:rFonts w:ascii="Times New Roman" w:hAnsi="Times New Roman"/>
          <w:vanish/>
          <w:sz w:val="24"/>
          <w:szCs w:val="24"/>
          <w:specVanish/>
        </w:rPr>
      </w:pPr>
      <w:r w:rsidRPr="006F4B96">
        <w:rPr>
          <w:rFonts w:ascii="Times New Roman" w:hAnsi="Times New Roman"/>
          <w:sz w:val="24"/>
          <w:szCs w:val="24"/>
        </w:rPr>
        <w:t>Fifty years ago, on the steps of the Lincoln Memorial, Dr. Martin Luther King Jr. articulated a vision of equality that animates the work of the Department of Justice to the present day.</w:t>
      </w:r>
      <w:r w:rsidR="008712B6">
        <w:rPr>
          <w:rFonts w:ascii="Times New Roman" w:hAnsi="Times New Roman"/>
          <w:sz w:val="24"/>
          <w:szCs w:val="24"/>
        </w:rPr>
        <w:t xml:space="preserve"> </w:t>
      </w:r>
      <w:r w:rsidR="00C1060E">
        <w:rPr>
          <w:rFonts w:ascii="Times New Roman" w:hAnsi="Times New Roman"/>
          <w:sz w:val="24"/>
          <w:szCs w:val="24"/>
        </w:rPr>
        <w:t>The March o</w:t>
      </w:r>
      <w:r w:rsidR="00B5106F">
        <w:rPr>
          <w:rFonts w:ascii="Times New Roman" w:hAnsi="Times New Roman"/>
          <w:sz w:val="24"/>
          <w:szCs w:val="24"/>
        </w:rPr>
        <w:t>n Washington—</w:t>
      </w:r>
      <w:r w:rsidR="00B200AA">
        <w:rPr>
          <w:rFonts w:ascii="Times New Roman" w:hAnsi="Times New Roman"/>
          <w:sz w:val="24"/>
          <w:szCs w:val="24"/>
        </w:rPr>
        <w:t>highlighted by</w:t>
      </w:r>
      <w:r w:rsidR="005E5713">
        <w:rPr>
          <w:rFonts w:ascii="Times New Roman" w:hAnsi="Times New Roman"/>
          <w:sz w:val="24"/>
          <w:szCs w:val="24"/>
        </w:rPr>
        <w:t xml:space="preserve"> Dr. King’s </w:t>
      </w:r>
      <w:r w:rsidR="00B5106F">
        <w:rPr>
          <w:rFonts w:ascii="Times New Roman" w:hAnsi="Times New Roman"/>
          <w:sz w:val="24"/>
          <w:szCs w:val="24"/>
        </w:rPr>
        <w:t>iconic “I Have a Dream” speech—</w:t>
      </w:r>
      <w:r w:rsidR="001206A5" w:rsidRPr="006F4B96">
        <w:rPr>
          <w:rFonts w:ascii="Times New Roman" w:hAnsi="Times New Roman"/>
          <w:sz w:val="24"/>
          <w:szCs w:val="24"/>
        </w:rPr>
        <w:t xml:space="preserve">inspired Congress to pass </w:t>
      </w:r>
      <w:r w:rsidR="007F0DFB" w:rsidRPr="006F4B96">
        <w:rPr>
          <w:rFonts w:ascii="Times New Roman" w:hAnsi="Times New Roman"/>
          <w:sz w:val="24"/>
          <w:szCs w:val="24"/>
        </w:rPr>
        <w:t xml:space="preserve">critical federal civil rights protections, including the Civil Rights Act of 1964 and </w:t>
      </w:r>
      <w:r w:rsidR="00591F51">
        <w:rPr>
          <w:rFonts w:ascii="Times New Roman" w:hAnsi="Times New Roman"/>
          <w:sz w:val="24"/>
          <w:szCs w:val="24"/>
        </w:rPr>
        <w:t xml:space="preserve">the </w:t>
      </w:r>
      <w:r w:rsidR="007F0DFB" w:rsidRPr="006F4B96">
        <w:rPr>
          <w:rFonts w:ascii="Times New Roman" w:hAnsi="Times New Roman"/>
          <w:sz w:val="24"/>
          <w:szCs w:val="24"/>
        </w:rPr>
        <w:t>Voting Rights Act of 1965.</w:t>
      </w:r>
    </w:p>
    <w:p w:rsidR="00C46150" w:rsidRDefault="00DD7998" w:rsidP="00C46150">
      <w:pPr>
        <w:spacing w:after="0" w:line="240" w:lineRule="auto"/>
        <w:rPr>
          <w:rFonts w:ascii="Times New Roman" w:hAnsi="Times New Roman"/>
          <w:sz w:val="24"/>
          <w:szCs w:val="24"/>
        </w:rPr>
      </w:pPr>
      <w:r>
        <w:rPr>
          <w:rFonts w:ascii="Times New Roman" w:hAnsi="Times New Roman"/>
          <w:sz w:val="24"/>
          <w:szCs w:val="24"/>
        </w:rPr>
        <w:t xml:space="preserve"> </w:t>
      </w:r>
    </w:p>
    <w:p w:rsidR="00C46150" w:rsidRDefault="00C46150" w:rsidP="00C46150">
      <w:pPr>
        <w:spacing w:after="0" w:line="240" w:lineRule="auto"/>
        <w:rPr>
          <w:rFonts w:ascii="Times New Roman" w:hAnsi="Times New Roman"/>
          <w:sz w:val="24"/>
          <w:szCs w:val="24"/>
        </w:rPr>
      </w:pPr>
    </w:p>
    <w:p w:rsidR="00C46150" w:rsidRDefault="00B5106F" w:rsidP="00C46150">
      <w:pPr>
        <w:spacing w:after="0" w:line="240" w:lineRule="auto"/>
        <w:rPr>
          <w:rFonts w:ascii="Times New Roman" w:hAnsi="Times New Roman"/>
          <w:sz w:val="24"/>
          <w:szCs w:val="24"/>
        </w:rPr>
      </w:pPr>
      <w:r>
        <w:rPr>
          <w:rFonts w:ascii="Times New Roman" w:hAnsi="Times New Roman"/>
          <w:sz w:val="24"/>
          <w:szCs w:val="24"/>
        </w:rPr>
        <w:t>Over the past five decades</w:t>
      </w:r>
      <w:r w:rsidR="00962309" w:rsidRPr="006F4B96">
        <w:rPr>
          <w:rFonts w:ascii="Times New Roman" w:hAnsi="Times New Roman"/>
          <w:sz w:val="24"/>
          <w:szCs w:val="24"/>
        </w:rPr>
        <w:t xml:space="preserve">, there is no doubt that we as a country have made tremendous strides </w:t>
      </w:r>
      <w:r w:rsidR="00C46150">
        <w:rPr>
          <w:rFonts w:ascii="Times New Roman" w:hAnsi="Times New Roman"/>
          <w:sz w:val="24"/>
          <w:szCs w:val="24"/>
        </w:rPr>
        <w:t xml:space="preserve">in answering </w:t>
      </w:r>
      <w:r w:rsidR="00C46150" w:rsidRPr="006F4B96">
        <w:rPr>
          <w:rFonts w:ascii="Times New Roman" w:hAnsi="Times New Roman"/>
          <w:sz w:val="24"/>
          <w:szCs w:val="24"/>
        </w:rPr>
        <w:t xml:space="preserve">Dr. King’s call </w:t>
      </w:r>
      <w:r w:rsidR="00C46150" w:rsidRPr="00D50F3E">
        <w:rPr>
          <w:rFonts w:ascii="Times New Roman" w:hAnsi="Times New Roman"/>
          <w:sz w:val="24"/>
          <w:szCs w:val="24"/>
        </w:rPr>
        <w:t>for a more just, more free, and more perfect union.</w:t>
      </w:r>
      <w:r w:rsidR="00C46150">
        <w:rPr>
          <w:rFonts w:ascii="Times New Roman" w:hAnsi="Times New Roman"/>
          <w:sz w:val="24"/>
          <w:szCs w:val="24"/>
        </w:rPr>
        <w:t xml:space="preserve"> Y</w:t>
      </w:r>
      <w:r w:rsidR="00962309" w:rsidRPr="006F4B96">
        <w:rPr>
          <w:rFonts w:ascii="Times New Roman" w:hAnsi="Times New Roman"/>
          <w:sz w:val="24"/>
          <w:szCs w:val="24"/>
        </w:rPr>
        <w:t>et for all that we have accomplished, much work remains</w:t>
      </w:r>
      <w:r w:rsidR="00360D9B" w:rsidRPr="006F4B96">
        <w:rPr>
          <w:rFonts w:ascii="Times New Roman" w:hAnsi="Times New Roman"/>
          <w:sz w:val="24"/>
          <w:szCs w:val="24"/>
        </w:rPr>
        <w:t xml:space="preserve">. </w:t>
      </w:r>
      <w:r w:rsidR="00C46150">
        <w:rPr>
          <w:rFonts w:ascii="Times New Roman" w:hAnsi="Times New Roman"/>
          <w:sz w:val="24"/>
          <w:szCs w:val="24"/>
        </w:rPr>
        <w:t>T</w:t>
      </w:r>
      <w:r w:rsidR="00C46150" w:rsidRPr="00D50F3E">
        <w:rPr>
          <w:rFonts w:ascii="Times New Roman" w:hAnsi="Times New Roman"/>
          <w:sz w:val="24"/>
          <w:szCs w:val="24"/>
        </w:rPr>
        <w:t xml:space="preserve">he </w:t>
      </w:r>
      <w:r w:rsidR="00C46150">
        <w:rPr>
          <w:rFonts w:ascii="Times New Roman" w:hAnsi="Times New Roman"/>
          <w:sz w:val="24"/>
          <w:szCs w:val="24"/>
        </w:rPr>
        <w:t xml:space="preserve">Civil Rights </w:t>
      </w:r>
      <w:r w:rsidR="00C46150" w:rsidRPr="00D50F3E">
        <w:rPr>
          <w:rFonts w:ascii="Times New Roman" w:hAnsi="Times New Roman"/>
          <w:sz w:val="24"/>
          <w:szCs w:val="24"/>
        </w:rPr>
        <w:t>Division’s robust caseload is a stark reminder that too many in our nation continue to face barriers to equal opportunity.</w:t>
      </w:r>
    </w:p>
    <w:p w:rsidR="00C46150" w:rsidRPr="006F4B96" w:rsidRDefault="00C46150" w:rsidP="00C46150">
      <w:pPr>
        <w:spacing w:after="0" w:line="240" w:lineRule="auto"/>
        <w:rPr>
          <w:rFonts w:ascii="Times New Roman" w:hAnsi="Times New Roman"/>
          <w:sz w:val="24"/>
          <w:szCs w:val="24"/>
        </w:rPr>
      </w:pPr>
    </w:p>
    <w:p w:rsidR="00E84895" w:rsidRPr="006F4B96" w:rsidRDefault="005E1BB0" w:rsidP="009417F7">
      <w:pPr>
        <w:spacing w:line="240" w:lineRule="auto"/>
        <w:rPr>
          <w:rFonts w:ascii="Times New Roman" w:hAnsi="Times New Roman"/>
          <w:sz w:val="24"/>
          <w:szCs w:val="24"/>
        </w:rPr>
      </w:pPr>
      <w:r>
        <w:rPr>
          <w:rFonts w:ascii="Times New Roman" w:hAnsi="Times New Roman"/>
          <w:sz w:val="24"/>
          <w:szCs w:val="24"/>
        </w:rPr>
        <w:t>T</w:t>
      </w:r>
      <w:r w:rsidR="00C446CA" w:rsidRPr="006F4B96">
        <w:rPr>
          <w:rFonts w:ascii="Times New Roman" w:hAnsi="Times New Roman"/>
          <w:sz w:val="24"/>
          <w:szCs w:val="24"/>
        </w:rPr>
        <w:t xml:space="preserve">he </w:t>
      </w:r>
      <w:r w:rsidR="00CD1B74" w:rsidRPr="006F4B96">
        <w:rPr>
          <w:rFonts w:ascii="Times New Roman" w:hAnsi="Times New Roman"/>
          <w:sz w:val="24"/>
          <w:szCs w:val="24"/>
        </w:rPr>
        <w:t xml:space="preserve">Justice Department’s Civil Rights Division </w:t>
      </w:r>
      <w:r>
        <w:rPr>
          <w:rFonts w:ascii="Times New Roman" w:hAnsi="Times New Roman"/>
          <w:sz w:val="24"/>
          <w:szCs w:val="24"/>
        </w:rPr>
        <w:t>enforces</w:t>
      </w:r>
      <w:r w:rsidR="00C446CA" w:rsidRPr="006F4B96">
        <w:rPr>
          <w:rFonts w:ascii="Times New Roman" w:hAnsi="Times New Roman"/>
          <w:sz w:val="24"/>
          <w:szCs w:val="24"/>
        </w:rPr>
        <w:t xml:space="preserve"> the federal laws that prohibit discrimination and uphold the civil and constitutional rights of all who live in America. Through these efforts, the Division works to advance three basic principles:</w:t>
      </w:r>
    </w:p>
    <w:p w:rsidR="00C446CA" w:rsidRPr="006F4B96" w:rsidRDefault="00543357" w:rsidP="009417F7">
      <w:pPr>
        <w:numPr>
          <w:ilvl w:val="0"/>
          <w:numId w:val="1"/>
        </w:numPr>
        <w:spacing w:line="240" w:lineRule="auto"/>
        <w:rPr>
          <w:rFonts w:ascii="Times New Roman" w:hAnsi="Times New Roman"/>
          <w:sz w:val="24"/>
          <w:szCs w:val="24"/>
        </w:rPr>
      </w:pPr>
      <w:r w:rsidRPr="006F4B96">
        <w:rPr>
          <w:rFonts w:ascii="Times New Roman" w:hAnsi="Times New Roman"/>
          <w:b/>
          <w:sz w:val="24"/>
          <w:szCs w:val="24"/>
        </w:rPr>
        <w:t>Expanding opportunity for all people:</w:t>
      </w:r>
      <w:r w:rsidRPr="006F4B96">
        <w:rPr>
          <w:rFonts w:ascii="Times New Roman" w:hAnsi="Times New Roman"/>
          <w:sz w:val="24"/>
          <w:szCs w:val="24"/>
        </w:rPr>
        <w:t xml:space="preserve"> </w:t>
      </w:r>
      <w:r w:rsidR="00591F51">
        <w:rPr>
          <w:rFonts w:ascii="Times New Roman" w:hAnsi="Times New Roman"/>
          <w:sz w:val="24"/>
          <w:szCs w:val="24"/>
        </w:rPr>
        <w:t xml:space="preserve">by advancing </w:t>
      </w:r>
      <w:r w:rsidRPr="006F4B96">
        <w:rPr>
          <w:rFonts w:ascii="Times New Roman" w:hAnsi="Times New Roman"/>
          <w:sz w:val="24"/>
          <w:szCs w:val="24"/>
        </w:rPr>
        <w:t xml:space="preserve">the opportunity to learn, the opportunity to earn a living, </w:t>
      </w:r>
      <w:r w:rsidR="00F32FB4" w:rsidRPr="006F4B96">
        <w:rPr>
          <w:rFonts w:ascii="Times New Roman" w:hAnsi="Times New Roman"/>
          <w:sz w:val="24"/>
          <w:szCs w:val="24"/>
        </w:rPr>
        <w:t xml:space="preserve">the opportunity to live where one chooses, </w:t>
      </w:r>
      <w:r w:rsidRPr="006F4B96">
        <w:rPr>
          <w:rFonts w:ascii="Times New Roman" w:hAnsi="Times New Roman"/>
          <w:sz w:val="24"/>
          <w:szCs w:val="24"/>
        </w:rPr>
        <w:t>and the opportunity to worship freely in one’s community.</w:t>
      </w:r>
    </w:p>
    <w:p w:rsidR="00543357" w:rsidRPr="006F4B96" w:rsidRDefault="00543357" w:rsidP="009417F7">
      <w:pPr>
        <w:numPr>
          <w:ilvl w:val="0"/>
          <w:numId w:val="1"/>
        </w:numPr>
        <w:spacing w:line="240" w:lineRule="auto"/>
        <w:rPr>
          <w:rFonts w:ascii="Times New Roman" w:hAnsi="Times New Roman"/>
          <w:sz w:val="24"/>
          <w:szCs w:val="24"/>
        </w:rPr>
      </w:pPr>
      <w:r w:rsidRPr="006F4B96">
        <w:rPr>
          <w:rFonts w:ascii="Times New Roman" w:hAnsi="Times New Roman"/>
          <w:b/>
          <w:sz w:val="24"/>
          <w:szCs w:val="24"/>
        </w:rPr>
        <w:t>Safeguarding the fundamental infrastructure of democracy</w:t>
      </w:r>
      <w:r w:rsidRPr="006F4B96">
        <w:rPr>
          <w:rFonts w:ascii="Times New Roman" w:hAnsi="Times New Roman"/>
          <w:sz w:val="24"/>
          <w:szCs w:val="24"/>
        </w:rPr>
        <w:t>: by protecting the right to vote and access to justice, by ensuring that communities have effective and democratically accountable policing, and by protecting those who protect us.</w:t>
      </w:r>
      <w:r w:rsidR="008712B6">
        <w:rPr>
          <w:rFonts w:ascii="Times New Roman" w:hAnsi="Times New Roman"/>
          <w:sz w:val="24"/>
          <w:szCs w:val="24"/>
        </w:rPr>
        <w:t xml:space="preserve"> </w:t>
      </w:r>
    </w:p>
    <w:p w:rsidR="00543357" w:rsidRPr="006F4B96" w:rsidRDefault="00F6795B" w:rsidP="009417F7">
      <w:pPr>
        <w:numPr>
          <w:ilvl w:val="0"/>
          <w:numId w:val="1"/>
        </w:numPr>
        <w:spacing w:line="240" w:lineRule="auto"/>
        <w:rPr>
          <w:rFonts w:ascii="Times New Roman" w:hAnsi="Times New Roman"/>
          <w:sz w:val="24"/>
          <w:szCs w:val="24"/>
        </w:rPr>
      </w:pPr>
      <w:r w:rsidRPr="006F4B96">
        <w:rPr>
          <w:rFonts w:ascii="Times New Roman" w:hAnsi="Times New Roman"/>
          <w:b/>
          <w:sz w:val="24"/>
          <w:szCs w:val="24"/>
        </w:rPr>
        <w:t xml:space="preserve">Protecting the most vulnerable among us: </w:t>
      </w:r>
      <w:r w:rsidRPr="006F4B96">
        <w:rPr>
          <w:rFonts w:ascii="Times New Roman" w:hAnsi="Times New Roman"/>
          <w:sz w:val="24"/>
          <w:szCs w:val="24"/>
        </w:rPr>
        <w:t xml:space="preserve">by ensuring </w:t>
      </w:r>
      <w:r w:rsidR="00360D9B" w:rsidRPr="006F4B96">
        <w:rPr>
          <w:rFonts w:ascii="Times New Roman" w:hAnsi="Times New Roman"/>
          <w:sz w:val="24"/>
          <w:szCs w:val="24"/>
        </w:rPr>
        <w:t>that all in America</w:t>
      </w:r>
      <w:r w:rsidRPr="006F4B96">
        <w:rPr>
          <w:rFonts w:ascii="Times New Roman" w:hAnsi="Times New Roman"/>
          <w:sz w:val="24"/>
          <w:szCs w:val="24"/>
        </w:rPr>
        <w:t xml:space="preserve"> can live free from fear of exploitation, discrimination, and violence.</w:t>
      </w:r>
    </w:p>
    <w:p w:rsidR="00591F51" w:rsidRDefault="00B200AA" w:rsidP="009417F7">
      <w:pPr>
        <w:spacing w:line="240" w:lineRule="auto"/>
        <w:rPr>
          <w:rFonts w:ascii="Times New Roman" w:hAnsi="Times New Roman"/>
          <w:sz w:val="24"/>
          <w:szCs w:val="24"/>
        </w:rPr>
      </w:pPr>
      <w:r>
        <w:rPr>
          <w:rFonts w:ascii="Times New Roman" w:hAnsi="Times New Roman"/>
          <w:sz w:val="24"/>
          <w:szCs w:val="24"/>
        </w:rPr>
        <w:t xml:space="preserve">In 2013, </w:t>
      </w:r>
      <w:r w:rsidR="00CD1B74" w:rsidRPr="006F4B96">
        <w:rPr>
          <w:rFonts w:ascii="Times New Roman" w:hAnsi="Times New Roman"/>
          <w:sz w:val="24"/>
          <w:szCs w:val="24"/>
        </w:rPr>
        <w:t>the Division advanced these core principles by filing a record number of cases in many enforcement areas; b</w:t>
      </w:r>
      <w:r w:rsidR="005E1BB0">
        <w:rPr>
          <w:rFonts w:ascii="Times New Roman" w:hAnsi="Times New Roman"/>
          <w:sz w:val="24"/>
          <w:szCs w:val="24"/>
        </w:rPr>
        <w:t xml:space="preserve">y reaching historic settlements </w:t>
      </w:r>
      <w:r w:rsidR="00CD1B74" w:rsidRPr="006F4B96">
        <w:rPr>
          <w:rFonts w:ascii="Times New Roman" w:hAnsi="Times New Roman"/>
          <w:sz w:val="24"/>
          <w:szCs w:val="24"/>
        </w:rPr>
        <w:t>in others; by issuing landmark regulat</w:t>
      </w:r>
      <w:r w:rsidR="00591F51">
        <w:rPr>
          <w:rFonts w:ascii="Times New Roman" w:hAnsi="Times New Roman"/>
          <w:sz w:val="24"/>
          <w:szCs w:val="24"/>
        </w:rPr>
        <w:t>ory</w:t>
      </w:r>
      <w:r w:rsidR="00CD1B74" w:rsidRPr="006F4B96">
        <w:rPr>
          <w:rFonts w:ascii="Times New Roman" w:hAnsi="Times New Roman"/>
          <w:sz w:val="24"/>
          <w:szCs w:val="24"/>
        </w:rPr>
        <w:t xml:space="preserve"> and legal guidance; and by championing sound and sorely needed civil rights policy initiatives. </w:t>
      </w:r>
      <w:r w:rsidR="00AE32F0">
        <w:rPr>
          <w:rFonts w:ascii="Times New Roman" w:hAnsi="Times New Roman"/>
          <w:sz w:val="24"/>
          <w:szCs w:val="24"/>
        </w:rPr>
        <w:t xml:space="preserve">This report </w:t>
      </w:r>
      <w:r w:rsidR="00591F51">
        <w:rPr>
          <w:rFonts w:ascii="Times New Roman" w:hAnsi="Times New Roman"/>
          <w:sz w:val="24"/>
          <w:szCs w:val="24"/>
        </w:rPr>
        <w:t xml:space="preserve">discusses some of the </w:t>
      </w:r>
      <w:r w:rsidR="00AE32F0">
        <w:rPr>
          <w:rFonts w:ascii="Times New Roman" w:hAnsi="Times New Roman"/>
          <w:sz w:val="24"/>
          <w:szCs w:val="24"/>
        </w:rPr>
        <w:t xml:space="preserve">highlights of </w:t>
      </w:r>
      <w:r w:rsidR="00591F51">
        <w:rPr>
          <w:rFonts w:ascii="Times New Roman" w:hAnsi="Times New Roman"/>
          <w:sz w:val="24"/>
          <w:szCs w:val="24"/>
        </w:rPr>
        <w:t>this</w:t>
      </w:r>
      <w:r w:rsidR="005456BE">
        <w:rPr>
          <w:rFonts w:ascii="Times New Roman" w:hAnsi="Times New Roman"/>
          <w:sz w:val="24"/>
          <w:szCs w:val="24"/>
        </w:rPr>
        <w:t xml:space="preserve"> work</w:t>
      </w:r>
      <w:r w:rsidR="00591F51">
        <w:rPr>
          <w:rFonts w:ascii="Times New Roman" w:hAnsi="Times New Roman"/>
          <w:sz w:val="24"/>
          <w:szCs w:val="24"/>
        </w:rPr>
        <w:t>.</w:t>
      </w:r>
      <w:r w:rsidR="008712B6">
        <w:rPr>
          <w:rFonts w:ascii="Times New Roman" w:hAnsi="Times New Roman"/>
          <w:sz w:val="24"/>
          <w:szCs w:val="24"/>
        </w:rPr>
        <w:t xml:space="preserve"> </w:t>
      </w:r>
    </w:p>
    <w:p w:rsidR="00336B7A" w:rsidRPr="006F4B96" w:rsidRDefault="00EE64CC" w:rsidP="009417F7">
      <w:pPr>
        <w:spacing w:line="240" w:lineRule="auto"/>
        <w:rPr>
          <w:rFonts w:ascii="Times New Roman" w:hAnsi="Times New Roman"/>
          <w:sz w:val="24"/>
          <w:szCs w:val="24"/>
        </w:rPr>
      </w:pPr>
      <w:r>
        <w:rPr>
          <w:rFonts w:ascii="Times New Roman" w:hAnsi="Times New Roman"/>
          <w:sz w:val="24"/>
          <w:szCs w:val="24"/>
        </w:rPr>
        <w:t xml:space="preserve">In the words of the late Senator Edward Kennedy, “the business of civil rights remains the unfinished business of America.” </w:t>
      </w:r>
      <w:r w:rsidR="00591F51">
        <w:rPr>
          <w:rFonts w:ascii="Times New Roman" w:hAnsi="Times New Roman"/>
          <w:sz w:val="24"/>
          <w:szCs w:val="24"/>
        </w:rPr>
        <w:t xml:space="preserve">As we </w:t>
      </w:r>
      <w:r w:rsidR="00F32FB4">
        <w:rPr>
          <w:rFonts w:ascii="Times New Roman" w:hAnsi="Times New Roman"/>
          <w:sz w:val="24"/>
          <w:szCs w:val="24"/>
        </w:rPr>
        <w:t>approach</w:t>
      </w:r>
      <w:r w:rsidR="00591F51">
        <w:rPr>
          <w:rFonts w:ascii="Times New Roman" w:hAnsi="Times New Roman"/>
          <w:sz w:val="24"/>
          <w:szCs w:val="24"/>
        </w:rPr>
        <w:t xml:space="preserve"> the 50</w:t>
      </w:r>
      <w:r w:rsidR="00527917" w:rsidRPr="00527917">
        <w:rPr>
          <w:rFonts w:ascii="Times New Roman" w:hAnsi="Times New Roman"/>
          <w:sz w:val="24"/>
          <w:szCs w:val="24"/>
          <w:vertAlign w:val="superscript"/>
        </w:rPr>
        <w:t>th</w:t>
      </w:r>
      <w:r w:rsidR="00591F51">
        <w:rPr>
          <w:rFonts w:ascii="Times New Roman" w:hAnsi="Times New Roman"/>
          <w:sz w:val="24"/>
          <w:szCs w:val="24"/>
        </w:rPr>
        <w:t xml:space="preserve"> anniversary of the Civil Rights Act of 1964, the Division </w:t>
      </w:r>
      <w:r w:rsidR="00F32FB4" w:rsidRPr="00D50F3E">
        <w:rPr>
          <w:rFonts w:ascii="Times New Roman" w:hAnsi="Times New Roman"/>
          <w:sz w:val="24"/>
          <w:szCs w:val="24"/>
        </w:rPr>
        <w:t>takes very seriously our responsibility to address both longstanding and emerging civil rights challenges.</w:t>
      </w:r>
      <w:r w:rsidR="00F32FB4">
        <w:rPr>
          <w:rFonts w:ascii="Times New Roman" w:hAnsi="Times New Roman"/>
          <w:sz w:val="24"/>
          <w:szCs w:val="24"/>
        </w:rPr>
        <w:t xml:space="preserve"> In the months and years to come, the Division </w:t>
      </w:r>
      <w:r w:rsidR="00591F51">
        <w:rPr>
          <w:rFonts w:ascii="Times New Roman" w:hAnsi="Times New Roman"/>
          <w:sz w:val="24"/>
          <w:szCs w:val="24"/>
        </w:rPr>
        <w:t>will continue to do all that it can to realize the promise of liberty, equality and opportunity for all.</w:t>
      </w:r>
      <w:r w:rsidR="00591F51" w:rsidDel="00591F51">
        <w:rPr>
          <w:rFonts w:ascii="Times New Roman" w:hAnsi="Times New Roman"/>
          <w:sz w:val="24"/>
          <w:szCs w:val="24"/>
        </w:rPr>
        <w:t xml:space="preserve"> </w:t>
      </w:r>
      <w:r w:rsidR="009E0118" w:rsidRPr="009E0118">
        <w:rPr>
          <w:rFonts w:ascii="Times New Roman" w:hAnsi="Times New Roman"/>
          <w:sz w:val="24"/>
          <w:szCs w:val="24"/>
        </w:rPr>
        <w:tab/>
      </w:r>
    </w:p>
    <w:p w:rsidR="007E30B2" w:rsidRPr="005E1BB0" w:rsidRDefault="00CB20E6" w:rsidP="007E30B2">
      <w:pPr>
        <w:pStyle w:val="Subtitle"/>
        <w:spacing w:after="120" w:line="240" w:lineRule="auto"/>
        <w:rPr>
          <w:rStyle w:val="IntenseEmphasis"/>
        </w:rPr>
      </w:pPr>
      <w:r>
        <w:rPr>
          <w:rStyle w:val="IntenseEmphasis"/>
        </w:rPr>
        <w:br w:type="column"/>
      </w:r>
      <w:r w:rsidR="007E30B2" w:rsidRPr="005E1BB0">
        <w:rPr>
          <w:rStyle w:val="IntenseEmphasis"/>
        </w:rPr>
        <w:lastRenderedPageBreak/>
        <w:t xml:space="preserve"> </w:t>
      </w:r>
    </w:p>
    <w:p w:rsidR="00FF2B93" w:rsidRPr="00A53B31" w:rsidRDefault="006F4B96" w:rsidP="007E30B2">
      <w:pPr>
        <w:pStyle w:val="Subtitle"/>
        <w:spacing w:after="0" w:line="240" w:lineRule="auto"/>
        <w:rPr>
          <w:rStyle w:val="IntenseEmphasis"/>
          <w:rFonts w:asciiTheme="majorHAnsi" w:hAnsiTheme="majorHAnsi"/>
          <w:sz w:val="28"/>
          <w:szCs w:val="28"/>
        </w:rPr>
      </w:pPr>
      <w:r w:rsidRPr="00A53B31">
        <w:rPr>
          <w:rStyle w:val="IntenseEmphasis"/>
          <w:rFonts w:asciiTheme="majorHAnsi" w:hAnsiTheme="majorHAnsi"/>
          <w:sz w:val="28"/>
          <w:szCs w:val="28"/>
        </w:rPr>
        <w:t>E</w:t>
      </w:r>
      <w:r w:rsidR="00330CE4" w:rsidRPr="00A53B31">
        <w:rPr>
          <w:rStyle w:val="IntenseEmphasis"/>
          <w:rFonts w:asciiTheme="majorHAnsi" w:hAnsiTheme="majorHAnsi"/>
          <w:sz w:val="28"/>
          <w:szCs w:val="28"/>
        </w:rPr>
        <w:t>xpanding</w:t>
      </w:r>
      <w:r w:rsidRPr="00A53B31">
        <w:rPr>
          <w:rStyle w:val="IntenseEmphasis"/>
          <w:rFonts w:asciiTheme="majorHAnsi" w:hAnsiTheme="majorHAnsi"/>
          <w:sz w:val="28"/>
          <w:szCs w:val="28"/>
        </w:rPr>
        <w:t xml:space="preserve"> Opportunity</w:t>
      </w:r>
    </w:p>
    <w:p w:rsidR="00FF2B93" w:rsidRPr="00FF2B93" w:rsidRDefault="00FF2B93" w:rsidP="00FF2B93">
      <w:pPr>
        <w:spacing w:after="0"/>
      </w:pPr>
    </w:p>
    <w:p w:rsidR="009353FB" w:rsidRPr="00AF08D3" w:rsidRDefault="009353FB" w:rsidP="009353FB">
      <w:pPr>
        <w:pStyle w:val="Heading2"/>
        <w:rPr>
          <w:rStyle w:val="BookTitle"/>
        </w:rPr>
      </w:pPr>
      <w:r w:rsidRPr="00AF08D3">
        <w:rPr>
          <w:rStyle w:val="BookTitle"/>
        </w:rPr>
        <w:t xml:space="preserve">Expanding Equal Opportunity in </w:t>
      </w:r>
      <w:r>
        <w:rPr>
          <w:rStyle w:val="BookTitle"/>
        </w:rPr>
        <w:t>Education:</w:t>
      </w:r>
    </w:p>
    <w:p w:rsidR="00862339" w:rsidRDefault="00BD0892" w:rsidP="001C475F">
      <w:pPr>
        <w:pStyle w:val="NormalWeb"/>
        <w:spacing w:before="0" w:beforeAutospacing="0" w:after="0" w:afterAutospacing="0"/>
      </w:pPr>
      <w:r w:rsidRPr="0090627F">
        <w:t xml:space="preserve">Education is the foundation of </w:t>
      </w:r>
      <w:r>
        <w:t>the American dream</w:t>
      </w:r>
      <w:r w:rsidR="009808F1">
        <w:t xml:space="preserve">.  </w:t>
      </w:r>
      <w:r w:rsidR="00862339" w:rsidRPr="00862339">
        <w:t>It offers a lifeline to young men and women for whom a successful future is not predetermined. And particularly for students in poor or historically disadvantaged communities, education provides a gateway to opportunity and to a better future.</w:t>
      </w:r>
      <w:r w:rsidR="00862339">
        <w:t xml:space="preserve"> </w:t>
      </w:r>
    </w:p>
    <w:p w:rsidR="00862339" w:rsidRDefault="00862339" w:rsidP="001C475F">
      <w:pPr>
        <w:pStyle w:val="NormalWeb"/>
        <w:spacing w:before="0" w:beforeAutospacing="0" w:after="0" w:afterAutospacing="0"/>
      </w:pPr>
    </w:p>
    <w:p w:rsidR="00330CE4" w:rsidRDefault="00330CE4" w:rsidP="001C475F">
      <w:pPr>
        <w:pStyle w:val="NormalWeb"/>
        <w:spacing w:before="0" w:beforeAutospacing="0" w:after="0" w:afterAutospacing="0"/>
      </w:pPr>
      <w:r>
        <w:t>I</w:t>
      </w:r>
      <w:r w:rsidR="00BD0892" w:rsidRPr="0090627F">
        <w:t xml:space="preserve">n his opinion in </w:t>
      </w:r>
      <w:r w:rsidR="00BD0892" w:rsidRPr="001B56F8">
        <w:rPr>
          <w:i/>
        </w:rPr>
        <w:t>Brown v. Board of Education</w:t>
      </w:r>
      <w:r w:rsidR="00BD0892" w:rsidRPr="0090627F">
        <w:t>, Chief Justice Earl Warren wrote, “it is doubtful that any child may reasonably be expected to succeed in life if he is denied the opportunity of an education.</w:t>
      </w:r>
      <w:r w:rsidR="00862339">
        <w:t xml:space="preserve"> </w:t>
      </w:r>
      <w:r w:rsidR="00862339" w:rsidRPr="00862339">
        <w:t>Such an opportunity, where the state has undertaken to provide it, is a right which must be made available to all on equal terms.</w:t>
      </w:r>
      <w:r w:rsidR="00BD0892" w:rsidRPr="0090627F">
        <w:t>”</w:t>
      </w:r>
      <w:r w:rsidR="008712B6">
        <w:t xml:space="preserve"> </w:t>
      </w:r>
      <w:r>
        <w:t xml:space="preserve">Yet nearly six decades after this landmark decision, considerable work remains to provide equal educational opportunities to all of our nation’s students. </w:t>
      </w:r>
    </w:p>
    <w:p w:rsidR="00CD3029" w:rsidRPr="00330CE4" w:rsidRDefault="00CD3029" w:rsidP="001C475F">
      <w:pPr>
        <w:pStyle w:val="NormalWeb"/>
        <w:spacing w:before="0" w:beforeAutospacing="0" w:after="0" w:afterAutospacing="0"/>
        <w:rPr>
          <w:b/>
        </w:rPr>
      </w:pPr>
    </w:p>
    <w:p w:rsidR="00BD0892" w:rsidRDefault="004D5C39" w:rsidP="001C475F">
      <w:pPr>
        <w:pStyle w:val="NormalWeb"/>
        <w:spacing w:before="0" w:beforeAutospacing="0" w:after="0" w:afterAutospacing="0"/>
      </w:pPr>
      <w:r>
        <w:t>Last year</w:t>
      </w:r>
      <w:r w:rsidR="00BD76B7">
        <w:t xml:space="preserve">, the Civil Rights Division </w:t>
      </w:r>
      <w:r w:rsidR="00843D3F">
        <w:t xml:space="preserve">achieved major victories in its efforts to dismantle the school to prison pipeline, </w:t>
      </w:r>
      <w:r w:rsidR="003C77DD">
        <w:t xml:space="preserve">to </w:t>
      </w:r>
      <w:r w:rsidR="006C7779">
        <w:t>encourage div</w:t>
      </w:r>
      <w:r w:rsidR="005456BE">
        <w:t xml:space="preserve">ersity in higher education, </w:t>
      </w:r>
      <w:r w:rsidR="003C77DD">
        <w:t xml:space="preserve">to </w:t>
      </w:r>
      <w:r w:rsidR="00843D3F">
        <w:t>expand opportunities for English Language Learner students,</w:t>
      </w:r>
      <w:r w:rsidR="005456BE">
        <w:t xml:space="preserve"> and </w:t>
      </w:r>
      <w:r w:rsidR="003C77DD">
        <w:t xml:space="preserve">to </w:t>
      </w:r>
      <w:r w:rsidR="005456BE">
        <w:t>defend the rights of LGBT st</w:t>
      </w:r>
      <w:r w:rsidR="00603316">
        <w:t>udents</w:t>
      </w:r>
      <w:r w:rsidR="00851047">
        <w:t xml:space="preserve"> and students with disabilities</w:t>
      </w:r>
      <w:r w:rsidR="00603316">
        <w:t>.</w:t>
      </w:r>
    </w:p>
    <w:p w:rsidR="00CD3029" w:rsidRDefault="00CD3029" w:rsidP="001C475F">
      <w:pPr>
        <w:pStyle w:val="NormalWeb"/>
        <w:spacing w:before="0" w:beforeAutospacing="0" w:after="0" w:afterAutospacing="0"/>
      </w:pPr>
    </w:p>
    <w:p w:rsidR="00BD76B7" w:rsidRDefault="00157612" w:rsidP="001C475F">
      <w:pPr>
        <w:pStyle w:val="NormalWeb"/>
        <w:spacing w:before="0" w:beforeAutospacing="0" w:after="0" w:afterAutospacing="0"/>
      </w:pPr>
      <w:proofErr w:type="gramStart"/>
      <w:r w:rsidRPr="00AF08D3">
        <w:rPr>
          <w:b/>
          <w:i/>
        </w:rPr>
        <w:t>Dismantling the School-to-Prison Pipeline</w:t>
      </w:r>
      <w:r w:rsidR="00BD76B7" w:rsidRPr="00AF08D3">
        <w:rPr>
          <w:b/>
          <w:i/>
        </w:rPr>
        <w:t>:</w:t>
      </w:r>
      <w:r w:rsidR="00BD0892" w:rsidRPr="001B56F8">
        <w:t xml:space="preserve"> </w:t>
      </w:r>
      <w:r w:rsidR="005456BE">
        <w:t>A</w:t>
      </w:r>
      <w:r w:rsidR="005456BE" w:rsidRPr="00716881">
        <w:t xml:space="preserve"> minor school discipline offense should</w:t>
      </w:r>
      <w:r w:rsidR="00C52D42">
        <w:t xml:space="preserve"> not</w:t>
      </w:r>
      <w:r w:rsidR="005456BE" w:rsidRPr="00716881">
        <w:t xml:space="preserve"> </w:t>
      </w:r>
      <w:r w:rsidR="005456BE">
        <w:t>land</w:t>
      </w:r>
      <w:r w:rsidR="005456BE" w:rsidRPr="00716881">
        <w:t xml:space="preserve"> a student in </w:t>
      </w:r>
      <w:r w:rsidR="005456BE">
        <w:t>a</w:t>
      </w:r>
      <w:r w:rsidR="005456BE" w:rsidRPr="00716881">
        <w:t xml:space="preserve"> </w:t>
      </w:r>
      <w:r w:rsidR="005456BE">
        <w:t>police precinct.</w:t>
      </w:r>
      <w:proofErr w:type="gramEnd"/>
      <w:r w:rsidR="005456BE">
        <w:t xml:space="preserve"> </w:t>
      </w:r>
      <w:r w:rsidR="0037735F">
        <w:t>All too often, t</w:t>
      </w:r>
      <w:r w:rsidR="00BD76B7" w:rsidRPr="001B56F8">
        <w:t xml:space="preserve">he adverse effects of early interaction with the juvenile or criminal justice systems </w:t>
      </w:r>
      <w:r w:rsidR="0037735F">
        <w:t>are</w:t>
      </w:r>
      <w:r w:rsidR="00BD76B7" w:rsidRPr="001B56F8">
        <w:t xml:space="preserve"> permanent—they deprive those caught up in the system of opportunities for educational advancement, employment, access to housing</w:t>
      </w:r>
      <w:r w:rsidR="003B20EB" w:rsidRPr="001B56F8">
        <w:t>,</w:t>
      </w:r>
      <w:r w:rsidRPr="001B56F8">
        <w:t xml:space="preserve"> and even the right to vote. The Civil Rights Division works to ensure that our schools </w:t>
      </w:r>
      <w:r w:rsidR="005456BE">
        <w:t xml:space="preserve">receive the support they need to </w:t>
      </w:r>
      <w:r w:rsidR="005456BE" w:rsidRPr="005456BE">
        <w:t xml:space="preserve">keep young people </w:t>
      </w:r>
      <w:r w:rsidR="005456BE">
        <w:t xml:space="preserve">in the classroom </w:t>
      </w:r>
      <w:r w:rsidR="005456BE" w:rsidRPr="005456BE">
        <w:t>and out o</w:t>
      </w:r>
      <w:r w:rsidR="005456BE">
        <w:t xml:space="preserve">f the criminal justice system </w:t>
      </w:r>
      <w:r w:rsidR="005456BE" w:rsidRPr="005456BE">
        <w:t>by fostering a l</w:t>
      </w:r>
      <w:r w:rsidR="00AF7677">
        <w:t>earning environment that is</w:t>
      </w:r>
      <w:r w:rsidR="005456BE" w:rsidRPr="005456BE">
        <w:t xml:space="preserve"> safe</w:t>
      </w:r>
      <w:r w:rsidR="00AF7677">
        <w:t>, fair,</w:t>
      </w:r>
      <w:r w:rsidR="005456BE" w:rsidRPr="005456BE">
        <w:t xml:space="preserve"> and supportive.</w:t>
      </w:r>
    </w:p>
    <w:p w:rsidR="00CD3029" w:rsidRPr="001B56F8" w:rsidRDefault="00CD3029" w:rsidP="001C475F">
      <w:pPr>
        <w:pStyle w:val="NormalWeb"/>
        <w:spacing w:before="0" w:beforeAutospacing="0" w:after="0" w:afterAutospacing="0"/>
      </w:pPr>
    </w:p>
    <w:p w:rsidR="00BD76B7" w:rsidRDefault="00202732" w:rsidP="006E4B07">
      <w:pPr>
        <w:pStyle w:val="NormalWeb"/>
        <w:spacing w:before="0" w:beforeAutospacing="0" w:after="0" w:afterAutospacing="0"/>
      </w:pPr>
      <w:r>
        <w:rPr>
          <w:i/>
        </w:rPr>
        <w:t xml:space="preserve">Meridian, Mississippi: </w:t>
      </w:r>
      <w:r w:rsidR="004D5C39">
        <w:t>Last year</w:t>
      </w:r>
      <w:r w:rsidR="00C7593C" w:rsidRPr="001B56F8">
        <w:t xml:space="preserve">, </w:t>
      </w:r>
      <w:r w:rsidR="00C7593C">
        <w:t>an</w:t>
      </w:r>
      <w:r w:rsidR="00C7593C" w:rsidRPr="001B56F8">
        <w:t xml:space="preserve"> investigation</w:t>
      </w:r>
      <w:r w:rsidR="00C7593C">
        <w:t xml:space="preserve"> by the Division and the U.S. Attorney’s Office for the Southern District of Mississippi</w:t>
      </w:r>
      <w:r w:rsidR="00C7593C" w:rsidRPr="001B56F8">
        <w:t xml:space="preserve"> into disciplinary practices in the Meridian, Mississippi public school system found that black students frequently received far harsher disciplinary consequences than white students for comparable misbehavior. </w:t>
      </w:r>
      <w:r w:rsidR="003B20EB" w:rsidRPr="001B56F8">
        <w:t>For example, o</w:t>
      </w:r>
      <w:r w:rsidR="00BD76B7" w:rsidRPr="001B56F8">
        <w:t xml:space="preserve">ne </w:t>
      </w:r>
      <w:r w:rsidR="003B20EB" w:rsidRPr="001B56F8">
        <w:t xml:space="preserve">black </w:t>
      </w:r>
      <w:r w:rsidR="00BD76B7" w:rsidRPr="001B56F8">
        <w:t>student was suspended and subsequently arrested for wearing the wrong socks to school. Another</w:t>
      </w:r>
      <w:r w:rsidR="006D7583">
        <w:t xml:space="preserve"> black</w:t>
      </w:r>
      <w:r w:rsidR="00BD76B7" w:rsidRPr="001B56F8">
        <w:t xml:space="preserve"> student was sprayed with mace and arrested after refusing to tuck in his shirt. </w:t>
      </w:r>
    </w:p>
    <w:p w:rsidR="00CD3029" w:rsidRPr="001B56F8" w:rsidRDefault="00CD3029" w:rsidP="006E4B07">
      <w:pPr>
        <w:pStyle w:val="NormalWeb"/>
        <w:spacing w:before="0" w:beforeAutospacing="0" w:after="0" w:afterAutospacing="0"/>
      </w:pPr>
    </w:p>
    <w:p w:rsidR="00AF08D3" w:rsidRDefault="0037735F" w:rsidP="006E4B07">
      <w:pPr>
        <w:pStyle w:val="NormalWeb"/>
        <w:spacing w:before="0" w:beforeAutospacing="0" w:after="0" w:afterAutospacing="0"/>
      </w:pPr>
      <w:r>
        <w:t>In response t</w:t>
      </w:r>
      <w:r w:rsidR="003B20EB" w:rsidRPr="001B56F8">
        <w:t xml:space="preserve">o these </w:t>
      </w:r>
      <w:r>
        <w:t>systemic problems</w:t>
      </w:r>
      <w:r w:rsidR="003B20EB" w:rsidRPr="001B56F8">
        <w:t xml:space="preserve">, </w:t>
      </w:r>
      <w:r w:rsidR="00BD76B7" w:rsidRPr="001B56F8">
        <w:t xml:space="preserve">the </w:t>
      </w:r>
      <w:r w:rsidR="006D7583">
        <w:t>Department entered into a first-of-its-</w:t>
      </w:r>
      <w:r w:rsidR="00BD76B7" w:rsidRPr="001B56F8">
        <w:t xml:space="preserve">kind settlement with the </w:t>
      </w:r>
      <w:r w:rsidR="003B20EB" w:rsidRPr="001B56F8">
        <w:t xml:space="preserve">Meridian </w:t>
      </w:r>
      <w:r w:rsidR="00BD76B7" w:rsidRPr="001B56F8">
        <w:t>s</w:t>
      </w:r>
      <w:r w:rsidR="003B20EB" w:rsidRPr="001B56F8">
        <w:t>chool system to prevent and address racial discrimination in school discipline. Under the consent decree, the district will provide students with supports and interventions be</w:t>
      </w:r>
      <w:r w:rsidR="005D521D">
        <w:t xml:space="preserve">fore excluding them from school; </w:t>
      </w:r>
      <w:r w:rsidR="005D521D" w:rsidRPr="001B56F8">
        <w:t xml:space="preserve">establish clear guidelines for </w:t>
      </w:r>
      <w:r w:rsidR="005D521D">
        <w:t xml:space="preserve">the limited and extremely serious circumstances </w:t>
      </w:r>
      <w:r w:rsidR="005D521D" w:rsidRPr="001B56F8">
        <w:t>when law enforcem</w:t>
      </w:r>
      <w:r w:rsidR="005D521D">
        <w:t>ent intervention is appropriate;</w:t>
      </w:r>
      <w:r w:rsidR="003B20EB" w:rsidRPr="001B56F8">
        <w:t xml:space="preserve"> and ensure that discipline consequences are fair and consistent. </w:t>
      </w:r>
    </w:p>
    <w:p w:rsidR="00AF08D3" w:rsidRDefault="00AF08D3" w:rsidP="006E4B07">
      <w:pPr>
        <w:pStyle w:val="NormalWeb"/>
        <w:spacing w:before="0" w:beforeAutospacing="0" w:after="0" w:afterAutospacing="0"/>
      </w:pPr>
    </w:p>
    <w:p w:rsidR="00BD0892" w:rsidRDefault="00202732" w:rsidP="006E4B07">
      <w:pPr>
        <w:pStyle w:val="NormalWeb"/>
        <w:spacing w:before="0" w:beforeAutospacing="0" w:after="0" w:afterAutospacing="0"/>
      </w:pPr>
      <w:r>
        <w:rPr>
          <w:i/>
        </w:rPr>
        <w:t xml:space="preserve">Palm Beach, Florida: </w:t>
      </w:r>
      <w:r w:rsidR="005E2FD0">
        <w:t xml:space="preserve">The Division also reached an agreement with the school district in Palm Beach County, Florida to ensure that students with limited English proficiency receive translation and interpretation services throughout the discipline process. </w:t>
      </w:r>
      <w:r w:rsidR="00AF08D3" w:rsidRPr="00AF08D3">
        <w:t>The agreem</w:t>
      </w:r>
      <w:r w:rsidR="00167778">
        <w:t xml:space="preserve">ent requires </w:t>
      </w:r>
      <w:r w:rsidR="00167778">
        <w:lastRenderedPageBreak/>
        <w:t xml:space="preserve">that </w:t>
      </w:r>
      <w:r w:rsidR="006249A8">
        <w:t>English Language Learner (</w:t>
      </w:r>
      <w:r w:rsidR="00167778">
        <w:t>ELL</w:t>
      </w:r>
      <w:r w:rsidR="006249A8">
        <w:t>)</w:t>
      </w:r>
      <w:r w:rsidR="00167778">
        <w:t xml:space="preserve"> students, as well as</w:t>
      </w:r>
      <w:r w:rsidR="00AF08D3" w:rsidRPr="00AF08D3">
        <w:t xml:space="preserve"> parents who are limited English proficient</w:t>
      </w:r>
      <w:r w:rsidR="00167778">
        <w:t>,</w:t>
      </w:r>
      <w:r w:rsidR="00AF08D3" w:rsidRPr="00AF08D3">
        <w:t xml:space="preserve"> receive translation services throughout the disci</w:t>
      </w:r>
      <w:r w:rsidR="00167778">
        <w:t xml:space="preserve">pline process, and it also requires </w:t>
      </w:r>
      <w:r w:rsidR="00AF08D3" w:rsidRPr="00AF08D3">
        <w:t>school law enforcement officers to communicate with students in a language the student understands, including by securing an interpreter when appropriate.</w:t>
      </w:r>
      <w:r w:rsidR="00AF08D3">
        <w:t xml:space="preserve"> </w:t>
      </w:r>
      <w:r w:rsidR="00BD0892" w:rsidRPr="001B56F8">
        <w:t>Through agreements like these, the Civil Rights Division attempts to make certain</w:t>
      </w:r>
      <w:r w:rsidR="003B20EB" w:rsidRPr="001B56F8">
        <w:t xml:space="preserve"> that</w:t>
      </w:r>
      <w:r w:rsidR="00BD0892" w:rsidRPr="001B56F8">
        <w:t xml:space="preserve"> </w:t>
      </w:r>
      <w:r w:rsidR="003B20EB" w:rsidRPr="001B56F8">
        <w:t xml:space="preserve">students </w:t>
      </w:r>
      <w:r w:rsidR="001B56F8" w:rsidRPr="001B56F8">
        <w:t>are</w:t>
      </w:r>
      <w:r w:rsidR="003B20EB" w:rsidRPr="001B56F8">
        <w:t xml:space="preserve"> not unlawfully channeled out of their classrooms and into the justice system.</w:t>
      </w:r>
      <w:r w:rsidR="00AF08D3">
        <w:t xml:space="preserve"> </w:t>
      </w:r>
    </w:p>
    <w:p w:rsidR="00CD3029" w:rsidRPr="001B56F8" w:rsidRDefault="00CD3029" w:rsidP="00862339">
      <w:pPr>
        <w:pStyle w:val="NormalWeb"/>
        <w:spacing w:before="0" w:beforeAutospacing="0" w:after="0" w:afterAutospacing="0"/>
        <w:ind w:left="720"/>
      </w:pPr>
    </w:p>
    <w:p w:rsidR="0085721D" w:rsidRPr="006D7583" w:rsidRDefault="00BD76B7" w:rsidP="001C475F">
      <w:pPr>
        <w:spacing w:after="0" w:line="240" w:lineRule="auto"/>
        <w:rPr>
          <w:rFonts w:ascii="Times New Roman" w:hAnsi="Times New Roman"/>
          <w:sz w:val="24"/>
          <w:szCs w:val="24"/>
        </w:rPr>
      </w:pPr>
      <w:r w:rsidRPr="00AF08D3">
        <w:rPr>
          <w:rFonts w:ascii="Times New Roman" w:hAnsi="Times New Roman"/>
          <w:b/>
          <w:i/>
          <w:sz w:val="24"/>
          <w:szCs w:val="24"/>
        </w:rPr>
        <w:t>Encouraging Diversity in Higher Education:</w:t>
      </w:r>
      <w:r w:rsidRPr="001B56F8">
        <w:rPr>
          <w:rFonts w:ascii="Times New Roman" w:hAnsi="Times New Roman"/>
          <w:sz w:val="24"/>
          <w:szCs w:val="24"/>
        </w:rPr>
        <w:t xml:space="preserve"> </w:t>
      </w:r>
      <w:r w:rsidR="00767A17">
        <w:rPr>
          <w:rFonts w:ascii="Times New Roman" w:hAnsi="Times New Roman"/>
          <w:sz w:val="24"/>
          <w:szCs w:val="24"/>
        </w:rPr>
        <w:t xml:space="preserve">This </w:t>
      </w:r>
      <w:r w:rsidR="006249A8">
        <w:rPr>
          <w:rFonts w:ascii="Times New Roman" w:hAnsi="Times New Roman"/>
          <w:sz w:val="24"/>
          <w:szCs w:val="24"/>
        </w:rPr>
        <w:t xml:space="preserve">past </w:t>
      </w:r>
      <w:r w:rsidR="00767A17">
        <w:rPr>
          <w:rFonts w:ascii="Times New Roman" w:hAnsi="Times New Roman"/>
          <w:sz w:val="24"/>
          <w:szCs w:val="24"/>
        </w:rPr>
        <w:t xml:space="preserve">summer, </w:t>
      </w:r>
      <w:r w:rsidR="0085721D">
        <w:rPr>
          <w:rFonts w:ascii="Times New Roman" w:hAnsi="Times New Roman"/>
          <w:sz w:val="24"/>
          <w:szCs w:val="24"/>
        </w:rPr>
        <w:t xml:space="preserve">in </w:t>
      </w:r>
      <w:r w:rsidR="0085721D">
        <w:rPr>
          <w:rFonts w:ascii="Times New Roman" w:hAnsi="Times New Roman"/>
          <w:i/>
          <w:sz w:val="24"/>
          <w:szCs w:val="24"/>
        </w:rPr>
        <w:t xml:space="preserve">Fisher v. University of Texas, </w:t>
      </w:r>
      <w:r w:rsidR="00767A17">
        <w:rPr>
          <w:rFonts w:ascii="Times New Roman" w:hAnsi="Times New Roman"/>
          <w:sz w:val="24"/>
          <w:szCs w:val="24"/>
        </w:rPr>
        <w:t xml:space="preserve">the Supreme Court issued its first decision on affirmative action since 2003. </w:t>
      </w:r>
      <w:r w:rsidR="0085721D">
        <w:rPr>
          <w:rFonts w:ascii="Times New Roman" w:hAnsi="Times New Roman"/>
          <w:sz w:val="24"/>
          <w:szCs w:val="24"/>
        </w:rPr>
        <w:t>Following this decision</w:t>
      </w:r>
      <w:r w:rsidR="00703970" w:rsidRPr="001B56F8">
        <w:rPr>
          <w:rFonts w:ascii="Times New Roman" w:hAnsi="Times New Roman"/>
          <w:sz w:val="24"/>
          <w:szCs w:val="24"/>
        </w:rPr>
        <w:t xml:space="preserve">, </w:t>
      </w:r>
      <w:r w:rsidR="0085721D">
        <w:rPr>
          <w:rFonts w:ascii="Times New Roman" w:hAnsi="Times New Roman"/>
          <w:sz w:val="24"/>
          <w:szCs w:val="24"/>
        </w:rPr>
        <w:t xml:space="preserve">which </w:t>
      </w:r>
      <w:r w:rsidR="006249A8">
        <w:rPr>
          <w:rFonts w:ascii="Times New Roman" w:hAnsi="Times New Roman"/>
          <w:sz w:val="24"/>
          <w:szCs w:val="24"/>
        </w:rPr>
        <w:t>confirmed</w:t>
      </w:r>
      <w:r w:rsidR="0085721D" w:rsidRPr="0085721D">
        <w:rPr>
          <w:rFonts w:ascii="Times New Roman" w:hAnsi="Times New Roman"/>
          <w:sz w:val="24"/>
          <w:szCs w:val="24"/>
        </w:rPr>
        <w:t xml:space="preserve"> the compelling governmental interest in diversity in higher education</w:t>
      </w:r>
      <w:r w:rsidR="0085721D">
        <w:rPr>
          <w:rFonts w:ascii="Times New Roman" w:hAnsi="Times New Roman"/>
          <w:sz w:val="24"/>
          <w:szCs w:val="24"/>
        </w:rPr>
        <w:t>,</w:t>
      </w:r>
      <w:r w:rsidR="0085721D" w:rsidRPr="0085721D">
        <w:rPr>
          <w:rFonts w:ascii="Times New Roman" w:hAnsi="Times New Roman"/>
          <w:sz w:val="24"/>
          <w:szCs w:val="24"/>
        </w:rPr>
        <w:t xml:space="preserve"> </w:t>
      </w:r>
      <w:r w:rsidR="00703970" w:rsidRPr="001B56F8">
        <w:rPr>
          <w:rFonts w:ascii="Times New Roman" w:hAnsi="Times New Roman"/>
          <w:sz w:val="24"/>
          <w:szCs w:val="24"/>
        </w:rPr>
        <w:t xml:space="preserve">the Civil Rights Division and </w:t>
      </w:r>
      <w:r w:rsidR="00EB25BB">
        <w:rPr>
          <w:rFonts w:ascii="Times New Roman" w:hAnsi="Times New Roman"/>
          <w:sz w:val="24"/>
          <w:szCs w:val="24"/>
        </w:rPr>
        <w:t xml:space="preserve">the </w:t>
      </w:r>
      <w:r w:rsidR="00703970" w:rsidRPr="001B56F8">
        <w:rPr>
          <w:rFonts w:ascii="Times New Roman" w:hAnsi="Times New Roman"/>
          <w:sz w:val="24"/>
          <w:szCs w:val="24"/>
        </w:rPr>
        <w:t>D</w:t>
      </w:r>
      <w:r w:rsidR="006D7583">
        <w:rPr>
          <w:rFonts w:ascii="Times New Roman" w:hAnsi="Times New Roman"/>
          <w:sz w:val="24"/>
          <w:szCs w:val="24"/>
        </w:rPr>
        <w:t>epartment of Education</w:t>
      </w:r>
      <w:r w:rsidR="006249A8">
        <w:rPr>
          <w:rFonts w:ascii="Times New Roman" w:hAnsi="Times New Roman"/>
          <w:sz w:val="24"/>
          <w:szCs w:val="24"/>
        </w:rPr>
        <w:t>’s</w:t>
      </w:r>
      <w:r w:rsidR="006D7583">
        <w:rPr>
          <w:rFonts w:ascii="Times New Roman" w:hAnsi="Times New Roman"/>
          <w:sz w:val="24"/>
          <w:szCs w:val="24"/>
        </w:rPr>
        <w:t xml:space="preserve"> Office for</w:t>
      </w:r>
      <w:r w:rsidR="00703970" w:rsidRPr="001B56F8">
        <w:rPr>
          <w:rFonts w:ascii="Times New Roman" w:hAnsi="Times New Roman"/>
          <w:sz w:val="24"/>
          <w:szCs w:val="24"/>
        </w:rPr>
        <w:t xml:space="preserve"> Civil Rights released a joint guidance</w:t>
      </w:r>
      <w:r w:rsidR="003C77DD">
        <w:rPr>
          <w:rFonts w:ascii="Times New Roman" w:hAnsi="Times New Roman"/>
          <w:sz w:val="24"/>
          <w:szCs w:val="24"/>
        </w:rPr>
        <w:t xml:space="preserve"> in order</w:t>
      </w:r>
      <w:r w:rsidR="00703970" w:rsidRPr="001B56F8">
        <w:rPr>
          <w:rFonts w:ascii="Times New Roman" w:hAnsi="Times New Roman"/>
          <w:sz w:val="24"/>
          <w:szCs w:val="24"/>
        </w:rPr>
        <w:t xml:space="preserve"> </w:t>
      </w:r>
      <w:r w:rsidR="0085721D">
        <w:rPr>
          <w:rFonts w:ascii="Times New Roman" w:hAnsi="Times New Roman"/>
          <w:sz w:val="24"/>
          <w:szCs w:val="24"/>
        </w:rPr>
        <w:t xml:space="preserve">to </w:t>
      </w:r>
      <w:r w:rsidR="00A72E0D">
        <w:rPr>
          <w:rFonts w:ascii="Times New Roman" w:hAnsi="Times New Roman"/>
          <w:sz w:val="24"/>
          <w:szCs w:val="24"/>
        </w:rPr>
        <w:t>help universities understand how they can implement their admissions programs consistent with</w:t>
      </w:r>
      <w:r w:rsidR="006D7583">
        <w:rPr>
          <w:rFonts w:ascii="Times New Roman" w:hAnsi="Times New Roman"/>
          <w:sz w:val="24"/>
          <w:szCs w:val="24"/>
        </w:rPr>
        <w:t xml:space="preserve"> the decision and to make clear that prior guidance issued by the Departments remains in effect.</w:t>
      </w:r>
    </w:p>
    <w:p w:rsidR="0085721D" w:rsidRDefault="0085721D" w:rsidP="001C475F">
      <w:pPr>
        <w:spacing w:after="0" w:line="240" w:lineRule="auto"/>
        <w:rPr>
          <w:rFonts w:ascii="Times New Roman" w:hAnsi="Times New Roman"/>
          <w:sz w:val="24"/>
          <w:szCs w:val="24"/>
        </w:rPr>
      </w:pPr>
    </w:p>
    <w:p w:rsidR="00BD76B7" w:rsidRDefault="006D7583" w:rsidP="001C475F">
      <w:pPr>
        <w:spacing w:after="0" w:line="240" w:lineRule="auto"/>
        <w:rPr>
          <w:rFonts w:ascii="Times New Roman" w:hAnsi="Times New Roman"/>
          <w:sz w:val="24"/>
          <w:szCs w:val="24"/>
        </w:rPr>
      </w:pPr>
      <w:r>
        <w:rPr>
          <w:rFonts w:ascii="Times New Roman" w:hAnsi="Times New Roman"/>
          <w:sz w:val="24"/>
          <w:szCs w:val="24"/>
        </w:rPr>
        <w:t>The</w:t>
      </w:r>
      <w:r w:rsidR="0085721D">
        <w:rPr>
          <w:rFonts w:ascii="Times New Roman" w:hAnsi="Times New Roman"/>
          <w:sz w:val="24"/>
          <w:szCs w:val="24"/>
        </w:rPr>
        <w:t xml:space="preserve"> guidance</w:t>
      </w:r>
      <w:r w:rsidR="00703970" w:rsidRPr="001B56F8">
        <w:rPr>
          <w:rFonts w:ascii="Times New Roman" w:hAnsi="Times New Roman"/>
          <w:sz w:val="24"/>
          <w:szCs w:val="24"/>
        </w:rPr>
        <w:t xml:space="preserve"> </w:t>
      </w:r>
      <w:r w:rsidR="00AF7677">
        <w:rPr>
          <w:rFonts w:ascii="Times New Roman" w:hAnsi="Times New Roman"/>
          <w:sz w:val="24"/>
          <w:szCs w:val="24"/>
        </w:rPr>
        <w:t>explains</w:t>
      </w:r>
      <w:r w:rsidR="0085721D">
        <w:rPr>
          <w:rFonts w:ascii="Times New Roman" w:hAnsi="Times New Roman"/>
          <w:sz w:val="24"/>
          <w:szCs w:val="24"/>
        </w:rPr>
        <w:t xml:space="preserve"> that </w:t>
      </w:r>
      <w:r w:rsidR="00AF7677">
        <w:rPr>
          <w:rFonts w:ascii="Times New Roman" w:hAnsi="Times New Roman"/>
          <w:sz w:val="24"/>
          <w:szCs w:val="24"/>
        </w:rPr>
        <w:t xml:space="preserve">in </w:t>
      </w:r>
      <w:r w:rsidR="00AF7677">
        <w:rPr>
          <w:rFonts w:ascii="Times New Roman" w:hAnsi="Times New Roman"/>
          <w:i/>
          <w:sz w:val="24"/>
          <w:szCs w:val="24"/>
        </w:rPr>
        <w:t xml:space="preserve">Fisher </w:t>
      </w:r>
      <w:r w:rsidR="0085721D" w:rsidRPr="0085721D">
        <w:rPr>
          <w:rFonts w:ascii="Times New Roman" w:hAnsi="Times New Roman"/>
          <w:sz w:val="24"/>
          <w:szCs w:val="24"/>
        </w:rPr>
        <w:t xml:space="preserve">the </w:t>
      </w:r>
      <w:r>
        <w:rPr>
          <w:rFonts w:ascii="Times New Roman" w:hAnsi="Times New Roman"/>
          <w:sz w:val="24"/>
          <w:szCs w:val="24"/>
        </w:rPr>
        <w:t>C</w:t>
      </w:r>
      <w:r w:rsidR="0085721D">
        <w:rPr>
          <w:rFonts w:ascii="Times New Roman" w:hAnsi="Times New Roman"/>
          <w:sz w:val="24"/>
          <w:szCs w:val="24"/>
        </w:rPr>
        <w:t xml:space="preserve">ourt preserved the </w:t>
      </w:r>
      <w:r w:rsidR="0085721D" w:rsidRPr="0085721D">
        <w:rPr>
          <w:rFonts w:ascii="Times New Roman" w:hAnsi="Times New Roman"/>
          <w:sz w:val="24"/>
          <w:szCs w:val="24"/>
        </w:rPr>
        <w:t>well</w:t>
      </w:r>
      <w:r w:rsidR="0085721D">
        <w:rPr>
          <w:rFonts w:ascii="Times New Roman" w:hAnsi="Times New Roman"/>
          <w:sz w:val="24"/>
          <w:szCs w:val="24"/>
        </w:rPr>
        <w:t>-</w:t>
      </w:r>
      <w:r w:rsidR="0085721D" w:rsidRPr="0085721D">
        <w:rPr>
          <w:rFonts w:ascii="Times New Roman" w:hAnsi="Times New Roman"/>
          <w:sz w:val="24"/>
          <w:szCs w:val="24"/>
        </w:rPr>
        <w:t>established legal principle that colleges have</w:t>
      </w:r>
      <w:r w:rsidR="0085721D">
        <w:rPr>
          <w:rFonts w:ascii="Times New Roman" w:hAnsi="Times New Roman"/>
          <w:sz w:val="24"/>
          <w:szCs w:val="24"/>
        </w:rPr>
        <w:t xml:space="preserve"> </w:t>
      </w:r>
      <w:r w:rsidR="0085721D" w:rsidRPr="0085721D">
        <w:rPr>
          <w:rFonts w:ascii="Times New Roman" w:hAnsi="Times New Roman"/>
          <w:sz w:val="24"/>
          <w:szCs w:val="24"/>
        </w:rPr>
        <w:t>a c</w:t>
      </w:r>
      <w:r w:rsidR="0085721D">
        <w:rPr>
          <w:rFonts w:ascii="Times New Roman" w:hAnsi="Times New Roman"/>
          <w:sz w:val="24"/>
          <w:szCs w:val="24"/>
        </w:rPr>
        <w:t xml:space="preserve">ompelling interest in achieving </w:t>
      </w:r>
      <w:r w:rsidR="0085721D" w:rsidRPr="0085721D">
        <w:rPr>
          <w:rFonts w:ascii="Times New Roman" w:hAnsi="Times New Roman"/>
          <w:sz w:val="24"/>
          <w:szCs w:val="24"/>
        </w:rPr>
        <w:t>the educational benefits that flow from a racially and ethnically</w:t>
      </w:r>
      <w:r w:rsidR="0085721D">
        <w:rPr>
          <w:rFonts w:ascii="Times New Roman" w:hAnsi="Times New Roman"/>
          <w:sz w:val="24"/>
          <w:szCs w:val="24"/>
        </w:rPr>
        <w:t xml:space="preserve"> </w:t>
      </w:r>
      <w:r w:rsidR="0085721D" w:rsidRPr="0085721D">
        <w:rPr>
          <w:rFonts w:ascii="Times New Roman" w:hAnsi="Times New Roman"/>
          <w:sz w:val="24"/>
          <w:szCs w:val="24"/>
        </w:rPr>
        <w:t>diverse student body and can lawfully pursue that interest in their admissions programs. The</w:t>
      </w:r>
      <w:r w:rsidR="00AF7677">
        <w:rPr>
          <w:rFonts w:ascii="Times New Roman" w:hAnsi="Times New Roman"/>
          <w:sz w:val="24"/>
          <w:szCs w:val="24"/>
        </w:rPr>
        <w:t>se</w:t>
      </w:r>
      <w:r w:rsidR="0085721D" w:rsidRPr="0085721D">
        <w:rPr>
          <w:rFonts w:ascii="Times New Roman" w:hAnsi="Times New Roman"/>
          <w:sz w:val="24"/>
          <w:szCs w:val="24"/>
        </w:rPr>
        <w:t xml:space="preserve"> e</w:t>
      </w:r>
      <w:r w:rsidR="00AF7677">
        <w:rPr>
          <w:rFonts w:ascii="Times New Roman" w:hAnsi="Times New Roman"/>
          <w:sz w:val="24"/>
          <w:szCs w:val="24"/>
        </w:rPr>
        <w:t>ducational benefits</w:t>
      </w:r>
      <w:r w:rsidR="006249A8">
        <w:rPr>
          <w:rFonts w:ascii="Times New Roman" w:hAnsi="Times New Roman"/>
          <w:sz w:val="24"/>
          <w:szCs w:val="24"/>
        </w:rPr>
        <w:t xml:space="preserve"> </w:t>
      </w:r>
      <w:r w:rsidR="0085721D" w:rsidRPr="0085721D">
        <w:rPr>
          <w:rFonts w:ascii="Times New Roman" w:hAnsi="Times New Roman"/>
          <w:sz w:val="24"/>
          <w:szCs w:val="24"/>
        </w:rPr>
        <w:t>include cross-racial understanding and dialogue, the reduction of racial isolation and the breaking down of racial stereotypes.</w:t>
      </w:r>
      <w:r w:rsidR="008803E9">
        <w:rPr>
          <w:rFonts w:ascii="Times New Roman" w:hAnsi="Times New Roman"/>
          <w:sz w:val="24"/>
          <w:szCs w:val="24"/>
        </w:rPr>
        <w:t xml:space="preserve"> </w:t>
      </w:r>
      <w:r w:rsidR="0085721D" w:rsidRPr="0085721D">
        <w:rPr>
          <w:rFonts w:ascii="Times New Roman" w:hAnsi="Times New Roman"/>
          <w:sz w:val="24"/>
          <w:szCs w:val="24"/>
        </w:rPr>
        <w:t xml:space="preserve">The Departments of Justice and Education strongly support </w:t>
      </w:r>
      <w:r w:rsidR="0085721D">
        <w:rPr>
          <w:rFonts w:ascii="Times New Roman" w:hAnsi="Times New Roman"/>
          <w:sz w:val="24"/>
          <w:szCs w:val="24"/>
        </w:rPr>
        <w:t xml:space="preserve">diversity in higher education </w:t>
      </w:r>
      <w:r w:rsidR="00703970" w:rsidRPr="001B56F8">
        <w:rPr>
          <w:rFonts w:ascii="Times New Roman" w:hAnsi="Times New Roman"/>
          <w:sz w:val="24"/>
          <w:szCs w:val="24"/>
        </w:rPr>
        <w:t xml:space="preserve">and the inclusive campus communities that are an outgrowth of such diversity. </w:t>
      </w:r>
    </w:p>
    <w:p w:rsidR="00CD3029" w:rsidRPr="00AF08D3" w:rsidRDefault="00CD3029" w:rsidP="001C475F">
      <w:pPr>
        <w:spacing w:after="0" w:line="240" w:lineRule="auto"/>
        <w:rPr>
          <w:rFonts w:ascii="Times New Roman" w:hAnsi="Times New Roman"/>
          <w:b/>
          <w:sz w:val="24"/>
          <w:szCs w:val="24"/>
        </w:rPr>
      </w:pPr>
    </w:p>
    <w:p w:rsidR="00202732" w:rsidRDefault="00703970" w:rsidP="001C475F">
      <w:pPr>
        <w:spacing w:after="0" w:line="240" w:lineRule="auto"/>
        <w:rPr>
          <w:rFonts w:ascii="Times New Roman" w:hAnsi="Times New Roman"/>
          <w:sz w:val="24"/>
          <w:szCs w:val="24"/>
        </w:rPr>
      </w:pPr>
      <w:r w:rsidRPr="00AF08D3">
        <w:rPr>
          <w:rFonts w:ascii="Times New Roman" w:hAnsi="Times New Roman"/>
          <w:b/>
          <w:i/>
          <w:sz w:val="24"/>
          <w:szCs w:val="24"/>
        </w:rPr>
        <w:t>Expanding Opportunities for English Language Learner Students:</w:t>
      </w:r>
      <w:r w:rsidRPr="001B56F8">
        <w:rPr>
          <w:rFonts w:ascii="Times New Roman" w:hAnsi="Times New Roman"/>
          <w:sz w:val="24"/>
          <w:szCs w:val="24"/>
        </w:rPr>
        <w:t xml:space="preserve"> Each day</w:t>
      </w:r>
      <w:r w:rsidR="009757AC">
        <w:rPr>
          <w:rFonts w:ascii="Times New Roman" w:hAnsi="Times New Roman"/>
          <w:sz w:val="24"/>
          <w:szCs w:val="24"/>
        </w:rPr>
        <w:t>,</w:t>
      </w:r>
      <w:r w:rsidRPr="001B56F8">
        <w:rPr>
          <w:rFonts w:ascii="Times New Roman" w:hAnsi="Times New Roman"/>
          <w:sz w:val="24"/>
          <w:szCs w:val="24"/>
        </w:rPr>
        <w:t xml:space="preserve"> English Language Learner (ELL) students throughout our nation find themselves in schools that are failing to meet their needs. </w:t>
      </w:r>
      <w:r w:rsidR="00EB0FE5">
        <w:rPr>
          <w:rFonts w:ascii="Times New Roman" w:hAnsi="Times New Roman"/>
          <w:sz w:val="24"/>
          <w:szCs w:val="24"/>
        </w:rPr>
        <w:t xml:space="preserve">Without direct and effective instruction to help them learn English, these students are at risk of failing their classes and dropping out of school. </w:t>
      </w:r>
    </w:p>
    <w:p w:rsidR="00202732" w:rsidRDefault="00202732" w:rsidP="006E4B07">
      <w:pPr>
        <w:spacing w:after="0" w:line="240" w:lineRule="auto"/>
        <w:rPr>
          <w:rFonts w:ascii="Times New Roman" w:hAnsi="Times New Roman"/>
          <w:sz w:val="24"/>
          <w:szCs w:val="24"/>
        </w:rPr>
      </w:pPr>
    </w:p>
    <w:p w:rsidR="00BD76B7" w:rsidRDefault="00202732" w:rsidP="006E4B07">
      <w:pPr>
        <w:spacing w:after="0" w:line="240" w:lineRule="auto"/>
        <w:rPr>
          <w:rFonts w:ascii="Times New Roman" w:hAnsi="Times New Roman"/>
          <w:sz w:val="24"/>
          <w:szCs w:val="24"/>
        </w:rPr>
      </w:pPr>
      <w:r>
        <w:rPr>
          <w:rFonts w:ascii="Times New Roman" w:hAnsi="Times New Roman"/>
          <w:i/>
          <w:sz w:val="24"/>
          <w:szCs w:val="24"/>
        </w:rPr>
        <w:t xml:space="preserve">Denver, Colorado: </w:t>
      </w:r>
      <w:r w:rsidR="00EB0FE5">
        <w:rPr>
          <w:rFonts w:ascii="Times New Roman" w:hAnsi="Times New Roman"/>
          <w:sz w:val="24"/>
          <w:szCs w:val="24"/>
        </w:rPr>
        <w:t>In April</w:t>
      </w:r>
      <w:r w:rsidR="00F77411">
        <w:rPr>
          <w:rFonts w:ascii="Times New Roman" w:hAnsi="Times New Roman"/>
          <w:sz w:val="24"/>
          <w:szCs w:val="24"/>
        </w:rPr>
        <w:t xml:space="preserve"> 2013</w:t>
      </w:r>
      <w:r w:rsidR="00EB0FE5">
        <w:rPr>
          <w:rFonts w:ascii="Times New Roman" w:hAnsi="Times New Roman"/>
          <w:sz w:val="24"/>
          <w:szCs w:val="24"/>
        </w:rPr>
        <w:t>, the Justice Department reached a comp</w:t>
      </w:r>
      <w:r w:rsidR="00614270">
        <w:rPr>
          <w:rFonts w:ascii="Times New Roman" w:hAnsi="Times New Roman"/>
          <w:sz w:val="24"/>
          <w:szCs w:val="24"/>
        </w:rPr>
        <w:t xml:space="preserve">rehensive consent decree requiring </w:t>
      </w:r>
      <w:r>
        <w:rPr>
          <w:rFonts w:ascii="Times New Roman" w:hAnsi="Times New Roman"/>
          <w:sz w:val="24"/>
          <w:szCs w:val="24"/>
        </w:rPr>
        <w:t>the public school system in Denver, Colorado</w:t>
      </w:r>
      <w:r w:rsidR="00614270">
        <w:rPr>
          <w:rFonts w:ascii="Times New Roman" w:hAnsi="Times New Roman"/>
          <w:sz w:val="24"/>
          <w:szCs w:val="24"/>
        </w:rPr>
        <w:t xml:space="preserve"> to provide language services to the more than 28,000 ELL students enrolled in the district.</w:t>
      </w:r>
      <w:r w:rsidR="00935FB5">
        <w:rPr>
          <w:rFonts w:ascii="Times New Roman" w:hAnsi="Times New Roman"/>
          <w:sz w:val="24"/>
          <w:szCs w:val="24"/>
        </w:rPr>
        <w:t xml:space="preserve"> This decree will ensure that ELL students, like all district students, have access to qualified teachers, grade-appropriate curriculum, and dedicated resources to meet their particular learning needs.</w:t>
      </w:r>
    </w:p>
    <w:p w:rsidR="005857F3" w:rsidRPr="00AF08D3" w:rsidRDefault="005857F3" w:rsidP="001C475F">
      <w:pPr>
        <w:spacing w:after="0" w:line="240" w:lineRule="auto"/>
        <w:rPr>
          <w:rFonts w:ascii="Times New Roman" w:hAnsi="Times New Roman"/>
          <w:b/>
          <w:sz w:val="24"/>
          <w:szCs w:val="24"/>
        </w:rPr>
      </w:pPr>
    </w:p>
    <w:p w:rsidR="00AF62F4" w:rsidRDefault="005456BE" w:rsidP="001C475F">
      <w:pPr>
        <w:spacing w:after="0" w:line="240" w:lineRule="auto"/>
        <w:rPr>
          <w:rFonts w:ascii="Times New Roman" w:hAnsi="Times New Roman"/>
          <w:sz w:val="24"/>
          <w:szCs w:val="24"/>
        </w:rPr>
      </w:pPr>
      <w:proofErr w:type="gramStart"/>
      <w:r w:rsidRPr="00AF08D3">
        <w:rPr>
          <w:rFonts w:ascii="Times New Roman" w:hAnsi="Times New Roman"/>
          <w:b/>
          <w:i/>
          <w:sz w:val="24"/>
          <w:szCs w:val="24"/>
        </w:rPr>
        <w:t>Defending the Rights of LGBT Students:</w:t>
      </w:r>
      <w:r w:rsidRPr="00CB63D7">
        <w:rPr>
          <w:rFonts w:ascii="Times New Roman" w:hAnsi="Times New Roman"/>
          <w:i/>
          <w:sz w:val="24"/>
          <w:szCs w:val="24"/>
        </w:rPr>
        <w:t xml:space="preserve"> </w:t>
      </w:r>
      <w:r>
        <w:rPr>
          <w:rFonts w:ascii="Times New Roman" w:hAnsi="Times New Roman"/>
          <w:sz w:val="24"/>
          <w:szCs w:val="24"/>
        </w:rPr>
        <w:t>I</w:t>
      </w:r>
      <w:r w:rsidRPr="00CB63D7">
        <w:rPr>
          <w:rFonts w:ascii="Times New Roman" w:hAnsi="Times New Roman"/>
          <w:sz w:val="24"/>
          <w:szCs w:val="24"/>
        </w:rPr>
        <w:t xml:space="preserve">n recent years, the Justice Department and the Department of Education </w:t>
      </w:r>
      <w:r>
        <w:rPr>
          <w:rFonts w:ascii="Times New Roman" w:hAnsi="Times New Roman"/>
          <w:sz w:val="24"/>
          <w:szCs w:val="24"/>
        </w:rPr>
        <w:t xml:space="preserve">have </w:t>
      </w:r>
      <w:r w:rsidRPr="00CB63D7">
        <w:rPr>
          <w:rFonts w:ascii="Times New Roman" w:hAnsi="Times New Roman"/>
          <w:sz w:val="24"/>
          <w:szCs w:val="24"/>
        </w:rPr>
        <w:t>resolved a number of cases involving gender-based harassment in public schools.</w:t>
      </w:r>
      <w:proofErr w:type="gramEnd"/>
      <w:r w:rsidR="008712B6">
        <w:rPr>
          <w:rFonts w:ascii="Times New Roman" w:hAnsi="Times New Roman"/>
          <w:sz w:val="24"/>
          <w:szCs w:val="24"/>
        </w:rPr>
        <w:t xml:space="preserve"> </w:t>
      </w:r>
      <w:r w:rsidR="00AF62F4" w:rsidRPr="00CB63D7">
        <w:rPr>
          <w:rFonts w:ascii="Times New Roman" w:hAnsi="Times New Roman"/>
          <w:sz w:val="24"/>
          <w:szCs w:val="24"/>
        </w:rPr>
        <w:t>In 2011, the departments entered into an agreement with the Teh</w:t>
      </w:r>
      <w:r w:rsidR="00AF62F4">
        <w:rPr>
          <w:rFonts w:ascii="Times New Roman" w:hAnsi="Times New Roman"/>
          <w:sz w:val="24"/>
          <w:szCs w:val="24"/>
        </w:rPr>
        <w:t>achapi Unified School District in California</w:t>
      </w:r>
      <w:r w:rsidR="00AF62F4" w:rsidRPr="00CB63D7">
        <w:rPr>
          <w:rFonts w:ascii="Times New Roman" w:hAnsi="Times New Roman"/>
          <w:sz w:val="24"/>
          <w:szCs w:val="24"/>
        </w:rPr>
        <w:t xml:space="preserve"> to resolve a complaint of h</w:t>
      </w:r>
      <w:r w:rsidR="00AF62F4">
        <w:rPr>
          <w:rFonts w:ascii="Times New Roman" w:hAnsi="Times New Roman"/>
          <w:sz w:val="24"/>
          <w:szCs w:val="24"/>
        </w:rPr>
        <w:t xml:space="preserve">arassment against a gender-nonconforming student. </w:t>
      </w:r>
      <w:r w:rsidRPr="00CB63D7">
        <w:rPr>
          <w:rFonts w:ascii="Times New Roman" w:hAnsi="Times New Roman"/>
          <w:sz w:val="24"/>
          <w:szCs w:val="24"/>
        </w:rPr>
        <w:t xml:space="preserve">In 2012, the departments entered into a </w:t>
      </w:r>
      <w:r w:rsidR="00AF62F4">
        <w:rPr>
          <w:rFonts w:ascii="Times New Roman" w:hAnsi="Times New Roman"/>
          <w:sz w:val="24"/>
          <w:szCs w:val="24"/>
        </w:rPr>
        <w:t xml:space="preserve">similar </w:t>
      </w:r>
      <w:r w:rsidRPr="00CB63D7">
        <w:rPr>
          <w:rFonts w:ascii="Times New Roman" w:hAnsi="Times New Roman"/>
          <w:sz w:val="24"/>
          <w:szCs w:val="24"/>
        </w:rPr>
        <w:t>consent decree addressing harassment against students who do not conform to gender stereotypes in Anoka-Hennepin, Minn</w:t>
      </w:r>
      <w:r w:rsidR="00AF08D3">
        <w:rPr>
          <w:rFonts w:ascii="Times New Roman" w:hAnsi="Times New Roman"/>
          <w:sz w:val="24"/>
          <w:szCs w:val="24"/>
        </w:rPr>
        <w:t>esota</w:t>
      </w:r>
      <w:r w:rsidRPr="00CB63D7">
        <w:rPr>
          <w:rFonts w:ascii="Times New Roman" w:hAnsi="Times New Roman"/>
          <w:sz w:val="24"/>
          <w:szCs w:val="24"/>
        </w:rPr>
        <w:t>.</w:t>
      </w:r>
      <w:r w:rsidR="008712B6">
        <w:rPr>
          <w:rFonts w:ascii="Times New Roman" w:hAnsi="Times New Roman"/>
          <w:sz w:val="24"/>
          <w:szCs w:val="24"/>
        </w:rPr>
        <w:t xml:space="preserve"> </w:t>
      </w:r>
    </w:p>
    <w:p w:rsidR="00AF62F4" w:rsidRDefault="00AF62F4" w:rsidP="001C475F">
      <w:pPr>
        <w:spacing w:after="0" w:line="240" w:lineRule="auto"/>
        <w:rPr>
          <w:rFonts w:ascii="Times New Roman" w:hAnsi="Times New Roman"/>
          <w:sz w:val="24"/>
          <w:szCs w:val="24"/>
        </w:rPr>
      </w:pPr>
    </w:p>
    <w:p w:rsidR="005456BE" w:rsidRDefault="00202732" w:rsidP="001C475F">
      <w:pPr>
        <w:spacing w:after="0" w:line="240" w:lineRule="auto"/>
        <w:rPr>
          <w:rFonts w:ascii="Times New Roman" w:hAnsi="Times New Roman"/>
          <w:sz w:val="24"/>
          <w:szCs w:val="24"/>
        </w:rPr>
      </w:pPr>
      <w:bookmarkStart w:id="1" w:name="OLE_LINK1"/>
      <w:bookmarkStart w:id="2" w:name="OLE_LINK2"/>
      <w:r>
        <w:rPr>
          <w:rFonts w:ascii="Times New Roman" w:hAnsi="Times New Roman"/>
          <w:i/>
          <w:sz w:val="24"/>
          <w:szCs w:val="24"/>
        </w:rPr>
        <w:t xml:space="preserve">Arcadia, California: </w:t>
      </w:r>
      <w:r w:rsidR="004D5C39">
        <w:rPr>
          <w:rFonts w:ascii="Times New Roman" w:hAnsi="Times New Roman"/>
          <w:sz w:val="24"/>
          <w:szCs w:val="24"/>
        </w:rPr>
        <w:t>Last year</w:t>
      </w:r>
      <w:r w:rsidR="005456BE">
        <w:rPr>
          <w:rFonts w:ascii="Times New Roman" w:hAnsi="Times New Roman"/>
          <w:sz w:val="24"/>
          <w:szCs w:val="24"/>
        </w:rPr>
        <w:t>, the Division</w:t>
      </w:r>
      <w:r w:rsidR="00EB25BB">
        <w:rPr>
          <w:rFonts w:ascii="Times New Roman" w:hAnsi="Times New Roman"/>
          <w:sz w:val="24"/>
          <w:szCs w:val="24"/>
        </w:rPr>
        <w:t xml:space="preserve">, joined by the </w:t>
      </w:r>
      <w:r w:rsidR="00EB25BB" w:rsidRPr="001B56F8">
        <w:rPr>
          <w:rFonts w:ascii="Times New Roman" w:hAnsi="Times New Roman"/>
          <w:sz w:val="24"/>
          <w:szCs w:val="24"/>
        </w:rPr>
        <w:t>D</w:t>
      </w:r>
      <w:r w:rsidR="00EB25BB">
        <w:rPr>
          <w:rFonts w:ascii="Times New Roman" w:hAnsi="Times New Roman"/>
          <w:sz w:val="24"/>
          <w:szCs w:val="24"/>
        </w:rPr>
        <w:t>epartment of Education’s Office for</w:t>
      </w:r>
      <w:r w:rsidR="00EB25BB" w:rsidRPr="001B56F8">
        <w:rPr>
          <w:rFonts w:ascii="Times New Roman" w:hAnsi="Times New Roman"/>
          <w:sz w:val="24"/>
          <w:szCs w:val="24"/>
        </w:rPr>
        <w:t xml:space="preserve"> Civil Rights</w:t>
      </w:r>
      <w:r w:rsidR="00EB25BB">
        <w:rPr>
          <w:rFonts w:ascii="Times New Roman" w:hAnsi="Times New Roman"/>
          <w:sz w:val="24"/>
          <w:szCs w:val="24"/>
        </w:rPr>
        <w:t>,</w:t>
      </w:r>
      <w:r w:rsidR="005456BE">
        <w:rPr>
          <w:rFonts w:ascii="Times New Roman" w:hAnsi="Times New Roman"/>
          <w:sz w:val="24"/>
          <w:szCs w:val="24"/>
        </w:rPr>
        <w:t xml:space="preserve"> entered into a first-of-its-kind settlement agreement </w:t>
      </w:r>
      <w:r w:rsidR="005456BE" w:rsidRPr="00CB63D7">
        <w:rPr>
          <w:rFonts w:ascii="Times New Roman" w:hAnsi="Times New Roman"/>
          <w:sz w:val="24"/>
          <w:szCs w:val="24"/>
        </w:rPr>
        <w:t>with the Arcadia Unified School District to resolve allegations of discrimination against a transgender student based on the student’s sex.</w:t>
      </w:r>
      <w:r w:rsidR="005456BE">
        <w:rPr>
          <w:rFonts w:ascii="Times New Roman" w:hAnsi="Times New Roman"/>
          <w:sz w:val="24"/>
          <w:szCs w:val="24"/>
        </w:rPr>
        <w:t xml:space="preserve"> The student’s gender identity is male, and he</w:t>
      </w:r>
      <w:r w:rsidR="005456BE" w:rsidRPr="00CB63D7">
        <w:rPr>
          <w:rFonts w:ascii="Times New Roman" w:hAnsi="Times New Roman"/>
          <w:sz w:val="24"/>
          <w:szCs w:val="24"/>
        </w:rPr>
        <w:t xml:space="preserve"> has presented as a boy at school and </w:t>
      </w:r>
      <w:r w:rsidR="005456BE" w:rsidRPr="00CB63D7">
        <w:rPr>
          <w:rFonts w:ascii="Times New Roman" w:hAnsi="Times New Roman"/>
          <w:sz w:val="24"/>
          <w:szCs w:val="24"/>
        </w:rPr>
        <w:lastRenderedPageBreak/>
        <w:t>in all other aspects</w:t>
      </w:r>
      <w:r w:rsidR="005456BE">
        <w:rPr>
          <w:rFonts w:ascii="Times New Roman" w:hAnsi="Times New Roman"/>
          <w:sz w:val="24"/>
          <w:szCs w:val="24"/>
        </w:rPr>
        <w:t xml:space="preserve"> of his life for several years. </w:t>
      </w:r>
      <w:proofErr w:type="gramStart"/>
      <w:r w:rsidR="005456BE">
        <w:rPr>
          <w:rFonts w:ascii="Times New Roman" w:hAnsi="Times New Roman"/>
          <w:sz w:val="24"/>
          <w:szCs w:val="24"/>
        </w:rPr>
        <w:t>Yet prior to the agreement, t</w:t>
      </w:r>
      <w:r w:rsidR="005456BE" w:rsidRPr="00CB63D7">
        <w:rPr>
          <w:rFonts w:ascii="Times New Roman" w:hAnsi="Times New Roman"/>
          <w:sz w:val="24"/>
          <w:szCs w:val="24"/>
        </w:rPr>
        <w:t>he district prohibited the student from accessing facilities consistent with his male gender identity, including restrooms and locker rooms at school, as well as sex-specific overnight accommodations at a school-sponsored trip.</w:t>
      </w:r>
      <w:proofErr w:type="gramEnd"/>
      <w:r w:rsidR="005456BE">
        <w:rPr>
          <w:rFonts w:ascii="Times New Roman" w:hAnsi="Times New Roman"/>
          <w:sz w:val="24"/>
          <w:szCs w:val="24"/>
        </w:rPr>
        <w:t xml:space="preserve"> Under the agreement, </w:t>
      </w:r>
      <w:r w:rsidR="005456BE" w:rsidRPr="003A44E4">
        <w:rPr>
          <w:rFonts w:ascii="Times New Roman" w:hAnsi="Times New Roman"/>
          <w:sz w:val="24"/>
          <w:szCs w:val="24"/>
        </w:rPr>
        <w:t xml:space="preserve">the district will </w:t>
      </w:r>
      <w:r w:rsidR="005456BE">
        <w:rPr>
          <w:rFonts w:ascii="Times New Roman" w:hAnsi="Times New Roman"/>
          <w:sz w:val="24"/>
          <w:szCs w:val="24"/>
        </w:rPr>
        <w:t>take</w:t>
      </w:r>
      <w:r w:rsidR="005456BE" w:rsidRPr="003A44E4">
        <w:rPr>
          <w:rFonts w:ascii="Times New Roman" w:hAnsi="Times New Roman"/>
          <w:sz w:val="24"/>
          <w:szCs w:val="24"/>
        </w:rPr>
        <w:t xml:space="preserve"> steps to treat the student like other male students in </w:t>
      </w:r>
      <w:r w:rsidR="00AF7677">
        <w:rPr>
          <w:rFonts w:ascii="Times New Roman" w:hAnsi="Times New Roman"/>
          <w:sz w:val="24"/>
          <w:szCs w:val="24"/>
        </w:rPr>
        <w:t>all</w:t>
      </w:r>
      <w:r w:rsidR="005456BE" w:rsidRPr="003A44E4">
        <w:rPr>
          <w:rFonts w:ascii="Times New Roman" w:hAnsi="Times New Roman"/>
          <w:sz w:val="24"/>
          <w:szCs w:val="24"/>
        </w:rPr>
        <w:t xml:space="preserve"> activities</w:t>
      </w:r>
      <w:r w:rsidR="003E6BBE">
        <w:rPr>
          <w:rFonts w:ascii="Times New Roman" w:hAnsi="Times New Roman"/>
          <w:sz w:val="24"/>
          <w:szCs w:val="24"/>
        </w:rPr>
        <w:t>, and it will also adopt policies to ensure nondiscrimination for all students going forward.</w:t>
      </w:r>
    </w:p>
    <w:bookmarkEnd w:id="1"/>
    <w:bookmarkEnd w:id="2"/>
    <w:p w:rsidR="002B1BB0" w:rsidRDefault="002B1BB0" w:rsidP="001C475F">
      <w:pPr>
        <w:spacing w:after="0" w:line="240" w:lineRule="auto"/>
        <w:rPr>
          <w:rFonts w:ascii="Times New Roman" w:hAnsi="Times New Roman"/>
          <w:sz w:val="24"/>
          <w:szCs w:val="24"/>
        </w:rPr>
      </w:pPr>
    </w:p>
    <w:p w:rsidR="002B1BB0" w:rsidRDefault="002B1BB0" w:rsidP="001C475F">
      <w:pPr>
        <w:spacing w:after="0" w:line="240" w:lineRule="auto"/>
        <w:rPr>
          <w:rFonts w:ascii="Times New Roman" w:hAnsi="Times New Roman"/>
          <w:sz w:val="24"/>
          <w:szCs w:val="24"/>
        </w:rPr>
      </w:pPr>
      <w:r w:rsidRPr="00AF08D3">
        <w:rPr>
          <w:rFonts w:ascii="Times New Roman" w:hAnsi="Times New Roman"/>
          <w:b/>
          <w:i/>
          <w:sz w:val="24"/>
          <w:szCs w:val="24"/>
        </w:rPr>
        <w:t>Ensuring Equal Educational Opportunities for Students with Disabilities:</w:t>
      </w:r>
      <w:r w:rsidRPr="005857F3">
        <w:rPr>
          <w:rFonts w:ascii="Times New Roman" w:hAnsi="Times New Roman"/>
          <w:sz w:val="24"/>
          <w:szCs w:val="24"/>
        </w:rPr>
        <w:t xml:space="preserve"> </w:t>
      </w:r>
      <w:r>
        <w:rPr>
          <w:rFonts w:ascii="Times New Roman" w:hAnsi="Times New Roman"/>
          <w:sz w:val="24"/>
          <w:szCs w:val="24"/>
        </w:rPr>
        <w:t xml:space="preserve">All too often, students with disabilities face barriers that make it impossible for them to learn, to be in the same classroom as their friends, or to participate in all that today’s schools </w:t>
      </w:r>
      <w:r w:rsidR="006249A8">
        <w:rPr>
          <w:rFonts w:ascii="Times New Roman" w:hAnsi="Times New Roman"/>
          <w:sz w:val="24"/>
          <w:szCs w:val="24"/>
        </w:rPr>
        <w:t xml:space="preserve">and universities </w:t>
      </w:r>
      <w:r>
        <w:rPr>
          <w:rFonts w:ascii="Times New Roman" w:hAnsi="Times New Roman"/>
          <w:sz w:val="24"/>
          <w:szCs w:val="24"/>
        </w:rPr>
        <w:t xml:space="preserve">have to offer. </w:t>
      </w:r>
      <w:r w:rsidR="004D5C39">
        <w:rPr>
          <w:rFonts w:ascii="Times New Roman" w:hAnsi="Times New Roman"/>
          <w:sz w:val="24"/>
          <w:szCs w:val="24"/>
        </w:rPr>
        <w:t>Last year</w:t>
      </w:r>
      <w:r>
        <w:rPr>
          <w:rFonts w:ascii="Times New Roman" w:hAnsi="Times New Roman"/>
          <w:sz w:val="24"/>
          <w:szCs w:val="24"/>
        </w:rPr>
        <w:t xml:space="preserve">, the Division continued to work aggressively to protect the rights of students with disabilities so that all students have equal access to the resources and opportunities they need to learn. </w:t>
      </w:r>
    </w:p>
    <w:p w:rsidR="002B1BB0" w:rsidRDefault="002B1BB0" w:rsidP="001C475F">
      <w:pPr>
        <w:spacing w:after="0" w:line="240" w:lineRule="auto"/>
        <w:rPr>
          <w:rFonts w:ascii="Times New Roman" w:hAnsi="Times New Roman"/>
          <w:sz w:val="24"/>
          <w:szCs w:val="24"/>
        </w:rPr>
      </w:pPr>
    </w:p>
    <w:p w:rsidR="002B1BB0" w:rsidRDefault="008B2304" w:rsidP="001C475F">
      <w:pPr>
        <w:spacing w:after="0" w:line="240" w:lineRule="auto"/>
        <w:rPr>
          <w:rFonts w:ascii="Times New Roman" w:hAnsi="Times New Roman"/>
          <w:sz w:val="24"/>
          <w:szCs w:val="24"/>
        </w:rPr>
      </w:pPr>
      <w:r>
        <w:rPr>
          <w:rFonts w:ascii="Times New Roman" w:hAnsi="Times New Roman"/>
          <w:i/>
          <w:sz w:val="24"/>
          <w:szCs w:val="24"/>
        </w:rPr>
        <w:t xml:space="preserve">Ruston, Louisiana: </w:t>
      </w:r>
      <w:r w:rsidR="002B1BB0">
        <w:rPr>
          <w:rFonts w:ascii="Times New Roman" w:hAnsi="Times New Roman"/>
          <w:sz w:val="24"/>
          <w:szCs w:val="24"/>
        </w:rPr>
        <w:t>In July, the Division reached a settlement agreement with Louisiana Tech University to resolve allegations that the University violated the Americans with Disabilities Act by using a version of an online learning product that was inaccessible to a blind student. The student’s lack of access to course materials persisted nearly a month into the University quarter, at which point the student was so far behind in his coursework that he felt compelled to withdraw from the course. Under the settlement agreement, the university will adopt a number of disability-related policies, including a requirement to us</w:t>
      </w:r>
      <w:r w:rsidR="00923B8D">
        <w:rPr>
          <w:rFonts w:ascii="Times New Roman" w:hAnsi="Times New Roman"/>
          <w:sz w:val="24"/>
          <w:szCs w:val="24"/>
        </w:rPr>
        <w:t>e</w:t>
      </w:r>
      <w:r w:rsidR="002B1BB0">
        <w:rPr>
          <w:rFonts w:ascii="Times New Roman" w:hAnsi="Times New Roman"/>
          <w:sz w:val="24"/>
          <w:szCs w:val="24"/>
        </w:rPr>
        <w:t xml:space="preserve"> learning technology, web pages, and course content that </w:t>
      </w:r>
      <w:r w:rsidR="006249A8">
        <w:rPr>
          <w:rFonts w:ascii="Times New Roman" w:hAnsi="Times New Roman"/>
          <w:sz w:val="24"/>
          <w:szCs w:val="24"/>
        </w:rPr>
        <w:t>are</w:t>
      </w:r>
      <w:r w:rsidR="002B1BB0">
        <w:rPr>
          <w:rFonts w:ascii="Times New Roman" w:hAnsi="Times New Roman"/>
          <w:sz w:val="24"/>
          <w:szCs w:val="24"/>
        </w:rPr>
        <w:t xml:space="preserve"> accessibl</w:t>
      </w:r>
      <w:r w:rsidR="00EB25BB">
        <w:rPr>
          <w:rFonts w:ascii="Times New Roman" w:hAnsi="Times New Roman"/>
          <w:sz w:val="24"/>
          <w:szCs w:val="24"/>
        </w:rPr>
        <w:t xml:space="preserve">e to students with disabilities. </w:t>
      </w:r>
    </w:p>
    <w:p w:rsidR="00A978C4" w:rsidRDefault="00A978C4" w:rsidP="001C475F">
      <w:pPr>
        <w:spacing w:after="0" w:line="240" w:lineRule="auto"/>
        <w:rPr>
          <w:rFonts w:ascii="Times New Roman" w:hAnsi="Times New Roman"/>
          <w:sz w:val="24"/>
          <w:szCs w:val="24"/>
        </w:rPr>
      </w:pPr>
    </w:p>
    <w:p w:rsidR="00FF2B93" w:rsidRDefault="00A978C4" w:rsidP="00A978C4">
      <w:pPr>
        <w:spacing w:line="240" w:lineRule="auto"/>
        <w:rPr>
          <w:rFonts w:ascii="Times New Roman" w:hAnsi="Times New Roman"/>
          <w:sz w:val="24"/>
          <w:szCs w:val="24"/>
        </w:rPr>
      </w:pPr>
      <w:r w:rsidRPr="00A978C4">
        <w:rPr>
          <w:rFonts w:ascii="Times New Roman" w:hAnsi="Times New Roman"/>
          <w:i/>
          <w:sz w:val="24"/>
          <w:szCs w:val="24"/>
        </w:rPr>
        <w:t xml:space="preserve">Tustin, California: </w:t>
      </w:r>
      <w:r>
        <w:rPr>
          <w:rFonts w:ascii="Times New Roman" w:hAnsi="Times New Roman"/>
          <w:sz w:val="24"/>
          <w:szCs w:val="24"/>
        </w:rPr>
        <w:t>I</w:t>
      </w:r>
      <w:r w:rsidRPr="00A978C4">
        <w:rPr>
          <w:rFonts w:ascii="Times New Roman" w:hAnsi="Times New Roman"/>
          <w:sz w:val="24"/>
          <w:szCs w:val="24"/>
        </w:rPr>
        <w:t xml:space="preserve">n </w:t>
      </w:r>
      <w:r w:rsidRPr="00A978C4">
        <w:rPr>
          <w:rFonts w:ascii="Times New Roman" w:hAnsi="Times New Roman"/>
          <w:i/>
          <w:iCs/>
          <w:sz w:val="24"/>
          <w:szCs w:val="24"/>
        </w:rPr>
        <w:t>K.M.</w:t>
      </w:r>
      <w:r w:rsidRPr="00A978C4">
        <w:rPr>
          <w:rFonts w:ascii="Times New Roman" w:hAnsi="Times New Roman"/>
          <w:sz w:val="24"/>
          <w:szCs w:val="24"/>
        </w:rPr>
        <w:t xml:space="preserve"> v. </w:t>
      </w:r>
      <w:r w:rsidRPr="00A978C4">
        <w:rPr>
          <w:rFonts w:ascii="Times New Roman" w:hAnsi="Times New Roman"/>
          <w:i/>
          <w:iCs/>
          <w:sz w:val="24"/>
          <w:szCs w:val="24"/>
        </w:rPr>
        <w:t>Tustin Unified School District</w:t>
      </w:r>
      <w:r>
        <w:rPr>
          <w:rFonts w:ascii="Times New Roman" w:hAnsi="Times New Roman"/>
          <w:sz w:val="24"/>
          <w:szCs w:val="24"/>
        </w:rPr>
        <w:t>, the Division’s Appellate Section</w:t>
      </w:r>
      <w:r w:rsidRPr="00A978C4">
        <w:rPr>
          <w:rFonts w:ascii="Times New Roman" w:hAnsi="Times New Roman"/>
          <w:sz w:val="24"/>
          <w:szCs w:val="24"/>
        </w:rPr>
        <w:t xml:space="preserve"> filed a brief </w:t>
      </w:r>
      <w:r>
        <w:rPr>
          <w:rFonts w:ascii="Times New Roman" w:hAnsi="Times New Roman"/>
          <w:sz w:val="24"/>
          <w:szCs w:val="24"/>
        </w:rPr>
        <w:t>supporting the rights of a deaf high school student. In this case, the Division argued</w:t>
      </w:r>
      <w:r w:rsidRPr="00A978C4">
        <w:rPr>
          <w:rFonts w:ascii="Times New Roman" w:hAnsi="Times New Roman"/>
          <w:sz w:val="24"/>
          <w:szCs w:val="24"/>
        </w:rPr>
        <w:t xml:space="preserve"> that a public school’s obligations to provide a student effective communication under Title II of the ADA can be different than the school’s obligations under the Individual with Disabilities in Education Act since each statute has different standards, rights, and protections for </w:t>
      </w:r>
      <w:r>
        <w:rPr>
          <w:rFonts w:ascii="Times New Roman" w:hAnsi="Times New Roman"/>
          <w:sz w:val="24"/>
          <w:szCs w:val="24"/>
        </w:rPr>
        <w:t>individuals with a disability. </w:t>
      </w:r>
      <w:r w:rsidRPr="00A978C4">
        <w:rPr>
          <w:rFonts w:ascii="Times New Roman" w:hAnsi="Times New Roman"/>
          <w:sz w:val="24"/>
          <w:szCs w:val="24"/>
        </w:rPr>
        <w:t>The Ninth Circuit issued an opinion that largely adopted the Division’s position.</w:t>
      </w:r>
    </w:p>
    <w:p w:rsidR="00BF3026" w:rsidRPr="00AF08D3" w:rsidRDefault="00015B51" w:rsidP="00505E0E">
      <w:pPr>
        <w:pStyle w:val="Heading2"/>
        <w:rPr>
          <w:rStyle w:val="BookTitle"/>
        </w:rPr>
      </w:pPr>
      <w:r w:rsidRPr="00AF08D3">
        <w:rPr>
          <w:rStyle w:val="BookTitle"/>
        </w:rPr>
        <w:t>Expanding Equal Opportunity in the Workplace:</w:t>
      </w:r>
    </w:p>
    <w:p w:rsidR="00BF3026" w:rsidRPr="00BF3026" w:rsidRDefault="00BF3026" w:rsidP="001C475F">
      <w:pPr>
        <w:spacing w:line="240" w:lineRule="auto"/>
        <w:rPr>
          <w:rFonts w:ascii="Times New Roman" w:hAnsi="Times New Roman"/>
          <w:sz w:val="24"/>
          <w:szCs w:val="24"/>
        </w:rPr>
      </w:pPr>
      <w:r w:rsidRPr="00BF3026">
        <w:rPr>
          <w:rFonts w:ascii="Times New Roman" w:hAnsi="Times New Roman"/>
          <w:sz w:val="24"/>
          <w:szCs w:val="24"/>
        </w:rPr>
        <w:t>The ability</w:t>
      </w:r>
      <w:r>
        <w:rPr>
          <w:rFonts w:ascii="Times New Roman" w:hAnsi="Times New Roman"/>
          <w:sz w:val="24"/>
          <w:szCs w:val="24"/>
        </w:rPr>
        <w:t xml:space="preserve"> to earn a living and climb the economic ladder is at the heart of the American dream. Yet in too many cases, employees are subjected to unequal treatment due to their race, sex, national origin, religion, or disability. </w:t>
      </w:r>
      <w:r w:rsidR="008B698C">
        <w:rPr>
          <w:rFonts w:ascii="Times New Roman" w:hAnsi="Times New Roman"/>
          <w:sz w:val="24"/>
          <w:szCs w:val="24"/>
        </w:rPr>
        <w:t xml:space="preserve">Through its enforcement of Title VII of the Civil Rights Act of 1964, the Immigration and Nationality Act, and the Americans with Disabilities Act, in fiscal year 2013, the Division </w:t>
      </w:r>
      <w:r w:rsidR="00202732">
        <w:rPr>
          <w:rFonts w:ascii="Times New Roman" w:hAnsi="Times New Roman"/>
          <w:sz w:val="24"/>
          <w:szCs w:val="24"/>
        </w:rPr>
        <w:t>achieved significant victories in its efforts to combat</w:t>
      </w:r>
      <w:r w:rsidR="008B698C">
        <w:rPr>
          <w:rFonts w:ascii="Times New Roman" w:hAnsi="Times New Roman"/>
          <w:sz w:val="24"/>
          <w:szCs w:val="24"/>
        </w:rPr>
        <w:t xml:space="preserve"> employment discrimination in all forms.</w:t>
      </w:r>
    </w:p>
    <w:p w:rsidR="00AE3ECF" w:rsidRDefault="007B5CB8" w:rsidP="001C475F">
      <w:pPr>
        <w:spacing w:after="0" w:line="240" w:lineRule="auto"/>
        <w:rPr>
          <w:rFonts w:ascii="Times New Roman" w:hAnsi="Times New Roman"/>
          <w:sz w:val="24"/>
          <w:szCs w:val="24"/>
        </w:rPr>
      </w:pPr>
      <w:proofErr w:type="gramStart"/>
      <w:r w:rsidRPr="00AF08D3">
        <w:rPr>
          <w:rFonts w:ascii="Times New Roman" w:hAnsi="Times New Roman"/>
          <w:b/>
          <w:i/>
          <w:sz w:val="24"/>
          <w:szCs w:val="24"/>
        </w:rPr>
        <w:t>Preventing Employment Discrimination on the Basis of National Origin</w:t>
      </w:r>
      <w:r w:rsidR="003A7863" w:rsidRPr="00AF08D3">
        <w:rPr>
          <w:rFonts w:ascii="Times New Roman" w:hAnsi="Times New Roman"/>
          <w:b/>
          <w:i/>
          <w:sz w:val="24"/>
          <w:szCs w:val="24"/>
        </w:rPr>
        <w:t xml:space="preserve"> and Citizen</w:t>
      </w:r>
      <w:r w:rsidR="00C52D42" w:rsidRPr="00AF08D3">
        <w:rPr>
          <w:rFonts w:ascii="Times New Roman" w:hAnsi="Times New Roman"/>
          <w:b/>
          <w:i/>
          <w:sz w:val="24"/>
          <w:szCs w:val="24"/>
        </w:rPr>
        <w:t>ship</w:t>
      </w:r>
      <w:r w:rsidR="003A7863" w:rsidRPr="00AF08D3">
        <w:rPr>
          <w:rFonts w:ascii="Times New Roman" w:hAnsi="Times New Roman"/>
          <w:b/>
          <w:i/>
          <w:sz w:val="24"/>
          <w:szCs w:val="24"/>
        </w:rPr>
        <w:t xml:space="preserve"> Status</w:t>
      </w:r>
      <w:r w:rsidRPr="00AF08D3">
        <w:rPr>
          <w:rFonts w:ascii="Times New Roman" w:hAnsi="Times New Roman"/>
          <w:b/>
          <w:i/>
          <w:sz w:val="24"/>
          <w:szCs w:val="24"/>
        </w:rPr>
        <w:t>:</w:t>
      </w:r>
      <w:r w:rsidR="00555C40">
        <w:rPr>
          <w:rFonts w:ascii="Times New Roman" w:hAnsi="Times New Roman"/>
          <w:i/>
          <w:sz w:val="24"/>
          <w:szCs w:val="24"/>
        </w:rPr>
        <w:t xml:space="preserve"> </w:t>
      </w:r>
      <w:r w:rsidR="00AF08D3">
        <w:rPr>
          <w:rFonts w:ascii="Times New Roman" w:hAnsi="Times New Roman"/>
          <w:i/>
          <w:sz w:val="24"/>
          <w:szCs w:val="24"/>
        </w:rPr>
        <w:t xml:space="preserve"> </w:t>
      </w:r>
      <w:r w:rsidR="00555C40">
        <w:rPr>
          <w:rFonts w:ascii="Times New Roman" w:hAnsi="Times New Roman"/>
          <w:sz w:val="24"/>
          <w:szCs w:val="24"/>
        </w:rPr>
        <w:t>Our nation has long welcomed immigrants who aspire to live and work in the United States.</w:t>
      </w:r>
      <w:proofErr w:type="gramEnd"/>
      <w:r w:rsidR="00555C40">
        <w:rPr>
          <w:rFonts w:ascii="Times New Roman" w:hAnsi="Times New Roman"/>
          <w:sz w:val="24"/>
          <w:szCs w:val="24"/>
        </w:rPr>
        <w:t xml:space="preserve"> Yet some employers continue to deny employment opportunities to immigrants who are </w:t>
      </w:r>
      <w:r w:rsidR="00AE3ECF">
        <w:rPr>
          <w:rFonts w:ascii="Times New Roman" w:hAnsi="Times New Roman"/>
          <w:sz w:val="24"/>
          <w:szCs w:val="24"/>
        </w:rPr>
        <w:t>legally</w:t>
      </w:r>
      <w:r w:rsidR="00555C40">
        <w:rPr>
          <w:rFonts w:ascii="Times New Roman" w:hAnsi="Times New Roman"/>
          <w:sz w:val="24"/>
          <w:szCs w:val="24"/>
        </w:rPr>
        <w:t xml:space="preserve"> authorized to work or </w:t>
      </w:r>
      <w:r w:rsidR="00AE3ECF">
        <w:rPr>
          <w:rFonts w:ascii="Times New Roman" w:hAnsi="Times New Roman"/>
          <w:sz w:val="24"/>
          <w:szCs w:val="24"/>
        </w:rPr>
        <w:t>to subject these men and women</w:t>
      </w:r>
      <w:r w:rsidR="00555C40">
        <w:rPr>
          <w:rFonts w:ascii="Times New Roman" w:hAnsi="Times New Roman"/>
          <w:sz w:val="24"/>
          <w:szCs w:val="24"/>
        </w:rPr>
        <w:t xml:space="preserve"> to discriminatory employment eligibility verification procedures.</w:t>
      </w:r>
      <w:r w:rsidR="008712B6">
        <w:rPr>
          <w:rFonts w:ascii="Times New Roman" w:hAnsi="Times New Roman"/>
          <w:sz w:val="24"/>
          <w:szCs w:val="24"/>
        </w:rPr>
        <w:t xml:space="preserve"> </w:t>
      </w:r>
    </w:p>
    <w:p w:rsidR="00AE3ECF" w:rsidRDefault="00AE3ECF" w:rsidP="001C475F">
      <w:pPr>
        <w:spacing w:after="0" w:line="240" w:lineRule="auto"/>
        <w:rPr>
          <w:rFonts w:ascii="Times New Roman" w:hAnsi="Times New Roman"/>
          <w:sz w:val="24"/>
          <w:szCs w:val="24"/>
        </w:rPr>
      </w:pPr>
    </w:p>
    <w:p w:rsidR="00C36C2C" w:rsidRDefault="00555C40" w:rsidP="001C475F">
      <w:pPr>
        <w:spacing w:after="0" w:line="240" w:lineRule="auto"/>
        <w:rPr>
          <w:rFonts w:ascii="Times New Roman" w:hAnsi="Times New Roman"/>
          <w:sz w:val="24"/>
          <w:szCs w:val="24"/>
        </w:rPr>
      </w:pPr>
      <w:r w:rsidRPr="00A978C4">
        <w:rPr>
          <w:rFonts w:ascii="Times New Roman" w:hAnsi="Times New Roman"/>
          <w:sz w:val="24"/>
          <w:szCs w:val="24"/>
        </w:rPr>
        <w:t>Such unfair employment practices are devastating for workers—and are prohibited by the anti-discrimination provision of the Immigration and Nationality Act (INA).</w:t>
      </w:r>
      <w:r w:rsidR="008712B6" w:rsidRPr="00A978C4">
        <w:rPr>
          <w:rFonts w:ascii="Times New Roman" w:hAnsi="Times New Roman"/>
          <w:sz w:val="24"/>
          <w:szCs w:val="24"/>
        </w:rPr>
        <w:t xml:space="preserve"> </w:t>
      </w:r>
      <w:r w:rsidRPr="00A978C4">
        <w:rPr>
          <w:rFonts w:ascii="Times New Roman" w:hAnsi="Times New Roman"/>
          <w:sz w:val="24"/>
          <w:szCs w:val="24"/>
        </w:rPr>
        <w:t xml:space="preserve">The Division vigorously </w:t>
      </w:r>
      <w:r w:rsidRPr="00A978C4">
        <w:rPr>
          <w:rFonts w:ascii="Times New Roman" w:hAnsi="Times New Roman"/>
          <w:sz w:val="24"/>
          <w:szCs w:val="24"/>
        </w:rPr>
        <w:lastRenderedPageBreak/>
        <w:t xml:space="preserve">enforced this provision in fiscal year </w:t>
      </w:r>
      <w:r w:rsidR="00C36C2C" w:rsidRPr="00A978C4">
        <w:rPr>
          <w:rFonts w:ascii="Times New Roman" w:hAnsi="Times New Roman"/>
          <w:sz w:val="24"/>
          <w:szCs w:val="24"/>
        </w:rPr>
        <w:t xml:space="preserve">2013, maintaining its commitment to protect the right of all work-authorized individuals to work. </w:t>
      </w:r>
    </w:p>
    <w:p w:rsidR="00C36C2C" w:rsidRDefault="00C36C2C" w:rsidP="001C475F">
      <w:pPr>
        <w:spacing w:after="0" w:line="240" w:lineRule="auto"/>
        <w:rPr>
          <w:rFonts w:ascii="Times New Roman" w:hAnsi="Times New Roman"/>
          <w:sz w:val="24"/>
          <w:szCs w:val="24"/>
        </w:rPr>
      </w:pPr>
    </w:p>
    <w:p w:rsidR="00FF2B93" w:rsidRDefault="00B64942" w:rsidP="001C475F">
      <w:pPr>
        <w:spacing w:after="0" w:line="240" w:lineRule="auto"/>
        <w:rPr>
          <w:rFonts w:ascii="Times New Roman" w:hAnsi="Times New Roman"/>
          <w:sz w:val="24"/>
          <w:szCs w:val="24"/>
        </w:rPr>
      </w:pPr>
      <w:r w:rsidRPr="00A978C4">
        <w:rPr>
          <w:rFonts w:ascii="Times New Roman" w:hAnsi="Times New Roman"/>
          <w:sz w:val="24"/>
          <w:szCs w:val="24"/>
        </w:rPr>
        <w:t>In 2013</w:t>
      </w:r>
      <w:r w:rsidR="00555C40" w:rsidRPr="00A978C4">
        <w:rPr>
          <w:rFonts w:ascii="Times New Roman" w:hAnsi="Times New Roman"/>
          <w:sz w:val="24"/>
          <w:szCs w:val="24"/>
        </w:rPr>
        <w:t xml:space="preserve">, </w:t>
      </w:r>
      <w:r w:rsidR="00CB7A65" w:rsidRPr="00A978C4">
        <w:rPr>
          <w:rFonts w:ascii="Times New Roman" w:hAnsi="Times New Roman"/>
          <w:sz w:val="24"/>
          <w:szCs w:val="24"/>
        </w:rPr>
        <w:t>through its enforcement of the INA</w:t>
      </w:r>
      <w:r w:rsidR="00AF62F4" w:rsidRPr="00A978C4">
        <w:rPr>
          <w:rFonts w:ascii="Times New Roman" w:hAnsi="Times New Roman"/>
          <w:sz w:val="24"/>
          <w:szCs w:val="24"/>
        </w:rPr>
        <w:t>,</w:t>
      </w:r>
      <w:r w:rsidR="00CB7A65" w:rsidRPr="00A978C4">
        <w:rPr>
          <w:rFonts w:ascii="Times New Roman" w:hAnsi="Times New Roman"/>
          <w:sz w:val="24"/>
          <w:szCs w:val="24"/>
        </w:rPr>
        <w:t xml:space="preserve"> </w:t>
      </w:r>
      <w:r w:rsidR="001D6036" w:rsidRPr="00A978C4">
        <w:rPr>
          <w:rFonts w:ascii="Times New Roman" w:hAnsi="Times New Roman"/>
          <w:sz w:val="24"/>
          <w:szCs w:val="24"/>
        </w:rPr>
        <w:t xml:space="preserve">the Civil Rights Division </w:t>
      </w:r>
      <w:r w:rsidR="00555C40" w:rsidRPr="00A978C4">
        <w:rPr>
          <w:rFonts w:ascii="Times New Roman" w:hAnsi="Times New Roman"/>
          <w:sz w:val="24"/>
          <w:szCs w:val="24"/>
        </w:rPr>
        <w:t xml:space="preserve">collected </w:t>
      </w:r>
      <w:r w:rsidR="001D6036" w:rsidRPr="00A978C4">
        <w:rPr>
          <w:rFonts w:ascii="Times New Roman" w:hAnsi="Times New Roman"/>
          <w:sz w:val="24"/>
          <w:szCs w:val="24"/>
        </w:rPr>
        <w:t xml:space="preserve">nearly $900,000 </w:t>
      </w:r>
      <w:r w:rsidR="00AE3ECF" w:rsidRPr="00A978C4">
        <w:rPr>
          <w:rFonts w:ascii="Times New Roman" w:hAnsi="Times New Roman"/>
          <w:sz w:val="24"/>
          <w:szCs w:val="24"/>
        </w:rPr>
        <w:t>in</w:t>
      </w:r>
      <w:r w:rsidR="00555C40" w:rsidRPr="00A978C4">
        <w:rPr>
          <w:rFonts w:ascii="Times New Roman" w:hAnsi="Times New Roman"/>
          <w:sz w:val="24"/>
          <w:szCs w:val="24"/>
        </w:rPr>
        <w:t xml:space="preserve"> civil penalties</w:t>
      </w:r>
      <w:r w:rsidR="001D6036" w:rsidRPr="00A978C4">
        <w:rPr>
          <w:rFonts w:ascii="Times New Roman" w:hAnsi="Times New Roman"/>
          <w:sz w:val="24"/>
          <w:szCs w:val="24"/>
        </w:rPr>
        <w:t>—a r</w:t>
      </w:r>
      <w:r w:rsidR="00AE3ECF" w:rsidRPr="00A978C4">
        <w:rPr>
          <w:rFonts w:ascii="Times New Roman" w:hAnsi="Times New Roman"/>
          <w:sz w:val="24"/>
          <w:szCs w:val="24"/>
        </w:rPr>
        <w:t xml:space="preserve">ecord for the Division—and </w:t>
      </w:r>
      <w:r w:rsidR="001D6036" w:rsidRPr="00A978C4">
        <w:rPr>
          <w:rFonts w:ascii="Times New Roman" w:hAnsi="Times New Roman"/>
          <w:sz w:val="24"/>
          <w:szCs w:val="24"/>
        </w:rPr>
        <w:t>collected more in back pay than in any year in the past 10 years.</w:t>
      </w:r>
      <w:r w:rsidR="008712B6" w:rsidRPr="00A978C4">
        <w:rPr>
          <w:rFonts w:ascii="Times New Roman" w:hAnsi="Times New Roman"/>
          <w:sz w:val="24"/>
          <w:szCs w:val="24"/>
        </w:rPr>
        <w:t xml:space="preserve"> </w:t>
      </w:r>
      <w:r w:rsidR="000E0AAA" w:rsidRPr="00A978C4">
        <w:rPr>
          <w:rFonts w:ascii="Times New Roman" w:hAnsi="Times New Roman"/>
          <w:sz w:val="24"/>
          <w:szCs w:val="24"/>
        </w:rPr>
        <w:t xml:space="preserve">The Division also settled major cases involving </w:t>
      </w:r>
      <w:r w:rsidR="00C52D42" w:rsidRPr="00A978C4">
        <w:rPr>
          <w:rFonts w:ascii="Times New Roman" w:hAnsi="Times New Roman"/>
          <w:sz w:val="24"/>
          <w:szCs w:val="24"/>
        </w:rPr>
        <w:t xml:space="preserve">discriminatory documentary practices by </w:t>
      </w:r>
      <w:r w:rsidR="000E0AAA" w:rsidRPr="00A978C4">
        <w:rPr>
          <w:rFonts w:ascii="Times New Roman" w:hAnsi="Times New Roman"/>
          <w:sz w:val="24"/>
          <w:szCs w:val="24"/>
        </w:rPr>
        <w:t xml:space="preserve">Macy’s and Centerplate, obtaining more than $400,000 in civil penalties and </w:t>
      </w:r>
      <w:r w:rsidR="0046734B" w:rsidRPr="00A978C4">
        <w:rPr>
          <w:rFonts w:ascii="Times New Roman" w:hAnsi="Times New Roman"/>
          <w:sz w:val="24"/>
          <w:szCs w:val="24"/>
        </w:rPr>
        <w:t>as well</w:t>
      </w:r>
      <w:r w:rsidR="00D4605B" w:rsidRPr="00A978C4">
        <w:rPr>
          <w:rFonts w:ascii="Times New Roman" w:hAnsi="Times New Roman"/>
          <w:sz w:val="24"/>
          <w:szCs w:val="24"/>
        </w:rPr>
        <w:t xml:space="preserve"> </w:t>
      </w:r>
      <w:r w:rsidR="0046734B" w:rsidRPr="00A978C4">
        <w:rPr>
          <w:rFonts w:ascii="Times New Roman" w:hAnsi="Times New Roman"/>
          <w:sz w:val="24"/>
          <w:szCs w:val="24"/>
        </w:rPr>
        <w:t>as</w:t>
      </w:r>
      <w:r w:rsidR="000E0AAA" w:rsidRPr="00A978C4">
        <w:rPr>
          <w:rFonts w:ascii="Times New Roman" w:hAnsi="Times New Roman"/>
          <w:sz w:val="24"/>
          <w:szCs w:val="24"/>
        </w:rPr>
        <w:t xml:space="preserve"> compensation for victims.</w:t>
      </w:r>
    </w:p>
    <w:p w:rsidR="00C52D42" w:rsidRDefault="00C52D42" w:rsidP="001C475F">
      <w:pPr>
        <w:spacing w:after="0" w:line="240" w:lineRule="auto"/>
        <w:rPr>
          <w:rFonts w:ascii="Times New Roman" w:hAnsi="Times New Roman"/>
          <w:sz w:val="24"/>
          <w:szCs w:val="24"/>
        </w:rPr>
      </w:pPr>
    </w:p>
    <w:p w:rsidR="00C52D42" w:rsidRDefault="00C52D42" w:rsidP="001C475F">
      <w:pPr>
        <w:spacing w:after="0" w:line="240" w:lineRule="auto"/>
        <w:rPr>
          <w:rStyle w:val="BookTitle"/>
          <w:rFonts w:ascii="Times New Roman" w:hAnsi="Times New Roman"/>
          <w:b w:val="0"/>
          <w:bCs w:val="0"/>
          <w:smallCaps w:val="0"/>
          <w:spacing w:val="0"/>
          <w:sz w:val="24"/>
          <w:szCs w:val="24"/>
        </w:rPr>
      </w:pPr>
      <w:r w:rsidRPr="0067060A">
        <w:rPr>
          <w:rStyle w:val="BookTitle"/>
          <w:rFonts w:ascii="Times New Roman" w:hAnsi="Times New Roman"/>
          <w:b w:val="0"/>
          <w:bCs w:val="0"/>
          <w:smallCaps w:val="0"/>
          <w:spacing w:val="0"/>
          <w:sz w:val="24"/>
          <w:szCs w:val="24"/>
        </w:rPr>
        <w:t>Finally, in fiscal year 2013, the Division expanded its public outreach program on immigration-related employment discrimination through webinar presentations, reaching approximately 3,000 employees and employers nationwide.</w:t>
      </w:r>
    </w:p>
    <w:p w:rsidR="00C36C2C" w:rsidRPr="00410E1E" w:rsidRDefault="00C36C2C" w:rsidP="00C36C2C">
      <w:pPr>
        <w:spacing w:after="0" w:line="240" w:lineRule="auto"/>
        <w:rPr>
          <w:rFonts w:ascii="Times New Roman" w:hAnsi="Times New Roman"/>
          <w:sz w:val="28"/>
          <w:szCs w:val="28"/>
        </w:rPr>
      </w:pPr>
    </w:p>
    <w:p w:rsidR="00C36C2C" w:rsidRPr="00410E1E" w:rsidRDefault="00C36C2C" w:rsidP="00E3429B">
      <w:pPr>
        <w:pBdr>
          <w:top w:val="single" w:sz="4" w:space="1" w:color="auto"/>
          <w:left w:val="single" w:sz="4" w:space="4" w:color="auto"/>
          <w:bottom w:val="single" w:sz="4" w:space="1" w:color="auto"/>
          <w:right w:val="single" w:sz="4" w:space="4" w:color="auto"/>
        </w:pBdr>
        <w:spacing w:after="0" w:line="240" w:lineRule="auto"/>
        <w:jc w:val="center"/>
        <w:rPr>
          <w:rStyle w:val="BookTitle"/>
          <w:rFonts w:ascii="Cambria" w:hAnsi="Cambria"/>
          <w:sz w:val="28"/>
          <w:szCs w:val="28"/>
        </w:rPr>
      </w:pPr>
      <w:r w:rsidRPr="00410E1E">
        <w:rPr>
          <w:rStyle w:val="BookTitle"/>
          <w:rFonts w:ascii="Cambria" w:hAnsi="Cambria"/>
          <w:sz w:val="28"/>
          <w:szCs w:val="28"/>
        </w:rPr>
        <w:t>Preventing National Origin Discrimination: by the Numbers</w:t>
      </w:r>
    </w:p>
    <w:p w:rsidR="00C36C2C" w:rsidRPr="009417F7" w:rsidRDefault="00C36C2C" w:rsidP="00C36C2C">
      <w:pPr>
        <w:pBdr>
          <w:top w:val="single" w:sz="4" w:space="1" w:color="auto"/>
          <w:left w:val="single" w:sz="4" w:space="4" w:color="auto"/>
          <w:bottom w:val="single" w:sz="4" w:space="1" w:color="auto"/>
          <w:right w:val="single" w:sz="4" w:space="4" w:color="auto"/>
        </w:pBdr>
        <w:spacing w:after="0" w:line="240" w:lineRule="auto"/>
        <w:rPr>
          <w:rStyle w:val="BookTitle"/>
          <w:rFonts w:ascii="Cambria" w:hAnsi="Cambria"/>
          <w:sz w:val="24"/>
          <w:szCs w:val="24"/>
        </w:rPr>
      </w:pPr>
    </w:p>
    <w:p w:rsidR="00C36C2C" w:rsidRPr="009417F7" w:rsidRDefault="00C36C2C" w:rsidP="00C36C2C">
      <w:pPr>
        <w:numPr>
          <w:ilvl w:val="0"/>
          <w:numId w:val="7"/>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90627F">
        <w:rPr>
          <w:rFonts w:ascii="Times New Roman" w:hAnsi="Times New Roman"/>
          <w:sz w:val="24"/>
          <w:szCs w:val="24"/>
        </w:rPr>
        <w:t xml:space="preserve">In fiscal year 2013, </w:t>
      </w:r>
      <w:r>
        <w:rPr>
          <w:rFonts w:ascii="Times New Roman" w:hAnsi="Times New Roman"/>
          <w:sz w:val="24"/>
          <w:szCs w:val="24"/>
        </w:rPr>
        <w:t>the Civil Rights Division collected nearly $</w:t>
      </w:r>
      <w:r w:rsidRPr="00555C40">
        <w:rPr>
          <w:rFonts w:ascii="Times New Roman" w:hAnsi="Times New Roman"/>
          <w:sz w:val="24"/>
          <w:szCs w:val="24"/>
        </w:rPr>
        <w:t>900,000 in penalties</w:t>
      </w:r>
      <w:r>
        <w:rPr>
          <w:rFonts w:ascii="Times New Roman" w:hAnsi="Times New Roman"/>
          <w:sz w:val="24"/>
          <w:szCs w:val="24"/>
        </w:rPr>
        <w:t xml:space="preserve"> under the Immigration and Nationality Act—</w:t>
      </w:r>
      <w:r w:rsidRPr="0090627F">
        <w:rPr>
          <w:rFonts w:ascii="Times New Roman" w:hAnsi="Times New Roman"/>
          <w:sz w:val="24"/>
          <w:szCs w:val="24"/>
        </w:rPr>
        <w:t>more than in any previous year in the Division’s history.</w:t>
      </w:r>
    </w:p>
    <w:p w:rsidR="00C36C2C" w:rsidRDefault="00C36C2C" w:rsidP="00C36C2C">
      <w:pPr>
        <w:numPr>
          <w:ilvl w:val="0"/>
          <w:numId w:val="7"/>
        </w:numPr>
        <w:pBdr>
          <w:top w:val="single" w:sz="4" w:space="1" w:color="auto"/>
          <w:left w:val="single" w:sz="4" w:space="4" w:color="auto"/>
          <w:bottom w:val="single" w:sz="4" w:space="1" w:color="auto"/>
          <w:right w:val="single" w:sz="4" w:space="4" w:color="auto"/>
        </w:pBdr>
        <w:spacing w:before="120" w:after="0" w:line="240" w:lineRule="auto"/>
        <w:rPr>
          <w:rFonts w:ascii="Times New Roman" w:hAnsi="Times New Roman"/>
          <w:sz w:val="24"/>
          <w:szCs w:val="24"/>
        </w:rPr>
      </w:pPr>
      <w:r>
        <w:rPr>
          <w:rFonts w:ascii="Times New Roman" w:hAnsi="Times New Roman"/>
          <w:sz w:val="24"/>
          <w:szCs w:val="24"/>
        </w:rPr>
        <w:t xml:space="preserve">The Division also collected $250,000 in back pay for claims of citizenship discrimination, </w:t>
      </w:r>
      <w:r w:rsidRPr="001D6036">
        <w:rPr>
          <w:rFonts w:ascii="Times New Roman" w:hAnsi="Times New Roman"/>
          <w:sz w:val="24"/>
          <w:szCs w:val="24"/>
        </w:rPr>
        <w:t>more than in any year in the past 10 years.</w:t>
      </w:r>
    </w:p>
    <w:p w:rsidR="00C36C2C" w:rsidRDefault="00C36C2C" w:rsidP="00C36C2C">
      <w:pPr>
        <w:pBdr>
          <w:top w:val="single" w:sz="4" w:space="1" w:color="auto"/>
          <w:left w:val="single" w:sz="4" w:space="4" w:color="auto"/>
          <w:bottom w:val="single" w:sz="4" w:space="1" w:color="auto"/>
          <w:right w:val="single" w:sz="4" w:space="4" w:color="auto"/>
        </w:pBdr>
        <w:spacing w:before="120" w:after="0" w:line="240" w:lineRule="auto"/>
        <w:rPr>
          <w:rFonts w:ascii="Times New Roman" w:hAnsi="Times New Roman"/>
          <w:sz w:val="24"/>
          <w:szCs w:val="24"/>
        </w:rPr>
      </w:pPr>
    </w:p>
    <w:p w:rsidR="00AF2F86" w:rsidRDefault="00AF2F86" w:rsidP="001C475F">
      <w:pPr>
        <w:spacing w:after="0" w:line="240" w:lineRule="auto"/>
        <w:rPr>
          <w:rStyle w:val="BookTitle"/>
          <w:rFonts w:ascii="Times New Roman" w:hAnsi="Times New Roman"/>
          <w:b w:val="0"/>
          <w:bCs w:val="0"/>
          <w:smallCaps w:val="0"/>
          <w:spacing w:val="0"/>
          <w:sz w:val="24"/>
          <w:szCs w:val="24"/>
        </w:rPr>
      </w:pPr>
    </w:p>
    <w:p w:rsidR="00542422" w:rsidRDefault="00542422" w:rsidP="001C475F">
      <w:pPr>
        <w:spacing w:line="240" w:lineRule="auto"/>
        <w:rPr>
          <w:rFonts w:ascii="Times New Roman" w:hAnsi="Times New Roman"/>
          <w:sz w:val="24"/>
          <w:szCs w:val="24"/>
        </w:rPr>
      </w:pPr>
      <w:r w:rsidRPr="00AF08D3">
        <w:rPr>
          <w:rFonts w:ascii="Times New Roman" w:hAnsi="Times New Roman"/>
          <w:b/>
          <w:i/>
          <w:sz w:val="24"/>
          <w:szCs w:val="24"/>
        </w:rPr>
        <w:t>Expanding Equal Employment Opportunity for Women:</w:t>
      </w:r>
      <w:r>
        <w:rPr>
          <w:rFonts w:ascii="Times New Roman" w:hAnsi="Times New Roman"/>
          <w:i/>
          <w:sz w:val="24"/>
          <w:szCs w:val="24"/>
        </w:rPr>
        <w:t xml:space="preserve"> </w:t>
      </w:r>
      <w:r w:rsidR="00923B8D">
        <w:rPr>
          <w:rFonts w:ascii="Times New Roman" w:hAnsi="Times New Roman"/>
          <w:sz w:val="24"/>
          <w:szCs w:val="24"/>
        </w:rPr>
        <w:t xml:space="preserve">The Civil Rights Division </w:t>
      </w:r>
      <w:r>
        <w:rPr>
          <w:rFonts w:ascii="Times New Roman" w:hAnsi="Times New Roman"/>
          <w:sz w:val="24"/>
          <w:szCs w:val="24"/>
        </w:rPr>
        <w:t>enforces federal laws prohibiting sex discrimination in the workplace. This discrimination can take many forms, from sexual harassment to denying employment opportunities to women based on their sex. O</w:t>
      </w:r>
      <w:r w:rsidRPr="00331FE6">
        <w:rPr>
          <w:rFonts w:ascii="Times New Roman" w:hAnsi="Times New Roman"/>
          <w:sz w:val="24"/>
          <w:szCs w:val="24"/>
        </w:rPr>
        <w:t xml:space="preserve">ver the course </w:t>
      </w:r>
      <w:r>
        <w:rPr>
          <w:rFonts w:ascii="Times New Roman" w:hAnsi="Times New Roman"/>
          <w:sz w:val="24"/>
          <w:szCs w:val="24"/>
        </w:rPr>
        <w:t>of fiscal year 2013</w:t>
      </w:r>
      <w:r w:rsidRPr="00331FE6">
        <w:rPr>
          <w:rFonts w:ascii="Times New Roman" w:hAnsi="Times New Roman"/>
          <w:sz w:val="24"/>
          <w:szCs w:val="24"/>
        </w:rPr>
        <w:t>, the Division obtained more than $875,000 in monetary relief and damages for victims of workplace sex discrimination</w:t>
      </w:r>
      <w:r>
        <w:rPr>
          <w:rFonts w:ascii="Times New Roman" w:hAnsi="Times New Roman"/>
          <w:sz w:val="24"/>
          <w:szCs w:val="24"/>
        </w:rPr>
        <w:t>. Examples of the Division’s sex discrimination work include:</w:t>
      </w:r>
    </w:p>
    <w:p w:rsidR="00542422" w:rsidRPr="007B5CB8" w:rsidRDefault="00542422" w:rsidP="001C475F">
      <w:pPr>
        <w:numPr>
          <w:ilvl w:val="0"/>
          <w:numId w:val="5"/>
        </w:numPr>
        <w:spacing w:line="240" w:lineRule="auto"/>
        <w:rPr>
          <w:rFonts w:ascii="Times New Roman" w:hAnsi="Times New Roman"/>
          <w:b/>
          <w:sz w:val="24"/>
          <w:szCs w:val="24"/>
        </w:rPr>
      </w:pPr>
      <w:r w:rsidRPr="00B338BC">
        <w:rPr>
          <w:rFonts w:ascii="Times New Roman" w:hAnsi="Times New Roman"/>
          <w:i/>
          <w:sz w:val="24"/>
          <w:szCs w:val="24"/>
        </w:rPr>
        <w:t>Millbrook, Alabama</w:t>
      </w:r>
      <w:r>
        <w:rPr>
          <w:rFonts w:ascii="Times New Roman" w:hAnsi="Times New Roman"/>
          <w:sz w:val="24"/>
          <w:szCs w:val="24"/>
        </w:rPr>
        <w:t xml:space="preserve">: In January 2008, Kristen </w:t>
      </w:r>
      <w:proofErr w:type="spellStart"/>
      <w:r>
        <w:rPr>
          <w:rFonts w:ascii="Times New Roman" w:hAnsi="Times New Roman"/>
          <w:sz w:val="24"/>
          <w:szCs w:val="24"/>
        </w:rPr>
        <w:t>Spraggins</w:t>
      </w:r>
      <w:proofErr w:type="spellEnd"/>
      <w:r>
        <w:rPr>
          <w:rFonts w:ascii="Times New Roman" w:hAnsi="Times New Roman"/>
          <w:sz w:val="24"/>
          <w:szCs w:val="24"/>
        </w:rPr>
        <w:t xml:space="preserve"> was the only female police officer in the Millbrook Police Department</w:t>
      </w:r>
      <w:r w:rsidR="00202732">
        <w:rPr>
          <w:rFonts w:ascii="Times New Roman" w:hAnsi="Times New Roman"/>
          <w:sz w:val="24"/>
          <w:szCs w:val="24"/>
        </w:rPr>
        <w:t xml:space="preserve"> (MPD)</w:t>
      </w:r>
      <w:r>
        <w:rPr>
          <w:rFonts w:ascii="Times New Roman" w:hAnsi="Times New Roman"/>
          <w:sz w:val="24"/>
          <w:szCs w:val="24"/>
        </w:rPr>
        <w:t>. She received excellent performance evaluations until she rejected unwanted sexual advances by a co-worker and reported those advances to he</w:t>
      </w:r>
      <w:r w:rsidR="00202732">
        <w:rPr>
          <w:rFonts w:ascii="Times New Roman" w:hAnsi="Times New Roman"/>
          <w:sz w:val="24"/>
          <w:szCs w:val="24"/>
        </w:rPr>
        <w:t xml:space="preserve">r superiors. Rather than </w:t>
      </w:r>
      <w:r>
        <w:rPr>
          <w:rFonts w:ascii="Times New Roman" w:hAnsi="Times New Roman"/>
          <w:sz w:val="24"/>
          <w:szCs w:val="24"/>
        </w:rPr>
        <w:t xml:space="preserve">disciplining her harasser, MPD instead subjected </w:t>
      </w:r>
      <w:r w:rsidR="00C24BC9">
        <w:rPr>
          <w:rFonts w:ascii="Times New Roman" w:hAnsi="Times New Roman"/>
          <w:sz w:val="24"/>
          <w:szCs w:val="24"/>
        </w:rPr>
        <w:t xml:space="preserve">Ms. </w:t>
      </w:r>
      <w:proofErr w:type="spellStart"/>
      <w:r>
        <w:rPr>
          <w:rFonts w:ascii="Times New Roman" w:hAnsi="Times New Roman"/>
          <w:sz w:val="24"/>
          <w:szCs w:val="24"/>
        </w:rPr>
        <w:t>Spraggins</w:t>
      </w:r>
      <w:proofErr w:type="spellEnd"/>
      <w:r>
        <w:rPr>
          <w:rFonts w:ascii="Times New Roman" w:hAnsi="Times New Roman"/>
          <w:sz w:val="24"/>
          <w:szCs w:val="24"/>
        </w:rPr>
        <w:t xml:space="preserve"> to unwarranted disciplinary actions and eventually </w:t>
      </w:r>
      <w:r w:rsidR="007A7CA5">
        <w:rPr>
          <w:rFonts w:ascii="Times New Roman" w:hAnsi="Times New Roman"/>
          <w:sz w:val="24"/>
          <w:szCs w:val="24"/>
        </w:rPr>
        <w:t xml:space="preserve">to </w:t>
      </w:r>
      <w:r>
        <w:rPr>
          <w:rFonts w:ascii="Times New Roman" w:hAnsi="Times New Roman"/>
          <w:sz w:val="24"/>
          <w:szCs w:val="24"/>
        </w:rPr>
        <w:t xml:space="preserve">termination. The Division reached a consent decree that required </w:t>
      </w:r>
      <w:r w:rsidRPr="00F341FE">
        <w:rPr>
          <w:rFonts w:ascii="Times New Roman" w:hAnsi="Times New Roman"/>
          <w:sz w:val="24"/>
          <w:szCs w:val="24"/>
        </w:rPr>
        <w:t>Millbrook to pay compensatory damages</w:t>
      </w:r>
      <w:r>
        <w:rPr>
          <w:rFonts w:ascii="Times New Roman" w:hAnsi="Times New Roman"/>
          <w:sz w:val="24"/>
          <w:szCs w:val="24"/>
        </w:rPr>
        <w:t xml:space="preserve"> to Ms. </w:t>
      </w:r>
      <w:proofErr w:type="spellStart"/>
      <w:r>
        <w:rPr>
          <w:rFonts w:ascii="Times New Roman" w:hAnsi="Times New Roman"/>
          <w:sz w:val="24"/>
          <w:szCs w:val="24"/>
        </w:rPr>
        <w:t>Spraggins</w:t>
      </w:r>
      <w:proofErr w:type="spellEnd"/>
      <w:r>
        <w:rPr>
          <w:rFonts w:ascii="Times New Roman" w:hAnsi="Times New Roman"/>
          <w:sz w:val="24"/>
          <w:szCs w:val="24"/>
        </w:rPr>
        <w:t>, t</w:t>
      </w:r>
      <w:r w:rsidRPr="00F341FE">
        <w:rPr>
          <w:rFonts w:ascii="Times New Roman" w:hAnsi="Times New Roman"/>
          <w:sz w:val="24"/>
          <w:szCs w:val="24"/>
        </w:rPr>
        <w:t>o overhaul its workplace discrimination policy and reporting and enforcement procedures</w:t>
      </w:r>
      <w:r>
        <w:rPr>
          <w:rFonts w:ascii="Times New Roman" w:hAnsi="Times New Roman"/>
          <w:sz w:val="24"/>
          <w:szCs w:val="24"/>
        </w:rPr>
        <w:t>,</w:t>
      </w:r>
      <w:r w:rsidRPr="00F341FE">
        <w:rPr>
          <w:rFonts w:ascii="Times New Roman" w:hAnsi="Times New Roman"/>
          <w:sz w:val="24"/>
          <w:szCs w:val="24"/>
        </w:rPr>
        <w:t xml:space="preserve"> and </w:t>
      </w:r>
      <w:r>
        <w:rPr>
          <w:rFonts w:ascii="Times New Roman" w:hAnsi="Times New Roman"/>
          <w:sz w:val="24"/>
          <w:szCs w:val="24"/>
        </w:rPr>
        <w:t xml:space="preserve">to </w:t>
      </w:r>
      <w:r w:rsidRPr="00F341FE">
        <w:rPr>
          <w:rFonts w:ascii="Times New Roman" w:hAnsi="Times New Roman"/>
          <w:sz w:val="24"/>
          <w:szCs w:val="24"/>
        </w:rPr>
        <w:t xml:space="preserve">provide training to its workforce </w:t>
      </w:r>
      <w:r>
        <w:rPr>
          <w:rFonts w:ascii="Times New Roman" w:hAnsi="Times New Roman"/>
          <w:sz w:val="24"/>
          <w:szCs w:val="24"/>
        </w:rPr>
        <w:t>to ensure a safe and nondiscriminatory workplace in the future</w:t>
      </w:r>
      <w:r w:rsidRPr="00F341FE">
        <w:rPr>
          <w:rFonts w:ascii="Times New Roman" w:hAnsi="Times New Roman"/>
          <w:sz w:val="24"/>
          <w:szCs w:val="24"/>
        </w:rPr>
        <w:t>.</w:t>
      </w:r>
      <w:r>
        <w:rPr>
          <w:rFonts w:ascii="Times New Roman" w:hAnsi="Times New Roman"/>
          <w:sz w:val="24"/>
          <w:szCs w:val="24"/>
        </w:rPr>
        <w:t xml:space="preserve"> </w:t>
      </w:r>
    </w:p>
    <w:p w:rsidR="00542422" w:rsidRPr="00EC2B9D" w:rsidRDefault="00542422" w:rsidP="009A4DDE">
      <w:pPr>
        <w:numPr>
          <w:ilvl w:val="0"/>
          <w:numId w:val="5"/>
        </w:numPr>
        <w:spacing w:after="0" w:line="240" w:lineRule="auto"/>
        <w:rPr>
          <w:rFonts w:ascii="Times New Roman" w:hAnsi="Times New Roman"/>
          <w:color w:val="1F497D"/>
          <w:sz w:val="24"/>
          <w:szCs w:val="24"/>
        </w:rPr>
      </w:pPr>
      <w:r w:rsidRPr="00D4605B">
        <w:rPr>
          <w:rFonts w:ascii="Times New Roman" w:hAnsi="Times New Roman"/>
          <w:bCs/>
          <w:i/>
          <w:sz w:val="24"/>
          <w:szCs w:val="24"/>
        </w:rPr>
        <w:t>Summit County, Ohio</w:t>
      </w:r>
      <w:r w:rsidRPr="00D4605B">
        <w:rPr>
          <w:rFonts w:ascii="Times New Roman" w:hAnsi="Times New Roman"/>
          <w:bCs/>
          <w:sz w:val="24"/>
          <w:szCs w:val="24"/>
        </w:rPr>
        <w:t xml:space="preserve">: </w:t>
      </w:r>
      <w:r w:rsidR="00AF62F4">
        <w:rPr>
          <w:rFonts w:ascii="Times New Roman" w:hAnsi="Times New Roman"/>
          <w:bCs/>
          <w:sz w:val="24"/>
          <w:szCs w:val="24"/>
        </w:rPr>
        <w:t>In this case, t</w:t>
      </w:r>
      <w:r w:rsidR="001C475F">
        <w:rPr>
          <w:rFonts w:ascii="Times New Roman" w:hAnsi="Times New Roman"/>
          <w:bCs/>
          <w:sz w:val="24"/>
          <w:szCs w:val="24"/>
        </w:rPr>
        <w:t>h</w:t>
      </w:r>
      <w:r>
        <w:rPr>
          <w:rFonts w:ascii="Times New Roman" w:hAnsi="Times New Roman"/>
          <w:sz w:val="24"/>
          <w:szCs w:val="24"/>
        </w:rPr>
        <w:t xml:space="preserve">e Division </w:t>
      </w:r>
      <w:r w:rsidRPr="00C01745">
        <w:rPr>
          <w:rFonts w:ascii="Times New Roman" w:hAnsi="Times New Roman"/>
          <w:sz w:val="24"/>
          <w:szCs w:val="24"/>
        </w:rPr>
        <w:t>argued that the</w:t>
      </w:r>
      <w:r w:rsidRPr="00EC2B9D">
        <w:rPr>
          <w:rFonts w:ascii="Times New Roman" w:hAnsi="Times New Roman"/>
          <w:sz w:val="24"/>
          <w:szCs w:val="24"/>
        </w:rPr>
        <w:t xml:space="preserve"> County and the Sheriff discriminated against 20 female Deputy Sheriffs and other similarly-situated female deputies by implementing</w:t>
      </w:r>
      <w:r>
        <w:rPr>
          <w:rFonts w:ascii="Times New Roman" w:hAnsi="Times New Roman"/>
          <w:sz w:val="24"/>
          <w:szCs w:val="24"/>
        </w:rPr>
        <w:t xml:space="preserve"> </w:t>
      </w:r>
      <w:r w:rsidRPr="00EC2B9D">
        <w:rPr>
          <w:rFonts w:ascii="Times New Roman" w:hAnsi="Times New Roman"/>
          <w:sz w:val="24"/>
          <w:szCs w:val="24"/>
        </w:rPr>
        <w:t>a sex-segregated job assignment system at the Summit County J</w:t>
      </w:r>
      <w:r>
        <w:rPr>
          <w:rFonts w:ascii="Times New Roman" w:hAnsi="Times New Roman"/>
          <w:sz w:val="24"/>
          <w:szCs w:val="24"/>
        </w:rPr>
        <w:t>ail in Akron, Ohio</w:t>
      </w:r>
      <w:r w:rsidRPr="00EC2B9D">
        <w:rPr>
          <w:rFonts w:ascii="Times New Roman" w:hAnsi="Times New Roman"/>
          <w:sz w:val="24"/>
          <w:szCs w:val="24"/>
        </w:rPr>
        <w:t>.</w:t>
      </w:r>
      <w:r w:rsidRPr="00EC2B9D">
        <w:rPr>
          <w:rFonts w:ascii="Times New Roman" w:hAnsi="Times New Roman"/>
          <w:color w:val="1F497D"/>
          <w:sz w:val="24"/>
          <w:szCs w:val="24"/>
        </w:rPr>
        <w:t> </w:t>
      </w:r>
      <w:r>
        <w:rPr>
          <w:rFonts w:ascii="Times New Roman" w:hAnsi="Times New Roman"/>
          <w:sz w:val="24"/>
          <w:szCs w:val="24"/>
        </w:rPr>
        <w:t>Originally</w:t>
      </w:r>
      <w:r w:rsidRPr="008A37BC">
        <w:rPr>
          <w:rFonts w:ascii="Times New Roman" w:hAnsi="Times New Roman"/>
          <w:sz w:val="24"/>
          <w:szCs w:val="24"/>
        </w:rPr>
        <w:t>,</w:t>
      </w:r>
      <w:r>
        <w:rPr>
          <w:rFonts w:ascii="Times New Roman" w:hAnsi="Times New Roman"/>
          <w:color w:val="1F497D"/>
          <w:sz w:val="24"/>
          <w:szCs w:val="24"/>
        </w:rPr>
        <w:t xml:space="preserve"> </w:t>
      </w:r>
      <w:r>
        <w:rPr>
          <w:rFonts w:ascii="Times New Roman" w:hAnsi="Times New Roman"/>
          <w:sz w:val="24"/>
          <w:szCs w:val="24"/>
        </w:rPr>
        <w:t>female deputies at the jail were permitted to hold job assignments supervising the intake and security of both male and female inmates. In January 2012</w:t>
      </w:r>
      <w:r w:rsidR="007A7CA5">
        <w:rPr>
          <w:rFonts w:ascii="Times New Roman" w:hAnsi="Times New Roman"/>
          <w:sz w:val="24"/>
          <w:szCs w:val="24"/>
        </w:rPr>
        <w:t>,</w:t>
      </w:r>
      <w:r>
        <w:rPr>
          <w:rFonts w:ascii="Times New Roman" w:hAnsi="Times New Roman"/>
          <w:sz w:val="24"/>
          <w:szCs w:val="24"/>
        </w:rPr>
        <w:t xml:space="preserve"> however, the jail switched to a new job assignment system that allowed female deputies to supervise the intake and security of only female inmates. With this </w:t>
      </w:r>
      <w:r>
        <w:rPr>
          <w:rFonts w:ascii="Times New Roman" w:hAnsi="Times New Roman"/>
          <w:sz w:val="24"/>
          <w:szCs w:val="24"/>
        </w:rPr>
        <w:lastRenderedPageBreak/>
        <w:t>change</w:t>
      </w:r>
      <w:r w:rsidRPr="00AC60EB">
        <w:rPr>
          <w:rFonts w:ascii="Times New Roman" w:hAnsi="Times New Roman"/>
          <w:sz w:val="24"/>
          <w:szCs w:val="24"/>
        </w:rPr>
        <w:t>, female deputies lost job assignments and shifts they had earned based on their seniority as well as opportunitie</w:t>
      </w:r>
      <w:r>
        <w:rPr>
          <w:rFonts w:ascii="Times New Roman" w:hAnsi="Times New Roman"/>
          <w:sz w:val="24"/>
          <w:szCs w:val="24"/>
        </w:rPr>
        <w:t>s to bid on overtime postings. To resolve this matter, Summit County agreed to provide</w:t>
      </w:r>
      <w:r w:rsidRPr="00C01745">
        <w:rPr>
          <w:rFonts w:ascii="Times New Roman" w:hAnsi="Times New Roman"/>
          <w:sz w:val="24"/>
          <w:szCs w:val="24"/>
        </w:rPr>
        <w:t xml:space="preserve"> monetary relief to the </w:t>
      </w:r>
      <w:r>
        <w:rPr>
          <w:rFonts w:ascii="Times New Roman" w:hAnsi="Times New Roman"/>
          <w:sz w:val="24"/>
          <w:szCs w:val="24"/>
        </w:rPr>
        <w:t>female deputies and to</w:t>
      </w:r>
      <w:r w:rsidRPr="00EC2B9D">
        <w:rPr>
          <w:rFonts w:ascii="Times New Roman" w:hAnsi="Times New Roman"/>
          <w:sz w:val="24"/>
          <w:szCs w:val="24"/>
        </w:rPr>
        <w:t xml:space="preserve"> </w:t>
      </w:r>
      <w:r w:rsidRPr="00AC60EB">
        <w:rPr>
          <w:rFonts w:ascii="Times New Roman" w:hAnsi="Times New Roman"/>
          <w:sz w:val="24"/>
          <w:szCs w:val="24"/>
        </w:rPr>
        <w:t>use sex-based assignments</w:t>
      </w:r>
      <w:r>
        <w:rPr>
          <w:rFonts w:ascii="Times New Roman" w:hAnsi="Times New Roman"/>
          <w:sz w:val="24"/>
          <w:szCs w:val="24"/>
        </w:rPr>
        <w:t xml:space="preserve"> </w:t>
      </w:r>
      <w:r w:rsidRPr="00AC60EB">
        <w:rPr>
          <w:rFonts w:ascii="Times New Roman" w:hAnsi="Times New Roman"/>
          <w:sz w:val="24"/>
          <w:szCs w:val="24"/>
        </w:rPr>
        <w:t xml:space="preserve">only to the limited extent that they are </w:t>
      </w:r>
      <w:r w:rsidR="007A7CA5">
        <w:rPr>
          <w:rFonts w:ascii="Times New Roman" w:hAnsi="Times New Roman"/>
          <w:sz w:val="24"/>
          <w:szCs w:val="24"/>
        </w:rPr>
        <w:t xml:space="preserve">truly </w:t>
      </w:r>
      <w:r w:rsidRPr="00AC60EB">
        <w:rPr>
          <w:rFonts w:ascii="Times New Roman" w:hAnsi="Times New Roman"/>
          <w:sz w:val="24"/>
          <w:szCs w:val="24"/>
        </w:rPr>
        <w:t xml:space="preserve">necessary </w:t>
      </w:r>
      <w:r>
        <w:rPr>
          <w:rFonts w:ascii="Times New Roman" w:hAnsi="Times New Roman"/>
          <w:sz w:val="24"/>
          <w:szCs w:val="24"/>
        </w:rPr>
        <w:t>for the</w:t>
      </w:r>
      <w:r w:rsidRPr="00AC60EB">
        <w:rPr>
          <w:rFonts w:ascii="Times New Roman" w:hAnsi="Times New Roman"/>
          <w:sz w:val="24"/>
          <w:szCs w:val="24"/>
        </w:rPr>
        <w:t xml:space="preserve"> operation of the jai</w:t>
      </w:r>
      <w:r>
        <w:rPr>
          <w:rFonts w:ascii="Times New Roman" w:hAnsi="Times New Roman"/>
          <w:sz w:val="24"/>
          <w:szCs w:val="24"/>
        </w:rPr>
        <w:t>l.</w:t>
      </w:r>
      <w:r>
        <w:rPr>
          <w:rFonts w:ascii="Times New Roman" w:hAnsi="Times New Roman"/>
          <w:color w:val="1F497D"/>
          <w:sz w:val="24"/>
          <w:szCs w:val="24"/>
        </w:rPr>
        <w:t xml:space="preserve"> </w:t>
      </w:r>
    </w:p>
    <w:p w:rsidR="009A4DDE" w:rsidRDefault="009A4DDE" w:rsidP="001C475F">
      <w:pPr>
        <w:spacing w:after="0" w:line="240" w:lineRule="auto"/>
        <w:rPr>
          <w:rFonts w:ascii="Times New Roman" w:hAnsi="Times New Roman"/>
          <w:b/>
          <w:bCs/>
          <w:i/>
          <w:sz w:val="24"/>
          <w:szCs w:val="24"/>
        </w:rPr>
      </w:pPr>
    </w:p>
    <w:p w:rsidR="009A4DDE" w:rsidRDefault="009A4DDE" w:rsidP="001C475F">
      <w:pPr>
        <w:spacing w:after="0" w:line="240" w:lineRule="auto"/>
        <w:rPr>
          <w:rFonts w:ascii="Times New Roman" w:hAnsi="Times New Roman"/>
          <w:bCs/>
          <w:iCs/>
          <w:sz w:val="24"/>
          <w:szCs w:val="24"/>
        </w:rPr>
      </w:pPr>
      <w:proofErr w:type="gramStart"/>
      <w:r>
        <w:rPr>
          <w:rFonts w:ascii="Times New Roman" w:hAnsi="Times New Roman"/>
          <w:b/>
          <w:bCs/>
          <w:i/>
          <w:sz w:val="24"/>
          <w:szCs w:val="24"/>
        </w:rPr>
        <w:t>Protecting</w:t>
      </w:r>
      <w:r w:rsidRPr="009A4DDE">
        <w:rPr>
          <w:rFonts w:ascii="Times New Roman" w:hAnsi="Times New Roman"/>
          <w:b/>
          <w:bCs/>
          <w:i/>
          <w:sz w:val="24"/>
          <w:szCs w:val="24"/>
        </w:rPr>
        <w:t xml:space="preserve"> Religious Freedom</w:t>
      </w:r>
      <w:r>
        <w:rPr>
          <w:rFonts w:ascii="Times New Roman" w:hAnsi="Times New Roman"/>
          <w:b/>
          <w:bCs/>
          <w:i/>
          <w:sz w:val="24"/>
          <w:szCs w:val="24"/>
        </w:rPr>
        <w:t xml:space="preserve"> in the Workplace</w:t>
      </w:r>
      <w:r w:rsidRPr="009A4DDE">
        <w:rPr>
          <w:rFonts w:ascii="Times New Roman" w:hAnsi="Times New Roman"/>
          <w:b/>
          <w:bCs/>
          <w:i/>
          <w:sz w:val="24"/>
          <w:szCs w:val="24"/>
        </w:rPr>
        <w:t>:</w:t>
      </w:r>
      <w:r>
        <w:rPr>
          <w:rFonts w:ascii="Times New Roman" w:hAnsi="Times New Roman"/>
          <w:b/>
          <w:bCs/>
          <w:i/>
          <w:sz w:val="24"/>
          <w:szCs w:val="24"/>
        </w:rPr>
        <w:t xml:space="preserve"> </w:t>
      </w:r>
      <w:r w:rsidR="00AF62F4">
        <w:rPr>
          <w:rFonts w:ascii="Times New Roman" w:hAnsi="Times New Roman"/>
          <w:bCs/>
          <w:iCs/>
          <w:sz w:val="24"/>
          <w:szCs w:val="24"/>
        </w:rPr>
        <w:t xml:space="preserve">Freedom of religion is </w:t>
      </w:r>
      <w:r w:rsidRPr="009A4DDE">
        <w:rPr>
          <w:rFonts w:ascii="Times New Roman" w:hAnsi="Times New Roman"/>
          <w:bCs/>
          <w:iCs/>
          <w:sz w:val="24"/>
          <w:szCs w:val="24"/>
        </w:rPr>
        <w:t>among the most cherished of our nation’s rights.</w:t>
      </w:r>
      <w:proofErr w:type="gramEnd"/>
      <w:r w:rsidRPr="009A4DDE">
        <w:rPr>
          <w:rFonts w:ascii="Times New Roman" w:hAnsi="Times New Roman"/>
          <w:b/>
          <w:bCs/>
          <w:i/>
          <w:iCs/>
          <w:sz w:val="24"/>
          <w:szCs w:val="24"/>
        </w:rPr>
        <w:t xml:space="preserve"> </w:t>
      </w:r>
      <w:r>
        <w:rPr>
          <w:rFonts w:ascii="Times New Roman" w:hAnsi="Times New Roman"/>
          <w:bCs/>
          <w:iCs/>
          <w:sz w:val="24"/>
          <w:szCs w:val="24"/>
        </w:rPr>
        <w:t>Employees should not have to choose between employment and fulfilling their religious obligations. Title VII of the Civil Rights Act of 1</w:t>
      </w:r>
      <w:r w:rsidR="00EE30C7">
        <w:rPr>
          <w:rFonts w:ascii="Times New Roman" w:hAnsi="Times New Roman"/>
          <w:bCs/>
          <w:iCs/>
          <w:sz w:val="24"/>
          <w:szCs w:val="24"/>
        </w:rPr>
        <w:t>9</w:t>
      </w:r>
      <w:r>
        <w:rPr>
          <w:rFonts w:ascii="Times New Roman" w:hAnsi="Times New Roman"/>
          <w:bCs/>
          <w:iCs/>
          <w:sz w:val="24"/>
          <w:szCs w:val="24"/>
        </w:rPr>
        <w:t>64</w:t>
      </w:r>
      <w:r w:rsidRPr="009A4DDE">
        <w:rPr>
          <w:rFonts w:ascii="Times New Roman" w:hAnsi="Times New Roman"/>
          <w:bCs/>
          <w:iCs/>
          <w:sz w:val="24"/>
          <w:szCs w:val="24"/>
        </w:rPr>
        <w:t xml:space="preserve"> </w:t>
      </w:r>
      <w:r>
        <w:rPr>
          <w:rFonts w:ascii="Times New Roman" w:hAnsi="Times New Roman"/>
          <w:bCs/>
          <w:iCs/>
          <w:sz w:val="24"/>
          <w:szCs w:val="24"/>
        </w:rPr>
        <w:t>requires</w:t>
      </w:r>
      <w:r w:rsidRPr="009A4DDE">
        <w:rPr>
          <w:rFonts w:ascii="Times New Roman" w:hAnsi="Times New Roman"/>
          <w:bCs/>
          <w:iCs/>
          <w:sz w:val="24"/>
          <w:szCs w:val="24"/>
        </w:rPr>
        <w:t xml:space="preserve"> employers to reasonably accommodate the religious beliefs, practices and observances of all empl</w:t>
      </w:r>
      <w:r w:rsidR="00C24BC9">
        <w:rPr>
          <w:rFonts w:ascii="Times New Roman" w:hAnsi="Times New Roman"/>
          <w:bCs/>
          <w:iCs/>
          <w:sz w:val="24"/>
          <w:szCs w:val="24"/>
        </w:rPr>
        <w:t>oyees, unless the employer can prove that doing so would impose an “undue hardship.”</w:t>
      </w:r>
      <w:r w:rsidR="00EE30C7">
        <w:rPr>
          <w:rFonts w:ascii="Times New Roman" w:hAnsi="Times New Roman"/>
          <w:bCs/>
          <w:iCs/>
          <w:sz w:val="24"/>
          <w:szCs w:val="24"/>
        </w:rPr>
        <w:t xml:space="preserve"> </w:t>
      </w:r>
      <w:r w:rsidR="00AF62F4">
        <w:rPr>
          <w:rFonts w:ascii="Times New Roman" w:hAnsi="Times New Roman"/>
          <w:bCs/>
          <w:iCs/>
          <w:sz w:val="24"/>
          <w:szCs w:val="24"/>
        </w:rPr>
        <w:t>Last year, t</w:t>
      </w:r>
      <w:r w:rsidR="00EE30C7">
        <w:rPr>
          <w:rFonts w:ascii="Times New Roman" w:hAnsi="Times New Roman"/>
          <w:bCs/>
          <w:iCs/>
          <w:sz w:val="24"/>
          <w:szCs w:val="24"/>
        </w:rPr>
        <w:t xml:space="preserve">he Division’s efforts to protect the </w:t>
      </w:r>
      <w:r w:rsidR="00923B8D">
        <w:rPr>
          <w:rFonts w:ascii="Times New Roman" w:hAnsi="Times New Roman"/>
          <w:bCs/>
          <w:iCs/>
          <w:sz w:val="24"/>
          <w:szCs w:val="24"/>
        </w:rPr>
        <w:t>employment rights of an Alabama</w:t>
      </w:r>
      <w:r w:rsidR="00EE30C7">
        <w:rPr>
          <w:rFonts w:ascii="Times New Roman" w:hAnsi="Times New Roman"/>
          <w:bCs/>
          <w:iCs/>
          <w:sz w:val="24"/>
          <w:szCs w:val="24"/>
        </w:rPr>
        <w:t xml:space="preserve"> woman were a highlight of our Title VII enforcement work. </w:t>
      </w:r>
    </w:p>
    <w:p w:rsidR="00C24BC9" w:rsidRDefault="00C24BC9" w:rsidP="001C475F">
      <w:pPr>
        <w:spacing w:after="0" w:line="240" w:lineRule="auto"/>
        <w:rPr>
          <w:rFonts w:ascii="Times New Roman" w:hAnsi="Times New Roman"/>
          <w:bCs/>
          <w:iCs/>
          <w:sz w:val="24"/>
          <w:szCs w:val="24"/>
        </w:rPr>
      </w:pPr>
    </w:p>
    <w:p w:rsidR="00DE2898" w:rsidRDefault="00C24BC9" w:rsidP="001C475F">
      <w:pPr>
        <w:spacing w:after="0" w:line="240" w:lineRule="auto"/>
        <w:rPr>
          <w:rFonts w:ascii="Times New Roman" w:hAnsi="Times New Roman"/>
          <w:bCs/>
          <w:iCs/>
          <w:sz w:val="24"/>
          <w:szCs w:val="24"/>
        </w:rPr>
      </w:pPr>
      <w:r>
        <w:rPr>
          <w:rFonts w:ascii="Times New Roman" w:hAnsi="Times New Roman"/>
          <w:bCs/>
          <w:i/>
          <w:iCs/>
          <w:sz w:val="24"/>
          <w:szCs w:val="24"/>
        </w:rPr>
        <w:t xml:space="preserve">Birmingham, Alabama: </w:t>
      </w:r>
      <w:r>
        <w:rPr>
          <w:rFonts w:ascii="Times New Roman" w:hAnsi="Times New Roman"/>
          <w:bCs/>
          <w:iCs/>
          <w:sz w:val="24"/>
          <w:szCs w:val="24"/>
        </w:rPr>
        <w:t>Renee Gunn worked as a public safety dispatcher for the Birmingham Police Department for three years until her resignation in August 2011. A</w:t>
      </w:r>
      <w:r w:rsidRPr="00C24BC9">
        <w:rPr>
          <w:rFonts w:ascii="Times New Roman" w:hAnsi="Times New Roman"/>
          <w:bCs/>
          <w:iCs/>
          <w:sz w:val="24"/>
          <w:szCs w:val="24"/>
        </w:rPr>
        <w:t xml:space="preserve"> practicing member of the Messianic Jewish faith</w:t>
      </w:r>
      <w:r>
        <w:rPr>
          <w:rFonts w:ascii="Times New Roman" w:hAnsi="Times New Roman"/>
          <w:bCs/>
          <w:iCs/>
          <w:sz w:val="24"/>
          <w:szCs w:val="24"/>
        </w:rPr>
        <w:t xml:space="preserve">, Ms. Gunn is prohibited by her religion </w:t>
      </w:r>
      <w:r w:rsidRPr="00C24BC9">
        <w:rPr>
          <w:rFonts w:ascii="Times New Roman" w:hAnsi="Times New Roman"/>
          <w:bCs/>
          <w:iCs/>
          <w:sz w:val="24"/>
          <w:szCs w:val="24"/>
        </w:rPr>
        <w:t>from work</w:t>
      </w:r>
      <w:r>
        <w:rPr>
          <w:rFonts w:ascii="Times New Roman" w:hAnsi="Times New Roman"/>
          <w:bCs/>
          <w:iCs/>
          <w:sz w:val="24"/>
          <w:szCs w:val="24"/>
        </w:rPr>
        <w:t>ing during the Jewish Sabbath—f</w:t>
      </w:r>
      <w:r w:rsidRPr="00C24BC9">
        <w:rPr>
          <w:rFonts w:ascii="Times New Roman" w:hAnsi="Times New Roman"/>
          <w:bCs/>
          <w:iCs/>
          <w:sz w:val="24"/>
          <w:szCs w:val="24"/>
        </w:rPr>
        <w:t>rom sunset on Fridays until sunset on Saturdays.</w:t>
      </w:r>
      <w:r w:rsidR="006938AC">
        <w:rPr>
          <w:rFonts w:ascii="Times New Roman" w:hAnsi="Times New Roman"/>
          <w:bCs/>
          <w:iCs/>
          <w:sz w:val="24"/>
          <w:szCs w:val="24"/>
        </w:rPr>
        <w:t xml:space="preserve"> </w:t>
      </w:r>
      <w:r w:rsidR="001B1F34">
        <w:rPr>
          <w:rFonts w:ascii="Times New Roman" w:hAnsi="Times New Roman"/>
          <w:bCs/>
          <w:iCs/>
          <w:sz w:val="24"/>
          <w:szCs w:val="24"/>
        </w:rPr>
        <w:t>In 2011, Ms. Gunn received a work schedul</w:t>
      </w:r>
      <w:r w:rsidR="00AF62F4">
        <w:rPr>
          <w:rFonts w:ascii="Times New Roman" w:hAnsi="Times New Roman"/>
          <w:bCs/>
          <w:iCs/>
          <w:sz w:val="24"/>
          <w:szCs w:val="24"/>
        </w:rPr>
        <w:t>e</w:t>
      </w:r>
      <w:r w:rsidR="001B1F34">
        <w:rPr>
          <w:rFonts w:ascii="Times New Roman" w:hAnsi="Times New Roman"/>
          <w:bCs/>
          <w:iCs/>
          <w:sz w:val="24"/>
          <w:szCs w:val="24"/>
        </w:rPr>
        <w:t xml:space="preserve"> requiring her to work on the Jewish Sabbath</w:t>
      </w:r>
      <w:r w:rsidR="00AF62F4">
        <w:rPr>
          <w:rFonts w:ascii="Times New Roman" w:hAnsi="Times New Roman"/>
          <w:bCs/>
          <w:iCs/>
          <w:sz w:val="24"/>
          <w:szCs w:val="24"/>
        </w:rPr>
        <w:t xml:space="preserve">. She </w:t>
      </w:r>
      <w:r w:rsidR="001B1F34">
        <w:rPr>
          <w:rFonts w:ascii="Times New Roman" w:hAnsi="Times New Roman"/>
          <w:bCs/>
          <w:iCs/>
          <w:sz w:val="24"/>
          <w:szCs w:val="24"/>
        </w:rPr>
        <w:t>requested a change to accommodate her Sabbath</w:t>
      </w:r>
      <w:r w:rsidR="00AF62F4">
        <w:rPr>
          <w:rFonts w:ascii="Times New Roman" w:hAnsi="Times New Roman"/>
          <w:bCs/>
          <w:iCs/>
          <w:sz w:val="24"/>
          <w:szCs w:val="24"/>
        </w:rPr>
        <w:t xml:space="preserve"> observance, but p</w:t>
      </w:r>
      <w:r w:rsidR="001B1F34" w:rsidRPr="001B1F34">
        <w:rPr>
          <w:rFonts w:ascii="Times New Roman" w:hAnsi="Times New Roman"/>
          <w:bCs/>
          <w:iCs/>
          <w:sz w:val="24"/>
          <w:szCs w:val="24"/>
        </w:rPr>
        <w:t>olice departmen</w:t>
      </w:r>
      <w:r w:rsidR="001B1F34">
        <w:rPr>
          <w:rFonts w:ascii="Times New Roman" w:hAnsi="Times New Roman"/>
          <w:bCs/>
          <w:iCs/>
          <w:sz w:val="24"/>
          <w:szCs w:val="24"/>
        </w:rPr>
        <w:t>t officials denied this request</w:t>
      </w:r>
      <w:r w:rsidR="00AF62F4">
        <w:rPr>
          <w:rFonts w:ascii="Times New Roman" w:hAnsi="Times New Roman"/>
          <w:bCs/>
          <w:iCs/>
          <w:sz w:val="24"/>
          <w:szCs w:val="24"/>
        </w:rPr>
        <w:t xml:space="preserve">, </w:t>
      </w:r>
      <w:r w:rsidR="001B1F34">
        <w:rPr>
          <w:rFonts w:ascii="Times New Roman" w:hAnsi="Times New Roman"/>
          <w:bCs/>
          <w:iCs/>
          <w:sz w:val="24"/>
          <w:szCs w:val="24"/>
        </w:rPr>
        <w:t xml:space="preserve">citing a policy of not changing </w:t>
      </w:r>
      <w:r w:rsidR="001B1F34" w:rsidRPr="001B1F34">
        <w:rPr>
          <w:rFonts w:ascii="Times New Roman" w:hAnsi="Times New Roman"/>
          <w:bCs/>
          <w:iCs/>
          <w:sz w:val="24"/>
          <w:szCs w:val="24"/>
        </w:rPr>
        <w:t xml:space="preserve">off days for any religious faith. </w:t>
      </w:r>
      <w:r w:rsidR="00DE2898">
        <w:rPr>
          <w:rFonts w:ascii="Times New Roman" w:hAnsi="Times New Roman"/>
          <w:bCs/>
          <w:iCs/>
          <w:sz w:val="24"/>
          <w:szCs w:val="24"/>
        </w:rPr>
        <w:t xml:space="preserve">This schedule ultimately forced Ms. Gunn to </w:t>
      </w:r>
      <w:r w:rsidR="00DE2898" w:rsidRPr="00C24BC9">
        <w:rPr>
          <w:rFonts w:ascii="Times New Roman" w:hAnsi="Times New Roman"/>
          <w:bCs/>
          <w:iCs/>
          <w:sz w:val="24"/>
          <w:szCs w:val="24"/>
        </w:rPr>
        <w:t>resign from the police department.</w:t>
      </w:r>
    </w:p>
    <w:p w:rsidR="00DE2898" w:rsidRDefault="00DE2898" w:rsidP="001C475F">
      <w:pPr>
        <w:spacing w:after="0" w:line="240" w:lineRule="auto"/>
        <w:rPr>
          <w:rFonts w:ascii="Times New Roman" w:hAnsi="Times New Roman"/>
          <w:bCs/>
          <w:iCs/>
          <w:sz w:val="24"/>
          <w:szCs w:val="24"/>
        </w:rPr>
      </w:pPr>
    </w:p>
    <w:p w:rsidR="009A4DDE" w:rsidRDefault="00923B8D" w:rsidP="001C475F">
      <w:pPr>
        <w:spacing w:after="0" w:line="240" w:lineRule="auto"/>
        <w:rPr>
          <w:rFonts w:ascii="Times New Roman" w:hAnsi="Times New Roman"/>
          <w:bCs/>
          <w:iCs/>
          <w:sz w:val="24"/>
          <w:szCs w:val="24"/>
        </w:rPr>
      </w:pPr>
      <w:r>
        <w:rPr>
          <w:rFonts w:ascii="Times New Roman" w:hAnsi="Times New Roman"/>
          <w:bCs/>
          <w:iCs/>
          <w:sz w:val="24"/>
          <w:szCs w:val="24"/>
        </w:rPr>
        <w:t>The Division argued that</w:t>
      </w:r>
      <w:r w:rsidR="00DE2898">
        <w:rPr>
          <w:rFonts w:ascii="Times New Roman" w:hAnsi="Times New Roman"/>
          <w:bCs/>
          <w:iCs/>
          <w:sz w:val="24"/>
          <w:szCs w:val="24"/>
        </w:rPr>
        <w:t xml:space="preserve"> the police department could have accommodated Ms. Gunn’s religious</w:t>
      </w:r>
      <w:r>
        <w:rPr>
          <w:rFonts w:ascii="Times New Roman" w:hAnsi="Times New Roman"/>
          <w:bCs/>
          <w:iCs/>
          <w:sz w:val="24"/>
          <w:szCs w:val="24"/>
        </w:rPr>
        <w:t xml:space="preserve"> beliefs without undue hardship</w:t>
      </w:r>
      <w:r w:rsidR="00DE2898">
        <w:rPr>
          <w:rFonts w:ascii="Times New Roman" w:hAnsi="Times New Roman"/>
          <w:bCs/>
          <w:iCs/>
          <w:sz w:val="24"/>
          <w:szCs w:val="24"/>
        </w:rPr>
        <w:t xml:space="preserve">. In September 2013, the Division reached a settlement agreement with the City of Birmingham requiring the city to provide Ms. Gunn with back pay and compensatory damages, to reinstate her as a dispatcher with a modified work schedule, and to </w:t>
      </w:r>
      <w:r w:rsidR="00DE2898" w:rsidRPr="00DE2898">
        <w:rPr>
          <w:rFonts w:ascii="Times New Roman" w:hAnsi="Times New Roman"/>
          <w:bCs/>
          <w:iCs/>
          <w:sz w:val="24"/>
          <w:szCs w:val="24"/>
        </w:rPr>
        <w:t xml:space="preserve">develop and implement a religious accommodation policy for the department that is consistent with </w:t>
      </w:r>
      <w:r w:rsidR="00DE2898">
        <w:rPr>
          <w:rFonts w:ascii="Times New Roman" w:hAnsi="Times New Roman"/>
          <w:bCs/>
          <w:iCs/>
          <w:sz w:val="24"/>
          <w:szCs w:val="24"/>
        </w:rPr>
        <w:t xml:space="preserve">protections afforded by </w:t>
      </w:r>
      <w:r w:rsidR="00DE2898" w:rsidRPr="00DE2898">
        <w:rPr>
          <w:rFonts w:ascii="Times New Roman" w:hAnsi="Times New Roman"/>
          <w:bCs/>
          <w:iCs/>
          <w:sz w:val="24"/>
          <w:szCs w:val="24"/>
        </w:rPr>
        <w:t>Title VII</w:t>
      </w:r>
      <w:r w:rsidR="00DE2898">
        <w:rPr>
          <w:rFonts w:ascii="Times New Roman" w:hAnsi="Times New Roman"/>
          <w:bCs/>
          <w:iCs/>
          <w:sz w:val="24"/>
          <w:szCs w:val="24"/>
        </w:rPr>
        <w:t>.</w:t>
      </w:r>
      <w:r w:rsidR="00C24BC9" w:rsidRPr="00C24BC9">
        <w:rPr>
          <w:rFonts w:ascii="Times New Roman" w:hAnsi="Times New Roman"/>
          <w:bCs/>
          <w:iCs/>
          <w:sz w:val="24"/>
          <w:szCs w:val="24"/>
        </w:rPr>
        <w:t xml:space="preserve"> </w:t>
      </w:r>
    </w:p>
    <w:p w:rsidR="00C24BC9" w:rsidRDefault="00C24BC9" w:rsidP="001C475F">
      <w:pPr>
        <w:spacing w:after="0" w:line="240" w:lineRule="auto"/>
        <w:rPr>
          <w:rFonts w:ascii="Times New Roman" w:hAnsi="Times New Roman"/>
          <w:b/>
          <w:i/>
          <w:sz w:val="24"/>
          <w:szCs w:val="24"/>
        </w:rPr>
      </w:pPr>
    </w:p>
    <w:p w:rsidR="00AF2F86" w:rsidRDefault="00AF2F86" w:rsidP="001C475F">
      <w:pPr>
        <w:spacing w:after="0" w:line="240" w:lineRule="auto"/>
        <w:rPr>
          <w:rFonts w:ascii="Times New Roman" w:hAnsi="Times New Roman"/>
          <w:sz w:val="24"/>
          <w:szCs w:val="24"/>
        </w:rPr>
      </w:pPr>
      <w:proofErr w:type="gramStart"/>
      <w:r w:rsidRPr="00AF08D3">
        <w:rPr>
          <w:rFonts w:ascii="Times New Roman" w:hAnsi="Times New Roman"/>
          <w:b/>
          <w:i/>
          <w:sz w:val="24"/>
          <w:szCs w:val="24"/>
        </w:rPr>
        <w:t>Ensuring Opportunity for Integrated Employment</w:t>
      </w:r>
      <w:r w:rsidR="002B1BB0" w:rsidRPr="00AF08D3">
        <w:rPr>
          <w:rFonts w:ascii="Times New Roman" w:hAnsi="Times New Roman"/>
          <w:b/>
          <w:i/>
          <w:sz w:val="24"/>
          <w:szCs w:val="24"/>
        </w:rPr>
        <w:t xml:space="preserve"> for Individuals with Disabilities</w:t>
      </w:r>
      <w:r w:rsidRPr="00AF08D3">
        <w:rPr>
          <w:rFonts w:ascii="Times New Roman" w:hAnsi="Times New Roman"/>
          <w:b/>
          <w:i/>
          <w:sz w:val="24"/>
          <w:szCs w:val="24"/>
        </w:rPr>
        <w:t>:</w:t>
      </w:r>
      <w:r>
        <w:rPr>
          <w:rFonts w:ascii="Times New Roman" w:hAnsi="Times New Roman"/>
          <w:i/>
          <w:sz w:val="24"/>
          <w:szCs w:val="24"/>
        </w:rPr>
        <w:t xml:space="preserve"> </w:t>
      </w:r>
      <w:r w:rsidR="005A664C" w:rsidRPr="005A664C">
        <w:rPr>
          <w:rFonts w:ascii="Times New Roman" w:hAnsi="Times New Roman"/>
          <w:sz w:val="24"/>
          <w:szCs w:val="24"/>
        </w:rPr>
        <w:t xml:space="preserve">In 2009, the Civil Rights Division launched an aggressive effort to enforce the Supreme Court's decision in </w:t>
      </w:r>
      <w:r w:rsidR="005A664C" w:rsidRPr="005A664C">
        <w:rPr>
          <w:rFonts w:ascii="Times New Roman" w:hAnsi="Times New Roman"/>
          <w:i/>
          <w:sz w:val="24"/>
          <w:szCs w:val="24"/>
        </w:rPr>
        <w:t>Olmstead v. L.C.,</w:t>
      </w:r>
      <w:r w:rsidR="005A664C" w:rsidRPr="005A664C">
        <w:rPr>
          <w:rFonts w:ascii="Times New Roman" w:hAnsi="Times New Roman"/>
          <w:sz w:val="24"/>
          <w:szCs w:val="24"/>
        </w:rPr>
        <w:t xml:space="preserve"> a ruling that requires states to eliminate unnecessary segregation of persons with disabilities and to ensure that persons with disabilities receive services in the most integrated setting appropriate to their needs.</w:t>
      </w:r>
      <w:proofErr w:type="gramEnd"/>
      <w:r w:rsidR="005A664C">
        <w:rPr>
          <w:rFonts w:ascii="Times New Roman" w:hAnsi="Times New Roman"/>
          <w:i/>
          <w:sz w:val="24"/>
          <w:szCs w:val="24"/>
        </w:rPr>
        <w:t xml:space="preserve"> </w:t>
      </w:r>
      <w:r>
        <w:rPr>
          <w:rFonts w:ascii="Times New Roman" w:hAnsi="Times New Roman"/>
          <w:sz w:val="24"/>
          <w:szCs w:val="24"/>
        </w:rPr>
        <w:t xml:space="preserve">In FY13, the Division </w:t>
      </w:r>
      <w:r w:rsidR="005A664C">
        <w:rPr>
          <w:rFonts w:ascii="Times New Roman" w:hAnsi="Times New Roman"/>
          <w:sz w:val="24"/>
          <w:szCs w:val="24"/>
        </w:rPr>
        <w:t xml:space="preserve">continued its strong track on this issue, participating </w:t>
      </w:r>
      <w:r w:rsidRPr="0095729E">
        <w:rPr>
          <w:rFonts w:ascii="Times New Roman" w:hAnsi="Times New Roman"/>
          <w:sz w:val="24"/>
          <w:szCs w:val="24"/>
        </w:rPr>
        <w:t xml:space="preserve">in </w:t>
      </w:r>
      <w:r w:rsidR="0095729E" w:rsidRPr="0095729E">
        <w:rPr>
          <w:rFonts w:ascii="Times New Roman" w:hAnsi="Times New Roman"/>
          <w:sz w:val="24"/>
          <w:szCs w:val="24"/>
        </w:rPr>
        <w:t>1</w:t>
      </w:r>
      <w:r w:rsidR="0020335F">
        <w:rPr>
          <w:rFonts w:ascii="Times New Roman" w:hAnsi="Times New Roman"/>
          <w:sz w:val="24"/>
          <w:szCs w:val="24"/>
        </w:rPr>
        <w:t>8</w:t>
      </w:r>
      <w:r w:rsidR="0095729E">
        <w:rPr>
          <w:rFonts w:ascii="Times New Roman" w:hAnsi="Times New Roman"/>
          <w:sz w:val="24"/>
          <w:szCs w:val="24"/>
        </w:rPr>
        <w:t xml:space="preserve"> Olmstead matters </w:t>
      </w:r>
      <w:r w:rsidR="00E42A82">
        <w:rPr>
          <w:rFonts w:ascii="Times New Roman" w:hAnsi="Times New Roman"/>
          <w:sz w:val="24"/>
          <w:szCs w:val="24"/>
        </w:rPr>
        <w:t>across the country</w:t>
      </w:r>
      <w:r w:rsidRPr="0095729E">
        <w:rPr>
          <w:rFonts w:ascii="Times New Roman" w:hAnsi="Times New Roman"/>
          <w:sz w:val="24"/>
          <w:szCs w:val="24"/>
        </w:rPr>
        <w:t>.</w:t>
      </w:r>
      <w:r w:rsidR="005A664C">
        <w:rPr>
          <w:rFonts w:ascii="Times New Roman" w:hAnsi="Times New Roman"/>
          <w:sz w:val="24"/>
          <w:szCs w:val="24"/>
        </w:rPr>
        <w:t xml:space="preserve"> Since 2009, the Division’s </w:t>
      </w:r>
      <w:r w:rsidR="005A664C">
        <w:rPr>
          <w:rFonts w:ascii="Times New Roman" w:hAnsi="Times New Roman"/>
          <w:i/>
          <w:sz w:val="24"/>
          <w:szCs w:val="24"/>
        </w:rPr>
        <w:t xml:space="preserve">Olmstead </w:t>
      </w:r>
      <w:r w:rsidR="005A664C">
        <w:rPr>
          <w:rFonts w:ascii="Times New Roman" w:hAnsi="Times New Roman"/>
          <w:sz w:val="24"/>
          <w:szCs w:val="24"/>
        </w:rPr>
        <w:t>enforcement work has helped protect the rights of more than 46,000 people with disabilities, ensuring they receive the opportunity to participate fully in their communities.</w:t>
      </w:r>
    </w:p>
    <w:p w:rsidR="005A664C" w:rsidRDefault="005A664C" w:rsidP="001C475F">
      <w:pPr>
        <w:spacing w:after="0" w:line="240" w:lineRule="auto"/>
        <w:rPr>
          <w:rFonts w:ascii="Times New Roman" w:hAnsi="Times New Roman"/>
          <w:sz w:val="24"/>
          <w:szCs w:val="24"/>
        </w:rPr>
      </w:pPr>
    </w:p>
    <w:p w:rsidR="00AF2F86" w:rsidRDefault="004D5C39" w:rsidP="001C475F">
      <w:pPr>
        <w:spacing w:after="0" w:line="240" w:lineRule="auto"/>
        <w:rPr>
          <w:rFonts w:ascii="Times New Roman" w:hAnsi="Times New Roman"/>
          <w:sz w:val="24"/>
          <w:szCs w:val="24"/>
        </w:rPr>
      </w:pPr>
      <w:r w:rsidRPr="004D5C39">
        <w:rPr>
          <w:rFonts w:ascii="Times New Roman" w:hAnsi="Times New Roman"/>
          <w:i/>
          <w:sz w:val="24"/>
          <w:szCs w:val="24"/>
        </w:rPr>
        <w:t>Providence, Rhode Island:</w:t>
      </w:r>
      <w:r>
        <w:rPr>
          <w:rFonts w:ascii="Times New Roman" w:hAnsi="Times New Roman"/>
          <w:sz w:val="24"/>
          <w:szCs w:val="24"/>
        </w:rPr>
        <w:t xml:space="preserve"> </w:t>
      </w:r>
      <w:r w:rsidR="00862339">
        <w:rPr>
          <w:rFonts w:ascii="Times New Roman" w:hAnsi="Times New Roman"/>
          <w:sz w:val="24"/>
          <w:szCs w:val="24"/>
        </w:rPr>
        <w:t>In 2013</w:t>
      </w:r>
      <w:r>
        <w:rPr>
          <w:rFonts w:ascii="Times New Roman" w:hAnsi="Times New Roman"/>
          <w:sz w:val="24"/>
          <w:szCs w:val="24"/>
        </w:rPr>
        <w:t>, t</w:t>
      </w:r>
      <w:r w:rsidR="00AF2F86" w:rsidRPr="00703970">
        <w:rPr>
          <w:rFonts w:ascii="Times New Roman" w:hAnsi="Times New Roman"/>
          <w:sz w:val="24"/>
          <w:szCs w:val="24"/>
        </w:rPr>
        <w:t xml:space="preserve">he Civil Rights Division </w:t>
      </w:r>
      <w:r>
        <w:rPr>
          <w:rFonts w:ascii="Times New Roman" w:hAnsi="Times New Roman"/>
          <w:sz w:val="24"/>
          <w:szCs w:val="24"/>
        </w:rPr>
        <w:t>completed its</w:t>
      </w:r>
      <w:r w:rsidR="00AF2F86">
        <w:rPr>
          <w:rFonts w:ascii="Times New Roman" w:hAnsi="Times New Roman"/>
          <w:sz w:val="24"/>
          <w:szCs w:val="24"/>
        </w:rPr>
        <w:t xml:space="preserve"> investigation of </w:t>
      </w:r>
      <w:r w:rsidR="00306924">
        <w:rPr>
          <w:rFonts w:ascii="Times New Roman" w:hAnsi="Times New Roman"/>
          <w:sz w:val="24"/>
          <w:szCs w:val="24"/>
        </w:rPr>
        <w:t xml:space="preserve">the State of Rhode Island and City of Providence regarding </w:t>
      </w:r>
      <w:r w:rsidR="00AF2F86" w:rsidRPr="00703970">
        <w:rPr>
          <w:rFonts w:ascii="Times New Roman" w:hAnsi="Times New Roman"/>
          <w:sz w:val="24"/>
          <w:szCs w:val="24"/>
        </w:rPr>
        <w:t xml:space="preserve">Training Thru Placement (TTP)—one of the largest facility-based </w:t>
      </w:r>
      <w:r w:rsidR="00AF2F86">
        <w:rPr>
          <w:rFonts w:ascii="Times New Roman" w:hAnsi="Times New Roman"/>
          <w:sz w:val="24"/>
          <w:szCs w:val="24"/>
        </w:rPr>
        <w:t xml:space="preserve">employment service providers </w:t>
      </w:r>
      <w:r w:rsidR="00306924">
        <w:rPr>
          <w:rFonts w:ascii="Times New Roman" w:hAnsi="Times New Roman"/>
          <w:sz w:val="24"/>
          <w:szCs w:val="24"/>
        </w:rPr>
        <w:t>in</w:t>
      </w:r>
      <w:r w:rsidR="00AF2F86">
        <w:rPr>
          <w:rFonts w:ascii="Times New Roman" w:hAnsi="Times New Roman"/>
          <w:sz w:val="24"/>
          <w:szCs w:val="24"/>
        </w:rPr>
        <w:t xml:space="preserve"> the state—and the Birch Vocational School, a sheltered workshop in a Providence high school.</w:t>
      </w:r>
    </w:p>
    <w:p w:rsidR="00AF2F86" w:rsidRDefault="00AF2F86" w:rsidP="001C475F">
      <w:pPr>
        <w:spacing w:after="0" w:line="240" w:lineRule="auto"/>
        <w:rPr>
          <w:rFonts w:ascii="Times New Roman" w:hAnsi="Times New Roman"/>
          <w:sz w:val="24"/>
          <w:szCs w:val="24"/>
        </w:rPr>
      </w:pPr>
    </w:p>
    <w:p w:rsidR="00A53B31" w:rsidRDefault="00AF2F86" w:rsidP="00202732">
      <w:pPr>
        <w:spacing w:after="0" w:line="240" w:lineRule="auto"/>
        <w:rPr>
          <w:rFonts w:ascii="Times New Roman" w:hAnsi="Times New Roman"/>
          <w:sz w:val="24"/>
          <w:szCs w:val="24"/>
        </w:rPr>
      </w:pPr>
      <w:r w:rsidRPr="00703970">
        <w:rPr>
          <w:rFonts w:ascii="Times New Roman" w:hAnsi="Times New Roman"/>
          <w:sz w:val="24"/>
          <w:szCs w:val="24"/>
        </w:rPr>
        <w:t xml:space="preserve">At TTP, workers with </w:t>
      </w:r>
      <w:r w:rsidR="00306924">
        <w:rPr>
          <w:rFonts w:ascii="Times New Roman" w:hAnsi="Times New Roman"/>
          <w:sz w:val="24"/>
          <w:szCs w:val="24"/>
        </w:rPr>
        <w:t xml:space="preserve">intellectual and developmental </w:t>
      </w:r>
      <w:r w:rsidRPr="00703970">
        <w:rPr>
          <w:rFonts w:ascii="Times New Roman" w:hAnsi="Times New Roman"/>
          <w:sz w:val="24"/>
          <w:szCs w:val="24"/>
        </w:rPr>
        <w:t xml:space="preserve">disabilities were paid an average hourly wage of just $1.57, with one individual making as little as 14¢ per hour. Workers also typically </w:t>
      </w:r>
      <w:r w:rsidRPr="00703970">
        <w:rPr>
          <w:rFonts w:ascii="Times New Roman" w:hAnsi="Times New Roman"/>
          <w:sz w:val="24"/>
          <w:szCs w:val="24"/>
        </w:rPr>
        <w:lastRenderedPageBreak/>
        <w:t xml:space="preserve">remained at TTP </w:t>
      </w:r>
      <w:r>
        <w:rPr>
          <w:rFonts w:ascii="Times New Roman" w:hAnsi="Times New Roman"/>
          <w:sz w:val="24"/>
          <w:szCs w:val="24"/>
        </w:rPr>
        <w:t>for decades</w:t>
      </w:r>
      <w:r w:rsidRPr="00703970">
        <w:rPr>
          <w:rFonts w:ascii="Times New Roman" w:hAnsi="Times New Roman"/>
          <w:sz w:val="24"/>
          <w:szCs w:val="24"/>
        </w:rPr>
        <w:t xml:space="preserve"> and had little or no contact with persons without disabilities. </w:t>
      </w:r>
      <w:r w:rsidR="00535298">
        <w:rPr>
          <w:rFonts w:ascii="Times New Roman" w:hAnsi="Times New Roman"/>
          <w:sz w:val="24"/>
          <w:szCs w:val="24"/>
        </w:rPr>
        <w:t>S</w:t>
      </w:r>
      <w:r w:rsidR="00AF62F4">
        <w:rPr>
          <w:rFonts w:ascii="Times New Roman" w:hAnsi="Times New Roman"/>
          <w:sz w:val="24"/>
          <w:szCs w:val="24"/>
        </w:rPr>
        <w:t>imilarly, s</w:t>
      </w:r>
      <w:r w:rsidR="00535298">
        <w:rPr>
          <w:rFonts w:ascii="Times New Roman" w:hAnsi="Times New Roman"/>
          <w:sz w:val="24"/>
          <w:szCs w:val="24"/>
        </w:rPr>
        <w:t xml:space="preserve">tudents </w:t>
      </w:r>
      <w:r w:rsidR="00535298" w:rsidRPr="0095729E">
        <w:rPr>
          <w:rFonts w:ascii="Times New Roman" w:hAnsi="Times New Roman"/>
          <w:sz w:val="24"/>
          <w:szCs w:val="24"/>
        </w:rPr>
        <w:t>with intellectual and developmental</w:t>
      </w:r>
      <w:r w:rsidR="00535298">
        <w:rPr>
          <w:rFonts w:ascii="Times New Roman" w:hAnsi="Times New Roman"/>
          <w:sz w:val="24"/>
          <w:szCs w:val="24"/>
        </w:rPr>
        <w:t xml:space="preserve"> disabilities </w:t>
      </w:r>
      <w:r>
        <w:rPr>
          <w:rFonts w:ascii="Times New Roman" w:hAnsi="Times New Roman"/>
          <w:sz w:val="24"/>
          <w:szCs w:val="24"/>
        </w:rPr>
        <w:t xml:space="preserve">at the Birch School were given no training or employment opportunities other than the school-based sheltered workshop. Students remained in the workshop from age 14 until graduation and </w:t>
      </w:r>
      <w:r w:rsidR="00D4605B">
        <w:rPr>
          <w:rFonts w:ascii="Times New Roman" w:hAnsi="Times New Roman"/>
          <w:sz w:val="24"/>
          <w:szCs w:val="24"/>
        </w:rPr>
        <w:t>w</w:t>
      </w:r>
      <w:r w:rsidR="00D4605B" w:rsidRPr="00D4605B">
        <w:rPr>
          <w:rFonts w:ascii="Times New Roman" w:hAnsi="Times New Roman"/>
          <w:sz w:val="24"/>
          <w:szCs w:val="24"/>
        </w:rPr>
        <w:t>ere pa</w:t>
      </w:r>
      <w:r w:rsidR="00AF62F4">
        <w:rPr>
          <w:rFonts w:ascii="Times New Roman" w:hAnsi="Times New Roman"/>
          <w:sz w:val="24"/>
          <w:szCs w:val="24"/>
        </w:rPr>
        <w:t xml:space="preserve">id between 50¢ and $2 per hour; some were not </w:t>
      </w:r>
      <w:r w:rsidR="00D4605B" w:rsidRPr="00D4605B">
        <w:rPr>
          <w:rFonts w:ascii="Times New Roman" w:hAnsi="Times New Roman"/>
          <w:sz w:val="24"/>
          <w:szCs w:val="24"/>
        </w:rPr>
        <w:t>paid at all</w:t>
      </w:r>
      <w:r>
        <w:rPr>
          <w:rFonts w:ascii="Times New Roman" w:hAnsi="Times New Roman"/>
          <w:sz w:val="24"/>
          <w:szCs w:val="24"/>
        </w:rPr>
        <w:t xml:space="preserve">. </w:t>
      </w:r>
    </w:p>
    <w:p w:rsidR="00A53B31" w:rsidRDefault="00A53B31" w:rsidP="00202732">
      <w:pPr>
        <w:spacing w:after="0" w:line="240" w:lineRule="auto"/>
        <w:rPr>
          <w:rFonts w:ascii="Times New Roman" w:hAnsi="Times New Roman"/>
          <w:sz w:val="24"/>
          <w:szCs w:val="24"/>
        </w:rPr>
      </w:pPr>
    </w:p>
    <w:p w:rsidR="004D5C39" w:rsidRDefault="00AF2F86" w:rsidP="00202732">
      <w:pPr>
        <w:spacing w:after="0" w:line="240" w:lineRule="auto"/>
        <w:rPr>
          <w:rFonts w:ascii="Times New Roman" w:hAnsi="Times New Roman"/>
          <w:sz w:val="24"/>
          <w:szCs w:val="24"/>
        </w:rPr>
      </w:pPr>
      <w:r w:rsidRPr="00703970">
        <w:rPr>
          <w:rFonts w:ascii="Times New Roman" w:hAnsi="Times New Roman"/>
          <w:sz w:val="24"/>
          <w:szCs w:val="24"/>
        </w:rPr>
        <w:t>The Justice Department’s investigation found that the workers with disabilities at TTP were not in the most integrated</w:t>
      </w:r>
      <w:r>
        <w:rPr>
          <w:rFonts w:ascii="Times New Roman" w:hAnsi="Times New Roman"/>
          <w:sz w:val="24"/>
          <w:szCs w:val="24"/>
        </w:rPr>
        <w:t xml:space="preserve"> setting appropriate for them; r</w:t>
      </w:r>
      <w:r w:rsidRPr="00703970">
        <w:rPr>
          <w:rFonts w:ascii="Times New Roman" w:hAnsi="Times New Roman"/>
          <w:sz w:val="24"/>
          <w:szCs w:val="24"/>
        </w:rPr>
        <w:t xml:space="preserve">ather, </w:t>
      </w:r>
      <w:r>
        <w:rPr>
          <w:rFonts w:ascii="Times New Roman" w:hAnsi="Times New Roman"/>
          <w:sz w:val="24"/>
          <w:szCs w:val="24"/>
        </w:rPr>
        <w:t>they</w:t>
      </w:r>
      <w:r w:rsidR="00C7593C">
        <w:rPr>
          <w:rFonts w:ascii="Times New Roman" w:hAnsi="Times New Roman"/>
          <w:sz w:val="24"/>
          <w:szCs w:val="24"/>
        </w:rPr>
        <w:t xml:space="preserve"> were </w:t>
      </w:r>
      <w:r w:rsidRPr="00703970">
        <w:rPr>
          <w:rFonts w:ascii="Times New Roman" w:hAnsi="Times New Roman"/>
          <w:sz w:val="24"/>
          <w:szCs w:val="24"/>
        </w:rPr>
        <w:t xml:space="preserve">capable of working </w:t>
      </w:r>
      <w:r w:rsidR="00AF62F4">
        <w:rPr>
          <w:rFonts w:ascii="Times New Roman" w:hAnsi="Times New Roman"/>
          <w:sz w:val="24"/>
          <w:szCs w:val="24"/>
        </w:rPr>
        <w:t xml:space="preserve">in real jobs with supports and </w:t>
      </w:r>
      <w:r w:rsidRPr="00703970">
        <w:rPr>
          <w:rFonts w:ascii="Times New Roman" w:hAnsi="Times New Roman"/>
          <w:sz w:val="24"/>
          <w:szCs w:val="24"/>
        </w:rPr>
        <w:t>participating in activities in the community.</w:t>
      </w:r>
      <w:r>
        <w:rPr>
          <w:rFonts w:ascii="Times New Roman" w:hAnsi="Times New Roman"/>
          <w:sz w:val="24"/>
          <w:szCs w:val="24"/>
        </w:rPr>
        <w:t xml:space="preserve"> </w:t>
      </w:r>
      <w:r w:rsidR="00A53B31">
        <w:rPr>
          <w:rFonts w:ascii="Times New Roman" w:hAnsi="Times New Roman"/>
          <w:sz w:val="24"/>
          <w:szCs w:val="24"/>
        </w:rPr>
        <w:t xml:space="preserve">Our investigation also found that </w:t>
      </w:r>
      <w:r w:rsidR="00306924">
        <w:rPr>
          <w:rFonts w:ascii="Times New Roman" w:hAnsi="Times New Roman"/>
          <w:sz w:val="24"/>
          <w:szCs w:val="24"/>
        </w:rPr>
        <w:t xml:space="preserve">the </w:t>
      </w:r>
      <w:r w:rsidR="00A53B31" w:rsidRPr="00A53B31">
        <w:rPr>
          <w:rFonts w:ascii="Times New Roman" w:hAnsi="Times New Roman"/>
          <w:sz w:val="24"/>
          <w:szCs w:val="24"/>
        </w:rPr>
        <w:t xml:space="preserve">workshop at Birch </w:t>
      </w:r>
      <w:r w:rsidR="00306924">
        <w:rPr>
          <w:rFonts w:ascii="Times New Roman" w:hAnsi="Times New Roman"/>
          <w:sz w:val="24"/>
          <w:szCs w:val="24"/>
        </w:rPr>
        <w:t>was a direct pipeline to</w:t>
      </w:r>
      <w:r w:rsidR="00A53B31" w:rsidRPr="00A53B31">
        <w:rPr>
          <w:rFonts w:ascii="Times New Roman" w:hAnsi="Times New Roman"/>
          <w:sz w:val="24"/>
          <w:szCs w:val="24"/>
        </w:rPr>
        <w:t xml:space="preserve"> TTP.</w:t>
      </w:r>
      <w:r w:rsidR="00A53B31">
        <w:rPr>
          <w:rFonts w:ascii="Times New Roman" w:hAnsi="Times New Roman"/>
          <w:sz w:val="24"/>
          <w:szCs w:val="24"/>
        </w:rPr>
        <w:t xml:space="preserve"> </w:t>
      </w:r>
      <w:r>
        <w:rPr>
          <w:rFonts w:ascii="Times New Roman" w:hAnsi="Times New Roman"/>
          <w:sz w:val="24"/>
          <w:szCs w:val="24"/>
        </w:rPr>
        <w:t>The Division’s</w:t>
      </w:r>
      <w:r w:rsidRPr="00703970">
        <w:rPr>
          <w:rFonts w:ascii="Times New Roman" w:hAnsi="Times New Roman"/>
          <w:sz w:val="24"/>
          <w:szCs w:val="24"/>
        </w:rPr>
        <w:t xml:space="preserve"> first-of-its-kind </w:t>
      </w:r>
      <w:r>
        <w:rPr>
          <w:rFonts w:ascii="Times New Roman" w:hAnsi="Times New Roman"/>
          <w:sz w:val="24"/>
          <w:szCs w:val="24"/>
        </w:rPr>
        <w:t xml:space="preserve">interim </w:t>
      </w:r>
      <w:r w:rsidRPr="00703970">
        <w:rPr>
          <w:rFonts w:ascii="Times New Roman" w:hAnsi="Times New Roman"/>
          <w:sz w:val="24"/>
          <w:szCs w:val="24"/>
        </w:rPr>
        <w:t xml:space="preserve">agreement </w:t>
      </w:r>
      <w:r>
        <w:rPr>
          <w:rFonts w:ascii="Times New Roman" w:hAnsi="Times New Roman"/>
          <w:sz w:val="24"/>
          <w:szCs w:val="24"/>
        </w:rPr>
        <w:t xml:space="preserve">with the state and the Providence Public School District </w:t>
      </w:r>
      <w:r w:rsidRPr="00703970">
        <w:rPr>
          <w:rFonts w:ascii="Times New Roman" w:hAnsi="Times New Roman"/>
          <w:sz w:val="24"/>
          <w:szCs w:val="24"/>
        </w:rPr>
        <w:t xml:space="preserve">addresses the rights of people with disabilities to receive state- and city-funded employment and daytime services in the broader community, rather than in segregated sheltered workshops </w:t>
      </w:r>
      <w:r w:rsidR="00306924">
        <w:rPr>
          <w:rFonts w:ascii="Times New Roman" w:hAnsi="Times New Roman"/>
          <w:sz w:val="24"/>
          <w:szCs w:val="24"/>
        </w:rPr>
        <w:t>and facility-based day programs.</w:t>
      </w:r>
    </w:p>
    <w:p w:rsidR="005530EB" w:rsidRDefault="005530EB" w:rsidP="001C475F">
      <w:pPr>
        <w:spacing w:after="0" w:line="240" w:lineRule="auto"/>
        <w:rPr>
          <w:rFonts w:ascii="Times New Roman" w:hAnsi="Times New Roman"/>
          <w:sz w:val="24"/>
          <w:szCs w:val="24"/>
        </w:rPr>
      </w:pPr>
    </w:p>
    <w:p w:rsidR="00457EC3" w:rsidRPr="00457EC3" w:rsidRDefault="00457EC3" w:rsidP="00C36C2C">
      <w:pPr>
        <w:pStyle w:val="Heading3"/>
        <w:pBdr>
          <w:top w:val="single" w:sz="4" w:space="1" w:color="auto"/>
          <w:left w:val="single" w:sz="4" w:space="4" w:color="auto"/>
          <w:bottom w:val="single" w:sz="4" w:space="1" w:color="auto"/>
          <w:right w:val="single" w:sz="4" w:space="4" w:color="auto"/>
        </w:pBdr>
        <w:jc w:val="center"/>
      </w:pPr>
      <w:r w:rsidRPr="00457EC3">
        <w:t>Faces of Olmstead</w:t>
      </w:r>
    </w:p>
    <w:p w:rsid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457EC3">
        <w:rPr>
          <w:rFonts w:ascii="Times New Roman" w:hAnsi="Times New Roman"/>
          <w:sz w:val="24"/>
          <w:szCs w:val="24"/>
        </w:rPr>
        <w:t>Here are personal stories of a few of the thousands of people whose lives have been improved by the Olmstead decision and the Civil Rights Division’s Olmstead enforcement work.</w:t>
      </w:r>
    </w:p>
    <w:p w:rsid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rPr>
      </w:pPr>
      <w:r w:rsidRPr="00C36C2C">
        <w:rPr>
          <w:rFonts w:ascii="Times New Roman" w:hAnsi="Times New Roman"/>
          <w:b/>
          <w:bCs/>
          <w:sz w:val="24"/>
          <w:szCs w:val="24"/>
        </w:rPr>
        <w:t>ORQUIDEO “Q”</w:t>
      </w:r>
    </w:p>
    <w:p w:rsidR="00C36C2C" w:rsidRP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rPr>
      </w:pPr>
    </w:p>
    <w:p w:rsid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6944" behindDoc="0" locked="0" layoutInCell="1" allowOverlap="1">
            <wp:simplePos x="0" y="0"/>
            <wp:positionH relativeFrom="column">
              <wp:posOffset>121920</wp:posOffset>
            </wp:positionH>
            <wp:positionV relativeFrom="paragraph">
              <wp:posOffset>104775</wp:posOffset>
            </wp:positionV>
            <wp:extent cx="1904365" cy="2520315"/>
            <wp:effectExtent l="19050" t="0" r="635" b="0"/>
            <wp:wrapSquare wrapText="bothSides"/>
            <wp:docPr id="4" name="Picture 28" descr="Photo of Orqu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hoto of Orquideo"/>
                    <pic:cNvPicPr>
                      <a:picLocks noChangeAspect="1" noChangeArrowheads="1"/>
                    </pic:cNvPicPr>
                  </pic:nvPicPr>
                  <pic:blipFill>
                    <a:blip r:embed="rId7" cstate="print"/>
                    <a:srcRect/>
                    <a:stretch>
                      <a:fillRect/>
                    </a:stretch>
                  </pic:blipFill>
                  <pic:spPr bwMode="auto">
                    <a:xfrm>
                      <a:off x="0" y="0"/>
                      <a:ext cx="1904365" cy="2520315"/>
                    </a:xfrm>
                    <a:prstGeom prst="rect">
                      <a:avLst/>
                    </a:prstGeom>
                    <a:noFill/>
                    <a:ln w="9525">
                      <a:noFill/>
                      <a:miter lim="800000"/>
                      <a:headEnd/>
                      <a:tailEnd/>
                    </a:ln>
                  </pic:spPr>
                </pic:pic>
              </a:graphicData>
            </a:graphic>
          </wp:anchor>
        </w:drawing>
      </w:r>
      <w:r w:rsidRPr="00C36C2C">
        <w:rPr>
          <w:rFonts w:ascii="Times New Roman" w:hAnsi="Times New Roman"/>
          <w:sz w:val="24"/>
          <w:szCs w:val="24"/>
        </w:rPr>
        <w:t xml:space="preserve">After graduating from the Birch Vocational High School at the age of 21, </w:t>
      </w:r>
      <w:proofErr w:type="spellStart"/>
      <w:r w:rsidRPr="00C36C2C">
        <w:rPr>
          <w:rFonts w:ascii="Times New Roman" w:hAnsi="Times New Roman"/>
          <w:sz w:val="24"/>
          <w:szCs w:val="24"/>
        </w:rPr>
        <w:t>Orquideo</w:t>
      </w:r>
      <w:proofErr w:type="spellEnd"/>
      <w:r w:rsidRPr="00C36C2C">
        <w:rPr>
          <w:rFonts w:ascii="Times New Roman" w:hAnsi="Times New Roman"/>
          <w:sz w:val="24"/>
          <w:szCs w:val="24"/>
        </w:rPr>
        <w:t xml:space="preserve"> "Q" went straight into a sheltered workshop, where he earned $2.85 an hour performing piece rate work. He stayed there for eight years. </w:t>
      </w:r>
    </w:p>
    <w:p w:rsidR="00C36C2C" w:rsidRP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C36C2C">
        <w:rPr>
          <w:rFonts w:ascii="Times New Roman" w:hAnsi="Times New Roman"/>
          <w:sz w:val="24"/>
          <w:szCs w:val="24"/>
        </w:rPr>
        <w:t xml:space="preserve">When the sheltered workshop closed last summer after a settlement agreement between the U.S. Department of Justice and the State of Rhode Island, the State brought on an outside non-profit group to better help individuals with intellectual and developmental disabilities identify job opportunities in competitive industry. Q shared that he had a passion for working with cars, which led to his current employment at a local auto-repair shop. Q now works in the community for at least thirty hours per week. </w:t>
      </w:r>
    </w:p>
    <w:p w:rsidR="00C36C2C" w:rsidRP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C36C2C"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C36C2C">
        <w:rPr>
          <w:rFonts w:ascii="Times New Roman" w:hAnsi="Times New Roman"/>
          <w:sz w:val="24"/>
          <w:szCs w:val="24"/>
        </w:rPr>
        <w:t xml:space="preserve">Q takes great pride in his work, including car details, oil changes, tire rotations, and work site maintenance. He catches two buses and is the first to arrive at work every morning. His supervisor describes Q's enthusiasm to learn and his willingness to try new things as some of his most valuable assets. After seeing Q work and interact with colleagues and customers, he strongly affirmed that there is "no question that Q should be working in the community" rather than a sheltered workshop—"he is a great employee and has continued to grow every single day." </w:t>
      </w:r>
    </w:p>
    <w:p w:rsidR="00C36C2C" w:rsidRPr="00457EC3" w:rsidRDefault="00C36C2C" w:rsidP="00C36C2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br w:type="column"/>
      </w:r>
      <w:r>
        <w:rPr>
          <w:rFonts w:ascii="Times New Roman" w:hAnsi="Times New Roman"/>
          <w:noProof/>
          <w:sz w:val="24"/>
          <w:szCs w:val="24"/>
        </w:rPr>
        <w:lastRenderedPageBreak/>
        <w:drawing>
          <wp:anchor distT="0" distB="0" distL="114300" distR="114300" simplePos="0" relativeHeight="251664896" behindDoc="0" locked="0" layoutInCell="1" allowOverlap="1">
            <wp:simplePos x="0" y="0"/>
            <wp:positionH relativeFrom="column">
              <wp:posOffset>177800</wp:posOffset>
            </wp:positionH>
            <wp:positionV relativeFrom="paragraph">
              <wp:posOffset>146050</wp:posOffset>
            </wp:positionV>
            <wp:extent cx="1845310" cy="2313305"/>
            <wp:effectExtent l="19050" t="0" r="2540" b="0"/>
            <wp:wrapSquare wrapText="bothSides"/>
            <wp:docPr id="2" name="Picture 13" descr="Photo of St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 of Stev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310" cy="2313305"/>
                    </a:xfrm>
                    <a:prstGeom prst="rect">
                      <a:avLst/>
                    </a:prstGeom>
                    <a:noFill/>
                    <a:ln w="9525">
                      <a:noFill/>
                      <a:miter lim="800000"/>
                      <a:headEnd/>
                      <a:tailEnd/>
                    </a:ln>
                  </pic:spPr>
                </pic:pic>
              </a:graphicData>
            </a:graphic>
          </wp:anchor>
        </w:drawing>
      </w:r>
    </w:p>
    <w:p w:rsidR="00457EC3" w:rsidRPr="00C36C2C" w:rsidRDefault="00457EC3" w:rsidP="00C36C2C">
      <w:pPr>
        <w:pBdr>
          <w:top w:val="single" w:sz="4" w:space="1" w:color="auto"/>
          <w:left w:val="single" w:sz="4" w:space="4" w:color="auto"/>
          <w:bottom w:val="single" w:sz="4" w:space="1" w:color="auto"/>
          <w:right w:val="single" w:sz="4" w:space="4" w:color="auto"/>
        </w:pBdr>
        <w:spacing w:after="0" w:line="240" w:lineRule="auto"/>
        <w:rPr>
          <w:rStyle w:val="Strong"/>
        </w:rPr>
      </w:pPr>
      <w:r w:rsidRPr="00C36C2C">
        <w:rPr>
          <w:rStyle w:val="Strong"/>
        </w:rPr>
        <w:t>STEVEN</w:t>
      </w:r>
      <w:r w:rsidRPr="00C36C2C">
        <w:rPr>
          <w:rStyle w:val="Strong"/>
        </w:rPr>
        <w:tab/>
      </w:r>
    </w:p>
    <w:p w:rsidR="00457EC3" w:rsidRPr="00457EC3"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457EC3" w:rsidRPr="002B6E4C"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B6E4C">
        <w:rPr>
          <w:rFonts w:ascii="Times New Roman" w:hAnsi="Times New Roman"/>
        </w:rPr>
        <w:t xml:space="preserve">The fact that Steven has an intellectual disability has never stopped him from seeking to earn a living. For 30 years, Steven worked at the sheltered workshop and day program provider Training Through Placement, Inc. (TTP). At TTP, Steven, along with 90 other individuals with intellectual and developmental disabilities, was assigned tasks such as assembling, sorting, packing, and labeling various products like medical supplies and jewelry. </w:t>
      </w:r>
    </w:p>
    <w:p w:rsidR="00457EC3" w:rsidRPr="002B6E4C"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rsidR="00457EC3" w:rsidRPr="002B6E4C"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B6E4C">
        <w:rPr>
          <w:rFonts w:ascii="Times New Roman" w:hAnsi="Times New Roman"/>
        </w:rPr>
        <w:t xml:space="preserve">When Steven first entered TTP, he thought it would be a short stay – just long enough to gain the skills necessary to secure long-term employment in the community. After all, as Steven points out, "the name of the provider is Training Thru Placement." Yet year after year, no effort was made to assist him in finding a job at a competitive wage, despite his repeated requests for the services necessary to help him secure integrated employment. </w:t>
      </w:r>
    </w:p>
    <w:p w:rsidR="00457EC3" w:rsidRPr="002B6E4C"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rsidR="00457EC3" w:rsidRPr="002B6E4C"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B6E4C">
        <w:rPr>
          <w:rFonts w:ascii="Times New Roman" w:hAnsi="Times New Roman"/>
        </w:rPr>
        <w:t xml:space="preserve">When he began working at TTP, Steven earned approximately $2 an hour. Because TTP held a "special minimum wage" certificate, it was permitted to pay individuals with disabilities sub-minimum wages. In spite of his three decades of experience, Steven was never promoted and never received a meaningful raise in wage. </w:t>
      </w:r>
    </w:p>
    <w:p w:rsidR="00457EC3" w:rsidRPr="002B6E4C"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rsidR="00457EC3" w:rsidRPr="002B6E4C"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B6E4C">
        <w:rPr>
          <w:rFonts w:ascii="Times New Roman" w:hAnsi="Times New Roman"/>
        </w:rPr>
        <w:t xml:space="preserve">As a result of the Division’s interim settlement, all of that is changing for Steven and the service recipients at TTP. Over the course of a year, the State will provide supported employment services and placements to help the individuals at TTP find, earn, keep, and succeed in real jobs. The services will be designed to help people access jobs in typical work settings where they can interact with non-disabled peers and earn at least minimum wage. </w:t>
      </w:r>
    </w:p>
    <w:p w:rsidR="00457EC3" w:rsidRPr="002B6E4C"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rsidR="00AF2F86" w:rsidRPr="002B6E4C" w:rsidRDefault="00457EC3"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B6E4C">
        <w:rPr>
          <w:rFonts w:ascii="Times New Roman" w:hAnsi="Times New Roman"/>
        </w:rPr>
        <w:t>Steven is now flourishing in his new job at a local small business headquartered in Warwick, Rhode Island. His employer is also providing him with computer training, which will allow him to expand his skill set and advance his career. The president of the company initially did not know what to expect from Steven, but quickly realized he had made a prudent investment. Reflecting on Steven's dedication, abilities, and successes thus far, he says, "I can't help but think if Steve had this opportunity twenty-five years ago, where he'd be today—we are very lucky to have Steve on board."</w:t>
      </w:r>
    </w:p>
    <w:p w:rsidR="002B6E4C" w:rsidRPr="002B6E4C" w:rsidRDefault="002B6E4C" w:rsidP="00457E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rsidR="002B6E4C" w:rsidRPr="002B6E4C" w:rsidRDefault="002B6E4C" w:rsidP="002B6E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rPr>
      </w:pPr>
      <w:r w:rsidRPr="002B6E4C">
        <w:rPr>
          <w:rFonts w:ascii="Times New Roman" w:hAnsi="Times New Roman"/>
          <w:b/>
          <w:bCs/>
        </w:rPr>
        <w:t>LOUIS</w:t>
      </w:r>
    </w:p>
    <w:p w:rsidR="002B6E4C" w:rsidRDefault="002B6E4C" w:rsidP="002B6E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rsidR="002B6E4C" w:rsidRDefault="002B6E4C" w:rsidP="002B6E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B6E4C">
        <w:rPr>
          <w:rFonts w:ascii="Times New Roman" w:hAnsi="Times New Roman"/>
          <w:noProof/>
        </w:rPr>
        <w:drawing>
          <wp:anchor distT="0" distB="0" distL="114300" distR="114300" simplePos="0" relativeHeight="251668992" behindDoc="0" locked="0" layoutInCell="1" allowOverlap="1">
            <wp:simplePos x="0" y="0"/>
            <wp:positionH relativeFrom="column">
              <wp:posOffset>2540</wp:posOffset>
            </wp:positionH>
            <wp:positionV relativeFrom="paragraph">
              <wp:posOffset>6985</wp:posOffset>
            </wp:positionV>
            <wp:extent cx="1602740" cy="1581785"/>
            <wp:effectExtent l="19050" t="0" r="0" b="0"/>
            <wp:wrapSquare wrapText="bothSides"/>
            <wp:docPr id="6" name="Picture 25" descr="Photo of Lo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hoto of Lou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740" cy="1581785"/>
                    </a:xfrm>
                    <a:prstGeom prst="rect">
                      <a:avLst/>
                    </a:prstGeom>
                    <a:noFill/>
                    <a:ln w="9525">
                      <a:noFill/>
                      <a:miter lim="800000"/>
                      <a:headEnd/>
                      <a:tailEnd/>
                    </a:ln>
                  </pic:spPr>
                </pic:pic>
              </a:graphicData>
            </a:graphic>
          </wp:anchor>
        </w:drawing>
      </w:r>
      <w:r w:rsidRPr="002B6E4C">
        <w:rPr>
          <w:rFonts w:ascii="Times New Roman" w:hAnsi="Times New Roman"/>
        </w:rPr>
        <w:t xml:space="preserve">In 2008, Louis graduated high school with a diploma, but because of a developmental disability that restricts his verbal-motor functions, he was unable to secure long-term integrated employment. Louis worked at the sheltered workshop Training Thru Placement (TTP) for two and a half years, earning well below minimum wage. </w:t>
      </w:r>
    </w:p>
    <w:p w:rsidR="002B6E4C" w:rsidRPr="002B6E4C" w:rsidRDefault="002B6E4C" w:rsidP="002B6E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rsidR="002B6E4C" w:rsidRPr="009353FB" w:rsidRDefault="002B6E4C" w:rsidP="009353F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B6E4C">
        <w:rPr>
          <w:rFonts w:ascii="Times New Roman" w:hAnsi="Times New Roman"/>
        </w:rPr>
        <w:t>Following the Division’s agreement with the State of Rhode Island, Louis started a new job at a state hospital, where he utilizes</w:t>
      </w:r>
      <w:r w:rsidRPr="002B6E4C">
        <w:rPr>
          <w:rFonts w:ascii="Times New Roman" w:hAnsi="Times New Roman"/>
          <w:sz w:val="24"/>
          <w:szCs w:val="24"/>
        </w:rPr>
        <w:t xml:space="preserve"> his strong computer skills and passion for mathematics to generate Excel reports, record timesheets, and complete other office-related duties. Louis works at the hospital for forty hours per week. He drives himself to and from work and especially enjoys having his own office, which he has decorated with Red Sox paraphernalia.</w:t>
      </w:r>
    </w:p>
    <w:p w:rsidR="00C033E5" w:rsidRDefault="00C033E5" w:rsidP="009353FB">
      <w:pPr>
        <w:pStyle w:val="Heading2"/>
        <w:rPr>
          <w:rStyle w:val="BookTitle"/>
        </w:rPr>
      </w:pPr>
    </w:p>
    <w:p w:rsidR="009353FB" w:rsidRPr="00AF08D3" w:rsidRDefault="009353FB" w:rsidP="009353FB">
      <w:pPr>
        <w:pStyle w:val="Heading2"/>
        <w:rPr>
          <w:rStyle w:val="BookTitle"/>
        </w:rPr>
      </w:pPr>
      <w:r w:rsidRPr="00AF08D3">
        <w:rPr>
          <w:rStyle w:val="BookTitle"/>
        </w:rPr>
        <w:t xml:space="preserve">Expanding Equal Opportunity in </w:t>
      </w:r>
      <w:r>
        <w:rPr>
          <w:rStyle w:val="BookTitle"/>
        </w:rPr>
        <w:t>Housing and Lending</w:t>
      </w:r>
      <w:r w:rsidRPr="00AF08D3">
        <w:rPr>
          <w:rStyle w:val="BookTitle"/>
        </w:rPr>
        <w:t>:</w:t>
      </w:r>
    </w:p>
    <w:p w:rsidR="00E177AD" w:rsidRPr="00E177AD" w:rsidRDefault="006C2274" w:rsidP="00E177AD">
      <w:pPr>
        <w:pStyle w:val="ListParagraph"/>
        <w:spacing w:after="0" w:line="240" w:lineRule="auto"/>
        <w:ind w:left="0"/>
        <w:rPr>
          <w:rFonts w:ascii="Times New Roman" w:hAnsi="Times New Roman"/>
          <w:sz w:val="24"/>
          <w:szCs w:val="24"/>
        </w:rPr>
      </w:pPr>
      <w:r w:rsidRPr="00E177AD">
        <w:rPr>
          <w:rFonts w:ascii="Times New Roman" w:hAnsi="Times New Roman"/>
          <w:sz w:val="24"/>
          <w:szCs w:val="24"/>
        </w:rPr>
        <w:t xml:space="preserve">A family’s access to housing determines far more than whether they have a roof over their heads—it </w:t>
      </w:r>
      <w:r w:rsidR="002E66D2" w:rsidRPr="00E177AD">
        <w:rPr>
          <w:rFonts w:ascii="Times New Roman" w:hAnsi="Times New Roman"/>
          <w:sz w:val="24"/>
          <w:szCs w:val="24"/>
        </w:rPr>
        <w:t>affects</w:t>
      </w:r>
      <w:r w:rsidRPr="00E177AD">
        <w:rPr>
          <w:rFonts w:ascii="Times New Roman" w:hAnsi="Times New Roman"/>
          <w:sz w:val="24"/>
          <w:szCs w:val="24"/>
        </w:rPr>
        <w:t xml:space="preserve"> their access to good schools, to</w:t>
      </w:r>
      <w:r w:rsidR="00CD45ED" w:rsidRPr="00E177AD">
        <w:rPr>
          <w:rFonts w:ascii="Times New Roman" w:hAnsi="Times New Roman"/>
          <w:sz w:val="24"/>
          <w:szCs w:val="24"/>
        </w:rPr>
        <w:t xml:space="preserve"> transportation, and to jobs. </w:t>
      </w:r>
      <w:r w:rsidR="00E177AD" w:rsidRPr="00E177AD">
        <w:rPr>
          <w:rFonts w:ascii="Times New Roman" w:hAnsi="Times New Roman"/>
          <w:sz w:val="24"/>
          <w:szCs w:val="24"/>
        </w:rPr>
        <w:t>Ensuring that local governments and private housing providers offer safe and affordable housing on a non-discriminatory basis has been a priority of the Civil Rights Division for decades. But in 2014, a family’s access to housing is almost always linked to their access to credit. That’s why the Division has maintained its robust fair housing enforcement efforts while also reinvigorating its efforts to ensure that all qualified borrowers have equal access to fair and responsible lending.</w:t>
      </w:r>
    </w:p>
    <w:p w:rsidR="00BD0892" w:rsidRPr="001B56F8" w:rsidRDefault="00BD0892" w:rsidP="001C475F">
      <w:pPr>
        <w:pStyle w:val="ListParagraph"/>
        <w:spacing w:after="0" w:line="240" w:lineRule="auto"/>
        <w:ind w:left="0"/>
        <w:rPr>
          <w:rFonts w:ascii="Times New Roman" w:hAnsi="Times New Roman"/>
          <w:sz w:val="24"/>
          <w:szCs w:val="24"/>
        </w:rPr>
      </w:pPr>
    </w:p>
    <w:p w:rsidR="006418B8" w:rsidRPr="006418B8" w:rsidRDefault="006418B8" w:rsidP="001C475F">
      <w:pPr>
        <w:spacing w:line="240" w:lineRule="auto"/>
        <w:rPr>
          <w:rFonts w:ascii="Times New Roman" w:hAnsi="Times New Roman"/>
          <w:sz w:val="24"/>
          <w:szCs w:val="24"/>
        </w:rPr>
      </w:pPr>
      <w:r w:rsidRPr="00A53B31">
        <w:rPr>
          <w:rFonts w:ascii="Times New Roman" w:hAnsi="Times New Roman"/>
          <w:b/>
          <w:i/>
          <w:sz w:val="24"/>
          <w:szCs w:val="24"/>
        </w:rPr>
        <w:t xml:space="preserve">Ensuring Fair Access to Housing </w:t>
      </w:r>
      <w:proofErr w:type="gramStart"/>
      <w:r w:rsidRPr="00A53B31">
        <w:rPr>
          <w:rFonts w:ascii="Times New Roman" w:hAnsi="Times New Roman"/>
          <w:b/>
          <w:i/>
          <w:sz w:val="24"/>
          <w:szCs w:val="24"/>
        </w:rPr>
        <w:t>Regardless</w:t>
      </w:r>
      <w:proofErr w:type="gramEnd"/>
      <w:r w:rsidRPr="00A53B31">
        <w:rPr>
          <w:rFonts w:ascii="Times New Roman" w:hAnsi="Times New Roman"/>
          <w:b/>
          <w:i/>
          <w:sz w:val="24"/>
          <w:szCs w:val="24"/>
        </w:rPr>
        <w:t xml:space="preserve"> of Race, National Origin, or Familial Status</w:t>
      </w:r>
      <w:r w:rsidR="00B259D9" w:rsidRPr="00A53B31">
        <w:rPr>
          <w:rFonts w:ascii="Times New Roman" w:hAnsi="Times New Roman"/>
          <w:b/>
          <w:i/>
          <w:sz w:val="24"/>
          <w:szCs w:val="24"/>
        </w:rPr>
        <w:t>:</w:t>
      </w:r>
      <w:r w:rsidR="00B259D9">
        <w:rPr>
          <w:rFonts w:ascii="Times New Roman" w:hAnsi="Times New Roman"/>
          <w:i/>
          <w:sz w:val="24"/>
          <w:szCs w:val="24"/>
        </w:rPr>
        <w:t xml:space="preserve"> </w:t>
      </w:r>
      <w:r>
        <w:rPr>
          <w:rFonts w:ascii="Times New Roman" w:hAnsi="Times New Roman"/>
          <w:sz w:val="24"/>
          <w:szCs w:val="24"/>
        </w:rPr>
        <w:t xml:space="preserve">Four decades after the passage of the Fair Housing Act, housing discrimination and segregation continue to taint communities across the country. Far too many </w:t>
      </w:r>
      <w:proofErr w:type="spellStart"/>
      <w:r>
        <w:rPr>
          <w:rFonts w:ascii="Times New Roman" w:hAnsi="Times New Roman"/>
          <w:sz w:val="24"/>
          <w:szCs w:val="24"/>
        </w:rPr>
        <w:t>homeseekers</w:t>
      </w:r>
      <w:proofErr w:type="spellEnd"/>
      <w:r>
        <w:rPr>
          <w:rFonts w:ascii="Times New Roman" w:hAnsi="Times New Roman"/>
          <w:sz w:val="24"/>
          <w:szCs w:val="24"/>
        </w:rPr>
        <w:t xml:space="preserve"> are shut out by housing providers’ prejudice and stereotypes. Continuing discrimination affects African Americans, Latinos, Arab-Americans, Asian-Americans, </w:t>
      </w:r>
      <w:r w:rsidR="003E6BBE">
        <w:rPr>
          <w:rFonts w:ascii="Times New Roman" w:hAnsi="Times New Roman"/>
          <w:sz w:val="24"/>
          <w:szCs w:val="24"/>
        </w:rPr>
        <w:t xml:space="preserve">people with disabilities, </w:t>
      </w:r>
      <w:r>
        <w:rPr>
          <w:rFonts w:ascii="Times New Roman" w:hAnsi="Times New Roman"/>
          <w:sz w:val="24"/>
          <w:szCs w:val="24"/>
        </w:rPr>
        <w:t>and families with child</w:t>
      </w:r>
      <w:r w:rsidR="00566E9A">
        <w:rPr>
          <w:rFonts w:ascii="Times New Roman" w:hAnsi="Times New Roman"/>
          <w:sz w:val="24"/>
          <w:szCs w:val="24"/>
        </w:rPr>
        <w:t>ren</w:t>
      </w:r>
      <w:r w:rsidR="00AF62F4">
        <w:rPr>
          <w:rFonts w:ascii="Times New Roman" w:hAnsi="Times New Roman"/>
          <w:sz w:val="24"/>
          <w:szCs w:val="24"/>
        </w:rPr>
        <w:t>. Highlights of the Division’s FY</w:t>
      </w:r>
      <w:r>
        <w:rPr>
          <w:rFonts w:ascii="Times New Roman" w:hAnsi="Times New Roman"/>
          <w:sz w:val="24"/>
          <w:szCs w:val="24"/>
        </w:rPr>
        <w:t>13 enforcement include:</w:t>
      </w:r>
    </w:p>
    <w:p w:rsidR="00CF30F7" w:rsidRPr="00012DF5" w:rsidRDefault="00CF30F7" w:rsidP="001C475F">
      <w:pPr>
        <w:numPr>
          <w:ilvl w:val="0"/>
          <w:numId w:val="8"/>
        </w:numPr>
        <w:autoSpaceDE w:val="0"/>
        <w:autoSpaceDN w:val="0"/>
        <w:spacing w:before="240" w:line="240" w:lineRule="auto"/>
        <w:rPr>
          <w:rFonts w:ascii="Times New Roman" w:hAnsi="Times New Roman"/>
          <w:sz w:val="24"/>
          <w:szCs w:val="24"/>
          <w:u w:val="single"/>
        </w:rPr>
      </w:pPr>
      <w:r w:rsidRPr="00A53B31">
        <w:rPr>
          <w:rFonts w:ascii="Times New Roman" w:hAnsi="Times New Roman"/>
          <w:i/>
          <w:sz w:val="24"/>
          <w:szCs w:val="24"/>
        </w:rPr>
        <w:t>St. Bernard Parish, Louisiana:</w:t>
      </w:r>
      <w:r>
        <w:rPr>
          <w:rFonts w:ascii="Times New Roman" w:hAnsi="Times New Roman"/>
          <w:sz w:val="24"/>
          <w:szCs w:val="24"/>
        </w:rPr>
        <w:t xml:space="preserve"> In this case, St. Bernard Parish agreed to </w:t>
      </w:r>
      <w:r w:rsidRPr="006418B8">
        <w:rPr>
          <w:rFonts w:ascii="Times New Roman" w:hAnsi="Times New Roman"/>
          <w:sz w:val="24"/>
          <w:szCs w:val="24"/>
        </w:rPr>
        <w:t xml:space="preserve">a </w:t>
      </w:r>
      <w:r w:rsidR="002F235A" w:rsidRPr="006418B8">
        <w:rPr>
          <w:rFonts w:ascii="Times New Roman" w:hAnsi="Times New Roman"/>
          <w:sz w:val="24"/>
          <w:szCs w:val="24"/>
        </w:rPr>
        <w:t xml:space="preserve">more than $2.5 million </w:t>
      </w:r>
      <w:r w:rsidRPr="006418B8">
        <w:rPr>
          <w:rFonts w:ascii="Times New Roman" w:hAnsi="Times New Roman"/>
          <w:sz w:val="24"/>
          <w:szCs w:val="24"/>
        </w:rPr>
        <w:t>settlement to res</w:t>
      </w:r>
      <w:r w:rsidR="00AD0E17">
        <w:rPr>
          <w:rFonts w:ascii="Times New Roman" w:hAnsi="Times New Roman"/>
          <w:sz w:val="24"/>
          <w:szCs w:val="24"/>
        </w:rPr>
        <w:t xml:space="preserve">olve lawsuits alleging that it engaged </w:t>
      </w:r>
      <w:r w:rsidR="00AD0E17" w:rsidRPr="00AD0E17">
        <w:rPr>
          <w:rFonts w:ascii="Times New Roman" w:hAnsi="Times New Roman"/>
          <w:sz w:val="24"/>
          <w:szCs w:val="24"/>
        </w:rPr>
        <w:t xml:space="preserve">in a multi-year campaign to limit </w:t>
      </w:r>
      <w:r w:rsidR="00AD0E17">
        <w:rPr>
          <w:rFonts w:ascii="Times New Roman" w:hAnsi="Times New Roman"/>
          <w:sz w:val="24"/>
          <w:szCs w:val="24"/>
        </w:rPr>
        <w:t xml:space="preserve">or deny </w:t>
      </w:r>
      <w:r w:rsidR="00AD0E17" w:rsidRPr="00AD0E17">
        <w:rPr>
          <w:rFonts w:ascii="Times New Roman" w:hAnsi="Times New Roman"/>
          <w:sz w:val="24"/>
          <w:szCs w:val="24"/>
        </w:rPr>
        <w:t>rental housing opportunities</w:t>
      </w:r>
      <w:r w:rsidRPr="006418B8">
        <w:rPr>
          <w:rFonts w:ascii="Times New Roman" w:hAnsi="Times New Roman"/>
          <w:sz w:val="24"/>
          <w:szCs w:val="24"/>
        </w:rPr>
        <w:t xml:space="preserve"> </w:t>
      </w:r>
      <w:r w:rsidR="002F235A">
        <w:rPr>
          <w:rFonts w:ascii="Times New Roman" w:hAnsi="Times New Roman"/>
          <w:sz w:val="24"/>
          <w:szCs w:val="24"/>
        </w:rPr>
        <w:t>to African-Americans</w:t>
      </w:r>
      <w:r w:rsidR="00AD0E17">
        <w:rPr>
          <w:rFonts w:ascii="Times New Roman" w:hAnsi="Times New Roman"/>
          <w:sz w:val="24"/>
          <w:szCs w:val="24"/>
        </w:rPr>
        <w:t xml:space="preserve"> in the parish</w:t>
      </w:r>
      <w:r w:rsidRPr="006418B8">
        <w:rPr>
          <w:rFonts w:ascii="Times New Roman" w:hAnsi="Times New Roman"/>
          <w:sz w:val="24"/>
          <w:szCs w:val="24"/>
        </w:rPr>
        <w:t xml:space="preserve"> in the aftermath of Hurricane Katrina.</w:t>
      </w:r>
      <w:r w:rsidR="00AD0E17">
        <w:rPr>
          <w:rFonts w:ascii="Times New Roman" w:hAnsi="Times New Roman"/>
          <w:sz w:val="24"/>
          <w:szCs w:val="24"/>
        </w:rPr>
        <w:t xml:space="preserve"> This campaign included</w:t>
      </w:r>
      <w:r w:rsidR="00AD0E17" w:rsidRPr="00AD0E17">
        <w:rPr>
          <w:rFonts w:ascii="Times New Roman" w:hAnsi="Times New Roman"/>
          <w:sz w:val="24"/>
          <w:szCs w:val="24"/>
        </w:rPr>
        <w:t xml:space="preserve"> the establishment of an onerous permit-approval process for single-family rentals, the elimination of multi-family housing in large portions of the parish</w:t>
      </w:r>
      <w:r w:rsidR="00AD0E17">
        <w:rPr>
          <w:rFonts w:ascii="Times New Roman" w:hAnsi="Times New Roman"/>
          <w:sz w:val="24"/>
          <w:szCs w:val="24"/>
        </w:rPr>
        <w:t>,</w:t>
      </w:r>
      <w:r w:rsidR="00AD0E17" w:rsidRPr="00AD0E17">
        <w:rPr>
          <w:rFonts w:ascii="Times New Roman" w:hAnsi="Times New Roman"/>
          <w:sz w:val="24"/>
          <w:szCs w:val="24"/>
        </w:rPr>
        <w:t xml:space="preserve"> and repeated attempts to block the development of multi-family affordable-housing.  The </w:t>
      </w:r>
      <w:r w:rsidR="00AD0E17">
        <w:rPr>
          <w:rFonts w:ascii="Times New Roman" w:hAnsi="Times New Roman"/>
          <w:sz w:val="24"/>
          <w:szCs w:val="24"/>
        </w:rPr>
        <w:t>Division’s complaint alleged</w:t>
      </w:r>
      <w:r w:rsidR="00AD0E17" w:rsidRPr="00AD0E17">
        <w:rPr>
          <w:rFonts w:ascii="Times New Roman" w:hAnsi="Times New Roman"/>
          <w:sz w:val="24"/>
          <w:szCs w:val="24"/>
        </w:rPr>
        <w:t xml:space="preserve"> that the parish’s actions both were intended to and had the effect of disproportionately disadvantaging African-Americans seeking to rent housing in St. Bernard Parish.</w:t>
      </w:r>
      <w:r w:rsidR="00AD0E17">
        <w:rPr>
          <w:rFonts w:ascii="Times New Roman" w:hAnsi="Times New Roman"/>
          <w:sz w:val="24"/>
          <w:szCs w:val="24"/>
        </w:rPr>
        <w:t xml:space="preserve"> </w:t>
      </w:r>
      <w:r w:rsidR="00AD0E17" w:rsidRPr="00AD0E17">
        <w:rPr>
          <w:rFonts w:ascii="Times New Roman" w:hAnsi="Times New Roman"/>
          <w:sz w:val="24"/>
          <w:szCs w:val="24"/>
        </w:rPr>
        <w:t>The parish ha</w:t>
      </w:r>
      <w:r w:rsidR="00AD0E17">
        <w:rPr>
          <w:rFonts w:ascii="Times New Roman" w:hAnsi="Times New Roman"/>
          <w:sz w:val="24"/>
          <w:szCs w:val="24"/>
        </w:rPr>
        <w:t>d</w:t>
      </w:r>
      <w:r w:rsidR="00AD0E17" w:rsidRPr="00AD0E17">
        <w:rPr>
          <w:rFonts w:ascii="Times New Roman" w:hAnsi="Times New Roman"/>
          <w:sz w:val="24"/>
          <w:szCs w:val="24"/>
        </w:rPr>
        <w:t xml:space="preserve"> been sued previously over housing and land-use decisions since Hurricane Katrina and found in contempt of court orders repeatedly.</w:t>
      </w:r>
    </w:p>
    <w:p w:rsidR="00012DF5" w:rsidRPr="00CF30F7" w:rsidRDefault="00012DF5" w:rsidP="001C475F">
      <w:pPr>
        <w:numPr>
          <w:ilvl w:val="0"/>
          <w:numId w:val="8"/>
        </w:numPr>
        <w:autoSpaceDE w:val="0"/>
        <w:autoSpaceDN w:val="0"/>
        <w:spacing w:before="240" w:line="240" w:lineRule="auto"/>
        <w:rPr>
          <w:rFonts w:ascii="Times New Roman" w:hAnsi="Times New Roman"/>
          <w:sz w:val="24"/>
          <w:szCs w:val="24"/>
          <w:u w:val="single"/>
        </w:rPr>
      </w:pPr>
      <w:r w:rsidRPr="00A53B31">
        <w:rPr>
          <w:rFonts w:ascii="Times New Roman" w:hAnsi="Times New Roman"/>
          <w:i/>
          <w:sz w:val="24"/>
          <w:szCs w:val="24"/>
        </w:rPr>
        <w:t>Sussex County, Delaware:</w:t>
      </w:r>
      <w:r w:rsidRPr="00A53B31">
        <w:rPr>
          <w:rFonts w:ascii="Times New Roman" w:hAnsi="Times New Roman"/>
          <w:sz w:val="24"/>
          <w:szCs w:val="24"/>
        </w:rPr>
        <w:t xml:space="preserve"> </w:t>
      </w:r>
      <w:r>
        <w:rPr>
          <w:rFonts w:ascii="Times New Roman" w:hAnsi="Times New Roman"/>
          <w:sz w:val="24"/>
          <w:szCs w:val="24"/>
        </w:rPr>
        <w:t xml:space="preserve">This lawsuit alleged that </w:t>
      </w:r>
      <w:r w:rsidRPr="00012DF5">
        <w:rPr>
          <w:rFonts w:ascii="Times New Roman" w:hAnsi="Times New Roman"/>
          <w:sz w:val="24"/>
          <w:szCs w:val="24"/>
        </w:rPr>
        <w:t>the county’s planning and zoning commission</w:t>
      </w:r>
      <w:r>
        <w:rPr>
          <w:rFonts w:ascii="Times New Roman" w:hAnsi="Times New Roman"/>
          <w:sz w:val="24"/>
          <w:szCs w:val="24"/>
        </w:rPr>
        <w:t xml:space="preserve"> denied land use approval for an </w:t>
      </w:r>
      <w:r w:rsidRPr="00012DF5">
        <w:rPr>
          <w:rFonts w:ascii="Times New Roman" w:hAnsi="Times New Roman"/>
          <w:sz w:val="24"/>
          <w:szCs w:val="24"/>
        </w:rPr>
        <w:t xml:space="preserve">affordable housing </w:t>
      </w:r>
      <w:r>
        <w:rPr>
          <w:rFonts w:ascii="Times New Roman" w:hAnsi="Times New Roman"/>
          <w:sz w:val="24"/>
          <w:szCs w:val="24"/>
        </w:rPr>
        <w:t xml:space="preserve">development </w:t>
      </w:r>
      <w:r w:rsidRPr="00012DF5">
        <w:rPr>
          <w:rFonts w:ascii="Times New Roman" w:hAnsi="Times New Roman"/>
          <w:sz w:val="24"/>
          <w:szCs w:val="24"/>
        </w:rPr>
        <w:t>based partly on the assumption that the subdivision’s residents would be Latino and African-American</w:t>
      </w:r>
      <w:r>
        <w:rPr>
          <w:rFonts w:ascii="Times New Roman" w:hAnsi="Times New Roman"/>
          <w:sz w:val="24"/>
          <w:szCs w:val="24"/>
        </w:rPr>
        <w:t xml:space="preserve">. The settlement agreement required </w:t>
      </w:r>
      <w:r w:rsidR="00E177AD">
        <w:rPr>
          <w:rFonts w:ascii="Times New Roman" w:hAnsi="Times New Roman"/>
          <w:sz w:val="24"/>
          <w:szCs w:val="24"/>
        </w:rPr>
        <w:t>the</w:t>
      </w:r>
      <w:r>
        <w:rPr>
          <w:rFonts w:ascii="Times New Roman" w:hAnsi="Times New Roman"/>
          <w:sz w:val="24"/>
          <w:szCs w:val="24"/>
        </w:rPr>
        <w:t xml:space="preserve"> defendants to</w:t>
      </w:r>
      <w:r w:rsidRPr="00012DF5">
        <w:rPr>
          <w:rFonts w:ascii="Times New Roman" w:hAnsi="Times New Roman"/>
          <w:sz w:val="24"/>
          <w:szCs w:val="24"/>
        </w:rPr>
        <w:t xml:space="preserve"> reconsider the affordable housing proposal using nond</w:t>
      </w:r>
      <w:r>
        <w:rPr>
          <w:rFonts w:ascii="Times New Roman" w:hAnsi="Times New Roman"/>
          <w:sz w:val="24"/>
          <w:szCs w:val="24"/>
        </w:rPr>
        <w:t xml:space="preserve">iscriminatory criteria. </w:t>
      </w:r>
      <w:r w:rsidRPr="00012DF5">
        <w:rPr>
          <w:rFonts w:ascii="Times New Roman" w:hAnsi="Times New Roman"/>
          <w:sz w:val="24"/>
          <w:szCs w:val="24"/>
        </w:rPr>
        <w:t>It also require</w:t>
      </w:r>
      <w:r>
        <w:rPr>
          <w:rFonts w:ascii="Times New Roman" w:hAnsi="Times New Roman"/>
          <w:sz w:val="24"/>
          <w:szCs w:val="24"/>
        </w:rPr>
        <w:t>d</w:t>
      </w:r>
      <w:r w:rsidRPr="00012DF5">
        <w:rPr>
          <w:rFonts w:ascii="Times New Roman" w:hAnsi="Times New Roman"/>
          <w:sz w:val="24"/>
          <w:szCs w:val="24"/>
        </w:rPr>
        <w:t xml:space="preserve"> the county to pay $750,000 to Dia</w:t>
      </w:r>
      <w:r>
        <w:rPr>
          <w:rFonts w:ascii="Times New Roman" w:hAnsi="Times New Roman"/>
          <w:sz w:val="24"/>
          <w:szCs w:val="24"/>
        </w:rPr>
        <w:t xml:space="preserve">mond State Community Land Trust, which proposed the development, </w:t>
      </w:r>
      <w:r w:rsidRPr="00012DF5">
        <w:rPr>
          <w:rFonts w:ascii="Times New Roman" w:hAnsi="Times New Roman"/>
          <w:sz w:val="24"/>
          <w:szCs w:val="24"/>
        </w:rPr>
        <w:t>in compensation for its damages</w:t>
      </w:r>
      <w:r>
        <w:rPr>
          <w:rFonts w:ascii="Times New Roman" w:hAnsi="Times New Roman"/>
          <w:sz w:val="24"/>
          <w:szCs w:val="24"/>
        </w:rPr>
        <w:t>.</w:t>
      </w:r>
    </w:p>
    <w:p w:rsidR="004D57AC" w:rsidRPr="001B56F8" w:rsidRDefault="006E4B07" w:rsidP="001C475F">
      <w:pPr>
        <w:numPr>
          <w:ilvl w:val="0"/>
          <w:numId w:val="8"/>
        </w:numPr>
        <w:spacing w:line="240" w:lineRule="auto"/>
        <w:rPr>
          <w:rFonts w:ascii="Times New Roman" w:hAnsi="Times New Roman"/>
          <w:sz w:val="24"/>
          <w:szCs w:val="24"/>
        </w:rPr>
      </w:pPr>
      <w:r>
        <w:rPr>
          <w:rFonts w:ascii="Times New Roman" w:hAnsi="Times New Roman"/>
          <w:i/>
          <w:sz w:val="24"/>
          <w:szCs w:val="24"/>
        </w:rPr>
        <w:t>Minneapolis, Minnesota</w:t>
      </w:r>
      <w:r w:rsidR="00B259D9" w:rsidRPr="00A53B31">
        <w:rPr>
          <w:rFonts w:ascii="Times New Roman" w:hAnsi="Times New Roman"/>
          <w:i/>
          <w:sz w:val="24"/>
          <w:szCs w:val="24"/>
        </w:rPr>
        <w:t>:</w:t>
      </w:r>
      <w:r w:rsidR="004D57AC" w:rsidRPr="001B56F8">
        <w:rPr>
          <w:rFonts w:ascii="Times New Roman" w:hAnsi="Times New Roman"/>
          <w:sz w:val="24"/>
          <w:szCs w:val="24"/>
        </w:rPr>
        <w:t xml:space="preserve"> </w:t>
      </w:r>
      <w:r w:rsidR="002E66D2">
        <w:rPr>
          <w:rFonts w:ascii="Times New Roman" w:hAnsi="Times New Roman"/>
          <w:sz w:val="24"/>
          <w:szCs w:val="24"/>
        </w:rPr>
        <w:t>In this case</w:t>
      </w:r>
      <w:r w:rsidR="00A94D46">
        <w:rPr>
          <w:rFonts w:ascii="Times New Roman" w:hAnsi="Times New Roman"/>
          <w:sz w:val="24"/>
          <w:szCs w:val="24"/>
        </w:rPr>
        <w:t xml:space="preserve"> in Minneapolis, Minnesota, a rental agent repeatedly </w:t>
      </w:r>
      <w:r w:rsidR="004D57AC" w:rsidRPr="001B56F8">
        <w:rPr>
          <w:rFonts w:ascii="Times New Roman" w:hAnsi="Times New Roman"/>
          <w:sz w:val="24"/>
          <w:szCs w:val="24"/>
        </w:rPr>
        <w:t xml:space="preserve">made Somali </w:t>
      </w:r>
      <w:r w:rsidR="00A94D46">
        <w:rPr>
          <w:rFonts w:ascii="Times New Roman" w:hAnsi="Times New Roman"/>
          <w:sz w:val="24"/>
          <w:szCs w:val="24"/>
        </w:rPr>
        <w:t xml:space="preserve">prospective renters </w:t>
      </w:r>
      <w:r w:rsidR="004D57AC" w:rsidRPr="001B56F8">
        <w:rPr>
          <w:rFonts w:ascii="Times New Roman" w:hAnsi="Times New Roman"/>
          <w:sz w:val="24"/>
          <w:szCs w:val="24"/>
        </w:rPr>
        <w:t xml:space="preserve">go through additional procedures before they </w:t>
      </w:r>
      <w:r w:rsidR="003E6BBE">
        <w:rPr>
          <w:rFonts w:ascii="Times New Roman" w:hAnsi="Times New Roman"/>
          <w:sz w:val="24"/>
          <w:szCs w:val="24"/>
        </w:rPr>
        <w:t xml:space="preserve">were allowed to see apartments. White applicants did not have to take these extra steps. </w:t>
      </w:r>
      <w:r w:rsidR="00CF30F7">
        <w:rPr>
          <w:rFonts w:ascii="Times New Roman" w:hAnsi="Times New Roman"/>
          <w:sz w:val="24"/>
          <w:szCs w:val="24"/>
        </w:rPr>
        <w:t>The Division’s investigation also found that the agent</w:t>
      </w:r>
      <w:r w:rsidR="004D57AC" w:rsidRPr="001B56F8">
        <w:rPr>
          <w:rFonts w:ascii="Times New Roman" w:hAnsi="Times New Roman"/>
          <w:sz w:val="24"/>
          <w:szCs w:val="24"/>
        </w:rPr>
        <w:t xml:space="preserve"> failed to tell Somali </w:t>
      </w:r>
      <w:r w:rsidR="00CF30F7">
        <w:rPr>
          <w:rFonts w:ascii="Times New Roman" w:hAnsi="Times New Roman"/>
          <w:sz w:val="24"/>
          <w:szCs w:val="24"/>
        </w:rPr>
        <w:t>applicants</w:t>
      </w:r>
      <w:r w:rsidR="004D57AC" w:rsidRPr="001B56F8">
        <w:rPr>
          <w:rFonts w:ascii="Times New Roman" w:hAnsi="Times New Roman"/>
          <w:sz w:val="24"/>
          <w:szCs w:val="24"/>
        </w:rPr>
        <w:t xml:space="preserve"> about certain apartments becoming available that she mentioned to white </w:t>
      </w:r>
      <w:r w:rsidR="00CF30F7">
        <w:rPr>
          <w:rFonts w:ascii="Times New Roman" w:hAnsi="Times New Roman"/>
          <w:sz w:val="24"/>
          <w:szCs w:val="24"/>
        </w:rPr>
        <w:t xml:space="preserve">applicants. Under the settlement, Highland Management Group will pay a civil penalty, implement a nondiscrimination policy, provide employees with training on the requirements of the </w:t>
      </w:r>
      <w:r w:rsidR="001420A8" w:rsidRPr="001420A8">
        <w:rPr>
          <w:rFonts w:ascii="Times New Roman" w:hAnsi="Times New Roman"/>
          <w:sz w:val="24"/>
          <w:szCs w:val="24"/>
        </w:rPr>
        <w:t>Fair Housing Act</w:t>
      </w:r>
      <w:r w:rsidR="00AF62F4">
        <w:rPr>
          <w:rFonts w:ascii="Times New Roman" w:hAnsi="Times New Roman"/>
          <w:sz w:val="24"/>
          <w:szCs w:val="24"/>
        </w:rPr>
        <w:t>,</w:t>
      </w:r>
      <w:r w:rsidR="001420A8" w:rsidRPr="001420A8">
        <w:rPr>
          <w:rFonts w:ascii="Times New Roman" w:hAnsi="Times New Roman"/>
          <w:sz w:val="24"/>
          <w:szCs w:val="24"/>
        </w:rPr>
        <w:t xml:space="preserve"> and provide periodic reports to the government.</w:t>
      </w:r>
    </w:p>
    <w:p w:rsidR="004D57AC" w:rsidRDefault="006E4B07" w:rsidP="001C475F">
      <w:pPr>
        <w:numPr>
          <w:ilvl w:val="0"/>
          <w:numId w:val="3"/>
        </w:numPr>
        <w:autoSpaceDE w:val="0"/>
        <w:autoSpaceDN w:val="0"/>
        <w:spacing w:before="240" w:after="0" w:line="240" w:lineRule="auto"/>
        <w:rPr>
          <w:rFonts w:ascii="Times New Roman" w:hAnsi="Times New Roman"/>
          <w:sz w:val="24"/>
          <w:szCs w:val="24"/>
        </w:rPr>
      </w:pPr>
      <w:r>
        <w:rPr>
          <w:rFonts w:ascii="Times New Roman" w:hAnsi="Times New Roman"/>
          <w:i/>
          <w:sz w:val="24"/>
          <w:szCs w:val="24"/>
        </w:rPr>
        <w:lastRenderedPageBreak/>
        <w:t>Mt. Washington, Kentucky</w:t>
      </w:r>
      <w:r w:rsidR="00B259D9" w:rsidRPr="00A53B31">
        <w:rPr>
          <w:rFonts w:ascii="Times New Roman" w:hAnsi="Times New Roman"/>
          <w:i/>
          <w:sz w:val="24"/>
          <w:szCs w:val="24"/>
        </w:rPr>
        <w:t>:</w:t>
      </w:r>
      <w:r w:rsidR="00B259D9" w:rsidRPr="001B56F8">
        <w:rPr>
          <w:rFonts w:ascii="Times New Roman" w:hAnsi="Times New Roman"/>
          <w:sz w:val="24"/>
          <w:szCs w:val="24"/>
        </w:rPr>
        <w:t xml:space="preserve"> </w:t>
      </w:r>
      <w:r w:rsidR="00CF30F7">
        <w:rPr>
          <w:rFonts w:ascii="Times New Roman" w:hAnsi="Times New Roman"/>
          <w:sz w:val="24"/>
          <w:szCs w:val="24"/>
        </w:rPr>
        <w:t xml:space="preserve">In this case, a </w:t>
      </w:r>
      <w:r w:rsidR="00CF30F7" w:rsidRPr="00CF30F7">
        <w:rPr>
          <w:rFonts w:ascii="Times New Roman" w:hAnsi="Times New Roman"/>
          <w:sz w:val="24"/>
          <w:szCs w:val="24"/>
        </w:rPr>
        <w:t xml:space="preserve">landlord agreed to pay $22,000 to resolve allegations that he </w:t>
      </w:r>
      <w:r w:rsidR="00CF30F7">
        <w:rPr>
          <w:rFonts w:ascii="Times New Roman" w:hAnsi="Times New Roman"/>
          <w:sz w:val="24"/>
          <w:szCs w:val="24"/>
        </w:rPr>
        <w:t>discriminated</w:t>
      </w:r>
      <w:r w:rsidR="00CF30F7" w:rsidRPr="00CF30F7">
        <w:rPr>
          <w:rFonts w:ascii="Times New Roman" w:hAnsi="Times New Roman"/>
          <w:sz w:val="24"/>
          <w:szCs w:val="24"/>
        </w:rPr>
        <w:t xml:space="preserve"> against African-American apartment seekers and ma</w:t>
      </w:r>
      <w:r w:rsidR="00CF30F7">
        <w:rPr>
          <w:rFonts w:ascii="Times New Roman" w:hAnsi="Times New Roman"/>
          <w:sz w:val="24"/>
          <w:szCs w:val="24"/>
        </w:rPr>
        <w:t>de</w:t>
      </w:r>
      <w:r w:rsidR="00CF30F7" w:rsidRPr="00CF30F7">
        <w:rPr>
          <w:rFonts w:ascii="Times New Roman" w:hAnsi="Times New Roman"/>
          <w:sz w:val="24"/>
          <w:szCs w:val="24"/>
        </w:rPr>
        <w:t xml:space="preserve"> statements indicating a preference for families without children for certain available apartments.</w:t>
      </w:r>
      <w:r w:rsidR="008712B6">
        <w:rPr>
          <w:rFonts w:ascii="Times New Roman" w:hAnsi="Times New Roman"/>
          <w:sz w:val="24"/>
          <w:szCs w:val="24"/>
        </w:rPr>
        <w:t xml:space="preserve"> </w:t>
      </w:r>
      <w:r w:rsidR="009B76F7">
        <w:rPr>
          <w:rFonts w:ascii="Times New Roman" w:hAnsi="Times New Roman"/>
          <w:sz w:val="24"/>
          <w:szCs w:val="24"/>
        </w:rPr>
        <w:t>The Division’s lawsuit alleged that</w:t>
      </w:r>
      <w:r w:rsidR="009B76F7" w:rsidRPr="009B76F7">
        <w:rPr>
          <w:rFonts w:ascii="Times New Roman" w:hAnsi="Times New Roman"/>
          <w:sz w:val="24"/>
          <w:szCs w:val="24"/>
        </w:rPr>
        <w:t xml:space="preserve"> </w:t>
      </w:r>
      <w:r w:rsidR="009B76F7">
        <w:rPr>
          <w:rFonts w:ascii="Times New Roman" w:hAnsi="Times New Roman"/>
          <w:sz w:val="24"/>
          <w:szCs w:val="24"/>
        </w:rPr>
        <w:t>the landlord</w:t>
      </w:r>
      <w:r w:rsidR="009B76F7" w:rsidRPr="009B76F7">
        <w:rPr>
          <w:rFonts w:ascii="Times New Roman" w:hAnsi="Times New Roman"/>
          <w:sz w:val="24"/>
          <w:szCs w:val="24"/>
        </w:rPr>
        <w:t xml:space="preserve"> misrepresented the availability of, and refused to negotiate for the rental of, apartments based on</w:t>
      </w:r>
      <w:r w:rsidR="009B76F7">
        <w:rPr>
          <w:rFonts w:ascii="Times New Roman" w:hAnsi="Times New Roman"/>
          <w:sz w:val="24"/>
          <w:szCs w:val="24"/>
        </w:rPr>
        <w:t xml:space="preserve"> an applicant’s</w:t>
      </w:r>
      <w:r w:rsidR="009B76F7" w:rsidRPr="009B76F7">
        <w:rPr>
          <w:rFonts w:ascii="Times New Roman" w:hAnsi="Times New Roman"/>
          <w:sz w:val="24"/>
          <w:szCs w:val="24"/>
        </w:rPr>
        <w:t xml:space="preserve"> race or color.  </w:t>
      </w:r>
    </w:p>
    <w:p w:rsidR="0078187E" w:rsidRDefault="0078187E" w:rsidP="001C475F">
      <w:pPr>
        <w:spacing w:after="0" w:line="240" w:lineRule="auto"/>
        <w:rPr>
          <w:rFonts w:ascii="Times New Roman" w:hAnsi="Times New Roman"/>
          <w:i/>
          <w:sz w:val="24"/>
          <w:szCs w:val="24"/>
        </w:rPr>
      </w:pPr>
    </w:p>
    <w:p w:rsidR="00B74B04" w:rsidRDefault="0003220D" w:rsidP="001C475F">
      <w:pPr>
        <w:spacing w:line="240" w:lineRule="auto"/>
        <w:rPr>
          <w:rFonts w:ascii="Times New Roman" w:hAnsi="Times New Roman"/>
          <w:sz w:val="24"/>
          <w:szCs w:val="24"/>
        </w:rPr>
      </w:pPr>
      <w:proofErr w:type="gramStart"/>
      <w:r w:rsidRPr="00A53B31">
        <w:rPr>
          <w:rFonts w:ascii="Times New Roman" w:hAnsi="Times New Roman"/>
          <w:b/>
          <w:i/>
          <w:sz w:val="24"/>
          <w:szCs w:val="24"/>
        </w:rPr>
        <w:t>Ensuring Equal Access to Responsible Lending</w:t>
      </w:r>
      <w:r w:rsidR="00B103A7">
        <w:rPr>
          <w:rFonts w:ascii="Times New Roman" w:hAnsi="Times New Roman"/>
          <w:i/>
          <w:sz w:val="24"/>
          <w:szCs w:val="24"/>
        </w:rPr>
        <w:t xml:space="preserve">: </w:t>
      </w:r>
      <w:r w:rsidR="0046734B">
        <w:rPr>
          <w:rFonts w:ascii="Times New Roman" w:hAnsi="Times New Roman"/>
          <w:sz w:val="24"/>
          <w:szCs w:val="24"/>
        </w:rPr>
        <w:t xml:space="preserve">Since its creation in 2010, the Division’s Fair Lending Unit has </w:t>
      </w:r>
      <w:r w:rsidR="0046734B" w:rsidRPr="00F223BE">
        <w:rPr>
          <w:rFonts w:ascii="Times New Roman" w:hAnsi="Times New Roman"/>
          <w:sz w:val="24"/>
          <w:szCs w:val="24"/>
        </w:rPr>
        <w:t>obtained more than $</w:t>
      </w:r>
      <w:r w:rsidR="002C4CBE">
        <w:rPr>
          <w:rFonts w:ascii="Times New Roman" w:hAnsi="Times New Roman"/>
          <w:sz w:val="24"/>
          <w:szCs w:val="24"/>
        </w:rPr>
        <w:t>800</w:t>
      </w:r>
      <w:r w:rsidR="0046734B" w:rsidRPr="00F223BE">
        <w:rPr>
          <w:rFonts w:ascii="Times New Roman" w:hAnsi="Times New Roman"/>
          <w:sz w:val="24"/>
          <w:szCs w:val="24"/>
        </w:rPr>
        <w:t xml:space="preserve"> million in monetary relief for impacted communities</w:t>
      </w:r>
      <w:r w:rsidR="0046734B">
        <w:rPr>
          <w:rFonts w:ascii="Times New Roman" w:hAnsi="Times New Roman"/>
          <w:sz w:val="24"/>
          <w:szCs w:val="24"/>
        </w:rPr>
        <w:t>—sending a clear message that the Obama administration will hold financial institutions of all sizes accountable for lending discrimination whenever and wherever it occurs.</w:t>
      </w:r>
      <w:proofErr w:type="gramEnd"/>
      <w:r w:rsidR="0046734B">
        <w:rPr>
          <w:rFonts w:ascii="Times New Roman" w:hAnsi="Times New Roman"/>
          <w:sz w:val="24"/>
          <w:szCs w:val="24"/>
        </w:rPr>
        <w:t xml:space="preserve"> </w:t>
      </w:r>
    </w:p>
    <w:p w:rsidR="00C7593C" w:rsidRDefault="007A45BC" w:rsidP="001C475F">
      <w:pPr>
        <w:spacing w:line="240" w:lineRule="auto"/>
        <w:rPr>
          <w:rFonts w:ascii="Times New Roman" w:hAnsi="Times New Roman"/>
          <w:sz w:val="24"/>
          <w:szCs w:val="24"/>
        </w:rPr>
      </w:pPr>
      <w:r>
        <w:rPr>
          <w:rFonts w:ascii="Times New Roman" w:hAnsi="Times New Roman"/>
          <w:sz w:val="24"/>
          <w:szCs w:val="24"/>
        </w:rPr>
        <w:t xml:space="preserve">Much of this work has focused on mortgage lending. In 2013, however, </w:t>
      </w:r>
      <w:r w:rsidR="00C7593C">
        <w:rPr>
          <w:rFonts w:ascii="Times New Roman" w:hAnsi="Times New Roman"/>
          <w:sz w:val="24"/>
          <w:szCs w:val="24"/>
        </w:rPr>
        <w:t xml:space="preserve">the Civil Rights Division </w:t>
      </w:r>
      <w:r>
        <w:rPr>
          <w:rFonts w:ascii="Times New Roman" w:hAnsi="Times New Roman"/>
          <w:sz w:val="24"/>
          <w:szCs w:val="24"/>
        </w:rPr>
        <w:t>expanded these efforts into the auto lending market</w:t>
      </w:r>
      <w:r w:rsidR="00C7593C">
        <w:rPr>
          <w:rFonts w:ascii="Times New Roman" w:hAnsi="Times New Roman"/>
          <w:sz w:val="24"/>
          <w:szCs w:val="24"/>
        </w:rPr>
        <w:t xml:space="preserve">, working with the Consumer Finance Protection Bureau </w:t>
      </w:r>
      <w:r w:rsidR="00306924">
        <w:rPr>
          <w:rFonts w:ascii="Times New Roman" w:hAnsi="Times New Roman"/>
          <w:sz w:val="24"/>
          <w:szCs w:val="24"/>
        </w:rPr>
        <w:t xml:space="preserve">(CFPB) </w:t>
      </w:r>
      <w:r w:rsidR="00C7593C">
        <w:rPr>
          <w:rFonts w:ascii="Times New Roman" w:hAnsi="Times New Roman"/>
          <w:sz w:val="24"/>
          <w:szCs w:val="24"/>
        </w:rPr>
        <w:t xml:space="preserve">and the U.S. Attorney for the Eastern District of Michigan to reach a </w:t>
      </w:r>
      <w:r w:rsidR="00C7593C" w:rsidRPr="0002188F">
        <w:rPr>
          <w:rFonts w:ascii="Times New Roman" w:hAnsi="Times New Roman"/>
          <w:sz w:val="24"/>
          <w:szCs w:val="24"/>
        </w:rPr>
        <w:t>$9</w:t>
      </w:r>
      <w:r w:rsidR="00C7593C">
        <w:rPr>
          <w:rFonts w:ascii="Times New Roman" w:hAnsi="Times New Roman"/>
          <w:sz w:val="24"/>
          <w:szCs w:val="24"/>
        </w:rPr>
        <w:t xml:space="preserve">8 million </w:t>
      </w:r>
      <w:r w:rsidR="00C7593C" w:rsidRPr="0002188F">
        <w:rPr>
          <w:rFonts w:ascii="Times New Roman" w:hAnsi="Times New Roman"/>
          <w:sz w:val="24"/>
          <w:szCs w:val="24"/>
        </w:rPr>
        <w:t xml:space="preserve">settlement with Ally </w:t>
      </w:r>
      <w:r w:rsidR="00C7593C">
        <w:rPr>
          <w:rFonts w:ascii="Times New Roman" w:hAnsi="Times New Roman"/>
          <w:sz w:val="24"/>
          <w:szCs w:val="24"/>
        </w:rPr>
        <w:t xml:space="preserve">Bank and </w:t>
      </w:r>
      <w:r w:rsidR="00C7593C" w:rsidRPr="0002188F">
        <w:rPr>
          <w:rFonts w:ascii="Times New Roman" w:hAnsi="Times New Roman"/>
          <w:sz w:val="24"/>
          <w:szCs w:val="24"/>
        </w:rPr>
        <w:t>Financial for pricing discrimination in its automobile lending practices.</w:t>
      </w:r>
      <w:r w:rsidR="00C7593C">
        <w:rPr>
          <w:rFonts w:ascii="Times New Roman" w:hAnsi="Times New Roman"/>
          <w:sz w:val="24"/>
          <w:szCs w:val="24"/>
        </w:rPr>
        <w:t xml:space="preserve"> </w:t>
      </w:r>
    </w:p>
    <w:p w:rsidR="002F4C47" w:rsidRDefault="002F4C47" w:rsidP="001C475F">
      <w:pPr>
        <w:spacing w:line="240" w:lineRule="auto"/>
        <w:rPr>
          <w:rFonts w:ascii="Times New Roman" w:hAnsi="Times New Roman"/>
          <w:sz w:val="24"/>
          <w:szCs w:val="24"/>
        </w:rPr>
      </w:pPr>
      <w:r w:rsidRPr="0002188F">
        <w:rPr>
          <w:rFonts w:ascii="Times New Roman" w:hAnsi="Times New Roman"/>
          <w:sz w:val="24"/>
          <w:szCs w:val="24"/>
        </w:rPr>
        <w:t>All qualified borrowers deserve equal access to fair and responsible lending.</w:t>
      </w:r>
      <w:r w:rsidR="00F223BE">
        <w:rPr>
          <w:rFonts w:ascii="Times New Roman" w:hAnsi="Times New Roman"/>
          <w:sz w:val="24"/>
          <w:szCs w:val="24"/>
        </w:rPr>
        <w:t xml:space="preserve"> </w:t>
      </w:r>
      <w:r w:rsidR="00F223BE" w:rsidRPr="0002188F">
        <w:rPr>
          <w:rFonts w:ascii="Times New Roman" w:hAnsi="Times New Roman"/>
          <w:sz w:val="24"/>
          <w:szCs w:val="24"/>
        </w:rPr>
        <w:t>In fact, the Equal Credit Opportunity Act bars creditors from discriminating against applicants on the basis of their race, color, religion, national origin, sex, marital status, or age.</w:t>
      </w:r>
      <w:r w:rsidRPr="0002188F">
        <w:rPr>
          <w:rFonts w:ascii="Times New Roman" w:hAnsi="Times New Roman"/>
          <w:sz w:val="24"/>
          <w:szCs w:val="24"/>
        </w:rPr>
        <w:t xml:space="preserve"> Yet between 2011 and 2013</w:t>
      </w:r>
      <w:r>
        <w:rPr>
          <w:rFonts w:ascii="Times New Roman" w:hAnsi="Times New Roman"/>
          <w:sz w:val="24"/>
          <w:szCs w:val="24"/>
        </w:rPr>
        <w:t>, African-American, Hispanic, and</w:t>
      </w:r>
      <w:r w:rsidRPr="0002188F">
        <w:rPr>
          <w:rFonts w:ascii="Times New Roman" w:hAnsi="Times New Roman"/>
          <w:sz w:val="24"/>
          <w:szCs w:val="24"/>
        </w:rPr>
        <w:t xml:space="preserve"> Asian/Pacific Islander borrowers who obtained loans from Ally </w:t>
      </w:r>
      <w:r w:rsidR="00F223BE">
        <w:rPr>
          <w:rFonts w:ascii="Times New Roman" w:hAnsi="Times New Roman"/>
          <w:sz w:val="24"/>
          <w:szCs w:val="24"/>
        </w:rPr>
        <w:t xml:space="preserve">Bank and </w:t>
      </w:r>
      <w:r w:rsidRPr="0002188F">
        <w:rPr>
          <w:rFonts w:ascii="Times New Roman" w:hAnsi="Times New Roman"/>
          <w:sz w:val="24"/>
          <w:szCs w:val="24"/>
        </w:rPr>
        <w:t>Financial were too often forced to pay higher interest rates than similarly qualified white borrowers—a penalty based not on their creditworthiness or other objective criteria related to borrower risk, but on their race</w:t>
      </w:r>
      <w:r>
        <w:rPr>
          <w:rFonts w:ascii="Times New Roman" w:hAnsi="Times New Roman"/>
          <w:sz w:val="24"/>
          <w:szCs w:val="24"/>
        </w:rPr>
        <w:t xml:space="preserve"> or national origin</w:t>
      </w:r>
      <w:r w:rsidRPr="0002188F">
        <w:rPr>
          <w:rFonts w:ascii="Times New Roman" w:hAnsi="Times New Roman"/>
          <w:sz w:val="24"/>
          <w:szCs w:val="24"/>
        </w:rPr>
        <w:t>.</w:t>
      </w:r>
    </w:p>
    <w:p w:rsidR="00F223BE" w:rsidRDefault="007228B2" w:rsidP="001C475F">
      <w:pPr>
        <w:spacing w:line="240" w:lineRule="auto"/>
        <w:rPr>
          <w:rFonts w:ascii="Times New Roman" w:hAnsi="Times New Roman"/>
          <w:sz w:val="24"/>
          <w:szCs w:val="24"/>
        </w:rPr>
      </w:pPr>
      <w:r>
        <w:rPr>
          <w:rFonts w:ascii="Times New Roman" w:hAnsi="Times New Roman"/>
          <w:sz w:val="24"/>
          <w:szCs w:val="24"/>
        </w:rPr>
        <w:t xml:space="preserve">This complaint was the Division’s </w:t>
      </w:r>
      <w:r w:rsidRPr="00CB7A65">
        <w:rPr>
          <w:rFonts w:ascii="Times New Roman" w:hAnsi="Times New Roman"/>
          <w:sz w:val="24"/>
          <w:szCs w:val="24"/>
        </w:rPr>
        <w:t>first against a national auto lender</w:t>
      </w:r>
      <w:r>
        <w:rPr>
          <w:rFonts w:ascii="Times New Roman" w:hAnsi="Times New Roman"/>
          <w:sz w:val="24"/>
          <w:szCs w:val="24"/>
        </w:rPr>
        <w:t xml:space="preserve"> as well as its </w:t>
      </w:r>
      <w:r w:rsidRPr="00D95E82">
        <w:rPr>
          <w:rFonts w:ascii="Times New Roman" w:hAnsi="Times New Roman"/>
          <w:sz w:val="24"/>
          <w:szCs w:val="24"/>
        </w:rPr>
        <w:t>first joint fair lending enforcement action</w:t>
      </w:r>
      <w:r>
        <w:rPr>
          <w:rFonts w:ascii="Times New Roman" w:hAnsi="Times New Roman"/>
          <w:sz w:val="24"/>
          <w:szCs w:val="24"/>
        </w:rPr>
        <w:t xml:space="preserve"> with the CFPB. The</w:t>
      </w:r>
      <w:r w:rsidR="00F223BE">
        <w:rPr>
          <w:rFonts w:ascii="Times New Roman" w:hAnsi="Times New Roman"/>
          <w:sz w:val="24"/>
          <w:szCs w:val="24"/>
        </w:rPr>
        <w:t xml:space="preserve"> </w:t>
      </w:r>
      <w:r w:rsidR="00F223BE" w:rsidRPr="0002188F">
        <w:rPr>
          <w:rFonts w:ascii="Times New Roman" w:hAnsi="Times New Roman"/>
          <w:sz w:val="24"/>
          <w:szCs w:val="24"/>
        </w:rPr>
        <w:t xml:space="preserve">settlement </w:t>
      </w:r>
      <w:r w:rsidR="00F223BE">
        <w:rPr>
          <w:rFonts w:ascii="Times New Roman" w:hAnsi="Times New Roman"/>
          <w:sz w:val="24"/>
          <w:szCs w:val="24"/>
        </w:rPr>
        <w:t>provided</w:t>
      </w:r>
      <w:r w:rsidR="00F223BE" w:rsidRPr="0002188F">
        <w:rPr>
          <w:rFonts w:ascii="Times New Roman" w:hAnsi="Times New Roman"/>
          <w:sz w:val="24"/>
          <w:szCs w:val="24"/>
        </w:rPr>
        <w:t xml:space="preserve"> $80 </w:t>
      </w:r>
      <w:r w:rsidR="003E6BBE">
        <w:rPr>
          <w:rFonts w:ascii="Times New Roman" w:hAnsi="Times New Roman"/>
          <w:sz w:val="24"/>
          <w:szCs w:val="24"/>
        </w:rPr>
        <w:t>m</w:t>
      </w:r>
      <w:r w:rsidR="00F223BE" w:rsidRPr="0002188F">
        <w:rPr>
          <w:rFonts w:ascii="Times New Roman" w:hAnsi="Times New Roman"/>
          <w:sz w:val="24"/>
          <w:szCs w:val="24"/>
        </w:rPr>
        <w:t>illi</w:t>
      </w:r>
      <w:r w:rsidR="00F223BE">
        <w:rPr>
          <w:rFonts w:ascii="Times New Roman" w:hAnsi="Times New Roman"/>
          <w:sz w:val="24"/>
          <w:szCs w:val="24"/>
        </w:rPr>
        <w:t>on in relief to the more than 20</w:t>
      </w:r>
      <w:r w:rsidR="00F223BE" w:rsidRPr="0002188F">
        <w:rPr>
          <w:rFonts w:ascii="Times New Roman" w:hAnsi="Times New Roman"/>
          <w:sz w:val="24"/>
          <w:szCs w:val="24"/>
        </w:rPr>
        <w:t xml:space="preserve">0,000 minority borrowers who received higher interest rates due to their national origin or the color of their skin. Ally </w:t>
      </w:r>
      <w:r w:rsidR="008803E9">
        <w:rPr>
          <w:rFonts w:ascii="Times New Roman" w:hAnsi="Times New Roman"/>
          <w:sz w:val="24"/>
          <w:szCs w:val="24"/>
        </w:rPr>
        <w:t xml:space="preserve">also </w:t>
      </w:r>
      <w:r w:rsidR="00F223BE">
        <w:rPr>
          <w:rFonts w:ascii="Times New Roman" w:hAnsi="Times New Roman"/>
          <w:sz w:val="24"/>
          <w:szCs w:val="24"/>
        </w:rPr>
        <w:t>agreed to pay an</w:t>
      </w:r>
      <w:r w:rsidR="00F223BE" w:rsidRPr="0002188F">
        <w:rPr>
          <w:rFonts w:ascii="Times New Roman" w:hAnsi="Times New Roman"/>
          <w:sz w:val="24"/>
          <w:szCs w:val="24"/>
        </w:rPr>
        <w:t xml:space="preserve"> $18 millio</w:t>
      </w:r>
      <w:r w:rsidR="00306924">
        <w:rPr>
          <w:rFonts w:ascii="Times New Roman" w:hAnsi="Times New Roman"/>
          <w:sz w:val="24"/>
          <w:szCs w:val="24"/>
        </w:rPr>
        <w:t xml:space="preserve">n civil penalty to the CFPB </w:t>
      </w:r>
      <w:r w:rsidR="00F223BE">
        <w:rPr>
          <w:rFonts w:ascii="Times New Roman" w:hAnsi="Times New Roman"/>
          <w:sz w:val="24"/>
          <w:szCs w:val="24"/>
        </w:rPr>
        <w:t>and to</w:t>
      </w:r>
      <w:r w:rsidR="00F223BE" w:rsidRPr="0002188F">
        <w:rPr>
          <w:rFonts w:ascii="Times New Roman" w:hAnsi="Times New Roman"/>
          <w:sz w:val="24"/>
          <w:szCs w:val="24"/>
        </w:rPr>
        <w:t xml:space="preserve"> institute safeguards to ensure that these discriminatory lending practices come to an end.</w:t>
      </w:r>
      <w:r w:rsidR="00CB7A65">
        <w:rPr>
          <w:rFonts w:ascii="Times New Roman" w:hAnsi="Times New Roman"/>
          <w:sz w:val="24"/>
          <w:szCs w:val="24"/>
        </w:rPr>
        <w:t xml:space="preserve"> </w:t>
      </w:r>
    </w:p>
    <w:p w:rsidR="00410E1E" w:rsidRDefault="00410E1E" w:rsidP="00410E1E">
      <w:pPr>
        <w:pBdr>
          <w:top w:val="single" w:sz="4" w:space="1" w:color="auto"/>
          <w:left w:val="single" w:sz="4" w:space="4" w:color="auto"/>
          <w:bottom w:val="single" w:sz="4" w:space="1" w:color="auto"/>
          <w:right w:val="single" w:sz="4" w:space="4" w:color="auto"/>
        </w:pBdr>
        <w:spacing w:after="0" w:line="240" w:lineRule="auto"/>
        <w:jc w:val="center"/>
        <w:rPr>
          <w:rStyle w:val="BookTitle"/>
          <w:rFonts w:ascii="Cambria" w:hAnsi="Cambria"/>
          <w:sz w:val="28"/>
          <w:szCs w:val="28"/>
        </w:rPr>
      </w:pPr>
      <w:r>
        <w:rPr>
          <w:rStyle w:val="BookTitle"/>
          <w:rFonts w:ascii="Cambria" w:hAnsi="Cambria"/>
          <w:sz w:val="28"/>
          <w:szCs w:val="28"/>
        </w:rPr>
        <w:t xml:space="preserve">Policy </w:t>
      </w:r>
      <w:proofErr w:type="gramStart"/>
      <w:r>
        <w:rPr>
          <w:rStyle w:val="BookTitle"/>
          <w:rFonts w:ascii="Cambria" w:hAnsi="Cambria"/>
          <w:sz w:val="28"/>
          <w:szCs w:val="28"/>
        </w:rPr>
        <w:t>Partnerships,</w:t>
      </w:r>
      <w:proofErr w:type="gramEnd"/>
      <w:r>
        <w:rPr>
          <w:rStyle w:val="BookTitle"/>
          <w:rFonts w:ascii="Cambria" w:hAnsi="Cambria"/>
          <w:sz w:val="28"/>
          <w:szCs w:val="28"/>
        </w:rPr>
        <w:t xml:space="preserve"> and Outreach</w:t>
      </w:r>
    </w:p>
    <w:p w:rsidR="00410E1E" w:rsidRPr="00AD4BF9" w:rsidRDefault="00410E1E" w:rsidP="00410E1E">
      <w:pPr>
        <w:pBdr>
          <w:top w:val="single" w:sz="4" w:space="1" w:color="auto"/>
          <w:left w:val="single" w:sz="4" w:space="4" w:color="auto"/>
          <w:bottom w:val="single" w:sz="4" w:space="1" w:color="auto"/>
          <w:right w:val="single" w:sz="4" w:space="4" w:color="auto"/>
        </w:pBdr>
        <w:spacing w:after="0" w:line="240" w:lineRule="auto"/>
        <w:rPr>
          <w:rStyle w:val="BookTitle"/>
          <w:rFonts w:ascii="Cambria" w:hAnsi="Cambria"/>
          <w:sz w:val="28"/>
          <w:szCs w:val="28"/>
        </w:rPr>
      </w:pPr>
    </w:p>
    <w:p w:rsidR="00914BD2" w:rsidRPr="00E77E0D" w:rsidRDefault="00914BD2" w:rsidP="00914B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rPr>
        <w:t xml:space="preserve">The Civil Rights Division also works to develop policy and legislative proposals to close the gaps in our nation’s civil rights protections. This year, the Division </w:t>
      </w:r>
      <w:r w:rsidRPr="00E77E0D">
        <w:rPr>
          <w:rFonts w:ascii="Times New Roman" w:hAnsi="Times New Roman"/>
          <w:sz w:val="24"/>
          <w:szCs w:val="24"/>
        </w:rPr>
        <w:t>provided technical assistance on numerous legislative i</w:t>
      </w:r>
      <w:r>
        <w:rPr>
          <w:rFonts w:ascii="Times New Roman" w:hAnsi="Times New Roman"/>
          <w:sz w:val="24"/>
          <w:szCs w:val="24"/>
        </w:rPr>
        <w:t>nitiatives</w:t>
      </w:r>
      <w:r w:rsidRPr="00E77E0D">
        <w:rPr>
          <w:rFonts w:ascii="Times New Roman" w:hAnsi="Times New Roman"/>
          <w:sz w:val="24"/>
          <w:szCs w:val="24"/>
        </w:rPr>
        <w:t xml:space="preserve">, including the </w:t>
      </w:r>
      <w:r>
        <w:rPr>
          <w:rFonts w:ascii="Times New Roman" w:hAnsi="Times New Roman"/>
          <w:sz w:val="24"/>
          <w:szCs w:val="24"/>
        </w:rPr>
        <w:t xml:space="preserve">reauthorization of the </w:t>
      </w:r>
      <w:r w:rsidRPr="00E77E0D">
        <w:rPr>
          <w:rFonts w:ascii="Times New Roman" w:hAnsi="Times New Roman"/>
          <w:sz w:val="24"/>
          <w:szCs w:val="24"/>
        </w:rPr>
        <w:t xml:space="preserve">Violence </w:t>
      </w:r>
      <w:proofErr w:type="gramStart"/>
      <w:r w:rsidRPr="00E77E0D">
        <w:rPr>
          <w:rFonts w:ascii="Times New Roman" w:hAnsi="Times New Roman"/>
          <w:sz w:val="24"/>
          <w:szCs w:val="24"/>
        </w:rPr>
        <w:t>Against</w:t>
      </w:r>
      <w:proofErr w:type="gramEnd"/>
      <w:r w:rsidRPr="00E77E0D">
        <w:rPr>
          <w:rFonts w:ascii="Times New Roman" w:hAnsi="Times New Roman"/>
          <w:sz w:val="24"/>
          <w:szCs w:val="24"/>
        </w:rPr>
        <w:t xml:space="preserve"> Women Act (VAWA), the Employment Non-Discrimination Act (ENDA), the Elementary and Secondary Education Act (ESEA), the S</w:t>
      </w:r>
      <w:r>
        <w:rPr>
          <w:rFonts w:ascii="Times New Roman" w:hAnsi="Times New Roman"/>
          <w:sz w:val="24"/>
          <w:szCs w:val="24"/>
        </w:rPr>
        <w:t xml:space="preserve">tudent Non-Discrimination Act, and </w:t>
      </w:r>
      <w:r w:rsidRPr="00E77E0D">
        <w:rPr>
          <w:rFonts w:ascii="Times New Roman" w:hAnsi="Times New Roman"/>
          <w:sz w:val="24"/>
          <w:szCs w:val="24"/>
        </w:rPr>
        <w:t>legislation relating to Comprehensive Immigrati</w:t>
      </w:r>
      <w:r>
        <w:rPr>
          <w:rFonts w:ascii="Times New Roman" w:hAnsi="Times New Roman"/>
          <w:sz w:val="24"/>
          <w:szCs w:val="24"/>
        </w:rPr>
        <w:t>on Reform and the</w:t>
      </w:r>
      <w:r w:rsidRPr="00E77E0D">
        <w:rPr>
          <w:rFonts w:ascii="Times New Roman" w:hAnsi="Times New Roman"/>
          <w:sz w:val="24"/>
          <w:szCs w:val="24"/>
        </w:rPr>
        <w:t xml:space="preserve"> protec</w:t>
      </w:r>
      <w:r>
        <w:rPr>
          <w:rFonts w:ascii="Times New Roman" w:hAnsi="Times New Roman"/>
          <w:sz w:val="24"/>
          <w:szCs w:val="24"/>
        </w:rPr>
        <w:t xml:space="preserve">tion of </w:t>
      </w:r>
      <w:proofErr w:type="spellStart"/>
      <w:r>
        <w:rPr>
          <w:rFonts w:ascii="Times New Roman" w:hAnsi="Times New Roman"/>
          <w:sz w:val="24"/>
          <w:szCs w:val="24"/>
        </w:rPr>
        <w:t>servicemembers</w:t>
      </w:r>
      <w:proofErr w:type="spellEnd"/>
      <w:r>
        <w:rPr>
          <w:rFonts w:ascii="Times New Roman" w:hAnsi="Times New Roman"/>
          <w:sz w:val="24"/>
          <w:szCs w:val="24"/>
        </w:rPr>
        <w:t>’ rights.</w:t>
      </w:r>
    </w:p>
    <w:p w:rsidR="00914BD2" w:rsidRPr="00E77E0D" w:rsidRDefault="00914BD2" w:rsidP="00914B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rPr>
      </w:pPr>
    </w:p>
    <w:p w:rsidR="00914BD2" w:rsidRPr="00E77E0D" w:rsidRDefault="00914BD2" w:rsidP="00914BD2">
      <w:pPr>
        <w:pBdr>
          <w:top w:val="single" w:sz="4" w:space="1" w:color="auto"/>
          <w:left w:val="single" w:sz="4" w:space="4" w:color="auto"/>
          <w:bottom w:val="single" w:sz="4" w:space="1" w:color="auto"/>
          <w:right w:val="single" w:sz="4" w:space="4" w:color="auto"/>
        </w:pBdr>
        <w:spacing w:after="0" w:line="240" w:lineRule="auto"/>
      </w:pPr>
      <w:r w:rsidRPr="00E77E0D">
        <w:rPr>
          <w:rFonts w:ascii="Times New Roman" w:hAnsi="Times New Roman"/>
          <w:sz w:val="24"/>
          <w:szCs w:val="24"/>
        </w:rPr>
        <w:t>Outreach to stakeholders is</w:t>
      </w:r>
      <w:r>
        <w:rPr>
          <w:rFonts w:ascii="Times New Roman" w:hAnsi="Times New Roman"/>
          <w:sz w:val="24"/>
          <w:szCs w:val="24"/>
        </w:rPr>
        <w:t xml:space="preserve"> also</w:t>
      </w:r>
      <w:r w:rsidRPr="00E77E0D">
        <w:rPr>
          <w:rFonts w:ascii="Times New Roman" w:hAnsi="Times New Roman"/>
          <w:sz w:val="24"/>
          <w:szCs w:val="24"/>
        </w:rPr>
        <w:t xml:space="preserve"> critical to the Division’</w:t>
      </w:r>
      <w:r>
        <w:rPr>
          <w:rFonts w:ascii="Times New Roman" w:hAnsi="Times New Roman"/>
          <w:sz w:val="24"/>
          <w:szCs w:val="24"/>
        </w:rPr>
        <w:t xml:space="preserve">s goals of planning, executing, and improving its work. The Division held regular </w:t>
      </w:r>
      <w:proofErr w:type="spellStart"/>
      <w:r>
        <w:rPr>
          <w:rFonts w:ascii="Times New Roman" w:hAnsi="Times New Roman"/>
          <w:sz w:val="24"/>
          <w:szCs w:val="24"/>
        </w:rPr>
        <w:t>convenings</w:t>
      </w:r>
      <w:proofErr w:type="spellEnd"/>
      <w:r w:rsidRPr="00E77E0D">
        <w:rPr>
          <w:rFonts w:ascii="Times New Roman" w:hAnsi="Times New Roman"/>
          <w:sz w:val="24"/>
          <w:szCs w:val="24"/>
        </w:rPr>
        <w:t xml:space="preserve"> with representatives from </w:t>
      </w:r>
      <w:r>
        <w:rPr>
          <w:rFonts w:ascii="Times New Roman" w:hAnsi="Times New Roman"/>
          <w:sz w:val="24"/>
          <w:szCs w:val="24"/>
        </w:rPr>
        <w:t xml:space="preserve">civil rights organizations such as </w:t>
      </w:r>
      <w:r w:rsidRPr="00E77E0D">
        <w:rPr>
          <w:rFonts w:ascii="Times New Roman" w:hAnsi="Times New Roman"/>
          <w:sz w:val="24"/>
          <w:szCs w:val="24"/>
        </w:rPr>
        <w:t>the Leadership Conference on Civil and Human Rights and its task forces, the LGBTI community, the women’s community, and the disability rights community.</w:t>
      </w:r>
      <w:r>
        <w:rPr>
          <w:rFonts w:ascii="Times New Roman" w:hAnsi="Times New Roman"/>
          <w:sz w:val="24"/>
          <w:szCs w:val="24"/>
        </w:rPr>
        <w:t xml:space="preserve"> The Division also continued its strong partnerships with U.S. Attorneys offices throughout the country.</w:t>
      </w:r>
    </w:p>
    <w:p w:rsidR="006F4B96" w:rsidRPr="007C284F" w:rsidRDefault="008803E9" w:rsidP="006938AC">
      <w:pPr>
        <w:spacing w:after="0" w:line="240" w:lineRule="auto"/>
        <w:jc w:val="center"/>
        <w:rPr>
          <w:rStyle w:val="IntenseEmphasis"/>
          <w:rFonts w:asciiTheme="majorHAnsi" w:hAnsiTheme="majorHAnsi"/>
          <w:sz w:val="28"/>
          <w:szCs w:val="28"/>
        </w:rPr>
      </w:pPr>
      <w:r>
        <w:rPr>
          <w:rStyle w:val="IntenseEmphasis"/>
          <w:rFonts w:ascii="Cambria" w:hAnsi="Cambria"/>
          <w:sz w:val="24"/>
          <w:szCs w:val="24"/>
        </w:rPr>
        <w:br w:type="column"/>
      </w:r>
      <w:r w:rsidR="006F4B96" w:rsidRPr="007C284F">
        <w:rPr>
          <w:rStyle w:val="IntenseEmphasis"/>
          <w:rFonts w:asciiTheme="majorHAnsi" w:hAnsiTheme="majorHAnsi"/>
          <w:sz w:val="28"/>
          <w:szCs w:val="28"/>
        </w:rPr>
        <w:lastRenderedPageBreak/>
        <w:t>Preserving the Infrastructure of Democracy</w:t>
      </w:r>
    </w:p>
    <w:p w:rsidR="00F10B54" w:rsidRDefault="00F10B54" w:rsidP="001C475F">
      <w:pPr>
        <w:spacing w:after="0" w:line="240" w:lineRule="auto"/>
        <w:rPr>
          <w:rStyle w:val="BookTitle"/>
          <w:rFonts w:ascii="Cambria" w:hAnsi="Cambria"/>
          <w:sz w:val="24"/>
          <w:szCs w:val="24"/>
        </w:rPr>
      </w:pPr>
    </w:p>
    <w:p w:rsidR="009353FB" w:rsidRPr="00AF08D3" w:rsidRDefault="009353FB" w:rsidP="009353FB">
      <w:pPr>
        <w:pStyle w:val="Heading2"/>
        <w:rPr>
          <w:rStyle w:val="BookTitle"/>
        </w:rPr>
      </w:pPr>
      <w:r>
        <w:rPr>
          <w:rStyle w:val="BookTitle"/>
        </w:rPr>
        <w:t>Protecting Voting Rights:</w:t>
      </w:r>
    </w:p>
    <w:p w:rsidR="006C3607" w:rsidRDefault="006C3607" w:rsidP="001C475F">
      <w:pPr>
        <w:pStyle w:val="NormalWeb"/>
        <w:spacing w:before="0" w:beforeAutospacing="0" w:after="0" w:afterAutospacing="0"/>
      </w:pPr>
      <w:r w:rsidRPr="0090627F">
        <w:t>When he signed the Voting Rights Act in 1965, President Lyndon Johnson announced, “Millions of Americans are denied the right to vote because of their color. This law will ensure them the right to vote. The wrong is one which no American, in his heart, can justify. The right is one which no American, true to our principles, can deny.”</w:t>
      </w:r>
      <w:r>
        <w:t xml:space="preserve"> </w:t>
      </w:r>
    </w:p>
    <w:p w:rsidR="006C3607" w:rsidRDefault="006C3607" w:rsidP="001C475F">
      <w:pPr>
        <w:spacing w:after="0" w:line="240" w:lineRule="auto"/>
        <w:rPr>
          <w:rFonts w:ascii="Times New Roman" w:hAnsi="Times New Roman"/>
          <w:sz w:val="24"/>
          <w:szCs w:val="24"/>
        </w:rPr>
      </w:pPr>
    </w:p>
    <w:p w:rsidR="006C3607" w:rsidRDefault="006C3607" w:rsidP="001C475F">
      <w:pPr>
        <w:spacing w:after="0" w:line="240" w:lineRule="auto"/>
        <w:rPr>
          <w:rFonts w:ascii="Times New Roman" w:hAnsi="Times New Roman"/>
          <w:sz w:val="24"/>
          <w:szCs w:val="24"/>
        </w:rPr>
      </w:pPr>
      <w:r w:rsidRPr="006E54A6">
        <w:rPr>
          <w:rFonts w:ascii="Times New Roman" w:hAnsi="Times New Roman"/>
          <w:sz w:val="24"/>
          <w:szCs w:val="24"/>
        </w:rPr>
        <w:t xml:space="preserve">The right to vote is the bedrock of our democracy. </w:t>
      </w:r>
      <w:r w:rsidR="00CE2C78">
        <w:rPr>
          <w:rFonts w:ascii="Times New Roman" w:hAnsi="Times New Roman"/>
          <w:sz w:val="24"/>
          <w:szCs w:val="24"/>
        </w:rPr>
        <w:t>In June 2013</w:t>
      </w:r>
      <w:r w:rsidRPr="00CD3029">
        <w:rPr>
          <w:rFonts w:ascii="Times New Roman" w:hAnsi="Times New Roman"/>
          <w:sz w:val="24"/>
          <w:szCs w:val="24"/>
        </w:rPr>
        <w:t xml:space="preserve">, however, the Supreme Court invalidated a core provision of the Voting Rights Act in a case called </w:t>
      </w:r>
      <w:r w:rsidRPr="00CD3029">
        <w:rPr>
          <w:rStyle w:val="Emphasis"/>
          <w:rFonts w:ascii="Times New Roman" w:hAnsi="Times New Roman"/>
          <w:sz w:val="24"/>
          <w:szCs w:val="24"/>
        </w:rPr>
        <w:t>Shelby County v. Holder</w:t>
      </w:r>
      <w:r w:rsidRPr="00CD3029">
        <w:rPr>
          <w:rFonts w:ascii="Times New Roman" w:hAnsi="Times New Roman"/>
          <w:sz w:val="24"/>
          <w:szCs w:val="24"/>
        </w:rPr>
        <w:t>.</w:t>
      </w:r>
      <w:r w:rsidR="008712B6">
        <w:rPr>
          <w:rFonts w:ascii="Times New Roman" w:hAnsi="Times New Roman"/>
          <w:sz w:val="24"/>
          <w:szCs w:val="24"/>
        </w:rPr>
        <w:t xml:space="preserve"> </w:t>
      </w:r>
      <w:r w:rsidRPr="00CD3029">
        <w:rPr>
          <w:rFonts w:ascii="Times New Roman" w:hAnsi="Times New Roman"/>
          <w:sz w:val="24"/>
          <w:szCs w:val="24"/>
        </w:rPr>
        <w:t xml:space="preserve">Prior to that ruling, certain states and localities with a history of voting discrimination were required to obtain federal </w:t>
      </w:r>
      <w:r>
        <w:rPr>
          <w:rFonts w:ascii="Times New Roman" w:hAnsi="Times New Roman"/>
          <w:sz w:val="24"/>
          <w:szCs w:val="24"/>
        </w:rPr>
        <w:t>review</w:t>
      </w:r>
      <w:r w:rsidRPr="00CD3029">
        <w:rPr>
          <w:rFonts w:ascii="Times New Roman" w:hAnsi="Times New Roman"/>
          <w:sz w:val="24"/>
          <w:szCs w:val="24"/>
        </w:rPr>
        <w:t xml:space="preserve">, or “preclearance,” before implementing any </w:t>
      </w:r>
      <w:r>
        <w:rPr>
          <w:rFonts w:ascii="Times New Roman" w:hAnsi="Times New Roman"/>
          <w:sz w:val="24"/>
          <w:szCs w:val="24"/>
        </w:rPr>
        <w:t>changes to their voting rules</w:t>
      </w:r>
      <w:r w:rsidRPr="00CD3029">
        <w:rPr>
          <w:rFonts w:ascii="Times New Roman" w:hAnsi="Times New Roman"/>
          <w:sz w:val="24"/>
          <w:szCs w:val="24"/>
        </w:rPr>
        <w:t>.</w:t>
      </w:r>
      <w:r w:rsidR="008712B6">
        <w:rPr>
          <w:rFonts w:ascii="Times New Roman" w:hAnsi="Times New Roman"/>
          <w:sz w:val="24"/>
          <w:szCs w:val="24"/>
        </w:rPr>
        <w:t xml:space="preserve"> </w:t>
      </w:r>
      <w:r w:rsidR="00306924">
        <w:rPr>
          <w:rFonts w:ascii="Times New Roman" w:hAnsi="Times New Roman"/>
          <w:sz w:val="24"/>
          <w:szCs w:val="24"/>
        </w:rPr>
        <w:t>As</w:t>
      </w:r>
      <w:r w:rsidRPr="00CD3029">
        <w:rPr>
          <w:rFonts w:ascii="Times New Roman" w:hAnsi="Times New Roman"/>
          <w:sz w:val="24"/>
          <w:szCs w:val="24"/>
        </w:rPr>
        <w:t xml:space="preserve"> a result of the Court’s ruling, those states and localities are no longer required to seek </w:t>
      </w:r>
      <w:r>
        <w:rPr>
          <w:rFonts w:ascii="Times New Roman" w:hAnsi="Times New Roman"/>
          <w:sz w:val="24"/>
          <w:szCs w:val="24"/>
        </w:rPr>
        <w:t>preclearance</w:t>
      </w:r>
      <w:r w:rsidRPr="00CD3029">
        <w:rPr>
          <w:rFonts w:ascii="Times New Roman" w:hAnsi="Times New Roman"/>
          <w:sz w:val="24"/>
          <w:szCs w:val="24"/>
        </w:rPr>
        <w:t xml:space="preserve"> before changing their voting rules and practices.</w:t>
      </w:r>
    </w:p>
    <w:p w:rsidR="006C3607" w:rsidRPr="00CD3029" w:rsidRDefault="006C3607" w:rsidP="001C475F">
      <w:pPr>
        <w:spacing w:after="0" w:line="240" w:lineRule="auto"/>
        <w:rPr>
          <w:rFonts w:ascii="Times New Roman" w:hAnsi="Times New Roman"/>
          <w:sz w:val="24"/>
          <w:szCs w:val="24"/>
        </w:rPr>
      </w:pPr>
    </w:p>
    <w:p w:rsidR="006C3607" w:rsidRDefault="006C3607" w:rsidP="001C475F">
      <w:pPr>
        <w:pStyle w:val="NormalWeb"/>
        <w:spacing w:before="0" w:beforeAutospacing="0" w:after="0" w:afterAutospacing="0"/>
      </w:pPr>
      <w:r w:rsidRPr="00CD3029">
        <w:t xml:space="preserve">This disappointing decision eliminated one of the Justice Department’s most effective tools </w:t>
      </w:r>
      <w:r>
        <w:t>to</w:t>
      </w:r>
      <w:r w:rsidRPr="00CD3029">
        <w:t xml:space="preserve"> combat discrimination in voting. But this setback has not tempered our resolve to ensure that every eligible citizen has access to the ballot box.</w:t>
      </w:r>
      <w:r>
        <w:t xml:space="preserve"> In the words of Attorney General Eric Holder, the Justice Department “</w:t>
      </w:r>
      <w:r w:rsidRPr="0090627F">
        <w:t>will not allow the Supreme Court’s recent decision to be interpreted as open season for states to pursue measures that suppress voting rights.”</w:t>
      </w:r>
      <w:r>
        <w:t xml:space="preserve"> </w:t>
      </w:r>
    </w:p>
    <w:p w:rsidR="006C3607" w:rsidRDefault="006C3607" w:rsidP="001C475F">
      <w:pPr>
        <w:pStyle w:val="NormalWeb"/>
        <w:spacing w:before="0" w:beforeAutospacing="0" w:after="0" w:afterAutospacing="0"/>
      </w:pPr>
    </w:p>
    <w:p w:rsidR="006C3607" w:rsidRPr="001D05F8" w:rsidRDefault="006C3607" w:rsidP="001C475F">
      <w:pPr>
        <w:pStyle w:val="NormalWeb"/>
        <w:spacing w:before="0" w:beforeAutospacing="0" w:after="0" w:afterAutospacing="0"/>
      </w:pPr>
      <w:r>
        <w:t>The D</w:t>
      </w:r>
      <w:r w:rsidRPr="0090627F">
        <w:t>epartment is committed to using the</w:t>
      </w:r>
      <w:r>
        <w:t xml:space="preserve"> tools still available in the Voting Rights Act to prevent</w:t>
      </w:r>
      <w:r w:rsidRPr="0090627F">
        <w:t xml:space="preserve"> additional </w:t>
      </w:r>
      <w:r>
        <w:t xml:space="preserve">discrimination in voting laws. This includes Section 2 of the law, which allows the Justice Department to challenge practices that limit voting rights on the basis of race either intentionally or in effect. In the months after the </w:t>
      </w:r>
      <w:r>
        <w:rPr>
          <w:i/>
        </w:rPr>
        <w:t xml:space="preserve">Shelby County </w:t>
      </w:r>
      <w:r>
        <w:t>decision, the Civil Rights Division filed three Section 2 challenges, asking the courts in each case to subject the state to preclearance going forward:</w:t>
      </w:r>
    </w:p>
    <w:p w:rsidR="006C3607" w:rsidRPr="00CD3029" w:rsidRDefault="006C3607" w:rsidP="001C475F">
      <w:pPr>
        <w:pStyle w:val="NormalWeb"/>
        <w:spacing w:before="0" w:beforeAutospacing="0" w:after="0" w:afterAutospacing="0"/>
        <w:rPr>
          <w:rStyle w:val="BookTitle"/>
          <w:b w:val="0"/>
          <w:bCs w:val="0"/>
          <w:smallCaps w:val="0"/>
          <w:spacing w:val="0"/>
        </w:rPr>
      </w:pPr>
    </w:p>
    <w:p w:rsidR="0090337A" w:rsidRPr="0090337A" w:rsidRDefault="006C3607" w:rsidP="0090337A">
      <w:pPr>
        <w:spacing w:after="0" w:line="240" w:lineRule="auto"/>
        <w:rPr>
          <w:rFonts w:ascii="Times New Roman" w:hAnsi="Times New Roman"/>
          <w:sz w:val="24"/>
          <w:szCs w:val="24"/>
        </w:rPr>
      </w:pPr>
      <w:r>
        <w:rPr>
          <w:rFonts w:ascii="Times New Roman" w:hAnsi="Times New Roman"/>
          <w:i/>
          <w:sz w:val="24"/>
          <w:szCs w:val="24"/>
        </w:rPr>
        <w:t>Texas</w:t>
      </w:r>
      <w:r w:rsidRPr="008F1D60">
        <w:rPr>
          <w:rFonts w:ascii="Times New Roman" w:hAnsi="Times New Roman"/>
          <w:i/>
          <w:sz w:val="24"/>
          <w:szCs w:val="24"/>
        </w:rPr>
        <w:t>:</w:t>
      </w:r>
      <w:r>
        <w:rPr>
          <w:rFonts w:ascii="Times New Roman" w:hAnsi="Times New Roman"/>
          <w:sz w:val="24"/>
          <w:szCs w:val="24"/>
        </w:rPr>
        <w:t xml:space="preserve"> </w:t>
      </w:r>
      <w:r w:rsidR="0090337A" w:rsidRPr="0090337A">
        <w:rPr>
          <w:rFonts w:ascii="Times New Roman" w:hAnsi="Times New Roman"/>
          <w:sz w:val="24"/>
          <w:szCs w:val="24"/>
        </w:rPr>
        <w:t xml:space="preserve">In August, the Justice Department filed a lawsuit against the State of Texas to block the implementation of its highly restrictive photographic identification law for voting in person. At the same time, the Department also asked the court for permission to join another pending lawsuit in Texas to challenge the State’s 2011 redistricting plans for its Congressional delegation and </w:t>
      </w:r>
      <w:proofErr w:type="gramStart"/>
      <w:r w:rsidR="0090337A" w:rsidRPr="0090337A">
        <w:rPr>
          <w:rFonts w:ascii="Times New Roman" w:hAnsi="Times New Roman"/>
          <w:sz w:val="24"/>
          <w:szCs w:val="24"/>
        </w:rPr>
        <w:t>its</w:t>
      </w:r>
      <w:proofErr w:type="gramEnd"/>
      <w:r w:rsidR="0090337A" w:rsidRPr="0090337A">
        <w:rPr>
          <w:rFonts w:ascii="Times New Roman" w:hAnsi="Times New Roman"/>
          <w:sz w:val="24"/>
          <w:szCs w:val="24"/>
        </w:rPr>
        <w:t xml:space="preserve"> State House of Representatives. The Department’s complaints allege that the Voter ID law and the two redistricting plans are intentionally discriminatory and would deny Hispanics and African Americans an equal opportunity to vote.  </w:t>
      </w:r>
    </w:p>
    <w:p w:rsidR="0090337A" w:rsidRPr="0090337A" w:rsidRDefault="0090337A" w:rsidP="0090337A">
      <w:pPr>
        <w:spacing w:after="0" w:line="240" w:lineRule="auto"/>
        <w:rPr>
          <w:rFonts w:ascii="Times New Roman" w:hAnsi="Times New Roman"/>
          <w:sz w:val="24"/>
          <w:szCs w:val="24"/>
        </w:rPr>
      </w:pPr>
    </w:p>
    <w:p w:rsidR="0090337A" w:rsidRDefault="0090337A" w:rsidP="0090337A">
      <w:pPr>
        <w:spacing w:after="0" w:line="240" w:lineRule="auto"/>
        <w:rPr>
          <w:rFonts w:ascii="Times New Roman" w:hAnsi="Times New Roman"/>
          <w:sz w:val="24"/>
          <w:szCs w:val="24"/>
        </w:rPr>
      </w:pPr>
      <w:r w:rsidRPr="0090337A">
        <w:rPr>
          <w:rFonts w:ascii="Times New Roman" w:hAnsi="Times New Roman"/>
          <w:sz w:val="24"/>
          <w:szCs w:val="24"/>
        </w:rPr>
        <w:t>Prior to the Supreme Court’s decision in Shelby County v. Holder, a federal court blocked the implementation of Texas’s voter ID law and the 2011 redistricting maps, concluding that they would have a discriminatory effect on Hispanic and African-American voters. But after the Shelby County decision, the Voting Rights Act no longer requires Texas to seek federal review before implementing changes to its voting laws, including the discriminatory photographic ID law and redistricting maps, and the lower court, therefore, vacated its previous decisions. Because we believe the threat to the rights of minority voters in Texas remains, the Attorney General felt compelled to act.</w:t>
      </w:r>
    </w:p>
    <w:p w:rsidR="00C033E5" w:rsidRPr="00C033E5" w:rsidRDefault="00C033E5" w:rsidP="0090337A">
      <w:pPr>
        <w:spacing w:after="0" w:line="240" w:lineRule="auto"/>
        <w:rPr>
          <w:rFonts w:ascii="Times New Roman" w:hAnsi="Times New Roman"/>
          <w:sz w:val="24"/>
          <w:szCs w:val="24"/>
        </w:rPr>
      </w:pPr>
    </w:p>
    <w:p w:rsidR="0090337A" w:rsidRDefault="006C3607" w:rsidP="0090337A">
      <w:pPr>
        <w:pStyle w:val="NormalWeb"/>
        <w:spacing w:after="0"/>
      </w:pPr>
      <w:r>
        <w:rPr>
          <w:i/>
        </w:rPr>
        <w:lastRenderedPageBreak/>
        <w:t xml:space="preserve">North Carolina: </w:t>
      </w:r>
      <w:r w:rsidR="0090337A">
        <w:t>In September, the Justice Department also filed a lawsuit against the State of North Carolina over voting changes made by House Bill 589, which was signed into law in August 2013. The North Carolina law includes troubling new restrictions, such as provisions that will significantly reduce early voting days; eliminate same-day registration during early voting; impose a restrictive photo identification requirement for in-person voting; and prohibit the counting of otherwise legitimate provisional ballots that are mistakenly cast in the right county but in the wrong precinct.  The Justice Department expects to show that the clear and intended effects of these changes would contract the electorate and result in unequal access to participation in the political process on account of race.</w:t>
      </w:r>
    </w:p>
    <w:p w:rsidR="0090337A" w:rsidRDefault="0090337A" w:rsidP="0090337A">
      <w:pPr>
        <w:pStyle w:val="NormalWeb"/>
        <w:spacing w:after="0"/>
      </w:pPr>
      <w:r>
        <w:t>Allowing limits on voting rights that disproportionately exclude minority voters would be inconsistent with our ideals as a nation.  And it would not be in keeping with the proud tradition of democracy that North Carolinians have built in recent years.</w:t>
      </w:r>
    </w:p>
    <w:p w:rsidR="009E4057" w:rsidRDefault="0090337A" w:rsidP="0090337A">
      <w:pPr>
        <w:pStyle w:val="NormalWeb"/>
        <w:spacing w:before="0" w:beforeAutospacing="0" w:after="0" w:afterAutospacing="0"/>
      </w:pPr>
      <w:r>
        <w:t>Existing statutes cannot completely replace the protections afforded by the portion of the Voting Rights Act that the Supreme Court struck down. As President Obama has noted repeatedly, it is the responsibility of Congress to pass legislation to fill the void left by the Supreme Court’s ruling. But the Civil Rights Division remains committed to using all available tools to ensure that Americans across the country can cast a ballot free from discrimination.</w:t>
      </w:r>
    </w:p>
    <w:p w:rsidR="0090337A" w:rsidRDefault="0090337A" w:rsidP="0090337A">
      <w:pPr>
        <w:pStyle w:val="NormalWeb"/>
        <w:spacing w:before="0" w:beforeAutospacing="0" w:after="0" w:afterAutospacing="0"/>
      </w:pPr>
    </w:p>
    <w:p w:rsidR="00326CA0" w:rsidRPr="00AF08D3" w:rsidRDefault="00326CA0" w:rsidP="00326CA0">
      <w:pPr>
        <w:pStyle w:val="Heading2"/>
        <w:rPr>
          <w:rStyle w:val="BookTitle"/>
        </w:rPr>
      </w:pPr>
      <w:r>
        <w:rPr>
          <w:rStyle w:val="BookTitle"/>
        </w:rPr>
        <w:t>Protecting Those Who Protect Us:</w:t>
      </w:r>
    </w:p>
    <w:p w:rsidR="009E4057" w:rsidRPr="00326CA0" w:rsidRDefault="009E4057" w:rsidP="00326CA0">
      <w:pPr>
        <w:spacing w:after="0" w:line="240" w:lineRule="auto"/>
        <w:rPr>
          <w:rFonts w:ascii="Times New Roman" w:hAnsi="Times New Roman"/>
          <w:sz w:val="24"/>
          <w:szCs w:val="24"/>
        </w:rPr>
      </w:pPr>
      <w:proofErr w:type="spellStart"/>
      <w:r w:rsidRPr="00326CA0">
        <w:rPr>
          <w:rFonts w:ascii="Times New Roman" w:hAnsi="Times New Roman"/>
          <w:sz w:val="24"/>
          <w:szCs w:val="24"/>
        </w:rPr>
        <w:t>Servicemembers</w:t>
      </w:r>
      <w:proofErr w:type="spellEnd"/>
      <w:r w:rsidRPr="00326CA0">
        <w:rPr>
          <w:rFonts w:ascii="Times New Roman" w:hAnsi="Times New Roman"/>
          <w:sz w:val="24"/>
          <w:szCs w:val="24"/>
        </w:rPr>
        <w:t xml:space="preserve"> make tremendous sacrifices for our nation. When their duties call them far away from home, the Division stands ready to protect their rights. </w:t>
      </w:r>
      <w:r w:rsidR="007C284F" w:rsidRPr="00326CA0">
        <w:rPr>
          <w:rFonts w:ascii="Times New Roman" w:hAnsi="Times New Roman"/>
          <w:sz w:val="24"/>
          <w:szCs w:val="24"/>
        </w:rPr>
        <w:t>Over</w:t>
      </w:r>
      <w:r w:rsidR="00AF62F4" w:rsidRPr="00326CA0">
        <w:rPr>
          <w:rFonts w:ascii="Times New Roman" w:hAnsi="Times New Roman"/>
          <w:sz w:val="24"/>
          <w:szCs w:val="24"/>
        </w:rPr>
        <w:t xml:space="preserve"> the past five</w:t>
      </w:r>
      <w:r w:rsidRPr="00326CA0">
        <w:rPr>
          <w:rFonts w:ascii="Times New Roman" w:hAnsi="Times New Roman"/>
          <w:sz w:val="24"/>
          <w:szCs w:val="24"/>
        </w:rPr>
        <w:t xml:space="preserve"> years, the Division has done more civil rights work in more areas on behalf of </w:t>
      </w:r>
      <w:proofErr w:type="spellStart"/>
      <w:r w:rsidRPr="00326CA0">
        <w:rPr>
          <w:rFonts w:ascii="Times New Roman" w:hAnsi="Times New Roman"/>
          <w:sz w:val="24"/>
          <w:szCs w:val="24"/>
        </w:rPr>
        <w:t>servicemembers</w:t>
      </w:r>
      <w:proofErr w:type="spellEnd"/>
      <w:r w:rsidRPr="00326CA0">
        <w:rPr>
          <w:rFonts w:ascii="Times New Roman" w:hAnsi="Times New Roman"/>
          <w:sz w:val="24"/>
          <w:szCs w:val="24"/>
        </w:rPr>
        <w:t xml:space="preserve"> than ever before.</w:t>
      </w:r>
      <w:r w:rsidR="007C284F" w:rsidRPr="00326CA0">
        <w:rPr>
          <w:rFonts w:ascii="Times New Roman" w:hAnsi="Times New Roman"/>
          <w:sz w:val="24"/>
          <w:szCs w:val="24"/>
        </w:rPr>
        <w:t xml:space="preserve"> Last year, the Civil Rights Division achieved significant victories in its efforts to ensure that our men and women in uniform have access to meaningful employment as they come home from war. </w:t>
      </w:r>
    </w:p>
    <w:p w:rsidR="00367543" w:rsidRPr="00326CA0" w:rsidRDefault="00367543" w:rsidP="00326CA0">
      <w:pPr>
        <w:spacing w:after="0" w:line="240" w:lineRule="auto"/>
        <w:rPr>
          <w:rFonts w:ascii="Times New Roman" w:hAnsi="Times New Roman"/>
          <w:sz w:val="24"/>
          <w:szCs w:val="24"/>
        </w:rPr>
      </w:pPr>
    </w:p>
    <w:p w:rsidR="00367543" w:rsidRPr="00326CA0" w:rsidRDefault="00326CA0" w:rsidP="00326CA0">
      <w:pPr>
        <w:spacing w:after="0" w:line="240" w:lineRule="auto"/>
        <w:rPr>
          <w:rFonts w:ascii="Times New Roman" w:hAnsi="Times New Roman"/>
          <w:b/>
          <w:i/>
          <w:sz w:val="24"/>
          <w:szCs w:val="24"/>
        </w:rPr>
      </w:pPr>
      <w:proofErr w:type="gramStart"/>
      <w:r>
        <w:rPr>
          <w:rFonts w:ascii="Times New Roman" w:hAnsi="Times New Roman"/>
          <w:b/>
          <w:bCs/>
          <w:i/>
          <w:sz w:val="24"/>
          <w:szCs w:val="24"/>
        </w:rPr>
        <w:t>Protecting</w:t>
      </w:r>
      <w:r w:rsidRPr="009A4DDE">
        <w:rPr>
          <w:rFonts w:ascii="Times New Roman" w:hAnsi="Times New Roman"/>
          <w:b/>
          <w:bCs/>
          <w:i/>
          <w:sz w:val="24"/>
          <w:szCs w:val="24"/>
        </w:rPr>
        <w:t xml:space="preserve"> </w:t>
      </w:r>
      <w:r>
        <w:rPr>
          <w:rFonts w:ascii="Times New Roman" w:hAnsi="Times New Roman"/>
          <w:b/>
          <w:bCs/>
          <w:i/>
          <w:sz w:val="24"/>
          <w:szCs w:val="24"/>
        </w:rPr>
        <w:t xml:space="preserve">the Employment Rights of </w:t>
      </w:r>
      <w:proofErr w:type="spellStart"/>
      <w:r>
        <w:rPr>
          <w:rFonts w:ascii="Times New Roman" w:hAnsi="Times New Roman"/>
          <w:b/>
          <w:bCs/>
          <w:i/>
          <w:sz w:val="24"/>
          <w:szCs w:val="24"/>
        </w:rPr>
        <w:t>Servicemembers</w:t>
      </w:r>
      <w:proofErr w:type="spellEnd"/>
      <w:r w:rsidR="00367543" w:rsidRPr="00326CA0">
        <w:rPr>
          <w:rFonts w:ascii="Times New Roman" w:hAnsi="Times New Roman"/>
          <w:sz w:val="24"/>
          <w:szCs w:val="24"/>
        </w:rPr>
        <w:t>:</w:t>
      </w:r>
      <w:r w:rsidR="00E3429B">
        <w:rPr>
          <w:rFonts w:ascii="Times New Roman" w:hAnsi="Times New Roman"/>
          <w:sz w:val="24"/>
          <w:szCs w:val="24"/>
        </w:rPr>
        <w:t xml:space="preserve"> </w:t>
      </w:r>
      <w:r w:rsidR="00367543" w:rsidRPr="00326CA0">
        <w:rPr>
          <w:rFonts w:ascii="Times New Roman" w:hAnsi="Times New Roman"/>
          <w:sz w:val="24"/>
          <w:szCs w:val="24"/>
        </w:rPr>
        <w:t xml:space="preserve">The Division has aggressively enforced the Uniformed Services Employment and Reemployment Rights Act (USERRA), ensuring that </w:t>
      </w:r>
      <w:proofErr w:type="spellStart"/>
      <w:r w:rsidR="00367543" w:rsidRPr="00326CA0">
        <w:rPr>
          <w:rFonts w:ascii="Times New Roman" w:hAnsi="Times New Roman"/>
          <w:sz w:val="24"/>
          <w:szCs w:val="24"/>
        </w:rPr>
        <w:t>servicemembers</w:t>
      </w:r>
      <w:proofErr w:type="spellEnd"/>
      <w:r w:rsidR="00367543" w:rsidRPr="00326CA0">
        <w:rPr>
          <w:rFonts w:ascii="Times New Roman" w:hAnsi="Times New Roman"/>
          <w:sz w:val="24"/>
          <w:szCs w:val="24"/>
        </w:rPr>
        <w:t xml:space="preserve"> returning from active duty are not penalized by their civilian employers</w:t>
      </w:r>
      <w:r w:rsidR="007C284F" w:rsidRPr="00326CA0">
        <w:rPr>
          <w:rFonts w:ascii="Times New Roman" w:hAnsi="Times New Roman"/>
          <w:sz w:val="24"/>
          <w:szCs w:val="24"/>
        </w:rPr>
        <w:t>.</w:t>
      </w:r>
      <w:proofErr w:type="gramEnd"/>
      <w:r w:rsidR="00367543" w:rsidRPr="00326CA0">
        <w:rPr>
          <w:rFonts w:ascii="Times New Roman" w:hAnsi="Times New Roman"/>
          <w:sz w:val="24"/>
          <w:szCs w:val="24"/>
        </w:rPr>
        <w:t xml:space="preserve"> Our USERRA program is critically important because USERRA cases typically involve small amounts of back pay; without the Division’s help, many </w:t>
      </w:r>
      <w:proofErr w:type="spellStart"/>
      <w:r w:rsidR="00367543" w:rsidRPr="00326CA0">
        <w:rPr>
          <w:rFonts w:ascii="Times New Roman" w:hAnsi="Times New Roman"/>
          <w:sz w:val="24"/>
          <w:szCs w:val="24"/>
        </w:rPr>
        <w:t>servicemembers</w:t>
      </w:r>
      <w:proofErr w:type="spellEnd"/>
      <w:r w:rsidR="00367543" w:rsidRPr="00326CA0">
        <w:rPr>
          <w:rFonts w:ascii="Times New Roman" w:hAnsi="Times New Roman"/>
          <w:sz w:val="24"/>
          <w:szCs w:val="24"/>
        </w:rPr>
        <w:t xml:space="preserve"> would not be able to find or afford private attorneys to take their cases.</w:t>
      </w:r>
    </w:p>
    <w:p w:rsidR="00367543" w:rsidRPr="00367543" w:rsidRDefault="00367543" w:rsidP="001C475F">
      <w:pPr>
        <w:spacing w:after="0" w:line="240" w:lineRule="auto"/>
      </w:pPr>
    </w:p>
    <w:p w:rsidR="009E4057" w:rsidRPr="00DB4F3B" w:rsidRDefault="009E4057" w:rsidP="001C475F">
      <w:pPr>
        <w:pStyle w:val="NormalWeb"/>
        <w:numPr>
          <w:ilvl w:val="0"/>
          <w:numId w:val="10"/>
        </w:numPr>
        <w:spacing w:before="0" w:beforeAutospacing="0" w:after="0" w:afterAutospacing="0"/>
      </w:pPr>
      <w:r w:rsidRPr="00DB4F3B">
        <w:rPr>
          <w:i/>
        </w:rPr>
        <w:t>For</w:t>
      </w:r>
      <w:r w:rsidR="00DB4F3B" w:rsidRPr="00DB4F3B">
        <w:rPr>
          <w:i/>
        </w:rPr>
        <w:t>syth County, North Carolina:</w:t>
      </w:r>
      <w:r w:rsidR="00DB4F3B">
        <w:t xml:space="preserve"> </w:t>
      </w:r>
      <w:r w:rsidR="00DB4F3B" w:rsidRPr="00DB4F3B">
        <w:t xml:space="preserve">In March 2013, the Division reached </w:t>
      </w:r>
      <w:r w:rsidR="00AF62F4">
        <w:t xml:space="preserve">an agreement </w:t>
      </w:r>
      <w:r w:rsidRPr="00DB4F3B">
        <w:t xml:space="preserve">to vindicate the employment rights of </w:t>
      </w:r>
      <w:r w:rsidR="00DB4F3B">
        <w:t>an Army National Guard soldier.</w:t>
      </w:r>
      <w:r w:rsidRPr="00DB4F3B">
        <w:t xml:space="preserve"> The soldier had worked as a deputy and sergeant deputy sheriff in F</w:t>
      </w:r>
      <w:r w:rsidR="00DB4F3B">
        <w:t>orsyth County since 1989</w:t>
      </w:r>
      <w:r w:rsidRPr="00DB4F3B">
        <w:t xml:space="preserve"> but was di</w:t>
      </w:r>
      <w:r w:rsidR="00DB4F3B">
        <w:t>scharged without cause in 2010—</w:t>
      </w:r>
      <w:r w:rsidRPr="00DB4F3B">
        <w:t>less than a year after completing a one-year deployment to Iraq with the North Carolina Army National Guard.  Under the agreement, the soldier was paid $96,000 in lost wages and received an employment reference letter that accurately reflected the content of his performance evaluations prior to his termination.</w:t>
      </w:r>
    </w:p>
    <w:p w:rsidR="00367543" w:rsidRPr="00DB4F3B" w:rsidRDefault="00367543" w:rsidP="001C475F">
      <w:pPr>
        <w:pStyle w:val="NormalWeb"/>
        <w:spacing w:before="0" w:beforeAutospacing="0" w:after="0" w:afterAutospacing="0"/>
      </w:pPr>
    </w:p>
    <w:p w:rsidR="009E4057" w:rsidRPr="00DB4F3B" w:rsidRDefault="00DB4F3B" w:rsidP="001C475F">
      <w:pPr>
        <w:pStyle w:val="NormalWeb"/>
        <w:numPr>
          <w:ilvl w:val="0"/>
          <w:numId w:val="10"/>
        </w:numPr>
        <w:spacing w:before="0" w:beforeAutospacing="0" w:after="0" w:afterAutospacing="0"/>
      </w:pPr>
      <w:r>
        <w:rPr>
          <w:i/>
        </w:rPr>
        <w:t xml:space="preserve">Jerome County, Idaho: </w:t>
      </w:r>
      <w:r w:rsidR="009E4057" w:rsidRPr="00DB4F3B">
        <w:t>In September 2013, the Division collaborated with the U</w:t>
      </w:r>
      <w:r w:rsidR="007C284F">
        <w:t>.S. Attorney’s Office</w:t>
      </w:r>
      <w:r w:rsidR="009E4057" w:rsidRPr="00DB4F3B">
        <w:t xml:space="preserve"> for the District of Idaho </w:t>
      </w:r>
      <w:r>
        <w:t>to resolve</w:t>
      </w:r>
      <w:r w:rsidR="009E4057" w:rsidRPr="00DB4F3B">
        <w:t xml:space="preserve"> the Department’s lawsuit over the </w:t>
      </w:r>
      <w:r w:rsidR="009E4057" w:rsidRPr="00DB4F3B">
        <w:lastRenderedPageBreak/>
        <w:t>USERRA re</w:t>
      </w:r>
      <w:r w:rsidR="00306924">
        <w:t>e</w:t>
      </w:r>
      <w:r w:rsidR="009E4057" w:rsidRPr="00DB4F3B">
        <w:t xml:space="preserve">mployment rights of an Army National Guard soldier. The soldier had worked as a </w:t>
      </w:r>
      <w:r>
        <w:t>d</w:t>
      </w:r>
      <w:r w:rsidR="009E4057" w:rsidRPr="00DB4F3B">
        <w:t xml:space="preserve">eputy and </w:t>
      </w:r>
      <w:r>
        <w:t>c</w:t>
      </w:r>
      <w:r w:rsidR="009E4057" w:rsidRPr="00DB4F3B">
        <w:t xml:space="preserve">orporal in </w:t>
      </w:r>
      <w:r w:rsidR="00EE127C">
        <w:t>t</w:t>
      </w:r>
      <w:r w:rsidR="00EE127C" w:rsidRPr="00DB4F3B">
        <w:t xml:space="preserve">he Jerome County Sheriff’s office </w:t>
      </w:r>
      <w:r>
        <w:t>for years, but in 2009—</w:t>
      </w:r>
      <w:r w:rsidR="009E4057" w:rsidRPr="00DB4F3B">
        <w:t>while the solider was recuperating from multiple knee injuries</w:t>
      </w:r>
      <w:r>
        <w:t xml:space="preserve"> suffered while on active duty—</w:t>
      </w:r>
      <w:r w:rsidR="009E4057" w:rsidRPr="00DB4F3B">
        <w:t>the Sheriff’s Office denied him his USERRA guaranteed right to reemployment accomm</w:t>
      </w:r>
      <w:r>
        <w:t>odations and time to recuperate</w:t>
      </w:r>
      <w:r w:rsidR="009E4057" w:rsidRPr="00DB4F3B">
        <w:t xml:space="preserve"> and eventually terminated his employment.  Under the agreement, the soldier was paid $150,000 which included $75,000 in lost wages, and he received an employment reference letter that requested his return to the Idaho employment eligibility register.</w:t>
      </w:r>
    </w:p>
    <w:p w:rsidR="00F10B54" w:rsidRPr="00DB4F3B" w:rsidRDefault="00F10B54" w:rsidP="001C475F">
      <w:pPr>
        <w:pStyle w:val="NormalWeb"/>
        <w:spacing w:before="0" w:beforeAutospacing="0" w:after="0" w:afterAutospacing="0"/>
      </w:pPr>
    </w:p>
    <w:p w:rsidR="009353FB" w:rsidRPr="00AF08D3" w:rsidRDefault="009353FB" w:rsidP="009353FB">
      <w:pPr>
        <w:pStyle w:val="Heading2"/>
        <w:rPr>
          <w:rStyle w:val="BookTitle"/>
        </w:rPr>
      </w:pPr>
      <w:r w:rsidRPr="00AF08D3">
        <w:rPr>
          <w:rStyle w:val="BookTitle"/>
        </w:rPr>
        <w:t xml:space="preserve">Expanding </w:t>
      </w:r>
      <w:r>
        <w:rPr>
          <w:rStyle w:val="BookTitle"/>
        </w:rPr>
        <w:t>Access to Courts</w:t>
      </w:r>
      <w:r w:rsidRPr="00AF08D3">
        <w:rPr>
          <w:rStyle w:val="BookTitle"/>
        </w:rPr>
        <w:t>:</w:t>
      </w:r>
    </w:p>
    <w:p w:rsidR="00D4151E" w:rsidRDefault="00D4151E" w:rsidP="001C475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Access to state courts is critically important. W</w:t>
      </w:r>
      <w:r w:rsidRPr="004058FC">
        <w:rPr>
          <w:rFonts w:ascii="Times New Roman" w:eastAsia="Times New Roman" w:hAnsi="Times New Roman"/>
          <w:bCs/>
          <w:sz w:val="24"/>
          <w:szCs w:val="24"/>
        </w:rPr>
        <w:t xml:space="preserve">hether </w:t>
      </w:r>
      <w:r w:rsidR="00E447BF">
        <w:rPr>
          <w:rFonts w:ascii="Times New Roman" w:eastAsia="Times New Roman" w:hAnsi="Times New Roman"/>
          <w:bCs/>
          <w:sz w:val="24"/>
          <w:szCs w:val="24"/>
        </w:rPr>
        <w:t>cases</w:t>
      </w:r>
      <w:r w:rsidRPr="004058FC">
        <w:rPr>
          <w:rFonts w:ascii="Times New Roman" w:eastAsia="Times New Roman" w:hAnsi="Times New Roman"/>
          <w:bCs/>
          <w:sz w:val="24"/>
          <w:szCs w:val="24"/>
        </w:rPr>
        <w:t xml:space="preserve"> involve child custody, domestic violence, foreclosure, wage cl</w:t>
      </w:r>
      <w:r>
        <w:rPr>
          <w:rFonts w:ascii="Times New Roman" w:eastAsia="Times New Roman" w:hAnsi="Times New Roman"/>
          <w:bCs/>
          <w:sz w:val="24"/>
          <w:szCs w:val="24"/>
        </w:rPr>
        <w:t>aims, or criminal prosecution, t</w:t>
      </w:r>
      <w:r w:rsidRPr="004058FC">
        <w:rPr>
          <w:rFonts w:ascii="Times New Roman" w:eastAsia="Times New Roman" w:hAnsi="Times New Roman"/>
          <w:bCs/>
          <w:sz w:val="24"/>
          <w:szCs w:val="24"/>
        </w:rPr>
        <w:t xml:space="preserve">he stakes are too </w:t>
      </w:r>
      <w:r>
        <w:rPr>
          <w:rFonts w:ascii="Times New Roman" w:eastAsia="Times New Roman" w:hAnsi="Times New Roman"/>
          <w:bCs/>
          <w:sz w:val="24"/>
          <w:szCs w:val="24"/>
        </w:rPr>
        <w:t xml:space="preserve">high in the courtroom context </w:t>
      </w:r>
      <w:r w:rsidRPr="004058FC">
        <w:rPr>
          <w:rFonts w:ascii="Times New Roman" w:eastAsia="Times New Roman" w:hAnsi="Times New Roman"/>
          <w:bCs/>
          <w:sz w:val="24"/>
          <w:szCs w:val="24"/>
        </w:rPr>
        <w:t xml:space="preserve">for parties or witnesses to be </w:t>
      </w:r>
      <w:r>
        <w:rPr>
          <w:rFonts w:ascii="Times New Roman" w:eastAsia="Times New Roman" w:hAnsi="Times New Roman"/>
          <w:bCs/>
          <w:sz w:val="24"/>
          <w:szCs w:val="24"/>
        </w:rPr>
        <w:t xml:space="preserve">effectively </w:t>
      </w:r>
      <w:r w:rsidRPr="004058FC">
        <w:rPr>
          <w:rFonts w:ascii="Times New Roman" w:eastAsia="Times New Roman" w:hAnsi="Times New Roman"/>
          <w:bCs/>
          <w:sz w:val="24"/>
          <w:szCs w:val="24"/>
        </w:rPr>
        <w:t xml:space="preserve">excluded </w:t>
      </w:r>
      <w:r>
        <w:rPr>
          <w:rFonts w:ascii="Times New Roman" w:eastAsia="Times New Roman" w:hAnsi="Times New Roman"/>
          <w:bCs/>
          <w:sz w:val="24"/>
          <w:szCs w:val="24"/>
        </w:rPr>
        <w:t xml:space="preserve">from participation </w:t>
      </w:r>
      <w:r w:rsidRPr="004058FC">
        <w:rPr>
          <w:rFonts w:ascii="Times New Roman" w:eastAsia="Times New Roman" w:hAnsi="Times New Roman"/>
          <w:bCs/>
          <w:sz w:val="24"/>
          <w:szCs w:val="24"/>
        </w:rPr>
        <w:t xml:space="preserve">because of their </w:t>
      </w:r>
      <w:r>
        <w:rPr>
          <w:rFonts w:ascii="Times New Roman" w:eastAsia="Times New Roman" w:hAnsi="Times New Roman"/>
          <w:bCs/>
          <w:sz w:val="24"/>
          <w:szCs w:val="24"/>
        </w:rPr>
        <w:t>language ability, national origin, race, color, disability, or religion.</w:t>
      </w:r>
    </w:p>
    <w:p w:rsidR="00D4151E" w:rsidRPr="00D4151E" w:rsidRDefault="007C284F" w:rsidP="007C284F">
      <w:pPr>
        <w:tabs>
          <w:tab w:val="left" w:pos="2210"/>
        </w:tab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r>
    </w:p>
    <w:p w:rsidR="006E1B9C" w:rsidRPr="00D4151E" w:rsidRDefault="006E1B9C" w:rsidP="001C475F">
      <w:pPr>
        <w:spacing w:after="0" w:line="240" w:lineRule="auto"/>
        <w:rPr>
          <w:rFonts w:ascii="Times New Roman" w:eastAsia="Times New Roman" w:hAnsi="Times New Roman"/>
          <w:bCs/>
          <w:sz w:val="24"/>
          <w:szCs w:val="24"/>
        </w:rPr>
      </w:pPr>
      <w:r w:rsidRPr="007C284F">
        <w:rPr>
          <w:rFonts w:ascii="Times New Roman" w:eastAsia="Times New Roman" w:hAnsi="Times New Roman"/>
          <w:b/>
          <w:bCs/>
          <w:i/>
          <w:sz w:val="24"/>
          <w:szCs w:val="24"/>
        </w:rPr>
        <w:t>For People with Limited English Proficiency:</w:t>
      </w:r>
      <w:r>
        <w:rPr>
          <w:rFonts w:ascii="Times New Roman" w:eastAsia="Times New Roman" w:hAnsi="Times New Roman"/>
          <w:bCs/>
          <w:i/>
          <w:sz w:val="24"/>
          <w:szCs w:val="24"/>
        </w:rPr>
        <w:t xml:space="preserve"> </w:t>
      </w:r>
      <w:r w:rsidR="004058FC" w:rsidRPr="004058FC">
        <w:rPr>
          <w:rFonts w:ascii="Times New Roman" w:eastAsia="Times New Roman" w:hAnsi="Times New Roman"/>
          <w:bCs/>
          <w:sz w:val="24"/>
          <w:szCs w:val="24"/>
        </w:rPr>
        <w:t>Under Title VI of the Civil Rights Act, recipients of federal financia</w:t>
      </w:r>
      <w:r w:rsidR="006D177D">
        <w:rPr>
          <w:rFonts w:ascii="Times New Roman" w:eastAsia="Times New Roman" w:hAnsi="Times New Roman"/>
          <w:bCs/>
          <w:sz w:val="24"/>
          <w:szCs w:val="24"/>
        </w:rPr>
        <w:t>l assistance—</w:t>
      </w:r>
      <w:r w:rsidR="004058FC" w:rsidRPr="004058FC">
        <w:rPr>
          <w:rFonts w:ascii="Times New Roman" w:eastAsia="Times New Roman" w:hAnsi="Times New Roman"/>
          <w:bCs/>
          <w:sz w:val="24"/>
          <w:szCs w:val="24"/>
        </w:rPr>
        <w:t>including state cou</w:t>
      </w:r>
      <w:r w:rsidR="006D177D">
        <w:rPr>
          <w:rFonts w:ascii="Times New Roman" w:eastAsia="Times New Roman" w:hAnsi="Times New Roman"/>
          <w:bCs/>
          <w:sz w:val="24"/>
          <w:szCs w:val="24"/>
        </w:rPr>
        <w:t xml:space="preserve">rts </w:t>
      </w:r>
      <w:r w:rsidR="004058FC" w:rsidRPr="004058FC">
        <w:rPr>
          <w:rFonts w:ascii="Times New Roman" w:eastAsia="Times New Roman" w:hAnsi="Times New Roman"/>
          <w:bCs/>
          <w:sz w:val="24"/>
          <w:szCs w:val="24"/>
        </w:rPr>
        <w:t xml:space="preserve">that receive funds from the </w:t>
      </w:r>
      <w:r w:rsidR="006D177D">
        <w:rPr>
          <w:rFonts w:ascii="Times New Roman" w:eastAsia="Times New Roman" w:hAnsi="Times New Roman"/>
          <w:bCs/>
          <w:sz w:val="24"/>
          <w:szCs w:val="24"/>
        </w:rPr>
        <w:t>Department of Justice—</w:t>
      </w:r>
      <w:r w:rsidR="004058FC">
        <w:rPr>
          <w:rFonts w:ascii="Times New Roman" w:eastAsia="Times New Roman" w:hAnsi="Times New Roman"/>
          <w:bCs/>
          <w:sz w:val="24"/>
          <w:szCs w:val="24"/>
        </w:rPr>
        <w:t xml:space="preserve">have an obligation to ensure that people with limited English skills can access the programs or services the recipients offer. </w:t>
      </w:r>
      <w:r w:rsidR="00EE127C" w:rsidRPr="002D2716">
        <w:rPr>
          <w:rFonts w:ascii="Times New Roman" w:hAnsi="Times New Roman"/>
          <w:sz w:val="24"/>
          <w:szCs w:val="24"/>
        </w:rPr>
        <w:t>From opening investigations to offering technical assistance</w:t>
      </w:r>
      <w:r w:rsidR="00EE127C">
        <w:rPr>
          <w:rFonts w:ascii="Times New Roman" w:hAnsi="Times New Roman"/>
          <w:sz w:val="24"/>
          <w:szCs w:val="24"/>
        </w:rPr>
        <w:t>, t</w:t>
      </w:r>
      <w:r>
        <w:rPr>
          <w:rFonts w:ascii="Times New Roman" w:hAnsi="Times New Roman"/>
          <w:sz w:val="24"/>
          <w:szCs w:val="24"/>
        </w:rPr>
        <w:t xml:space="preserve">he Civil Rights Division’s Courts Language Access Initiative works to ensure that those who cannot speak or understand English have access to justice. </w:t>
      </w:r>
      <w:r w:rsidR="00EE127C">
        <w:rPr>
          <w:rFonts w:ascii="Times New Roman" w:hAnsi="Times New Roman"/>
          <w:sz w:val="24"/>
          <w:szCs w:val="24"/>
        </w:rPr>
        <w:t>D</w:t>
      </w:r>
      <w:r w:rsidR="002E4A23" w:rsidRPr="002D2716">
        <w:rPr>
          <w:rFonts w:ascii="Times New Roman" w:hAnsi="Times New Roman"/>
          <w:sz w:val="24"/>
          <w:szCs w:val="24"/>
        </w:rPr>
        <w:t>uring fiscal year 2013, the Court</w:t>
      </w:r>
      <w:r w:rsidR="00AA02DE">
        <w:rPr>
          <w:rFonts w:ascii="Times New Roman" w:hAnsi="Times New Roman"/>
          <w:sz w:val="24"/>
          <w:szCs w:val="24"/>
        </w:rPr>
        <w:t>s</w:t>
      </w:r>
      <w:r w:rsidR="002E4A23" w:rsidRPr="002D2716">
        <w:rPr>
          <w:rFonts w:ascii="Times New Roman" w:hAnsi="Times New Roman"/>
          <w:sz w:val="24"/>
          <w:szCs w:val="24"/>
        </w:rPr>
        <w:t xml:space="preserve"> Language Access Initiative worked with the court systems in 17 states to ensure that individuals </w:t>
      </w:r>
      <w:r w:rsidR="00AA02DE">
        <w:rPr>
          <w:rFonts w:ascii="Times New Roman" w:hAnsi="Times New Roman"/>
          <w:sz w:val="24"/>
          <w:szCs w:val="24"/>
        </w:rPr>
        <w:t>are</w:t>
      </w:r>
      <w:r w:rsidR="002E4A23" w:rsidRPr="002D2716">
        <w:rPr>
          <w:rFonts w:ascii="Times New Roman" w:hAnsi="Times New Roman"/>
          <w:sz w:val="24"/>
          <w:szCs w:val="24"/>
        </w:rPr>
        <w:t xml:space="preserve"> not denied access to important court proceedings because of their national origin.</w:t>
      </w:r>
      <w:r w:rsidR="008712B6">
        <w:rPr>
          <w:rFonts w:ascii="Times New Roman" w:hAnsi="Times New Roman"/>
          <w:sz w:val="24"/>
          <w:szCs w:val="24"/>
        </w:rPr>
        <w:t xml:space="preserve"> </w:t>
      </w:r>
      <w:r w:rsidR="002E4A23" w:rsidRPr="002D2716">
        <w:rPr>
          <w:rFonts w:ascii="Times New Roman" w:hAnsi="Times New Roman"/>
          <w:sz w:val="24"/>
          <w:szCs w:val="24"/>
        </w:rPr>
        <w:t xml:space="preserve">In several instances, the Division </w:t>
      </w:r>
      <w:r>
        <w:rPr>
          <w:rFonts w:ascii="Times New Roman" w:hAnsi="Times New Roman"/>
          <w:sz w:val="24"/>
          <w:szCs w:val="24"/>
        </w:rPr>
        <w:t>was</w:t>
      </w:r>
      <w:r w:rsidR="002E4A23" w:rsidRPr="002D2716">
        <w:rPr>
          <w:rFonts w:ascii="Times New Roman" w:hAnsi="Times New Roman"/>
          <w:sz w:val="24"/>
          <w:szCs w:val="24"/>
        </w:rPr>
        <w:t xml:space="preserve"> able to achieve voluntary compliance without resorting to a full investigation or enforcement action.</w:t>
      </w:r>
      <w:r w:rsidR="008712B6">
        <w:rPr>
          <w:rFonts w:ascii="Times New Roman" w:hAnsi="Times New Roman"/>
          <w:sz w:val="24"/>
          <w:szCs w:val="24"/>
        </w:rPr>
        <w:t xml:space="preserve"> </w:t>
      </w:r>
    </w:p>
    <w:p w:rsidR="002E4A23" w:rsidRDefault="002E4A23" w:rsidP="001C475F">
      <w:pPr>
        <w:pStyle w:val="ListParagraph"/>
        <w:spacing w:after="0" w:line="240" w:lineRule="auto"/>
        <w:ind w:left="0"/>
        <w:rPr>
          <w:rFonts w:ascii="Times New Roman" w:hAnsi="Times New Roman"/>
          <w:sz w:val="24"/>
          <w:szCs w:val="24"/>
        </w:rPr>
      </w:pPr>
    </w:p>
    <w:p w:rsidR="007C284F" w:rsidRPr="002D2716" w:rsidRDefault="006E1B9C" w:rsidP="001C475F">
      <w:pPr>
        <w:pStyle w:val="ListParagraph"/>
        <w:spacing w:after="0" w:line="240" w:lineRule="auto"/>
        <w:ind w:left="0"/>
        <w:rPr>
          <w:rFonts w:ascii="Times New Roman" w:hAnsi="Times New Roman"/>
          <w:sz w:val="24"/>
          <w:szCs w:val="24"/>
        </w:rPr>
      </w:pPr>
      <w:r w:rsidRPr="007C284F">
        <w:rPr>
          <w:rFonts w:ascii="Times New Roman" w:hAnsi="Times New Roman"/>
          <w:b/>
          <w:i/>
          <w:sz w:val="24"/>
          <w:szCs w:val="24"/>
        </w:rPr>
        <w:t>For Individuals Who Wear Religious Head Coverings:</w:t>
      </w:r>
      <w:r>
        <w:rPr>
          <w:rFonts w:ascii="Times New Roman" w:hAnsi="Times New Roman"/>
          <w:i/>
          <w:sz w:val="24"/>
          <w:szCs w:val="24"/>
        </w:rPr>
        <w:t xml:space="preserve"> </w:t>
      </w:r>
      <w:r w:rsidR="002E4A23" w:rsidRPr="002D2716">
        <w:rPr>
          <w:rFonts w:ascii="Times New Roman" w:hAnsi="Times New Roman"/>
          <w:sz w:val="24"/>
          <w:szCs w:val="24"/>
        </w:rPr>
        <w:t xml:space="preserve">In 2013, the Division successfully resolved two complaints alleging that individuals who are Sikh were denied access to </w:t>
      </w:r>
      <w:r w:rsidR="002E4A23">
        <w:rPr>
          <w:rFonts w:ascii="Times New Roman" w:hAnsi="Times New Roman"/>
          <w:sz w:val="24"/>
          <w:szCs w:val="24"/>
        </w:rPr>
        <w:t>county</w:t>
      </w:r>
      <w:r w:rsidR="002E4A23" w:rsidRPr="002D2716">
        <w:rPr>
          <w:rFonts w:ascii="Times New Roman" w:hAnsi="Times New Roman"/>
          <w:sz w:val="24"/>
          <w:szCs w:val="24"/>
        </w:rPr>
        <w:t xml:space="preserve"> court systems because of their religious headwear.</w:t>
      </w:r>
      <w:r w:rsidR="008712B6">
        <w:rPr>
          <w:rFonts w:ascii="Times New Roman" w:hAnsi="Times New Roman"/>
          <w:sz w:val="24"/>
          <w:szCs w:val="24"/>
        </w:rPr>
        <w:t xml:space="preserve"> </w:t>
      </w:r>
      <w:r w:rsidR="002E4A23" w:rsidRPr="002D2716">
        <w:rPr>
          <w:rFonts w:ascii="Times New Roman" w:hAnsi="Times New Roman"/>
          <w:sz w:val="24"/>
          <w:szCs w:val="24"/>
        </w:rPr>
        <w:t xml:space="preserve">Among other remedies, these </w:t>
      </w:r>
      <w:r w:rsidR="002E4A23">
        <w:rPr>
          <w:rFonts w:ascii="Times New Roman" w:hAnsi="Times New Roman"/>
          <w:sz w:val="24"/>
          <w:szCs w:val="24"/>
        </w:rPr>
        <w:t>counties</w:t>
      </w:r>
      <w:r w:rsidR="002E4A23" w:rsidRPr="002D2716">
        <w:rPr>
          <w:rFonts w:ascii="Times New Roman" w:hAnsi="Times New Roman"/>
          <w:sz w:val="24"/>
          <w:szCs w:val="24"/>
        </w:rPr>
        <w:t xml:space="preserve"> now have nondiscrimination policies that prohibit religious discrimination, including discrimination against an individual because of religious head coverings. </w:t>
      </w:r>
    </w:p>
    <w:p w:rsidR="004058FC" w:rsidRPr="008F1D60" w:rsidRDefault="004058FC" w:rsidP="001C475F">
      <w:pPr>
        <w:spacing w:after="0" w:line="240" w:lineRule="auto"/>
        <w:rPr>
          <w:rStyle w:val="BookTitle"/>
          <w:rFonts w:ascii="Cambria" w:hAnsi="Cambria"/>
          <w:sz w:val="24"/>
          <w:szCs w:val="24"/>
        </w:rPr>
      </w:pPr>
    </w:p>
    <w:p w:rsidR="009353FB" w:rsidRPr="00AF08D3" w:rsidRDefault="009353FB" w:rsidP="009353FB">
      <w:pPr>
        <w:pStyle w:val="Heading2"/>
        <w:rPr>
          <w:rStyle w:val="BookTitle"/>
        </w:rPr>
      </w:pPr>
      <w:r>
        <w:rPr>
          <w:rStyle w:val="BookTitle"/>
        </w:rPr>
        <w:t>Ensuring Effective, Accountable Policing:</w:t>
      </w:r>
    </w:p>
    <w:p w:rsidR="00136325" w:rsidRDefault="00136325" w:rsidP="001C475F">
      <w:pPr>
        <w:spacing w:after="0" w:line="240" w:lineRule="auto"/>
        <w:rPr>
          <w:rFonts w:ascii="Times New Roman" w:hAnsi="Times New Roman"/>
          <w:sz w:val="24"/>
          <w:szCs w:val="24"/>
        </w:rPr>
      </w:pPr>
      <w:r w:rsidRPr="00136325">
        <w:rPr>
          <w:rFonts w:ascii="Times New Roman" w:hAnsi="Times New Roman"/>
          <w:sz w:val="24"/>
          <w:szCs w:val="24"/>
        </w:rPr>
        <w:t xml:space="preserve">In the Civil Rights Division, we have profound respect for officers who put their lives on the line </w:t>
      </w:r>
      <w:r w:rsidR="003779CF">
        <w:rPr>
          <w:rFonts w:ascii="Times New Roman" w:hAnsi="Times New Roman"/>
          <w:sz w:val="24"/>
          <w:szCs w:val="24"/>
        </w:rPr>
        <w:t>every</w:t>
      </w:r>
      <w:r w:rsidR="00844896">
        <w:rPr>
          <w:rFonts w:ascii="Times New Roman" w:hAnsi="Times New Roman"/>
          <w:sz w:val="24"/>
          <w:szCs w:val="24"/>
        </w:rPr>
        <w:t xml:space="preserve"> </w:t>
      </w:r>
      <w:r w:rsidR="003779CF">
        <w:rPr>
          <w:rFonts w:ascii="Times New Roman" w:hAnsi="Times New Roman"/>
          <w:sz w:val="24"/>
          <w:szCs w:val="24"/>
        </w:rPr>
        <w:t>day to protect</w:t>
      </w:r>
      <w:r w:rsidRPr="00136325">
        <w:rPr>
          <w:rFonts w:ascii="Times New Roman" w:hAnsi="Times New Roman"/>
          <w:sz w:val="24"/>
          <w:szCs w:val="24"/>
        </w:rPr>
        <w:t xml:space="preserve"> their communities.</w:t>
      </w:r>
      <w:r w:rsidR="008712B6">
        <w:rPr>
          <w:rFonts w:ascii="Times New Roman" w:hAnsi="Times New Roman"/>
          <w:sz w:val="24"/>
          <w:szCs w:val="24"/>
        </w:rPr>
        <w:t xml:space="preserve"> </w:t>
      </w:r>
      <w:r w:rsidRPr="00136325">
        <w:rPr>
          <w:rFonts w:ascii="Times New Roman" w:hAnsi="Times New Roman"/>
          <w:sz w:val="24"/>
          <w:szCs w:val="24"/>
        </w:rPr>
        <w:t>We know that the vast majority of p</w:t>
      </w:r>
      <w:r w:rsidR="003779CF">
        <w:rPr>
          <w:rFonts w:ascii="Times New Roman" w:hAnsi="Times New Roman"/>
          <w:sz w:val="24"/>
          <w:szCs w:val="24"/>
        </w:rPr>
        <w:t xml:space="preserve">olice officers are law abiding and </w:t>
      </w:r>
      <w:r w:rsidRPr="00136325">
        <w:rPr>
          <w:rFonts w:ascii="Times New Roman" w:hAnsi="Times New Roman"/>
          <w:sz w:val="24"/>
          <w:szCs w:val="24"/>
        </w:rPr>
        <w:t>that effective, accountable policing is a core part of the fundamental infrastructure of democracy.</w:t>
      </w:r>
    </w:p>
    <w:p w:rsidR="00F10B54" w:rsidRPr="00136325" w:rsidRDefault="00F10B54" w:rsidP="001C475F">
      <w:pPr>
        <w:spacing w:after="0" w:line="240" w:lineRule="auto"/>
        <w:rPr>
          <w:rFonts w:ascii="Times New Roman" w:hAnsi="Times New Roman"/>
          <w:sz w:val="24"/>
          <w:szCs w:val="24"/>
        </w:rPr>
      </w:pPr>
    </w:p>
    <w:p w:rsidR="00D0785F" w:rsidRDefault="00136325" w:rsidP="001C475F">
      <w:pPr>
        <w:spacing w:after="0" w:line="240" w:lineRule="auto"/>
        <w:rPr>
          <w:rFonts w:ascii="Times New Roman" w:hAnsi="Times New Roman"/>
          <w:sz w:val="24"/>
          <w:szCs w:val="24"/>
        </w:rPr>
      </w:pPr>
      <w:r w:rsidRPr="00136325">
        <w:rPr>
          <w:rFonts w:ascii="Times New Roman" w:hAnsi="Times New Roman"/>
          <w:sz w:val="24"/>
          <w:szCs w:val="24"/>
        </w:rPr>
        <w:t>But we also know that if a</w:t>
      </w:r>
      <w:r w:rsidR="00AA02DE">
        <w:rPr>
          <w:rFonts w:ascii="Times New Roman" w:hAnsi="Times New Roman"/>
          <w:sz w:val="24"/>
          <w:szCs w:val="24"/>
        </w:rPr>
        <w:t xml:space="preserve"> law enforcement agency</w:t>
      </w:r>
      <w:r w:rsidRPr="00136325">
        <w:rPr>
          <w:rFonts w:ascii="Times New Roman" w:hAnsi="Times New Roman"/>
          <w:sz w:val="24"/>
          <w:szCs w:val="24"/>
        </w:rPr>
        <w:t xml:space="preserve"> lacks the appropriate internal and external mechanisms of accountability, it cannot protect and serve effectively.</w:t>
      </w:r>
      <w:r w:rsidR="008712B6">
        <w:rPr>
          <w:rFonts w:ascii="Times New Roman" w:hAnsi="Times New Roman"/>
          <w:sz w:val="24"/>
          <w:szCs w:val="24"/>
        </w:rPr>
        <w:t xml:space="preserve"> </w:t>
      </w:r>
      <w:r w:rsidR="00AA02DE">
        <w:rPr>
          <w:rFonts w:ascii="Times New Roman" w:hAnsi="Times New Roman"/>
          <w:sz w:val="24"/>
          <w:szCs w:val="24"/>
        </w:rPr>
        <w:t xml:space="preserve">The Division </w:t>
      </w:r>
      <w:r w:rsidR="003779CF">
        <w:rPr>
          <w:rFonts w:ascii="Times New Roman" w:hAnsi="Times New Roman"/>
          <w:sz w:val="24"/>
          <w:szCs w:val="24"/>
        </w:rPr>
        <w:t>attempts</w:t>
      </w:r>
      <w:r w:rsidRPr="00136325">
        <w:rPr>
          <w:rFonts w:ascii="Times New Roman" w:hAnsi="Times New Roman"/>
          <w:sz w:val="24"/>
          <w:szCs w:val="24"/>
        </w:rPr>
        <w:t xml:space="preserve"> to empower and assist law abiding officers by en</w:t>
      </w:r>
      <w:r w:rsidR="002F3B37">
        <w:rPr>
          <w:rFonts w:ascii="Times New Roman" w:hAnsi="Times New Roman"/>
          <w:sz w:val="24"/>
          <w:szCs w:val="24"/>
        </w:rPr>
        <w:t xml:space="preserve">suring that those officers who </w:t>
      </w:r>
      <w:r w:rsidRPr="00136325">
        <w:rPr>
          <w:rFonts w:ascii="Times New Roman" w:hAnsi="Times New Roman"/>
          <w:sz w:val="24"/>
          <w:szCs w:val="24"/>
        </w:rPr>
        <w:t>abus</w:t>
      </w:r>
      <w:r w:rsidR="003779CF">
        <w:rPr>
          <w:rFonts w:ascii="Times New Roman" w:hAnsi="Times New Roman"/>
          <w:sz w:val="24"/>
          <w:szCs w:val="24"/>
        </w:rPr>
        <w:t xml:space="preserve">e </w:t>
      </w:r>
      <w:r w:rsidRPr="00136325">
        <w:rPr>
          <w:rFonts w:ascii="Times New Roman" w:hAnsi="Times New Roman"/>
          <w:sz w:val="24"/>
          <w:szCs w:val="24"/>
        </w:rPr>
        <w:t>their authority are held accountable.</w:t>
      </w:r>
      <w:r w:rsidR="008712B6">
        <w:rPr>
          <w:rFonts w:ascii="Times New Roman" w:hAnsi="Times New Roman"/>
          <w:sz w:val="24"/>
          <w:szCs w:val="24"/>
        </w:rPr>
        <w:t xml:space="preserve"> </w:t>
      </w:r>
    </w:p>
    <w:p w:rsidR="00F10B54" w:rsidRPr="003779CF" w:rsidRDefault="00F10B54" w:rsidP="001C475F">
      <w:pPr>
        <w:spacing w:after="0" w:line="240" w:lineRule="auto"/>
        <w:rPr>
          <w:rStyle w:val="BookTitle"/>
          <w:rFonts w:ascii="Times New Roman" w:hAnsi="Times New Roman"/>
          <w:b w:val="0"/>
          <w:bCs w:val="0"/>
          <w:smallCaps w:val="0"/>
          <w:spacing w:val="0"/>
          <w:sz w:val="24"/>
          <w:szCs w:val="24"/>
        </w:rPr>
      </w:pPr>
    </w:p>
    <w:p w:rsidR="008E4F13" w:rsidRDefault="00331FE6" w:rsidP="001C475F">
      <w:pPr>
        <w:spacing w:after="0" w:line="240" w:lineRule="auto"/>
        <w:rPr>
          <w:rFonts w:ascii="Times New Roman" w:hAnsi="Times New Roman"/>
          <w:sz w:val="24"/>
          <w:szCs w:val="24"/>
        </w:rPr>
      </w:pPr>
      <w:r>
        <w:rPr>
          <w:rFonts w:ascii="Times New Roman" w:hAnsi="Times New Roman"/>
          <w:i/>
          <w:sz w:val="24"/>
          <w:szCs w:val="24"/>
        </w:rPr>
        <w:t>Puerto Rico Police Department</w:t>
      </w:r>
      <w:r w:rsidR="00136325">
        <w:rPr>
          <w:rFonts w:ascii="Times New Roman" w:hAnsi="Times New Roman"/>
          <w:i/>
          <w:sz w:val="24"/>
          <w:szCs w:val="24"/>
        </w:rPr>
        <w:t xml:space="preserve">: </w:t>
      </w:r>
      <w:r w:rsidR="00306924">
        <w:rPr>
          <w:rFonts w:ascii="Times New Roman" w:hAnsi="Times New Roman"/>
          <w:sz w:val="24"/>
          <w:szCs w:val="24"/>
        </w:rPr>
        <w:t>In 2011, after a three-</w:t>
      </w:r>
      <w:r w:rsidR="00730ABE">
        <w:rPr>
          <w:rFonts w:ascii="Times New Roman" w:hAnsi="Times New Roman"/>
          <w:sz w:val="24"/>
          <w:szCs w:val="24"/>
        </w:rPr>
        <w:t xml:space="preserve">year </w:t>
      </w:r>
      <w:r w:rsidR="00136325">
        <w:rPr>
          <w:rFonts w:ascii="Times New Roman" w:hAnsi="Times New Roman"/>
          <w:sz w:val="24"/>
          <w:szCs w:val="24"/>
        </w:rPr>
        <w:t xml:space="preserve">investigation, the Division </w:t>
      </w:r>
      <w:r w:rsidR="00EE127C">
        <w:rPr>
          <w:rFonts w:ascii="Times New Roman" w:hAnsi="Times New Roman"/>
          <w:sz w:val="24"/>
          <w:szCs w:val="24"/>
        </w:rPr>
        <w:t xml:space="preserve">found </w:t>
      </w:r>
      <w:r w:rsidR="00136325">
        <w:rPr>
          <w:rFonts w:ascii="Times New Roman" w:hAnsi="Times New Roman"/>
          <w:sz w:val="24"/>
          <w:szCs w:val="24"/>
        </w:rPr>
        <w:t>that the Puerto Rico Police Department</w:t>
      </w:r>
      <w:r>
        <w:rPr>
          <w:rFonts w:ascii="Times New Roman" w:hAnsi="Times New Roman"/>
          <w:sz w:val="24"/>
          <w:szCs w:val="24"/>
        </w:rPr>
        <w:t xml:space="preserve"> (PRPD)</w:t>
      </w:r>
      <w:r w:rsidR="00136325">
        <w:rPr>
          <w:rFonts w:ascii="Times New Roman" w:hAnsi="Times New Roman"/>
          <w:sz w:val="24"/>
          <w:szCs w:val="24"/>
        </w:rPr>
        <w:t xml:space="preserve"> engaged</w:t>
      </w:r>
      <w:r w:rsidR="002F3B37">
        <w:rPr>
          <w:rFonts w:ascii="Times New Roman" w:hAnsi="Times New Roman"/>
          <w:sz w:val="24"/>
          <w:szCs w:val="24"/>
        </w:rPr>
        <w:t xml:space="preserve"> in a pattern or practice of using</w:t>
      </w:r>
      <w:r w:rsidR="00136325">
        <w:rPr>
          <w:rFonts w:ascii="Times New Roman" w:hAnsi="Times New Roman"/>
          <w:sz w:val="24"/>
          <w:szCs w:val="24"/>
        </w:rPr>
        <w:t xml:space="preserve"> excessive force, unreasonable force designed to suppress protected speech, and unconstitutional searches </w:t>
      </w:r>
      <w:r w:rsidR="00136325">
        <w:rPr>
          <w:rFonts w:ascii="Times New Roman" w:hAnsi="Times New Roman"/>
          <w:sz w:val="24"/>
          <w:szCs w:val="24"/>
        </w:rPr>
        <w:lastRenderedPageBreak/>
        <w:t xml:space="preserve">and seizures. </w:t>
      </w:r>
      <w:r w:rsidR="006E4B07">
        <w:rPr>
          <w:rFonts w:ascii="Times New Roman" w:hAnsi="Times New Roman"/>
          <w:sz w:val="24"/>
          <w:szCs w:val="24"/>
        </w:rPr>
        <w:t>In 2013</w:t>
      </w:r>
      <w:r w:rsidR="00730ABE">
        <w:rPr>
          <w:rFonts w:ascii="Times New Roman" w:hAnsi="Times New Roman"/>
          <w:sz w:val="24"/>
          <w:szCs w:val="24"/>
        </w:rPr>
        <w:t xml:space="preserve">, the Division entered into a sweeping agreement with the Commonwealth of Puerto Rico and Governor Luis </w:t>
      </w:r>
      <w:proofErr w:type="spellStart"/>
      <w:r w:rsidR="00730ABE">
        <w:rPr>
          <w:rFonts w:ascii="Times New Roman" w:hAnsi="Times New Roman"/>
          <w:sz w:val="24"/>
          <w:szCs w:val="24"/>
        </w:rPr>
        <w:t>Fortu</w:t>
      </w:r>
      <w:r w:rsidR="00587B2F">
        <w:rPr>
          <w:rFonts w:ascii="Times New Roman" w:hAnsi="Times New Roman"/>
          <w:sz w:val="24"/>
          <w:szCs w:val="24"/>
        </w:rPr>
        <w:t>ñ</w:t>
      </w:r>
      <w:r w:rsidR="00730ABE">
        <w:rPr>
          <w:rFonts w:ascii="Times New Roman" w:hAnsi="Times New Roman"/>
          <w:sz w:val="24"/>
          <w:szCs w:val="24"/>
        </w:rPr>
        <w:t>o</w:t>
      </w:r>
      <w:proofErr w:type="spellEnd"/>
      <w:r w:rsidR="00730ABE">
        <w:rPr>
          <w:rFonts w:ascii="Times New Roman" w:hAnsi="Times New Roman"/>
          <w:sz w:val="24"/>
          <w:szCs w:val="24"/>
        </w:rPr>
        <w:t xml:space="preserve"> to address these </w:t>
      </w:r>
      <w:r w:rsidR="002F3B37">
        <w:rPr>
          <w:rFonts w:ascii="Times New Roman" w:hAnsi="Times New Roman"/>
          <w:sz w:val="24"/>
          <w:szCs w:val="24"/>
        </w:rPr>
        <w:t>claims</w:t>
      </w:r>
      <w:r w:rsidR="00730ABE">
        <w:rPr>
          <w:rFonts w:ascii="Times New Roman" w:hAnsi="Times New Roman"/>
          <w:sz w:val="24"/>
          <w:szCs w:val="24"/>
        </w:rPr>
        <w:t xml:space="preserve">. </w:t>
      </w:r>
      <w:r>
        <w:rPr>
          <w:rFonts w:ascii="Times New Roman" w:hAnsi="Times New Roman"/>
          <w:sz w:val="24"/>
          <w:szCs w:val="24"/>
        </w:rPr>
        <w:t xml:space="preserve">This agreement outlines reforms intended to ensure that police services are delivered to the people of Puerto Rico in a manner that is effective, complies with the Constitution, and promotes the community’s trust in PRPD. </w:t>
      </w:r>
    </w:p>
    <w:p w:rsidR="003A195B" w:rsidRDefault="003A195B" w:rsidP="001C475F">
      <w:pPr>
        <w:spacing w:after="0" w:line="240" w:lineRule="auto"/>
        <w:rPr>
          <w:rFonts w:ascii="Times New Roman" w:hAnsi="Times New Roman"/>
          <w:sz w:val="24"/>
          <w:szCs w:val="24"/>
        </w:rPr>
      </w:pPr>
    </w:p>
    <w:p w:rsidR="00410E1E" w:rsidRDefault="00410E1E" w:rsidP="00410E1E">
      <w:pPr>
        <w:pBdr>
          <w:top w:val="single" w:sz="4" w:space="1" w:color="auto"/>
          <w:left w:val="single" w:sz="4" w:space="4" w:color="auto"/>
          <w:bottom w:val="single" w:sz="4" w:space="1" w:color="auto"/>
          <w:right w:val="single" w:sz="4" w:space="4" w:color="auto"/>
        </w:pBdr>
        <w:spacing w:after="0" w:line="240" w:lineRule="auto"/>
        <w:jc w:val="center"/>
        <w:rPr>
          <w:rStyle w:val="BookTitle"/>
          <w:rFonts w:ascii="Cambria" w:hAnsi="Cambria"/>
          <w:sz w:val="28"/>
          <w:szCs w:val="28"/>
        </w:rPr>
      </w:pPr>
      <w:r>
        <w:rPr>
          <w:rStyle w:val="BookTitle"/>
          <w:rFonts w:ascii="Cambria" w:hAnsi="Cambria"/>
          <w:sz w:val="28"/>
          <w:szCs w:val="28"/>
        </w:rPr>
        <w:t>Protecting Women from Sexual Assault and Harassment</w:t>
      </w:r>
    </w:p>
    <w:p w:rsidR="00410E1E" w:rsidRPr="00AD4BF9" w:rsidRDefault="00410E1E" w:rsidP="00410E1E">
      <w:pPr>
        <w:pBdr>
          <w:top w:val="single" w:sz="4" w:space="1" w:color="auto"/>
          <w:left w:val="single" w:sz="4" w:space="4" w:color="auto"/>
          <w:bottom w:val="single" w:sz="4" w:space="1" w:color="auto"/>
          <w:right w:val="single" w:sz="4" w:space="4" w:color="auto"/>
        </w:pBdr>
        <w:spacing w:after="0" w:line="240" w:lineRule="auto"/>
        <w:jc w:val="center"/>
        <w:rPr>
          <w:rStyle w:val="BookTitle"/>
          <w:rFonts w:ascii="Cambria" w:hAnsi="Cambria"/>
          <w:sz w:val="28"/>
          <w:szCs w:val="28"/>
        </w:rPr>
      </w:pPr>
    </w:p>
    <w:p w:rsidR="00914BD2" w:rsidRDefault="00914BD2" w:rsidP="00914B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5C2813">
        <w:rPr>
          <w:rFonts w:ascii="Times New Roman" w:hAnsi="Times New Roman"/>
          <w:sz w:val="24"/>
          <w:szCs w:val="24"/>
        </w:rPr>
        <w:t xml:space="preserve">Title IX of the Education Amendments of 1972 and Title IV of the Civil Rights Act of 1964 each </w:t>
      </w:r>
      <w:r>
        <w:rPr>
          <w:rFonts w:ascii="Times New Roman" w:hAnsi="Times New Roman"/>
          <w:sz w:val="24"/>
          <w:szCs w:val="24"/>
        </w:rPr>
        <w:t>prohibit sex discrimination—</w:t>
      </w:r>
      <w:r w:rsidRPr="005C2813">
        <w:rPr>
          <w:rFonts w:ascii="Times New Roman" w:hAnsi="Times New Roman"/>
          <w:sz w:val="24"/>
          <w:szCs w:val="24"/>
        </w:rPr>
        <w:t>including sexual assault and sexual harassment</w:t>
      </w:r>
      <w:r>
        <w:rPr>
          <w:rFonts w:ascii="Times New Roman" w:hAnsi="Times New Roman"/>
          <w:sz w:val="24"/>
          <w:szCs w:val="24"/>
        </w:rPr>
        <w:t>—</w:t>
      </w:r>
      <w:r w:rsidRPr="005C2813">
        <w:rPr>
          <w:rFonts w:ascii="Times New Roman" w:hAnsi="Times New Roman"/>
          <w:sz w:val="24"/>
          <w:szCs w:val="24"/>
        </w:rPr>
        <w:t xml:space="preserve">in education programs. </w:t>
      </w:r>
      <w:r>
        <w:rPr>
          <w:rFonts w:ascii="Times New Roman" w:hAnsi="Times New Roman"/>
          <w:sz w:val="24"/>
          <w:szCs w:val="24"/>
        </w:rPr>
        <w:t>Yet despite these legal protections, a</w:t>
      </w:r>
      <w:r w:rsidRPr="003A195B">
        <w:rPr>
          <w:rFonts w:ascii="Times New Roman" w:hAnsi="Times New Roman"/>
          <w:sz w:val="24"/>
          <w:szCs w:val="24"/>
        </w:rPr>
        <w:t>bout one in five women is a survivor of attempted or completed sexual violence while in college</w:t>
      </w:r>
      <w:r>
        <w:rPr>
          <w:rFonts w:ascii="Times New Roman" w:hAnsi="Times New Roman"/>
          <w:sz w:val="24"/>
          <w:szCs w:val="24"/>
        </w:rPr>
        <w:t>.</w:t>
      </w:r>
    </w:p>
    <w:p w:rsidR="00914BD2" w:rsidRDefault="00914BD2" w:rsidP="00914B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914BD2" w:rsidRDefault="00914BD2" w:rsidP="00914B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i/>
          <w:sz w:val="24"/>
          <w:szCs w:val="24"/>
        </w:rPr>
        <w:t>Missoula, Montana:</w:t>
      </w:r>
      <w:r w:rsidRPr="002F48D6">
        <w:t xml:space="preserve"> </w:t>
      </w:r>
      <w:r>
        <w:rPr>
          <w:rFonts w:ascii="Times New Roman" w:hAnsi="Times New Roman"/>
          <w:sz w:val="24"/>
          <w:szCs w:val="24"/>
        </w:rPr>
        <w:t xml:space="preserve">Last year, the Division and the U.S. Attorney’s Office for the District of Montana </w:t>
      </w:r>
      <w:r w:rsidRPr="00D0785F">
        <w:rPr>
          <w:rFonts w:ascii="Times New Roman" w:hAnsi="Times New Roman"/>
          <w:sz w:val="24"/>
          <w:szCs w:val="24"/>
        </w:rPr>
        <w:t xml:space="preserve">completed </w:t>
      </w:r>
      <w:r w:rsidRPr="005C2813">
        <w:rPr>
          <w:rFonts w:ascii="Times New Roman" w:hAnsi="Times New Roman"/>
          <w:sz w:val="24"/>
          <w:szCs w:val="24"/>
        </w:rPr>
        <w:t>a series of investigations stemming from allegations of sexual assault and sexual harassment at the University of Montana and</w:t>
      </w:r>
      <w:r>
        <w:rPr>
          <w:rFonts w:ascii="Times New Roman" w:hAnsi="Times New Roman"/>
          <w:sz w:val="24"/>
          <w:szCs w:val="24"/>
        </w:rPr>
        <w:t xml:space="preserve"> in the greater Missoula</w:t>
      </w:r>
      <w:r w:rsidRPr="005C2813">
        <w:rPr>
          <w:rFonts w:ascii="Times New Roman" w:hAnsi="Times New Roman"/>
          <w:sz w:val="24"/>
          <w:szCs w:val="24"/>
        </w:rPr>
        <w:t xml:space="preserve"> community.</w:t>
      </w:r>
      <w:r>
        <w:rPr>
          <w:rFonts w:ascii="Times New Roman" w:hAnsi="Times New Roman"/>
          <w:sz w:val="24"/>
          <w:szCs w:val="24"/>
        </w:rPr>
        <w:t xml:space="preserve"> These investigations included a review of the University’s policies for handling </w:t>
      </w:r>
      <w:r w:rsidRPr="00C45B1B">
        <w:rPr>
          <w:rFonts w:ascii="Times New Roman" w:hAnsi="Times New Roman"/>
          <w:sz w:val="24"/>
          <w:szCs w:val="24"/>
        </w:rPr>
        <w:t>sexual assault and harassment complaints</w:t>
      </w:r>
      <w:r>
        <w:rPr>
          <w:rFonts w:ascii="Times New Roman" w:hAnsi="Times New Roman"/>
          <w:sz w:val="24"/>
          <w:szCs w:val="24"/>
        </w:rPr>
        <w:t xml:space="preserve"> as well as an </w:t>
      </w:r>
      <w:r w:rsidRPr="00D0785F">
        <w:rPr>
          <w:rFonts w:ascii="Times New Roman" w:hAnsi="Times New Roman"/>
          <w:sz w:val="24"/>
          <w:szCs w:val="24"/>
        </w:rPr>
        <w:t xml:space="preserve">investigation </w:t>
      </w:r>
      <w:r>
        <w:rPr>
          <w:rFonts w:ascii="Times New Roman" w:hAnsi="Times New Roman"/>
          <w:sz w:val="24"/>
          <w:szCs w:val="24"/>
        </w:rPr>
        <w:t xml:space="preserve">of </w:t>
      </w:r>
      <w:r w:rsidRPr="002F48D6">
        <w:rPr>
          <w:rFonts w:ascii="Times New Roman" w:hAnsi="Times New Roman"/>
          <w:sz w:val="24"/>
          <w:szCs w:val="24"/>
        </w:rPr>
        <w:t>allegations</w:t>
      </w:r>
      <w:r>
        <w:rPr>
          <w:rFonts w:ascii="Times New Roman" w:hAnsi="Times New Roman"/>
          <w:sz w:val="24"/>
          <w:szCs w:val="24"/>
        </w:rPr>
        <w:t xml:space="preserve"> that</w:t>
      </w:r>
      <w:r w:rsidRPr="00D0785F">
        <w:rPr>
          <w:rFonts w:ascii="Times New Roman" w:hAnsi="Times New Roman"/>
          <w:sz w:val="24"/>
          <w:szCs w:val="24"/>
        </w:rPr>
        <w:t xml:space="preserve"> </w:t>
      </w:r>
      <w:r>
        <w:rPr>
          <w:rFonts w:ascii="Times New Roman" w:hAnsi="Times New Roman"/>
          <w:sz w:val="24"/>
          <w:szCs w:val="24"/>
        </w:rPr>
        <w:t>two local police forces—</w:t>
      </w:r>
      <w:r w:rsidRPr="00D0785F">
        <w:rPr>
          <w:rFonts w:ascii="Times New Roman" w:hAnsi="Times New Roman"/>
          <w:sz w:val="24"/>
          <w:szCs w:val="24"/>
        </w:rPr>
        <w:t xml:space="preserve">the </w:t>
      </w:r>
      <w:r>
        <w:rPr>
          <w:rFonts w:ascii="Times New Roman" w:hAnsi="Times New Roman"/>
          <w:sz w:val="24"/>
          <w:szCs w:val="24"/>
        </w:rPr>
        <w:t>University Of Montana Office Of Public Safety</w:t>
      </w:r>
      <w:r w:rsidRPr="00D0785F">
        <w:rPr>
          <w:rFonts w:ascii="Times New Roman" w:hAnsi="Times New Roman"/>
          <w:sz w:val="24"/>
          <w:szCs w:val="24"/>
        </w:rPr>
        <w:t xml:space="preserve"> and the Missoula Police</w:t>
      </w:r>
      <w:r>
        <w:rPr>
          <w:rFonts w:ascii="Times New Roman" w:hAnsi="Times New Roman"/>
          <w:sz w:val="24"/>
          <w:szCs w:val="24"/>
        </w:rPr>
        <w:t xml:space="preserve"> Department—</w:t>
      </w:r>
      <w:r w:rsidRPr="002F48D6">
        <w:rPr>
          <w:rFonts w:ascii="Times New Roman" w:hAnsi="Times New Roman"/>
          <w:sz w:val="24"/>
          <w:szCs w:val="24"/>
        </w:rPr>
        <w:t>were systematically failing to protect women victims of sexual assault</w:t>
      </w:r>
      <w:r>
        <w:rPr>
          <w:rFonts w:ascii="Times New Roman" w:hAnsi="Times New Roman"/>
          <w:sz w:val="24"/>
          <w:szCs w:val="24"/>
        </w:rPr>
        <w:t xml:space="preserve">. </w:t>
      </w:r>
    </w:p>
    <w:p w:rsidR="00914BD2" w:rsidRDefault="00914BD2" w:rsidP="00914B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914BD2" w:rsidRDefault="00914BD2" w:rsidP="00914B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 xml:space="preserve">In May 2013, working with </w:t>
      </w:r>
      <w:r w:rsidRPr="00C45B1B">
        <w:rPr>
          <w:rFonts w:ascii="Times New Roman" w:hAnsi="Times New Roman"/>
          <w:sz w:val="24"/>
          <w:szCs w:val="24"/>
        </w:rPr>
        <w:t xml:space="preserve">the Department of Education’s Office for Civil </w:t>
      </w:r>
      <w:r>
        <w:rPr>
          <w:rFonts w:ascii="Times New Roman" w:hAnsi="Times New Roman"/>
          <w:sz w:val="24"/>
          <w:szCs w:val="24"/>
        </w:rPr>
        <w:t>Rights, t</w:t>
      </w:r>
      <w:r w:rsidRPr="002E65EA">
        <w:rPr>
          <w:rFonts w:ascii="Times New Roman" w:hAnsi="Times New Roman"/>
          <w:sz w:val="24"/>
          <w:szCs w:val="24"/>
        </w:rPr>
        <w:t>he Division</w:t>
      </w:r>
      <w:r>
        <w:rPr>
          <w:rFonts w:ascii="Times New Roman" w:hAnsi="Times New Roman"/>
          <w:sz w:val="24"/>
          <w:szCs w:val="24"/>
        </w:rPr>
        <w:t xml:space="preserve"> </w:t>
      </w:r>
      <w:r w:rsidRPr="002E65EA">
        <w:rPr>
          <w:rFonts w:ascii="Times New Roman" w:hAnsi="Times New Roman"/>
          <w:sz w:val="24"/>
          <w:szCs w:val="24"/>
        </w:rPr>
        <w:t>entered into</w:t>
      </w:r>
      <w:r>
        <w:rPr>
          <w:rFonts w:ascii="Times New Roman" w:hAnsi="Times New Roman"/>
          <w:sz w:val="24"/>
          <w:szCs w:val="24"/>
        </w:rPr>
        <w:t xml:space="preserve"> a </w:t>
      </w:r>
      <w:r w:rsidRPr="00D0785F">
        <w:rPr>
          <w:rFonts w:ascii="Times New Roman" w:hAnsi="Times New Roman"/>
          <w:sz w:val="24"/>
          <w:szCs w:val="24"/>
        </w:rPr>
        <w:t xml:space="preserve">comprehensive </w:t>
      </w:r>
      <w:r>
        <w:rPr>
          <w:rFonts w:ascii="Times New Roman" w:hAnsi="Times New Roman"/>
          <w:sz w:val="24"/>
          <w:szCs w:val="24"/>
        </w:rPr>
        <w:t>agreement with the u</w:t>
      </w:r>
      <w:r w:rsidRPr="002E65EA">
        <w:rPr>
          <w:rFonts w:ascii="Times New Roman" w:hAnsi="Times New Roman"/>
          <w:sz w:val="24"/>
          <w:szCs w:val="24"/>
        </w:rPr>
        <w:t xml:space="preserve">niversity to </w:t>
      </w:r>
      <w:r w:rsidRPr="00C45B1B">
        <w:rPr>
          <w:rFonts w:ascii="Times New Roman" w:hAnsi="Times New Roman"/>
          <w:sz w:val="24"/>
          <w:szCs w:val="24"/>
        </w:rPr>
        <w:t>ensure that it responds swiftly and effectively to allegations of sexual assault and harassment by students</w:t>
      </w:r>
      <w:r>
        <w:rPr>
          <w:rFonts w:ascii="Times New Roman" w:hAnsi="Times New Roman"/>
          <w:sz w:val="24"/>
          <w:szCs w:val="24"/>
        </w:rPr>
        <w:t xml:space="preserve">.  The Division also entered into </w:t>
      </w:r>
      <w:r w:rsidRPr="00D0785F">
        <w:rPr>
          <w:rFonts w:ascii="Times New Roman" w:hAnsi="Times New Roman"/>
          <w:sz w:val="24"/>
          <w:szCs w:val="24"/>
        </w:rPr>
        <w:t>agreements with both police forces to achieve reforms to ensure that police services are delivered in a nondiscriminatory fashion, that sex crimes are investigated</w:t>
      </w:r>
      <w:r>
        <w:rPr>
          <w:rFonts w:ascii="Times New Roman" w:hAnsi="Times New Roman"/>
          <w:sz w:val="24"/>
          <w:szCs w:val="24"/>
        </w:rPr>
        <w:t>,</w:t>
      </w:r>
      <w:r w:rsidRPr="00D0785F">
        <w:rPr>
          <w:rFonts w:ascii="Times New Roman" w:hAnsi="Times New Roman"/>
          <w:sz w:val="24"/>
          <w:szCs w:val="24"/>
        </w:rPr>
        <w:t xml:space="preserve"> and that victims are tre</w:t>
      </w:r>
      <w:r>
        <w:rPr>
          <w:rFonts w:ascii="Times New Roman" w:hAnsi="Times New Roman"/>
          <w:sz w:val="24"/>
          <w:szCs w:val="24"/>
        </w:rPr>
        <w:t xml:space="preserve">ated fairly and with respect.  These agreements quickly resulted in important improvements in the way sexual assault reports are handled and victims are treated.  In light of its crucial role in the protection of sexual assault victims, an investigation against the Missoula County Attorney is continuing. </w:t>
      </w:r>
    </w:p>
    <w:p w:rsidR="00914BD2" w:rsidRDefault="00914BD2" w:rsidP="00914B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3A195B" w:rsidRDefault="003A195B" w:rsidP="001C475F">
      <w:pPr>
        <w:spacing w:after="0" w:line="240" w:lineRule="auto"/>
        <w:rPr>
          <w:rFonts w:ascii="Times New Roman" w:hAnsi="Times New Roman"/>
          <w:sz w:val="24"/>
          <w:szCs w:val="24"/>
        </w:rPr>
      </w:pPr>
    </w:p>
    <w:p w:rsidR="008803E9" w:rsidRDefault="008803E9" w:rsidP="001C475F">
      <w:pPr>
        <w:spacing w:after="0" w:line="240" w:lineRule="auto"/>
        <w:jc w:val="center"/>
        <w:rPr>
          <w:rStyle w:val="IntenseEmphasis"/>
          <w:sz w:val="24"/>
          <w:szCs w:val="24"/>
        </w:rPr>
      </w:pPr>
    </w:p>
    <w:p w:rsidR="003A195B" w:rsidRDefault="003A195B" w:rsidP="001C475F">
      <w:pPr>
        <w:spacing w:after="0" w:line="240" w:lineRule="auto"/>
        <w:jc w:val="center"/>
        <w:rPr>
          <w:rStyle w:val="IntenseEmphasis"/>
          <w:sz w:val="24"/>
          <w:szCs w:val="24"/>
        </w:rPr>
      </w:pPr>
    </w:p>
    <w:p w:rsidR="006F4B96" w:rsidRPr="002A16F8" w:rsidRDefault="008803E9" w:rsidP="001C475F">
      <w:pPr>
        <w:spacing w:after="0" w:line="240" w:lineRule="auto"/>
        <w:jc w:val="center"/>
        <w:rPr>
          <w:rStyle w:val="IntenseEmphasis"/>
          <w:rFonts w:asciiTheme="majorHAnsi" w:hAnsiTheme="majorHAnsi"/>
          <w:sz w:val="28"/>
          <w:szCs w:val="28"/>
        </w:rPr>
      </w:pPr>
      <w:r>
        <w:rPr>
          <w:rStyle w:val="IntenseEmphasis"/>
          <w:sz w:val="24"/>
          <w:szCs w:val="24"/>
        </w:rPr>
        <w:br w:type="column"/>
      </w:r>
      <w:r w:rsidR="006F4B96" w:rsidRPr="002A16F8">
        <w:rPr>
          <w:rStyle w:val="IntenseEmphasis"/>
          <w:rFonts w:asciiTheme="majorHAnsi" w:hAnsiTheme="majorHAnsi"/>
          <w:sz w:val="28"/>
          <w:szCs w:val="28"/>
        </w:rPr>
        <w:lastRenderedPageBreak/>
        <w:t xml:space="preserve">Protecting Individuals from Exploitation, Discrimination, </w:t>
      </w:r>
      <w:r w:rsidR="009706D6" w:rsidRPr="002A16F8">
        <w:rPr>
          <w:rStyle w:val="IntenseEmphasis"/>
          <w:rFonts w:asciiTheme="majorHAnsi" w:hAnsiTheme="majorHAnsi"/>
          <w:sz w:val="28"/>
          <w:szCs w:val="28"/>
        </w:rPr>
        <w:t>a</w:t>
      </w:r>
      <w:r w:rsidR="006F4B96" w:rsidRPr="002A16F8">
        <w:rPr>
          <w:rStyle w:val="IntenseEmphasis"/>
          <w:rFonts w:asciiTheme="majorHAnsi" w:hAnsiTheme="majorHAnsi"/>
          <w:sz w:val="28"/>
          <w:szCs w:val="28"/>
        </w:rPr>
        <w:t>nd Violence</w:t>
      </w:r>
    </w:p>
    <w:p w:rsidR="00F10B54" w:rsidRDefault="00F10B54" w:rsidP="009417F7">
      <w:pPr>
        <w:spacing w:after="0" w:line="240" w:lineRule="auto"/>
        <w:rPr>
          <w:rStyle w:val="BookTitle"/>
          <w:rFonts w:ascii="Cambria" w:hAnsi="Cambria"/>
          <w:sz w:val="24"/>
          <w:szCs w:val="24"/>
        </w:rPr>
      </w:pPr>
    </w:p>
    <w:p w:rsidR="009353FB" w:rsidRPr="00AF08D3" w:rsidRDefault="009353FB" w:rsidP="009353FB">
      <w:pPr>
        <w:pStyle w:val="Heading2"/>
        <w:rPr>
          <w:rStyle w:val="BookTitle"/>
        </w:rPr>
      </w:pPr>
      <w:r>
        <w:rPr>
          <w:rStyle w:val="BookTitle"/>
        </w:rPr>
        <w:t>Combating Hate Crimes:</w:t>
      </w:r>
    </w:p>
    <w:p w:rsidR="006F4B96" w:rsidRDefault="006F4B96" w:rsidP="00F10B54">
      <w:pPr>
        <w:spacing w:after="0" w:line="240" w:lineRule="auto"/>
        <w:rPr>
          <w:rFonts w:ascii="Times New Roman" w:hAnsi="Times New Roman"/>
          <w:sz w:val="24"/>
          <w:szCs w:val="24"/>
        </w:rPr>
      </w:pPr>
      <w:r w:rsidRPr="0090627F">
        <w:rPr>
          <w:rFonts w:ascii="Times New Roman" w:hAnsi="Times New Roman"/>
          <w:sz w:val="24"/>
          <w:szCs w:val="24"/>
        </w:rPr>
        <w:t>The ability to live safely in one’s community is the most basic civil right.</w:t>
      </w:r>
      <w:r w:rsidR="008712B6">
        <w:rPr>
          <w:rFonts w:ascii="Times New Roman" w:hAnsi="Times New Roman"/>
          <w:sz w:val="24"/>
          <w:szCs w:val="24"/>
        </w:rPr>
        <w:t xml:space="preserve"> </w:t>
      </w:r>
      <w:r w:rsidRPr="0090627F">
        <w:rPr>
          <w:rFonts w:ascii="Times New Roman" w:hAnsi="Times New Roman"/>
          <w:sz w:val="24"/>
          <w:szCs w:val="24"/>
        </w:rPr>
        <w:t xml:space="preserve">Throughout a diverse nation like ours, we all must be able to live and work without fear of being attacked because of </w:t>
      </w:r>
      <w:r w:rsidR="002E65EA">
        <w:rPr>
          <w:rFonts w:ascii="Times New Roman" w:hAnsi="Times New Roman"/>
          <w:sz w:val="24"/>
          <w:szCs w:val="24"/>
        </w:rPr>
        <w:t>how we look</w:t>
      </w:r>
      <w:r w:rsidRPr="0090627F">
        <w:rPr>
          <w:rFonts w:ascii="Times New Roman" w:hAnsi="Times New Roman"/>
          <w:sz w:val="24"/>
          <w:szCs w:val="24"/>
        </w:rPr>
        <w:t>, what we believe, where we come from, or who we love.</w:t>
      </w:r>
      <w:r w:rsidR="008712B6">
        <w:rPr>
          <w:rFonts w:ascii="Times New Roman" w:hAnsi="Times New Roman"/>
          <w:sz w:val="24"/>
          <w:szCs w:val="24"/>
        </w:rPr>
        <w:t xml:space="preserve"> </w:t>
      </w:r>
    </w:p>
    <w:p w:rsidR="00ED5747" w:rsidRPr="0090627F" w:rsidRDefault="00ED5747" w:rsidP="00F10B54">
      <w:pPr>
        <w:spacing w:after="0" w:line="240" w:lineRule="auto"/>
        <w:rPr>
          <w:rFonts w:ascii="Times New Roman" w:hAnsi="Times New Roman"/>
          <w:sz w:val="24"/>
          <w:szCs w:val="24"/>
        </w:rPr>
      </w:pPr>
    </w:p>
    <w:p w:rsidR="00ED5747" w:rsidRDefault="0047185B" w:rsidP="00F10B54">
      <w:pPr>
        <w:pStyle w:val="NormalWeb"/>
        <w:spacing w:before="0" w:beforeAutospacing="0" w:after="0" w:afterAutospacing="0"/>
      </w:pPr>
      <w:r>
        <w:rPr>
          <w:b/>
          <w:i/>
        </w:rPr>
        <w:t>Enforcing the Shepard-Byrd Act</w:t>
      </w:r>
      <w:r w:rsidRPr="00AF08D3">
        <w:rPr>
          <w:b/>
          <w:i/>
        </w:rPr>
        <w:t>:</w:t>
      </w:r>
      <w:r w:rsidRPr="001B56F8">
        <w:t xml:space="preserve"> </w:t>
      </w:r>
      <w:r w:rsidR="008712B6">
        <w:t>More than f</w:t>
      </w:r>
      <w:r w:rsidR="00ED5747">
        <w:t>our years ago, President Barack Obama signed the Matthew Shepard and James Byrd Jr. Hate Crime Prevention Act.</w:t>
      </w:r>
      <w:r w:rsidR="008712B6">
        <w:t xml:space="preserve"> </w:t>
      </w:r>
      <w:r w:rsidR="00ED5747">
        <w:t xml:space="preserve">This landmark legislation, championed by the late Senator </w:t>
      </w:r>
      <w:r w:rsidR="00FC3EA0">
        <w:t>Edward</w:t>
      </w:r>
      <w:r w:rsidR="00ED5747">
        <w:t xml:space="preserve"> Kennedy, greatly expanded the federal government’s ability to prosecute hate crimes. The law </w:t>
      </w:r>
      <w:r w:rsidR="002E65EA">
        <w:t xml:space="preserve">expands the Justice Department’s ability </w:t>
      </w:r>
      <w:r w:rsidR="00ED5747">
        <w:t>to prosecute crimes motivated by race, color, religion and national origin</w:t>
      </w:r>
      <w:r w:rsidR="00A72E0D">
        <w:t>; it</w:t>
      </w:r>
      <w:r w:rsidR="00ED5747">
        <w:t xml:space="preserve"> also empowers the department to prosecute crimes committed because of a person’s sexual orientation, gender identity, gender or disability as hate crimes.</w:t>
      </w:r>
    </w:p>
    <w:p w:rsidR="00914BD2" w:rsidRDefault="00914BD2" w:rsidP="00F10B54">
      <w:pPr>
        <w:pStyle w:val="NormalWeb"/>
        <w:spacing w:before="0" w:beforeAutospacing="0" w:after="0" w:afterAutospacing="0"/>
      </w:pPr>
    </w:p>
    <w:p w:rsidR="00914BD2" w:rsidRPr="00AD4BF9" w:rsidRDefault="00914BD2" w:rsidP="00410E1E">
      <w:pPr>
        <w:pBdr>
          <w:top w:val="single" w:sz="4" w:space="1" w:color="auto"/>
          <w:left w:val="single" w:sz="4" w:space="4" w:color="auto"/>
          <w:bottom w:val="single" w:sz="4" w:space="1" w:color="auto"/>
          <w:right w:val="single" w:sz="4" w:space="4" w:color="auto"/>
        </w:pBdr>
        <w:spacing w:after="0" w:line="240" w:lineRule="auto"/>
        <w:jc w:val="center"/>
        <w:rPr>
          <w:rStyle w:val="BookTitle"/>
          <w:rFonts w:ascii="Cambria" w:hAnsi="Cambria"/>
          <w:sz w:val="28"/>
          <w:szCs w:val="28"/>
        </w:rPr>
      </w:pPr>
      <w:r w:rsidRPr="00AD4BF9">
        <w:rPr>
          <w:rStyle w:val="BookTitle"/>
          <w:rFonts w:ascii="Cambria" w:hAnsi="Cambria"/>
          <w:sz w:val="28"/>
          <w:szCs w:val="28"/>
        </w:rPr>
        <w:t>Criminal Enforcement by the Numbers</w:t>
      </w:r>
    </w:p>
    <w:p w:rsidR="00914BD2" w:rsidRPr="009417F7" w:rsidRDefault="00914BD2" w:rsidP="00914BD2">
      <w:pPr>
        <w:pBdr>
          <w:top w:val="single" w:sz="4" w:space="1" w:color="auto"/>
          <w:left w:val="single" w:sz="4" w:space="4" w:color="auto"/>
          <w:bottom w:val="single" w:sz="4" w:space="1" w:color="auto"/>
          <w:right w:val="single" w:sz="4" w:space="4" w:color="auto"/>
        </w:pBdr>
        <w:spacing w:after="0" w:line="240" w:lineRule="auto"/>
        <w:rPr>
          <w:rStyle w:val="BookTitle"/>
          <w:rFonts w:ascii="Cambria" w:hAnsi="Cambria"/>
          <w:sz w:val="24"/>
          <w:szCs w:val="24"/>
        </w:rPr>
      </w:pPr>
    </w:p>
    <w:p w:rsidR="00914BD2" w:rsidRPr="009417F7" w:rsidRDefault="00914BD2" w:rsidP="00914BD2">
      <w:pPr>
        <w:numPr>
          <w:ilvl w:val="0"/>
          <w:numId w:val="7"/>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90627F">
        <w:rPr>
          <w:rFonts w:ascii="Times New Roman" w:hAnsi="Times New Roman"/>
          <w:sz w:val="24"/>
          <w:szCs w:val="24"/>
        </w:rPr>
        <w:t xml:space="preserve">In fiscal year 2013, </w:t>
      </w:r>
      <w:r>
        <w:rPr>
          <w:rFonts w:ascii="Times New Roman" w:hAnsi="Times New Roman"/>
          <w:sz w:val="24"/>
          <w:szCs w:val="24"/>
        </w:rPr>
        <w:t>141 Federal Criminal Civil Rights cases were filed</w:t>
      </w:r>
      <w:r w:rsidRPr="0090627F">
        <w:rPr>
          <w:rFonts w:ascii="Times New Roman" w:hAnsi="Times New Roman"/>
          <w:sz w:val="24"/>
          <w:szCs w:val="24"/>
        </w:rPr>
        <w:t xml:space="preserve">—more than in any previous year in the Division’s history. </w:t>
      </w:r>
    </w:p>
    <w:p w:rsidR="00914BD2" w:rsidRDefault="00914BD2" w:rsidP="00914BD2">
      <w:pPr>
        <w:numPr>
          <w:ilvl w:val="0"/>
          <w:numId w:val="7"/>
        </w:numPr>
        <w:pBdr>
          <w:top w:val="single" w:sz="4" w:space="1" w:color="auto"/>
          <w:left w:val="single" w:sz="4" w:space="4" w:color="auto"/>
          <w:bottom w:val="single" w:sz="4" w:space="1" w:color="auto"/>
          <w:right w:val="single" w:sz="4" w:space="4" w:color="auto"/>
        </w:pBdr>
        <w:spacing w:before="120" w:after="0" w:line="240" w:lineRule="auto"/>
        <w:rPr>
          <w:rFonts w:ascii="Times New Roman" w:hAnsi="Times New Roman"/>
          <w:sz w:val="24"/>
          <w:szCs w:val="24"/>
        </w:rPr>
      </w:pPr>
      <w:r w:rsidRPr="0090627F">
        <w:rPr>
          <w:rFonts w:ascii="Times New Roman" w:hAnsi="Times New Roman"/>
          <w:sz w:val="24"/>
          <w:szCs w:val="24"/>
        </w:rPr>
        <w:t>This included 53 c</w:t>
      </w:r>
      <w:r>
        <w:rPr>
          <w:rFonts w:ascii="Times New Roman" w:hAnsi="Times New Roman"/>
          <w:sz w:val="24"/>
          <w:szCs w:val="24"/>
        </w:rPr>
        <w:t>ases involving sex trafficking—</w:t>
      </w:r>
      <w:r w:rsidRPr="009417F7">
        <w:rPr>
          <w:rFonts w:ascii="Times New Roman" w:hAnsi="Times New Roman"/>
          <w:sz w:val="24"/>
          <w:szCs w:val="24"/>
        </w:rPr>
        <w:t xml:space="preserve">a 55 percent increase over the previous year. </w:t>
      </w:r>
    </w:p>
    <w:p w:rsidR="00914BD2" w:rsidRPr="009417F7" w:rsidRDefault="00914BD2" w:rsidP="00914BD2">
      <w:pPr>
        <w:numPr>
          <w:ilvl w:val="0"/>
          <w:numId w:val="7"/>
        </w:numPr>
        <w:pBdr>
          <w:top w:val="single" w:sz="4" w:space="1" w:color="auto"/>
          <w:left w:val="single" w:sz="4" w:space="4" w:color="auto"/>
          <w:bottom w:val="single" w:sz="4" w:space="1" w:color="auto"/>
          <w:right w:val="single" w:sz="4" w:space="4" w:color="auto"/>
        </w:pBdr>
        <w:spacing w:before="120" w:after="0" w:line="240" w:lineRule="auto"/>
        <w:rPr>
          <w:rFonts w:ascii="Times New Roman" w:hAnsi="Times New Roman"/>
          <w:sz w:val="24"/>
          <w:szCs w:val="24"/>
        </w:rPr>
      </w:pPr>
      <w:r>
        <w:rPr>
          <w:rFonts w:ascii="Times New Roman" w:hAnsi="Times New Roman"/>
          <w:sz w:val="24"/>
          <w:szCs w:val="24"/>
        </w:rPr>
        <w:t>22 cases involving federal hate crimes charges were brought, convicting 23 defendants.</w:t>
      </w:r>
    </w:p>
    <w:p w:rsidR="00914BD2" w:rsidRPr="009353FB" w:rsidRDefault="00914BD2" w:rsidP="009353FB">
      <w:pPr>
        <w:numPr>
          <w:ilvl w:val="0"/>
          <w:numId w:val="7"/>
        </w:numPr>
        <w:pBdr>
          <w:top w:val="single" w:sz="4" w:space="1" w:color="auto"/>
          <w:left w:val="single" w:sz="4" w:space="4" w:color="auto"/>
          <w:bottom w:val="single" w:sz="4" w:space="1" w:color="auto"/>
          <w:right w:val="single" w:sz="4" w:space="4" w:color="auto"/>
        </w:pBdr>
        <w:spacing w:before="120" w:after="0" w:line="240" w:lineRule="auto"/>
        <w:rPr>
          <w:rFonts w:ascii="Times New Roman" w:hAnsi="Times New Roman"/>
          <w:sz w:val="24"/>
          <w:szCs w:val="24"/>
        </w:rPr>
      </w:pPr>
      <w:r w:rsidRPr="0090627F">
        <w:rPr>
          <w:rFonts w:ascii="Times New Roman" w:hAnsi="Times New Roman"/>
          <w:sz w:val="24"/>
          <w:szCs w:val="24"/>
        </w:rPr>
        <w:t>Over the course of the year, 166 defendants</w:t>
      </w:r>
      <w:r>
        <w:rPr>
          <w:rFonts w:ascii="Times New Roman" w:hAnsi="Times New Roman"/>
          <w:sz w:val="24"/>
          <w:szCs w:val="24"/>
        </w:rPr>
        <w:t xml:space="preserve"> were convicted</w:t>
      </w:r>
      <w:r w:rsidRPr="0090627F">
        <w:rPr>
          <w:rFonts w:ascii="Times New Roman" w:hAnsi="Times New Roman"/>
          <w:sz w:val="24"/>
          <w:szCs w:val="24"/>
        </w:rPr>
        <w:t>, including 90 individuals for crimes involving</w:t>
      </w:r>
      <w:r>
        <w:rPr>
          <w:rFonts w:ascii="Times New Roman" w:hAnsi="Times New Roman"/>
          <w:sz w:val="24"/>
          <w:szCs w:val="24"/>
        </w:rPr>
        <w:t xml:space="preserve"> human</w:t>
      </w:r>
      <w:r w:rsidRPr="0090627F">
        <w:rPr>
          <w:rFonts w:ascii="Times New Roman" w:hAnsi="Times New Roman"/>
          <w:sz w:val="24"/>
          <w:szCs w:val="24"/>
        </w:rPr>
        <w:t xml:space="preserve"> trafficking.</w:t>
      </w:r>
      <w:r>
        <w:rPr>
          <w:rFonts w:ascii="Times New Roman" w:hAnsi="Times New Roman"/>
          <w:sz w:val="24"/>
          <w:szCs w:val="24"/>
        </w:rPr>
        <w:t xml:space="preserve"> </w:t>
      </w:r>
    </w:p>
    <w:p w:rsidR="00ED5747" w:rsidRDefault="00ED5747" w:rsidP="00F10B54">
      <w:pPr>
        <w:pStyle w:val="NormalWeb"/>
        <w:spacing w:before="0" w:beforeAutospacing="0" w:after="0" w:afterAutospacing="0"/>
      </w:pPr>
    </w:p>
    <w:p w:rsidR="00ED5747" w:rsidRDefault="00ED5747" w:rsidP="00F10B54">
      <w:pPr>
        <w:pStyle w:val="NormalWeb"/>
        <w:spacing w:before="0" w:beforeAutospacing="0" w:after="0" w:afterAutospacing="0"/>
      </w:pPr>
      <w:r>
        <w:t xml:space="preserve">The Criminal Section of the Division and U.S. Attorney’s Offices around the country </w:t>
      </w:r>
      <w:proofErr w:type="gramStart"/>
      <w:r>
        <w:t>have</w:t>
      </w:r>
      <w:proofErr w:type="gramEnd"/>
      <w:r>
        <w:t xml:space="preserve"> used this law to address the most serious hate crimes</w:t>
      </w:r>
      <w:r w:rsidR="00587B2F">
        <w:t>: l</w:t>
      </w:r>
      <w:r w:rsidR="004D5C39">
        <w:t>ast year</w:t>
      </w:r>
      <w:r>
        <w:t>, the</w:t>
      </w:r>
      <w:r w:rsidR="00587B2F">
        <w:t>y</w:t>
      </w:r>
      <w:r>
        <w:t xml:space="preserve"> </w:t>
      </w:r>
      <w:r w:rsidR="009218BD">
        <w:t xml:space="preserve">brought 22 cases, convicting 23 defendants of federal hate crimes charges. </w:t>
      </w:r>
    </w:p>
    <w:p w:rsidR="00ED5747" w:rsidRDefault="00ED5747" w:rsidP="00F10B54">
      <w:pPr>
        <w:pStyle w:val="NormalWeb"/>
        <w:spacing w:before="0" w:beforeAutospacing="0" w:after="0" w:afterAutospacing="0"/>
      </w:pPr>
    </w:p>
    <w:p w:rsidR="009417F7" w:rsidRDefault="002A16F8" w:rsidP="00F10B54">
      <w:pPr>
        <w:spacing w:after="0" w:line="240" w:lineRule="auto"/>
        <w:rPr>
          <w:rFonts w:ascii="Times New Roman" w:hAnsi="Times New Roman"/>
          <w:sz w:val="24"/>
          <w:szCs w:val="24"/>
        </w:rPr>
      </w:pPr>
      <w:r>
        <w:rPr>
          <w:rFonts w:ascii="Times New Roman" w:hAnsi="Times New Roman"/>
          <w:i/>
          <w:sz w:val="24"/>
          <w:szCs w:val="24"/>
        </w:rPr>
        <w:t xml:space="preserve">Los Angeles, California: </w:t>
      </w:r>
      <w:r w:rsidR="00C7593C">
        <w:rPr>
          <w:rFonts w:ascii="Times New Roman" w:hAnsi="Times New Roman"/>
          <w:sz w:val="24"/>
          <w:szCs w:val="24"/>
        </w:rPr>
        <w:t xml:space="preserve">For example, </w:t>
      </w:r>
      <w:r w:rsidR="006E4B07">
        <w:rPr>
          <w:rFonts w:ascii="Times New Roman" w:hAnsi="Times New Roman"/>
          <w:sz w:val="24"/>
          <w:szCs w:val="24"/>
        </w:rPr>
        <w:t>in fall of 2013</w:t>
      </w:r>
      <w:r w:rsidR="00C7593C">
        <w:rPr>
          <w:rFonts w:ascii="Times New Roman" w:hAnsi="Times New Roman"/>
          <w:sz w:val="24"/>
          <w:szCs w:val="24"/>
        </w:rPr>
        <w:t>, t</w:t>
      </w:r>
      <w:r w:rsidR="00C7593C" w:rsidRPr="0090627F">
        <w:rPr>
          <w:rFonts w:ascii="Times New Roman" w:hAnsi="Times New Roman"/>
          <w:sz w:val="24"/>
          <w:szCs w:val="24"/>
        </w:rPr>
        <w:t>he Division</w:t>
      </w:r>
      <w:r w:rsidR="00C7593C">
        <w:rPr>
          <w:rFonts w:ascii="Times New Roman" w:hAnsi="Times New Roman"/>
          <w:sz w:val="24"/>
          <w:szCs w:val="24"/>
        </w:rPr>
        <w:t xml:space="preserve"> and the U.S. Attorney’s Office for the Central District of California</w:t>
      </w:r>
      <w:r w:rsidR="00C7593C" w:rsidRPr="0090627F">
        <w:rPr>
          <w:rFonts w:ascii="Times New Roman" w:hAnsi="Times New Roman"/>
          <w:sz w:val="24"/>
          <w:szCs w:val="24"/>
        </w:rPr>
        <w:t xml:space="preserve"> brought federal hate crimes charges against two men associated with the Compton 155 street gang in California.  </w:t>
      </w:r>
      <w:r w:rsidR="006F4B96" w:rsidRPr="0090627F">
        <w:rPr>
          <w:rFonts w:ascii="Times New Roman" w:hAnsi="Times New Roman"/>
          <w:sz w:val="24"/>
          <w:szCs w:val="24"/>
        </w:rPr>
        <w:t xml:space="preserve">These men attacked a 17-year-old African-American </w:t>
      </w:r>
      <w:r w:rsidR="008712B6">
        <w:rPr>
          <w:rFonts w:ascii="Times New Roman" w:hAnsi="Times New Roman"/>
          <w:sz w:val="24"/>
          <w:szCs w:val="24"/>
        </w:rPr>
        <w:t xml:space="preserve">man </w:t>
      </w:r>
      <w:r w:rsidR="006F4B96" w:rsidRPr="0090627F">
        <w:rPr>
          <w:rFonts w:ascii="Times New Roman" w:hAnsi="Times New Roman"/>
          <w:sz w:val="24"/>
          <w:szCs w:val="24"/>
        </w:rPr>
        <w:t>who was walking down a street in the city of Compton—striking him in the head with a metal pipe—and pointed a gun at another African-American juvenile who was present.</w:t>
      </w:r>
      <w:r w:rsidR="008712B6">
        <w:rPr>
          <w:rFonts w:ascii="Times New Roman" w:hAnsi="Times New Roman"/>
          <w:sz w:val="24"/>
          <w:szCs w:val="24"/>
        </w:rPr>
        <w:t xml:space="preserve"> </w:t>
      </w:r>
      <w:r w:rsidR="006F4B96" w:rsidRPr="0090627F">
        <w:rPr>
          <w:rFonts w:ascii="Times New Roman" w:hAnsi="Times New Roman"/>
          <w:sz w:val="24"/>
          <w:szCs w:val="24"/>
        </w:rPr>
        <w:t>Both at</w:t>
      </w:r>
      <w:r w:rsidR="00ED5747">
        <w:rPr>
          <w:rFonts w:ascii="Times New Roman" w:hAnsi="Times New Roman"/>
          <w:sz w:val="24"/>
          <w:szCs w:val="24"/>
        </w:rPr>
        <w:t xml:space="preserve">tackers admitted their actions </w:t>
      </w:r>
      <w:r w:rsidR="006F4B96" w:rsidRPr="0090627F">
        <w:rPr>
          <w:rFonts w:ascii="Times New Roman" w:hAnsi="Times New Roman"/>
          <w:sz w:val="24"/>
          <w:szCs w:val="24"/>
        </w:rPr>
        <w:t>were substantially motivated by race and color.</w:t>
      </w:r>
    </w:p>
    <w:p w:rsidR="00F10B54" w:rsidRDefault="00F10B54" w:rsidP="00F10B54">
      <w:pPr>
        <w:spacing w:after="0" w:line="240" w:lineRule="auto"/>
        <w:rPr>
          <w:rFonts w:ascii="Times New Roman" w:hAnsi="Times New Roman"/>
          <w:sz w:val="24"/>
          <w:szCs w:val="24"/>
        </w:rPr>
      </w:pPr>
    </w:p>
    <w:p w:rsidR="001F06C2" w:rsidRDefault="002A16F8" w:rsidP="00F10B54">
      <w:pPr>
        <w:pStyle w:val="NormalWeb"/>
        <w:spacing w:before="0" w:beforeAutospacing="0" w:after="0" w:afterAutospacing="0"/>
      </w:pPr>
      <w:r>
        <w:rPr>
          <w:i/>
        </w:rPr>
        <w:t xml:space="preserve">Atlanta, Georgia: </w:t>
      </w:r>
      <w:r w:rsidR="009417F7">
        <w:t xml:space="preserve">Similarly, earlier </w:t>
      </w:r>
      <w:r w:rsidR="004D5C39">
        <w:t>last year</w:t>
      </w:r>
      <w:r w:rsidR="009417F7">
        <w:t>, a Justice Department investigation and prosecution in response to the beating of an Atlanta man resulted in the first conviction in Georgia under the sexual orientation provision of the Shepard-Byrd Act.</w:t>
      </w:r>
      <w:r w:rsidR="008712B6">
        <w:t xml:space="preserve"> </w:t>
      </w:r>
      <w:r w:rsidR="009417F7">
        <w:t>In this case, two men pleaded guilty to assaulting a 20-year-old gay man as he left a grocery store in Atlanta’s Pittsburgh neighborhood.</w:t>
      </w:r>
      <w:r w:rsidR="008712B6">
        <w:t xml:space="preserve"> </w:t>
      </w:r>
      <w:r w:rsidR="009417F7">
        <w:t>Video footage of the incident showed not only physical violence but also the use of anti-gay epithets.</w:t>
      </w:r>
      <w:r w:rsidR="008712B6">
        <w:t xml:space="preserve"> </w:t>
      </w:r>
      <w:r w:rsidR="00587B2F">
        <w:t>The defendants repeatedly punched and kicked the victim and hit him with a tire.</w:t>
      </w:r>
    </w:p>
    <w:p w:rsidR="001F06C2" w:rsidRDefault="001F06C2" w:rsidP="00F10B54">
      <w:pPr>
        <w:pStyle w:val="NormalWeb"/>
        <w:spacing w:before="0" w:beforeAutospacing="0" w:after="0" w:afterAutospacing="0"/>
      </w:pPr>
    </w:p>
    <w:p w:rsidR="00872556" w:rsidRDefault="00872556" w:rsidP="00872556">
      <w:pPr>
        <w:spacing w:after="0" w:line="240" w:lineRule="auto"/>
        <w:rPr>
          <w:rFonts w:ascii="Times New Roman" w:hAnsi="Times New Roman"/>
          <w:sz w:val="24"/>
          <w:szCs w:val="24"/>
        </w:rPr>
      </w:pPr>
      <w:r>
        <w:rPr>
          <w:rFonts w:ascii="Times New Roman" w:hAnsi="Times New Roman"/>
          <w:b/>
          <w:bCs/>
          <w:i/>
          <w:iCs/>
          <w:sz w:val="24"/>
          <w:szCs w:val="24"/>
        </w:rPr>
        <w:lastRenderedPageBreak/>
        <w:t xml:space="preserve">Improving Our Ability to Track Hate Crimes: </w:t>
      </w:r>
      <w:r>
        <w:rPr>
          <w:rFonts w:ascii="Times New Roman" w:hAnsi="Times New Roman"/>
          <w:sz w:val="24"/>
          <w:szCs w:val="24"/>
        </w:rPr>
        <w:t>In August 2012, a gunman opened fire at the Sikh Temple of Wisconsin in Oak Creek during worship, killing six congregants and wounding others, including a police officer responding to the shooting. At the time of the attack, the FBI’s data collection system did not allow for the effective tracking of hate crimes co</w:t>
      </w:r>
      <w:r w:rsidR="000E04A7">
        <w:rPr>
          <w:rFonts w:ascii="Times New Roman" w:hAnsi="Times New Roman"/>
          <w:sz w:val="24"/>
          <w:szCs w:val="24"/>
        </w:rPr>
        <w:t>mmitted against Sikhs or Hindus</w:t>
      </w:r>
      <w:r>
        <w:rPr>
          <w:rFonts w:ascii="Times New Roman" w:hAnsi="Times New Roman"/>
          <w:sz w:val="24"/>
          <w:szCs w:val="24"/>
        </w:rPr>
        <w:t xml:space="preserve">. Rather, the religion section of the FBI’s Hate Crime Incident Report only contained the categories "anti-Jewish," "anti-Catholic," "anti-Protestant," "anti-Islamic," "anti-multiple religions, groups," "anti-atheism/agnosticism,” and "anti-other religion,  and there was no category for anti-Arab hate crimes.  </w:t>
      </w:r>
    </w:p>
    <w:p w:rsidR="00872556" w:rsidRDefault="00872556" w:rsidP="00872556">
      <w:pPr>
        <w:spacing w:after="0" w:line="240" w:lineRule="auto"/>
        <w:rPr>
          <w:rFonts w:ascii="Times New Roman" w:hAnsi="Times New Roman"/>
          <w:sz w:val="24"/>
          <w:szCs w:val="24"/>
        </w:rPr>
      </w:pPr>
    </w:p>
    <w:p w:rsidR="00872556" w:rsidRDefault="00872556" w:rsidP="00872556">
      <w:pPr>
        <w:spacing w:line="240" w:lineRule="auto"/>
        <w:rPr>
          <w:rFonts w:ascii="Times New Roman" w:hAnsi="Times New Roman"/>
          <w:sz w:val="24"/>
          <w:szCs w:val="24"/>
        </w:rPr>
      </w:pPr>
      <w:r>
        <w:rPr>
          <w:rFonts w:ascii="Times New Roman" w:hAnsi="Times New Roman"/>
          <w:sz w:val="24"/>
          <w:szCs w:val="24"/>
        </w:rPr>
        <w:t>In the wake of the attack, the Civil Rights Division and the Community Relations Service (CRS) brought together representatives from 22 religious and interfaith organizations to discuss data collection relating to religion-based attacks on individuals and places of worship. Following this meeting, the Division and CRS recommended that the Justice Department add anti-Sikh, anti-Hindu, and anti-Arab categories both to the coding sheets filled out by police following an attack and to the hate crime reports the FBI produces each year.</w:t>
      </w:r>
    </w:p>
    <w:p w:rsidR="00872556" w:rsidRDefault="00872556" w:rsidP="00872556">
      <w:pPr>
        <w:spacing w:after="0" w:line="240" w:lineRule="auto"/>
        <w:rPr>
          <w:rFonts w:ascii="Times New Roman" w:hAnsi="Times New Roman"/>
          <w:sz w:val="24"/>
          <w:szCs w:val="24"/>
        </w:rPr>
      </w:pPr>
      <w:r>
        <w:rPr>
          <w:rFonts w:ascii="Times New Roman" w:hAnsi="Times New Roman"/>
          <w:sz w:val="24"/>
          <w:szCs w:val="24"/>
        </w:rPr>
        <w:t>In summer 2013, one year after the attack in Oak Creek, the Justice Department announced it would expand the Hate Crime Incident Report to begin tracking crimes against Sikhs, Hindus, Arabs, Buddhists, Mormons, Jehovah’s Witnesses, and Orthodox Christians, and to track hate crimes against Arab-Americans.</w:t>
      </w:r>
    </w:p>
    <w:p w:rsidR="00410E1E" w:rsidRDefault="00410E1E" w:rsidP="00410E1E">
      <w:pPr>
        <w:spacing w:after="0" w:line="240" w:lineRule="auto"/>
        <w:rPr>
          <w:rFonts w:ascii="Times New Roman" w:hAnsi="Times New Roman"/>
          <w:sz w:val="24"/>
          <w:szCs w:val="24"/>
        </w:rPr>
      </w:pPr>
    </w:p>
    <w:p w:rsidR="00410E1E" w:rsidRPr="00AD4BF9" w:rsidRDefault="00410E1E" w:rsidP="00410E1E">
      <w:pPr>
        <w:pBdr>
          <w:top w:val="single" w:sz="4" w:space="1" w:color="auto"/>
          <w:left w:val="single" w:sz="4" w:space="4" w:color="auto"/>
          <w:bottom w:val="single" w:sz="4" w:space="1" w:color="auto"/>
          <w:right w:val="single" w:sz="4" w:space="4" w:color="auto"/>
        </w:pBdr>
        <w:spacing w:after="0" w:line="240" w:lineRule="auto"/>
        <w:jc w:val="center"/>
        <w:rPr>
          <w:rStyle w:val="BookTitle"/>
          <w:rFonts w:ascii="Cambria" w:hAnsi="Cambria"/>
          <w:sz w:val="28"/>
          <w:szCs w:val="28"/>
        </w:rPr>
      </w:pPr>
      <w:r>
        <w:rPr>
          <w:rStyle w:val="BookTitle"/>
          <w:rFonts w:ascii="Cambria" w:hAnsi="Cambria"/>
          <w:sz w:val="28"/>
          <w:szCs w:val="28"/>
        </w:rPr>
        <w:t>Defending the Constitutionality of the Shepard-Byrd Act</w:t>
      </w:r>
    </w:p>
    <w:p w:rsidR="00410E1E" w:rsidRPr="009417F7" w:rsidRDefault="00410E1E" w:rsidP="00410E1E">
      <w:pPr>
        <w:pBdr>
          <w:top w:val="single" w:sz="4" w:space="1" w:color="auto"/>
          <w:left w:val="single" w:sz="4" w:space="4" w:color="auto"/>
          <w:bottom w:val="single" w:sz="4" w:space="1" w:color="auto"/>
          <w:right w:val="single" w:sz="4" w:space="4" w:color="auto"/>
        </w:pBdr>
        <w:spacing w:after="0" w:line="240" w:lineRule="auto"/>
        <w:rPr>
          <w:rStyle w:val="BookTitle"/>
          <w:rFonts w:ascii="Cambria" w:hAnsi="Cambria"/>
          <w:sz w:val="24"/>
          <w:szCs w:val="24"/>
        </w:rPr>
      </w:pPr>
    </w:p>
    <w:p w:rsidR="00410E1E" w:rsidRDefault="00410E1E" w:rsidP="00410E1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In 2010, the Division security guilty pleas from the first defendants ever charged under the Shepard-Byrd Act. This case involved the assault of</w:t>
      </w:r>
      <w:r w:rsidRPr="009000D2">
        <w:rPr>
          <w:rFonts w:ascii="Times New Roman" w:hAnsi="Times New Roman"/>
          <w:sz w:val="24"/>
          <w:szCs w:val="24"/>
        </w:rPr>
        <w:t xml:space="preserve"> a 22-year-old Native American man with a developmental disability.</w:t>
      </w:r>
      <w:r>
        <w:rPr>
          <w:rFonts w:ascii="Times New Roman" w:hAnsi="Times New Roman"/>
          <w:sz w:val="24"/>
          <w:szCs w:val="24"/>
        </w:rPr>
        <w:t xml:space="preserve"> </w:t>
      </w:r>
      <w:r w:rsidRPr="00934052">
        <w:rPr>
          <w:rFonts w:ascii="Times New Roman" w:hAnsi="Times New Roman"/>
          <w:sz w:val="24"/>
          <w:szCs w:val="24"/>
        </w:rPr>
        <w:t>After taking advantage of the victim’s developmental disability to get him to “consent” to their actions,</w:t>
      </w:r>
      <w:r>
        <w:rPr>
          <w:rFonts w:ascii="Times New Roman" w:hAnsi="Times New Roman"/>
          <w:sz w:val="24"/>
          <w:szCs w:val="24"/>
        </w:rPr>
        <w:t xml:space="preserve"> the defendants </w:t>
      </w:r>
      <w:r w:rsidRPr="00934052">
        <w:rPr>
          <w:rFonts w:ascii="Times New Roman" w:hAnsi="Times New Roman"/>
          <w:sz w:val="24"/>
          <w:szCs w:val="24"/>
        </w:rPr>
        <w:t>defaced the victim’s body with white supremacist symbols, shaving the victim’s head to create a swastika and writing “KKK” and “Whit</w:t>
      </w:r>
      <w:r>
        <w:rPr>
          <w:rFonts w:ascii="Times New Roman" w:hAnsi="Times New Roman"/>
          <w:sz w:val="24"/>
          <w:szCs w:val="24"/>
        </w:rPr>
        <w:t>e Power” in marker on his scalp</w:t>
      </w:r>
      <w:r w:rsidRPr="00934052">
        <w:rPr>
          <w:rFonts w:ascii="Times New Roman" w:hAnsi="Times New Roman"/>
          <w:sz w:val="24"/>
          <w:szCs w:val="24"/>
        </w:rPr>
        <w:t xml:space="preserve"> and drawing obscene pictures on the victim’s back while telling him that they were his “native pride feathers.”</w:t>
      </w:r>
      <w:r>
        <w:rPr>
          <w:rFonts w:ascii="Times New Roman" w:hAnsi="Times New Roman"/>
          <w:sz w:val="24"/>
          <w:szCs w:val="24"/>
        </w:rPr>
        <w:t xml:space="preserve"> O</w:t>
      </w:r>
      <w:r w:rsidRPr="00934052">
        <w:rPr>
          <w:rFonts w:ascii="Times New Roman" w:hAnsi="Times New Roman"/>
          <w:sz w:val="24"/>
          <w:szCs w:val="24"/>
        </w:rPr>
        <w:t xml:space="preserve">ne of the defendants </w:t>
      </w:r>
      <w:r>
        <w:rPr>
          <w:rFonts w:ascii="Times New Roman" w:hAnsi="Times New Roman"/>
          <w:sz w:val="24"/>
          <w:szCs w:val="24"/>
        </w:rPr>
        <w:t xml:space="preserve">also </w:t>
      </w:r>
      <w:r w:rsidRPr="00934052">
        <w:rPr>
          <w:rFonts w:ascii="Times New Roman" w:hAnsi="Times New Roman"/>
          <w:sz w:val="24"/>
          <w:szCs w:val="24"/>
        </w:rPr>
        <w:t>heated a wire hanger on a stove and used it to brand a swastika into the victim’s arm</w:t>
      </w:r>
      <w:r>
        <w:rPr>
          <w:rFonts w:ascii="Times New Roman" w:hAnsi="Times New Roman"/>
          <w:sz w:val="24"/>
          <w:szCs w:val="24"/>
        </w:rPr>
        <w:t xml:space="preserve">. </w:t>
      </w:r>
      <w:r w:rsidRPr="00934052">
        <w:rPr>
          <w:rFonts w:ascii="Times New Roman" w:hAnsi="Times New Roman"/>
          <w:sz w:val="24"/>
          <w:szCs w:val="24"/>
        </w:rPr>
        <w:t xml:space="preserve">One </w:t>
      </w:r>
      <w:r>
        <w:rPr>
          <w:rFonts w:ascii="Times New Roman" w:hAnsi="Times New Roman"/>
          <w:sz w:val="24"/>
          <w:szCs w:val="24"/>
        </w:rPr>
        <w:t xml:space="preserve">of the attackers </w:t>
      </w:r>
      <w:r w:rsidRPr="00934052">
        <w:rPr>
          <w:rFonts w:ascii="Times New Roman" w:hAnsi="Times New Roman"/>
          <w:sz w:val="24"/>
          <w:szCs w:val="24"/>
        </w:rPr>
        <w:t>wa</w:t>
      </w:r>
      <w:r>
        <w:rPr>
          <w:rFonts w:ascii="Times New Roman" w:hAnsi="Times New Roman"/>
          <w:sz w:val="24"/>
          <w:szCs w:val="24"/>
        </w:rPr>
        <w:t>s sentenced to eight and half y</w:t>
      </w:r>
      <w:r w:rsidRPr="00934052">
        <w:rPr>
          <w:rFonts w:ascii="Times New Roman" w:hAnsi="Times New Roman"/>
          <w:sz w:val="24"/>
          <w:szCs w:val="24"/>
        </w:rPr>
        <w:t>ears in pri</w:t>
      </w:r>
      <w:r>
        <w:rPr>
          <w:rFonts w:ascii="Times New Roman" w:hAnsi="Times New Roman"/>
          <w:sz w:val="24"/>
          <w:szCs w:val="24"/>
        </w:rPr>
        <w:t>son for his role in the attack; the other defendants were sentenced to 5 years and 14 months imprisonment.</w:t>
      </w:r>
    </w:p>
    <w:p w:rsidR="00410E1E" w:rsidRDefault="00410E1E" w:rsidP="00410E1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CB616E" w:rsidRDefault="00410E1E" w:rsidP="00F5715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 xml:space="preserve">In 2013, the Division’s Appellate Section </w:t>
      </w:r>
      <w:r w:rsidR="00F57155">
        <w:rPr>
          <w:rFonts w:ascii="Times New Roman" w:hAnsi="Times New Roman"/>
          <w:sz w:val="24"/>
          <w:szCs w:val="24"/>
        </w:rPr>
        <w:t>defended an appeal in this case</w:t>
      </w:r>
      <w:r w:rsidR="00F57155" w:rsidRPr="004B64DC">
        <w:rPr>
          <w:rFonts w:ascii="Times New Roman" w:hAnsi="Times New Roman"/>
          <w:sz w:val="24"/>
          <w:szCs w:val="24"/>
        </w:rPr>
        <w:t xml:space="preserve"> </w:t>
      </w:r>
      <w:r w:rsidR="00F57155">
        <w:rPr>
          <w:rFonts w:ascii="Times New Roman" w:hAnsi="Times New Roman"/>
          <w:sz w:val="24"/>
          <w:szCs w:val="24"/>
        </w:rPr>
        <w:t xml:space="preserve">which challenged the constitutionality of </w:t>
      </w:r>
      <w:r w:rsidR="00F57155" w:rsidRPr="00CB3FC5">
        <w:rPr>
          <w:rFonts w:ascii="Times New Roman" w:hAnsi="Times New Roman"/>
          <w:sz w:val="24"/>
          <w:szCs w:val="24"/>
        </w:rPr>
        <w:t>Section 249(a</w:t>
      </w:r>
      <w:proofErr w:type="gramStart"/>
      <w:r w:rsidR="00F57155" w:rsidRPr="00CB3FC5">
        <w:rPr>
          <w:rFonts w:ascii="Times New Roman" w:hAnsi="Times New Roman"/>
          <w:sz w:val="24"/>
          <w:szCs w:val="24"/>
        </w:rPr>
        <w:t>)(</w:t>
      </w:r>
      <w:proofErr w:type="gramEnd"/>
      <w:r w:rsidR="00F57155" w:rsidRPr="00CB3FC5">
        <w:rPr>
          <w:rFonts w:ascii="Times New Roman" w:hAnsi="Times New Roman"/>
          <w:sz w:val="24"/>
          <w:szCs w:val="24"/>
        </w:rPr>
        <w:t xml:space="preserve">1) the Shepard-Byrd Act.  </w:t>
      </w:r>
      <w:r w:rsidR="00F57155">
        <w:rPr>
          <w:rFonts w:ascii="Times New Roman" w:hAnsi="Times New Roman"/>
          <w:sz w:val="24"/>
          <w:szCs w:val="24"/>
        </w:rPr>
        <w:t xml:space="preserve">The Division argued that </w:t>
      </w:r>
      <w:r w:rsidR="00F57155" w:rsidRPr="00CB3FC5">
        <w:rPr>
          <w:rFonts w:ascii="Times New Roman" w:hAnsi="Times New Roman"/>
          <w:sz w:val="24"/>
          <w:szCs w:val="24"/>
        </w:rPr>
        <w:t>Section 249(a)(1) is a valid exercise of Congress’s power under Section 2 of the Thirteenth Amendment</w:t>
      </w:r>
      <w:r w:rsidR="00F57155">
        <w:rPr>
          <w:rFonts w:ascii="Times New Roman" w:hAnsi="Times New Roman"/>
          <w:sz w:val="24"/>
          <w:szCs w:val="24"/>
        </w:rPr>
        <w:t xml:space="preserve"> to enact legislation abolishing badges and incidents of slavery, and that race-based violence is an badge and incident of slavery</w:t>
      </w:r>
      <w:r w:rsidR="00F57155" w:rsidRPr="00CB3FC5">
        <w:rPr>
          <w:rFonts w:ascii="Times New Roman" w:hAnsi="Times New Roman"/>
          <w:sz w:val="24"/>
          <w:szCs w:val="24"/>
        </w:rPr>
        <w:t xml:space="preserve">.  </w:t>
      </w:r>
      <w:r w:rsidR="00F57155">
        <w:rPr>
          <w:rFonts w:ascii="Times New Roman" w:hAnsi="Times New Roman"/>
          <w:sz w:val="24"/>
          <w:szCs w:val="24"/>
        </w:rPr>
        <w:t>The court of appeals agreed, and affirmed the defendant’s conviction.</w:t>
      </w:r>
    </w:p>
    <w:p w:rsidR="00410E1E" w:rsidRPr="00CB616E" w:rsidRDefault="00410E1E" w:rsidP="00CB616E">
      <w:pPr>
        <w:spacing w:after="0" w:line="240" w:lineRule="auto"/>
        <w:rPr>
          <w:rFonts w:ascii="Times New Roman" w:eastAsia="Times New Roman" w:hAnsi="Times New Roman"/>
          <w:bCs/>
          <w:sz w:val="24"/>
          <w:szCs w:val="24"/>
        </w:rPr>
      </w:pPr>
    </w:p>
    <w:p w:rsidR="009353FB" w:rsidRPr="00AF08D3" w:rsidRDefault="009353FB" w:rsidP="009353FB">
      <w:pPr>
        <w:pStyle w:val="Heading2"/>
        <w:rPr>
          <w:rStyle w:val="BookTitle"/>
        </w:rPr>
      </w:pPr>
      <w:r>
        <w:rPr>
          <w:rStyle w:val="BookTitle"/>
        </w:rPr>
        <w:t>Prosecuting and Preventing Human Trafficking:</w:t>
      </w:r>
    </w:p>
    <w:p w:rsidR="006B3B4D" w:rsidRDefault="00CB3D27" w:rsidP="00F53F21">
      <w:pPr>
        <w:pStyle w:val="NormalWeb"/>
        <w:spacing w:before="0" w:beforeAutospacing="0" w:after="0" w:afterAutospacing="0"/>
      </w:pPr>
      <w:r>
        <w:t xml:space="preserve">Combating human trafficking is among the highest priorities for the Justice Department. </w:t>
      </w:r>
      <w:r w:rsidR="004D5C39">
        <w:t>Last year</w:t>
      </w:r>
      <w:r w:rsidR="002510BC">
        <w:t>, the Division</w:t>
      </w:r>
      <w:r w:rsidR="00587B2F">
        <w:t xml:space="preserve"> and U.S. Attorney’s Offices</w:t>
      </w:r>
      <w:r w:rsidR="002510BC">
        <w:t xml:space="preserve"> brought</w:t>
      </w:r>
      <w:r w:rsidRPr="00CB3D27">
        <w:t xml:space="preserve"> </w:t>
      </w:r>
      <w:r w:rsidR="008712B6">
        <w:t xml:space="preserve">71 human trafficking </w:t>
      </w:r>
      <w:r w:rsidR="00587B2F">
        <w:t xml:space="preserve">cases, the most in their </w:t>
      </w:r>
      <w:r w:rsidR="008712B6">
        <w:t>history.  Fifty-three of these</w:t>
      </w:r>
      <w:r w:rsidR="008712B6" w:rsidRPr="00CB3D27">
        <w:t xml:space="preserve"> cases—a 55 percent increase over the previous year—</w:t>
      </w:r>
      <w:r w:rsidR="008712B6">
        <w:t>involved</w:t>
      </w:r>
      <w:r w:rsidR="008712B6" w:rsidRPr="00CB3D27">
        <w:t xml:space="preserve"> sex trafficking.</w:t>
      </w:r>
      <w:r w:rsidR="008712B6">
        <w:t xml:space="preserve"> I</w:t>
      </w:r>
      <w:r w:rsidR="008712B6" w:rsidRPr="006B3B4D">
        <w:t xml:space="preserve">n cases </w:t>
      </w:r>
      <w:r w:rsidR="006B3B4D" w:rsidRPr="006B3B4D">
        <w:t xml:space="preserve">such as </w:t>
      </w:r>
      <w:r w:rsidR="006B3B4D" w:rsidRPr="006B3B4D">
        <w:rPr>
          <w:i/>
        </w:rPr>
        <w:t xml:space="preserve">United States v. Fields </w:t>
      </w:r>
      <w:r w:rsidR="006B3B4D" w:rsidRPr="006B3B4D">
        <w:t xml:space="preserve">and </w:t>
      </w:r>
      <w:r w:rsidR="006B3B4D" w:rsidRPr="006B3B4D">
        <w:rPr>
          <w:i/>
        </w:rPr>
        <w:t xml:space="preserve">United States v. </w:t>
      </w:r>
      <w:proofErr w:type="spellStart"/>
      <w:r w:rsidR="006B3B4D" w:rsidRPr="006B3B4D">
        <w:rPr>
          <w:i/>
        </w:rPr>
        <w:t>Alaboudi</w:t>
      </w:r>
      <w:proofErr w:type="spellEnd"/>
      <w:r w:rsidR="006B3B4D" w:rsidRPr="006B3B4D">
        <w:t xml:space="preserve">, the </w:t>
      </w:r>
      <w:r w:rsidR="006B3B4D" w:rsidRPr="006B3B4D">
        <w:lastRenderedPageBreak/>
        <w:t xml:space="preserve">Division convicted traffickers who preyed on vulnerable young women, using addictive drugs to manipulate and compel the victims to engage in </w:t>
      </w:r>
      <w:r w:rsidR="002F235A">
        <w:t>sex</w:t>
      </w:r>
      <w:r w:rsidR="002E65EA">
        <w:t xml:space="preserve"> for money</w:t>
      </w:r>
      <w:r w:rsidR="006B3B4D" w:rsidRPr="006B3B4D">
        <w:t>.</w:t>
      </w:r>
      <w:r w:rsidR="006B3B4D">
        <w:t xml:space="preserve"> </w:t>
      </w:r>
      <w:r w:rsidR="002510BC" w:rsidRPr="002510BC">
        <w:t>O</w:t>
      </w:r>
      <w:r w:rsidR="00587B2F">
        <w:t xml:space="preserve">ver the course of the year, </w:t>
      </w:r>
      <w:r w:rsidR="002510BC" w:rsidRPr="002510BC">
        <w:t xml:space="preserve">90 individuals </w:t>
      </w:r>
      <w:r w:rsidR="00587B2F">
        <w:t xml:space="preserve">were convicted </w:t>
      </w:r>
      <w:r w:rsidR="002510BC" w:rsidRPr="002510BC">
        <w:t>for crimes involving trafficking</w:t>
      </w:r>
      <w:r w:rsidR="002510BC">
        <w:t>, the most in more than five years.</w:t>
      </w:r>
    </w:p>
    <w:p w:rsidR="00603316" w:rsidRDefault="00603316" w:rsidP="00C63562">
      <w:pPr>
        <w:spacing w:after="0" w:line="240" w:lineRule="auto"/>
        <w:rPr>
          <w:rFonts w:ascii="Times New Roman" w:hAnsi="Times New Roman"/>
          <w:i/>
          <w:sz w:val="24"/>
          <w:szCs w:val="24"/>
        </w:rPr>
      </w:pPr>
    </w:p>
    <w:p w:rsidR="009353FB" w:rsidRPr="00AF08D3" w:rsidRDefault="009353FB" w:rsidP="009353FB">
      <w:pPr>
        <w:pStyle w:val="Heading2"/>
        <w:rPr>
          <w:rStyle w:val="BookTitle"/>
        </w:rPr>
      </w:pPr>
      <w:r>
        <w:rPr>
          <w:rStyle w:val="BookTitle"/>
        </w:rPr>
        <w:t>Defending the Rights of Youth in the Juvenile Justice System:</w:t>
      </w:r>
    </w:p>
    <w:p w:rsidR="006B3B4D" w:rsidRDefault="004E24A7" w:rsidP="009417F7">
      <w:pPr>
        <w:spacing w:after="0" w:line="240" w:lineRule="auto"/>
        <w:rPr>
          <w:rFonts w:ascii="Times New Roman" w:hAnsi="Times New Roman"/>
          <w:sz w:val="24"/>
          <w:szCs w:val="24"/>
        </w:rPr>
      </w:pPr>
      <w:r w:rsidRPr="004E24A7">
        <w:rPr>
          <w:rFonts w:ascii="Times New Roman" w:hAnsi="Times New Roman"/>
          <w:sz w:val="24"/>
          <w:szCs w:val="24"/>
        </w:rPr>
        <w:t>The Division is acutely aware of the impact that the criminal justice system has on communities of color.</w:t>
      </w:r>
      <w:r w:rsidR="008712B6">
        <w:rPr>
          <w:rFonts w:ascii="Times New Roman" w:hAnsi="Times New Roman"/>
          <w:sz w:val="24"/>
          <w:szCs w:val="24"/>
        </w:rPr>
        <w:t xml:space="preserve"> </w:t>
      </w:r>
      <w:r w:rsidRPr="004E24A7">
        <w:rPr>
          <w:rFonts w:ascii="Times New Roman" w:hAnsi="Times New Roman"/>
          <w:sz w:val="24"/>
          <w:szCs w:val="24"/>
        </w:rPr>
        <w:t>It remains an inescapable fact that disparities at nearly every stage of</w:t>
      </w:r>
      <w:r w:rsidR="008712B6">
        <w:rPr>
          <w:rFonts w:ascii="Times New Roman" w:hAnsi="Times New Roman"/>
          <w:sz w:val="24"/>
          <w:szCs w:val="24"/>
        </w:rPr>
        <w:t xml:space="preserve"> </w:t>
      </w:r>
      <w:r w:rsidRPr="004E24A7">
        <w:rPr>
          <w:rFonts w:ascii="Times New Roman" w:hAnsi="Times New Roman"/>
          <w:sz w:val="24"/>
          <w:szCs w:val="24"/>
        </w:rPr>
        <w:t>the criminal process keep too many African Americans, Latinos and other minorities in poverty and deny them the opportunities that so many in the civil rights movement fought to achieve. </w:t>
      </w:r>
    </w:p>
    <w:p w:rsidR="00F10B54" w:rsidRPr="006B3B4D" w:rsidRDefault="00F10B54" w:rsidP="009417F7">
      <w:pPr>
        <w:spacing w:after="0" w:line="240" w:lineRule="auto"/>
        <w:rPr>
          <w:rFonts w:ascii="Times New Roman" w:hAnsi="Times New Roman"/>
          <w:sz w:val="24"/>
          <w:szCs w:val="24"/>
        </w:rPr>
      </w:pPr>
    </w:p>
    <w:p w:rsidR="004E24A7" w:rsidRDefault="00FC3EA0" w:rsidP="00F10B54">
      <w:pPr>
        <w:pStyle w:val="NormalWeb"/>
        <w:spacing w:before="0" w:beforeAutospacing="0" w:after="0" w:afterAutospacing="0"/>
      </w:pPr>
      <w:r w:rsidRPr="002B176F">
        <w:rPr>
          <w:i/>
        </w:rPr>
        <w:t>Shelby County, Tennessee:</w:t>
      </w:r>
      <w:r>
        <w:t xml:space="preserve"> </w:t>
      </w:r>
      <w:r w:rsidR="004E24A7">
        <w:t xml:space="preserve">In Shelby County, a </w:t>
      </w:r>
      <w:r>
        <w:t>Division</w:t>
      </w:r>
      <w:r w:rsidR="004E24A7">
        <w:t xml:space="preserve"> investigation found that the juvenile court systemically violated the Due Process rights of youth </w:t>
      </w:r>
      <w:r w:rsidR="00640299">
        <w:t>in</w:t>
      </w:r>
      <w:r w:rsidR="004E24A7">
        <w:t xml:space="preserve"> delinquency proceedings, as well as the Equal Protection rights of African-American youth. At every critical inflection point, we found that African-American youth were statistically more likely than similarly situated whites to be driven deeper into the juvenile justice system. And there was a significantly higher risk for young black men to be removed to the adult system than their white </w:t>
      </w:r>
      <w:r w:rsidR="00640299">
        <w:t>peers</w:t>
      </w:r>
      <w:r w:rsidR="004E24A7">
        <w:t>.</w:t>
      </w:r>
      <w:r w:rsidR="006B3B4D">
        <w:t xml:space="preserve"> </w:t>
      </w:r>
    </w:p>
    <w:p w:rsidR="00F10B54" w:rsidRDefault="00F10B54" w:rsidP="00F10B54">
      <w:pPr>
        <w:pStyle w:val="NormalWeb"/>
        <w:spacing w:before="0" w:beforeAutospacing="0" w:after="0" w:afterAutospacing="0"/>
      </w:pPr>
    </w:p>
    <w:p w:rsidR="004E24A7" w:rsidRDefault="004E24A7" w:rsidP="00F10B54">
      <w:pPr>
        <w:pStyle w:val="NormalWeb"/>
        <w:spacing w:before="0" w:beforeAutospacing="0" w:after="0" w:afterAutospacing="0"/>
      </w:pPr>
      <w:r>
        <w:t>In response to these findings, the Division entered into a comprehensive settlement to ensure that children in Shelby County will receive the full protections provided under our Constitution. This agreement has already led to significant improvements, including the hiring of a juvenile defender, and will help make Shelby County a model for juvenile courts across the country.</w:t>
      </w:r>
      <w:r w:rsidR="008712B6">
        <w:t xml:space="preserve"> </w:t>
      </w:r>
      <w:r>
        <w:t>Moreover, data collected from this settlement will help us better understand what intervention</w:t>
      </w:r>
      <w:r w:rsidR="00FC3EA0">
        <w:t>s</w:t>
      </w:r>
      <w:r>
        <w:t xml:space="preserve"> work to keep children in the community and out of detention.</w:t>
      </w:r>
    </w:p>
    <w:p w:rsidR="00833485" w:rsidRPr="004D57AC" w:rsidRDefault="00833485" w:rsidP="00F10B54">
      <w:pPr>
        <w:pStyle w:val="NormalWeb"/>
        <w:spacing w:before="0" w:beforeAutospacing="0" w:after="0" w:afterAutospacing="0"/>
      </w:pPr>
    </w:p>
    <w:p w:rsidR="00FB2F3A" w:rsidRPr="00AF08D3" w:rsidRDefault="00FB2F3A" w:rsidP="00FB2F3A">
      <w:pPr>
        <w:pStyle w:val="Heading2"/>
        <w:rPr>
          <w:rStyle w:val="BookTitle"/>
        </w:rPr>
      </w:pPr>
      <w:r>
        <w:rPr>
          <w:rStyle w:val="BookTitle"/>
        </w:rPr>
        <w:t>Protecting the Rights of Individuals in the Criminal Justice System:</w:t>
      </w:r>
    </w:p>
    <w:p w:rsidR="009218BD" w:rsidRPr="009218BD" w:rsidRDefault="009218BD" w:rsidP="009417F7">
      <w:pPr>
        <w:spacing w:line="240" w:lineRule="auto"/>
        <w:rPr>
          <w:rFonts w:ascii="Times New Roman" w:hAnsi="Times New Roman"/>
          <w:sz w:val="24"/>
          <w:szCs w:val="24"/>
        </w:rPr>
      </w:pPr>
      <w:r>
        <w:rPr>
          <w:rFonts w:ascii="Times New Roman" w:hAnsi="Times New Roman"/>
          <w:sz w:val="24"/>
          <w:szCs w:val="24"/>
        </w:rPr>
        <w:t xml:space="preserve">Individuals confined in institutions are often among the most vulnerable in our society. </w:t>
      </w:r>
      <w:r w:rsidR="00A015BC">
        <w:rPr>
          <w:rFonts w:ascii="Times New Roman" w:hAnsi="Times New Roman"/>
          <w:sz w:val="24"/>
          <w:szCs w:val="24"/>
        </w:rPr>
        <w:t xml:space="preserve">The Division has long enforced laws protecting the civil rights of people who are incarcerated. </w:t>
      </w:r>
      <w:r w:rsidR="002A16F8">
        <w:rPr>
          <w:rFonts w:ascii="Times New Roman" w:hAnsi="Times New Roman"/>
          <w:sz w:val="24"/>
          <w:szCs w:val="24"/>
        </w:rPr>
        <w:t xml:space="preserve">This year, the </w:t>
      </w:r>
      <w:r w:rsidR="005530EB">
        <w:rPr>
          <w:rFonts w:ascii="Times New Roman" w:hAnsi="Times New Roman"/>
          <w:sz w:val="24"/>
          <w:szCs w:val="24"/>
        </w:rPr>
        <w:t xml:space="preserve">Division completed two significant investigations to protect the rights of inmates with HIV and inmates with serious mental illness. </w:t>
      </w:r>
    </w:p>
    <w:p w:rsidR="002B176F" w:rsidRDefault="002B176F" w:rsidP="002B176F">
      <w:pPr>
        <w:spacing w:after="0" w:line="240" w:lineRule="auto"/>
        <w:rPr>
          <w:rFonts w:ascii="Times New Roman" w:hAnsi="Times New Roman"/>
          <w:sz w:val="24"/>
          <w:szCs w:val="24"/>
        </w:rPr>
      </w:pPr>
      <w:r w:rsidRPr="005A038D">
        <w:rPr>
          <w:rFonts w:ascii="Times New Roman" w:hAnsi="Times New Roman"/>
          <w:i/>
          <w:sz w:val="24"/>
          <w:szCs w:val="24"/>
        </w:rPr>
        <w:t>South Carolina:</w:t>
      </w:r>
      <w:r>
        <w:rPr>
          <w:rFonts w:ascii="Times New Roman" w:hAnsi="Times New Roman"/>
          <w:i/>
          <w:sz w:val="24"/>
          <w:szCs w:val="24"/>
        </w:rPr>
        <w:t xml:space="preserve"> </w:t>
      </w:r>
      <w:r w:rsidRPr="00C63562">
        <w:rPr>
          <w:rFonts w:ascii="Times New Roman" w:hAnsi="Times New Roman"/>
          <w:sz w:val="24"/>
          <w:szCs w:val="24"/>
        </w:rPr>
        <w:t>Science and longstanding experi</w:t>
      </w:r>
      <w:r>
        <w:rPr>
          <w:rFonts w:ascii="Times New Roman" w:hAnsi="Times New Roman"/>
          <w:sz w:val="24"/>
          <w:szCs w:val="24"/>
        </w:rPr>
        <w:t>ence have demonstrated that HIV alone</w:t>
      </w:r>
      <w:r w:rsidRPr="00C63562">
        <w:rPr>
          <w:rFonts w:ascii="Times New Roman" w:hAnsi="Times New Roman"/>
          <w:sz w:val="24"/>
          <w:szCs w:val="24"/>
        </w:rPr>
        <w:t xml:space="preserve"> is not a basis for segregation </w:t>
      </w:r>
      <w:r w:rsidR="00640299">
        <w:rPr>
          <w:rFonts w:ascii="Times New Roman" w:hAnsi="Times New Roman"/>
          <w:sz w:val="24"/>
          <w:szCs w:val="24"/>
        </w:rPr>
        <w:t xml:space="preserve">of prison inmates </w:t>
      </w:r>
      <w:r w:rsidRPr="00C63562">
        <w:rPr>
          <w:rFonts w:ascii="Times New Roman" w:hAnsi="Times New Roman"/>
          <w:sz w:val="24"/>
          <w:szCs w:val="24"/>
        </w:rPr>
        <w:t xml:space="preserve">from the general </w:t>
      </w:r>
      <w:r w:rsidR="00640299">
        <w:rPr>
          <w:rFonts w:ascii="Times New Roman" w:hAnsi="Times New Roman"/>
          <w:sz w:val="24"/>
          <w:szCs w:val="24"/>
        </w:rPr>
        <w:t xml:space="preserve">prison </w:t>
      </w:r>
      <w:r w:rsidRPr="00C63562">
        <w:rPr>
          <w:rFonts w:ascii="Times New Roman" w:hAnsi="Times New Roman"/>
          <w:sz w:val="24"/>
          <w:szCs w:val="24"/>
        </w:rPr>
        <w:t>population</w:t>
      </w:r>
      <w:r>
        <w:rPr>
          <w:rFonts w:ascii="Times New Roman" w:hAnsi="Times New Roman"/>
          <w:sz w:val="24"/>
          <w:szCs w:val="24"/>
        </w:rPr>
        <w:t xml:space="preserve">. Yet under policies implemented in the late 1990s, the South Carolina Department of Corrections (SCDC) segregated all inmates with HIV in two of SCDC’s highest security prisons, regardless of the individual’s security classification. As of September 2013, there were approximately 350 male and female inmates with HIV who were </w:t>
      </w:r>
      <w:r w:rsidRPr="005A038D">
        <w:rPr>
          <w:rFonts w:ascii="Times New Roman" w:hAnsi="Times New Roman"/>
          <w:sz w:val="24"/>
          <w:szCs w:val="24"/>
        </w:rPr>
        <w:t>segregated in SCDC’s highest security prisons solely on the basis of their HIV-positive status</w:t>
      </w:r>
      <w:r>
        <w:rPr>
          <w:rFonts w:ascii="Times New Roman" w:hAnsi="Times New Roman"/>
          <w:sz w:val="24"/>
          <w:szCs w:val="24"/>
        </w:rPr>
        <w:t>.</w:t>
      </w:r>
    </w:p>
    <w:p w:rsidR="002B176F" w:rsidRDefault="002B176F" w:rsidP="002B176F">
      <w:pPr>
        <w:spacing w:after="0" w:line="240" w:lineRule="auto"/>
        <w:rPr>
          <w:rFonts w:ascii="Times New Roman" w:hAnsi="Times New Roman"/>
          <w:sz w:val="24"/>
          <w:szCs w:val="24"/>
        </w:rPr>
      </w:pPr>
    </w:p>
    <w:p w:rsidR="002B176F" w:rsidRDefault="002B176F" w:rsidP="002B176F">
      <w:pPr>
        <w:spacing w:after="0" w:line="240" w:lineRule="auto"/>
        <w:rPr>
          <w:rFonts w:ascii="Times New Roman" w:hAnsi="Times New Roman"/>
          <w:sz w:val="24"/>
          <w:szCs w:val="24"/>
        </w:rPr>
      </w:pPr>
      <w:r>
        <w:rPr>
          <w:rFonts w:ascii="Times New Roman" w:hAnsi="Times New Roman"/>
          <w:sz w:val="24"/>
          <w:szCs w:val="24"/>
        </w:rPr>
        <w:t xml:space="preserve">Even worse, </w:t>
      </w:r>
      <w:r w:rsidRPr="005A038D">
        <w:rPr>
          <w:rFonts w:ascii="Times New Roman" w:hAnsi="Times New Roman"/>
          <w:sz w:val="24"/>
          <w:szCs w:val="24"/>
        </w:rPr>
        <w:t xml:space="preserve">inmates </w:t>
      </w:r>
      <w:r>
        <w:rPr>
          <w:rFonts w:ascii="Times New Roman" w:hAnsi="Times New Roman"/>
          <w:sz w:val="24"/>
          <w:szCs w:val="24"/>
        </w:rPr>
        <w:t xml:space="preserve">were </w:t>
      </w:r>
      <w:r w:rsidRPr="005A038D">
        <w:rPr>
          <w:rFonts w:ascii="Times New Roman" w:hAnsi="Times New Roman"/>
          <w:sz w:val="24"/>
          <w:szCs w:val="24"/>
        </w:rPr>
        <w:t>required to wear c</w:t>
      </w:r>
      <w:r>
        <w:rPr>
          <w:rFonts w:ascii="Times New Roman" w:hAnsi="Times New Roman"/>
          <w:sz w:val="24"/>
          <w:szCs w:val="24"/>
        </w:rPr>
        <w:t>lothing and badges that identified</w:t>
      </w:r>
      <w:r w:rsidRPr="005A038D">
        <w:rPr>
          <w:rFonts w:ascii="Times New Roman" w:hAnsi="Times New Roman"/>
          <w:sz w:val="24"/>
          <w:szCs w:val="24"/>
        </w:rPr>
        <w:t xml:space="preserve"> their dorms and </w:t>
      </w:r>
      <w:r>
        <w:rPr>
          <w:rFonts w:ascii="Times New Roman" w:hAnsi="Times New Roman"/>
          <w:sz w:val="24"/>
          <w:szCs w:val="24"/>
        </w:rPr>
        <w:t xml:space="preserve">thus </w:t>
      </w:r>
      <w:r w:rsidRPr="005A038D">
        <w:rPr>
          <w:rFonts w:ascii="Times New Roman" w:hAnsi="Times New Roman"/>
          <w:sz w:val="24"/>
          <w:szCs w:val="24"/>
        </w:rPr>
        <w:t>effectively disclose</w:t>
      </w:r>
      <w:r>
        <w:rPr>
          <w:rFonts w:ascii="Times New Roman" w:hAnsi="Times New Roman"/>
          <w:sz w:val="24"/>
          <w:szCs w:val="24"/>
        </w:rPr>
        <w:t>d</w:t>
      </w:r>
      <w:r w:rsidRPr="005A038D">
        <w:rPr>
          <w:rFonts w:ascii="Times New Roman" w:hAnsi="Times New Roman"/>
          <w:sz w:val="24"/>
          <w:szCs w:val="24"/>
        </w:rPr>
        <w:t xml:space="preserve"> their HIV status to other inmates, correctional staff</w:t>
      </w:r>
      <w:r>
        <w:rPr>
          <w:rFonts w:ascii="Times New Roman" w:hAnsi="Times New Roman"/>
          <w:sz w:val="24"/>
          <w:szCs w:val="24"/>
        </w:rPr>
        <w:t>, and visitors.</w:t>
      </w:r>
      <w:r w:rsidR="008712B6">
        <w:rPr>
          <w:rFonts w:ascii="Times New Roman" w:hAnsi="Times New Roman"/>
          <w:sz w:val="24"/>
          <w:szCs w:val="24"/>
        </w:rPr>
        <w:t xml:space="preserve"> </w:t>
      </w:r>
      <w:r>
        <w:rPr>
          <w:rFonts w:ascii="Times New Roman" w:hAnsi="Times New Roman"/>
          <w:sz w:val="24"/>
          <w:szCs w:val="24"/>
        </w:rPr>
        <w:t>Further, because certain programs wer</w:t>
      </w:r>
      <w:r w:rsidRPr="005A038D">
        <w:rPr>
          <w:rFonts w:ascii="Times New Roman" w:hAnsi="Times New Roman"/>
          <w:sz w:val="24"/>
          <w:szCs w:val="24"/>
        </w:rPr>
        <w:t xml:space="preserve">e not provided at the two </w:t>
      </w:r>
      <w:r>
        <w:rPr>
          <w:rFonts w:ascii="Times New Roman" w:hAnsi="Times New Roman"/>
          <w:sz w:val="24"/>
          <w:szCs w:val="24"/>
        </w:rPr>
        <w:t xml:space="preserve">highest security </w:t>
      </w:r>
      <w:r w:rsidRPr="005A038D">
        <w:rPr>
          <w:rFonts w:ascii="Times New Roman" w:hAnsi="Times New Roman"/>
          <w:sz w:val="24"/>
          <w:szCs w:val="24"/>
        </w:rPr>
        <w:t xml:space="preserve">prisons, inmates with HIV </w:t>
      </w:r>
      <w:r>
        <w:rPr>
          <w:rFonts w:ascii="Times New Roman" w:hAnsi="Times New Roman"/>
          <w:sz w:val="24"/>
          <w:szCs w:val="24"/>
        </w:rPr>
        <w:t>were</w:t>
      </w:r>
      <w:r w:rsidRPr="005A038D">
        <w:rPr>
          <w:rFonts w:ascii="Times New Roman" w:hAnsi="Times New Roman"/>
          <w:sz w:val="24"/>
          <w:szCs w:val="24"/>
        </w:rPr>
        <w:t xml:space="preserve"> unable to participate in a variety of SCDC’s programs, such as drug treatment, work release, pre-release preparation, intermediate psychiatric care and SCDC jobs that are available to other inmates without HIV.</w:t>
      </w:r>
    </w:p>
    <w:p w:rsidR="002B176F" w:rsidRDefault="002B176F" w:rsidP="002B176F">
      <w:pPr>
        <w:spacing w:after="0" w:line="240" w:lineRule="auto"/>
        <w:rPr>
          <w:rFonts w:ascii="Times New Roman" w:hAnsi="Times New Roman"/>
          <w:sz w:val="24"/>
          <w:szCs w:val="24"/>
        </w:rPr>
      </w:pPr>
    </w:p>
    <w:p w:rsidR="002B176F" w:rsidRDefault="00640299" w:rsidP="002B176F">
      <w:pPr>
        <w:spacing w:after="0" w:line="240" w:lineRule="auto"/>
        <w:rPr>
          <w:rFonts w:ascii="Times New Roman" w:hAnsi="Times New Roman"/>
          <w:sz w:val="24"/>
          <w:szCs w:val="24"/>
        </w:rPr>
      </w:pPr>
      <w:r>
        <w:rPr>
          <w:rFonts w:ascii="Times New Roman" w:hAnsi="Times New Roman"/>
          <w:sz w:val="24"/>
          <w:szCs w:val="24"/>
        </w:rPr>
        <w:lastRenderedPageBreak/>
        <w:t>The Division reached a consent decree requiring</w:t>
      </w:r>
      <w:r w:rsidR="002B176F" w:rsidRPr="00523E7F">
        <w:rPr>
          <w:rFonts w:ascii="Times New Roman" w:hAnsi="Times New Roman"/>
          <w:sz w:val="24"/>
          <w:szCs w:val="24"/>
        </w:rPr>
        <w:t xml:space="preserve"> SCDC </w:t>
      </w:r>
      <w:r>
        <w:rPr>
          <w:rFonts w:ascii="Times New Roman" w:hAnsi="Times New Roman"/>
          <w:sz w:val="24"/>
          <w:szCs w:val="24"/>
        </w:rPr>
        <w:t>to</w:t>
      </w:r>
      <w:r w:rsidR="002B176F" w:rsidRPr="00523E7F">
        <w:rPr>
          <w:rFonts w:ascii="Times New Roman" w:hAnsi="Times New Roman"/>
          <w:sz w:val="24"/>
          <w:szCs w:val="24"/>
        </w:rPr>
        <w:t xml:space="preserve"> revoke all policies that separate or segregate inmates with HIV, solely on the basis of HIV and regardless of security classification status.</w:t>
      </w:r>
      <w:r w:rsidR="008712B6">
        <w:rPr>
          <w:rFonts w:ascii="Times New Roman" w:hAnsi="Times New Roman"/>
          <w:sz w:val="24"/>
          <w:szCs w:val="24"/>
        </w:rPr>
        <w:t xml:space="preserve"> </w:t>
      </w:r>
      <w:r w:rsidR="002B176F" w:rsidRPr="00523E7F">
        <w:rPr>
          <w:rFonts w:ascii="Times New Roman" w:hAnsi="Times New Roman"/>
          <w:sz w:val="24"/>
          <w:szCs w:val="24"/>
        </w:rPr>
        <w:t>Additionally, inmates with HIV who are currently housed in SCDC’s two high security prisons will have an opportunity to choose new housing options based on the SCDC’s classification system and without regard to HIV.</w:t>
      </w:r>
      <w:r>
        <w:rPr>
          <w:rFonts w:ascii="Times New Roman" w:hAnsi="Times New Roman"/>
          <w:sz w:val="24"/>
          <w:szCs w:val="24"/>
        </w:rPr>
        <w:t xml:space="preserve"> The previously-segregated inmates will also be given priority access to the prison programs they had been denied.</w:t>
      </w:r>
    </w:p>
    <w:p w:rsidR="002B176F" w:rsidRPr="002B176F" w:rsidRDefault="002B176F" w:rsidP="002B176F">
      <w:pPr>
        <w:spacing w:after="0" w:line="240" w:lineRule="auto"/>
        <w:rPr>
          <w:rFonts w:ascii="Times New Roman" w:hAnsi="Times New Roman"/>
          <w:sz w:val="24"/>
          <w:szCs w:val="24"/>
        </w:rPr>
      </w:pPr>
    </w:p>
    <w:p w:rsidR="00FF3339" w:rsidRDefault="002A16F8" w:rsidP="00FF3339">
      <w:pPr>
        <w:spacing w:line="240" w:lineRule="auto"/>
        <w:rPr>
          <w:rFonts w:ascii="Times New Roman" w:hAnsi="Times New Roman"/>
          <w:sz w:val="24"/>
          <w:szCs w:val="24"/>
        </w:rPr>
      </w:pPr>
      <w:r>
        <w:rPr>
          <w:rFonts w:ascii="Times New Roman" w:hAnsi="Times New Roman"/>
          <w:i/>
          <w:sz w:val="24"/>
          <w:szCs w:val="24"/>
        </w:rPr>
        <w:t>Pennsylvania</w:t>
      </w:r>
      <w:r w:rsidR="00FF3339" w:rsidRPr="00FF3339">
        <w:rPr>
          <w:rFonts w:ascii="Times New Roman" w:hAnsi="Times New Roman"/>
          <w:i/>
          <w:sz w:val="24"/>
          <w:szCs w:val="24"/>
        </w:rPr>
        <w:t>:</w:t>
      </w:r>
      <w:r w:rsidR="00FF3339">
        <w:rPr>
          <w:rFonts w:ascii="Times New Roman" w:hAnsi="Times New Roman"/>
          <w:i/>
          <w:sz w:val="24"/>
          <w:szCs w:val="24"/>
        </w:rPr>
        <w:t xml:space="preserve"> </w:t>
      </w:r>
      <w:r w:rsidR="004D5C39">
        <w:rPr>
          <w:rFonts w:ascii="Times New Roman" w:hAnsi="Times New Roman"/>
          <w:sz w:val="24"/>
          <w:szCs w:val="24"/>
        </w:rPr>
        <w:t>Last year</w:t>
      </w:r>
      <w:r w:rsidR="00C7593C">
        <w:rPr>
          <w:rFonts w:ascii="Times New Roman" w:hAnsi="Times New Roman"/>
          <w:sz w:val="24"/>
          <w:szCs w:val="24"/>
        </w:rPr>
        <w:t>, the Civil Rights Division and the U</w:t>
      </w:r>
      <w:r w:rsidR="00587B2F">
        <w:rPr>
          <w:rFonts w:ascii="Times New Roman" w:hAnsi="Times New Roman"/>
          <w:sz w:val="24"/>
          <w:szCs w:val="24"/>
        </w:rPr>
        <w:t>.S. Attorney’s Office for the We</w:t>
      </w:r>
      <w:r w:rsidR="00C7593C">
        <w:rPr>
          <w:rFonts w:ascii="Times New Roman" w:hAnsi="Times New Roman"/>
          <w:sz w:val="24"/>
          <w:szCs w:val="24"/>
        </w:rPr>
        <w:t xml:space="preserve">stern District of Pennsylvania completed an investigation into the Pennsylvania State Correctional Institution at Cresson’s use of solitary confinement on prisoners with serious mental illness.  </w:t>
      </w:r>
      <w:r w:rsidR="00A74263">
        <w:rPr>
          <w:rFonts w:ascii="Times New Roman" w:hAnsi="Times New Roman"/>
          <w:sz w:val="24"/>
          <w:szCs w:val="24"/>
        </w:rPr>
        <w:t xml:space="preserve">The findings: Cresson </w:t>
      </w:r>
      <w:r w:rsidR="00567DFC">
        <w:rPr>
          <w:rFonts w:ascii="Times New Roman" w:hAnsi="Times New Roman"/>
          <w:sz w:val="24"/>
          <w:szCs w:val="24"/>
        </w:rPr>
        <w:t xml:space="preserve">staff </w:t>
      </w:r>
      <w:r w:rsidR="00A74263">
        <w:rPr>
          <w:rFonts w:ascii="Times New Roman" w:hAnsi="Times New Roman"/>
          <w:sz w:val="24"/>
          <w:szCs w:val="24"/>
        </w:rPr>
        <w:t xml:space="preserve">resorted to locking prisoners </w:t>
      </w:r>
      <w:r w:rsidR="00567DFC">
        <w:rPr>
          <w:rFonts w:ascii="Times New Roman" w:hAnsi="Times New Roman"/>
          <w:sz w:val="24"/>
          <w:szCs w:val="24"/>
        </w:rPr>
        <w:t xml:space="preserve">with serious mental illness </w:t>
      </w:r>
      <w:r w:rsidR="00A74263" w:rsidRPr="00A74263">
        <w:rPr>
          <w:rFonts w:ascii="Times New Roman" w:hAnsi="Times New Roman"/>
          <w:sz w:val="24"/>
          <w:szCs w:val="24"/>
        </w:rPr>
        <w:t>in their</w:t>
      </w:r>
      <w:r w:rsidR="00B37943">
        <w:rPr>
          <w:rFonts w:ascii="Times New Roman" w:hAnsi="Times New Roman"/>
          <w:sz w:val="24"/>
          <w:szCs w:val="24"/>
        </w:rPr>
        <w:t xml:space="preserve"> cells for 22 to 23 hours a day</w:t>
      </w:r>
      <w:r w:rsidR="00A74263" w:rsidRPr="00A74263">
        <w:rPr>
          <w:rFonts w:ascii="Times New Roman" w:hAnsi="Times New Roman"/>
          <w:sz w:val="24"/>
          <w:szCs w:val="24"/>
        </w:rPr>
        <w:t xml:space="preserve"> for months or even years at a time</w:t>
      </w:r>
      <w:r w:rsidR="00A74263">
        <w:rPr>
          <w:rFonts w:ascii="Times New Roman" w:hAnsi="Times New Roman"/>
          <w:sz w:val="24"/>
          <w:szCs w:val="24"/>
        </w:rPr>
        <w:t xml:space="preserve">. </w:t>
      </w:r>
      <w:r w:rsidR="00567DFC">
        <w:rPr>
          <w:rFonts w:ascii="Times New Roman" w:hAnsi="Times New Roman"/>
          <w:sz w:val="24"/>
          <w:szCs w:val="24"/>
        </w:rPr>
        <w:t xml:space="preserve">Prisoners with mental illness were disproportionately placed in solitary confinement, often because of their mental illness. </w:t>
      </w:r>
      <w:r w:rsidR="00A74263">
        <w:rPr>
          <w:rFonts w:ascii="Times New Roman" w:hAnsi="Times New Roman"/>
          <w:sz w:val="24"/>
          <w:szCs w:val="24"/>
        </w:rPr>
        <w:t xml:space="preserve">The prison </w:t>
      </w:r>
      <w:r w:rsidR="00A53A2C">
        <w:rPr>
          <w:rFonts w:ascii="Times New Roman" w:hAnsi="Times New Roman"/>
          <w:sz w:val="24"/>
          <w:szCs w:val="24"/>
        </w:rPr>
        <w:t>often denied</w:t>
      </w:r>
      <w:r w:rsidR="00A74263" w:rsidRPr="00A74263">
        <w:rPr>
          <w:rFonts w:ascii="Times New Roman" w:hAnsi="Times New Roman"/>
          <w:sz w:val="24"/>
          <w:szCs w:val="24"/>
        </w:rPr>
        <w:t xml:space="preserve"> these prisoners basic necessities and subject</w:t>
      </w:r>
      <w:r w:rsidR="00CE4D87">
        <w:rPr>
          <w:rFonts w:ascii="Times New Roman" w:hAnsi="Times New Roman"/>
          <w:sz w:val="24"/>
          <w:szCs w:val="24"/>
        </w:rPr>
        <w:t>ed</w:t>
      </w:r>
      <w:r w:rsidR="00A74263" w:rsidRPr="00A74263">
        <w:rPr>
          <w:rFonts w:ascii="Times New Roman" w:hAnsi="Times New Roman"/>
          <w:sz w:val="24"/>
          <w:szCs w:val="24"/>
        </w:rPr>
        <w:t xml:space="preserve"> them to harsh and punitive conditions, including excessive uses of force</w:t>
      </w:r>
      <w:r w:rsidR="00A74263">
        <w:rPr>
          <w:rFonts w:ascii="Times New Roman" w:hAnsi="Times New Roman"/>
          <w:sz w:val="24"/>
          <w:szCs w:val="24"/>
        </w:rPr>
        <w:t xml:space="preserve">. And this </w:t>
      </w:r>
      <w:r w:rsidR="00A74263" w:rsidRPr="00A74263">
        <w:rPr>
          <w:rFonts w:ascii="Times New Roman" w:hAnsi="Times New Roman"/>
          <w:sz w:val="24"/>
          <w:szCs w:val="24"/>
        </w:rPr>
        <w:t>misuse of solitary confinement on prisoners with serious mental illness le</w:t>
      </w:r>
      <w:r w:rsidR="00A53A2C">
        <w:rPr>
          <w:rFonts w:ascii="Times New Roman" w:hAnsi="Times New Roman"/>
          <w:sz w:val="24"/>
          <w:szCs w:val="24"/>
        </w:rPr>
        <w:t>d</w:t>
      </w:r>
      <w:r w:rsidR="00A74263" w:rsidRPr="00A74263">
        <w:rPr>
          <w:rFonts w:ascii="Times New Roman" w:hAnsi="Times New Roman"/>
          <w:sz w:val="24"/>
          <w:szCs w:val="24"/>
        </w:rPr>
        <w:t xml:space="preserve"> to serious harms, including mental decompensation, clinical depression, psychosis, self-mutilation, and suicide.</w:t>
      </w:r>
    </w:p>
    <w:p w:rsidR="00A74263" w:rsidRDefault="00A53A2C" w:rsidP="00FF3339">
      <w:pPr>
        <w:spacing w:line="240" w:lineRule="auto"/>
        <w:rPr>
          <w:rFonts w:ascii="Times New Roman" w:hAnsi="Times New Roman"/>
          <w:sz w:val="24"/>
          <w:szCs w:val="24"/>
        </w:rPr>
      </w:pPr>
      <w:r>
        <w:rPr>
          <w:rFonts w:ascii="Times New Roman" w:hAnsi="Times New Roman"/>
          <w:sz w:val="24"/>
          <w:szCs w:val="24"/>
        </w:rPr>
        <w:t>The Division found that this use of long-term and extreme forms of solitary confinement on prisone</w:t>
      </w:r>
      <w:r w:rsidR="002B176F">
        <w:rPr>
          <w:rFonts w:ascii="Times New Roman" w:hAnsi="Times New Roman"/>
          <w:sz w:val="24"/>
          <w:szCs w:val="24"/>
        </w:rPr>
        <w:t>rs with serious mental illness—</w:t>
      </w:r>
      <w:r>
        <w:rPr>
          <w:rFonts w:ascii="Times New Roman" w:hAnsi="Times New Roman"/>
          <w:sz w:val="24"/>
          <w:szCs w:val="24"/>
        </w:rPr>
        <w:t xml:space="preserve">many of whom also </w:t>
      </w:r>
      <w:r w:rsidR="002B176F">
        <w:rPr>
          <w:rFonts w:ascii="Times New Roman" w:hAnsi="Times New Roman"/>
          <w:sz w:val="24"/>
          <w:szCs w:val="24"/>
        </w:rPr>
        <w:t>have intellectual disabilities—</w:t>
      </w:r>
      <w:r>
        <w:rPr>
          <w:rFonts w:ascii="Times New Roman" w:hAnsi="Times New Roman"/>
          <w:sz w:val="24"/>
          <w:szCs w:val="24"/>
        </w:rPr>
        <w:t>v</w:t>
      </w:r>
      <w:r w:rsidRPr="00A53A2C">
        <w:rPr>
          <w:rFonts w:ascii="Times New Roman" w:hAnsi="Times New Roman"/>
          <w:sz w:val="24"/>
          <w:szCs w:val="24"/>
        </w:rPr>
        <w:t>iolates their rights under the Eighth Amendment to the U.S. Constitution and under the Americans with Disabilities Act</w:t>
      </w:r>
      <w:r>
        <w:rPr>
          <w:rFonts w:ascii="Times New Roman" w:hAnsi="Times New Roman"/>
          <w:sz w:val="24"/>
          <w:szCs w:val="24"/>
        </w:rPr>
        <w:t xml:space="preserve">. </w:t>
      </w:r>
    </w:p>
    <w:p w:rsidR="008712B6" w:rsidRDefault="008712B6" w:rsidP="008712B6">
      <w:pPr>
        <w:spacing w:line="240" w:lineRule="auto"/>
        <w:rPr>
          <w:rFonts w:ascii="Times New Roman" w:hAnsi="Times New Roman"/>
          <w:sz w:val="24"/>
          <w:szCs w:val="24"/>
        </w:rPr>
      </w:pPr>
      <w:r>
        <w:rPr>
          <w:rFonts w:ascii="Times New Roman" w:hAnsi="Times New Roman"/>
          <w:sz w:val="24"/>
          <w:szCs w:val="24"/>
        </w:rPr>
        <w:t xml:space="preserve">While Cresson is now closed, many of the prison’s problematic policies and practices may be indicative of what is occurring statewide. As a result, the Division expanded its investigation to include all prisons in the Pennsylvania Department of Corrections and intends to release a report on its findings in 2014. </w:t>
      </w:r>
    </w:p>
    <w:p w:rsidR="006E4B07" w:rsidRPr="00AC52DF" w:rsidRDefault="009E0118" w:rsidP="00AC52DF">
      <w:pPr>
        <w:autoSpaceDE w:val="0"/>
        <w:autoSpaceDN w:val="0"/>
        <w:adjustRightInd w:val="0"/>
        <w:spacing w:after="0" w:line="240" w:lineRule="auto"/>
        <w:jc w:val="center"/>
        <w:rPr>
          <w:rFonts w:asciiTheme="majorHAnsi" w:hAnsiTheme="majorHAnsi"/>
          <w:b/>
          <w:bCs/>
          <w:i/>
          <w:iCs/>
          <w:color w:val="4F81BD"/>
          <w:sz w:val="28"/>
          <w:szCs w:val="28"/>
        </w:rPr>
      </w:pPr>
      <w:r>
        <w:rPr>
          <w:rFonts w:ascii="Times New Roman" w:hAnsi="Times New Roman"/>
          <w:sz w:val="24"/>
        </w:rPr>
        <w:br w:type="column"/>
      </w:r>
      <w:r w:rsidR="00FF5C8C" w:rsidRPr="002A16F8">
        <w:rPr>
          <w:rStyle w:val="IntenseEmphasis"/>
          <w:rFonts w:asciiTheme="majorHAnsi" w:hAnsiTheme="majorHAnsi"/>
          <w:sz w:val="28"/>
          <w:szCs w:val="28"/>
        </w:rPr>
        <w:lastRenderedPageBreak/>
        <w:t>Civil Rights: The Unfinished Business of America</w:t>
      </w:r>
    </w:p>
    <w:p w:rsidR="006E4B07" w:rsidRDefault="006E4B07" w:rsidP="001C475F">
      <w:pPr>
        <w:widowControl w:val="0"/>
        <w:spacing w:after="0" w:line="240" w:lineRule="auto"/>
        <w:rPr>
          <w:rFonts w:ascii="Times New Roman" w:hAnsi="Times New Roman"/>
          <w:sz w:val="24"/>
          <w:szCs w:val="24"/>
        </w:rPr>
      </w:pPr>
    </w:p>
    <w:p w:rsidR="00FF5C8C" w:rsidRPr="00A36D0A" w:rsidRDefault="006E4B07" w:rsidP="006E4B07">
      <w:pPr>
        <w:widowControl w:val="0"/>
        <w:spacing w:after="0" w:line="240" w:lineRule="auto"/>
        <w:rPr>
          <w:rFonts w:asciiTheme="majorHAnsi" w:hAnsiTheme="majorHAnsi"/>
        </w:rPr>
      </w:pPr>
      <w:r w:rsidRPr="00644A6A">
        <w:rPr>
          <w:rFonts w:asciiTheme="majorHAnsi" w:hAnsiTheme="majorHAnsi"/>
        </w:rPr>
        <w:t>Fifty years have passed since the height of the American Civil Rights Movement: 50 year</w:t>
      </w:r>
      <w:r w:rsidR="00A36D0A">
        <w:rPr>
          <w:rFonts w:asciiTheme="majorHAnsi" w:hAnsiTheme="majorHAnsi"/>
        </w:rPr>
        <w:t>s since the March on Washington,</w:t>
      </w:r>
      <w:r w:rsidRPr="00644A6A">
        <w:rPr>
          <w:rFonts w:asciiTheme="majorHAnsi" w:hAnsiTheme="majorHAnsi"/>
        </w:rPr>
        <w:t xml:space="preserve"> since Dr. King’s “I Have a Dream” speech, since the passage of the Civil Rights Act of 1964, and nearly 50 years since the passage of the Voting Rights Act.  </w:t>
      </w:r>
      <w:r w:rsidR="00FF5C8C" w:rsidRPr="00FF5C8C">
        <w:rPr>
          <w:rFonts w:ascii="Times New Roman" w:hAnsi="Times New Roman"/>
          <w:sz w:val="24"/>
          <w:szCs w:val="24"/>
        </w:rPr>
        <w:t>As a nation, we h</w:t>
      </w:r>
      <w:r w:rsidR="00B37943">
        <w:rPr>
          <w:rFonts w:ascii="Times New Roman" w:hAnsi="Times New Roman"/>
          <w:sz w:val="24"/>
          <w:szCs w:val="24"/>
        </w:rPr>
        <w:t>ave undeniably come a long way—</w:t>
      </w:r>
      <w:r w:rsidR="00F32FB4">
        <w:rPr>
          <w:rFonts w:ascii="Times New Roman" w:hAnsi="Times New Roman"/>
          <w:sz w:val="24"/>
          <w:szCs w:val="24"/>
        </w:rPr>
        <w:t xml:space="preserve">many of </w:t>
      </w:r>
      <w:r w:rsidR="00FF5C8C" w:rsidRPr="00FF5C8C">
        <w:rPr>
          <w:rFonts w:ascii="Times New Roman" w:hAnsi="Times New Roman"/>
          <w:sz w:val="24"/>
          <w:szCs w:val="24"/>
        </w:rPr>
        <w:t>the rights for which so many civil rig</w:t>
      </w:r>
      <w:r w:rsidR="004B1054">
        <w:rPr>
          <w:rFonts w:ascii="Times New Roman" w:hAnsi="Times New Roman"/>
          <w:sz w:val="24"/>
          <w:szCs w:val="24"/>
        </w:rPr>
        <w:t xml:space="preserve">hts pioneers fought, bled, and even </w:t>
      </w:r>
      <w:r w:rsidR="00FF5C8C" w:rsidRPr="00FF5C8C">
        <w:rPr>
          <w:rFonts w:ascii="Times New Roman" w:hAnsi="Times New Roman"/>
          <w:sz w:val="24"/>
          <w:szCs w:val="24"/>
        </w:rPr>
        <w:t>gave their li</w:t>
      </w:r>
      <w:r w:rsidR="00A36D0A">
        <w:rPr>
          <w:rFonts w:ascii="Times New Roman" w:hAnsi="Times New Roman"/>
          <w:sz w:val="24"/>
          <w:szCs w:val="24"/>
        </w:rPr>
        <w:t>ves are now guaranteed by law. And w</w:t>
      </w:r>
      <w:r w:rsidR="00FF5C8C" w:rsidRPr="00FF5C8C">
        <w:rPr>
          <w:rFonts w:ascii="Times New Roman" w:hAnsi="Times New Roman"/>
          <w:sz w:val="24"/>
          <w:szCs w:val="24"/>
        </w:rPr>
        <w:t xml:space="preserve">e have seen tremendous movement not only legally but </w:t>
      </w:r>
      <w:r w:rsidR="00A36D0A">
        <w:rPr>
          <w:rFonts w:ascii="Times New Roman" w:hAnsi="Times New Roman"/>
          <w:sz w:val="24"/>
          <w:szCs w:val="24"/>
        </w:rPr>
        <w:t xml:space="preserve">also </w:t>
      </w:r>
      <w:r w:rsidR="00FF5C8C" w:rsidRPr="00FF5C8C">
        <w:rPr>
          <w:rFonts w:ascii="Times New Roman" w:hAnsi="Times New Roman"/>
          <w:sz w:val="24"/>
          <w:szCs w:val="24"/>
        </w:rPr>
        <w:t xml:space="preserve">in public attitudes and acceptance. </w:t>
      </w:r>
    </w:p>
    <w:p w:rsidR="006E4B07" w:rsidRDefault="006E4B07" w:rsidP="006E4B07">
      <w:pPr>
        <w:widowControl w:val="0"/>
        <w:spacing w:after="0" w:line="240" w:lineRule="auto"/>
        <w:rPr>
          <w:rFonts w:ascii="Times New Roman" w:hAnsi="Times New Roman"/>
          <w:sz w:val="24"/>
          <w:szCs w:val="24"/>
        </w:rPr>
      </w:pPr>
    </w:p>
    <w:p w:rsidR="00AC52DF" w:rsidRDefault="00AC52DF" w:rsidP="00AC52DF">
      <w:pPr>
        <w:widowControl w:val="0"/>
        <w:spacing w:after="0" w:line="240" w:lineRule="auto"/>
        <w:rPr>
          <w:rFonts w:ascii="Times New Roman" w:hAnsi="Times New Roman"/>
          <w:sz w:val="24"/>
          <w:szCs w:val="24"/>
        </w:rPr>
      </w:pPr>
      <w:r w:rsidRPr="00495990">
        <w:rPr>
          <w:rFonts w:ascii="Times New Roman" w:hAnsi="Times New Roman"/>
          <w:sz w:val="24"/>
          <w:szCs w:val="24"/>
        </w:rPr>
        <w:t>The Constitution of the United States promises equal justice under the law and freedom for all. The Civil Rights Division enforces laws designed to give meaning to that promise.</w:t>
      </w:r>
      <w:r>
        <w:rPr>
          <w:rFonts w:ascii="Times New Roman" w:hAnsi="Times New Roman"/>
          <w:sz w:val="24"/>
          <w:szCs w:val="24"/>
        </w:rPr>
        <w:t xml:space="preserve"> </w:t>
      </w:r>
    </w:p>
    <w:p w:rsidR="00AC52DF" w:rsidRDefault="00AC52DF" w:rsidP="00AC52DF">
      <w:pPr>
        <w:widowControl w:val="0"/>
        <w:spacing w:after="0" w:line="240" w:lineRule="auto"/>
        <w:rPr>
          <w:rFonts w:ascii="Times New Roman" w:hAnsi="Times New Roman"/>
          <w:sz w:val="24"/>
          <w:szCs w:val="24"/>
        </w:rPr>
      </w:pPr>
    </w:p>
    <w:p w:rsidR="00FF5C8C" w:rsidRPr="00FF5C8C" w:rsidRDefault="006E4B07" w:rsidP="00AC52DF">
      <w:pPr>
        <w:widowControl w:val="0"/>
        <w:spacing w:after="0" w:line="240" w:lineRule="auto"/>
        <w:rPr>
          <w:rFonts w:ascii="Times New Roman" w:hAnsi="Times New Roman"/>
          <w:sz w:val="24"/>
          <w:szCs w:val="24"/>
        </w:rPr>
      </w:pPr>
      <w:r w:rsidRPr="00AC52DF">
        <w:rPr>
          <w:rFonts w:ascii="Times New Roman" w:hAnsi="Times New Roman"/>
          <w:sz w:val="24"/>
          <w:szCs w:val="24"/>
        </w:rPr>
        <w:t>As we contemplate a half-century of progress—and look to the work that remains—</w:t>
      </w:r>
      <w:r w:rsidR="00AC52DF" w:rsidRPr="00AC52DF">
        <w:rPr>
          <w:rFonts w:ascii="Times New Roman" w:hAnsi="Times New Roman"/>
          <w:sz w:val="24"/>
          <w:szCs w:val="24"/>
        </w:rPr>
        <w:t xml:space="preserve"> </w:t>
      </w:r>
      <w:r w:rsidR="00AC52DF" w:rsidRPr="00FF5C8C">
        <w:rPr>
          <w:rFonts w:ascii="Times New Roman" w:hAnsi="Times New Roman"/>
          <w:sz w:val="24"/>
          <w:szCs w:val="24"/>
        </w:rPr>
        <w:t>the Civil Rights Division continues to play a critical ro</w:t>
      </w:r>
      <w:r w:rsidR="00AC52DF">
        <w:rPr>
          <w:rFonts w:ascii="Times New Roman" w:hAnsi="Times New Roman"/>
          <w:sz w:val="24"/>
          <w:szCs w:val="24"/>
        </w:rPr>
        <w:t>le in combating discrimination</w:t>
      </w:r>
      <w:r w:rsidR="00FF5C8C" w:rsidRPr="00FF5C8C">
        <w:rPr>
          <w:rFonts w:ascii="Times New Roman" w:hAnsi="Times New Roman"/>
          <w:sz w:val="24"/>
          <w:szCs w:val="24"/>
        </w:rPr>
        <w:t>. Over the past f</w:t>
      </w:r>
      <w:r w:rsidR="00E447BF">
        <w:rPr>
          <w:rFonts w:ascii="Times New Roman" w:hAnsi="Times New Roman"/>
          <w:sz w:val="24"/>
          <w:szCs w:val="24"/>
        </w:rPr>
        <w:t>ive</w:t>
      </w:r>
      <w:r w:rsidR="00FF5C8C" w:rsidRPr="00FF5C8C">
        <w:rPr>
          <w:rFonts w:ascii="Times New Roman" w:hAnsi="Times New Roman"/>
          <w:sz w:val="24"/>
          <w:szCs w:val="24"/>
        </w:rPr>
        <w:t xml:space="preserve"> years, we have worked vigilantly to restore and transform the Division to carry out this critical task. Going forward, we will continue to ensure </w:t>
      </w:r>
      <w:r w:rsidR="00CE4D87">
        <w:rPr>
          <w:rFonts w:ascii="Times New Roman" w:hAnsi="Times New Roman"/>
          <w:sz w:val="24"/>
          <w:szCs w:val="24"/>
        </w:rPr>
        <w:t xml:space="preserve">that </w:t>
      </w:r>
      <w:r w:rsidR="00FF5C8C" w:rsidRPr="00FF5C8C">
        <w:rPr>
          <w:rFonts w:ascii="Times New Roman" w:hAnsi="Times New Roman"/>
          <w:sz w:val="24"/>
          <w:szCs w:val="24"/>
        </w:rPr>
        <w:t xml:space="preserve">the Division stands ready to protect, defend, and advance civil rights in our nation. </w:t>
      </w:r>
    </w:p>
    <w:p w:rsidR="00FF5C8C" w:rsidRPr="00FF5C8C" w:rsidRDefault="00FF5C8C" w:rsidP="006E4B07">
      <w:pPr>
        <w:widowControl w:val="0"/>
        <w:spacing w:after="0" w:line="240" w:lineRule="auto"/>
        <w:rPr>
          <w:rFonts w:ascii="Times New Roman" w:hAnsi="Times New Roman"/>
          <w:sz w:val="24"/>
          <w:szCs w:val="24"/>
        </w:rPr>
      </w:pPr>
      <w:r w:rsidRPr="00FF5C8C">
        <w:rPr>
          <w:rFonts w:ascii="Times New Roman" w:hAnsi="Times New Roman"/>
          <w:sz w:val="24"/>
          <w:szCs w:val="24"/>
        </w:rPr>
        <w:t> </w:t>
      </w:r>
    </w:p>
    <w:p w:rsidR="00FF5C8C" w:rsidRPr="00FF5C8C" w:rsidRDefault="00FF5C8C" w:rsidP="001C475F">
      <w:pPr>
        <w:spacing w:after="0" w:line="240" w:lineRule="auto"/>
        <w:jc w:val="center"/>
        <w:rPr>
          <w:rStyle w:val="IntenseEmphasis"/>
        </w:rPr>
      </w:pPr>
    </w:p>
    <w:sectPr w:rsidR="00FF5C8C" w:rsidRPr="00FF5C8C" w:rsidSect="009A3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B1E14"/>
    <w:multiLevelType w:val="hybridMultilevel"/>
    <w:tmpl w:val="42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4176A"/>
    <w:multiLevelType w:val="hybridMultilevel"/>
    <w:tmpl w:val="3368A2A6"/>
    <w:lvl w:ilvl="0" w:tplc="4112AC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EC66B3"/>
    <w:multiLevelType w:val="hybridMultilevel"/>
    <w:tmpl w:val="464E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6729F"/>
    <w:multiLevelType w:val="hybridMultilevel"/>
    <w:tmpl w:val="FF30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980B94"/>
    <w:multiLevelType w:val="hybridMultilevel"/>
    <w:tmpl w:val="8382B536"/>
    <w:lvl w:ilvl="0" w:tplc="EB2212B8">
      <w:numFmt w:val="bullet"/>
      <w:lvlText w:val=""/>
      <w:lvlJc w:val="left"/>
      <w:pPr>
        <w:ind w:left="108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2564245"/>
    <w:multiLevelType w:val="hybridMultilevel"/>
    <w:tmpl w:val="850479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6ACD762E"/>
    <w:multiLevelType w:val="hybridMultilevel"/>
    <w:tmpl w:val="0FD22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47447B"/>
    <w:multiLevelType w:val="hybridMultilevel"/>
    <w:tmpl w:val="E79C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322A45"/>
    <w:multiLevelType w:val="hybridMultilevel"/>
    <w:tmpl w:val="B164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5566C5"/>
    <w:multiLevelType w:val="hybridMultilevel"/>
    <w:tmpl w:val="D4E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1"/>
  </w:num>
  <w:num w:numId="6">
    <w:abstractNumId w:val="5"/>
  </w:num>
  <w:num w:numId="7">
    <w:abstractNumId w:val="6"/>
  </w:num>
  <w:num w:numId="8">
    <w:abstractNumId w:val="7"/>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AF"/>
    <w:rsid w:val="00001E52"/>
    <w:rsid w:val="00007327"/>
    <w:rsid w:val="0001167D"/>
    <w:rsid w:val="00012DF5"/>
    <w:rsid w:val="00015B51"/>
    <w:rsid w:val="00020B24"/>
    <w:rsid w:val="0003220D"/>
    <w:rsid w:val="000343A1"/>
    <w:rsid w:val="000373B9"/>
    <w:rsid w:val="0004697F"/>
    <w:rsid w:val="000724AB"/>
    <w:rsid w:val="00080A79"/>
    <w:rsid w:val="00081B89"/>
    <w:rsid w:val="000C18BB"/>
    <w:rsid w:val="000C7AD3"/>
    <w:rsid w:val="000E04A7"/>
    <w:rsid w:val="000E0AAA"/>
    <w:rsid w:val="000F6449"/>
    <w:rsid w:val="001206A5"/>
    <w:rsid w:val="00121664"/>
    <w:rsid w:val="0013181D"/>
    <w:rsid w:val="00136325"/>
    <w:rsid w:val="001420A8"/>
    <w:rsid w:val="001521C8"/>
    <w:rsid w:val="00152E71"/>
    <w:rsid w:val="00157612"/>
    <w:rsid w:val="00157D96"/>
    <w:rsid w:val="00167778"/>
    <w:rsid w:val="00187501"/>
    <w:rsid w:val="00192E3E"/>
    <w:rsid w:val="001B1D8B"/>
    <w:rsid w:val="001B1F34"/>
    <w:rsid w:val="001B56F8"/>
    <w:rsid w:val="001C475F"/>
    <w:rsid w:val="001D05F8"/>
    <w:rsid w:val="001D6036"/>
    <w:rsid w:val="001D6214"/>
    <w:rsid w:val="001F06C2"/>
    <w:rsid w:val="00202732"/>
    <w:rsid w:val="0020335F"/>
    <w:rsid w:val="0021133D"/>
    <w:rsid w:val="002233EC"/>
    <w:rsid w:val="00226D1B"/>
    <w:rsid w:val="00240D7F"/>
    <w:rsid w:val="002510BC"/>
    <w:rsid w:val="00257AA6"/>
    <w:rsid w:val="0027526F"/>
    <w:rsid w:val="002A16F8"/>
    <w:rsid w:val="002A444A"/>
    <w:rsid w:val="002A48EC"/>
    <w:rsid w:val="002B176F"/>
    <w:rsid w:val="002B1BB0"/>
    <w:rsid w:val="002B6222"/>
    <w:rsid w:val="002B6E4C"/>
    <w:rsid w:val="002C4CBE"/>
    <w:rsid w:val="002D3A4B"/>
    <w:rsid w:val="002E4A23"/>
    <w:rsid w:val="002E6418"/>
    <w:rsid w:val="002E65EA"/>
    <w:rsid w:val="002E66D2"/>
    <w:rsid w:val="002F235A"/>
    <w:rsid w:val="002F3B37"/>
    <w:rsid w:val="002F48D6"/>
    <w:rsid w:val="002F4C47"/>
    <w:rsid w:val="00306924"/>
    <w:rsid w:val="00311E77"/>
    <w:rsid w:val="0032635E"/>
    <w:rsid w:val="00326CA0"/>
    <w:rsid w:val="00330CE4"/>
    <w:rsid w:val="00331FE6"/>
    <w:rsid w:val="00336B7A"/>
    <w:rsid w:val="00360D9B"/>
    <w:rsid w:val="00364A17"/>
    <w:rsid w:val="0036510F"/>
    <w:rsid w:val="00367543"/>
    <w:rsid w:val="00371F3D"/>
    <w:rsid w:val="0037735F"/>
    <w:rsid w:val="003779CF"/>
    <w:rsid w:val="00380033"/>
    <w:rsid w:val="003908B6"/>
    <w:rsid w:val="003A195B"/>
    <w:rsid w:val="003A2031"/>
    <w:rsid w:val="003A44E4"/>
    <w:rsid w:val="003A4EFA"/>
    <w:rsid w:val="003A7863"/>
    <w:rsid w:val="003B20EB"/>
    <w:rsid w:val="003C77DD"/>
    <w:rsid w:val="003E6BBE"/>
    <w:rsid w:val="003F1B5C"/>
    <w:rsid w:val="004058FC"/>
    <w:rsid w:val="00410E1E"/>
    <w:rsid w:val="00414DA1"/>
    <w:rsid w:val="004414F9"/>
    <w:rsid w:val="0045669E"/>
    <w:rsid w:val="00457EC3"/>
    <w:rsid w:val="0046734B"/>
    <w:rsid w:val="0047185B"/>
    <w:rsid w:val="004807D5"/>
    <w:rsid w:val="00483900"/>
    <w:rsid w:val="00495990"/>
    <w:rsid w:val="004A7101"/>
    <w:rsid w:val="004B1054"/>
    <w:rsid w:val="004B64DC"/>
    <w:rsid w:val="004B736E"/>
    <w:rsid w:val="004D33AA"/>
    <w:rsid w:val="004D57AC"/>
    <w:rsid w:val="004D5C39"/>
    <w:rsid w:val="004E24A7"/>
    <w:rsid w:val="004F5DA0"/>
    <w:rsid w:val="00505E0E"/>
    <w:rsid w:val="005173EA"/>
    <w:rsid w:val="00523E7F"/>
    <w:rsid w:val="0052620A"/>
    <w:rsid w:val="00527917"/>
    <w:rsid w:val="00531E94"/>
    <w:rsid w:val="00535298"/>
    <w:rsid w:val="005361E1"/>
    <w:rsid w:val="00542422"/>
    <w:rsid w:val="00543357"/>
    <w:rsid w:val="00544D51"/>
    <w:rsid w:val="005456BE"/>
    <w:rsid w:val="005467AC"/>
    <w:rsid w:val="0054742A"/>
    <w:rsid w:val="005530EB"/>
    <w:rsid w:val="00555C40"/>
    <w:rsid w:val="00566E9A"/>
    <w:rsid w:val="00567DFC"/>
    <w:rsid w:val="005857F3"/>
    <w:rsid w:val="00587B2F"/>
    <w:rsid w:val="00591F51"/>
    <w:rsid w:val="005A038D"/>
    <w:rsid w:val="005A664C"/>
    <w:rsid w:val="005B2793"/>
    <w:rsid w:val="005C2813"/>
    <w:rsid w:val="005C7F1C"/>
    <w:rsid w:val="005D521D"/>
    <w:rsid w:val="005E1BB0"/>
    <w:rsid w:val="005E26FC"/>
    <w:rsid w:val="005E2FD0"/>
    <w:rsid w:val="005E5713"/>
    <w:rsid w:val="00603316"/>
    <w:rsid w:val="006046E9"/>
    <w:rsid w:val="00612ED4"/>
    <w:rsid w:val="00614270"/>
    <w:rsid w:val="006249A8"/>
    <w:rsid w:val="00640299"/>
    <w:rsid w:val="006418B8"/>
    <w:rsid w:val="006522EC"/>
    <w:rsid w:val="006558EB"/>
    <w:rsid w:val="006938AC"/>
    <w:rsid w:val="006B3B4D"/>
    <w:rsid w:val="006B7C41"/>
    <w:rsid w:val="006C2274"/>
    <w:rsid w:val="006C3607"/>
    <w:rsid w:val="006C5C5A"/>
    <w:rsid w:val="006C7779"/>
    <w:rsid w:val="006D177D"/>
    <w:rsid w:val="006D7583"/>
    <w:rsid w:val="006E1B9C"/>
    <w:rsid w:val="006E4B07"/>
    <w:rsid w:val="006E54A6"/>
    <w:rsid w:val="006F4B96"/>
    <w:rsid w:val="0070048F"/>
    <w:rsid w:val="00702CBD"/>
    <w:rsid w:val="00703970"/>
    <w:rsid w:val="00711237"/>
    <w:rsid w:val="007228B2"/>
    <w:rsid w:val="00725CBB"/>
    <w:rsid w:val="00730ABE"/>
    <w:rsid w:val="0074707D"/>
    <w:rsid w:val="007641C7"/>
    <w:rsid w:val="00767A17"/>
    <w:rsid w:val="0078187E"/>
    <w:rsid w:val="007921B2"/>
    <w:rsid w:val="007A45BC"/>
    <w:rsid w:val="007A7CA5"/>
    <w:rsid w:val="007B5CB8"/>
    <w:rsid w:val="007C284F"/>
    <w:rsid w:val="007E30B2"/>
    <w:rsid w:val="007F0DFB"/>
    <w:rsid w:val="008116DD"/>
    <w:rsid w:val="00823618"/>
    <w:rsid w:val="00825878"/>
    <w:rsid w:val="00833485"/>
    <w:rsid w:val="00837D6D"/>
    <w:rsid w:val="00843679"/>
    <w:rsid w:val="00843D3F"/>
    <w:rsid w:val="00844896"/>
    <w:rsid w:val="00850732"/>
    <w:rsid w:val="00851047"/>
    <w:rsid w:val="0085721D"/>
    <w:rsid w:val="00860098"/>
    <w:rsid w:val="00862339"/>
    <w:rsid w:val="008712B6"/>
    <w:rsid w:val="00872556"/>
    <w:rsid w:val="00873C4C"/>
    <w:rsid w:val="008803E9"/>
    <w:rsid w:val="00886839"/>
    <w:rsid w:val="008905CB"/>
    <w:rsid w:val="00890EE6"/>
    <w:rsid w:val="008929D0"/>
    <w:rsid w:val="008A37BC"/>
    <w:rsid w:val="008B2304"/>
    <w:rsid w:val="008B550E"/>
    <w:rsid w:val="008B698C"/>
    <w:rsid w:val="008C6155"/>
    <w:rsid w:val="008D2170"/>
    <w:rsid w:val="008E4F13"/>
    <w:rsid w:val="008E6299"/>
    <w:rsid w:val="008F136D"/>
    <w:rsid w:val="008F1D60"/>
    <w:rsid w:val="009000D2"/>
    <w:rsid w:val="0090337A"/>
    <w:rsid w:val="00914BD2"/>
    <w:rsid w:val="009218BD"/>
    <w:rsid w:val="00923B8D"/>
    <w:rsid w:val="00933126"/>
    <w:rsid w:val="00934052"/>
    <w:rsid w:val="009353FB"/>
    <w:rsid w:val="00935FB5"/>
    <w:rsid w:val="00937217"/>
    <w:rsid w:val="009417F7"/>
    <w:rsid w:val="0094577B"/>
    <w:rsid w:val="0095729E"/>
    <w:rsid w:val="00962309"/>
    <w:rsid w:val="009706D6"/>
    <w:rsid w:val="009757AC"/>
    <w:rsid w:val="009808F1"/>
    <w:rsid w:val="00995A82"/>
    <w:rsid w:val="009A2FC7"/>
    <w:rsid w:val="009A3061"/>
    <w:rsid w:val="009A4DDE"/>
    <w:rsid w:val="009B76F7"/>
    <w:rsid w:val="009C24C4"/>
    <w:rsid w:val="009C480E"/>
    <w:rsid w:val="009D3AD9"/>
    <w:rsid w:val="009D47AA"/>
    <w:rsid w:val="009E0118"/>
    <w:rsid w:val="009E0D5B"/>
    <w:rsid w:val="009E4057"/>
    <w:rsid w:val="00A015BC"/>
    <w:rsid w:val="00A0585F"/>
    <w:rsid w:val="00A11486"/>
    <w:rsid w:val="00A36601"/>
    <w:rsid w:val="00A36D0A"/>
    <w:rsid w:val="00A53A2C"/>
    <w:rsid w:val="00A53B31"/>
    <w:rsid w:val="00A60ED1"/>
    <w:rsid w:val="00A63E88"/>
    <w:rsid w:val="00A72641"/>
    <w:rsid w:val="00A72E0D"/>
    <w:rsid w:val="00A74263"/>
    <w:rsid w:val="00A74E31"/>
    <w:rsid w:val="00A8712C"/>
    <w:rsid w:val="00A94D46"/>
    <w:rsid w:val="00A978C4"/>
    <w:rsid w:val="00AA02DE"/>
    <w:rsid w:val="00AC52DF"/>
    <w:rsid w:val="00AC60EB"/>
    <w:rsid w:val="00AD0E17"/>
    <w:rsid w:val="00AD4BF9"/>
    <w:rsid w:val="00AE1229"/>
    <w:rsid w:val="00AE32F0"/>
    <w:rsid w:val="00AE3ECF"/>
    <w:rsid w:val="00AF08D3"/>
    <w:rsid w:val="00AF2F86"/>
    <w:rsid w:val="00AF4FAF"/>
    <w:rsid w:val="00AF62F4"/>
    <w:rsid w:val="00AF7677"/>
    <w:rsid w:val="00B103A7"/>
    <w:rsid w:val="00B14951"/>
    <w:rsid w:val="00B200AA"/>
    <w:rsid w:val="00B259D9"/>
    <w:rsid w:val="00B327B4"/>
    <w:rsid w:val="00B338BC"/>
    <w:rsid w:val="00B37943"/>
    <w:rsid w:val="00B46738"/>
    <w:rsid w:val="00B46E7C"/>
    <w:rsid w:val="00B5106F"/>
    <w:rsid w:val="00B64427"/>
    <w:rsid w:val="00B64942"/>
    <w:rsid w:val="00B74B04"/>
    <w:rsid w:val="00BA5FF6"/>
    <w:rsid w:val="00BD0892"/>
    <w:rsid w:val="00BD76B7"/>
    <w:rsid w:val="00BE12D5"/>
    <w:rsid w:val="00BF3026"/>
    <w:rsid w:val="00BF78FD"/>
    <w:rsid w:val="00C01745"/>
    <w:rsid w:val="00C033E5"/>
    <w:rsid w:val="00C1060E"/>
    <w:rsid w:val="00C17EFF"/>
    <w:rsid w:val="00C24BC9"/>
    <w:rsid w:val="00C36C2C"/>
    <w:rsid w:val="00C446CA"/>
    <w:rsid w:val="00C45B1B"/>
    <w:rsid w:val="00C46150"/>
    <w:rsid w:val="00C50C78"/>
    <w:rsid w:val="00C51DF7"/>
    <w:rsid w:val="00C52D42"/>
    <w:rsid w:val="00C63562"/>
    <w:rsid w:val="00C63943"/>
    <w:rsid w:val="00C63BC3"/>
    <w:rsid w:val="00C67200"/>
    <w:rsid w:val="00C7593C"/>
    <w:rsid w:val="00C76E4F"/>
    <w:rsid w:val="00C92366"/>
    <w:rsid w:val="00CA6D70"/>
    <w:rsid w:val="00CB20E6"/>
    <w:rsid w:val="00CB3D27"/>
    <w:rsid w:val="00CB616E"/>
    <w:rsid w:val="00CB63D7"/>
    <w:rsid w:val="00CB7A65"/>
    <w:rsid w:val="00CC1A17"/>
    <w:rsid w:val="00CC4A69"/>
    <w:rsid w:val="00CC67DE"/>
    <w:rsid w:val="00CD1B74"/>
    <w:rsid w:val="00CD3029"/>
    <w:rsid w:val="00CD45ED"/>
    <w:rsid w:val="00CD55B7"/>
    <w:rsid w:val="00CE2C78"/>
    <w:rsid w:val="00CE323C"/>
    <w:rsid w:val="00CE451B"/>
    <w:rsid w:val="00CE4D87"/>
    <w:rsid w:val="00CE53A7"/>
    <w:rsid w:val="00CF1AE6"/>
    <w:rsid w:val="00CF30F7"/>
    <w:rsid w:val="00D0785F"/>
    <w:rsid w:val="00D11665"/>
    <w:rsid w:val="00D4151E"/>
    <w:rsid w:val="00D450EA"/>
    <w:rsid w:val="00D4605B"/>
    <w:rsid w:val="00D7667E"/>
    <w:rsid w:val="00D95E82"/>
    <w:rsid w:val="00DA33F9"/>
    <w:rsid w:val="00DB4F3B"/>
    <w:rsid w:val="00DC27BF"/>
    <w:rsid w:val="00DD7998"/>
    <w:rsid w:val="00DE1C5A"/>
    <w:rsid w:val="00DE2898"/>
    <w:rsid w:val="00DE4B16"/>
    <w:rsid w:val="00DF053B"/>
    <w:rsid w:val="00DF2E57"/>
    <w:rsid w:val="00DF45BC"/>
    <w:rsid w:val="00E142F7"/>
    <w:rsid w:val="00E177AD"/>
    <w:rsid w:val="00E3429B"/>
    <w:rsid w:val="00E42A82"/>
    <w:rsid w:val="00E447BF"/>
    <w:rsid w:val="00E45671"/>
    <w:rsid w:val="00E77E0D"/>
    <w:rsid w:val="00E84895"/>
    <w:rsid w:val="00E9743C"/>
    <w:rsid w:val="00EA548A"/>
    <w:rsid w:val="00EA7307"/>
    <w:rsid w:val="00EB0FE5"/>
    <w:rsid w:val="00EB25BB"/>
    <w:rsid w:val="00EB4F98"/>
    <w:rsid w:val="00EB7EBA"/>
    <w:rsid w:val="00EC5311"/>
    <w:rsid w:val="00ED5747"/>
    <w:rsid w:val="00EE127C"/>
    <w:rsid w:val="00EE30C7"/>
    <w:rsid w:val="00EE5E3B"/>
    <w:rsid w:val="00EE64CC"/>
    <w:rsid w:val="00F10B54"/>
    <w:rsid w:val="00F13575"/>
    <w:rsid w:val="00F223BE"/>
    <w:rsid w:val="00F27076"/>
    <w:rsid w:val="00F32FB4"/>
    <w:rsid w:val="00F35EA3"/>
    <w:rsid w:val="00F44CD1"/>
    <w:rsid w:val="00F53F21"/>
    <w:rsid w:val="00F54D54"/>
    <w:rsid w:val="00F56D95"/>
    <w:rsid w:val="00F57155"/>
    <w:rsid w:val="00F60FB1"/>
    <w:rsid w:val="00F6795B"/>
    <w:rsid w:val="00F770B9"/>
    <w:rsid w:val="00F77411"/>
    <w:rsid w:val="00FB2F3A"/>
    <w:rsid w:val="00FB4C8C"/>
    <w:rsid w:val="00FC1B20"/>
    <w:rsid w:val="00FC3EA0"/>
    <w:rsid w:val="00FF2B93"/>
    <w:rsid w:val="00FF3339"/>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61"/>
    <w:pPr>
      <w:spacing w:after="200" w:line="276" w:lineRule="auto"/>
    </w:pPr>
    <w:rPr>
      <w:sz w:val="22"/>
      <w:szCs w:val="22"/>
    </w:rPr>
  </w:style>
  <w:style w:type="paragraph" w:styleId="Heading1">
    <w:name w:val="heading 1"/>
    <w:basedOn w:val="Normal"/>
    <w:next w:val="Normal"/>
    <w:link w:val="Heading1Char"/>
    <w:uiPriority w:val="9"/>
    <w:qFormat/>
    <w:rsid w:val="00DD799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05E0E"/>
    <w:pPr>
      <w:spacing w:after="0" w:line="240" w:lineRule="auto"/>
      <w:outlineLvl w:val="1"/>
    </w:pPr>
    <w:rPr>
      <w:rFonts w:ascii="Cambria" w:hAnsi="Cambria"/>
      <w:sz w:val="28"/>
      <w:szCs w:val="28"/>
    </w:rPr>
  </w:style>
  <w:style w:type="paragraph" w:styleId="Heading3">
    <w:name w:val="heading 3"/>
    <w:basedOn w:val="Normal"/>
    <w:next w:val="Normal"/>
    <w:link w:val="Heading3Char"/>
    <w:uiPriority w:val="9"/>
    <w:unhideWhenUsed/>
    <w:qFormat/>
    <w:rsid w:val="00A53B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05C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274"/>
    <w:pPr>
      <w:spacing w:before="100" w:beforeAutospacing="1" w:after="100" w:afterAutospacing="1" w:line="240" w:lineRule="auto"/>
    </w:pPr>
    <w:rPr>
      <w:rFonts w:ascii="Times New Roman" w:eastAsia="Times New Roman" w:hAnsi="Times New Roman"/>
      <w:sz w:val="24"/>
      <w:szCs w:val="24"/>
    </w:rPr>
  </w:style>
  <w:style w:type="paragraph" w:customStyle="1" w:styleId="Basic">
    <w:name w:val="Basic"/>
    <w:basedOn w:val="NoSpacing"/>
    <w:qFormat/>
    <w:rsid w:val="006C2274"/>
    <w:rPr>
      <w:rFonts w:ascii="Times New Roman" w:hAnsi="Times New Roman"/>
      <w:sz w:val="24"/>
    </w:rPr>
  </w:style>
  <w:style w:type="paragraph" w:styleId="NoSpacing">
    <w:name w:val="No Spacing"/>
    <w:uiPriority w:val="1"/>
    <w:qFormat/>
    <w:rsid w:val="006C2274"/>
    <w:rPr>
      <w:sz w:val="22"/>
      <w:szCs w:val="22"/>
    </w:rPr>
  </w:style>
  <w:style w:type="paragraph" w:styleId="ListParagraph">
    <w:name w:val="List Paragraph"/>
    <w:basedOn w:val="Normal"/>
    <w:uiPriority w:val="34"/>
    <w:qFormat/>
    <w:rsid w:val="006C2274"/>
    <w:pPr>
      <w:ind w:left="720"/>
      <w:contextualSpacing/>
    </w:pPr>
  </w:style>
  <w:style w:type="character" w:styleId="Hyperlink">
    <w:name w:val="Hyperlink"/>
    <w:basedOn w:val="DefaultParagraphFont"/>
    <w:uiPriority w:val="99"/>
    <w:unhideWhenUsed/>
    <w:rsid w:val="004D57AC"/>
    <w:rPr>
      <w:color w:val="0000FF"/>
      <w:u w:val="single"/>
    </w:rPr>
  </w:style>
  <w:style w:type="character" w:styleId="Emphasis">
    <w:name w:val="Emphasis"/>
    <w:basedOn w:val="DefaultParagraphFont"/>
    <w:uiPriority w:val="20"/>
    <w:qFormat/>
    <w:rsid w:val="008F136D"/>
    <w:rPr>
      <w:i/>
      <w:iCs/>
    </w:rPr>
  </w:style>
  <w:style w:type="paragraph" w:styleId="Subtitle">
    <w:name w:val="Subtitle"/>
    <w:basedOn w:val="Normal"/>
    <w:next w:val="Normal"/>
    <w:link w:val="SubtitleChar"/>
    <w:uiPriority w:val="11"/>
    <w:qFormat/>
    <w:rsid w:val="005E1BB0"/>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5E1BB0"/>
    <w:rPr>
      <w:rFonts w:ascii="Cambria" w:eastAsia="Times New Roman" w:hAnsi="Cambria" w:cs="Times New Roman"/>
      <w:sz w:val="24"/>
      <w:szCs w:val="24"/>
    </w:rPr>
  </w:style>
  <w:style w:type="character" w:styleId="IntenseEmphasis">
    <w:name w:val="Intense Emphasis"/>
    <w:basedOn w:val="DefaultParagraphFont"/>
    <w:uiPriority w:val="21"/>
    <w:qFormat/>
    <w:rsid w:val="005E1BB0"/>
    <w:rPr>
      <w:b/>
      <w:bCs/>
      <w:i/>
      <w:iCs/>
      <w:color w:val="4F81BD"/>
    </w:rPr>
  </w:style>
  <w:style w:type="character" w:styleId="FollowedHyperlink">
    <w:name w:val="FollowedHyperlink"/>
    <w:basedOn w:val="DefaultParagraphFont"/>
    <w:uiPriority w:val="99"/>
    <w:semiHidden/>
    <w:unhideWhenUsed/>
    <w:rsid w:val="00703970"/>
    <w:rPr>
      <w:color w:val="800080"/>
      <w:u w:val="single"/>
    </w:rPr>
  </w:style>
  <w:style w:type="character" w:customStyle="1" w:styleId="Heading2Char">
    <w:name w:val="Heading 2 Char"/>
    <w:basedOn w:val="DefaultParagraphFont"/>
    <w:link w:val="Heading2"/>
    <w:uiPriority w:val="9"/>
    <w:rsid w:val="00505E0E"/>
    <w:rPr>
      <w:rFonts w:ascii="Cambria" w:hAnsi="Cambria"/>
      <w:sz w:val="28"/>
      <w:szCs w:val="28"/>
    </w:rPr>
  </w:style>
  <w:style w:type="character" w:styleId="BookTitle">
    <w:name w:val="Book Title"/>
    <w:basedOn w:val="DefaultParagraphFont"/>
    <w:uiPriority w:val="33"/>
    <w:qFormat/>
    <w:rsid w:val="001521C8"/>
    <w:rPr>
      <w:b/>
      <w:bCs/>
      <w:smallCaps/>
      <w:spacing w:val="5"/>
    </w:rPr>
  </w:style>
  <w:style w:type="paragraph" w:styleId="BalloonText">
    <w:name w:val="Balloon Text"/>
    <w:basedOn w:val="Normal"/>
    <w:link w:val="BalloonTextChar"/>
    <w:uiPriority w:val="99"/>
    <w:semiHidden/>
    <w:unhideWhenUsed/>
    <w:rsid w:val="0012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664"/>
    <w:rPr>
      <w:rFonts w:ascii="Tahoma" w:hAnsi="Tahoma" w:cs="Tahoma"/>
      <w:sz w:val="16"/>
      <w:szCs w:val="16"/>
    </w:rPr>
  </w:style>
  <w:style w:type="character" w:customStyle="1" w:styleId="Heading4Char">
    <w:name w:val="Heading 4 Char"/>
    <w:basedOn w:val="DefaultParagraphFont"/>
    <w:link w:val="Heading4"/>
    <w:uiPriority w:val="9"/>
    <w:semiHidden/>
    <w:rsid w:val="008905CB"/>
    <w:rPr>
      <w:rFonts w:ascii="Calibri" w:eastAsia="Times New Roman" w:hAnsi="Calibri" w:cs="Times New Roman"/>
      <w:b/>
      <w:bCs/>
      <w:sz w:val="28"/>
      <w:szCs w:val="28"/>
    </w:rPr>
  </w:style>
  <w:style w:type="paragraph" w:styleId="PlainText">
    <w:name w:val="Plain Text"/>
    <w:basedOn w:val="Normal"/>
    <w:link w:val="PlainTextChar"/>
    <w:uiPriority w:val="99"/>
    <w:semiHidden/>
    <w:unhideWhenUsed/>
    <w:rsid w:val="006B3B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3B4D"/>
    <w:rPr>
      <w:rFonts w:ascii="Consolas" w:eastAsia="Calibri" w:hAnsi="Consolas" w:cs="Times New Roman"/>
      <w:sz w:val="21"/>
      <w:szCs w:val="21"/>
    </w:rPr>
  </w:style>
  <w:style w:type="character" w:customStyle="1" w:styleId="Heading1Char">
    <w:name w:val="Heading 1 Char"/>
    <w:basedOn w:val="DefaultParagraphFont"/>
    <w:link w:val="Heading1"/>
    <w:uiPriority w:val="9"/>
    <w:rsid w:val="00DD7998"/>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DD7998"/>
    <w:pPr>
      <w:pBdr>
        <w:bottom w:val="single" w:sz="8" w:space="4" w:color="4F81BD"/>
      </w:pBdr>
      <w:spacing w:before="12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D7998"/>
    <w:rPr>
      <w:rFonts w:ascii="Cambria" w:eastAsia="Times New Roman" w:hAnsi="Cambria" w:cs="Times New Roman"/>
      <w:color w:val="17365D"/>
      <w:spacing w:val="5"/>
      <w:kern w:val="28"/>
      <w:sz w:val="52"/>
      <w:szCs w:val="52"/>
    </w:rPr>
  </w:style>
  <w:style w:type="character" w:styleId="CommentReference">
    <w:name w:val="annotation reference"/>
    <w:basedOn w:val="DefaultParagraphFont"/>
    <w:uiPriority w:val="99"/>
    <w:semiHidden/>
    <w:unhideWhenUsed/>
    <w:rsid w:val="00591F51"/>
    <w:rPr>
      <w:sz w:val="16"/>
      <w:szCs w:val="16"/>
    </w:rPr>
  </w:style>
  <w:style w:type="paragraph" w:styleId="CommentText">
    <w:name w:val="annotation text"/>
    <w:basedOn w:val="Normal"/>
    <w:link w:val="CommentTextChar"/>
    <w:uiPriority w:val="99"/>
    <w:semiHidden/>
    <w:unhideWhenUsed/>
    <w:rsid w:val="00591F51"/>
    <w:rPr>
      <w:sz w:val="20"/>
      <w:szCs w:val="20"/>
    </w:rPr>
  </w:style>
  <w:style w:type="character" w:customStyle="1" w:styleId="CommentTextChar">
    <w:name w:val="Comment Text Char"/>
    <w:basedOn w:val="DefaultParagraphFont"/>
    <w:link w:val="CommentText"/>
    <w:uiPriority w:val="99"/>
    <w:semiHidden/>
    <w:rsid w:val="00591F51"/>
  </w:style>
  <w:style w:type="paragraph" w:styleId="CommentSubject">
    <w:name w:val="annotation subject"/>
    <w:basedOn w:val="CommentText"/>
    <w:next w:val="CommentText"/>
    <w:link w:val="CommentSubjectChar"/>
    <w:uiPriority w:val="99"/>
    <w:semiHidden/>
    <w:unhideWhenUsed/>
    <w:rsid w:val="00591F51"/>
    <w:rPr>
      <w:b/>
      <w:bCs/>
    </w:rPr>
  </w:style>
  <w:style w:type="character" w:customStyle="1" w:styleId="CommentSubjectChar">
    <w:name w:val="Comment Subject Char"/>
    <w:basedOn w:val="CommentTextChar"/>
    <w:link w:val="CommentSubject"/>
    <w:uiPriority w:val="99"/>
    <w:semiHidden/>
    <w:rsid w:val="00591F51"/>
    <w:rPr>
      <w:b/>
      <w:bCs/>
    </w:rPr>
  </w:style>
  <w:style w:type="character" w:styleId="Strong">
    <w:name w:val="Strong"/>
    <w:basedOn w:val="DefaultParagraphFont"/>
    <w:uiPriority w:val="22"/>
    <w:qFormat/>
    <w:rsid w:val="00B64427"/>
    <w:rPr>
      <w:b/>
      <w:bCs/>
    </w:rPr>
  </w:style>
  <w:style w:type="table" w:styleId="TableGrid">
    <w:name w:val="Table Grid"/>
    <w:basedOn w:val="TableNormal"/>
    <w:uiPriority w:val="59"/>
    <w:rsid w:val="00B149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53B31"/>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61"/>
    <w:pPr>
      <w:spacing w:after="200" w:line="276" w:lineRule="auto"/>
    </w:pPr>
    <w:rPr>
      <w:sz w:val="22"/>
      <w:szCs w:val="22"/>
    </w:rPr>
  </w:style>
  <w:style w:type="paragraph" w:styleId="Heading1">
    <w:name w:val="heading 1"/>
    <w:basedOn w:val="Normal"/>
    <w:next w:val="Normal"/>
    <w:link w:val="Heading1Char"/>
    <w:uiPriority w:val="9"/>
    <w:qFormat/>
    <w:rsid w:val="00DD799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05E0E"/>
    <w:pPr>
      <w:spacing w:after="0" w:line="240" w:lineRule="auto"/>
      <w:outlineLvl w:val="1"/>
    </w:pPr>
    <w:rPr>
      <w:rFonts w:ascii="Cambria" w:hAnsi="Cambria"/>
      <w:sz w:val="28"/>
      <w:szCs w:val="28"/>
    </w:rPr>
  </w:style>
  <w:style w:type="paragraph" w:styleId="Heading3">
    <w:name w:val="heading 3"/>
    <w:basedOn w:val="Normal"/>
    <w:next w:val="Normal"/>
    <w:link w:val="Heading3Char"/>
    <w:uiPriority w:val="9"/>
    <w:unhideWhenUsed/>
    <w:qFormat/>
    <w:rsid w:val="00A53B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05C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274"/>
    <w:pPr>
      <w:spacing w:before="100" w:beforeAutospacing="1" w:after="100" w:afterAutospacing="1" w:line="240" w:lineRule="auto"/>
    </w:pPr>
    <w:rPr>
      <w:rFonts w:ascii="Times New Roman" w:eastAsia="Times New Roman" w:hAnsi="Times New Roman"/>
      <w:sz w:val="24"/>
      <w:szCs w:val="24"/>
    </w:rPr>
  </w:style>
  <w:style w:type="paragraph" w:customStyle="1" w:styleId="Basic">
    <w:name w:val="Basic"/>
    <w:basedOn w:val="NoSpacing"/>
    <w:qFormat/>
    <w:rsid w:val="006C2274"/>
    <w:rPr>
      <w:rFonts w:ascii="Times New Roman" w:hAnsi="Times New Roman"/>
      <w:sz w:val="24"/>
    </w:rPr>
  </w:style>
  <w:style w:type="paragraph" w:styleId="NoSpacing">
    <w:name w:val="No Spacing"/>
    <w:uiPriority w:val="1"/>
    <w:qFormat/>
    <w:rsid w:val="006C2274"/>
    <w:rPr>
      <w:sz w:val="22"/>
      <w:szCs w:val="22"/>
    </w:rPr>
  </w:style>
  <w:style w:type="paragraph" w:styleId="ListParagraph">
    <w:name w:val="List Paragraph"/>
    <w:basedOn w:val="Normal"/>
    <w:uiPriority w:val="34"/>
    <w:qFormat/>
    <w:rsid w:val="006C2274"/>
    <w:pPr>
      <w:ind w:left="720"/>
      <w:contextualSpacing/>
    </w:pPr>
  </w:style>
  <w:style w:type="character" w:styleId="Hyperlink">
    <w:name w:val="Hyperlink"/>
    <w:basedOn w:val="DefaultParagraphFont"/>
    <w:uiPriority w:val="99"/>
    <w:unhideWhenUsed/>
    <w:rsid w:val="004D57AC"/>
    <w:rPr>
      <w:color w:val="0000FF"/>
      <w:u w:val="single"/>
    </w:rPr>
  </w:style>
  <w:style w:type="character" w:styleId="Emphasis">
    <w:name w:val="Emphasis"/>
    <w:basedOn w:val="DefaultParagraphFont"/>
    <w:uiPriority w:val="20"/>
    <w:qFormat/>
    <w:rsid w:val="008F136D"/>
    <w:rPr>
      <w:i/>
      <w:iCs/>
    </w:rPr>
  </w:style>
  <w:style w:type="paragraph" w:styleId="Subtitle">
    <w:name w:val="Subtitle"/>
    <w:basedOn w:val="Normal"/>
    <w:next w:val="Normal"/>
    <w:link w:val="SubtitleChar"/>
    <w:uiPriority w:val="11"/>
    <w:qFormat/>
    <w:rsid w:val="005E1BB0"/>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5E1BB0"/>
    <w:rPr>
      <w:rFonts w:ascii="Cambria" w:eastAsia="Times New Roman" w:hAnsi="Cambria" w:cs="Times New Roman"/>
      <w:sz w:val="24"/>
      <w:szCs w:val="24"/>
    </w:rPr>
  </w:style>
  <w:style w:type="character" w:styleId="IntenseEmphasis">
    <w:name w:val="Intense Emphasis"/>
    <w:basedOn w:val="DefaultParagraphFont"/>
    <w:uiPriority w:val="21"/>
    <w:qFormat/>
    <w:rsid w:val="005E1BB0"/>
    <w:rPr>
      <w:b/>
      <w:bCs/>
      <w:i/>
      <w:iCs/>
      <w:color w:val="4F81BD"/>
    </w:rPr>
  </w:style>
  <w:style w:type="character" w:styleId="FollowedHyperlink">
    <w:name w:val="FollowedHyperlink"/>
    <w:basedOn w:val="DefaultParagraphFont"/>
    <w:uiPriority w:val="99"/>
    <w:semiHidden/>
    <w:unhideWhenUsed/>
    <w:rsid w:val="00703970"/>
    <w:rPr>
      <w:color w:val="800080"/>
      <w:u w:val="single"/>
    </w:rPr>
  </w:style>
  <w:style w:type="character" w:customStyle="1" w:styleId="Heading2Char">
    <w:name w:val="Heading 2 Char"/>
    <w:basedOn w:val="DefaultParagraphFont"/>
    <w:link w:val="Heading2"/>
    <w:uiPriority w:val="9"/>
    <w:rsid w:val="00505E0E"/>
    <w:rPr>
      <w:rFonts w:ascii="Cambria" w:hAnsi="Cambria"/>
      <w:sz w:val="28"/>
      <w:szCs w:val="28"/>
    </w:rPr>
  </w:style>
  <w:style w:type="character" w:styleId="BookTitle">
    <w:name w:val="Book Title"/>
    <w:basedOn w:val="DefaultParagraphFont"/>
    <w:uiPriority w:val="33"/>
    <w:qFormat/>
    <w:rsid w:val="001521C8"/>
    <w:rPr>
      <w:b/>
      <w:bCs/>
      <w:smallCaps/>
      <w:spacing w:val="5"/>
    </w:rPr>
  </w:style>
  <w:style w:type="paragraph" w:styleId="BalloonText">
    <w:name w:val="Balloon Text"/>
    <w:basedOn w:val="Normal"/>
    <w:link w:val="BalloonTextChar"/>
    <w:uiPriority w:val="99"/>
    <w:semiHidden/>
    <w:unhideWhenUsed/>
    <w:rsid w:val="0012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664"/>
    <w:rPr>
      <w:rFonts w:ascii="Tahoma" w:hAnsi="Tahoma" w:cs="Tahoma"/>
      <w:sz w:val="16"/>
      <w:szCs w:val="16"/>
    </w:rPr>
  </w:style>
  <w:style w:type="character" w:customStyle="1" w:styleId="Heading4Char">
    <w:name w:val="Heading 4 Char"/>
    <w:basedOn w:val="DefaultParagraphFont"/>
    <w:link w:val="Heading4"/>
    <w:uiPriority w:val="9"/>
    <w:semiHidden/>
    <w:rsid w:val="008905CB"/>
    <w:rPr>
      <w:rFonts w:ascii="Calibri" w:eastAsia="Times New Roman" w:hAnsi="Calibri" w:cs="Times New Roman"/>
      <w:b/>
      <w:bCs/>
      <w:sz w:val="28"/>
      <w:szCs w:val="28"/>
    </w:rPr>
  </w:style>
  <w:style w:type="paragraph" w:styleId="PlainText">
    <w:name w:val="Plain Text"/>
    <w:basedOn w:val="Normal"/>
    <w:link w:val="PlainTextChar"/>
    <w:uiPriority w:val="99"/>
    <w:semiHidden/>
    <w:unhideWhenUsed/>
    <w:rsid w:val="006B3B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3B4D"/>
    <w:rPr>
      <w:rFonts w:ascii="Consolas" w:eastAsia="Calibri" w:hAnsi="Consolas" w:cs="Times New Roman"/>
      <w:sz w:val="21"/>
      <w:szCs w:val="21"/>
    </w:rPr>
  </w:style>
  <w:style w:type="character" w:customStyle="1" w:styleId="Heading1Char">
    <w:name w:val="Heading 1 Char"/>
    <w:basedOn w:val="DefaultParagraphFont"/>
    <w:link w:val="Heading1"/>
    <w:uiPriority w:val="9"/>
    <w:rsid w:val="00DD7998"/>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DD7998"/>
    <w:pPr>
      <w:pBdr>
        <w:bottom w:val="single" w:sz="8" w:space="4" w:color="4F81BD"/>
      </w:pBdr>
      <w:spacing w:before="12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D7998"/>
    <w:rPr>
      <w:rFonts w:ascii="Cambria" w:eastAsia="Times New Roman" w:hAnsi="Cambria" w:cs="Times New Roman"/>
      <w:color w:val="17365D"/>
      <w:spacing w:val="5"/>
      <w:kern w:val="28"/>
      <w:sz w:val="52"/>
      <w:szCs w:val="52"/>
    </w:rPr>
  </w:style>
  <w:style w:type="character" w:styleId="CommentReference">
    <w:name w:val="annotation reference"/>
    <w:basedOn w:val="DefaultParagraphFont"/>
    <w:uiPriority w:val="99"/>
    <w:semiHidden/>
    <w:unhideWhenUsed/>
    <w:rsid w:val="00591F51"/>
    <w:rPr>
      <w:sz w:val="16"/>
      <w:szCs w:val="16"/>
    </w:rPr>
  </w:style>
  <w:style w:type="paragraph" w:styleId="CommentText">
    <w:name w:val="annotation text"/>
    <w:basedOn w:val="Normal"/>
    <w:link w:val="CommentTextChar"/>
    <w:uiPriority w:val="99"/>
    <w:semiHidden/>
    <w:unhideWhenUsed/>
    <w:rsid w:val="00591F51"/>
    <w:rPr>
      <w:sz w:val="20"/>
      <w:szCs w:val="20"/>
    </w:rPr>
  </w:style>
  <w:style w:type="character" w:customStyle="1" w:styleId="CommentTextChar">
    <w:name w:val="Comment Text Char"/>
    <w:basedOn w:val="DefaultParagraphFont"/>
    <w:link w:val="CommentText"/>
    <w:uiPriority w:val="99"/>
    <w:semiHidden/>
    <w:rsid w:val="00591F51"/>
  </w:style>
  <w:style w:type="paragraph" w:styleId="CommentSubject">
    <w:name w:val="annotation subject"/>
    <w:basedOn w:val="CommentText"/>
    <w:next w:val="CommentText"/>
    <w:link w:val="CommentSubjectChar"/>
    <w:uiPriority w:val="99"/>
    <w:semiHidden/>
    <w:unhideWhenUsed/>
    <w:rsid w:val="00591F51"/>
    <w:rPr>
      <w:b/>
      <w:bCs/>
    </w:rPr>
  </w:style>
  <w:style w:type="character" w:customStyle="1" w:styleId="CommentSubjectChar">
    <w:name w:val="Comment Subject Char"/>
    <w:basedOn w:val="CommentTextChar"/>
    <w:link w:val="CommentSubject"/>
    <w:uiPriority w:val="99"/>
    <w:semiHidden/>
    <w:rsid w:val="00591F51"/>
    <w:rPr>
      <w:b/>
      <w:bCs/>
    </w:rPr>
  </w:style>
  <w:style w:type="character" w:styleId="Strong">
    <w:name w:val="Strong"/>
    <w:basedOn w:val="DefaultParagraphFont"/>
    <w:uiPriority w:val="22"/>
    <w:qFormat/>
    <w:rsid w:val="00B64427"/>
    <w:rPr>
      <w:b/>
      <w:bCs/>
    </w:rPr>
  </w:style>
  <w:style w:type="table" w:styleId="TableGrid">
    <w:name w:val="Table Grid"/>
    <w:basedOn w:val="TableNormal"/>
    <w:uiPriority w:val="59"/>
    <w:rsid w:val="00B149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53B31"/>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3631">
      <w:bodyDiv w:val="1"/>
      <w:marLeft w:val="0"/>
      <w:marRight w:val="0"/>
      <w:marTop w:val="0"/>
      <w:marBottom w:val="0"/>
      <w:divBdr>
        <w:top w:val="none" w:sz="0" w:space="0" w:color="auto"/>
        <w:left w:val="none" w:sz="0" w:space="0" w:color="auto"/>
        <w:bottom w:val="none" w:sz="0" w:space="0" w:color="auto"/>
        <w:right w:val="none" w:sz="0" w:space="0" w:color="auto"/>
      </w:divBdr>
    </w:div>
    <w:div w:id="165218314">
      <w:bodyDiv w:val="1"/>
      <w:marLeft w:val="0"/>
      <w:marRight w:val="0"/>
      <w:marTop w:val="0"/>
      <w:marBottom w:val="0"/>
      <w:divBdr>
        <w:top w:val="none" w:sz="0" w:space="0" w:color="auto"/>
        <w:left w:val="none" w:sz="0" w:space="0" w:color="auto"/>
        <w:bottom w:val="none" w:sz="0" w:space="0" w:color="auto"/>
        <w:right w:val="none" w:sz="0" w:space="0" w:color="auto"/>
      </w:divBdr>
    </w:div>
    <w:div w:id="297540757">
      <w:bodyDiv w:val="1"/>
      <w:marLeft w:val="0"/>
      <w:marRight w:val="0"/>
      <w:marTop w:val="0"/>
      <w:marBottom w:val="0"/>
      <w:divBdr>
        <w:top w:val="none" w:sz="0" w:space="0" w:color="auto"/>
        <w:left w:val="none" w:sz="0" w:space="0" w:color="auto"/>
        <w:bottom w:val="none" w:sz="0" w:space="0" w:color="auto"/>
        <w:right w:val="none" w:sz="0" w:space="0" w:color="auto"/>
      </w:divBdr>
    </w:div>
    <w:div w:id="610085930">
      <w:bodyDiv w:val="1"/>
      <w:marLeft w:val="0"/>
      <w:marRight w:val="0"/>
      <w:marTop w:val="0"/>
      <w:marBottom w:val="0"/>
      <w:divBdr>
        <w:top w:val="none" w:sz="0" w:space="0" w:color="auto"/>
        <w:left w:val="none" w:sz="0" w:space="0" w:color="auto"/>
        <w:bottom w:val="none" w:sz="0" w:space="0" w:color="auto"/>
        <w:right w:val="none" w:sz="0" w:space="0" w:color="auto"/>
      </w:divBdr>
    </w:div>
    <w:div w:id="642858466">
      <w:bodyDiv w:val="1"/>
      <w:marLeft w:val="0"/>
      <w:marRight w:val="0"/>
      <w:marTop w:val="0"/>
      <w:marBottom w:val="0"/>
      <w:divBdr>
        <w:top w:val="none" w:sz="0" w:space="0" w:color="auto"/>
        <w:left w:val="none" w:sz="0" w:space="0" w:color="auto"/>
        <w:bottom w:val="none" w:sz="0" w:space="0" w:color="auto"/>
        <w:right w:val="none" w:sz="0" w:space="0" w:color="auto"/>
      </w:divBdr>
    </w:div>
    <w:div w:id="649362600">
      <w:bodyDiv w:val="1"/>
      <w:marLeft w:val="0"/>
      <w:marRight w:val="0"/>
      <w:marTop w:val="0"/>
      <w:marBottom w:val="0"/>
      <w:divBdr>
        <w:top w:val="none" w:sz="0" w:space="0" w:color="auto"/>
        <w:left w:val="none" w:sz="0" w:space="0" w:color="auto"/>
        <w:bottom w:val="none" w:sz="0" w:space="0" w:color="auto"/>
        <w:right w:val="none" w:sz="0" w:space="0" w:color="auto"/>
      </w:divBdr>
    </w:div>
    <w:div w:id="753279983">
      <w:bodyDiv w:val="1"/>
      <w:marLeft w:val="0"/>
      <w:marRight w:val="0"/>
      <w:marTop w:val="0"/>
      <w:marBottom w:val="0"/>
      <w:divBdr>
        <w:top w:val="none" w:sz="0" w:space="0" w:color="auto"/>
        <w:left w:val="none" w:sz="0" w:space="0" w:color="auto"/>
        <w:bottom w:val="none" w:sz="0" w:space="0" w:color="auto"/>
        <w:right w:val="none" w:sz="0" w:space="0" w:color="auto"/>
      </w:divBdr>
      <w:divsChild>
        <w:div w:id="1424259879">
          <w:marLeft w:val="0"/>
          <w:marRight w:val="0"/>
          <w:marTop w:val="0"/>
          <w:marBottom w:val="0"/>
          <w:divBdr>
            <w:top w:val="none" w:sz="0" w:space="0" w:color="auto"/>
            <w:left w:val="none" w:sz="0" w:space="0" w:color="auto"/>
            <w:bottom w:val="none" w:sz="0" w:space="0" w:color="auto"/>
            <w:right w:val="none" w:sz="0" w:space="0" w:color="auto"/>
          </w:divBdr>
        </w:div>
        <w:div w:id="700981674">
          <w:marLeft w:val="0"/>
          <w:marRight w:val="0"/>
          <w:marTop w:val="0"/>
          <w:marBottom w:val="0"/>
          <w:divBdr>
            <w:top w:val="none" w:sz="0" w:space="0" w:color="auto"/>
            <w:left w:val="none" w:sz="0" w:space="0" w:color="auto"/>
            <w:bottom w:val="none" w:sz="0" w:space="0" w:color="auto"/>
            <w:right w:val="none" w:sz="0" w:space="0" w:color="auto"/>
          </w:divBdr>
        </w:div>
        <w:div w:id="2040010299">
          <w:marLeft w:val="0"/>
          <w:marRight w:val="0"/>
          <w:marTop w:val="0"/>
          <w:marBottom w:val="0"/>
          <w:divBdr>
            <w:top w:val="none" w:sz="0" w:space="0" w:color="auto"/>
            <w:left w:val="none" w:sz="0" w:space="0" w:color="auto"/>
            <w:bottom w:val="none" w:sz="0" w:space="0" w:color="auto"/>
            <w:right w:val="none" w:sz="0" w:space="0" w:color="auto"/>
          </w:divBdr>
        </w:div>
        <w:div w:id="1790734548">
          <w:marLeft w:val="0"/>
          <w:marRight w:val="0"/>
          <w:marTop w:val="0"/>
          <w:marBottom w:val="0"/>
          <w:divBdr>
            <w:top w:val="none" w:sz="0" w:space="0" w:color="auto"/>
            <w:left w:val="none" w:sz="0" w:space="0" w:color="auto"/>
            <w:bottom w:val="none" w:sz="0" w:space="0" w:color="auto"/>
            <w:right w:val="none" w:sz="0" w:space="0" w:color="auto"/>
          </w:divBdr>
        </w:div>
      </w:divsChild>
    </w:div>
    <w:div w:id="789320646">
      <w:bodyDiv w:val="1"/>
      <w:marLeft w:val="0"/>
      <w:marRight w:val="0"/>
      <w:marTop w:val="0"/>
      <w:marBottom w:val="0"/>
      <w:divBdr>
        <w:top w:val="none" w:sz="0" w:space="0" w:color="auto"/>
        <w:left w:val="none" w:sz="0" w:space="0" w:color="auto"/>
        <w:bottom w:val="none" w:sz="0" w:space="0" w:color="auto"/>
        <w:right w:val="none" w:sz="0" w:space="0" w:color="auto"/>
      </w:divBdr>
    </w:div>
    <w:div w:id="821428434">
      <w:bodyDiv w:val="1"/>
      <w:marLeft w:val="0"/>
      <w:marRight w:val="0"/>
      <w:marTop w:val="0"/>
      <w:marBottom w:val="0"/>
      <w:divBdr>
        <w:top w:val="none" w:sz="0" w:space="0" w:color="auto"/>
        <w:left w:val="none" w:sz="0" w:space="0" w:color="auto"/>
        <w:bottom w:val="none" w:sz="0" w:space="0" w:color="auto"/>
        <w:right w:val="none" w:sz="0" w:space="0" w:color="auto"/>
      </w:divBdr>
      <w:divsChild>
        <w:div w:id="199780150">
          <w:marLeft w:val="0"/>
          <w:marRight w:val="0"/>
          <w:marTop w:val="0"/>
          <w:marBottom w:val="0"/>
          <w:divBdr>
            <w:top w:val="none" w:sz="0" w:space="0" w:color="auto"/>
            <w:left w:val="none" w:sz="0" w:space="0" w:color="auto"/>
            <w:bottom w:val="none" w:sz="0" w:space="0" w:color="auto"/>
            <w:right w:val="none" w:sz="0" w:space="0" w:color="auto"/>
          </w:divBdr>
        </w:div>
        <w:div w:id="474956539">
          <w:marLeft w:val="0"/>
          <w:marRight w:val="0"/>
          <w:marTop w:val="0"/>
          <w:marBottom w:val="0"/>
          <w:divBdr>
            <w:top w:val="none" w:sz="0" w:space="0" w:color="auto"/>
            <w:left w:val="none" w:sz="0" w:space="0" w:color="auto"/>
            <w:bottom w:val="none" w:sz="0" w:space="0" w:color="auto"/>
            <w:right w:val="none" w:sz="0" w:space="0" w:color="auto"/>
          </w:divBdr>
        </w:div>
        <w:div w:id="762729913">
          <w:marLeft w:val="0"/>
          <w:marRight w:val="0"/>
          <w:marTop w:val="0"/>
          <w:marBottom w:val="0"/>
          <w:divBdr>
            <w:top w:val="none" w:sz="0" w:space="0" w:color="auto"/>
            <w:left w:val="none" w:sz="0" w:space="0" w:color="auto"/>
            <w:bottom w:val="none" w:sz="0" w:space="0" w:color="auto"/>
            <w:right w:val="none" w:sz="0" w:space="0" w:color="auto"/>
          </w:divBdr>
        </w:div>
        <w:div w:id="947005672">
          <w:marLeft w:val="0"/>
          <w:marRight w:val="0"/>
          <w:marTop w:val="0"/>
          <w:marBottom w:val="0"/>
          <w:divBdr>
            <w:top w:val="none" w:sz="0" w:space="0" w:color="auto"/>
            <w:left w:val="none" w:sz="0" w:space="0" w:color="auto"/>
            <w:bottom w:val="none" w:sz="0" w:space="0" w:color="auto"/>
            <w:right w:val="none" w:sz="0" w:space="0" w:color="auto"/>
          </w:divBdr>
        </w:div>
        <w:div w:id="1034815399">
          <w:marLeft w:val="0"/>
          <w:marRight w:val="0"/>
          <w:marTop w:val="0"/>
          <w:marBottom w:val="0"/>
          <w:divBdr>
            <w:top w:val="none" w:sz="0" w:space="0" w:color="auto"/>
            <w:left w:val="none" w:sz="0" w:space="0" w:color="auto"/>
            <w:bottom w:val="none" w:sz="0" w:space="0" w:color="auto"/>
            <w:right w:val="none" w:sz="0" w:space="0" w:color="auto"/>
          </w:divBdr>
        </w:div>
        <w:div w:id="1865748215">
          <w:marLeft w:val="0"/>
          <w:marRight w:val="0"/>
          <w:marTop w:val="0"/>
          <w:marBottom w:val="0"/>
          <w:divBdr>
            <w:top w:val="none" w:sz="0" w:space="0" w:color="auto"/>
            <w:left w:val="none" w:sz="0" w:space="0" w:color="auto"/>
            <w:bottom w:val="none" w:sz="0" w:space="0" w:color="auto"/>
            <w:right w:val="none" w:sz="0" w:space="0" w:color="auto"/>
          </w:divBdr>
        </w:div>
      </w:divsChild>
    </w:div>
    <w:div w:id="1065949650">
      <w:bodyDiv w:val="1"/>
      <w:marLeft w:val="0"/>
      <w:marRight w:val="0"/>
      <w:marTop w:val="0"/>
      <w:marBottom w:val="0"/>
      <w:divBdr>
        <w:top w:val="none" w:sz="0" w:space="0" w:color="auto"/>
        <w:left w:val="none" w:sz="0" w:space="0" w:color="auto"/>
        <w:bottom w:val="none" w:sz="0" w:space="0" w:color="auto"/>
        <w:right w:val="none" w:sz="0" w:space="0" w:color="auto"/>
      </w:divBdr>
    </w:div>
    <w:div w:id="1085301678">
      <w:bodyDiv w:val="1"/>
      <w:marLeft w:val="0"/>
      <w:marRight w:val="0"/>
      <w:marTop w:val="0"/>
      <w:marBottom w:val="0"/>
      <w:divBdr>
        <w:top w:val="none" w:sz="0" w:space="0" w:color="auto"/>
        <w:left w:val="none" w:sz="0" w:space="0" w:color="auto"/>
        <w:bottom w:val="none" w:sz="0" w:space="0" w:color="auto"/>
        <w:right w:val="none" w:sz="0" w:space="0" w:color="auto"/>
      </w:divBdr>
    </w:div>
    <w:div w:id="1358770296">
      <w:bodyDiv w:val="1"/>
      <w:marLeft w:val="0"/>
      <w:marRight w:val="0"/>
      <w:marTop w:val="0"/>
      <w:marBottom w:val="0"/>
      <w:divBdr>
        <w:top w:val="none" w:sz="0" w:space="0" w:color="auto"/>
        <w:left w:val="none" w:sz="0" w:space="0" w:color="auto"/>
        <w:bottom w:val="none" w:sz="0" w:space="0" w:color="auto"/>
        <w:right w:val="none" w:sz="0" w:space="0" w:color="auto"/>
      </w:divBdr>
    </w:div>
    <w:div w:id="1452435041">
      <w:bodyDiv w:val="1"/>
      <w:marLeft w:val="0"/>
      <w:marRight w:val="0"/>
      <w:marTop w:val="0"/>
      <w:marBottom w:val="0"/>
      <w:divBdr>
        <w:top w:val="none" w:sz="0" w:space="0" w:color="auto"/>
        <w:left w:val="none" w:sz="0" w:space="0" w:color="auto"/>
        <w:bottom w:val="none" w:sz="0" w:space="0" w:color="auto"/>
        <w:right w:val="none" w:sz="0" w:space="0" w:color="auto"/>
      </w:divBdr>
    </w:div>
    <w:div w:id="1559366717">
      <w:bodyDiv w:val="1"/>
      <w:marLeft w:val="0"/>
      <w:marRight w:val="0"/>
      <w:marTop w:val="0"/>
      <w:marBottom w:val="0"/>
      <w:divBdr>
        <w:top w:val="none" w:sz="0" w:space="0" w:color="auto"/>
        <w:left w:val="none" w:sz="0" w:space="0" w:color="auto"/>
        <w:bottom w:val="none" w:sz="0" w:space="0" w:color="auto"/>
        <w:right w:val="none" w:sz="0" w:space="0" w:color="auto"/>
      </w:divBdr>
    </w:div>
    <w:div w:id="1579292431">
      <w:bodyDiv w:val="1"/>
      <w:marLeft w:val="0"/>
      <w:marRight w:val="0"/>
      <w:marTop w:val="0"/>
      <w:marBottom w:val="0"/>
      <w:divBdr>
        <w:top w:val="none" w:sz="0" w:space="0" w:color="auto"/>
        <w:left w:val="none" w:sz="0" w:space="0" w:color="auto"/>
        <w:bottom w:val="none" w:sz="0" w:space="0" w:color="auto"/>
        <w:right w:val="none" w:sz="0" w:space="0" w:color="auto"/>
      </w:divBdr>
    </w:div>
    <w:div w:id="1635872501">
      <w:bodyDiv w:val="1"/>
      <w:marLeft w:val="0"/>
      <w:marRight w:val="0"/>
      <w:marTop w:val="0"/>
      <w:marBottom w:val="0"/>
      <w:divBdr>
        <w:top w:val="none" w:sz="0" w:space="0" w:color="auto"/>
        <w:left w:val="none" w:sz="0" w:space="0" w:color="auto"/>
        <w:bottom w:val="none" w:sz="0" w:space="0" w:color="auto"/>
        <w:right w:val="none" w:sz="0" w:space="0" w:color="auto"/>
      </w:divBdr>
    </w:div>
    <w:div w:id="1796831615">
      <w:bodyDiv w:val="1"/>
      <w:marLeft w:val="0"/>
      <w:marRight w:val="0"/>
      <w:marTop w:val="0"/>
      <w:marBottom w:val="0"/>
      <w:divBdr>
        <w:top w:val="none" w:sz="0" w:space="0" w:color="auto"/>
        <w:left w:val="none" w:sz="0" w:space="0" w:color="auto"/>
        <w:bottom w:val="none" w:sz="0" w:space="0" w:color="auto"/>
        <w:right w:val="none" w:sz="0" w:space="0" w:color="auto"/>
      </w:divBdr>
    </w:div>
    <w:div w:id="1823504897">
      <w:bodyDiv w:val="1"/>
      <w:marLeft w:val="0"/>
      <w:marRight w:val="0"/>
      <w:marTop w:val="0"/>
      <w:marBottom w:val="0"/>
      <w:divBdr>
        <w:top w:val="none" w:sz="0" w:space="0" w:color="auto"/>
        <w:left w:val="none" w:sz="0" w:space="0" w:color="auto"/>
        <w:bottom w:val="none" w:sz="0" w:space="0" w:color="auto"/>
        <w:right w:val="none" w:sz="0" w:space="0" w:color="auto"/>
      </w:divBdr>
    </w:div>
    <w:div w:id="20447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1A884-25DF-4D6E-916C-B2B8C40B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8401</Words>
  <Characters>47891</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CRT</Company>
  <LinksUpToDate>false</LinksUpToDate>
  <CharactersWithSpaces>56180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Rothman</dc:creator>
  <cp:lastModifiedBy>Wechsler, Darren (CRT)</cp:lastModifiedBy>
  <cp:revision>2</cp:revision>
  <cp:lastPrinted>2014-03-31T21:13:00Z</cp:lastPrinted>
  <dcterms:created xsi:type="dcterms:W3CDTF">2014-05-12T19:14:00Z</dcterms:created>
  <dcterms:modified xsi:type="dcterms:W3CDTF">2014-05-12T19:14:00Z</dcterms:modified>
</cp:coreProperties>
</file>