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9F074" w14:textId="2F923D0C" w:rsidR="001D3765" w:rsidRDefault="001D3765" w:rsidP="001D3765">
      <w:pPr>
        <w:pStyle w:val="Heading1"/>
        <w:ind w:left="0" w:right="252" w:hanging="720"/>
      </w:pPr>
      <w:r w:rsidRPr="00125FA1">
        <w:rPr>
          <w:rFonts w:ascii="Calibri" w:eastAsia="Calibri" w:hAnsi="Calibri" w:cs="Times New Roman"/>
          <w:noProof/>
          <w:sz w:val="24"/>
        </w:rPr>
        <mc:AlternateContent>
          <mc:Choice Requires="wps">
            <w:drawing>
              <wp:anchor distT="0" distB="0" distL="114300" distR="114300" simplePos="0" relativeHeight="251662336" behindDoc="0" locked="0" layoutInCell="1" allowOverlap="1" wp14:anchorId="0D6B47B2" wp14:editId="3D3C5360">
                <wp:simplePos x="0" y="0"/>
                <wp:positionH relativeFrom="column">
                  <wp:posOffset>-466090</wp:posOffset>
                </wp:positionH>
                <wp:positionV relativeFrom="paragraph">
                  <wp:posOffset>0</wp:posOffset>
                </wp:positionV>
                <wp:extent cx="6854190" cy="1691005"/>
                <wp:effectExtent l="0" t="0" r="29210" b="36195"/>
                <wp:wrapSquare wrapText="bothSides"/>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4190" cy="1691005"/>
                        </a:xfrm>
                        <a:prstGeom prst="roundRect">
                          <a:avLst/>
                        </a:prstGeom>
                        <a:solidFill>
                          <a:srgbClr val="0C0A2B"/>
                        </a:solidFill>
                        <a:ln>
                          <a:solidFill>
                            <a:srgbClr val="0C092B"/>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dk1">
                            <a:shade val="50000"/>
                          </a:schemeClr>
                        </a:lnRef>
                        <a:fillRef idx="1">
                          <a:schemeClr val="dk1"/>
                        </a:fillRef>
                        <a:effectRef idx="0">
                          <a:schemeClr val="dk1"/>
                        </a:effectRef>
                        <a:fontRef idx="minor">
                          <a:schemeClr val="lt1"/>
                        </a:fontRef>
                      </wps:style>
                      <wps:txbx>
                        <w:txbxContent>
                          <w:p w14:paraId="76BE548D" w14:textId="4D4126A0" w:rsidR="00BD05A7" w:rsidRPr="00E1604D" w:rsidRDefault="00BD05A7" w:rsidP="001D3765">
                            <w:pPr>
                              <w:pStyle w:val="Heading3"/>
                              <w:spacing w:before="0"/>
                              <w:ind w:left="144" w:right="144"/>
                              <w:jc w:val="center"/>
                              <w:rPr>
                                <w:color w:val="FFFFFF" w:themeColor="background1"/>
                              </w:rPr>
                            </w:pPr>
                            <w:r>
                              <w:rPr>
                                <w:color w:val="FFFFFF" w:themeColor="background1"/>
                              </w:rPr>
                              <w:t>Recruitment Letter Worksheet Instructions</w:t>
                            </w:r>
                            <w:r>
                              <w:rPr>
                                <w:color w:val="FFFFFF" w:themeColor="background1"/>
                              </w:rPr>
                              <w:br/>
                            </w:r>
                          </w:p>
                          <w:p w14:paraId="4433965C" w14:textId="4D4AA095" w:rsidR="00BD05A7" w:rsidRPr="001D3765" w:rsidRDefault="00BD05A7" w:rsidP="001D3765">
                            <w:pPr>
                              <w:rPr>
                                <w:color w:val="FFFFFF" w:themeColor="background1"/>
                                <w:sz w:val="32"/>
                                <w:szCs w:val="32"/>
                              </w:rPr>
                            </w:pPr>
                            <w:r w:rsidRPr="001D3765">
                              <w:rPr>
                                <w:color w:val="FFFFFF" w:themeColor="background1"/>
                              </w:rPr>
                              <w:t xml:space="preserve">The following sample recruitment letter is intended to be a starting place for your professional recruitment needs.  Your team should review the content areas provided and choose what information would be most valuable to soliciting participation in your team.  Included you will find background information about </w:t>
                            </w:r>
                            <w:r>
                              <w:rPr>
                                <w:color w:val="FFFFFF" w:themeColor="background1"/>
                              </w:rPr>
                              <w:t>m</w:t>
                            </w:r>
                            <w:r w:rsidRPr="001D3765">
                              <w:rPr>
                                <w:color w:val="FFFFFF" w:themeColor="background1"/>
                              </w:rPr>
                              <w:t xml:space="preserve">ultidisciplinary </w:t>
                            </w:r>
                            <w:r>
                              <w:rPr>
                                <w:color w:val="FFFFFF" w:themeColor="background1"/>
                              </w:rPr>
                              <w:t>t</w:t>
                            </w:r>
                            <w:r w:rsidRPr="001D3765">
                              <w:rPr>
                                <w:color w:val="FFFFFF" w:themeColor="background1"/>
                              </w:rPr>
                              <w:t>eams (MDTs), why they are considered a best practice, benefits of participation in an MDT, and draft expectations for potential partners.  Please modify as needed, and best of luck in your recruitment efforts.</w:t>
                            </w:r>
                          </w:p>
                          <w:p w14:paraId="7EBEA473" w14:textId="7F74F04C" w:rsidR="00BD05A7" w:rsidRPr="00E1604D" w:rsidRDefault="00BD05A7" w:rsidP="001D3765">
                            <w:pPr>
                              <w:pStyle w:val="BalloonText"/>
                              <w:rPr>
                                <w:rFonts w:ascii="Times" w:eastAsia="Times New Roman" w:hAnsi="Times" w:cs="Times New Roman"/>
                                <w:color w:val="auto"/>
                                <w:szCs w:val="22"/>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D6B47B2" id="Rounded Rectangle 8" o:spid="_x0000_s1026" style="position:absolute;margin-left:-36.7pt;margin-top:0;width:539.7pt;height:13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" fillcolor="#0c0a2b" strokecolor="#0c092b" strokeweight="1pt">
                <v:stroke joinstyle="miter"/>
                <v:path arrowok="t"/>
                <v:textbox inset=",7.2pt,,7.2pt">
                  <w:txbxContent>
                    <w:p w14:paraId="76BE548D" w14:textId="4D4126A0" w:rsidR="00BD05A7" w:rsidRPr="00E1604D" w:rsidRDefault="00BD05A7" w:rsidP="001D3765">
                      <w:pPr>
                        <w:pStyle w:val="Heading3"/>
                        <w:spacing w:before="0"/>
                        <w:ind w:left="144" w:right="144"/>
                        <w:jc w:val="center"/>
                        <w:rPr>
                          <w:color w:val="FFFFFF" w:themeColor="background1"/>
                        </w:rPr>
                      </w:pPr>
                      <w:r>
                        <w:rPr>
                          <w:color w:val="FFFFFF" w:themeColor="background1"/>
                        </w:rPr>
                        <w:t>Recruitment Letter Worksheet Instructions</w:t>
                      </w:r>
                      <w:r>
                        <w:rPr>
                          <w:color w:val="FFFFFF" w:themeColor="background1"/>
                        </w:rPr>
                        <w:br/>
                      </w:r>
                    </w:p>
                    <w:p w14:paraId="4433965C" w14:textId="4D4AA095" w:rsidR="00BD05A7" w:rsidRPr="001D3765" w:rsidRDefault="00BD05A7" w:rsidP="001D3765">
                      <w:pPr>
                        <w:rPr>
                          <w:color w:val="FFFFFF" w:themeColor="background1"/>
                          <w:sz w:val="32"/>
                          <w:szCs w:val="32"/>
                        </w:rPr>
                      </w:pPr>
                      <w:r w:rsidRPr="001D3765">
                        <w:rPr>
                          <w:color w:val="FFFFFF" w:themeColor="background1"/>
                        </w:rPr>
                        <w:t xml:space="preserve">The following sample recruitment letter is intended to be a starting place for your professional recruitment needs.  Your team should review the content areas provided and choose what information would be most valuable to soliciting participation in your team.  Included you will find background information about </w:t>
                      </w:r>
                      <w:r>
                        <w:rPr>
                          <w:color w:val="FFFFFF" w:themeColor="background1"/>
                        </w:rPr>
                        <w:t>m</w:t>
                      </w:r>
                      <w:r w:rsidRPr="001D3765">
                        <w:rPr>
                          <w:color w:val="FFFFFF" w:themeColor="background1"/>
                        </w:rPr>
                        <w:t xml:space="preserve">ultidisciplinary </w:t>
                      </w:r>
                      <w:r>
                        <w:rPr>
                          <w:color w:val="FFFFFF" w:themeColor="background1"/>
                        </w:rPr>
                        <w:t>t</w:t>
                      </w:r>
                      <w:r w:rsidRPr="001D3765">
                        <w:rPr>
                          <w:color w:val="FFFFFF" w:themeColor="background1"/>
                        </w:rPr>
                        <w:t>eams (MDTs), why they are considered a best practice, benefits of participation in an MDT, and draft expectations for potential partners.  Please modify as needed, and best of luck in your recruitment efforts.</w:t>
                      </w:r>
                    </w:p>
                    <w:p w14:paraId="7EBEA473" w14:textId="7F74F04C" w:rsidR="00BD05A7" w:rsidRPr="00E1604D" w:rsidRDefault="00BD05A7" w:rsidP="001D3765">
                      <w:pPr>
                        <w:pStyle w:val="BalloonText"/>
                        <w:rPr>
                          <w:rFonts w:ascii="Times" w:eastAsia="Times New Roman" w:hAnsi="Times" w:cs="Times New Roman"/>
                          <w:color w:val="auto"/>
                          <w:szCs w:val="22"/>
                        </w:rPr>
                      </w:pPr>
                    </w:p>
                  </w:txbxContent>
                </v:textbox>
                <w10:wrap type="square"/>
              </v:roundrect>
            </w:pict>
          </mc:Fallback>
        </mc:AlternateContent>
      </w:r>
    </w:p>
    <w:p w14:paraId="10F9995F" w14:textId="77777777" w:rsidR="003D2A86" w:rsidRDefault="003D2A86" w:rsidP="00216C3B">
      <w:pPr>
        <w:pStyle w:val="Heading1"/>
        <w:ind w:right="252"/>
      </w:pPr>
    </w:p>
    <w:p w14:paraId="028ECA0D" w14:textId="74C47CEC" w:rsidR="0069436D" w:rsidRDefault="001D3765" w:rsidP="00216C3B">
      <w:pPr>
        <w:pStyle w:val="Heading1"/>
        <w:ind w:right="252"/>
      </w:pPr>
      <w:r>
        <w:t>Invitation to Become a Member of [Name] Elder Abuse Case Review Multi</w:t>
      </w:r>
      <w:r w:rsidR="00216C3B">
        <w:t>disciplinary Team (Sample)</w:t>
      </w:r>
    </w:p>
    <w:p w14:paraId="2B0EC5B1" w14:textId="77777777" w:rsidR="00216C3B" w:rsidRDefault="00216C3B" w:rsidP="00216C3B">
      <w:pPr>
        <w:ind w:left="-720" w:right="162"/>
      </w:pPr>
    </w:p>
    <w:p w14:paraId="46BA1814" w14:textId="361D2969" w:rsidR="0069436D" w:rsidRDefault="00216C3B" w:rsidP="00216C3B">
      <w:pPr>
        <w:ind w:left="-720" w:right="162"/>
      </w:pPr>
      <w:r>
        <w:t>Date</w:t>
      </w:r>
    </w:p>
    <w:p w14:paraId="7E73A8BC" w14:textId="00D4CC27" w:rsidR="00216C3B" w:rsidRDefault="00216C3B" w:rsidP="00216C3B">
      <w:pPr>
        <w:ind w:left="-720" w:right="-90"/>
      </w:pPr>
      <w:r>
        <w:t>Dear [Name]</w:t>
      </w:r>
      <w:r>
        <w:br/>
        <w:t>Title</w:t>
      </w:r>
      <w:r>
        <w:br/>
        <w:t>Organization</w:t>
      </w:r>
      <w:r>
        <w:br/>
        <w:t>Contact information</w:t>
      </w:r>
    </w:p>
    <w:p w14:paraId="6C3A9167" w14:textId="230C5467" w:rsidR="0069436D" w:rsidRDefault="00216C3B" w:rsidP="00F758D9">
      <w:pPr>
        <w:pStyle w:val="Heading2"/>
      </w:pPr>
      <w:r>
        <w:t>Background</w:t>
      </w:r>
      <w:bookmarkStart w:id="0" w:name="_GoBack"/>
      <w:bookmarkEnd w:id="0"/>
    </w:p>
    <w:p w14:paraId="3E0A5208" w14:textId="54638D7E" w:rsidR="00216C3B" w:rsidRPr="0007679B" w:rsidRDefault="00216C3B" w:rsidP="00216C3B">
      <w:pPr>
        <w:ind w:left="-720"/>
      </w:pPr>
      <w:r w:rsidRPr="0007679B">
        <w:t xml:space="preserve">Elder abuse is gaining recognition.  National prevalence studies indicate that over 10% of </w:t>
      </w:r>
      <w:r>
        <w:t xml:space="preserve">Americans </w:t>
      </w:r>
      <w:r w:rsidRPr="0007679B">
        <w:t>age 6</w:t>
      </w:r>
      <w:r>
        <w:t>0</w:t>
      </w:r>
      <w:r w:rsidRPr="0007679B">
        <w:t xml:space="preserve"> and older experience some form of elder abuse in a given year.  Elder abuse typically is a term used to refer to five types of elder abuse: financial</w:t>
      </w:r>
      <w:r w:rsidR="002800C0">
        <w:t xml:space="preserve"> </w:t>
      </w:r>
      <w:r w:rsidRPr="0007679B">
        <w:t xml:space="preserve">exploitation, caregiver neglect, physical abuse, psychological abuse, and sexual abuse. The consequences for those who experience elder abuse </w:t>
      </w:r>
      <w:r>
        <w:t xml:space="preserve">include diminished health, finances, social connections, independence, and may even hasten death. </w:t>
      </w:r>
      <w:r w:rsidRPr="0007679B">
        <w:t xml:space="preserve"> </w:t>
      </w:r>
    </w:p>
    <w:p w14:paraId="2CF9C8E3" w14:textId="77777777" w:rsidR="00216C3B" w:rsidRDefault="00216C3B" w:rsidP="00216C3B">
      <w:pPr>
        <w:ind w:left="-720"/>
      </w:pPr>
      <w:r w:rsidRPr="0007679B">
        <w:t xml:space="preserve">With this increased </w:t>
      </w:r>
      <w:r>
        <w:t xml:space="preserve">recognition and </w:t>
      </w:r>
      <w:r w:rsidRPr="0007679B">
        <w:t xml:space="preserve">understanding comes more sophisticated responses.  One best practice being promoted is the use of </w:t>
      </w:r>
      <w:r w:rsidRPr="00B74A9E">
        <w:t>multidisciplinary teams</w:t>
      </w:r>
      <w:r w:rsidRPr="0007679B">
        <w:t xml:space="preserve"> </w:t>
      </w:r>
      <w:r>
        <w:t xml:space="preserve">(MDTs) </w:t>
      </w:r>
      <w:r w:rsidRPr="00FE3F38">
        <w:t>so prolific in the field of child abuse</w:t>
      </w:r>
      <w:r w:rsidRPr="0007679B">
        <w:t xml:space="preserve">.  In our community, </w:t>
      </w:r>
      <w:r w:rsidRPr="008820D6">
        <w:t xml:space="preserve">[name] Elder Abuse Case Review </w:t>
      </w:r>
      <w:r>
        <w:t xml:space="preserve">MDT has existed for XX years [or is being developed].  </w:t>
      </w:r>
      <w:r w:rsidRPr="0007679B">
        <w:t xml:space="preserve">As an important member of our community, </w:t>
      </w:r>
      <w:r>
        <w:t>we are</w:t>
      </w:r>
      <w:r w:rsidRPr="0007679B">
        <w:t xml:space="preserve"> inviting someone to represent your organization</w:t>
      </w:r>
      <w:r>
        <w:t>/agency</w:t>
      </w:r>
      <w:r w:rsidRPr="0007679B">
        <w:t xml:space="preserve"> on the </w:t>
      </w:r>
      <w:r>
        <w:t xml:space="preserve">MDT.  </w:t>
      </w:r>
    </w:p>
    <w:p w14:paraId="05D6C2B0" w14:textId="3F828836" w:rsidR="0069436D" w:rsidRDefault="00216C3B" w:rsidP="00F758D9">
      <w:pPr>
        <w:pStyle w:val="Heading2"/>
      </w:pPr>
      <w:r>
        <w:t>Join Us!</w:t>
      </w:r>
      <w:r w:rsidR="0069436D">
        <w:t xml:space="preserve"> </w:t>
      </w:r>
    </w:p>
    <w:p w14:paraId="3E8A9006" w14:textId="29CEE789" w:rsidR="00216C3B" w:rsidRDefault="00216C3B" w:rsidP="00216C3B">
      <w:pPr>
        <w:ind w:left="-720"/>
      </w:pPr>
      <w:r>
        <w:t xml:space="preserve">Our objective is to set up our new MDT venture for success.  Your organization has been identified as a potential strong partner and crucial MDT member.  We cordially request your participation as we move forward with MDT planning and development.  Your input into the development of our team is highly valuable and we believe that together, we can have a positive impact in the lives of our mutual client, our community, and in our respective organizations/agencies.  Below, you can learn more about what MDTs are, why they are considered a best practice, and what expectations can be anticipated if you choose to participate in our </w:t>
      </w:r>
      <w:r w:rsidR="00413279">
        <w:t>MDT</w:t>
      </w:r>
      <w:r>
        <w:t>.</w:t>
      </w:r>
    </w:p>
    <w:p w14:paraId="2762B655" w14:textId="77777777" w:rsidR="003D2A86" w:rsidRDefault="003D2A86">
      <w:pPr>
        <w:spacing w:after="0" w:line="240" w:lineRule="auto"/>
        <w:rPr>
          <w:rFonts w:ascii="Arial" w:hAnsi="Arial" w:cs="Arial"/>
          <w:sz w:val="28"/>
        </w:rPr>
      </w:pPr>
      <w:r>
        <w:br w:type="page"/>
      </w:r>
    </w:p>
    <w:p w14:paraId="0E231B8B" w14:textId="05D1EA22" w:rsidR="0069436D" w:rsidRDefault="00A9173D" w:rsidP="00010CB0">
      <w:pPr>
        <w:pStyle w:val="Heading2"/>
        <w:keepNext/>
      </w:pPr>
      <w:r w:rsidRPr="00A9173D">
        <w:lastRenderedPageBreak/>
        <w:t>C</w:t>
      </w:r>
      <w:r>
        <w:t>HARACTERISTICS OF AN ELDER ABUSE CASE REVIEW</w:t>
      </w:r>
      <w:r w:rsidR="00B5521E">
        <w:t xml:space="preserve"> MDT</w:t>
      </w:r>
    </w:p>
    <w:p w14:paraId="62F50C89" w14:textId="01DFF73A" w:rsidR="00216C3B" w:rsidRDefault="00216C3B" w:rsidP="00010CB0">
      <w:pPr>
        <w:keepNext/>
        <w:ind w:left="-720"/>
      </w:pPr>
      <w:r>
        <w:t xml:space="preserve">An </w:t>
      </w:r>
      <w:r w:rsidRPr="008050DE">
        <w:rPr>
          <w:i/>
        </w:rPr>
        <w:t xml:space="preserve">Elder Abuse Case Review </w:t>
      </w:r>
      <w:r>
        <w:rPr>
          <w:i/>
        </w:rPr>
        <w:t>MDT</w:t>
      </w:r>
      <w:r>
        <w:t xml:space="preserve"> is a </w:t>
      </w:r>
      <w:r w:rsidRPr="0027151A">
        <w:t xml:space="preserve">group composed of members who know each other, each with varied but </w:t>
      </w:r>
      <w:r w:rsidR="00413279" w:rsidRPr="0027151A">
        <w:t>compl</w:t>
      </w:r>
      <w:r w:rsidR="00413279">
        <w:t>e</w:t>
      </w:r>
      <w:r w:rsidR="00413279" w:rsidRPr="0027151A">
        <w:t xml:space="preserve">mentary </w:t>
      </w:r>
      <w:r w:rsidRPr="0027151A">
        <w:t>experience, qualifications, and skills, bound by a common purpose, working collaboratively to achieve a shared goal</w:t>
      </w:r>
      <w:r>
        <w:t xml:space="preserve">.  Case review MDTs are </w:t>
      </w:r>
      <w:r w:rsidRPr="0027151A">
        <w:t xml:space="preserve">characterized by five elements: </w:t>
      </w:r>
    </w:p>
    <w:p w14:paraId="66B1A1DE" w14:textId="77777777" w:rsidR="00216C3B" w:rsidRPr="00216C3B" w:rsidRDefault="00216C3B" w:rsidP="00010CB0">
      <w:pPr>
        <w:pStyle w:val="ListParagraph"/>
        <w:keepNext/>
        <w:numPr>
          <w:ilvl w:val="0"/>
          <w:numId w:val="30"/>
        </w:numPr>
        <w:ind w:left="0"/>
        <w:rPr>
          <w:b/>
        </w:rPr>
      </w:pPr>
      <w:r w:rsidRPr="00216C3B">
        <w:rPr>
          <w:b/>
        </w:rPr>
        <w:t xml:space="preserve">Shared Decision-Making </w:t>
      </w:r>
    </w:p>
    <w:p w14:paraId="479BA42E" w14:textId="7EAF6A2C" w:rsidR="00216C3B" w:rsidRDefault="00216C3B" w:rsidP="00010CB0">
      <w:pPr>
        <w:pStyle w:val="ListParagraph"/>
        <w:keepNext/>
        <w:ind w:left="0"/>
      </w:pPr>
      <w:r>
        <w:t>T</w:t>
      </w:r>
      <w:r w:rsidRPr="0027151A">
        <w:t>he entire team participates in the decision-making process, sharing information, and sharing successes through case review</w:t>
      </w:r>
      <w:r>
        <w:t xml:space="preserve">. </w:t>
      </w:r>
    </w:p>
    <w:p w14:paraId="38F64D15" w14:textId="77777777" w:rsidR="00216C3B" w:rsidRPr="00216C3B" w:rsidRDefault="00216C3B" w:rsidP="00010CB0">
      <w:pPr>
        <w:pStyle w:val="ListParagraph"/>
        <w:keepNext/>
        <w:numPr>
          <w:ilvl w:val="0"/>
          <w:numId w:val="30"/>
        </w:numPr>
        <w:ind w:left="0"/>
        <w:rPr>
          <w:b/>
        </w:rPr>
      </w:pPr>
      <w:r w:rsidRPr="00216C3B">
        <w:rPr>
          <w:b/>
        </w:rPr>
        <w:t xml:space="preserve">Partnership </w:t>
      </w:r>
    </w:p>
    <w:p w14:paraId="5BF7E655" w14:textId="23C36DC4" w:rsidR="00216C3B" w:rsidRDefault="00216C3B" w:rsidP="00010CB0">
      <w:pPr>
        <w:pStyle w:val="ListParagraph"/>
        <w:keepNext/>
        <w:ind w:left="0"/>
      </w:pPr>
      <w:r>
        <w:t>A</w:t>
      </w:r>
      <w:r w:rsidRPr="0027151A">
        <w:t xml:space="preserve"> formal Memorandum of Understanding (MOU) o</w:t>
      </w:r>
      <w:r w:rsidR="002800C0">
        <w:t>r an Interagency Agreement (IAA</w:t>
      </w:r>
      <w:r>
        <w:t>) is signed by all participating organizations/</w:t>
      </w:r>
      <w:r w:rsidRPr="00C869DB">
        <w:t>agencies</w:t>
      </w:r>
      <w:r>
        <w:t xml:space="preserve">. </w:t>
      </w:r>
    </w:p>
    <w:p w14:paraId="504C4490" w14:textId="77777777" w:rsidR="00216C3B" w:rsidRPr="00216C3B" w:rsidRDefault="00216C3B" w:rsidP="00010CB0">
      <w:pPr>
        <w:pStyle w:val="ListParagraph"/>
        <w:keepNext/>
        <w:numPr>
          <w:ilvl w:val="0"/>
          <w:numId w:val="30"/>
        </w:numPr>
        <w:ind w:left="0"/>
        <w:rPr>
          <w:b/>
        </w:rPr>
      </w:pPr>
      <w:r w:rsidRPr="00216C3B">
        <w:rPr>
          <w:b/>
        </w:rPr>
        <w:t xml:space="preserve">Interdependency </w:t>
      </w:r>
    </w:p>
    <w:p w14:paraId="18EF218E" w14:textId="75A04DDF" w:rsidR="00216C3B" w:rsidRDefault="00216C3B" w:rsidP="00010CB0">
      <w:pPr>
        <w:pStyle w:val="ListParagraph"/>
        <w:keepNext/>
        <w:ind w:left="0"/>
      </w:pPr>
      <w:r>
        <w:t>G</w:t>
      </w:r>
      <w:r w:rsidRPr="0027151A">
        <w:t>roup and individual outcomes are influenced by the group</w:t>
      </w:r>
      <w:r w:rsidR="00192937">
        <w:t xml:space="preserve">, that is, </w:t>
      </w:r>
      <w:r w:rsidR="00192937" w:rsidRPr="00192937">
        <w:t>the actions of one member impact important outcomes of other members and the team</w:t>
      </w:r>
      <w:r w:rsidR="00192937">
        <w:t>.</w:t>
      </w:r>
    </w:p>
    <w:p w14:paraId="28E704E0" w14:textId="77777777" w:rsidR="00216C3B" w:rsidRPr="00216C3B" w:rsidRDefault="00216C3B" w:rsidP="00010CB0">
      <w:pPr>
        <w:pStyle w:val="ListParagraph"/>
        <w:keepNext/>
        <w:numPr>
          <w:ilvl w:val="0"/>
          <w:numId w:val="30"/>
        </w:numPr>
        <w:ind w:left="0"/>
        <w:rPr>
          <w:b/>
        </w:rPr>
      </w:pPr>
      <w:r w:rsidRPr="00216C3B">
        <w:rPr>
          <w:b/>
        </w:rPr>
        <w:t>Balanced Power</w:t>
      </w:r>
    </w:p>
    <w:p w14:paraId="41B2D95F" w14:textId="5D7BC3F1" w:rsidR="00216C3B" w:rsidRPr="004069F4" w:rsidRDefault="00216C3B" w:rsidP="00010CB0">
      <w:pPr>
        <w:pStyle w:val="ListParagraph"/>
        <w:keepNext/>
        <w:ind w:left="0"/>
      </w:pPr>
      <w:r w:rsidRPr="004069F4">
        <w:t xml:space="preserve">All members of the MDT have equal input and </w:t>
      </w:r>
      <w:r w:rsidR="00B74A9E">
        <w:t>discourag</w:t>
      </w:r>
      <w:r w:rsidR="00B5521E">
        <w:t>e</w:t>
      </w:r>
      <w:r w:rsidR="00B74A9E">
        <w:t xml:space="preserve"> </w:t>
      </w:r>
      <w:r w:rsidRPr="004069F4">
        <w:t>a single member from dominating the group.</w:t>
      </w:r>
    </w:p>
    <w:p w14:paraId="0549DCBE" w14:textId="77777777" w:rsidR="00216C3B" w:rsidRPr="00216C3B" w:rsidRDefault="00216C3B" w:rsidP="003D2A86">
      <w:pPr>
        <w:pStyle w:val="ListParagraph"/>
        <w:numPr>
          <w:ilvl w:val="0"/>
          <w:numId w:val="30"/>
        </w:numPr>
        <w:ind w:left="0"/>
        <w:rPr>
          <w:b/>
        </w:rPr>
      </w:pPr>
      <w:r w:rsidRPr="00216C3B">
        <w:rPr>
          <w:b/>
        </w:rPr>
        <w:t>Process</w:t>
      </w:r>
    </w:p>
    <w:p w14:paraId="7DA62695" w14:textId="77777777" w:rsidR="00216C3B" w:rsidRDefault="00216C3B" w:rsidP="00010CB0">
      <w:pPr>
        <w:pStyle w:val="ListParagraph"/>
        <w:ind w:left="0"/>
      </w:pPr>
      <w:r>
        <w:t xml:space="preserve">The development </w:t>
      </w:r>
      <w:r w:rsidRPr="00743A9F">
        <w:t xml:space="preserve">and use of protocols to introduce predictability and accountability into the case review process, including protocols for conflict resolution.   </w:t>
      </w:r>
    </w:p>
    <w:p w14:paraId="39C48C38" w14:textId="77777777" w:rsidR="00413279" w:rsidRDefault="00413279" w:rsidP="00216C3B">
      <w:pPr>
        <w:rPr>
          <w:rFonts w:ascii="Calibri" w:hAnsi="Calibri" w:cs="Calibri"/>
        </w:rPr>
      </w:pPr>
    </w:p>
    <w:p w14:paraId="44441443" w14:textId="522A9EF8" w:rsidR="00413279" w:rsidRPr="00B74A9E" w:rsidRDefault="00413279" w:rsidP="00413279">
      <w:pPr>
        <w:ind w:left="-720"/>
        <w:rPr>
          <w:rFonts w:ascii="Arial" w:hAnsi="Arial" w:cs="Arial"/>
          <w:sz w:val="28"/>
        </w:rPr>
      </w:pPr>
      <w:r w:rsidRPr="00B74A9E">
        <w:rPr>
          <w:rFonts w:ascii="Arial" w:hAnsi="Arial" w:cs="Arial"/>
          <w:sz w:val="28"/>
        </w:rPr>
        <w:t>BENEFITS OF ELDER ABUSE CASE REVIEW MDTs</w:t>
      </w:r>
    </w:p>
    <w:p w14:paraId="38B3975E" w14:textId="47C3E7B2" w:rsidR="00216C3B" w:rsidRDefault="00413279" w:rsidP="003D2A86">
      <w:pPr>
        <w:ind w:left="-720"/>
      </w:pPr>
      <w:r w:rsidRPr="00352E23">
        <w:t xml:space="preserve">Reasons </w:t>
      </w:r>
      <w:r w:rsidR="00216C3B" w:rsidRPr="00864F94">
        <w:t xml:space="preserve">why Elder Abuse Case Review </w:t>
      </w:r>
      <w:r w:rsidR="00216C3B">
        <w:t xml:space="preserve">MDTs </w:t>
      </w:r>
      <w:r w:rsidR="00216C3B" w:rsidRPr="00864F94">
        <w:t xml:space="preserve">are </w:t>
      </w:r>
      <w:r w:rsidR="00216C3B">
        <w:t>considered “</w:t>
      </w:r>
      <w:r w:rsidR="00216C3B" w:rsidRPr="00864F94">
        <w:t>best</w:t>
      </w:r>
      <w:r w:rsidR="00216C3B">
        <w:t xml:space="preserve"> practice”</w:t>
      </w:r>
      <w:r w:rsidR="00216C3B" w:rsidRPr="00DF5975">
        <w:rPr>
          <w:rStyle w:val="EndnoteReference"/>
          <w:rFonts w:ascii="Calibri" w:hAnsi="Calibri" w:cs="Calibri"/>
        </w:rPr>
        <w:t xml:space="preserve"> </w:t>
      </w:r>
      <w:r w:rsidR="00216C3B">
        <w:rPr>
          <w:rStyle w:val="EndnoteReference"/>
          <w:rFonts w:ascii="Calibri" w:hAnsi="Calibri" w:cs="Calibri"/>
        </w:rPr>
        <w:endnoteReference w:id="1"/>
      </w:r>
      <w:r w:rsidR="00216C3B">
        <w:t xml:space="preserve"> when responding to elder</w:t>
      </w:r>
      <w:r w:rsidR="00216C3B" w:rsidRPr="00864F94">
        <w:t xml:space="preserve"> abuse </w:t>
      </w:r>
      <w:r w:rsidR="00216C3B">
        <w:t>cases:</w:t>
      </w:r>
    </w:p>
    <w:p w14:paraId="5CC2B7BB" w14:textId="77777777" w:rsidR="00216C3B" w:rsidRDefault="00216C3B" w:rsidP="00010CB0"/>
    <w:p w14:paraId="350F5ED2" w14:textId="77777777" w:rsidR="00216C3B" w:rsidRPr="003D2A86" w:rsidRDefault="00216C3B" w:rsidP="00010CB0">
      <w:pPr>
        <w:keepNext/>
        <w:ind w:left="-720"/>
        <w:rPr>
          <w:b/>
        </w:rPr>
      </w:pPr>
      <w:r w:rsidRPr="003D2A86">
        <w:rPr>
          <w:b/>
        </w:rPr>
        <w:t xml:space="preserve">Successful partnerships can benefit </w:t>
      </w:r>
      <w:r w:rsidRPr="003D2A86">
        <w:rPr>
          <w:b/>
          <w:i/>
        </w:rPr>
        <w:t>professionals/organizations</w:t>
      </w:r>
      <w:r w:rsidRPr="003D2A86">
        <w:rPr>
          <w:b/>
        </w:rPr>
        <w:t xml:space="preserve"> in the following ways:</w:t>
      </w:r>
    </w:p>
    <w:p w14:paraId="4309B97D" w14:textId="77777777" w:rsidR="00216C3B" w:rsidRPr="0007679B" w:rsidRDefault="00216C3B" w:rsidP="00010CB0">
      <w:pPr>
        <w:pStyle w:val="ListParagraph"/>
        <w:keepNext/>
        <w:numPr>
          <w:ilvl w:val="0"/>
          <w:numId w:val="32"/>
        </w:numPr>
        <w:ind w:left="0"/>
      </w:pPr>
      <w:r>
        <w:t>MDTs result in a greater number of cases being referred for prosecution</w:t>
      </w:r>
      <w:r w:rsidRPr="0007679B">
        <w:t>.</w:t>
      </w:r>
      <w:r w:rsidRPr="0007679B">
        <w:rPr>
          <w:vertAlign w:val="superscript"/>
        </w:rPr>
        <w:endnoteReference w:id="2"/>
      </w:r>
    </w:p>
    <w:p w14:paraId="671DBAE3" w14:textId="77777777" w:rsidR="00216C3B" w:rsidRPr="0007679B" w:rsidRDefault="00216C3B" w:rsidP="00010CB0">
      <w:pPr>
        <w:pStyle w:val="ListParagraph"/>
        <w:keepNext/>
        <w:numPr>
          <w:ilvl w:val="0"/>
          <w:numId w:val="32"/>
        </w:numPr>
        <w:ind w:left="0"/>
      </w:pPr>
      <w:r w:rsidRPr="0007679B">
        <w:t>MDTs can increase confidence</w:t>
      </w:r>
      <w:r w:rsidRPr="0007679B">
        <w:rPr>
          <w:vertAlign w:val="superscript"/>
        </w:rPr>
        <w:endnoteReference w:id="3"/>
      </w:r>
      <w:r w:rsidRPr="0007679B">
        <w:t xml:space="preserve"> and enhance job satisfaction by promoting collegiality</w:t>
      </w:r>
      <w:r>
        <w:t>.</w:t>
      </w:r>
      <w:r w:rsidRPr="0007679B">
        <w:rPr>
          <w:vertAlign w:val="superscript"/>
        </w:rPr>
        <w:endnoteReference w:id="4"/>
      </w:r>
      <w:r w:rsidRPr="0007679B">
        <w:t xml:space="preserve">   </w:t>
      </w:r>
    </w:p>
    <w:p w14:paraId="7A97856E" w14:textId="77777777" w:rsidR="00216C3B" w:rsidRPr="0007679B" w:rsidRDefault="00216C3B" w:rsidP="00010CB0">
      <w:pPr>
        <w:pStyle w:val="ListParagraph"/>
        <w:keepNext/>
        <w:numPr>
          <w:ilvl w:val="0"/>
          <w:numId w:val="32"/>
        </w:numPr>
        <w:ind w:left="0"/>
      </w:pPr>
      <w:r w:rsidRPr="0007679B">
        <w:t>MDTs extend and leverage interagency resources in part by reducing the financial and staff burden on individual agencies.</w:t>
      </w:r>
    </w:p>
    <w:p w14:paraId="21E6CD8A" w14:textId="77777777" w:rsidR="00216C3B" w:rsidRDefault="00216C3B" w:rsidP="003D2A86">
      <w:pPr>
        <w:pStyle w:val="ListParagraph"/>
        <w:numPr>
          <w:ilvl w:val="0"/>
          <w:numId w:val="32"/>
        </w:numPr>
        <w:ind w:left="0"/>
      </w:pPr>
      <w:r w:rsidRPr="0007679B">
        <w:t>MDTs can instill confidence that the case is being handled the best way possible by obtaining validation from other team members.</w:t>
      </w:r>
    </w:p>
    <w:p w14:paraId="7E7AFBB5" w14:textId="77777777" w:rsidR="00216C3B" w:rsidRPr="0007679B" w:rsidRDefault="00216C3B" w:rsidP="00216C3B">
      <w:pPr>
        <w:ind w:left="144"/>
      </w:pPr>
    </w:p>
    <w:p w14:paraId="34C1F229" w14:textId="6C149682" w:rsidR="00216C3B" w:rsidRPr="00010CB0" w:rsidRDefault="00216C3B" w:rsidP="00010CB0">
      <w:pPr>
        <w:keepNext/>
        <w:ind w:hanging="720"/>
        <w:rPr>
          <w:b/>
        </w:rPr>
      </w:pPr>
      <w:r w:rsidRPr="00010CB0">
        <w:rPr>
          <w:b/>
        </w:rPr>
        <w:t>Successful partnerships can benefit</w:t>
      </w:r>
      <w:r w:rsidR="0034273C">
        <w:rPr>
          <w:b/>
        </w:rPr>
        <w:t xml:space="preserve"> </w:t>
      </w:r>
      <w:r w:rsidR="0034273C" w:rsidRPr="0034273C">
        <w:rPr>
          <w:b/>
          <w:i/>
        </w:rPr>
        <w:t>older</w:t>
      </w:r>
      <w:r w:rsidRPr="0034273C">
        <w:rPr>
          <w:b/>
          <w:i/>
        </w:rPr>
        <w:t xml:space="preserve"> </w:t>
      </w:r>
      <w:r w:rsidRPr="00010CB0">
        <w:rPr>
          <w:b/>
          <w:i/>
        </w:rPr>
        <w:t>victims</w:t>
      </w:r>
      <w:r w:rsidRPr="00010CB0">
        <w:rPr>
          <w:b/>
        </w:rPr>
        <w:t xml:space="preserve"> in the following ways:</w:t>
      </w:r>
    </w:p>
    <w:p w14:paraId="424A86A7" w14:textId="77777777" w:rsidR="003D2A86" w:rsidRPr="003D2A86" w:rsidRDefault="003D2A86" w:rsidP="00010CB0">
      <w:pPr>
        <w:pStyle w:val="ListParagraph"/>
        <w:keepNext/>
        <w:numPr>
          <w:ilvl w:val="0"/>
          <w:numId w:val="33"/>
        </w:numPr>
        <w:ind w:left="0"/>
        <w:rPr>
          <w:rFonts w:ascii="Times" w:hAnsi="Times"/>
          <w:szCs w:val="20"/>
        </w:rPr>
      </w:pPr>
      <w:r w:rsidRPr="003D2A86">
        <w:rPr>
          <w:rFonts w:ascii="Times" w:hAnsi="Times"/>
          <w:szCs w:val="20"/>
        </w:rPr>
        <w:t>Coordination of multiple services may reduce the number of systems with which victims have to navigate.</w:t>
      </w:r>
      <w:r w:rsidRPr="003D2A86">
        <w:rPr>
          <w:rFonts w:ascii="Times" w:hAnsi="Times"/>
          <w:szCs w:val="20"/>
          <w:vertAlign w:val="superscript"/>
        </w:rPr>
        <w:endnoteReference w:id="5"/>
      </w:r>
    </w:p>
    <w:p w14:paraId="401C910E" w14:textId="77777777" w:rsidR="003D2A86" w:rsidRPr="003D2A86" w:rsidRDefault="003D2A86" w:rsidP="00010CB0">
      <w:pPr>
        <w:pStyle w:val="ListParagraph"/>
        <w:keepNext/>
        <w:numPr>
          <w:ilvl w:val="0"/>
          <w:numId w:val="33"/>
        </w:numPr>
        <w:ind w:left="0"/>
        <w:rPr>
          <w:rFonts w:ascii="Times" w:hAnsi="Times"/>
          <w:szCs w:val="20"/>
        </w:rPr>
      </w:pPr>
      <w:r w:rsidRPr="003D2A86">
        <w:rPr>
          <w:rFonts w:ascii="Times" w:hAnsi="Times"/>
          <w:szCs w:val="20"/>
        </w:rPr>
        <w:t xml:space="preserve">Coordination creates an integrated array of services tailored to the victim’s multifaceted needs that can build upon the family’s strengths. </w:t>
      </w:r>
    </w:p>
    <w:p w14:paraId="63E2FCDC" w14:textId="77777777" w:rsidR="00443EF0" w:rsidRDefault="003D2A86" w:rsidP="006D4955">
      <w:pPr>
        <w:pStyle w:val="ListParagraph"/>
        <w:keepNext/>
        <w:numPr>
          <w:ilvl w:val="0"/>
          <w:numId w:val="33"/>
        </w:numPr>
        <w:ind w:left="0"/>
        <w:rPr>
          <w:rFonts w:ascii="Times" w:hAnsi="Times"/>
          <w:szCs w:val="20"/>
        </w:rPr>
      </w:pPr>
      <w:r w:rsidRPr="00443EF0">
        <w:rPr>
          <w:rFonts w:ascii="Times" w:hAnsi="Times"/>
          <w:szCs w:val="20"/>
        </w:rPr>
        <w:t>Collaboration produces creative solutions that no one agency could produce on its own.</w:t>
      </w:r>
      <w:r w:rsidRPr="003D2A86">
        <w:rPr>
          <w:rStyle w:val="EndnoteReference"/>
          <w:rFonts w:ascii="Times" w:hAnsi="Times" w:cs="Calibri"/>
          <w:szCs w:val="20"/>
        </w:rPr>
        <w:endnoteReference w:id="6"/>
      </w:r>
      <w:r w:rsidRPr="00443EF0">
        <w:rPr>
          <w:rFonts w:ascii="Times" w:hAnsi="Times"/>
          <w:szCs w:val="20"/>
        </w:rPr>
        <w:t xml:space="preserve"> </w:t>
      </w:r>
    </w:p>
    <w:p w14:paraId="43CE7B3A" w14:textId="1662B5BE" w:rsidR="003D2A86" w:rsidRPr="00443EF0" w:rsidRDefault="003D2A86" w:rsidP="006D4955">
      <w:pPr>
        <w:pStyle w:val="ListParagraph"/>
        <w:keepNext/>
        <w:numPr>
          <w:ilvl w:val="0"/>
          <w:numId w:val="33"/>
        </w:numPr>
        <w:ind w:left="0"/>
        <w:rPr>
          <w:rFonts w:ascii="Times" w:hAnsi="Times"/>
          <w:szCs w:val="20"/>
        </w:rPr>
      </w:pPr>
      <w:r w:rsidRPr="00443EF0">
        <w:rPr>
          <w:rFonts w:ascii="Times" w:hAnsi="Times"/>
          <w:szCs w:val="20"/>
        </w:rPr>
        <w:t>Collaboration results in more desirable case outcomes</w:t>
      </w:r>
      <w:r w:rsidR="004A456B" w:rsidRPr="00443EF0">
        <w:rPr>
          <w:rFonts w:ascii="Times" w:hAnsi="Times"/>
          <w:szCs w:val="20"/>
        </w:rPr>
        <w:t xml:space="preserve"> for victims </w:t>
      </w:r>
      <w:r w:rsidR="00443EF0" w:rsidRPr="00443EF0">
        <w:rPr>
          <w:rFonts w:ascii="Times" w:hAnsi="Times"/>
        </w:rPr>
        <w:t>by e</w:t>
      </w:r>
      <w:r w:rsidR="00443EF0" w:rsidRPr="00443EF0">
        <w:t>nhancing</w:t>
      </w:r>
      <w:r w:rsidR="00443EF0" w:rsidRPr="00E06435">
        <w:t xml:space="preserve"> the probability that no matter where a victim enters the system, they have access to coordinated services.</w:t>
      </w:r>
    </w:p>
    <w:p w14:paraId="28BBD5B4" w14:textId="77777777" w:rsidR="003D2A86" w:rsidRPr="003D2A86" w:rsidRDefault="003D2A86" w:rsidP="003D2A86"/>
    <w:p w14:paraId="7BDD18F4" w14:textId="77777777" w:rsidR="003D2A86" w:rsidRPr="00010CB0" w:rsidRDefault="003D2A86" w:rsidP="00010CB0">
      <w:pPr>
        <w:keepNext/>
        <w:ind w:hanging="720"/>
        <w:rPr>
          <w:b/>
        </w:rPr>
      </w:pPr>
      <w:r w:rsidRPr="00010CB0">
        <w:rPr>
          <w:b/>
        </w:rPr>
        <w:lastRenderedPageBreak/>
        <w:t xml:space="preserve">Successful partnerships can benefit </w:t>
      </w:r>
      <w:r w:rsidRPr="00010CB0">
        <w:rPr>
          <w:b/>
          <w:i/>
        </w:rPr>
        <w:t>communities</w:t>
      </w:r>
      <w:r w:rsidRPr="00010CB0">
        <w:rPr>
          <w:b/>
        </w:rPr>
        <w:t xml:space="preserve"> in the following ways:</w:t>
      </w:r>
    </w:p>
    <w:p w14:paraId="35D8E198" w14:textId="77777777" w:rsidR="003D2A86" w:rsidRPr="00643814" w:rsidRDefault="003D2A86" w:rsidP="00010CB0">
      <w:pPr>
        <w:pStyle w:val="ListParagraph"/>
        <w:keepNext/>
        <w:numPr>
          <w:ilvl w:val="0"/>
          <w:numId w:val="35"/>
        </w:numPr>
        <w:ind w:left="0"/>
      </w:pPr>
      <w:r>
        <w:t>By c</w:t>
      </w:r>
      <w:r w:rsidRPr="00643814">
        <w:t>reating community responsibility for victim safety.</w:t>
      </w:r>
      <w:r w:rsidRPr="00643814">
        <w:rPr>
          <w:rStyle w:val="EndnoteReference"/>
          <w:rFonts w:ascii="Calibri" w:hAnsi="Calibri" w:cs="Calibri"/>
        </w:rPr>
        <w:endnoteReference w:id="7"/>
      </w:r>
    </w:p>
    <w:p w14:paraId="5C534E9F" w14:textId="77777777" w:rsidR="003D2A86" w:rsidRPr="0007679B" w:rsidRDefault="003D2A86" w:rsidP="00010CB0">
      <w:pPr>
        <w:pStyle w:val="ListParagraph"/>
        <w:keepNext/>
        <w:numPr>
          <w:ilvl w:val="0"/>
          <w:numId w:val="35"/>
        </w:numPr>
        <w:ind w:left="0"/>
      </w:pPr>
      <w:r>
        <w:t>By e</w:t>
      </w:r>
      <w:r w:rsidRPr="0007679B">
        <w:t>nhancing relationships among public and private service providers.</w:t>
      </w:r>
    </w:p>
    <w:p w14:paraId="02FC11C4" w14:textId="77777777" w:rsidR="003D2A86" w:rsidRPr="0007679B" w:rsidRDefault="003D2A86" w:rsidP="00010CB0">
      <w:pPr>
        <w:pStyle w:val="ListParagraph"/>
        <w:keepNext/>
        <w:numPr>
          <w:ilvl w:val="0"/>
          <w:numId w:val="35"/>
        </w:numPr>
        <w:ind w:left="0"/>
      </w:pPr>
      <w:r>
        <w:t>By s</w:t>
      </w:r>
      <w:r w:rsidRPr="0007679B">
        <w:t xml:space="preserve">trengthening families, which strengthens communities.   </w:t>
      </w:r>
    </w:p>
    <w:p w14:paraId="1B42442D" w14:textId="77777777" w:rsidR="003D2A86" w:rsidRPr="003D2A86" w:rsidRDefault="003D2A86" w:rsidP="003D2A86">
      <w:pPr>
        <w:pStyle w:val="ListParagraph"/>
        <w:numPr>
          <w:ilvl w:val="0"/>
          <w:numId w:val="35"/>
        </w:numPr>
        <w:ind w:left="0"/>
        <w:rPr>
          <w:szCs w:val="20"/>
        </w:rPr>
      </w:pPr>
      <w:r w:rsidRPr="003D2A86">
        <w:rPr>
          <w:szCs w:val="20"/>
        </w:rPr>
        <w:t>By extending the reach of limited resources within a community.</w:t>
      </w:r>
      <w:r w:rsidRPr="003D2A86">
        <w:rPr>
          <w:szCs w:val="20"/>
          <w:vertAlign w:val="superscript"/>
        </w:rPr>
        <w:endnoteReference w:id="8"/>
      </w:r>
      <w:r w:rsidRPr="003D2A86">
        <w:rPr>
          <w:szCs w:val="20"/>
        </w:rPr>
        <w:t xml:space="preserve">  </w:t>
      </w:r>
    </w:p>
    <w:p w14:paraId="15AB53EA" w14:textId="77777777" w:rsidR="003D2A86" w:rsidRPr="003D2A86" w:rsidRDefault="003D2A86" w:rsidP="003D2A86">
      <w:pPr>
        <w:ind w:left="144"/>
        <w:rPr>
          <w:sz w:val="24"/>
        </w:rPr>
      </w:pPr>
    </w:p>
    <w:p w14:paraId="0CA2DB07" w14:textId="6D3129D1" w:rsidR="003D2A86" w:rsidRDefault="003D2A86" w:rsidP="003D2A86">
      <w:pPr>
        <w:ind w:left="-720"/>
      </w:pPr>
      <w:r w:rsidRPr="003D2A86">
        <w:t>As more communities recognize the relevance and value of case review MDTs, the number of elder abuse victims benefiting from services will increase, and communities will become safer for older Americans.</w:t>
      </w:r>
      <w:r w:rsidR="000C7C65" w:rsidRPr="000C7C65">
        <w:t xml:space="preserve"> </w:t>
      </w:r>
      <w:r w:rsidR="000C7C65">
        <w:t xml:space="preserve">To learn more, visit </w:t>
      </w:r>
      <w:hyperlink r:id="rId7" w:history="1">
        <w:r w:rsidR="000C7C65" w:rsidRPr="00F54A8F">
          <w:rPr>
            <w:rStyle w:val="Hyperlink"/>
          </w:rPr>
          <w:t>https://www.justice.gov/elderjustice/mdt-toolkit</w:t>
        </w:r>
      </w:hyperlink>
      <w:r w:rsidR="000C7C65">
        <w:t xml:space="preserve">. </w:t>
      </w:r>
    </w:p>
    <w:p w14:paraId="1D553FF6" w14:textId="77777777" w:rsidR="0034273C" w:rsidRDefault="0034273C" w:rsidP="003D2A86">
      <w:pPr>
        <w:ind w:hanging="720"/>
      </w:pPr>
    </w:p>
    <w:p w14:paraId="6A839243" w14:textId="0D64E915" w:rsidR="0034273C" w:rsidRPr="00B74A9E" w:rsidRDefault="0034273C" w:rsidP="003D2A86">
      <w:pPr>
        <w:ind w:hanging="720"/>
        <w:rPr>
          <w:rFonts w:ascii="Arial" w:hAnsi="Arial" w:cs="Arial"/>
          <w:sz w:val="28"/>
        </w:rPr>
      </w:pPr>
      <w:r w:rsidRPr="00B74A9E">
        <w:rPr>
          <w:rFonts w:ascii="Arial" w:hAnsi="Arial" w:cs="Arial"/>
          <w:sz w:val="28"/>
        </w:rPr>
        <w:t>MANAGING EXPECTATIONS</w:t>
      </w:r>
    </w:p>
    <w:p w14:paraId="548F02A2" w14:textId="77777777" w:rsidR="0034273C" w:rsidRDefault="0034273C" w:rsidP="003D2A86">
      <w:pPr>
        <w:ind w:hanging="720"/>
      </w:pPr>
    </w:p>
    <w:p w14:paraId="72865128" w14:textId="7018D548" w:rsidR="003D2A86" w:rsidRPr="0007679B" w:rsidRDefault="0034273C" w:rsidP="003D2A86">
      <w:pPr>
        <w:ind w:hanging="720"/>
        <w:rPr>
          <w:b/>
        </w:rPr>
      </w:pPr>
      <w:r w:rsidRPr="00B74A9E">
        <w:t>Expectations for</w:t>
      </w:r>
      <w:r>
        <w:rPr>
          <w:b/>
        </w:rPr>
        <w:t xml:space="preserve"> </w:t>
      </w:r>
      <w:r w:rsidRPr="00B74A9E">
        <w:t>y</w:t>
      </w:r>
      <w:r w:rsidR="003D2A86" w:rsidRPr="0007679B">
        <w:t xml:space="preserve">our </w:t>
      </w:r>
      <w:r>
        <w:t>o</w:t>
      </w:r>
      <w:r w:rsidRPr="0007679B">
        <w:t xml:space="preserve">rganization’s </w:t>
      </w:r>
      <w:r>
        <w:t>r</w:t>
      </w:r>
      <w:r w:rsidRPr="0007679B">
        <w:t xml:space="preserve">epresentative </w:t>
      </w:r>
      <w:r w:rsidR="003D2A86" w:rsidRPr="0007679B">
        <w:t>on the MDT</w:t>
      </w:r>
      <w:r w:rsidR="00B5521E">
        <w:t xml:space="preserve"> include</w:t>
      </w:r>
      <w:r w:rsidR="003D2A86">
        <w:t xml:space="preserve">: </w:t>
      </w:r>
      <w:r w:rsidR="003D2A86" w:rsidRPr="0007679B">
        <w:rPr>
          <w:b/>
        </w:rPr>
        <w:t xml:space="preserve">  </w:t>
      </w:r>
    </w:p>
    <w:p w14:paraId="5E23F6D7" w14:textId="77777777" w:rsidR="003D2A86" w:rsidRPr="0007679B" w:rsidRDefault="003D2A86" w:rsidP="003D2A86">
      <w:pPr>
        <w:pStyle w:val="ListParagraph"/>
        <w:numPr>
          <w:ilvl w:val="0"/>
          <w:numId w:val="37"/>
        </w:numPr>
        <w:ind w:left="0"/>
      </w:pPr>
      <w:r>
        <w:t>A</w:t>
      </w:r>
      <w:r w:rsidRPr="0007679B">
        <w:t xml:space="preserve"> memorandum of understanding that outlines procedures and legal and ethical issues</w:t>
      </w:r>
      <w:r>
        <w:t xml:space="preserve"> will be signed by your organization’s authorized representative.</w:t>
      </w:r>
    </w:p>
    <w:p w14:paraId="24C1915D" w14:textId="77777777" w:rsidR="003D2A86" w:rsidRDefault="003D2A86" w:rsidP="003D2A86">
      <w:pPr>
        <w:pStyle w:val="ListParagraph"/>
        <w:numPr>
          <w:ilvl w:val="0"/>
          <w:numId w:val="37"/>
        </w:numPr>
        <w:ind w:left="0"/>
      </w:pPr>
      <w:r w:rsidRPr="0007679B">
        <w:t xml:space="preserve">Your organization’s </w:t>
      </w:r>
      <w:r>
        <w:t>representative on the MDT will:</w:t>
      </w:r>
    </w:p>
    <w:p w14:paraId="30F26EE8" w14:textId="6367246B" w:rsidR="003D2A86" w:rsidRPr="0007679B" w:rsidRDefault="003D2A86" w:rsidP="003D2A86">
      <w:pPr>
        <w:pStyle w:val="ListParagraph"/>
        <w:numPr>
          <w:ilvl w:val="1"/>
          <w:numId w:val="37"/>
        </w:numPr>
        <w:ind w:left="360"/>
      </w:pPr>
      <w:r w:rsidRPr="0007679B">
        <w:t>attend</w:t>
      </w:r>
      <w:r>
        <w:t xml:space="preserve"> </w:t>
      </w:r>
      <w:r w:rsidRPr="0007679B">
        <w:t xml:space="preserve">an MDT </w:t>
      </w:r>
      <w:r w:rsidR="0034273C">
        <w:t>o</w:t>
      </w:r>
      <w:r w:rsidR="0034273C" w:rsidRPr="0007679B">
        <w:t xml:space="preserve">rientation </w:t>
      </w:r>
      <w:r w:rsidRPr="0007679B">
        <w:t>meeting</w:t>
      </w:r>
      <w:r>
        <w:t>;</w:t>
      </w:r>
    </w:p>
    <w:p w14:paraId="5F95971E" w14:textId="77777777" w:rsidR="003D2A86" w:rsidRDefault="003D2A86" w:rsidP="003D2A86">
      <w:pPr>
        <w:pStyle w:val="ListParagraph"/>
        <w:numPr>
          <w:ilvl w:val="1"/>
          <w:numId w:val="37"/>
        </w:numPr>
        <w:ind w:left="360"/>
      </w:pPr>
      <w:r>
        <w:t xml:space="preserve">attend and </w:t>
      </w:r>
      <w:r w:rsidRPr="0007679B">
        <w:t>actively participat</w:t>
      </w:r>
      <w:r>
        <w:t xml:space="preserve">e </w:t>
      </w:r>
      <w:r w:rsidRPr="0007679B">
        <w:t>in case review meetings</w:t>
      </w:r>
      <w:r>
        <w:t>; and</w:t>
      </w:r>
    </w:p>
    <w:p w14:paraId="08D335C4" w14:textId="77777777" w:rsidR="003D2A86" w:rsidRPr="00F474F7" w:rsidRDefault="003D2A86" w:rsidP="003D2A86">
      <w:pPr>
        <w:pStyle w:val="ListParagraph"/>
        <w:numPr>
          <w:ilvl w:val="1"/>
          <w:numId w:val="37"/>
        </w:numPr>
        <w:ind w:left="360"/>
      </w:pPr>
      <w:r>
        <w:t xml:space="preserve">be </w:t>
      </w:r>
      <w:r w:rsidRPr="00F474F7">
        <w:t xml:space="preserve">available to consult with </w:t>
      </w:r>
      <w:r>
        <w:t xml:space="preserve">other team members </w:t>
      </w:r>
      <w:r w:rsidRPr="00F474F7">
        <w:t>(by phone</w:t>
      </w:r>
      <w:r>
        <w:t xml:space="preserve"> or email</w:t>
      </w:r>
      <w:r w:rsidRPr="00F474F7">
        <w:t>) outside of case review meeting</w:t>
      </w:r>
      <w:r>
        <w:t>s.</w:t>
      </w:r>
    </w:p>
    <w:p w14:paraId="17DF7488" w14:textId="77777777" w:rsidR="003D2A86" w:rsidRPr="003D2A86" w:rsidRDefault="003D2A86" w:rsidP="003D2A86"/>
    <w:p w14:paraId="38C7F5E3" w14:textId="63A3B52B" w:rsidR="003D2A86" w:rsidRDefault="0034273C" w:rsidP="003D2A86">
      <w:pPr>
        <w:ind w:hanging="720"/>
      </w:pPr>
      <w:r w:rsidRPr="00B74A9E">
        <w:t>What</w:t>
      </w:r>
      <w:r>
        <w:rPr>
          <w:b/>
        </w:rPr>
        <w:t xml:space="preserve"> y</w:t>
      </w:r>
      <w:r w:rsidR="003D2A86">
        <w:t xml:space="preserve">ou </w:t>
      </w:r>
      <w:r>
        <w:t xml:space="preserve">can expect </w:t>
      </w:r>
      <w:r w:rsidR="003D2A86">
        <w:t xml:space="preserve">from </w:t>
      </w:r>
      <w:r>
        <w:t>us</w:t>
      </w:r>
      <w:r w:rsidR="003D2A86">
        <w:t>:</w:t>
      </w:r>
    </w:p>
    <w:p w14:paraId="0CB9BDEF" w14:textId="77777777" w:rsidR="00E2301F" w:rsidRPr="00E2301F" w:rsidRDefault="00E2301F" w:rsidP="00E2301F">
      <w:pPr>
        <w:pStyle w:val="ListParagraph"/>
        <w:numPr>
          <w:ilvl w:val="0"/>
          <w:numId w:val="38"/>
        </w:numPr>
        <w:ind w:left="0"/>
      </w:pPr>
      <w:r w:rsidRPr="00E2301F">
        <w:t xml:space="preserve">A recurring and predictable meeting schedule in which the team meets [monthly/weekly] at [location] for approximately [1.5 </w:t>
      </w:r>
      <w:proofErr w:type="spellStart"/>
      <w:r w:rsidRPr="00E2301F">
        <w:t>hrs</w:t>
      </w:r>
      <w:proofErr w:type="spellEnd"/>
      <w:r w:rsidRPr="00E2301F">
        <w:t>].</w:t>
      </w:r>
    </w:p>
    <w:p w14:paraId="27F72E24" w14:textId="1DA35F48" w:rsidR="003D2A86" w:rsidRPr="0007679B" w:rsidRDefault="003D2A86" w:rsidP="003D2A86">
      <w:pPr>
        <w:pStyle w:val="ListParagraph"/>
        <w:numPr>
          <w:ilvl w:val="0"/>
          <w:numId w:val="38"/>
        </w:numPr>
        <w:ind w:left="0"/>
      </w:pPr>
      <w:r>
        <w:t>The c</w:t>
      </w:r>
      <w:r w:rsidRPr="0007679B">
        <w:t>ase review meeting agenda</w:t>
      </w:r>
      <w:r>
        <w:t xml:space="preserve"> </w:t>
      </w:r>
      <w:r w:rsidR="00C93251">
        <w:t xml:space="preserve">that </w:t>
      </w:r>
      <w:r>
        <w:t xml:space="preserve">will be faxed to members </w:t>
      </w:r>
      <w:r w:rsidRPr="0007679B">
        <w:t>the Friday before the scheduled meeting</w:t>
      </w:r>
      <w:r>
        <w:t xml:space="preserve"> to ensure members come prepared to discuss cases.</w:t>
      </w:r>
    </w:p>
    <w:p w14:paraId="554FF594" w14:textId="77777777" w:rsidR="003D2A86" w:rsidRPr="0007679B" w:rsidRDefault="003D2A86" w:rsidP="003D2A86">
      <w:pPr>
        <w:pStyle w:val="ListParagraph"/>
        <w:numPr>
          <w:ilvl w:val="0"/>
          <w:numId w:val="38"/>
        </w:numPr>
        <w:ind w:left="0"/>
      </w:pPr>
      <w:r>
        <w:t xml:space="preserve">A semi-formal case review meeting led by </w:t>
      </w:r>
      <w:r w:rsidRPr="0007679B">
        <w:t>[name]</w:t>
      </w:r>
      <w:r>
        <w:t>.</w:t>
      </w:r>
    </w:p>
    <w:p w14:paraId="453FFE40" w14:textId="77777777" w:rsidR="00216C3B" w:rsidRPr="0007679B" w:rsidRDefault="00216C3B" w:rsidP="00216C3B"/>
    <w:p w14:paraId="470BD59A" w14:textId="14D99C4A" w:rsidR="003D2A86" w:rsidRDefault="003D2A86" w:rsidP="003D2A86">
      <w:pPr>
        <w:ind w:left="-720"/>
      </w:pPr>
      <w:r>
        <w:t xml:space="preserve">In closing, we would like to thank you for taking the time to learn about our elder abuse case review MDT.  We hope we have provided you with adequate background material to evaluate the pros and cons of becoming a member of our team.  Please feel free to reach out with additional thoughts or questions, as we intend for this process to be as collaborative as possible.  </w:t>
      </w:r>
    </w:p>
    <w:p w14:paraId="3DF3CF8B" w14:textId="7B4D8770" w:rsidR="003D2A86" w:rsidRDefault="003D2A86" w:rsidP="003D2A86">
      <w:pPr>
        <w:ind w:left="-720"/>
      </w:pPr>
      <w:r>
        <w:t>We look forward to hearing your thoughts.</w:t>
      </w:r>
    </w:p>
    <w:p w14:paraId="4D6DD81E" w14:textId="77777777" w:rsidR="003D2A86" w:rsidRDefault="003D2A86" w:rsidP="003D2A86">
      <w:pPr>
        <w:ind w:left="-720"/>
      </w:pPr>
      <w:r>
        <w:t>Sincerely,</w:t>
      </w:r>
    </w:p>
    <w:p w14:paraId="0A08E1D3" w14:textId="77777777" w:rsidR="003D2A86" w:rsidRDefault="003D2A86" w:rsidP="003D2A86">
      <w:pPr>
        <w:ind w:left="-720"/>
      </w:pPr>
    </w:p>
    <w:p w14:paraId="72E29420" w14:textId="436E7862" w:rsidR="003D2A86" w:rsidRPr="00FD3E83" w:rsidRDefault="003D2A86" w:rsidP="003D2A86">
      <w:pPr>
        <w:ind w:left="-720"/>
      </w:pPr>
      <w:r>
        <w:t>Name</w:t>
      </w:r>
      <w:r>
        <w:br/>
        <w:t>Title</w:t>
      </w:r>
      <w:r>
        <w:br/>
        <w:t>Organization</w:t>
      </w:r>
      <w:r>
        <w:br/>
        <w:t xml:space="preserve">Contact information </w:t>
      </w:r>
    </w:p>
    <w:p w14:paraId="0916CB8E" w14:textId="1CE8D3C2" w:rsidR="00CA190F" w:rsidRPr="001150F6" w:rsidRDefault="00F758D9" w:rsidP="006D4955">
      <w:pPr>
        <w:pStyle w:val="Heading1"/>
      </w:pPr>
      <w:r>
        <w:br w:type="page"/>
      </w:r>
      <w:bookmarkStart w:id="1" w:name="_Toc353533963"/>
      <w:r w:rsidR="00BF414C">
        <w:t>End Notes</w:t>
      </w:r>
      <w:bookmarkEnd w:id="1"/>
    </w:p>
    <w:sectPr w:rsidR="00CA190F" w:rsidRPr="001150F6" w:rsidSect="00337F71">
      <w:headerReference w:type="even" r:id="rId8"/>
      <w:headerReference w:type="default" r:id="rId9"/>
      <w:footerReference w:type="default" r:id="rId10"/>
      <w:headerReference w:type="first" r:id="rId11"/>
      <w:footerReference w:type="first" r:id="rId12"/>
      <w:type w:val="continuous"/>
      <w:pgSz w:w="12240" w:h="15840"/>
      <w:pgMar w:top="1440" w:right="806" w:bottom="1440" w:left="1440" w:header="144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024C" w14:textId="77777777" w:rsidR="00BD05A7" w:rsidRDefault="00BD05A7" w:rsidP="00911380">
      <w:pPr>
        <w:spacing w:after="0" w:line="240" w:lineRule="auto"/>
      </w:pPr>
      <w:r>
        <w:separator/>
      </w:r>
    </w:p>
  </w:endnote>
  <w:endnote w:type="continuationSeparator" w:id="0">
    <w:p w14:paraId="30F940E1" w14:textId="77777777" w:rsidR="00BD05A7" w:rsidRDefault="00BD05A7" w:rsidP="00911380">
      <w:pPr>
        <w:spacing w:after="0" w:line="240" w:lineRule="auto"/>
      </w:pPr>
      <w:r>
        <w:continuationSeparator/>
      </w:r>
    </w:p>
  </w:endnote>
  <w:endnote w:id="1">
    <w:p w14:paraId="2F7B566F" w14:textId="40692027" w:rsidR="00BD05A7" w:rsidRPr="00DF5975" w:rsidRDefault="00BD05A7" w:rsidP="00CE1203">
      <w:pPr>
        <w:ind w:left="-720"/>
      </w:pPr>
      <w:r w:rsidRPr="00DF5975">
        <w:rPr>
          <w:rStyle w:val="EndnoteReference"/>
          <w:rFonts w:cs="Calibri"/>
        </w:rPr>
        <w:endnoteRef/>
      </w:r>
      <w:r w:rsidRPr="00DF5975">
        <w:t xml:space="preserve"> </w:t>
      </w:r>
      <w:proofErr w:type="spellStart"/>
      <w:r w:rsidRPr="00DF5975">
        <w:t>Anetzberger</w:t>
      </w:r>
      <w:proofErr w:type="spellEnd"/>
      <w:r w:rsidRPr="00DF5975">
        <w:t xml:space="preserve">, G. J. (2017). Elder </w:t>
      </w:r>
      <w:r>
        <w:t>a</w:t>
      </w:r>
      <w:r w:rsidRPr="00DF5975">
        <w:t xml:space="preserve">buse </w:t>
      </w:r>
      <w:r>
        <w:t>m</w:t>
      </w:r>
      <w:r w:rsidRPr="00DF5975">
        <w:t xml:space="preserve">ultidisciplinary </w:t>
      </w:r>
      <w:r>
        <w:t>t</w:t>
      </w:r>
      <w:r w:rsidRPr="00DF5975">
        <w:t xml:space="preserve">eams. In </w:t>
      </w:r>
      <w:r w:rsidRPr="00B74A9E">
        <w:rPr>
          <w:i/>
        </w:rPr>
        <w:t>Elder Abuse</w:t>
      </w:r>
      <w:r w:rsidRPr="00DF5975">
        <w:t xml:space="preserve"> (pp. 417-432). Springer International Publishing.</w:t>
      </w:r>
    </w:p>
  </w:endnote>
  <w:endnote w:id="2">
    <w:p w14:paraId="6539B64D" w14:textId="57574193" w:rsidR="00BD05A7" w:rsidRPr="0007679B" w:rsidRDefault="00BD05A7" w:rsidP="00CE1203">
      <w:pPr>
        <w:ind w:left="-720"/>
      </w:pPr>
      <w:r w:rsidRPr="0007679B">
        <w:rPr>
          <w:rStyle w:val="EndnoteReference"/>
          <w:rFonts w:cs="Calibri"/>
        </w:rPr>
        <w:endnoteRef/>
      </w:r>
      <w:r w:rsidRPr="0007679B">
        <w:t xml:space="preserve"> Navarro, A. E., </w:t>
      </w:r>
      <w:proofErr w:type="spellStart"/>
      <w:r w:rsidRPr="0007679B">
        <w:t>Gassoumis</w:t>
      </w:r>
      <w:proofErr w:type="spellEnd"/>
      <w:r w:rsidRPr="0007679B">
        <w:t xml:space="preserve">, Z. D., &amp; Wilber, K. H. (2012). Holding abusers accountable: An elder abuse forensic center increases criminal prosecution of financial exploitation. </w:t>
      </w:r>
      <w:r w:rsidRPr="00B74A9E">
        <w:rPr>
          <w:i/>
        </w:rPr>
        <w:t>The Gerontologist</w:t>
      </w:r>
      <w:r w:rsidRPr="0007679B">
        <w:t>, 53(2), 303-312.</w:t>
      </w:r>
    </w:p>
  </w:endnote>
  <w:endnote w:id="3">
    <w:p w14:paraId="75B1E8D4" w14:textId="6589143A" w:rsidR="00BD05A7" w:rsidRPr="0007679B" w:rsidRDefault="00BD05A7" w:rsidP="00CE1203">
      <w:pPr>
        <w:ind w:left="-720"/>
      </w:pPr>
      <w:r w:rsidRPr="0007679B">
        <w:rPr>
          <w:rStyle w:val="EndnoteReference"/>
          <w:rFonts w:cs="Calibri"/>
        </w:rPr>
        <w:endnoteRef/>
      </w:r>
      <w:r w:rsidRPr="0007679B">
        <w:t xml:space="preserve"> </w:t>
      </w:r>
      <w:proofErr w:type="spellStart"/>
      <w:r w:rsidRPr="0007679B">
        <w:t>Alon</w:t>
      </w:r>
      <w:proofErr w:type="spellEnd"/>
      <w:r w:rsidRPr="0007679B">
        <w:t xml:space="preserve">, S., &amp; Berg-Warman, A. (20143). Treatment and prevention of elder abuse and neglect: Where knowledge and practice meet—A model for intervention to prevent and treat elder abuse in Israel. </w:t>
      </w:r>
      <w:r w:rsidRPr="00B74A9E">
        <w:rPr>
          <w:i/>
        </w:rPr>
        <w:t>Journal of Elder Abuse &amp; Neglect</w:t>
      </w:r>
      <w:r w:rsidRPr="0007679B">
        <w:t>, 26(2), 150-171. doi:10.1080/08946566.2013.784087</w:t>
      </w:r>
    </w:p>
  </w:endnote>
  <w:endnote w:id="4">
    <w:p w14:paraId="453E0B6B" w14:textId="77777777" w:rsidR="00BD05A7" w:rsidRPr="0007679B" w:rsidRDefault="00BD05A7" w:rsidP="00010CB0">
      <w:pPr>
        <w:ind w:left="-720"/>
      </w:pPr>
      <w:r w:rsidRPr="0007679B">
        <w:rPr>
          <w:rStyle w:val="EndnoteReference"/>
          <w:rFonts w:cs="Calibri"/>
        </w:rPr>
        <w:endnoteRef/>
      </w:r>
      <w:r w:rsidRPr="0007679B">
        <w:t xml:space="preserve"> </w:t>
      </w:r>
      <w:proofErr w:type="spellStart"/>
      <w:r w:rsidRPr="0007679B">
        <w:t>Kistin</w:t>
      </w:r>
      <w:proofErr w:type="spellEnd"/>
      <w:r w:rsidRPr="0007679B">
        <w:t xml:space="preserve">, C., Tien, I., </w:t>
      </w:r>
      <w:proofErr w:type="spellStart"/>
      <w:r w:rsidRPr="0007679B">
        <w:t>Bauchner</w:t>
      </w:r>
      <w:proofErr w:type="spellEnd"/>
      <w:r w:rsidRPr="0007679B">
        <w:t xml:space="preserve">, H., Parker, V., &amp; Leventhal, J. M. (2010). Factors that influence the effectiveness of child protection teams. </w:t>
      </w:r>
      <w:r w:rsidRPr="0007679B">
        <w:rPr>
          <w:i/>
        </w:rPr>
        <w:t>Pediatrics, 126</w:t>
      </w:r>
      <w:r w:rsidRPr="0007679B">
        <w:t>, 94-100. (1), 94-100. doi:1</w:t>
      </w:r>
      <w:hyperlink r:id="rId1" w:tgtFrame="_blank" w:history="1">
        <w:r w:rsidRPr="0007679B">
          <w:t>0.1542/peds.2009-3446</w:t>
        </w:r>
      </w:hyperlink>
    </w:p>
  </w:endnote>
  <w:endnote w:id="5">
    <w:p w14:paraId="635A3B08" w14:textId="1D5F7BF1" w:rsidR="00BD05A7" w:rsidRPr="0007679B" w:rsidRDefault="00BD05A7" w:rsidP="00010CB0">
      <w:pPr>
        <w:ind w:left="-720"/>
      </w:pPr>
      <w:r w:rsidRPr="0007679B">
        <w:rPr>
          <w:rStyle w:val="EndnoteReference"/>
          <w:rFonts w:cs="Calibri"/>
        </w:rPr>
        <w:endnoteRef/>
      </w:r>
      <w:r w:rsidRPr="0007679B">
        <w:t xml:space="preserve"> Conroy, C., &amp; D. E. Logan (2014). Pediatric multidisciplinary and interdisciplinary teams and interventions. In M. C. Roberts, B. S. </w:t>
      </w:r>
      <w:proofErr w:type="spellStart"/>
      <w:r w:rsidRPr="0007679B">
        <w:t>Aylward</w:t>
      </w:r>
      <w:proofErr w:type="spellEnd"/>
      <w:r w:rsidRPr="0007679B">
        <w:t xml:space="preserve">, &amp; Y. P. Wu (Eds.), </w:t>
      </w:r>
      <w:r w:rsidRPr="0007679B">
        <w:rPr>
          <w:i/>
        </w:rPr>
        <w:t xml:space="preserve">Clinical </w:t>
      </w:r>
      <w:r>
        <w:rPr>
          <w:i/>
        </w:rPr>
        <w:t>p</w:t>
      </w:r>
      <w:r w:rsidRPr="0007679B">
        <w:rPr>
          <w:i/>
        </w:rPr>
        <w:t xml:space="preserve">ractice of </w:t>
      </w:r>
      <w:r>
        <w:rPr>
          <w:i/>
        </w:rPr>
        <w:t>p</w:t>
      </w:r>
      <w:r w:rsidRPr="0007679B">
        <w:rPr>
          <w:i/>
        </w:rPr>
        <w:t xml:space="preserve">ediatric </w:t>
      </w:r>
      <w:r>
        <w:rPr>
          <w:i/>
        </w:rPr>
        <w:t>p</w:t>
      </w:r>
      <w:r w:rsidRPr="0007679B">
        <w:rPr>
          <w:i/>
        </w:rPr>
        <w:t>sychology</w:t>
      </w:r>
      <w:r w:rsidRPr="0007679B">
        <w:t xml:space="preserve"> (pp. 93-108). New York, NY: Guilford.; Quinn, M. J., &amp; </w:t>
      </w:r>
      <w:proofErr w:type="spellStart"/>
      <w:r w:rsidRPr="0007679B">
        <w:t>Heisler</w:t>
      </w:r>
      <w:proofErr w:type="spellEnd"/>
      <w:r w:rsidRPr="0007679B">
        <w:t xml:space="preserve">, C. J. (2002). The legal response to elder abuse and neglect. </w:t>
      </w:r>
      <w:r w:rsidRPr="0007679B">
        <w:rPr>
          <w:i/>
        </w:rPr>
        <w:t>Journal of Elder Abuse &amp; Neglect. 14</w:t>
      </w:r>
      <w:r w:rsidRPr="0007679B">
        <w:t>(1), 61-77. doi:10.1300/J084v14n01_04</w:t>
      </w:r>
    </w:p>
  </w:endnote>
  <w:endnote w:id="6">
    <w:p w14:paraId="17978F61" w14:textId="74672E74" w:rsidR="00BD05A7" w:rsidRPr="0007679B" w:rsidRDefault="00BD05A7" w:rsidP="00010CB0">
      <w:pPr>
        <w:ind w:left="-720"/>
      </w:pPr>
      <w:r w:rsidRPr="0007679B">
        <w:rPr>
          <w:rStyle w:val="EndnoteReference"/>
          <w:rFonts w:cs="Calibri"/>
        </w:rPr>
        <w:endnoteRef/>
      </w:r>
      <w:r w:rsidRPr="0007679B">
        <w:t xml:space="preserve"> </w:t>
      </w:r>
      <w:proofErr w:type="spellStart"/>
      <w:r w:rsidRPr="0007679B">
        <w:t>Nack</w:t>
      </w:r>
      <w:proofErr w:type="spellEnd"/>
      <w:r w:rsidRPr="0007679B">
        <w:t xml:space="preserve">, J. R., Dessin, C. L., &amp; Swift, T. (2012). Creating and sustaining interdisciplinary guardianship committees. </w:t>
      </w:r>
      <w:r w:rsidRPr="0007679B">
        <w:rPr>
          <w:i/>
        </w:rPr>
        <w:t xml:space="preserve">Utah Law Review, </w:t>
      </w:r>
      <w:r w:rsidRPr="0007679B">
        <w:t>3, 1667-1690.</w:t>
      </w:r>
    </w:p>
  </w:endnote>
  <w:endnote w:id="7">
    <w:p w14:paraId="583E4020" w14:textId="77777777" w:rsidR="00BD05A7" w:rsidRPr="0007679B" w:rsidRDefault="00BD05A7" w:rsidP="00010CB0">
      <w:pPr>
        <w:ind w:left="-720"/>
      </w:pPr>
      <w:r w:rsidRPr="0007679B">
        <w:rPr>
          <w:rStyle w:val="EndnoteReference"/>
          <w:rFonts w:cs="Calibri"/>
        </w:rPr>
        <w:endnoteRef/>
      </w:r>
      <w:r w:rsidRPr="0007679B">
        <w:t xml:space="preserve"> Roberto, K. A., </w:t>
      </w:r>
      <w:proofErr w:type="spellStart"/>
      <w:r w:rsidRPr="0007679B">
        <w:t>Teaster</w:t>
      </w:r>
      <w:proofErr w:type="spellEnd"/>
      <w:r w:rsidRPr="0007679B">
        <w:t xml:space="preserve">, P. B., McPherson, M. C., Mancini, J. A. &amp; </w:t>
      </w:r>
      <w:proofErr w:type="spellStart"/>
      <w:r w:rsidRPr="0007679B">
        <w:t>Savla</w:t>
      </w:r>
      <w:proofErr w:type="spellEnd"/>
      <w:r w:rsidRPr="0007679B">
        <w:t xml:space="preserve">, J., (2013). A community capacity framework for enhancing a criminal justice response to elder abuse. </w:t>
      </w:r>
      <w:r w:rsidRPr="0007679B">
        <w:rPr>
          <w:i/>
        </w:rPr>
        <w:t>Journal of Crime and Delinquency,</w:t>
      </w:r>
      <w:r w:rsidRPr="0007679B">
        <w:t xml:space="preserve"> </w:t>
      </w:r>
      <w:r w:rsidRPr="0007679B">
        <w:rPr>
          <w:i/>
        </w:rPr>
        <w:t>38</w:t>
      </w:r>
      <w:r w:rsidRPr="0007679B">
        <w:t>(1), 9-26. doi:10.1080/0735648X.2013.804286</w:t>
      </w:r>
    </w:p>
  </w:endnote>
  <w:endnote w:id="8">
    <w:p w14:paraId="672EEAEF" w14:textId="3015349D" w:rsidR="00BD05A7" w:rsidRPr="00F97854" w:rsidRDefault="00BD05A7" w:rsidP="00010CB0">
      <w:pPr>
        <w:ind w:left="-720"/>
      </w:pPr>
      <w:r w:rsidRPr="0007679B">
        <w:rPr>
          <w:rStyle w:val="EndnoteReference"/>
          <w:rFonts w:ascii="Calibri" w:hAnsi="Calibri" w:cs="Calibri"/>
          <w:szCs w:val="20"/>
        </w:rPr>
        <w:endnoteRef/>
      </w:r>
      <w:r w:rsidRPr="0007679B">
        <w:rPr>
          <w:rFonts w:ascii="Calibri" w:hAnsi="Calibri"/>
          <w:szCs w:val="20"/>
        </w:rPr>
        <w:t xml:space="preserve"> </w:t>
      </w:r>
      <w:r w:rsidRPr="00B74A9E">
        <w:rPr>
          <w:rFonts w:cs="Times New Roman"/>
          <w:szCs w:val="20"/>
        </w:rPr>
        <w:t xml:space="preserve">U.S. Department of Health and Human Services (2010). </w:t>
      </w:r>
      <w:r w:rsidRPr="00B74A9E">
        <w:rPr>
          <w:rFonts w:cs="Times New Roman"/>
          <w:i/>
          <w:szCs w:val="20"/>
        </w:rPr>
        <w:t>Community partnerships: Improving the response to child maltreatment</w:t>
      </w:r>
      <w:r w:rsidRPr="00B74A9E">
        <w:rPr>
          <w:rFonts w:cs="Times New Roman"/>
          <w:szCs w:val="20"/>
        </w:rPr>
        <w:t>.  Washington, DC: U.S. Department of Health and Human Services, Administration for Children and Families, Administration on Children, Youth and Families Children's Bureau, Office on Child Abuse and Neglect.</w:t>
      </w:r>
      <w:r>
        <w:rPr>
          <w:rFonts w:ascii="Calibri" w:hAnsi="Calibri"/>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ADAE" w14:textId="6E813C22" w:rsidR="00BD05A7" w:rsidRPr="00BF414C" w:rsidRDefault="00BD05A7" w:rsidP="006D4955">
    <w:pPr>
      <w:tabs>
        <w:tab w:val="left" w:pos="-90"/>
        <w:tab w:val="right" w:pos="9360"/>
      </w:tabs>
      <w:spacing w:after="0" w:line="240" w:lineRule="auto"/>
      <w:ind w:left="-360" w:firstLine="360"/>
      <w:jc w:val="center"/>
      <w:rPr>
        <w:rFonts w:eastAsia="Times New Roman" w:cs="Times New Roman"/>
        <w:color w:val="986E31"/>
        <w:szCs w:val="20"/>
      </w:rPr>
    </w:pPr>
    <w:r>
      <w:tab/>
    </w:r>
    <w:r>
      <w:rPr>
        <w:rStyle w:val="PageNumber"/>
      </w:rPr>
      <w:fldChar w:fldCharType="begin"/>
    </w:r>
    <w:r>
      <w:rPr>
        <w:rStyle w:val="PageNumber"/>
      </w:rPr>
      <w:instrText xml:space="preserve"> PAGE </w:instrText>
    </w:r>
    <w:r>
      <w:rPr>
        <w:rStyle w:val="PageNumber"/>
      </w:rPr>
      <w:fldChar w:fldCharType="separate"/>
    </w:r>
    <w:r w:rsidR="00F96EF4">
      <w:rPr>
        <w:rStyle w:val="PageNumber"/>
        <w:noProof/>
      </w:rPr>
      <w:t>2</w:t>
    </w:r>
    <w:r>
      <w:rPr>
        <w:rStyle w:val="PageNumber"/>
      </w:rPr>
      <w:fldChar w:fldCharType="end"/>
    </w:r>
    <w:r>
      <w:rPr>
        <w:rFonts w:eastAsia="Times New Roman" w:cs="Times New Roman"/>
        <w:b/>
        <w:bCs/>
        <w:color w:val="986E31"/>
        <w:szCs w:val="20"/>
      </w:rPr>
      <w:t xml:space="preserve">                                                                                                 </w:t>
    </w:r>
    <w:r w:rsidRPr="00CA190F">
      <w:rPr>
        <w:rFonts w:eastAsia="Times New Roman" w:cs="Times New Roman"/>
        <w:b/>
        <w:bCs/>
        <w:color w:val="986E31"/>
        <w:szCs w:val="20"/>
      </w:rPr>
      <w:t xml:space="preserve">ELDER ABUSE CASE REVIEW MDT </w:t>
    </w:r>
    <w:r>
      <w:rPr>
        <w:rFonts w:eastAsia="Times New Roman" w:cs="Times New Roman"/>
        <w:b/>
        <w:bCs/>
        <w:color w:val="986E31"/>
        <w:szCs w:val="20"/>
      </w:rPr>
      <w:t xml:space="preserve">TOOLKIT  </w:t>
    </w:r>
  </w:p>
  <w:p w14:paraId="32F1F863" w14:textId="34BD09F4" w:rsidR="00BD05A7" w:rsidRPr="00BF414C" w:rsidRDefault="00BD05A7" w:rsidP="006D4955">
    <w:pPr>
      <w:tabs>
        <w:tab w:val="left" w:pos="0"/>
        <w:tab w:val="left" w:pos="4320"/>
        <w:tab w:val="left" w:pos="4680"/>
      </w:tabs>
      <w:spacing w:after="0" w:line="240" w:lineRule="auto"/>
      <w:jc w:val="right"/>
      <w:rPr>
        <w:rFonts w:eastAsia="Times New Roman" w:cs="Times New Roman"/>
        <w:color w:val="986E31"/>
        <w:szCs w:val="20"/>
      </w:rPr>
    </w:pPr>
  </w:p>
  <w:p w14:paraId="0982BA87" w14:textId="6A2AF1F4" w:rsidR="00BD05A7" w:rsidRPr="00BF414C" w:rsidRDefault="00BD05A7" w:rsidP="004A456B">
    <w:pPr>
      <w:tabs>
        <w:tab w:val="left" w:pos="0"/>
        <w:tab w:val="left" w:pos="4320"/>
        <w:tab w:val="left" w:pos="4680"/>
      </w:tabs>
      <w:spacing w:after="0" w:line="240" w:lineRule="auto"/>
      <w:jc w:val="right"/>
      <w:rPr>
        <w:rFonts w:eastAsia="Times New Roman" w:cs="Times New Roman"/>
        <w:color w:val="986E31"/>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68E2" w14:textId="596FDD48" w:rsidR="00BD05A7" w:rsidRPr="006D4955" w:rsidRDefault="00BD05A7" w:rsidP="006D4955">
    <w:pPr>
      <w:tabs>
        <w:tab w:val="left" w:pos="-90"/>
        <w:tab w:val="right" w:pos="9360"/>
      </w:tabs>
      <w:spacing w:after="0" w:line="240" w:lineRule="auto"/>
      <w:ind w:left="-360" w:firstLine="360"/>
      <w:jc w:val="center"/>
      <w:rPr>
        <w:rFonts w:eastAsia="Times New Roman" w:cs="Times New Roman"/>
        <w:color w:val="986E31"/>
        <w:szCs w:val="20"/>
      </w:rPr>
    </w:pPr>
    <w:r>
      <w:rPr>
        <w:rStyle w:val="PageNumber"/>
      </w:rPr>
      <w:fldChar w:fldCharType="begin"/>
    </w:r>
    <w:r>
      <w:rPr>
        <w:rStyle w:val="PageNumber"/>
      </w:rPr>
      <w:instrText xml:space="preserve"> PAGE </w:instrText>
    </w:r>
    <w:r>
      <w:rPr>
        <w:rStyle w:val="PageNumber"/>
      </w:rPr>
      <w:fldChar w:fldCharType="separate"/>
    </w:r>
    <w:r w:rsidR="00F96EF4">
      <w:rPr>
        <w:rStyle w:val="PageNumber"/>
        <w:noProof/>
      </w:rPr>
      <w:t>1</w:t>
    </w:r>
    <w:r>
      <w:rPr>
        <w:rStyle w:val="PageNumber"/>
      </w:rPr>
      <w:fldChar w:fldCharType="end"/>
    </w:r>
    <w:r>
      <w:rPr>
        <w:rFonts w:eastAsia="Times New Roman" w:cs="Times New Roman"/>
        <w:b/>
        <w:bCs/>
        <w:color w:val="986E31"/>
        <w:szCs w:val="20"/>
      </w:rPr>
      <w:tab/>
    </w:r>
    <w:r w:rsidRPr="00CA190F">
      <w:rPr>
        <w:rFonts w:eastAsia="Times New Roman" w:cs="Times New Roman"/>
        <w:b/>
        <w:bCs/>
        <w:color w:val="986E31"/>
        <w:szCs w:val="20"/>
      </w:rPr>
      <w:t xml:space="preserve">ELDER ABUSE CASE REVIEW MDT </w:t>
    </w:r>
    <w:r>
      <w:rPr>
        <w:rFonts w:eastAsia="Times New Roman" w:cs="Times New Roman"/>
        <w:b/>
        <w:bCs/>
        <w:color w:val="986E31"/>
        <w:szCs w:val="20"/>
      </w:rPr>
      <w:t xml:space="preserve">TOOLKIT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49151" w14:textId="77777777" w:rsidR="00BD05A7" w:rsidRDefault="00BD05A7" w:rsidP="00911380">
      <w:pPr>
        <w:spacing w:after="0" w:line="240" w:lineRule="auto"/>
      </w:pPr>
      <w:r>
        <w:separator/>
      </w:r>
    </w:p>
  </w:footnote>
  <w:footnote w:type="continuationSeparator" w:id="0">
    <w:p w14:paraId="0B704B0C" w14:textId="77777777" w:rsidR="00BD05A7" w:rsidRDefault="00BD05A7" w:rsidP="009113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27B6A" w14:textId="77777777" w:rsidR="00BD05A7" w:rsidRDefault="00BD05A7" w:rsidP="00B000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0BA153" w14:textId="77777777" w:rsidR="00BD05A7" w:rsidRDefault="00BD05A7" w:rsidP="00B0007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C8A0" w14:textId="328BCB9F" w:rsidR="00BD05A7" w:rsidRDefault="00BD05A7" w:rsidP="00B00072">
    <w:pPr>
      <w:pStyle w:val="Header"/>
      <w:tabs>
        <w:tab w:val="clear" w:pos="9360"/>
      </w:tabs>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6FA2C" w14:textId="24BF73A2" w:rsidR="00BD05A7" w:rsidRDefault="00BD05A7" w:rsidP="00B0007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1BE4A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774ED4A"/>
    <w:lvl w:ilvl="0">
      <w:start w:val="1"/>
      <w:numFmt w:val="decimal"/>
      <w:lvlText w:val="%1."/>
      <w:lvlJc w:val="left"/>
      <w:pPr>
        <w:tabs>
          <w:tab w:val="num" w:pos="1800"/>
        </w:tabs>
        <w:ind w:left="1800" w:hanging="360"/>
      </w:pPr>
    </w:lvl>
  </w:abstractNum>
  <w:abstractNum w:abstractNumId="2">
    <w:nsid w:val="FFFFFF7D"/>
    <w:multiLevelType w:val="singleLevel"/>
    <w:tmpl w:val="B126A8E2"/>
    <w:lvl w:ilvl="0">
      <w:start w:val="1"/>
      <w:numFmt w:val="decimal"/>
      <w:lvlText w:val="%1."/>
      <w:lvlJc w:val="left"/>
      <w:pPr>
        <w:tabs>
          <w:tab w:val="num" w:pos="1440"/>
        </w:tabs>
        <w:ind w:left="1440" w:hanging="360"/>
      </w:pPr>
    </w:lvl>
  </w:abstractNum>
  <w:abstractNum w:abstractNumId="3">
    <w:nsid w:val="FFFFFF7E"/>
    <w:multiLevelType w:val="singleLevel"/>
    <w:tmpl w:val="6554BC52"/>
    <w:lvl w:ilvl="0">
      <w:start w:val="1"/>
      <w:numFmt w:val="decimal"/>
      <w:lvlText w:val="%1."/>
      <w:lvlJc w:val="left"/>
      <w:pPr>
        <w:tabs>
          <w:tab w:val="num" w:pos="1080"/>
        </w:tabs>
        <w:ind w:left="1080" w:hanging="360"/>
      </w:pPr>
    </w:lvl>
  </w:abstractNum>
  <w:abstractNum w:abstractNumId="4">
    <w:nsid w:val="FFFFFF7F"/>
    <w:multiLevelType w:val="singleLevel"/>
    <w:tmpl w:val="0648519E"/>
    <w:lvl w:ilvl="0">
      <w:start w:val="1"/>
      <w:numFmt w:val="decimal"/>
      <w:lvlText w:val="%1."/>
      <w:lvlJc w:val="left"/>
      <w:pPr>
        <w:tabs>
          <w:tab w:val="num" w:pos="720"/>
        </w:tabs>
        <w:ind w:left="720" w:hanging="360"/>
      </w:pPr>
    </w:lvl>
  </w:abstractNum>
  <w:abstractNum w:abstractNumId="5">
    <w:nsid w:val="FFFFFF80"/>
    <w:multiLevelType w:val="singleLevel"/>
    <w:tmpl w:val="F4261D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2C502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716A88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65C12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B9CBAAC"/>
    <w:lvl w:ilvl="0">
      <w:start w:val="1"/>
      <w:numFmt w:val="decimal"/>
      <w:lvlText w:val="%1."/>
      <w:lvlJc w:val="left"/>
      <w:pPr>
        <w:tabs>
          <w:tab w:val="num" w:pos="360"/>
        </w:tabs>
        <w:ind w:left="360" w:hanging="360"/>
      </w:pPr>
    </w:lvl>
  </w:abstractNum>
  <w:abstractNum w:abstractNumId="10">
    <w:nsid w:val="FFFFFF89"/>
    <w:multiLevelType w:val="singleLevel"/>
    <w:tmpl w:val="A8A41222"/>
    <w:lvl w:ilvl="0">
      <w:start w:val="1"/>
      <w:numFmt w:val="bullet"/>
      <w:lvlText w:val=""/>
      <w:lvlJc w:val="left"/>
      <w:pPr>
        <w:tabs>
          <w:tab w:val="num" w:pos="360"/>
        </w:tabs>
        <w:ind w:left="360" w:hanging="360"/>
      </w:pPr>
      <w:rPr>
        <w:rFonts w:ascii="Symbol" w:hAnsi="Symbol" w:hint="default"/>
      </w:rPr>
    </w:lvl>
  </w:abstractNum>
  <w:abstractNum w:abstractNumId="11">
    <w:nsid w:val="00660920"/>
    <w:multiLevelType w:val="hybridMultilevel"/>
    <w:tmpl w:val="746E1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903A5A"/>
    <w:multiLevelType w:val="hybridMultilevel"/>
    <w:tmpl w:val="8EFE2C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nsid w:val="02D00FF2"/>
    <w:multiLevelType w:val="hybridMultilevel"/>
    <w:tmpl w:val="B4DCEE1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nsid w:val="0AE94B7C"/>
    <w:multiLevelType w:val="hybridMultilevel"/>
    <w:tmpl w:val="3FA8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FF01DB"/>
    <w:multiLevelType w:val="hybridMultilevel"/>
    <w:tmpl w:val="A0242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93B2F93"/>
    <w:multiLevelType w:val="hybridMultilevel"/>
    <w:tmpl w:val="A1CA4D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1FA6679A"/>
    <w:multiLevelType w:val="hybridMultilevel"/>
    <w:tmpl w:val="8AAEC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34322D"/>
    <w:multiLevelType w:val="hybridMultilevel"/>
    <w:tmpl w:val="4EAED7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nsid w:val="249D57EA"/>
    <w:multiLevelType w:val="hybridMultilevel"/>
    <w:tmpl w:val="A146A422"/>
    <w:lvl w:ilvl="0" w:tplc="FDAE96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4B78AD"/>
    <w:multiLevelType w:val="hybridMultilevel"/>
    <w:tmpl w:val="980EFE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2F5D437F"/>
    <w:multiLevelType w:val="hybridMultilevel"/>
    <w:tmpl w:val="650C1D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33603880"/>
    <w:multiLevelType w:val="hybridMultilevel"/>
    <w:tmpl w:val="A1C8D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E04B8C"/>
    <w:multiLevelType w:val="hybridMultilevel"/>
    <w:tmpl w:val="FA8C77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3B9A5075"/>
    <w:multiLevelType w:val="hybridMultilevel"/>
    <w:tmpl w:val="DEACE6E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3F5E2D7E"/>
    <w:multiLevelType w:val="hybridMultilevel"/>
    <w:tmpl w:val="0B307B2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nsid w:val="49AC135B"/>
    <w:multiLevelType w:val="hybridMultilevel"/>
    <w:tmpl w:val="9596FF6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4C366FAD"/>
    <w:multiLevelType w:val="hybridMultilevel"/>
    <w:tmpl w:val="116473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4D92148D"/>
    <w:multiLevelType w:val="hybridMultilevel"/>
    <w:tmpl w:val="823E13D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nsid w:val="4E7523CE"/>
    <w:multiLevelType w:val="hybridMultilevel"/>
    <w:tmpl w:val="B21A0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FD068C"/>
    <w:multiLevelType w:val="hybridMultilevel"/>
    <w:tmpl w:val="AE5439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nsid w:val="526401C8"/>
    <w:multiLevelType w:val="hybridMultilevel"/>
    <w:tmpl w:val="F6384634"/>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nsid w:val="53BD3397"/>
    <w:multiLevelType w:val="hybridMultilevel"/>
    <w:tmpl w:val="B4AC9F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094800"/>
    <w:multiLevelType w:val="hybridMultilevel"/>
    <w:tmpl w:val="C32AA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2B6468"/>
    <w:multiLevelType w:val="hybridMultilevel"/>
    <w:tmpl w:val="5AEC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EF19E9"/>
    <w:multiLevelType w:val="hybridMultilevel"/>
    <w:tmpl w:val="6A4684F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6BFA28E6"/>
    <w:multiLevelType w:val="hybridMultilevel"/>
    <w:tmpl w:val="71F2E0D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nsid w:val="75AD4AE7"/>
    <w:multiLevelType w:val="hybridMultilevel"/>
    <w:tmpl w:val="7174FC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28"/>
  </w:num>
  <w:num w:numId="4">
    <w:abstractNumId w:val="23"/>
  </w:num>
  <w:num w:numId="5">
    <w:abstractNumId w:val="26"/>
  </w:num>
  <w:num w:numId="6">
    <w:abstractNumId w:val="32"/>
  </w:num>
  <w:num w:numId="7">
    <w:abstractNumId w:val="17"/>
  </w:num>
  <w:num w:numId="8">
    <w:abstractNumId w:val="11"/>
  </w:num>
  <w:num w:numId="9">
    <w:abstractNumId w:val="33"/>
  </w:num>
  <w:num w:numId="10">
    <w:abstractNumId w:val="15"/>
  </w:num>
  <w:num w:numId="11">
    <w:abstractNumId w:val="35"/>
  </w:num>
  <w:num w:numId="12">
    <w:abstractNumId w:val="21"/>
  </w:num>
  <w:num w:numId="13">
    <w:abstractNumId w:val="24"/>
  </w:num>
  <w:num w:numId="14">
    <w:abstractNumId w:val="36"/>
  </w:num>
  <w:num w:numId="15">
    <w:abstractNumId w:val="27"/>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20"/>
  </w:num>
  <w:num w:numId="28">
    <w:abstractNumId w:val="16"/>
  </w:num>
  <w:num w:numId="29">
    <w:abstractNumId w:val="19"/>
  </w:num>
  <w:num w:numId="30">
    <w:abstractNumId w:val="13"/>
  </w:num>
  <w:num w:numId="31">
    <w:abstractNumId w:val="34"/>
  </w:num>
  <w:num w:numId="32">
    <w:abstractNumId w:val="30"/>
  </w:num>
  <w:num w:numId="33">
    <w:abstractNumId w:val="25"/>
  </w:num>
  <w:num w:numId="34">
    <w:abstractNumId w:val="22"/>
  </w:num>
  <w:num w:numId="35">
    <w:abstractNumId w:val="18"/>
  </w:num>
  <w:num w:numId="36">
    <w:abstractNumId w:val="29"/>
  </w:num>
  <w:num w:numId="37">
    <w:abstractNumId w:val="3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80"/>
    <w:rsid w:val="00010CB0"/>
    <w:rsid w:val="000C7C65"/>
    <w:rsid w:val="001032C3"/>
    <w:rsid w:val="001150F6"/>
    <w:rsid w:val="00121A3B"/>
    <w:rsid w:val="00161FFC"/>
    <w:rsid w:val="00192937"/>
    <w:rsid w:val="001D3765"/>
    <w:rsid w:val="001E0D88"/>
    <w:rsid w:val="001F3289"/>
    <w:rsid w:val="00210B1A"/>
    <w:rsid w:val="00216C3B"/>
    <w:rsid w:val="00255386"/>
    <w:rsid w:val="002800C0"/>
    <w:rsid w:val="00287677"/>
    <w:rsid w:val="002C50C5"/>
    <w:rsid w:val="002D1AC3"/>
    <w:rsid w:val="00331BBC"/>
    <w:rsid w:val="00337F71"/>
    <w:rsid w:val="0034273C"/>
    <w:rsid w:val="00352E23"/>
    <w:rsid w:val="0036249D"/>
    <w:rsid w:val="00367D5A"/>
    <w:rsid w:val="003D2A86"/>
    <w:rsid w:val="003E0785"/>
    <w:rsid w:val="00406213"/>
    <w:rsid w:val="00413279"/>
    <w:rsid w:val="00431472"/>
    <w:rsid w:val="00441A33"/>
    <w:rsid w:val="00443EF0"/>
    <w:rsid w:val="004755EB"/>
    <w:rsid w:val="004A456B"/>
    <w:rsid w:val="004C4CAB"/>
    <w:rsid w:val="004E68B8"/>
    <w:rsid w:val="005068CF"/>
    <w:rsid w:val="00553B0A"/>
    <w:rsid w:val="00573B86"/>
    <w:rsid w:val="00577BB1"/>
    <w:rsid w:val="005B79B7"/>
    <w:rsid w:val="005C7AFC"/>
    <w:rsid w:val="0069436D"/>
    <w:rsid w:val="00697ECC"/>
    <w:rsid w:val="006D4955"/>
    <w:rsid w:val="007042BA"/>
    <w:rsid w:val="007132D5"/>
    <w:rsid w:val="007508C9"/>
    <w:rsid w:val="007608D8"/>
    <w:rsid w:val="007967C1"/>
    <w:rsid w:val="008945C0"/>
    <w:rsid w:val="008A34C3"/>
    <w:rsid w:val="008C7C36"/>
    <w:rsid w:val="008D3558"/>
    <w:rsid w:val="00900AD1"/>
    <w:rsid w:val="00911380"/>
    <w:rsid w:val="009512B5"/>
    <w:rsid w:val="009774FA"/>
    <w:rsid w:val="00A00DED"/>
    <w:rsid w:val="00A23AC4"/>
    <w:rsid w:val="00A70C5F"/>
    <w:rsid w:val="00A9173D"/>
    <w:rsid w:val="00B00072"/>
    <w:rsid w:val="00B138CF"/>
    <w:rsid w:val="00B30F3F"/>
    <w:rsid w:val="00B5521E"/>
    <w:rsid w:val="00B576E3"/>
    <w:rsid w:val="00B74A9E"/>
    <w:rsid w:val="00B91708"/>
    <w:rsid w:val="00BD05A7"/>
    <w:rsid w:val="00BF414C"/>
    <w:rsid w:val="00BF7327"/>
    <w:rsid w:val="00C525B8"/>
    <w:rsid w:val="00C92619"/>
    <w:rsid w:val="00C93251"/>
    <w:rsid w:val="00CA190F"/>
    <w:rsid w:val="00CE1203"/>
    <w:rsid w:val="00CE2D7F"/>
    <w:rsid w:val="00CF5B8B"/>
    <w:rsid w:val="00D4403B"/>
    <w:rsid w:val="00D50B6A"/>
    <w:rsid w:val="00D52BEC"/>
    <w:rsid w:val="00DA1B12"/>
    <w:rsid w:val="00DA33A3"/>
    <w:rsid w:val="00E06435"/>
    <w:rsid w:val="00E2301F"/>
    <w:rsid w:val="00E34A39"/>
    <w:rsid w:val="00E5111D"/>
    <w:rsid w:val="00F13406"/>
    <w:rsid w:val="00F25DAB"/>
    <w:rsid w:val="00F27DE7"/>
    <w:rsid w:val="00F37A84"/>
    <w:rsid w:val="00F758D9"/>
    <w:rsid w:val="00F84A55"/>
    <w:rsid w:val="00F96EF4"/>
    <w:rsid w:val="00FD021B"/>
    <w:rsid w:val="00FF5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592A6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6213"/>
    <w:pPr>
      <w:spacing w:after="120" w:line="280" w:lineRule="exact"/>
    </w:pPr>
    <w:rPr>
      <w:rFonts w:ascii="Times New Roman" w:hAnsi="Times New Roman"/>
      <w:color w:val="505151"/>
      <w:sz w:val="20"/>
    </w:rPr>
  </w:style>
  <w:style w:type="paragraph" w:styleId="Heading1">
    <w:name w:val="heading 1"/>
    <w:basedOn w:val="Normal"/>
    <w:next w:val="Normal"/>
    <w:link w:val="Heading1Char"/>
    <w:uiPriority w:val="9"/>
    <w:qFormat/>
    <w:rsid w:val="00406213"/>
    <w:pPr>
      <w:spacing w:after="0" w:line="240" w:lineRule="auto"/>
      <w:ind w:left="-720" w:right="720"/>
      <w:outlineLvl w:val="0"/>
    </w:pPr>
    <w:rPr>
      <w:rFonts w:ascii="Arial" w:hAnsi="Arial" w:cs="Arial"/>
      <w:b/>
      <w:bCs/>
      <w:color w:val="986E31"/>
      <w:sz w:val="32"/>
      <w:szCs w:val="32"/>
    </w:rPr>
  </w:style>
  <w:style w:type="paragraph" w:styleId="Heading2">
    <w:name w:val="heading 2"/>
    <w:basedOn w:val="Normal"/>
    <w:next w:val="Normal"/>
    <w:link w:val="Heading2Char"/>
    <w:uiPriority w:val="9"/>
    <w:unhideWhenUsed/>
    <w:qFormat/>
    <w:rsid w:val="00F758D9"/>
    <w:pPr>
      <w:spacing w:before="480" w:line="240" w:lineRule="auto"/>
      <w:ind w:left="-720" w:right="720"/>
      <w:outlineLvl w:val="1"/>
    </w:pPr>
    <w:rPr>
      <w:rFonts w:ascii="Arial" w:hAnsi="Arial" w:cs="Arial"/>
      <w:sz w:val="28"/>
    </w:rPr>
  </w:style>
  <w:style w:type="paragraph" w:styleId="Heading3">
    <w:name w:val="heading 3"/>
    <w:basedOn w:val="Normal"/>
    <w:next w:val="Normal"/>
    <w:link w:val="Heading3Char"/>
    <w:uiPriority w:val="9"/>
    <w:unhideWhenUsed/>
    <w:qFormat/>
    <w:rsid w:val="00406213"/>
    <w:pPr>
      <w:spacing w:before="240" w:after="0" w:line="240" w:lineRule="auto"/>
      <w:ind w:left="-720" w:right="720"/>
      <w:outlineLvl w:val="2"/>
    </w:pPr>
    <w:rPr>
      <w:rFonts w:ascii="Arial" w:hAnsi="Arial" w:cs="Arial"/>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380"/>
    <w:pPr>
      <w:tabs>
        <w:tab w:val="center" w:pos="4680"/>
        <w:tab w:val="right" w:pos="9360"/>
      </w:tabs>
    </w:pPr>
  </w:style>
  <w:style w:type="character" w:customStyle="1" w:styleId="HeaderChar">
    <w:name w:val="Header Char"/>
    <w:basedOn w:val="DefaultParagraphFont"/>
    <w:link w:val="Header"/>
    <w:uiPriority w:val="99"/>
    <w:rsid w:val="00911380"/>
  </w:style>
  <w:style w:type="paragraph" w:styleId="Footer">
    <w:name w:val="footer"/>
    <w:basedOn w:val="Normal"/>
    <w:link w:val="FooterChar"/>
    <w:uiPriority w:val="99"/>
    <w:unhideWhenUsed/>
    <w:rsid w:val="00911380"/>
    <w:pPr>
      <w:tabs>
        <w:tab w:val="center" w:pos="4680"/>
        <w:tab w:val="right" w:pos="9360"/>
      </w:tabs>
    </w:pPr>
  </w:style>
  <w:style w:type="character" w:customStyle="1" w:styleId="FooterChar">
    <w:name w:val="Footer Char"/>
    <w:basedOn w:val="DefaultParagraphFont"/>
    <w:link w:val="Footer"/>
    <w:uiPriority w:val="99"/>
    <w:rsid w:val="00911380"/>
  </w:style>
  <w:style w:type="paragraph" w:styleId="ListParagraph">
    <w:name w:val="List Paragraph"/>
    <w:basedOn w:val="Normal"/>
    <w:uiPriority w:val="34"/>
    <w:qFormat/>
    <w:rsid w:val="00431472"/>
    <w:pPr>
      <w:spacing w:before="120"/>
      <w:ind w:left="144"/>
      <w:contextualSpacing/>
    </w:pPr>
  </w:style>
  <w:style w:type="character" w:customStyle="1" w:styleId="Heading1Char">
    <w:name w:val="Heading 1 Char"/>
    <w:basedOn w:val="DefaultParagraphFont"/>
    <w:link w:val="Heading1"/>
    <w:uiPriority w:val="9"/>
    <w:rsid w:val="00406213"/>
    <w:rPr>
      <w:rFonts w:ascii="Arial" w:hAnsi="Arial" w:cs="Arial"/>
      <w:b/>
      <w:bCs/>
      <w:color w:val="986E31"/>
      <w:sz w:val="32"/>
      <w:szCs w:val="32"/>
    </w:rPr>
  </w:style>
  <w:style w:type="character" w:customStyle="1" w:styleId="Heading2Char">
    <w:name w:val="Heading 2 Char"/>
    <w:basedOn w:val="DefaultParagraphFont"/>
    <w:link w:val="Heading2"/>
    <w:uiPriority w:val="9"/>
    <w:rsid w:val="00F758D9"/>
    <w:rPr>
      <w:rFonts w:ascii="Arial" w:hAnsi="Arial" w:cs="Arial"/>
      <w:color w:val="505151"/>
      <w:sz w:val="28"/>
    </w:rPr>
  </w:style>
  <w:style w:type="character" w:customStyle="1" w:styleId="Heading3Char">
    <w:name w:val="Heading 3 Char"/>
    <w:basedOn w:val="DefaultParagraphFont"/>
    <w:link w:val="Heading3"/>
    <w:uiPriority w:val="9"/>
    <w:rsid w:val="00406213"/>
    <w:rPr>
      <w:rFonts w:ascii="Arial" w:hAnsi="Arial" w:cs="Arial"/>
      <w:b/>
      <w:bCs/>
      <w:color w:val="505151"/>
      <w:sz w:val="22"/>
      <w:szCs w:val="18"/>
    </w:rPr>
  </w:style>
  <w:style w:type="paragraph" w:customStyle="1" w:styleId="Callout-header">
    <w:name w:val="Callout-header"/>
    <w:basedOn w:val="Normal"/>
    <w:qFormat/>
    <w:rsid w:val="00697ECC"/>
    <w:pPr>
      <w:spacing w:after="0"/>
    </w:pPr>
    <w:rPr>
      <w:rFonts w:ascii="Arial" w:hAnsi="Arial"/>
      <w:b/>
      <w:bCs/>
      <w:color w:val="C38F45"/>
      <w:sz w:val="18"/>
    </w:rPr>
  </w:style>
  <w:style w:type="paragraph" w:customStyle="1" w:styleId="callout-normal">
    <w:name w:val="callout-normal"/>
    <w:basedOn w:val="Normal"/>
    <w:qFormat/>
    <w:rsid w:val="00697ECC"/>
    <w:pPr>
      <w:spacing w:after="240"/>
    </w:pPr>
    <w:rPr>
      <w:rFonts w:ascii="Arial" w:hAnsi="Arial"/>
      <w:color w:val="FFFFFF" w:themeColor="background1"/>
      <w:sz w:val="16"/>
    </w:rPr>
  </w:style>
  <w:style w:type="character" w:styleId="Hyperlink">
    <w:name w:val="Hyperlink"/>
    <w:basedOn w:val="DefaultParagraphFont"/>
    <w:uiPriority w:val="99"/>
    <w:unhideWhenUsed/>
    <w:rsid w:val="00E34A39"/>
    <w:rPr>
      <w:color w:val="0563C1" w:themeColor="hyperlink"/>
      <w:u w:val="single"/>
    </w:rPr>
  </w:style>
  <w:style w:type="character" w:customStyle="1" w:styleId="Link">
    <w:name w:val="Link"/>
    <w:basedOn w:val="Hyperlink"/>
    <w:uiPriority w:val="1"/>
    <w:qFormat/>
    <w:rsid w:val="00E34A39"/>
    <w:rPr>
      <w:color w:val="986E31"/>
      <w:u w:val="single"/>
    </w:rPr>
  </w:style>
  <w:style w:type="character" w:styleId="PageNumber">
    <w:name w:val="page number"/>
    <w:basedOn w:val="DefaultParagraphFont"/>
    <w:uiPriority w:val="99"/>
    <w:semiHidden/>
    <w:unhideWhenUsed/>
    <w:rsid w:val="00B00072"/>
  </w:style>
  <w:style w:type="paragraph" w:styleId="BalloonText">
    <w:name w:val="Balloon Text"/>
    <w:basedOn w:val="Normal"/>
    <w:link w:val="BalloonTextChar"/>
    <w:uiPriority w:val="99"/>
    <w:unhideWhenUsed/>
    <w:rsid w:val="001D3765"/>
    <w:pPr>
      <w:spacing w:after="0" w:line="240" w:lineRule="auto"/>
      <w:ind w:left="144" w:right="144"/>
      <w:contextualSpacing/>
    </w:pPr>
    <w:rPr>
      <w:rFonts w:cs="Tahoma"/>
      <w:color w:val="FFFFFF" w:themeColor="background1"/>
      <w:sz w:val="22"/>
      <w:szCs w:val="16"/>
    </w:rPr>
  </w:style>
  <w:style w:type="character" w:customStyle="1" w:styleId="BalloonTextChar">
    <w:name w:val="Balloon Text Char"/>
    <w:basedOn w:val="DefaultParagraphFont"/>
    <w:link w:val="BalloonText"/>
    <w:uiPriority w:val="99"/>
    <w:rsid w:val="001D3765"/>
    <w:rPr>
      <w:rFonts w:ascii="Times New Roman" w:hAnsi="Times New Roman" w:cs="Tahoma"/>
      <w:color w:val="FFFFFF" w:themeColor="background1"/>
      <w:sz w:val="22"/>
      <w:szCs w:val="16"/>
    </w:rPr>
  </w:style>
  <w:style w:type="paragraph" w:styleId="EndnoteText">
    <w:name w:val="endnote text"/>
    <w:basedOn w:val="Normal"/>
    <w:link w:val="EndnoteTextChar"/>
    <w:uiPriority w:val="99"/>
    <w:unhideWhenUsed/>
    <w:rsid w:val="00216C3B"/>
    <w:pPr>
      <w:spacing w:after="0" w:line="240" w:lineRule="auto"/>
    </w:pPr>
    <w:rPr>
      <w:rFonts w:ascii="Calibri" w:eastAsia="Calibri" w:hAnsi="Calibri" w:cs="Times New Roman"/>
      <w:color w:val="auto"/>
      <w:szCs w:val="20"/>
    </w:rPr>
  </w:style>
  <w:style w:type="character" w:customStyle="1" w:styleId="EndnoteTextChar">
    <w:name w:val="Endnote Text Char"/>
    <w:basedOn w:val="DefaultParagraphFont"/>
    <w:link w:val="EndnoteText"/>
    <w:uiPriority w:val="99"/>
    <w:rsid w:val="00216C3B"/>
    <w:rPr>
      <w:rFonts w:ascii="Calibri" w:eastAsia="Calibri" w:hAnsi="Calibri" w:cs="Times New Roman"/>
      <w:sz w:val="20"/>
      <w:szCs w:val="20"/>
    </w:rPr>
  </w:style>
  <w:style w:type="character" w:styleId="EndnoteReference">
    <w:name w:val="endnote reference"/>
    <w:uiPriority w:val="99"/>
    <w:unhideWhenUsed/>
    <w:rsid w:val="00216C3B"/>
    <w:rPr>
      <w:vertAlign w:val="superscript"/>
    </w:rPr>
  </w:style>
  <w:style w:type="character" w:styleId="CommentReference">
    <w:name w:val="annotation reference"/>
    <w:basedOn w:val="DefaultParagraphFont"/>
    <w:uiPriority w:val="99"/>
    <w:semiHidden/>
    <w:unhideWhenUsed/>
    <w:rsid w:val="00413279"/>
    <w:rPr>
      <w:sz w:val="16"/>
      <w:szCs w:val="16"/>
    </w:rPr>
  </w:style>
  <w:style w:type="paragraph" w:styleId="CommentText">
    <w:name w:val="annotation text"/>
    <w:basedOn w:val="Normal"/>
    <w:link w:val="CommentTextChar"/>
    <w:uiPriority w:val="99"/>
    <w:unhideWhenUsed/>
    <w:rsid w:val="00413279"/>
    <w:pPr>
      <w:spacing w:line="240" w:lineRule="auto"/>
    </w:pPr>
    <w:rPr>
      <w:szCs w:val="20"/>
    </w:rPr>
  </w:style>
  <w:style w:type="character" w:customStyle="1" w:styleId="CommentTextChar">
    <w:name w:val="Comment Text Char"/>
    <w:basedOn w:val="DefaultParagraphFont"/>
    <w:link w:val="CommentText"/>
    <w:uiPriority w:val="99"/>
    <w:rsid w:val="00413279"/>
    <w:rPr>
      <w:rFonts w:ascii="Times New Roman" w:hAnsi="Times New Roman"/>
      <w:color w:val="505151"/>
      <w:sz w:val="20"/>
      <w:szCs w:val="20"/>
    </w:rPr>
  </w:style>
  <w:style w:type="paragraph" w:styleId="CommentSubject">
    <w:name w:val="annotation subject"/>
    <w:basedOn w:val="CommentText"/>
    <w:next w:val="CommentText"/>
    <w:link w:val="CommentSubjectChar"/>
    <w:uiPriority w:val="99"/>
    <w:semiHidden/>
    <w:unhideWhenUsed/>
    <w:rsid w:val="00413279"/>
    <w:rPr>
      <w:b/>
      <w:bCs/>
    </w:rPr>
  </w:style>
  <w:style w:type="character" w:customStyle="1" w:styleId="CommentSubjectChar">
    <w:name w:val="Comment Subject Char"/>
    <w:basedOn w:val="CommentTextChar"/>
    <w:link w:val="CommentSubject"/>
    <w:uiPriority w:val="99"/>
    <w:semiHidden/>
    <w:rsid w:val="00413279"/>
    <w:rPr>
      <w:rFonts w:ascii="Times New Roman" w:hAnsi="Times New Roman"/>
      <w:b/>
      <w:bCs/>
      <w:color w:val="50515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284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justice.gov/elderjustice/mdt-toolki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doi.org/10.1542/peds.2009-3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910</Words>
  <Characters>5187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McGuigan, Heidi [USA]</cp:lastModifiedBy>
  <cp:revision>2</cp:revision>
  <cp:lastPrinted>2017-04-26T18:44:00Z</cp:lastPrinted>
  <dcterms:created xsi:type="dcterms:W3CDTF">2017-11-06T18:26:00Z</dcterms:created>
  <dcterms:modified xsi:type="dcterms:W3CDTF">2017-11-06T18:26:00Z</dcterms:modified>
</cp:coreProperties>
</file>