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AAB" w:rsidRPr="00762F09" w:rsidRDefault="002578CD" w:rsidP="00471021">
      <w:pPr>
        <w:pStyle w:val="Title"/>
        <w:spacing w:before="100" w:beforeAutospacing="1" w:after="100" w:afterAutospacing="1"/>
        <w:rPr>
          <w:rFonts w:ascii="Times New Roman" w:hAnsi="Times New Roman"/>
          <w:b/>
          <w:szCs w:val="52"/>
        </w:rPr>
      </w:pPr>
      <w:r>
        <w:rPr>
          <w:rFonts w:ascii="Times New Roman" w:hAnsi="Times New Roman"/>
          <w:b/>
          <w:szCs w:val="52"/>
        </w:rPr>
        <w:t>Congressional</w:t>
      </w:r>
      <w:r w:rsidR="000E2874">
        <w:rPr>
          <w:rFonts w:ascii="Times New Roman" w:hAnsi="Times New Roman"/>
          <w:b/>
          <w:szCs w:val="52"/>
        </w:rPr>
        <w:t xml:space="preserve"> Budget</w:t>
      </w:r>
      <w:r>
        <w:rPr>
          <w:rFonts w:ascii="Times New Roman" w:hAnsi="Times New Roman"/>
          <w:b/>
          <w:szCs w:val="52"/>
        </w:rPr>
        <w:t xml:space="preserve"> Submission</w:t>
      </w:r>
    </w:p>
    <w:p w:rsidR="000E2874" w:rsidRPr="008216C3" w:rsidRDefault="000E2874" w:rsidP="000E2874">
      <w:pPr>
        <w:pStyle w:val="Title"/>
        <w:spacing w:before="100" w:beforeAutospacing="1" w:after="100" w:afterAutospacing="1"/>
        <w:rPr>
          <w:rFonts w:ascii="Times New Roman" w:hAnsi="Times New Roman"/>
          <w:szCs w:val="52"/>
        </w:rPr>
      </w:pPr>
      <w:r w:rsidRPr="008216C3">
        <w:rPr>
          <w:rFonts w:ascii="Times New Roman" w:hAnsi="Times New Roman"/>
          <w:szCs w:val="52"/>
        </w:rPr>
        <w:t xml:space="preserve">Fiscal Year 2012 </w:t>
      </w:r>
    </w:p>
    <w:p w:rsidR="00FA2AAB" w:rsidRPr="004A69B2" w:rsidRDefault="008216C3" w:rsidP="005027FD">
      <w:pPr>
        <w:pStyle w:val="Subtitle"/>
        <w:spacing w:before="100" w:beforeAutospacing="1" w:after="100" w:afterAutospacing="1"/>
        <w:rPr>
          <w:rFonts w:ascii="Times New Roman" w:hAnsi="Times New Roman"/>
          <w:b/>
          <w:sz w:val="48"/>
          <w:szCs w:val="48"/>
        </w:rPr>
      </w:pPr>
      <w:r>
        <w:rPr>
          <w:b/>
          <w:noProof/>
        </w:rPr>
        <w:drawing>
          <wp:anchor distT="0" distB="0" distL="114300" distR="114300" simplePos="0" relativeHeight="251657216" behindDoc="1" locked="0" layoutInCell="1" allowOverlap="1">
            <wp:simplePos x="0" y="0"/>
            <wp:positionH relativeFrom="column">
              <wp:posOffset>885825</wp:posOffset>
            </wp:positionH>
            <wp:positionV relativeFrom="paragraph">
              <wp:posOffset>366395</wp:posOffset>
            </wp:positionV>
            <wp:extent cx="4171950" cy="3105150"/>
            <wp:effectExtent l="19050" t="0" r="0" b="0"/>
            <wp:wrapNone/>
            <wp:docPr id="4" name="Picture 28" descr="This is the official seal of the Bureau of Alcohol, Tobacco, Firearms and Explos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his is the official seal of the Bureau of Alcohol, Tobacco, Firearms and Explosives."/>
                    <pic:cNvPicPr>
                      <a:picLocks noChangeAspect="1" noChangeArrowheads="1"/>
                    </pic:cNvPicPr>
                  </pic:nvPicPr>
                  <pic:blipFill>
                    <a:blip r:embed="rId8" cstate="print"/>
                    <a:srcRect/>
                    <a:stretch>
                      <a:fillRect/>
                    </a:stretch>
                  </pic:blipFill>
                  <pic:spPr bwMode="auto">
                    <a:xfrm>
                      <a:off x="0" y="0"/>
                      <a:ext cx="4171950" cy="3105150"/>
                    </a:xfrm>
                    <a:prstGeom prst="rect">
                      <a:avLst/>
                    </a:prstGeom>
                    <a:noFill/>
                    <a:ln w="9525">
                      <a:noFill/>
                      <a:miter lim="800000"/>
                      <a:headEnd/>
                      <a:tailEnd/>
                    </a:ln>
                  </pic:spPr>
                </pic:pic>
              </a:graphicData>
            </a:graphic>
          </wp:anchor>
        </w:drawing>
      </w:r>
    </w:p>
    <w:p w:rsidR="00FA2AAB" w:rsidRPr="00DA74D0" w:rsidRDefault="00FA2AAB" w:rsidP="005027FD">
      <w:pPr>
        <w:pStyle w:val="Subtitle"/>
        <w:spacing w:before="100" w:beforeAutospacing="1" w:after="100" w:afterAutospacing="1"/>
        <w:rPr>
          <w:rFonts w:ascii="Times New Roman" w:hAnsi="Times New Roman"/>
          <w:sz w:val="48"/>
          <w:szCs w:val="48"/>
        </w:rPr>
      </w:pPr>
    </w:p>
    <w:p w:rsidR="00FA2AAB" w:rsidRDefault="00FA2AAB" w:rsidP="005027FD">
      <w:pPr>
        <w:pStyle w:val="Subtitle"/>
        <w:tabs>
          <w:tab w:val="left" w:pos="6480"/>
          <w:tab w:val="left" w:pos="6660"/>
        </w:tabs>
        <w:spacing w:before="100" w:beforeAutospacing="1" w:after="100" w:afterAutospacing="1"/>
        <w:rPr>
          <w:rFonts w:ascii="Arial Black" w:hAnsi="Arial Black"/>
          <w:outline/>
          <w:szCs w:val="40"/>
        </w:rPr>
      </w:pPr>
    </w:p>
    <w:p w:rsidR="00FA2AAB" w:rsidRDefault="00FA2AAB" w:rsidP="005027FD">
      <w:pPr>
        <w:pStyle w:val="Subtitle"/>
        <w:tabs>
          <w:tab w:val="left" w:pos="6480"/>
          <w:tab w:val="left" w:pos="6660"/>
        </w:tabs>
        <w:spacing w:before="100" w:beforeAutospacing="1" w:after="100" w:afterAutospacing="1"/>
        <w:rPr>
          <w:rFonts w:ascii="Arial Black" w:hAnsi="Arial Black"/>
          <w:outline/>
          <w:szCs w:val="40"/>
        </w:rPr>
      </w:pPr>
    </w:p>
    <w:p w:rsidR="00FA2AAB" w:rsidRDefault="00FA2AAB" w:rsidP="005027FD">
      <w:pPr>
        <w:pStyle w:val="Subtitle"/>
        <w:tabs>
          <w:tab w:val="left" w:pos="6480"/>
          <w:tab w:val="left" w:pos="6660"/>
        </w:tabs>
        <w:spacing w:before="100" w:beforeAutospacing="1" w:after="100" w:afterAutospacing="1"/>
        <w:rPr>
          <w:rFonts w:ascii="Arial Black" w:hAnsi="Arial Black"/>
          <w:outline/>
          <w:szCs w:val="40"/>
        </w:rPr>
      </w:pPr>
    </w:p>
    <w:p w:rsidR="00FA2AAB" w:rsidRPr="00DA74D0" w:rsidRDefault="00FA2AAB" w:rsidP="005027FD">
      <w:pPr>
        <w:pStyle w:val="Subtitle"/>
        <w:tabs>
          <w:tab w:val="left" w:pos="6480"/>
          <w:tab w:val="left" w:pos="6660"/>
        </w:tabs>
        <w:spacing w:before="100" w:beforeAutospacing="1" w:after="100" w:afterAutospacing="1"/>
        <w:rPr>
          <w:rFonts w:ascii="Arial Black" w:hAnsi="Arial Black"/>
          <w:outline/>
          <w:szCs w:val="40"/>
        </w:rPr>
      </w:pPr>
    </w:p>
    <w:p w:rsidR="00FA2AAB" w:rsidRPr="00707739" w:rsidRDefault="00273F9D" w:rsidP="005027FD">
      <w:pPr>
        <w:pStyle w:val="Subtitle"/>
        <w:tabs>
          <w:tab w:val="left" w:pos="6480"/>
          <w:tab w:val="left" w:pos="6660"/>
        </w:tabs>
        <w:spacing w:before="100" w:beforeAutospacing="1" w:after="100" w:afterAutospacing="1"/>
        <w:rPr>
          <w:rFonts w:ascii="Times New Roman" w:hAnsi="Times New Roman"/>
          <w:i/>
          <w:sz w:val="340"/>
          <w:szCs w:val="340"/>
        </w:rPr>
      </w:pPr>
      <w:r w:rsidRPr="00273F9D">
        <w:rPr>
          <w:noProof/>
          <w:sz w:val="340"/>
          <w:szCs w:val="340"/>
        </w:rPr>
        <w:pict>
          <v:shapetype id="_x0000_t202" coordsize="21600,21600" o:spt="202" path="m,l,21600r21600,l21600,xe">
            <v:stroke joinstyle="miter"/>
            <v:path gradientshapeok="t" o:connecttype="rect"/>
          </v:shapetype>
          <v:shape id="_x0000_s1054" type="#_x0000_t202" style="position:absolute;left:0;text-align:left;margin-left:6.75pt;margin-top:244.1pt;width:459pt;height:90.75pt;z-index:-251658240" wrapcoords="-35 -138 -35 21462 21635 21462 21635 -138 -35 -138">
            <v:textbox style="mso-next-textbox:#_x0000_s1054">
              <w:txbxContent>
                <w:p w:rsidR="00104151" w:rsidRDefault="00104151" w:rsidP="00707739">
                  <w:pPr>
                    <w:pStyle w:val="Subtitle"/>
                    <w:rPr>
                      <w:rFonts w:ascii="Times New Roman" w:hAnsi="Times New Roman"/>
                      <w:b/>
                      <w:bCs/>
                      <w:sz w:val="24"/>
                    </w:rPr>
                  </w:pPr>
                  <w:r>
                    <w:rPr>
                      <w:rFonts w:ascii="Times New Roman" w:hAnsi="Times New Roman"/>
                      <w:b/>
                      <w:sz w:val="24"/>
                    </w:rPr>
                    <w:t xml:space="preserve">UNITED STATES </w:t>
                  </w:r>
                  <w:r w:rsidRPr="00245DA2">
                    <w:rPr>
                      <w:rFonts w:ascii="Times New Roman" w:hAnsi="Times New Roman"/>
                      <w:b/>
                      <w:sz w:val="24"/>
                    </w:rPr>
                    <w:t>DEPARTMENT OF JUSTICE</w:t>
                  </w:r>
                  <w:r w:rsidRPr="00245DA2">
                    <w:rPr>
                      <w:rFonts w:ascii="Times New Roman" w:hAnsi="Times New Roman"/>
                      <w:b/>
                      <w:sz w:val="24"/>
                    </w:rPr>
                    <w:br/>
                  </w:r>
                  <w:r w:rsidRPr="00245DA2">
                    <w:rPr>
                      <w:rFonts w:ascii="Times New Roman" w:hAnsi="Times New Roman"/>
                      <w:b/>
                      <w:bCs/>
                      <w:sz w:val="24"/>
                    </w:rPr>
                    <w:t>BUREAU OF ALCOHOL, TOBACCO, FIREARMS AND EXPLOSIVES</w:t>
                  </w:r>
                </w:p>
                <w:p w:rsidR="00104151" w:rsidRPr="0011657D" w:rsidRDefault="00104151" w:rsidP="00707739">
                  <w:pPr>
                    <w:pStyle w:val="Subtitle"/>
                    <w:rPr>
                      <w:rFonts w:ascii="Times New Roman" w:hAnsi="Times New Roman"/>
                      <w:b/>
                      <w:i/>
                      <w:shadow/>
                      <w:szCs w:val="40"/>
                    </w:rPr>
                  </w:pPr>
                  <w:r w:rsidRPr="0011657D">
                    <w:rPr>
                      <w:rFonts w:ascii="Times New Roman" w:hAnsi="Times New Roman"/>
                      <w:b/>
                      <w:i/>
                      <w:emboss/>
                      <w:color w:val="0000FF"/>
                      <w:szCs w:val="40"/>
                    </w:rPr>
                    <w:t>A</w:t>
                  </w:r>
                  <w:r w:rsidRPr="0011657D">
                    <w:rPr>
                      <w:rFonts w:ascii="Times New Roman" w:hAnsi="Times New Roman"/>
                      <w:b/>
                      <w:i/>
                      <w:shadow/>
                      <w:szCs w:val="40"/>
                    </w:rPr>
                    <w:t xml:space="preserve">t </w:t>
                  </w:r>
                  <w:proofErr w:type="gramStart"/>
                  <w:r w:rsidRPr="0011657D">
                    <w:rPr>
                      <w:rFonts w:ascii="Times New Roman" w:hAnsi="Times New Roman"/>
                      <w:b/>
                      <w:i/>
                      <w:emboss/>
                      <w:color w:val="0000FF"/>
                      <w:szCs w:val="40"/>
                    </w:rPr>
                    <w:t>T</w:t>
                  </w:r>
                  <w:r w:rsidRPr="0011657D">
                    <w:rPr>
                      <w:rFonts w:ascii="Times New Roman" w:hAnsi="Times New Roman"/>
                      <w:b/>
                      <w:i/>
                      <w:shadow/>
                      <w:szCs w:val="40"/>
                    </w:rPr>
                    <w:t>he</w:t>
                  </w:r>
                  <w:proofErr w:type="gramEnd"/>
                  <w:r w:rsidRPr="0011657D">
                    <w:rPr>
                      <w:rFonts w:ascii="Times New Roman" w:hAnsi="Times New Roman"/>
                      <w:b/>
                      <w:i/>
                      <w:shadow/>
                      <w:szCs w:val="40"/>
                    </w:rPr>
                    <w:t xml:space="preserve"> </w:t>
                  </w:r>
                  <w:r w:rsidRPr="0011657D">
                    <w:rPr>
                      <w:rFonts w:ascii="Times New Roman" w:hAnsi="Times New Roman"/>
                      <w:b/>
                      <w:i/>
                      <w:emboss/>
                      <w:color w:val="0000FF"/>
                      <w:szCs w:val="40"/>
                    </w:rPr>
                    <w:t>F</w:t>
                  </w:r>
                  <w:r w:rsidRPr="0011657D">
                    <w:rPr>
                      <w:rFonts w:ascii="Times New Roman" w:hAnsi="Times New Roman"/>
                      <w:b/>
                      <w:i/>
                      <w:shadow/>
                      <w:szCs w:val="40"/>
                    </w:rPr>
                    <w:t>rontline - Against Violent Crime</w:t>
                  </w:r>
                </w:p>
                <w:p w:rsidR="00104151" w:rsidRPr="00245DA2" w:rsidRDefault="00104151" w:rsidP="005027FD">
                  <w:pPr>
                    <w:pStyle w:val="Subtitle"/>
                    <w:spacing w:before="120" w:after="120"/>
                    <w:rPr>
                      <w:rFonts w:ascii="Times New Roman" w:hAnsi="Times New Roman"/>
                      <w:b/>
                      <w:bCs/>
                      <w:sz w:val="24"/>
                    </w:rPr>
                  </w:pPr>
                  <w:r>
                    <w:rPr>
                      <w:rFonts w:ascii="Times New Roman" w:hAnsi="Times New Roman"/>
                      <w:b/>
                      <w:sz w:val="24"/>
                    </w:rPr>
                    <w:t xml:space="preserve">February 2011 </w:t>
                  </w:r>
                </w:p>
              </w:txbxContent>
            </v:textbox>
            <w10:wrap type="tight"/>
          </v:shape>
        </w:pict>
      </w:r>
      <w:r w:rsidR="00FA2AAB" w:rsidRPr="00707739">
        <w:rPr>
          <w:rFonts w:ascii="Arial Black" w:hAnsi="Arial Black"/>
          <w:outline/>
          <w:color w:val="000080"/>
          <w:sz w:val="340"/>
          <w:szCs w:val="340"/>
        </w:rPr>
        <w:t>ATF</w:t>
      </w:r>
    </w:p>
    <w:p w:rsidR="00C63B4A" w:rsidRDefault="00C63B4A" w:rsidP="0085074C">
      <w:pPr>
        <w:pStyle w:val="xl19"/>
        <w:tabs>
          <w:tab w:val="right" w:pos="8730"/>
        </w:tabs>
        <w:spacing w:before="100" w:beforeAutospacing="1" w:after="100" w:afterAutospacing="1"/>
        <w:outlineLvl w:val="0"/>
        <w:rPr>
          <w:b/>
        </w:rPr>
      </w:pPr>
      <w:bookmarkStart w:id="0" w:name="_Toc224026857"/>
      <w:bookmarkStart w:id="1" w:name="_Toc224026858"/>
    </w:p>
    <w:p w:rsidR="00FA2AAB" w:rsidRPr="00F569AD" w:rsidRDefault="00C63B4A" w:rsidP="00C63B4A">
      <w:pPr>
        <w:pStyle w:val="xl19"/>
        <w:tabs>
          <w:tab w:val="right" w:pos="8730"/>
        </w:tabs>
        <w:spacing w:before="100" w:beforeAutospacing="1" w:after="100" w:afterAutospacing="1"/>
        <w:jc w:val="center"/>
        <w:outlineLvl w:val="0"/>
        <w:rPr>
          <w:b/>
        </w:rPr>
      </w:pPr>
      <w:r w:rsidRPr="00C63B4A">
        <w:rPr>
          <w:b/>
          <w:sz w:val="40"/>
          <w:szCs w:val="40"/>
        </w:rPr>
        <w:t>This page intentionally</w:t>
      </w:r>
      <w:r w:rsidR="00B376C4">
        <w:rPr>
          <w:b/>
          <w:sz w:val="40"/>
          <w:szCs w:val="40"/>
        </w:rPr>
        <w:t xml:space="preserve"> left</w:t>
      </w:r>
      <w:r w:rsidRPr="00C63B4A">
        <w:rPr>
          <w:b/>
          <w:sz w:val="40"/>
          <w:szCs w:val="40"/>
        </w:rPr>
        <w:t xml:space="preserve"> blank</w:t>
      </w:r>
      <w:r>
        <w:rPr>
          <w:b/>
        </w:rPr>
        <w:br w:type="page"/>
      </w:r>
      <w:r w:rsidR="00FA2AAB" w:rsidRPr="00F569AD">
        <w:rPr>
          <w:b/>
        </w:rPr>
        <w:lastRenderedPageBreak/>
        <w:t>Table of Contents</w:t>
      </w:r>
      <w:bookmarkEnd w:id="0"/>
    </w:p>
    <w:p w:rsidR="00FA2AAB" w:rsidRPr="00762F09" w:rsidRDefault="00FA2AAB" w:rsidP="005027FD">
      <w:pPr>
        <w:pStyle w:val="xl19"/>
        <w:tabs>
          <w:tab w:val="left" w:pos="7740"/>
          <w:tab w:val="right" w:pos="8730"/>
        </w:tabs>
        <w:spacing w:before="100" w:beforeAutospacing="1" w:after="100" w:afterAutospacing="1"/>
        <w:jc w:val="center"/>
        <w:outlineLvl w:val="0"/>
        <w:rPr>
          <w:bCs/>
        </w:rPr>
      </w:pPr>
      <w:r>
        <w:rPr>
          <w:bCs/>
        </w:rPr>
        <w:tab/>
      </w:r>
      <w:r w:rsidRPr="00762F09">
        <w:rPr>
          <w:bCs/>
        </w:rPr>
        <w:t>Page No.</w:t>
      </w:r>
      <w:bookmarkEnd w:id="1"/>
    </w:p>
    <w:p w:rsidR="00FA2AAB" w:rsidRPr="00762F09" w:rsidRDefault="00FA2AAB" w:rsidP="005027FD">
      <w:pPr>
        <w:pStyle w:val="xl19"/>
        <w:tabs>
          <w:tab w:val="left" w:leader="dot" w:pos="8100"/>
          <w:tab w:val="right" w:pos="8640"/>
        </w:tabs>
        <w:spacing w:before="100" w:beforeAutospacing="1" w:after="100" w:afterAutospacing="1"/>
      </w:pPr>
      <w:r w:rsidRPr="00762F09">
        <w:rPr>
          <w:b/>
          <w:bCs/>
        </w:rPr>
        <w:t xml:space="preserve">I.     Overview </w:t>
      </w:r>
      <w:r w:rsidRPr="00762F09">
        <w:tab/>
      </w:r>
      <w:r>
        <w:rPr>
          <w:bCs/>
        </w:rPr>
        <w:t>1</w:t>
      </w:r>
      <w:r w:rsidRPr="00762F09">
        <w:rPr>
          <w:b/>
          <w:bCs/>
        </w:rPr>
        <w:t xml:space="preserve"> </w:t>
      </w:r>
    </w:p>
    <w:p w:rsidR="00FA2AAB" w:rsidRDefault="00FA2AAB" w:rsidP="006B1557">
      <w:pPr>
        <w:pStyle w:val="xl19"/>
        <w:tabs>
          <w:tab w:val="center" w:pos="360"/>
          <w:tab w:val="left" w:leader="dot" w:pos="8100"/>
          <w:tab w:val="right" w:pos="8640"/>
        </w:tabs>
        <w:spacing w:before="100" w:beforeAutospacing="1" w:after="100" w:afterAutospacing="1"/>
        <w:rPr>
          <w:bCs/>
        </w:rPr>
      </w:pPr>
      <w:r w:rsidRPr="00762F09">
        <w:rPr>
          <w:b/>
          <w:bCs/>
        </w:rPr>
        <w:t xml:space="preserve">II.    Summary of </w:t>
      </w:r>
      <w:r w:rsidRPr="00762F09">
        <w:rPr>
          <w:b/>
        </w:rPr>
        <w:t xml:space="preserve">Program </w:t>
      </w:r>
      <w:r w:rsidRPr="00762F09">
        <w:rPr>
          <w:b/>
          <w:bCs/>
        </w:rPr>
        <w:t xml:space="preserve">Changes </w:t>
      </w:r>
      <w:r w:rsidRPr="00762F09">
        <w:rPr>
          <w:bCs/>
        </w:rPr>
        <w:tab/>
      </w:r>
      <w:r w:rsidR="00092BDE">
        <w:rPr>
          <w:bCs/>
        </w:rPr>
        <w:t>1</w:t>
      </w:r>
      <w:r w:rsidR="00E3229E">
        <w:rPr>
          <w:bCs/>
        </w:rPr>
        <w:t>1</w:t>
      </w:r>
    </w:p>
    <w:p w:rsidR="00C05920" w:rsidRDefault="00C05920" w:rsidP="006B1557">
      <w:pPr>
        <w:pStyle w:val="xl19"/>
        <w:tabs>
          <w:tab w:val="center" w:pos="360"/>
          <w:tab w:val="left" w:leader="dot" w:pos="8100"/>
          <w:tab w:val="right" w:pos="8640"/>
        </w:tabs>
        <w:spacing w:before="100" w:beforeAutospacing="1" w:after="100" w:afterAutospacing="1"/>
        <w:rPr>
          <w:bCs/>
        </w:rPr>
      </w:pPr>
      <w:r w:rsidRPr="00C05920">
        <w:rPr>
          <w:b/>
          <w:bCs/>
        </w:rPr>
        <w:t>III.</w:t>
      </w:r>
      <w:r>
        <w:rPr>
          <w:bCs/>
        </w:rPr>
        <w:t xml:space="preserve">   </w:t>
      </w:r>
      <w:r w:rsidR="006F5FDF">
        <w:rPr>
          <w:b/>
          <w:bCs/>
        </w:rPr>
        <w:t>Appropriations Language and Analysis of Appropriations Language</w:t>
      </w:r>
      <w:r w:rsidRPr="00762F09">
        <w:rPr>
          <w:b/>
          <w:bCs/>
        </w:rPr>
        <w:t xml:space="preserve"> </w:t>
      </w:r>
      <w:r w:rsidRPr="00762F09">
        <w:rPr>
          <w:bCs/>
        </w:rPr>
        <w:tab/>
      </w:r>
      <w:r w:rsidR="00092BDE">
        <w:rPr>
          <w:bCs/>
        </w:rPr>
        <w:t>1</w:t>
      </w:r>
      <w:r w:rsidR="00E3229E">
        <w:rPr>
          <w:bCs/>
        </w:rPr>
        <w:t>2</w:t>
      </w:r>
    </w:p>
    <w:p w:rsidR="00FA2AAB" w:rsidRPr="006B1557" w:rsidRDefault="00FA2AAB" w:rsidP="006B1557">
      <w:pPr>
        <w:pStyle w:val="xl19"/>
        <w:tabs>
          <w:tab w:val="left" w:leader="dot" w:pos="8100"/>
          <w:tab w:val="right" w:pos="8640"/>
        </w:tabs>
        <w:spacing w:before="100" w:beforeAutospacing="1" w:after="100" w:afterAutospacing="1"/>
      </w:pPr>
      <w:r w:rsidRPr="00762F09">
        <w:rPr>
          <w:b/>
          <w:bCs/>
        </w:rPr>
        <w:t>I</w:t>
      </w:r>
      <w:r w:rsidR="00C05920">
        <w:rPr>
          <w:b/>
          <w:bCs/>
        </w:rPr>
        <w:t>V</w:t>
      </w:r>
      <w:r w:rsidRPr="00762F09">
        <w:rPr>
          <w:b/>
          <w:bCs/>
        </w:rPr>
        <w:t>.</w:t>
      </w:r>
      <w:r>
        <w:rPr>
          <w:b/>
          <w:bCs/>
        </w:rPr>
        <w:t xml:space="preserve">   </w:t>
      </w:r>
      <w:r w:rsidR="006F5FDF">
        <w:rPr>
          <w:b/>
          <w:bCs/>
        </w:rPr>
        <w:t>Decision Unit Justification</w:t>
      </w:r>
      <w:r w:rsidR="006F5FDF">
        <w:rPr>
          <w:b/>
          <w:bCs/>
        </w:rPr>
        <w:tab/>
      </w:r>
      <w:r w:rsidR="00092BDE">
        <w:rPr>
          <w:bCs/>
        </w:rPr>
        <w:t>1</w:t>
      </w:r>
      <w:r w:rsidR="00E3229E">
        <w:rPr>
          <w:bCs/>
        </w:rPr>
        <w:t>4</w:t>
      </w:r>
    </w:p>
    <w:p w:rsidR="00FA2AAB" w:rsidRPr="00762F09" w:rsidRDefault="00FA2AAB" w:rsidP="005027FD">
      <w:pPr>
        <w:pStyle w:val="xl19"/>
        <w:tabs>
          <w:tab w:val="left" w:leader="dot" w:pos="7920"/>
          <w:tab w:val="right" w:pos="8640"/>
        </w:tabs>
        <w:spacing w:before="100" w:beforeAutospacing="1" w:after="100" w:afterAutospacing="1"/>
        <w:rPr>
          <w:bCs/>
        </w:rPr>
      </w:pPr>
      <w:r w:rsidRPr="00762F09">
        <w:rPr>
          <w:bCs/>
        </w:rPr>
        <w:t xml:space="preserve">     A.   Firearms </w:t>
      </w:r>
    </w:p>
    <w:p w:rsidR="00FA2AAB" w:rsidRPr="00762F09" w:rsidRDefault="00FA2AAB" w:rsidP="005027FD">
      <w:pPr>
        <w:pStyle w:val="xl19"/>
        <w:numPr>
          <w:ilvl w:val="0"/>
          <w:numId w:val="1"/>
        </w:numPr>
        <w:tabs>
          <w:tab w:val="left" w:leader="dot" w:pos="8010"/>
        </w:tabs>
        <w:spacing w:before="100" w:beforeAutospacing="1" w:after="100" w:afterAutospacing="1"/>
        <w:rPr>
          <w:bCs/>
        </w:rPr>
      </w:pPr>
      <w:r w:rsidRPr="00762F09">
        <w:rPr>
          <w:bCs/>
        </w:rPr>
        <w:t>Program Description</w:t>
      </w:r>
      <w:r w:rsidRPr="00762F09">
        <w:rPr>
          <w:bCs/>
        </w:rPr>
        <w:tab/>
        <w:t xml:space="preserve"> </w:t>
      </w:r>
      <w:r w:rsidR="00BE7BE1">
        <w:rPr>
          <w:bCs/>
        </w:rPr>
        <w:t>1</w:t>
      </w:r>
      <w:r w:rsidR="00E3229E">
        <w:rPr>
          <w:bCs/>
        </w:rPr>
        <w:t>4</w:t>
      </w:r>
    </w:p>
    <w:p w:rsidR="00FA2AAB" w:rsidRPr="00762F09" w:rsidRDefault="00FA2AAB" w:rsidP="005027FD">
      <w:pPr>
        <w:pStyle w:val="xl19"/>
        <w:numPr>
          <w:ilvl w:val="0"/>
          <w:numId w:val="1"/>
        </w:numPr>
        <w:tabs>
          <w:tab w:val="left" w:leader="dot" w:pos="8010"/>
          <w:tab w:val="right" w:pos="8640"/>
        </w:tabs>
        <w:spacing w:before="100" w:beforeAutospacing="1" w:after="100" w:afterAutospacing="1"/>
        <w:rPr>
          <w:bCs/>
        </w:rPr>
      </w:pPr>
      <w:r w:rsidRPr="00762F09">
        <w:rPr>
          <w:bCs/>
        </w:rPr>
        <w:t>Performance Tables</w:t>
      </w:r>
      <w:r w:rsidRPr="00762F09">
        <w:rPr>
          <w:bCs/>
        </w:rPr>
        <w:tab/>
        <w:t xml:space="preserve"> </w:t>
      </w:r>
      <w:r w:rsidR="00BE7BE1">
        <w:rPr>
          <w:bCs/>
        </w:rPr>
        <w:t>2</w:t>
      </w:r>
      <w:r w:rsidR="00E3229E">
        <w:rPr>
          <w:bCs/>
        </w:rPr>
        <w:t>4</w:t>
      </w:r>
    </w:p>
    <w:p w:rsidR="00FA2AAB" w:rsidRDefault="00FA2AAB" w:rsidP="005027FD">
      <w:pPr>
        <w:pStyle w:val="xl19"/>
        <w:numPr>
          <w:ilvl w:val="0"/>
          <w:numId w:val="1"/>
        </w:numPr>
        <w:tabs>
          <w:tab w:val="left" w:leader="dot" w:pos="8010"/>
          <w:tab w:val="right" w:pos="8640"/>
        </w:tabs>
        <w:spacing w:before="100" w:beforeAutospacing="1" w:after="100" w:afterAutospacing="1"/>
        <w:rPr>
          <w:bCs/>
        </w:rPr>
      </w:pPr>
      <w:r w:rsidRPr="00762F09">
        <w:rPr>
          <w:bCs/>
        </w:rPr>
        <w:t>Performance, Resources, and Strategies</w:t>
      </w:r>
      <w:r w:rsidRPr="00762F09">
        <w:rPr>
          <w:bCs/>
        </w:rPr>
        <w:tab/>
        <w:t xml:space="preserve"> </w:t>
      </w:r>
      <w:r w:rsidR="00BE7BE1">
        <w:rPr>
          <w:bCs/>
        </w:rPr>
        <w:t>2</w:t>
      </w:r>
      <w:r w:rsidR="0088614E">
        <w:rPr>
          <w:bCs/>
        </w:rPr>
        <w:t>7</w:t>
      </w:r>
    </w:p>
    <w:p w:rsidR="00FA2AAB" w:rsidRPr="00762F09" w:rsidRDefault="00FA2AAB" w:rsidP="005027FD">
      <w:pPr>
        <w:pStyle w:val="xl19"/>
        <w:tabs>
          <w:tab w:val="center" w:pos="360"/>
          <w:tab w:val="left" w:leader="dot" w:pos="7920"/>
          <w:tab w:val="left" w:pos="8280"/>
          <w:tab w:val="right" w:pos="8640"/>
        </w:tabs>
        <w:spacing w:before="100" w:beforeAutospacing="1" w:after="100" w:afterAutospacing="1"/>
        <w:rPr>
          <w:bCs/>
        </w:rPr>
      </w:pPr>
      <w:r w:rsidRPr="00762F09">
        <w:rPr>
          <w:bCs/>
        </w:rPr>
        <w:t xml:space="preserve">     B.   Arson and Explosives</w:t>
      </w:r>
    </w:p>
    <w:p w:rsidR="00FA2AAB" w:rsidRPr="00762F09" w:rsidRDefault="00FA2AAB" w:rsidP="005027FD">
      <w:pPr>
        <w:pStyle w:val="xl19"/>
        <w:numPr>
          <w:ilvl w:val="0"/>
          <w:numId w:val="2"/>
        </w:numPr>
        <w:tabs>
          <w:tab w:val="left" w:leader="dot" w:pos="7920"/>
          <w:tab w:val="right" w:pos="8640"/>
        </w:tabs>
        <w:spacing w:before="100" w:beforeAutospacing="1" w:after="100" w:afterAutospacing="1"/>
        <w:rPr>
          <w:bCs/>
        </w:rPr>
      </w:pPr>
      <w:r w:rsidRPr="00762F09">
        <w:rPr>
          <w:bCs/>
        </w:rPr>
        <w:t>Program Description</w:t>
      </w:r>
      <w:r w:rsidRPr="00762F09">
        <w:rPr>
          <w:bCs/>
        </w:rPr>
        <w:tab/>
        <w:t xml:space="preserve">   </w:t>
      </w:r>
      <w:r w:rsidR="00081B48">
        <w:rPr>
          <w:bCs/>
        </w:rPr>
        <w:t>3</w:t>
      </w:r>
      <w:r w:rsidR="0088614E">
        <w:rPr>
          <w:bCs/>
        </w:rPr>
        <w:t>2</w:t>
      </w:r>
    </w:p>
    <w:p w:rsidR="00FA2AAB" w:rsidRPr="00762F09" w:rsidRDefault="00FA2AAB" w:rsidP="005027FD">
      <w:pPr>
        <w:pStyle w:val="xl19"/>
        <w:numPr>
          <w:ilvl w:val="0"/>
          <w:numId w:val="2"/>
        </w:numPr>
        <w:tabs>
          <w:tab w:val="left" w:leader="dot" w:pos="7920"/>
          <w:tab w:val="right" w:pos="8640"/>
        </w:tabs>
        <w:spacing w:before="100" w:beforeAutospacing="1" w:after="100" w:afterAutospacing="1"/>
        <w:rPr>
          <w:bCs/>
        </w:rPr>
      </w:pPr>
      <w:r w:rsidRPr="00762F09">
        <w:rPr>
          <w:bCs/>
        </w:rPr>
        <w:t>Performance Tables</w:t>
      </w:r>
      <w:r w:rsidRPr="00762F09">
        <w:rPr>
          <w:bCs/>
        </w:rPr>
        <w:tab/>
        <w:t xml:space="preserve">   </w:t>
      </w:r>
      <w:r w:rsidR="00BE7BE1">
        <w:rPr>
          <w:bCs/>
        </w:rPr>
        <w:t>4</w:t>
      </w:r>
      <w:r w:rsidR="0088614E">
        <w:rPr>
          <w:bCs/>
        </w:rPr>
        <w:t>2</w:t>
      </w:r>
    </w:p>
    <w:p w:rsidR="00FA2AAB" w:rsidRPr="00762F09" w:rsidRDefault="00FA2AAB" w:rsidP="005027FD">
      <w:pPr>
        <w:pStyle w:val="xl19"/>
        <w:numPr>
          <w:ilvl w:val="0"/>
          <w:numId w:val="2"/>
        </w:numPr>
        <w:tabs>
          <w:tab w:val="left" w:leader="dot" w:pos="7920"/>
          <w:tab w:val="right" w:pos="8640"/>
        </w:tabs>
        <w:spacing w:before="100" w:beforeAutospacing="1" w:after="100" w:afterAutospacing="1"/>
        <w:rPr>
          <w:bCs/>
        </w:rPr>
      </w:pPr>
      <w:r w:rsidRPr="00762F09">
        <w:rPr>
          <w:bCs/>
        </w:rPr>
        <w:t>Performance, Resources, and Strategies</w:t>
      </w:r>
      <w:r w:rsidRPr="00762F09">
        <w:rPr>
          <w:bCs/>
        </w:rPr>
        <w:tab/>
        <w:t xml:space="preserve">   </w:t>
      </w:r>
      <w:r w:rsidR="00081B48">
        <w:rPr>
          <w:bCs/>
        </w:rPr>
        <w:t>4</w:t>
      </w:r>
      <w:r w:rsidR="0088614E">
        <w:rPr>
          <w:bCs/>
        </w:rPr>
        <w:t>4</w:t>
      </w:r>
    </w:p>
    <w:p w:rsidR="00FA2AAB" w:rsidRPr="00762F09" w:rsidRDefault="00FA2AAB" w:rsidP="005027FD">
      <w:pPr>
        <w:pStyle w:val="xl19"/>
        <w:tabs>
          <w:tab w:val="left" w:leader="dot" w:pos="7920"/>
          <w:tab w:val="right" w:pos="8640"/>
        </w:tabs>
        <w:spacing w:before="100" w:beforeAutospacing="1" w:after="100" w:afterAutospacing="1"/>
      </w:pPr>
      <w:r w:rsidRPr="00762F09">
        <w:t xml:space="preserve">     C.   Alcohol and Tobacco </w:t>
      </w:r>
    </w:p>
    <w:p w:rsidR="00FA2AAB" w:rsidRPr="00762F09" w:rsidRDefault="00FA2AAB" w:rsidP="005027FD">
      <w:pPr>
        <w:numPr>
          <w:ilvl w:val="0"/>
          <w:numId w:val="3"/>
        </w:numPr>
        <w:tabs>
          <w:tab w:val="left" w:leader="dot" w:pos="7920"/>
          <w:tab w:val="right" w:pos="8640"/>
        </w:tabs>
        <w:spacing w:before="100" w:beforeAutospacing="1" w:after="100" w:afterAutospacing="1"/>
        <w:rPr>
          <w:bCs/>
        </w:rPr>
      </w:pPr>
      <w:r w:rsidRPr="00762F09">
        <w:rPr>
          <w:bCs/>
        </w:rPr>
        <w:t>Program Description</w:t>
      </w:r>
      <w:r w:rsidRPr="00762F09">
        <w:rPr>
          <w:bCs/>
        </w:rPr>
        <w:tab/>
        <w:t xml:space="preserve">   </w:t>
      </w:r>
      <w:r w:rsidR="00BE7BE1">
        <w:rPr>
          <w:bCs/>
        </w:rPr>
        <w:t>4</w:t>
      </w:r>
      <w:r w:rsidR="0088614E">
        <w:rPr>
          <w:bCs/>
        </w:rPr>
        <w:t>6</w:t>
      </w:r>
    </w:p>
    <w:p w:rsidR="00FA2AAB" w:rsidRPr="00762F09" w:rsidRDefault="00FA2AAB" w:rsidP="005027FD">
      <w:pPr>
        <w:numPr>
          <w:ilvl w:val="0"/>
          <w:numId w:val="3"/>
        </w:numPr>
        <w:tabs>
          <w:tab w:val="left" w:leader="dot" w:pos="7920"/>
          <w:tab w:val="right" w:pos="8640"/>
        </w:tabs>
        <w:spacing w:before="100" w:beforeAutospacing="1" w:after="100" w:afterAutospacing="1"/>
        <w:rPr>
          <w:bCs/>
        </w:rPr>
      </w:pPr>
      <w:r w:rsidRPr="00762F09">
        <w:rPr>
          <w:bCs/>
        </w:rPr>
        <w:t>Performance Tables</w:t>
      </w:r>
      <w:r w:rsidRPr="00762F09">
        <w:rPr>
          <w:bCs/>
        </w:rPr>
        <w:tab/>
        <w:t xml:space="preserve">   </w:t>
      </w:r>
      <w:r w:rsidR="0088614E">
        <w:rPr>
          <w:bCs/>
        </w:rPr>
        <w:t>50</w:t>
      </w:r>
    </w:p>
    <w:p w:rsidR="00FA2AAB" w:rsidRDefault="00FA2AAB" w:rsidP="005027FD">
      <w:pPr>
        <w:numPr>
          <w:ilvl w:val="0"/>
          <w:numId w:val="3"/>
        </w:numPr>
        <w:tabs>
          <w:tab w:val="left" w:leader="dot" w:pos="7920"/>
          <w:tab w:val="right" w:pos="8640"/>
        </w:tabs>
        <w:spacing w:before="100" w:beforeAutospacing="1" w:after="100" w:afterAutospacing="1"/>
      </w:pPr>
      <w:r w:rsidRPr="00762F09">
        <w:t>Performance, Resources, and Strategies</w:t>
      </w:r>
      <w:r w:rsidRPr="00762F09">
        <w:tab/>
        <w:t xml:space="preserve">   </w:t>
      </w:r>
      <w:r w:rsidR="00092BDE">
        <w:t>5</w:t>
      </w:r>
      <w:r w:rsidR="0088614E">
        <w:t>1</w:t>
      </w:r>
    </w:p>
    <w:p w:rsidR="00FA2AAB" w:rsidRDefault="00FA2AAB" w:rsidP="006B1557">
      <w:pPr>
        <w:pStyle w:val="xl19"/>
        <w:tabs>
          <w:tab w:val="left" w:leader="dot" w:pos="8100"/>
          <w:tab w:val="right" w:pos="8640"/>
        </w:tabs>
        <w:spacing w:before="100" w:beforeAutospacing="1" w:after="100" w:afterAutospacing="1"/>
      </w:pPr>
      <w:r>
        <w:rPr>
          <w:b/>
          <w:bCs/>
        </w:rPr>
        <w:t>V</w:t>
      </w:r>
      <w:r w:rsidRPr="00762F09">
        <w:rPr>
          <w:b/>
          <w:bCs/>
        </w:rPr>
        <w:t>.</w:t>
      </w:r>
      <w:r>
        <w:rPr>
          <w:b/>
          <w:bCs/>
        </w:rPr>
        <w:t xml:space="preserve">    Program Increases by Item</w:t>
      </w:r>
      <w:r w:rsidRPr="00762F09">
        <w:rPr>
          <w:b/>
          <w:bCs/>
        </w:rPr>
        <w:t xml:space="preserve"> </w:t>
      </w:r>
      <w:r w:rsidRPr="00762F09">
        <w:tab/>
      </w:r>
      <w:r w:rsidR="00092BDE">
        <w:t>5</w:t>
      </w:r>
      <w:r w:rsidR="00E3229E">
        <w:t>1</w:t>
      </w:r>
    </w:p>
    <w:p w:rsidR="00FA2AAB" w:rsidRPr="008216C3" w:rsidRDefault="00BE7BE1" w:rsidP="000831E3">
      <w:pPr>
        <w:pStyle w:val="xl19"/>
        <w:numPr>
          <w:ilvl w:val="1"/>
          <w:numId w:val="2"/>
        </w:numPr>
        <w:tabs>
          <w:tab w:val="left" w:leader="dot" w:pos="8100"/>
          <w:tab w:val="right" w:pos="8640"/>
        </w:tabs>
        <w:spacing w:before="100" w:beforeAutospacing="1" w:after="100" w:afterAutospacing="1"/>
        <w:rPr>
          <w:bCs/>
        </w:rPr>
      </w:pPr>
      <w:r w:rsidRPr="008216C3">
        <w:rPr>
          <w:bCs/>
        </w:rPr>
        <w:t>Electronic Surveillance</w:t>
      </w:r>
      <w:r w:rsidR="002E1902">
        <w:rPr>
          <w:bCs/>
        </w:rPr>
        <w:t xml:space="preserve"> Capabilities</w:t>
      </w:r>
      <w:r w:rsidR="00FA2AAB" w:rsidRPr="008216C3">
        <w:rPr>
          <w:bCs/>
        </w:rPr>
        <w:tab/>
      </w:r>
      <w:r w:rsidR="00092BDE">
        <w:rPr>
          <w:bCs/>
        </w:rPr>
        <w:t>5</w:t>
      </w:r>
      <w:r w:rsidR="0088614E">
        <w:rPr>
          <w:bCs/>
        </w:rPr>
        <w:t>2</w:t>
      </w:r>
    </w:p>
    <w:p w:rsidR="00FA2AAB" w:rsidRDefault="00FA2AAB" w:rsidP="006B1557">
      <w:pPr>
        <w:pStyle w:val="xl19"/>
        <w:tabs>
          <w:tab w:val="left" w:leader="dot" w:pos="8100"/>
          <w:tab w:val="right" w:pos="8640"/>
        </w:tabs>
        <w:spacing w:before="100" w:beforeAutospacing="1" w:after="100" w:afterAutospacing="1"/>
      </w:pPr>
      <w:r w:rsidRPr="008216C3">
        <w:rPr>
          <w:b/>
          <w:bCs/>
        </w:rPr>
        <w:t xml:space="preserve">VI.    Program Offsets by Item </w:t>
      </w:r>
      <w:r w:rsidRPr="008216C3">
        <w:rPr>
          <w:bCs/>
        </w:rPr>
        <w:tab/>
      </w:r>
      <w:r w:rsidR="00820160">
        <w:t>54</w:t>
      </w:r>
    </w:p>
    <w:p w:rsidR="00EF1E86" w:rsidRPr="00EF1E86" w:rsidRDefault="00092BDE" w:rsidP="00EF1E86">
      <w:pPr>
        <w:pStyle w:val="xl19"/>
        <w:numPr>
          <w:ilvl w:val="0"/>
          <w:numId w:val="50"/>
        </w:numPr>
        <w:tabs>
          <w:tab w:val="left" w:leader="dot" w:pos="8100"/>
          <w:tab w:val="right" w:pos="8640"/>
        </w:tabs>
        <w:spacing w:before="100" w:beforeAutospacing="1" w:after="100" w:afterAutospacing="1"/>
      </w:pPr>
      <w:r>
        <w:rPr>
          <w:bCs/>
        </w:rPr>
        <w:t>National Integrated Ballistics Information Network (NIBIN)</w:t>
      </w:r>
      <w:r w:rsidR="00EF1E86" w:rsidRPr="00762F09">
        <w:rPr>
          <w:bCs/>
        </w:rPr>
        <w:tab/>
      </w:r>
      <w:r w:rsidR="00820160">
        <w:rPr>
          <w:bCs/>
        </w:rPr>
        <w:t>54</w:t>
      </w:r>
    </w:p>
    <w:p w:rsidR="00EF1E86" w:rsidRPr="00EF1E86" w:rsidRDefault="00092BDE" w:rsidP="00EF1E86">
      <w:pPr>
        <w:pStyle w:val="xl19"/>
        <w:numPr>
          <w:ilvl w:val="0"/>
          <w:numId w:val="50"/>
        </w:numPr>
        <w:tabs>
          <w:tab w:val="left" w:leader="dot" w:pos="8100"/>
          <w:tab w:val="right" w:pos="8640"/>
        </w:tabs>
        <w:spacing w:before="100" w:beforeAutospacing="1" w:after="100" w:afterAutospacing="1"/>
      </w:pPr>
      <w:r>
        <w:rPr>
          <w:bCs/>
        </w:rPr>
        <w:t>Relocation/Permanent Change of Station</w:t>
      </w:r>
      <w:r w:rsidR="00EF1E86" w:rsidRPr="00762F09">
        <w:rPr>
          <w:bCs/>
        </w:rPr>
        <w:tab/>
      </w:r>
      <w:r w:rsidR="0098795E">
        <w:rPr>
          <w:bCs/>
        </w:rPr>
        <w:t>56</w:t>
      </w:r>
    </w:p>
    <w:p w:rsidR="00EF1E86" w:rsidRPr="00EF1E86" w:rsidRDefault="00092BDE" w:rsidP="00EF1E86">
      <w:pPr>
        <w:pStyle w:val="xl19"/>
        <w:numPr>
          <w:ilvl w:val="0"/>
          <w:numId w:val="50"/>
        </w:numPr>
        <w:tabs>
          <w:tab w:val="left" w:leader="dot" w:pos="8100"/>
          <w:tab w:val="right" w:pos="8640"/>
        </w:tabs>
        <w:spacing w:before="100" w:beforeAutospacing="1" w:after="100" w:afterAutospacing="1"/>
      </w:pPr>
      <w:r>
        <w:rPr>
          <w:bCs/>
        </w:rPr>
        <w:t>State and Local Training</w:t>
      </w:r>
      <w:r w:rsidR="00EF1E86" w:rsidRPr="00762F09">
        <w:rPr>
          <w:bCs/>
        </w:rPr>
        <w:tab/>
      </w:r>
      <w:r w:rsidR="0098795E">
        <w:rPr>
          <w:bCs/>
        </w:rPr>
        <w:t>58</w:t>
      </w:r>
    </w:p>
    <w:p w:rsidR="00EF1E86" w:rsidRPr="001679CE" w:rsidRDefault="00092BDE" w:rsidP="00EF1E86">
      <w:pPr>
        <w:pStyle w:val="xl19"/>
        <w:numPr>
          <w:ilvl w:val="0"/>
          <w:numId w:val="50"/>
        </w:numPr>
        <w:tabs>
          <w:tab w:val="left" w:leader="dot" w:pos="8100"/>
          <w:tab w:val="right" w:pos="8640"/>
        </w:tabs>
        <w:spacing w:before="100" w:beforeAutospacing="1" w:after="100" w:afterAutospacing="1"/>
      </w:pPr>
      <w:r>
        <w:rPr>
          <w:bCs/>
        </w:rPr>
        <w:t>Administrative Efficiencies</w:t>
      </w:r>
      <w:r w:rsidR="00EF1E86" w:rsidRPr="00762F09">
        <w:rPr>
          <w:bCs/>
        </w:rPr>
        <w:tab/>
      </w:r>
      <w:r w:rsidR="0098795E">
        <w:rPr>
          <w:bCs/>
        </w:rPr>
        <w:t>60</w:t>
      </w:r>
    </w:p>
    <w:p w:rsidR="001679CE" w:rsidRPr="001679CE" w:rsidRDefault="00092BDE" w:rsidP="001679CE">
      <w:pPr>
        <w:pStyle w:val="xl19"/>
        <w:numPr>
          <w:ilvl w:val="0"/>
          <w:numId w:val="50"/>
        </w:numPr>
        <w:tabs>
          <w:tab w:val="left" w:leader="dot" w:pos="8100"/>
          <w:tab w:val="right" w:pos="8640"/>
        </w:tabs>
        <w:spacing w:before="100" w:beforeAutospacing="1" w:after="100" w:afterAutospacing="1"/>
      </w:pPr>
      <w:r>
        <w:rPr>
          <w:bCs/>
        </w:rPr>
        <w:t>Alcohol and Tobacco</w:t>
      </w:r>
      <w:r w:rsidDel="00092BDE">
        <w:rPr>
          <w:bCs/>
        </w:rPr>
        <w:t xml:space="preserve"> </w:t>
      </w:r>
      <w:r w:rsidR="001679CE" w:rsidRPr="00762F09">
        <w:rPr>
          <w:bCs/>
        </w:rPr>
        <w:tab/>
      </w:r>
      <w:r w:rsidR="0098795E">
        <w:rPr>
          <w:bCs/>
        </w:rPr>
        <w:t>62</w:t>
      </w:r>
    </w:p>
    <w:p w:rsidR="001679CE" w:rsidRPr="001679CE" w:rsidRDefault="00C431B3" w:rsidP="001679CE">
      <w:pPr>
        <w:pStyle w:val="xl19"/>
        <w:numPr>
          <w:ilvl w:val="0"/>
          <w:numId w:val="50"/>
        </w:numPr>
        <w:tabs>
          <w:tab w:val="left" w:leader="dot" w:pos="8100"/>
          <w:tab w:val="right" w:pos="8640"/>
        </w:tabs>
        <w:spacing w:before="100" w:beforeAutospacing="1" w:after="100" w:afterAutospacing="1"/>
      </w:pPr>
      <w:r>
        <w:rPr>
          <w:bCs/>
        </w:rPr>
        <w:t>Extending Technology Refresh</w:t>
      </w:r>
      <w:r w:rsidDel="00092BDE">
        <w:rPr>
          <w:bCs/>
        </w:rPr>
        <w:t xml:space="preserve"> </w:t>
      </w:r>
      <w:r w:rsidR="001679CE" w:rsidRPr="00762F09">
        <w:rPr>
          <w:bCs/>
        </w:rPr>
        <w:tab/>
      </w:r>
      <w:r w:rsidR="0098795E">
        <w:rPr>
          <w:bCs/>
        </w:rPr>
        <w:t>64</w:t>
      </w:r>
    </w:p>
    <w:p w:rsidR="001679CE" w:rsidRPr="001679CE" w:rsidRDefault="00C431B3" w:rsidP="001679CE">
      <w:pPr>
        <w:pStyle w:val="xl19"/>
        <w:numPr>
          <w:ilvl w:val="0"/>
          <w:numId w:val="50"/>
        </w:numPr>
        <w:tabs>
          <w:tab w:val="left" w:leader="dot" w:pos="8100"/>
          <w:tab w:val="right" w:pos="8640"/>
        </w:tabs>
        <w:spacing w:before="100" w:beforeAutospacing="1" w:after="100" w:afterAutospacing="1"/>
      </w:pPr>
      <w:r>
        <w:rPr>
          <w:bCs/>
        </w:rPr>
        <w:t>Reduce Physical Footprint</w:t>
      </w:r>
      <w:r w:rsidDel="00092BDE">
        <w:rPr>
          <w:bCs/>
        </w:rPr>
        <w:t xml:space="preserve"> </w:t>
      </w:r>
      <w:r w:rsidR="001679CE" w:rsidRPr="00762F09">
        <w:rPr>
          <w:bCs/>
        </w:rPr>
        <w:tab/>
      </w:r>
      <w:r w:rsidR="0098795E">
        <w:rPr>
          <w:bCs/>
        </w:rPr>
        <w:t>66</w:t>
      </w:r>
    </w:p>
    <w:p w:rsidR="001679CE" w:rsidRPr="001679CE" w:rsidRDefault="00C431B3" w:rsidP="001679CE">
      <w:pPr>
        <w:pStyle w:val="xl19"/>
        <w:numPr>
          <w:ilvl w:val="0"/>
          <w:numId w:val="50"/>
        </w:numPr>
        <w:tabs>
          <w:tab w:val="left" w:leader="dot" w:pos="8100"/>
          <w:tab w:val="right" w:pos="8640"/>
        </w:tabs>
        <w:spacing w:before="100" w:beforeAutospacing="1" w:after="100" w:afterAutospacing="1"/>
      </w:pPr>
      <w:r>
        <w:rPr>
          <w:bCs/>
        </w:rPr>
        <w:t>Consolidate Task Forces</w:t>
      </w:r>
      <w:r w:rsidDel="00092BDE">
        <w:rPr>
          <w:bCs/>
        </w:rPr>
        <w:t xml:space="preserve"> </w:t>
      </w:r>
      <w:r w:rsidR="001679CE" w:rsidRPr="00762F09">
        <w:rPr>
          <w:bCs/>
        </w:rPr>
        <w:tab/>
      </w:r>
      <w:r w:rsidR="0098795E">
        <w:rPr>
          <w:bCs/>
        </w:rPr>
        <w:t>68</w:t>
      </w:r>
    </w:p>
    <w:p w:rsidR="001679CE" w:rsidRDefault="001679CE" w:rsidP="001679CE">
      <w:pPr>
        <w:pStyle w:val="xl19"/>
        <w:tabs>
          <w:tab w:val="left" w:leader="dot" w:pos="8100"/>
          <w:tab w:val="right" w:pos="8640"/>
        </w:tabs>
        <w:spacing w:before="100" w:beforeAutospacing="1" w:after="100" w:afterAutospacing="1"/>
        <w:ind w:left="1800"/>
      </w:pPr>
    </w:p>
    <w:p w:rsidR="00EF1E86" w:rsidRDefault="00EF1E86" w:rsidP="006B1557">
      <w:pPr>
        <w:pStyle w:val="xl19"/>
        <w:tabs>
          <w:tab w:val="left" w:leader="dot" w:pos="8100"/>
          <w:tab w:val="right" w:pos="8640"/>
        </w:tabs>
        <w:spacing w:before="100" w:beforeAutospacing="1" w:after="100" w:afterAutospacing="1"/>
        <w:rPr>
          <w:bCs/>
        </w:rPr>
      </w:pPr>
    </w:p>
    <w:p w:rsidR="00FA2AAB" w:rsidRPr="00762F09" w:rsidRDefault="00FA2AAB" w:rsidP="006B1557">
      <w:pPr>
        <w:tabs>
          <w:tab w:val="left" w:leader="dot" w:pos="7920"/>
          <w:tab w:val="right" w:pos="8640"/>
        </w:tabs>
        <w:spacing w:before="100" w:beforeAutospacing="1" w:after="100" w:afterAutospacing="1"/>
      </w:pPr>
      <w:r>
        <w:rPr>
          <w:b/>
        </w:rPr>
        <w:t xml:space="preserve">VII.   </w:t>
      </w:r>
      <w:r w:rsidRPr="00762F09">
        <w:rPr>
          <w:b/>
        </w:rPr>
        <w:t>Exhibits</w:t>
      </w:r>
    </w:p>
    <w:p w:rsidR="00FA2AAB" w:rsidRPr="00762F09" w:rsidRDefault="00FA2AAB" w:rsidP="005027FD">
      <w:pPr>
        <w:numPr>
          <w:ilvl w:val="0"/>
          <w:numId w:val="6"/>
        </w:numPr>
        <w:tabs>
          <w:tab w:val="left" w:leader="dot" w:pos="7920"/>
          <w:tab w:val="right" w:pos="8640"/>
        </w:tabs>
        <w:spacing w:before="100" w:beforeAutospacing="1" w:after="100" w:afterAutospacing="1"/>
        <w:rPr>
          <w:bCs/>
        </w:rPr>
      </w:pPr>
      <w:r w:rsidRPr="00762F09">
        <w:rPr>
          <w:bCs/>
        </w:rPr>
        <w:t xml:space="preserve"> Organizational Chart</w:t>
      </w:r>
      <w:r w:rsidRPr="00762F09">
        <w:rPr>
          <w:bCs/>
        </w:rPr>
        <w:tab/>
        <w:t xml:space="preserve"> </w:t>
      </w:r>
    </w:p>
    <w:p w:rsidR="00FA2AAB" w:rsidRPr="00762F09" w:rsidRDefault="00FA2AAB" w:rsidP="005027FD">
      <w:pPr>
        <w:numPr>
          <w:ilvl w:val="0"/>
          <w:numId w:val="6"/>
        </w:numPr>
        <w:tabs>
          <w:tab w:val="clear" w:pos="720"/>
          <w:tab w:val="num" w:pos="900"/>
          <w:tab w:val="left" w:leader="dot" w:pos="7920"/>
          <w:tab w:val="right" w:pos="8640"/>
        </w:tabs>
        <w:spacing w:before="100" w:beforeAutospacing="1" w:after="100" w:afterAutospacing="1"/>
        <w:outlineLvl w:val="0"/>
        <w:rPr>
          <w:bCs/>
        </w:rPr>
      </w:pPr>
      <w:bookmarkStart w:id="2" w:name="_Toc224026859"/>
      <w:r w:rsidRPr="00762F09">
        <w:rPr>
          <w:bCs/>
        </w:rPr>
        <w:t>Summary of Requirements</w:t>
      </w:r>
      <w:bookmarkEnd w:id="2"/>
      <w:r w:rsidRPr="00762F09">
        <w:rPr>
          <w:bCs/>
        </w:rPr>
        <w:tab/>
      </w:r>
    </w:p>
    <w:p w:rsidR="00FA2AAB" w:rsidRPr="00762F09" w:rsidRDefault="00FA2AAB" w:rsidP="005027FD">
      <w:pPr>
        <w:pStyle w:val="xl19"/>
        <w:numPr>
          <w:ilvl w:val="0"/>
          <w:numId w:val="6"/>
        </w:numPr>
        <w:tabs>
          <w:tab w:val="clear" w:pos="720"/>
          <w:tab w:val="num" w:pos="900"/>
          <w:tab w:val="left" w:leader="dot" w:pos="7920"/>
          <w:tab w:val="right" w:pos="8640"/>
        </w:tabs>
        <w:spacing w:before="100" w:beforeAutospacing="1" w:after="100" w:afterAutospacing="1"/>
        <w:rPr>
          <w:bCs/>
        </w:rPr>
      </w:pPr>
      <w:r w:rsidRPr="00762F09">
        <w:rPr>
          <w:bCs/>
        </w:rPr>
        <w:t>Program Increases by Decision Unit</w:t>
      </w:r>
      <w:r w:rsidRPr="00762F09">
        <w:rPr>
          <w:bCs/>
        </w:rPr>
        <w:tab/>
      </w:r>
    </w:p>
    <w:p w:rsidR="00FA2AAB" w:rsidRPr="00762F09" w:rsidRDefault="00FA2AAB" w:rsidP="005027FD">
      <w:pPr>
        <w:numPr>
          <w:ilvl w:val="0"/>
          <w:numId w:val="6"/>
        </w:numPr>
        <w:tabs>
          <w:tab w:val="clear" w:pos="720"/>
          <w:tab w:val="num" w:pos="900"/>
          <w:tab w:val="left" w:leader="dot" w:pos="7920"/>
          <w:tab w:val="right" w:pos="8640"/>
        </w:tabs>
        <w:spacing w:before="100" w:beforeAutospacing="1" w:after="100" w:afterAutospacing="1"/>
        <w:rPr>
          <w:bCs/>
        </w:rPr>
      </w:pPr>
      <w:r w:rsidRPr="00762F09">
        <w:rPr>
          <w:bCs/>
        </w:rPr>
        <w:t>Resources by DOJ Strategic Goal/Objective</w:t>
      </w:r>
      <w:r w:rsidR="00B354EC">
        <w:rPr>
          <w:bCs/>
        </w:rPr>
        <w:t xml:space="preserve"> </w:t>
      </w:r>
      <w:r w:rsidRPr="00762F09">
        <w:rPr>
          <w:bCs/>
        </w:rPr>
        <w:tab/>
        <w:t xml:space="preserve">  </w:t>
      </w:r>
      <w:r w:rsidRPr="00762F09">
        <w:rPr>
          <w:bCs/>
        </w:rPr>
        <w:tab/>
      </w:r>
    </w:p>
    <w:p w:rsidR="00FA2AAB" w:rsidRPr="00762F09" w:rsidRDefault="00FA2AAB" w:rsidP="005027FD">
      <w:pPr>
        <w:pStyle w:val="List"/>
        <w:numPr>
          <w:ilvl w:val="0"/>
          <w:numId w:val="6"/>
        </w:numPr>
        <w:tabs>
          <w:tab w:val="clear" w:pos="720"/>
          <w:tab w:val="num" w:pos="900"/>
          <w:tab w:val="left" w:leader="dot" w:pos="7920"/>
          <w:tab w:val="right" w:pos="8640"/>
        </w:tabs>
        <w:spacing w:before="100" w:beforeAutospacing="1" w:after="100" w:afterAutospacing="1" w:line="240" w:lineRule="auto"/>
        <w:rPr>
          <w:rFonts w:ascii="Times New Roman" w:hAnsi="Times New Roman"/>
          <w:bCs/>
          <w:spacing w:val="0"/>
          <w:szCs w:val="24"/>
        </w:rPr>
      </w:pPr>
      <w:r w:rsidRPr="00762F09">
        <w:rPr>
          <w:rFonts w:ascii="Times New Roman" w:hAnsi="Times New Roman"/>
          <w:bCs/>
          <w:szCs w:val="24"/>
        </w:rPr>
        <w:t>Justification for Base Adjustments</w:t>
      </w:r>
      <w:r w:rsidRPr="00762F09">
        <w:rPr>
          <w:rFonts w:ascii="Times New Roman" w:hAnsi="Times New Roman"/>
          <w:bCs/>
          <w:spacing w:val="0"/>
          <w:szCs w:val="24"/>
        </w:rPr>
        <w:tab/>
      </w:r>
    </w:p>
    <w:p w:rsidR="00FA2AAB" w:rsidRPr="00762F09" w:rsidRDefault="00FA2AAB" w:rsidP="005027FD">
      <w:pPr>
        <w:numPr>
          <w:ilvl w:val="0"/>
          <w:numId w:val="6"/>
        </w:numPr>
        <w:tabs>
          <w:tab w:val="clear" w:pos="720"/>
          <w:tab w:val="num" w:pos="900"/>
          <w:tab w:val="left" w:leader="dot" w:pos="7920"/>
          <w:tab w:val="right" w:pos="8640"/>
        </w:tabs>
        <w:spacing w:before="100" w:beforeAutospacing="1" w:after="100" w:afterAutospacing="1"/>
      </w:pPr>
      <w:r w:rsidRPr="00762F09">
        <w:rPr>
          <w:bCs/>
        </w:rPr>
        <w:t>Crosswalk of 20</w:t>
      </w:r>
      <w:r w:rsidR="00AA0056">
        <w:rPr>
          <w:bCs/>
        </w:rPr>
        <w:t>10</w:t>
      </w:r>
      <w:r w:rsidRPr="00762F09">
        <w:rPr>
          <w:bCs/>
        </w:rPr>
        <w:t xml:space="preserve"> Availability</w:t>
      </w:r>
      <w:r w:rsidRPr="00762F09">
        <w:tab/>
      </w:r>
    </w:p>
    <w:p w:rsidR="00FA2AAB" w:rsidRPr="00762F09" w:rsidRDefault="00FA2AAB" w:rsidP="005027FD">
      <w:pPr>
        <w:numPr>
          <w:ilvl w:val="0"/>
          <w:numId w:val="6"/>
        </w:numPr>
        <w:tabs>
          <w:tab w:val="clear" w:pos="720"/>
          <w:tab w:val="num" w:pos="900"/>
          <w:tab w:val="left" w:leader="dot" w:pos="7920"/>
          <w:tab w:val="right" w:pos="8640"/>
        </w:tabs>
        <w:spacing w:before="100" w:beforeAutospacing="1" w:after="100" w:afterAutospacing="1"/>
      </w:pPr>
      <w:r w:rsidRPr="00762F09">
        <w:rPr>
          <w:bCs/>
        </w:rPr>
        <w:t>Crosswalk of 20</w:t>
      </w:r>
      <w:r>
        <w:rPr>
          <w:bCs/>
        </w:rPr>
        <w:t>1</w:t>
      </w:r>
      <w:r w:rsidR="00AA0056">
        <w:rPr>
          <w:bCs/>
        </w:rPr>
        <w:t>1</w:t>
      </w:r>
      <w:r w:rsidRPr="00762F09">
        <w:rPr>
          <w:bCs/>
        </w:rPr>
        <w:t xml:space="preserve"> Availability</w:t>
      </w:r>
      <w:r w:rsidR="00B354EC">
        <w:rPr>
          <w:bCs/>
        </w:rPr>
        <w:t xml:space="preserve"> </w:t>
      </w:r>
      <w:r w:rsidRPr="00762F09">
        <w:tab/>
      </w:r>
    </w:p>
    <w:p w:rsidR="00FA2AAB" w:rsidRPr="00762F09" w:rsidRDefault="00FA2AAB" w:rsidP="005027FD">
      <w:pPr>
        <w:numPr>
          <w:ilvl w:val="0"/>
          <w:numId w:val="6"/>
        </w:numPr>
        <w:tabs>
          <w:tab w:val="clear" w:pos="720"/>
          <w:tab w:val="num" w:pos="900"/>
          <w:tab w:val="left" w:leader="dot" w:pos="7920"/>
          <w:tab w:val="right" w:pos="8640"/>
        </w:tabs>
        <w:spacing w:before="100" w:beforeAutospacing="1" w:after="100" w:afterAutospacing="1"/>
        <w:rPr>
          <w:bCs/>
        </w:rPr>
      </w:pPr>
      <w:r w:rsidRPr="00762F09">
        <w:rPr>
          <w:bCs/>
        </w:rPr>
        <w:t>Summary of Reimbursable Resources</w:t>
      </w:r>
      <w:r w:rsidRPr="00762F09">
        <w:rPr>
          <w:bCs/>
        </w:rPr>
        <w:tab/>
      </w:r>
    </w:p>
    <w:p w:rsidR="00FA2AAB" w:rsidRPr="00762F09" w:rsidRDefault="00FA2AAB" w:rsidP="005027FD">
      <w:pPr>
        <w:numPr>
          <w:ilvl w:val="0"/>
          <w:numId w:val="6"/>
        </w:numPr>
        <w:tabs>
          <w:tab w:val="clear" w:pos="720"/>
          <w:tab w:val="num" w:pos="900"/>
          <w:tab w:val="left" w:leader="dot" w:pos="7920"/>
          <w:tab w:val="right" w:pos="8640"/>
        </w:tabs>
        <w:spacing w:before="100" w:beforeAutospacing="1" w:after="100" w:afterAutospacing="1"/>
        <w:rPr>
          <w:bCs/>
        </w:rPr>
      </w:pPr>
      <w:r w:rsidRPr="00762F09">
        <w:rPr>
          <w:bCs/>
        </w:rPr>
        <w:t>Detail of Permanent Positions by Category</w:t>
      </w:r>
      <w:r w:rsidRPr="00762F09">
        <w:rPr>
          <w:bCs/>
        </w:rPr>
        <w:tab/>
      </w:r>
    </w:p>
    <w:p w:rsidR="00FA2AAB" w:rsidRPr="00762F09" w:rsidRDefault="00FA2AAB" w:rsidP="005027FD">
      <w:pPr>
        <w:numPr>
          <w:ilvl w:val="0"/>
          <w:numId w:val="6"/>
        </w:numPr>
        <w:tabs>
          <w:tab w:val="clear" w:pos="720"/>
          <w:tab w:val="num" w:pos="900"/>
          <w:tab w:val="left" w:leader="dot" w:pos="7920"/>
          <w:tab w:val="right" w:pos="8640"/>
        </w:tabs>
        <w:spacing w:before="100" w:beforeAutospacing="1" w:after="100" w:afterAutospacing="1"/>
        <w:rPr>
          <w:bCs/>
        </w:rPr>
      </w:pPr>
      <w:r w:rsidRPr="00762F09">
        <w:rPr>
          <w:bCs/>
        </w:rPr>
        <w:t>Financial Analysis of Program Increases/Offsets</w:t>
      </w:r>
      <w:r w:rsidRPr="00762F09">
        <w:rPr>
          <w:bCs/>
        </w:rPr>
        <w:tab/>
        <w:t xml:space="preserve"> </w:t>
      </w:r>
    </w:p>
    <w:p w:rsidR="00FA2AAB" w:rsidRPr="00762F09" w:rsidRDefault="00FA2AAB" w:rsidP="005027FD">
      <w:pPr>
        <w:numPr>
          <w:ilvl w:val="0"/>
          <w:numId w:val="6"/>
        </w:numPr>
        <w:tabs>
          <w:tab w:val="clear" w:pos="720"/>
          <w:tab w:val="num" w:pos="900"/>
          <w:tab w:val="left" w:leader="dot" w:pos="7920"/>
          <w:tab w:val="right" w:pos="8640"/>
        </w:tabs>
        <w:spacing w:before="100" w:beforeAutospacing="1" w:after="100" w:afterAutospacing="1"/>
        <w:rPr>
          <w:bCs/>
        </w:rPr>
      </w:pPr>
      <w:r w:rsidRPr="00762F09">
        <w:rPr>
          <w:bCs/>
        </w:rPr>
        <w:t>Summary of Requirements by Grade</w:t>
      </w:r>
      <w:r w:rsidRPr="00762F09">
        <w:rPr>
          <w:bCs/>
        </w:rPr>
        <w:tab/>
      </w:r>
    </w:p>
    <w:p w:rsidR="00FA2AAB" w:rsidRPr="00762F09" w:rsidRDefault="00FA2AAB" w:rsidP="005027FD">
      <w:pPr>
        <w:numPr>
          <w:ilvl w:val="0"/>
          <w:numId w:val="6"/>
        </w:numPr>
        <w:tabs>
          <w:tab w:val="clear" w:pos="720"/>
          <w:tab w:val="num" w:pos="900"/>
          <w:tab w:val="left" w:leader="dot" w:pos="7920"/>
          <w:tab w:val="right" w:pos="8640"/>
        </w:tabs>
        <w:spacing w:before="100" w:beforeAutospacing="1" w:after="100" w:afterAutospacing="1"/>
        <w:rPr>
          <w:bCs/>
        </w:rPr>
      </w:pPr>
      <w:r w:rsidRPr="00762F09">
        <w:rPr>
          <w:bCs/>
        </w:rPr>
        <w:t>Summary of Requirements by Object Class</w:t>
      </w:r>
      <w:r w:rsidRPr="00762F09">
        <w:rPr>
          <w:bCs/>
        </w:rPr>
        <w:tab/>
      </w:r>
    </w:p>
    <w:p w:rsidR="00AA0056" w:rsidRPr="00DF3CAB" w:rsidRDefault="00AA0056" w:rsidP="00A01139">
      <w:pPr>
        <w:tabs>
          <w:tab w:val="left" w:leader="dot" w:pos="7920"/>
          <w:tab w:val="right" w:pos="8640"/>
        </w:tabs>
        <w:spacing w:before="100" w:beforeAutospacing="1" w:after="100" w:afterAutospacing="1"/>
        <w:ind w:left="720"/>
        <w:rPr>
          <w:bCs/>
        </w:rPr>
      </w:pPr>
    </w:p>
    <w:p w:rsidR="008216C3" w:rsidRDefault="008216C3">
      <w:pPr>
        <w:tabs>
          <w:tab w:val="left" w:leader="dot" w:pos="7920"/>
          <w:tab w:val="right" w:pos="8640"/>
        </w:tabs>
        <w:spacing w:before="100" w:beforeAutospacing="1" w:after="100" w:afterAutospacing="1"/>
        <w:rPr>
          <w:bCs/>
        </w:rPr>
      </w:pPr>
    </w:p>
    <w:p w:rsidR="00AA0056" w:rsidRPr="00762F09" w:rsidRDefault="00AA0056" w:rsidP="003927C0">
      <w:pPr>
        <w:tabs>
          <w:tab w:val="left" w:leader="dot" w:pos="7920"/>
          <w:tab w:val="right" w:pos="8640"/>
        </w:tabs>
        <w:spacing w:before="100" w:beforeAutospacing="1" w:after="100" w:afterAutospacing="1"/>
        <w:ind w:left="360"/>
        <w:rPr>
          <w:bCs/>
        </w:rPr>
      </w:pPr>
    </w:p>
    <w:p w:rsidR="00FA2AAB" w:rsidRPr="007B4320" w:rsidRDefault="00FA2AAB" w:rsidP="007B4320">
      <w:pPr>
        <w:tabs>
          <w:tab w:val="left" w:leader="dot" w:pos="7920"/>
          <w:tab w:val="right" w:pos="8640"/>
        </w:tabs>
        <w:spacing w:before="100" w:beforeAutospacing="1" w:after="100" w:afterAutospacing="1"/>
        <w:ind w:left="720"/>
        <w:rPr>
          <w:bCs/>
        </w:rPr>
      </w:pPr>
    </w:p>
    <w:p w:rsidR="00FA2AAB" w:rsidRPr="00762F09" w:rsidRDefault="00FA2AAB" w:rsidP="005027FD">
      <w:pPr>
        <w:tabs>
          <w:tab w:val="left" w:pos="900"/>
          <w:tab w:val="left" w:leader="dot" w:pos="7920"/>
          <w:tab w:val="right" w:pos="8640"/>
        </w:tabs>
        <w:spacing w:before="100" w:beforeAutospacing="1" w:after="100" w:afterAutospacing="1"/>
        <w:ind w:left="360"/>
        <w:rPr>
          <w:bCs/>
        </w:rPr>
      </w:pPr>
      <w:r w:rsidRPr="00762F09">
        <w:rPr>
          <w:bCs/>
        </w:rPr>
        <w:t xml:space="preserve">      </w:t>
      </w:r>
      <w:r w:rsidRPr="00762F09">
        <w:rPr>
          <w:bCs/>
        </w:rPr>
        <w:tab/>
        <w:t xml:space="preserve">        </w:t>
      </w:r>
    </w:p>
    <w:p w:rsidR="00FA2AAB" w:rsidRPr="00762F09" w:rsidRDefault="00FA2AAB" w:rsidP="005027FD">
      <w:pPr>
        <w:tabs>
          <w:tab w:val="left" w:pos="900"/>
          <w:tab w:val="left" w:leader="dot" w:pos="7920"/>
          <w:tab w:val="right" w:pos="8640"/>
        </w:tabs>
        <w:spacing w:before="100" w:beforeAutospacing="1" w:after="100" w:afterAutospacing="1"/>
        <w:rPr>
          <w:bCs/>
        </w:rPr>
        <w:sectPr w:rsidR="00FA2AAB" w:rsidRPr="00762F09" w:rsidSect="005027FD">
          <w:headerReference w:type="even" r:id="rId9"/>
          <w:headerReference w:type="default" r:id="rId10"/>
          <w:footerReference w:type="even" r:id="rId11"/>
          <w:footerReference w:type="default" r:id="rId12"/>
          <w:footnotePr>
            <w:numStart w:val="8"/>
          </w:footnotePr>
          <w:pgSz w:w="12240" w:h="15840" w:code="1"/>
          <w:pgMar w:top="1440" w:right="1440" w:bottom="1440" w:left="1440" w:header="720" w:footer="720" w:gutter="0"/>
          <w:pgNumType w:start="1"/>
          <w:cols w:space="720"/>
          <w:noEndnote/>
          <w:docGrid w:linePitch="272"/>
        </w:sectPr>
      </w:pPr>
    </w:p>
    <w:p w:rsidR="00FA2AAB" w:rsidRPr="00762F09" w:rsidRDefault="00FA2AAB" w:rsidP="005027FD">
      <w:pPr>
        <w:tabs>
          <w:tab w:val="left" w:pos="900"/>
          <w:tab w:val="left" w:leader="dot" w:pos="7920"/>
          <w:tab w:val="right" w:pos="8640"/>
        </w:tabs>
        <w:spacing w:before="100" w:beforeAutospacing="1" w:after="100" w:afterAutospacing="1"/>
        <w:rPr>
          <w:bCs/>
        </w:rPr>
      </w:pPr>
      <w:r w:rsidRPr="00762F09">
        <w:rPr>
          <w:b/>
          <w:bCs/>
        </w:rPr>
        <w:lastRenderedPageBreak/>
        <w:t xml:space="preserve">I.  Overview for the Bureau of Alcohol, Tobacco, Firearms and Explosives </w:t>
      </w:r>
    </w:p>
    <w:p w:rsidR="00FA2AAB" w:rsidRDefault="00FA2AAB" w:rsidP="005027FD">
      <w:pPr>
        <w:pStyle w:val="Heading8"/>
        <w:tabs>
          <w:tab w:val="left" w:pos="540"/>
        </w:tabs>
        <w:spacing w:before="100" w:beforeAutospacing="1" w:after="100" w:afterAutospacing="1"/>
        <w:rPr>
          <w:bCs/>
          <w:szCs w:val="24"/>
        </w:rPr>
      </w:pPr>
      <w:r w:rsidRPr="00762F09">
        <w:rPr>
          <w:bCs/>
          <w:szCs w:val="24"/>
        </w:rPr>
        <w:t>A.   Summary of Budget Request</w:t>
      </w:r>
      <w:r>
        <w:rPr>
          <w:bCs/>
          <w:szCs w:val="24"/>
        </w:rPr>
        <w:t xml:space="preserve"> </w:t>
      </w:r>
    </w:p>
    <w:p w:rsidR="00FA2AAB" w:rsidRDefault="00B376C4" w:rsidP="0085074C">
      <w:pPr>
        <w:pStyle w:val="Heading8"/>
        <w:tabs>
          <w:tab w:val="left" w:pos="540"/>
        </w:tabs>
        <w:spacing w:before="100" w:beforeAutospacing="1" w:after="100" w:afterAutospacing="1"/>
        <w:rPr>
          <w:b w:val="0"/>
          <w:szCs w:val="24"/>
        </w:rPr>
      </w:pPr>
      <w:r>
        <w:rPr>
          <w:b w:val="0"/>
        </w:rPr>
        <w:t xml:space="preserve">The Bureau of Alcohol, Tobacco, Firearms and Explosives (ATF) </w:t>
      </w:r>
      <w:r w:rsidR="00FA2AAB" w:rsidRPr="009F6734">
        <w:rPr>
          <w:b w:val="0"/>
        </w:rPr>
        <w:t>requests $</w:t>
      </w:r>
      <w:r w:rsidR="00DF3CAB">
        <w:rPr>
          <w:b w:val="0"/>
        </w:rPr>
        <w:t>1,147,295,000</w:t>
      </w:r>
      <w:r w:rsidR="00FA2AAB" w:rsidRPr="009F6734">
        <w:rPr>
          <w:b w:val="0"/>
        </w:rPr>
        <w:t xml:space="preserve"> for FY </w:t>
      </w:r>
      <w:r w:rsidRPr="009F6734">
        <w:rPr>
          <w:b w:val="0"/>
        </w:rPr>
        <w:t>201</w:t>
      </w:r>
      <w:r>
        <w:rPr>
          <w:b w:val="0"/>
        </w:rPr>
        <w:t>2</w:t>
      </w:r>
      <w:r w:rsidR="00FA2AAB" w:rsidRPr="009F6734">
        <w:rPr>
          <w:b w:val="0"/>
        </w:rPr>
        <w:t xml:space="preserve">, including </w:t>
      </w:r>
      <w:r w:rsidR="00DF3CAB">
        <w:rPr>
          <w:b w:val="0"/>
        </w:rPr>
        <w:t>5,181</w:t>
      </w:r>
      <w:r w:rsidR="0030232B" w:rsidRPr="009F6734">
        <w:rPr>
          <w:b w:val="0"/>
        </w:rPr>
        <w:t xml:space="preserve"> </w:t>
      </w:r>
      <w:r w:rsidR="00FA2AAB" w:rsidRPr="009F6734">
        <w:rPr>
          <w:b w:val="0"/>
        </w:rPr>
        <w:t xml:space="preserve">positions and </w:t>
      </w:r>
      <w:r w:rsidR="00DF3CAB">
        <w:rPr>
          <w:b w:val="0"/>
        </w:rPr>
        <w:t>5,</w:t>
      </w:r>
      <w:r w:rsidR="00D86E5C">
        <w:rPr>
          <w:b w:val="0"/>
        </w:rPr>
        <w:t>147</w:t>
      </w:r>
      <w:r w:rsidR="00D86E5C" w:rsidRPr="009F6734">
        <w:rPr>
          <w:b w:val="0"/>
        </w:rPr>
        <w:t xml:space="preserve"> </w:t>
      </w:r>
      <w:r w:rsidR="00FA2AAB" w:rsidRPr="009F6734">
        <w:rPr>
          <w:b w:val="0"/>
        </w:rPr>
        <w:t xml:space="preserve">full time equivalents (FTE).  </w:t>
      </w:r>
      <w:r w:rsidR="00DF3CAB">
        <w:rPr>
          <w:b w:val="0"/>
        </w:rPr>
        <w:t>This request includes $</w:t>
      </w:r>
      <w:r w:rsidR="00956C5B">
        <w:rPr>
          <w:b w:val="0"/>
        </w:rPr>
        <w:t>58</w:t>
      </w:r>
      <w:r w:rsidR="00272767">
        <w:rPr>
          <w:b w:val="0"/>
        </w:rPr>
        <w:t>,</w:t>
      </w:r>
      <w:r w:rsidR="00956C5B">
        <w:rPr>
          <w:b w:val="0"/>
        </w:rPr>
        <w:t>338</w:t>
      </w:r>
      <w:r w:rsidR="00272767">
        <w:rPr>
          <w:b w:val="0"/>
        </w:rPr>
        <w:t>,000</w:t>
      </w:r>
      <w:r w:rsidR="00DF3CAB">
        <w:rPr>
          <w:b w:val="0"/>
        </w:rPr>
        <w:t xml:space="preserve"> </w:t>
      </w:r>
      <w:r w:rsidR="00272767">
        <w:rPr>
          <w:b w:val="0"/>
        </w:rPr>
        <w:t>in adjustments to base, program improvements of $1,519,000 and program offsets of $27,334,000</w:t>
      </w:r>
      <w:r w:rsidR="006E79E2">
        <w:rPr>
          <w:b w:val="0"/>
        </w:rPr>
        <w:t>.</w:t>
      </w:r>
      <w:r w:rsidR="007C3DAD">
        <w:rPr>
          <w:b w:val="0"/>
        </w:rPr>
        <w:t xml:space="preserve"> </w:t>
      </w:r>
      <w:r w:rsidR="006E79E2">
        <w:rPr>
          <w:b w:val="0"/>
        </w:rPr>
        <w:t xml:space="preserve"> </w:t>
      </w:r>
      <w:r w:rsidR="00FA2AAB" w:rsidRPr="009F6734">
        <w:rPr>
          <w:b w:val="0"/>
        </w:rPr>
        <w:t xml:space="preserve">The FY </w:t>
      </w:r>
      <w:r w:rsidRPr="009F6734">
        <w:rPr>
          <w:b w:val="0"/>
        </w:rPr>
        <w:t>201</w:t>
      </w:r>
      <w:r>
        <w:rPr>
          <w:b w:val="0"/>
        </w:rPr>
        <w:t>2</w:t>
      </w:r>
      <w:r w:rsidRPr="009F6734">
        <w:rPr>
          <w:b w:val="0"/>
        </w:rPr>
        <w:t xml:space="preserve"> </w:t>
      </w:r>
      <w:r w:rsidR="00FA2AAB" w:rsidRPr="009F6734">
        <w:rPr>
          <w:b w:val="0"/>
        </w:rPr>
        <w:t xml:space="preserve">request supports ATF and Department of Justice </w:t>
      </w:r>
      <w:r w:rsidR="00240FEA">
        <w:rPr>
          <w:b w:val="0"/>
        </w:rPr>
        <w:t xml:space="preserve">(DOJ) </w:t>
      </w:r>
      <w:r w:rsidR="00FA2AAB" w:rsidRPr="009F6734">
        <w:rPr>
          <w:b w:val="0"/>
        </w:rPr>
        <w:t xml:space="preserve">priorities </w:t>
      </w:r>
      <w:r>
        <w:rPr>
          <w:b w:val="0"/>
        </w:rPr>
        <w:t>for</w:t>
      </w:r>
      <w:r w:rsidRPr="009F6734">
        <w:rPr>
          <w:b w:val="0"/>
        </w:rPr>
        <w:t xml:space="preserve"> reduc</w:t>
      </w:r>
      <w:r>
        <w:rPr>
          <w:b w:val="0"/>
        </w:rPr>
        <w:t>ing</w:t>
      </w:r>
      <w:r w:rsidRPr="009F6734">
        <w:rPr>
          <w:b w:val="0"/>
        </w:rPr>
        <w:t xml:space="preserve"> </w:t>
      </w:r>
      <w:r w:rsidR="00FA2AAB" w:rsidRPr="009F6734">
        <w:rPr>
          <w:b w:val="0"/>
        </w:rPr>
        <w:t>violent crime</w:t>
      </w:r>
      <w:r w:rsidR="00FA2AAB">
        <w:rPr>
          <w:b w:val="0"/>
        </w:rPr>
        <w:t>,</w:t>
      </w:r>
      <w:r w:rsidR="00FA2AAB" w:rsidRPr="009F6734">
        <w:rPr>
          <w:b w:val="0"/>
        </w:rPr>
        <w:t xml:space="preserve"> detect</w:t>
      </w:r>
      <w:r>
        <w:rPr>
          <w:b w:val="0"/>
        </w:rPr>
        <w:t>ing</w:t>
      </w:r>
      <w:r w:rsidR="00FA2AAB" w:rsidRPr="009F6734">
        <w:rPr>
          <w:b w:val="0"/>
        </w:rPr>
        <w:t xml:space="preserve"> and prevent</w:t>
      </w:r>
      <w:r>
        <w:rPr>
          <w:b w:val="0"/>
        </w:rPr>
        <w:t>ing</w:t>
      </w:r>
      <w:r w:rsidR="00FA2AAB" w:rsidRPr="009F6734">
        <w:rPr>
          <w:b w:val="0"/>
        </w:rPr>
        <w:t xml:space="preserve"> terrorism</w:t>
      </w:r>
      <w:r>
        <w:rPr>
          <w:b w:val="0"/>
        </w:rPr>
        <w:t>,</w:t>
      </w:r>
      <w:r w:rsidR="00FA2AAB" w:rsidRPr="009F6734">
        <w:rPr>
          <w:b w:val="0"/>
        </w:rPr>
        <w:t xml:space="preserve"> and </w:t>
      </w:r>
      <w:r w:rsidRPr="009F6734">
        <w:rPr>
          <w:b w:val="0"/>
        </w:rPr>
        <w:t>enforc</w:t>
      </w:r>
      <w:r>
        <w:rPr>
          <w:b w:val="0"/>
        </w:rPr>
        <w:t>ing</w:t>
      </w:r>
      <w:r w:rsidRPr="009F6734">
        <w:rPr>
          <w:b w:val="0"/>
        </w:rPr>
        <w:t xml:space="preserve"> </w:t>
      </w:r>
      <w:r>
        <w:rPr>
          <w:b w:val="0"/>
        </w:rPr>
        <w:t>F</w:t>
      </w:r>
      <w:r w:rsidRPr="009F6734">
        <w:rPr>
          <w:b w:val="0"/>
        </w:rPr>
        <w:t xml:space="preserve">ederal </w:t>
      </w:r>
      <w:r w:rsidR="00613352" w:rsidRPr="004713CA">
        <w:rPr>
          <w:b w:val="0"/>
        </w:rPr>
        <w:t>firearms</w:t>
      </w:r>
      <w:r w:rsidR="004713CA" w:rsidRPr="004713CA">
        <w:rPr>
          <w:b w:val="0"/>
        </w:rPr>
        <w:t xml:space="preserve"> arson, </w:t>
      </w:r>
      <w:r w:rsidR="00613352" w:rsidRPr="004713CA">
        <w:rPr>
          <w:b w:val="0"/>
        </w:rPr>
        <w:t>explosives</w:t>
      </w:r>
      <w:r w:rsidR="004107B1">
        <w:rPr>
          <w:b w:val="0"/>
        </w:rPr>
        <w:t>,</w:t>
      </w:r>
      <w:r w:rsidR="00FA2AAB" w:rsidRPr="004713CA">
        <w:rPr>
          <w:b w:val="0"/>
        </w:rPr>
        <w:t xml:space="preserve"> </w:t>
      </w:r>
      <w:r w:rsidR="004713CA" w:rsidRPr="004713CA">
        <w:rPr>
          <w:b w:val="0"/>
        </w:rPr>
        <w:t>and</w:t>
      </w:r>
      <w:r w:rsidR="004713CA" w:rsidRPr="009F6734">
        <w:rPr>
          <w:b w:val="0"/>
        </w:rPr>
        <w:t xml:space="preserve"> </w:t>
      </w:r>
      <w:r w:rsidR="004713CA">
        <w:rPr>
          <w:b w:val="0"/>
        </w:rPr>
        <w:t xml:space="preserve">contraband tobacco </w:t>
      </w:r>
      <w:r w:rsidR="00FA2AAB" w:rsidRPr="009F6734">
        <w:rPr>
          <w:b w:val="0"/>
        </w:rPr>
        <w:t>laws</w:t>
      </w:r>
      <w:r w:rsidR="00FA2AAB" w:rsidRPr="00B376C4">
        <w:rPr>
          <w:b w:val="0"/>
        </w:rPr>
        <w:t>.</w:t>
      </w:r>
      <w:r w:rsidRPr="00B376C4">
        <w:rPr>
          <w:b w:val="0"/>
        </w:rPr>
        <w:t xml:space="preserve">  </w:t>
      </w:r>
      <w:r w:rsidR="00AF3424">
        <w:rPr>
          <w:b w:val="0"/>
          <w:szCs w:val="24"/>
        </w:rPr>
        <w:t>These resources will allow ATF to maintain a</w:t>
      </w:r>
      <w:r w:rsidR="0092591F">
        <w:rPr>
          <w:b w:val="0"/>
          <w:szCs w:val="24"/>
        </w:rPr>
        <w:t xml:space="preserve"> focused</w:t>
      </w:r>
      <w:r w:rsidR="00AF3424">
        <w:rPr>
          <w:b w:val="0"/>
          <w:szCs w:val="24"/>
        </w:rPr>
        <w:t xml:space="preserve"> operational capacity</w:t>
      </w:r>
      <w:r w:rsidR="004107B1">
        <w:rPr>
          <w:b w:val="0"/>
          <w:szCs w:val="24"/>
        </w:rPr>
        <w:t>-</w:t>
      </w:r>
      <w:r w:rsidR="006E79E2">
        <w:rPr>
          <w:b w:val="0"/>
          <w:szCs w:val="24"/>
        </w:rPr>
        <w:t xml:space="preserve"> while recognizing efficiencies and cost reductions</w:t>
      </w:r>
      <w:r w:rsidR="00DC34A3">
        <w:rPr>
          <w:b w:val="0"/>
          <w:szCs w:val="24"/>
        </w:rPr>
        <w:t>.</w:t>
      </w:r>
      <w:r w:rsidR="00AF3424">
        <w:rPr>
          <w:b w:val="0"/>
          <w:szCs w:val="24"/>
        </w:rPr>
        <w:t xml:space="preserve"> </w:t>
      </w:r>
    </w:p>
    <w:p w:rsidR="008216C3" w:rsidRDefault="007C3DAD">
      <w:r>
        <w:t xml:space="preserve">Electronic copies of the Department of Justice’s Congressional Budget Justifications and Capital Asset Plan and Business Case exhibits can be viewed or downloaded from the Internet using the Internet address: </w:t>
      </w:r>
    </w:p>
    <w:p w:rsidR="008216C3" w:rsidRDefault="00273F9D">
      <w:hyperlink r:id="rId13" w:history="1">
        <w:r w:rsidR="007C3DAD" w:rsidRPr="002A6D28">
          <w:rPr>
            <w:rStyle w:val="Hyperlink"/>
          </w:rPr>
          <w:t>http://www.justice.gov/02organizations/bpp.htm</w:t>
        </w:r>
      </w:hyperlink>
    </w:p>
    <w:p w:rsidR="00126F07" w:rsidRDefault="00126F07"/>
    <w:p w:rsidR="00FA2AAB" w:rsidRPr="008E6D87" w:rsidRDefault="00B376C4" w:rsidP="00126F07">
      <w:pPr>
        <w:rPr>
          <w:color w:val="548DD4" w:themeColor="text2" w:themeTint="99"/>
        </w:rPr>
      </w:pPr>
      <w:r>
        <w:t>T</w:t>
      </w:r>
      <w:r w:rsidR="00FA2AAB" w:rsidRPr="00762F09">
        <w:t xml:space="preserve">his budget request </w:t>
      </w:r>
      <w:r>
        <w:t>supports</w:t>
      </w:r>
      <w:r w:rsidR="00FA2AAB" w:rsidRPr="00762F09">
        <w:t xml:space="preserve"> ATF’s </w:t>
      </w:r>
      <w:r w:rsidR="006D7B2F">
        <w:t>capacity</w:t>
      </w:r>
      <w:r w:rsidRPr="00762F09">
        <w:t xml:space="preserve"> </w:t>
      </w:r>
      <w:r w:rsidR="00FA2AAB" w:rsidRPr="00762F09">
        <w:t>to:</w:t>
      </w:r>
      <w:r w:rsidR="008E6D87">
        <w:t xml:space="preserve"> </w:t>
      </w:r>
    </w:p>
    <w:p w:rsidR="00FA2AAB" w:rsidRPr="00762F09" w:rsidRDefault="00FA2AAB" w:rsidP="00F92506">
      <w:pPr>
        <w:numPr>
          <w:ilvl w:val="0"/>
          <w:numId w:val="7"/>
        </w:numPr>
        <w:spacing w:before="100" w:beforeAutospacing="1" w:after="100" w:afterAutospacing="1"/>
      </w:pPr>
      <w:r w:rsidRPr="00DC6ABB">
        <w:t xml:space="preserve">Combat </w:t>
      </w:r>
      <w:r>
        <w:t>v</w:t>
      </w:r>
      <w:r w:rsidRPr="00762F09">
        <w:t xml:space="preserve">iolent firearms crimes and </w:t>
      </w:r>
      <w:r w:rsidR="008E6D87" w:rsidRPr="008574D3">
        <w:t xml:space="preserve">illegal </w:t>
      </w:r>
      <w:r w:rsidRPr="00762F09">
        <w:t>firearms trafficking;</w:t>
      </w:r>
    </w:p>
    <w:p w:rsidR="00803B49" w:rsidRPr="00762F09" w:rsidRDefault="00803B49" w:rsidP="00803B49">
      <w:pPr>
        <w:numPr>
          <w:ilvl w:val="0"/>
          <w:numId w:val="7"/>
        </w:numPr>
        <w:spacing w:before="100" w:beforeAutospacing="1" w:after="100" w:afterAutospacing="1"/>
      </w:pPr>
      <w:r w:rsidRPr="00762F09">
        <w:t xml:space="preserve">Reduce the incidence and impact of violent gang activity </w:t>
      </w:r>
      <w:r>
        <w:t>involving firearms and explosives</w:t>
      </w:r>
      <w:r w:rsidRPr="00762F09">
        <w:t>;</w:t>
      </w:r>
    </w:p>
    <w:p w:rsidR="00FA2AAB" w:rsidRDefault="00FA2AAB" w:rsidP="00F92506">
      <w:pPr>
        <w:numPr>
          <w:ilvl w:val="0"/>
          <w:numId w:val="7"/>
        </w:numPr>
        <w:spacing w:before="100" w:beforeAutospacing="1" w:after="100" w:afterAutospacing="1"/>
      </w:pPr>
      <w:r w:rsidRPr="00762F09">
        <w:t xml:space="preserve">Stem the flow of illegally trafficked firearms and associated violence </w:t>
      </w:r>
      <w:r>
        <w:t>along</w:t>
      </w:r>
      <w:r w:rsidRPr="00762F09">
        <w:t xml:space="preserve"> the </w:t>
      </w:r>
      <w:r>
        <w:t xml:space="preserve">Southwest </w:t>
      </w:r>
      <w:r w:rsidR="008574D3" w:rsidRPr="008574D3">
        <w:t>B</w:t>
      </w:r>
      <w:r w:rsidR="008574D3">
        <w:t>order</w:t>
      </w:r>
      <w:r w:rsidR="008574D3" w:rsidRPr="00762F09">
        <w:t xml:space="preserve"> </w:t>
      </w:r>
      <w:r w:rsidRPr="00762F09">
        <w:t>region</w:t>
      </w:r>
      <w:r>
        <w:t xml:space="preserve"> and other areas of the U.S.</w:t>
      </w:r>
      <w:r w:rsidRPr="00762F09">
        <w:t>;</w:t>
      </w:r>
    </w:p>
    <w:p w:rsidR="005B7717" w:rsidRDefault="005B7717" w:rsidP="00F92506">
      <w:pPr>
        <w:numPr>
          <w:ilvl w:val="0"/>
          <w:numId w:val="7"/>
        </w:numPr>
        <w:spacing w:before="100" w:beforeAutospacing="1" w:after="100" w:afterAutospacing="1"/>
      </w:pPr>
      <w:r>
        <w:t>Support Violent Crime Impact Teams (VCIT);</w:t>
      </w:r>
    </w:p>
    <w:p w:rsidR="00FA2AAB" w:rsidRPr="00E174AA" w:rsidRDefault="00B50615" w:rsidP="001019C8">
      <w:pPr>
        <w:numPr>
          <w:ilvl w:val="0"/>
          <w:numId w:val="7"/>
        </w:numPr>
        <w:spacing w:before="100" w:beforeAutospacing="1" w:after="100" w:afterAutospacing="1"/>
      </w:pPr>
      <w:r>
        <w:t>Interdict the illegal commerce in contraband tobacco and alcohol products</w:t>
      </w:r>
      <w:r w:rsidR="00AD6EDD">
        <w:t xml:space="preserve">; </w:t>
      </w:r>
      <w:r>
        <w:t xml:space="preserve"> </w:t>
      </w:r>
    </w:p>
    <w:p w:rsidR="00FA2AAB" w:rsidRPr="00762F09" w:rsidRDefault="00FA2AAB" w:rsidP="00F92506">
      <w:pPr>
        <w:numPr>
          <w:ilvl w:val="0"/>
          <w:numId w:val="7"/>
        </w:numPr>
        <w:spacing w:before="100" w:beforeAutospacing="1" w:after="100" w:afterAutospacing="1"/>
      </w:pPr>
      <w:r w:rsidRPr="00762F09">
        <w:t>Disrupt and prevent the use of firearms and explosives in terrorist acts;</w:t>
      </w:r>
    </w:p>
    <w:p w:rsidR="00FA2AAB" w:rsidRPr="00762F09" w:rsidRDefault="00FA2AAB" w:rsidP="00F92506">
      <w:pPr>
        <w:numPr>
          <w:ilvl w:val="0"/>
          <w:numId w:val="7"/>
        </w:numPr>
        <w:spacing w:before="100" w:beforeAutospacing="1" w:after="100" w:afterAutospacing="1"/>
      </w:pPr>
      <w:r>
        <w:t>Disseminate and leverage ATF’s technical expertise in</w:t>
      </w:r>
      <w:r w:rsidRPr="00762F09">
        <w:t xml:space="preserve"> explosives</w:t>
      </w:r>
      <w:r>
        <w:t>, improvised explosive devices (IEDs), and post-blast investigations by providing advanced</w:t>
      </w:r>
      <w:r w:rsidRPr="00762F09">
        <w:t xml:space="preserve"> training </w:t>
      </w:r>
      <w:r>
        <w:t xml:space="preserve">for </w:t>
      </w:r>
      <w:r w:rsidR="00B376C4">
        <w:t>Federal</w:t>
      </w:r>
      <w:r>
        <w:t xml:space="preserve">, </w:t>
      </w:r>
      <w:r w:rsidR="00B376C4">
        <w:t>State</w:t>
      </w:r>
      <w:r>
        <w:t xml:space="preserve">, local, international </w:t>
      </w:r>
      <w:r w:rsidRPr="00762F09">
        <w:t xml:space="preserve">and </w:t>
      </w:r>
      <w:r>
        <w:t>U.S. military personnel</w:t>
      </w:r>
      <w:r w:rsidRPr="00762F09">
        <w:t>;</w:t>
      </w:r>
    </w:p>
    <w:p w:rsidR="00FA2AAB" w:rsidRPr="00762F09" w:rsidRDefault="00B376C4" w:rsidP="00F92506">
      <w:pPr>
        <w:numPr>
          <w:ilvl w:val="0"/>
          <w:numId w:val="7"/>
        </w:numPr>
        <w:spacing w:before="100" w:beforeAutospacing="1" w:after="100" w:afterAutospacing="1"/>
      </w:pPr>
      <w:r>
        <w:t>Use a</w:t>
      </w:r>
      <w:r w:rsidRPr="00762F09">
        <w:t>dvance</w:t>
      </w:r>
      <w:r>
        <w:t>d technology to share</w:t>
      </w:r>
      <w:r w:rsidRPr="00762F09">
        <w:t xml:space="preserve"> </w:t>
      </w:r>
      <w:r w:rsidR="00FA2AAB" w:rsidRPr="00762F09">
        <w:t xml:space="preserve">information and intelligence among law enforcement agencies and the </w:t>
      </w:r>
      <w:r w:rsidR="00FA2AAB">
        <w:t>I</w:t>
      </w:r>
      <w:r w:rsidR="00FA2AAB" w:rsidRPr="00DC6ABB">
        <w:t xml:space="preserve">ntelligence </w:t>
      </w:r>
      <w:r w:rsidR="00FA2AAB">
        <w:t>C</w:t>
      </w:r>
      <w:r w:rsidR="00FA2AAB" w:rsidRPr="00DC6ABB">
        <w:t>ommunity</w:t>
      </w:r>
      <w:r w:rsidR="00FA2AAB" w:rsidRPr="00762F09">
        <w:t xml:space="preserve">; </w:t>
      </w:r>
    </w:p>
    <w:p w:rsidR="00FA2AAB" w:rsidRDefault="00FA2AAB" w:rsidP="00F92506">
      <w:pPr>
        <w:numPr>
          <w:ilvl w:val="0"/>
          <w:numId w:val="7"/>
        </w:numPr>
        <w:spacing w:before="100" w:beforeAutospacing="1" w:after="100" w:afterAutospacing="1"/>
      </w:pPr>
      <w:r w:rsidRPr="00762F09">
        <w:t xml:space="preserve">Improve efficiencies in managing financial </w:t>
      </w:r>
      <w:r w:rsidR="00CB1DC4" w:rsidRPr="00892B21">
        <w:t>capital</w:t>
      </w:r>
      <w:r w:rsidR="00CB1DC4">
        <w:rPr>
          <w:color w:val="548DD4" w:themeColor="text2" w:themeTint="99"/>
        </w:rPr>
        <w:t xml:space="preserve"> </w:t>
      </w:r>
      <w:r w:rsidRPr="00762F09">
        <w:t xml:space="preserve">and human </w:t>
      </w:r>
      <w:r w:rsidR="00545127" w:rsidRPr="00762F09">
        <w:t>resources</w:t>
      </w:r>
      <w:r w:rsidR="00545127">
        <w:t>; and</w:t>
      </w:r>
    </w:p>
    <w:p w:rsidR="00803B49" w:rsidRDefault="00803B49" w:rsidP="00F92506">
      <w:pPr>
        <w:numPr>
          <w:ilvl w:val="0"/>
          <w:numId w:val="7"/>
        </w:numPr>
        <w:spacing w:before="100" w:beforeAutospacing="1" w:after="100" w:afterAutospacing="1"/>
      </w:pPr>
      <w:r w:rsidRPr="00762F09">
        <w:t xml:space="preserve">Assist </w:t>
      </w:r>
      <w:r>
        <w:t>S</w:t>
      </w:r>
      <w:r w:rsidRPr="00762F09">
        <w:t>tate and local law enforcement agencies in fighting violent crime</w:t>
      </w:r>
      <w:r>
        <w:t>s involving firearms, explosiv</w:t>
      </w:r>
      <w:r w:rsidRPr="00E174AA">
        <w:t>es, and arson</w:t>
      </w:r>
      <w:r w:rsidR="000D2456">
        <w:t>.</w:t>
      </w:r>
    </w:p>
    <w:p w:rsidR="006D7B2F" w:rsidRDefault="006D7B2F" w:rsidP="006D7B2F">
      <w:pPr>
        <w:spacing w:before="100" w:beforeAutospacing="1" w:after="100" w:afterAutospacing="1"/>
        <w:rPr>
          <w:b/>
          <w:bCs/>
        </w:rPr>
      </w:pPr>
      <w:r w:rsidRPr="00762F09">
        <w:rPr>
          <w:b/>
          <w:bCs/>
        </w:rPr>
        <w:t>B.  Mission and Strategic Goals</w:t>
      </w:r>
    </w:p>
    <w:p w:rsidR="00B30D57" w:rsidRDefault="007F1FA3" w:rsidP="00BC75D3">
      <w:pPr>
        <w:pStyle w:val="BodyText"/>
        <w:tabs>
          <w:tab w:val="left" w:pos="0"/>
        </w:tabs>
        <w:spacing w:before="100" w:beforeAutospacing="1" w:after="100" w:afterAutospacing="1"/>
        <w:rPr>
          <w:b/>
          <w:szCs w:val="24"/>
        </w:rPr>
      </w:pPr>
      <w:r w:rsidRPr="00602B73">
        <w:rPr>
          <w:i/>
          <w:color w:val="171E24"/>
        </w:rPr>
        <w:t xml:space="preserve">“[T]he problem of firearms trafficking is more than a Southwest Border issue. It’s a nationwide problem that requires a nationwide commitment.  Firearms trafficking going on away from the border supports equally damaging gang violence and drug trafficking.” </w:t>
      </w:r>
      <w:proofErr w:type="gramStart"/>
      <w:r w:rsidRPr="00602B73">
        <w:rPr>
          <w:color w:val="171E24"/>
        </w:rPr>
        <w:t>–</w:t>
      </w:r>
      <w:r w:rsidR="00B30D57" w:rsidRPr="008574D3">
        <w:rPr>
          <w:color w:val="171E24"/>
        </w:rPr>
        <w:t xml:space="preserve"> Deputy</w:t>
      </w:r>
      <w:proofErr w:type="gramEnd"/>
      <w:r w:rsidR="00B30D57" w:rsidRPr="008574D3">
        <w:rPr>
          <w:color w:val="171E24"/>
        </w:rPr>
        <w:t xml:space="preserve"> Attorney General Ogden at Firearms Trafficking Summit June 30, 2009</w:t>
      </w:r>
    </w:p>
    <w:p w:rsidR="00BC75D3" w:rsidRDefault="00BC75D3" w:rsidP="00BC75D3">
      <w:pPr>
        <w:pStyle w:val="BodyText"/>
        <w:tabs>
          <w:tab w:val="left" w:pos="0"/>
        </w:tabs>
        <w:spacing w:before="100" w:beforeAutospacing="1" w:after="100" w:afterAutospacing="1"/>
        <w:rPr>
          <w:b/>
          <w:szCs w:val="24"/>
        </w:rPr>
      </w:pPr>
      <w:r w:rsidRPr="00095311">
        <w:rPr>
          <w:b/>
          <w:szCs w:val="24"/>
        </w:rPr>
        <w:t>DOJ Strategic Goal 1:</w:t>
      </w:r>
      <w:r>
        <w:rPr>
          <w:b/>
          <w:szCs w:val="24"/>
        </w:rPr>
        <w:t xml:space="preserve">  </w:t>
      </w:r>
      <w:r w:rsidRPr="00095311">
        <w:rPr>
          <w:szCs w:val="24"/>
        </w:rPr>
        <w:t>Prevent Terrorism and Promote the Nation’s Security</w:t>
      </w:r>
      <w:r w:rsidRPr="00E174AA">
        <w:rPr>
          <w:b/>
          <w:szCs w:val="24"/>
        </w:rPr>
        <w:t xml:space="preserve">  </w:t>
      </w:r>
    </w:p>
    <w:p w:rsidR="00BC75D3" w:rsidRDefault="00BC75D3" w:rsidP="00BC75D3">
      <w:pPr>
        <w:pStyle w:val="BodyText"/>
        <w:spacing w:before="100" w:beforeAutospacing="1" w:after="100" w:afterAutospacing="1"/>
        <w:rPr>
          <w:szCs w:val="24"/>
        </w:rPr>
      </w:pPr>
      <w:r w:rsidRPr="00E174AA">
        <w:rPr>
          <w:b/>
          <w:szCs w:val="24"/>
        </w:rPr>
        <w:t xml:space="preserve">DOJ Strategic Goal 2:  </w:t>
      </w:r>
      <w:r w:rsidRPr="00E174AA">
        <w:rPr>
          <w:szCs w:val="24"/>
        </w:rPr>
        <w:t>Prevent Crime, Enforce Federal Laws, and Represent the Rights and Interests of the American People</w:t>
      </w:r>
    </w:p>
    <w:p w:rsidR="008F68A8" w:rsidRPr="00E174AA" w:rsidRDefault="008F68A8" w:rsidP="008F68A8">
      <w:pPr>
        <w:pStyle w:val="BodyText"/>
        <w:spacing w:before="100" w:beforeAutospacing="1" w:after="100" w:afterAutospacing="1"/>
        <w:rPr>
          <w:szCs w:val="24"/>
        </w:rPr>
      </w:pPr>
      <w:r w:rsidRPr="00E174AA">
        <w:rPr>
          <w:szCs w:val="24"/>
        </w:rPr>
        <w:lastRenderedPageBreak/>
        <w:t>Objective 2.2: Reduce the threat, incidence, and prevalence of violent crime</w:t>
      </w:r>
    </w:p>
    <w:p w:rsidR="00BC75D3" w:rsidRDefault="00BC75D3" w:rsidP="00BC75D3">
      <w:pPr>
        <w:pStyle w:val="BodyText"/>
        <w:spacing w:before="100" w:beforeAutospacing="1" w:after="100" w:afterAutospacing="1"/>
        <w:rPr>
          <w:szCs w:val="24"/>
        </w:rPr>
      </w:pPr>
      <w:r>
        <w:rPr>
          <w:szCs w:val="24"/>
        </w:rPr>
        <w:t>ATF’s Strategic Plan for 2010 – 2016 is built around the following strategic priorities:</w:t>
      </w:r>
    </w:p>
    <w:p w:rsidR="00BC75D3" w:rsidRPr="006A4CF0" w:rsidRDefault="00BC75D3" w:rsidP="00BC75D3">
      <w:pPr>
        <w:pStyle w:val="BodyText"/>
        <w:spacing w:before="100" w:beforeAutospacing="1" w:after="100" w:afterAutospacing="1"/>
        <w:rPr>
          <w:szCs w:val="24"/>
        </w:rPr>
      </w:pPr>
      <w:r w:rsidRPr="006A4CF0">
        <w:rPr>
          <w:szCs w:val="24"/>
        </w:rPr>
        <w:t>Mission Activities:</w:t>
      </w:r>
    </w:p>
    <w:p w:rsidR="00BC75D3" w:rsidRDefault="00BC75D3" w:rsidP="00BC75D3">
      <w:pPr>
        <w:pStyle w:val="BodyText"/>
        <w:numPr>
          <w:ilvl w:val="0"/>
          <w:numId w:val="27"/>
        </w:numPr>
        <w:spacing w:before="100" w:beforeAutospacing="1" w:after="100" w:afterAutospacing="1"/>
        <w:rPr>
          <w:szCs w:val="24"/>
        </w:rPr>
      </w:pPr>
      <w:r>
        <w:rPr>
          <w:szCs w:val="24"/>
        </w:rPr>
        <w:t>Illegal Firearms Trafficking</w:t>
      </w:r>
    </w:p>
    <w:p w:rsidR="00BC75D3" w:rsidRDefault="00BC75D3" w:rsidP="00BC75D3">
      <w:pPr>
        <w:pStyle w:val="BodyText"/>
        <w:numPr>
          <w:ilvl w:val="0"/>
          <w:numId w:val="27"/>
        </w:numPr>
        <w:spacing w:before="100" w:beforeAutospacing="1" w:after="100" w:afterAutospacing="1"/>
        <w:rPr>
          <w:szCs w:val="24"/>
        </w:rPr>
      </w:pPr>
      <w:r>
        <w:rPr>
          <w:szCs w:val="24"/>
        </w:rPr>
        <w:t>Criminal Groups and Gangs</w:t>
      </w:r>
    </w:p>
    <w:p w:rsidR="00BC75D3" w:rsidRDefault="00BC75D3" w:rsidP="00BC75D3">
      <w:pPr>
        <w:pStyle w:val="BodyText"/>
        <w:numPr>
          <w:ilvl w:val="0"/>
          <w:numId w:val="27"/>
        </w:numPr>
        <w:spacing w:before="100" w:beforeAutospacing="1" w:after="100" w:afterAutospacing="1"/>
        <w:rPr>
          <w:szCs w:val="24"/>
        </w:rPr>
      </w:pPr>
      <w:r>
        <w:rPr>
          <w:szCs w:val="24"/>
        </w:rPr>
        <w:t>Explosives, Bombs and Bombings</w:t>
      </w:r>
    </w:p>
    <w:p w:rsidR="00BC75D3" w:rsidRDefault="00BC75D3" w:rsidP="00BC75D3">
      <w:pPr>
        <w:pStyle w:val="BodyText"/>
        <w:numPr>
          <w:ilvl w:val="0"/>
          <w:numId w:val="27"/>
        </w:numPr>
        <w:spacing w:before="100" w:beforeAutospacing="1" w:after="100" w:afterAutospacing="1"/>
        <w:rPr>
          <w:szCs w:val="24"/>
        </w:rPr>
      </w:pPr>
      <w:r>
        <w:rPr>
          <w:szCs w:val="24"/>
        </w:rPr>
        <w:t>Fire and Arson</w:t>
      </w:r>
    </w:p>
    <w:p w:rsidR="00BC75D3" w:rsidRDefault="00BC75D3" w:rsidP="00BC75D3">
      <w:pPr>
        <w:pStyle w:val="BodyText"/>
        <w:spacing w:before="100" w:beforeAutospacing="1" w:after="100" w:afterAutospacing="1"/>
        <w:rPr>
          <w:szCs w:val="24"/>
        </w:rPr>
      </w:pPr>
      <w:r w:rsidRPr="00CD752B">
        <w:rPr>
          <w:szCs w:val="24"/>
        </w:rPr>
        <w:t>Management Activities</w:t>
      </w:r>
      <w:r>
        <w:rPr>
          <w:szCs w:val="24"/>
        </w:rPr>
        <w:t>:</w:t>
      </w:r>
    </w:p>
    <w:p w:rsidR="00BC75D3" w:rsidRDefault="00BC75D3" w:rsidP="00BC75D3">
      <w:pPr>
        <w:pStyle w:val="BodyText"/>
        <w:numPr>
          <w:ilvl w:val="0"/>
          <w:numId w:val="27"/>
        </w:numPr>
        <w:spacing w:before="100" w:beforeAutospacing="1" w:after="100" w:afterAutospacing="1"/>
        <w:rPr>
          <w:szCs w:val="24"/>
        </w:rPr>
      </w:pPr>
      <w:r>
        <w:rPr>
          <w:szCs w:val="24"/>
        </w:rPr>
        <w:t>Workforce</w:t>
      </w:r>
    </w:p>
    <w:p w:rsidR="00BC75D3" w:rsidRDefault="00BC75D3" w:rsidP="00BC75D3">
      <w:pPr>
        <w:pStyle w:val="BodyText"/>
        <w:numPr>
          <w:ilvl w:val="0"/>
          <w:numId w:val="27"/>
        </w:numPr>
        <w:tabs>
          <w:tab w:val="left" w:pos="0"/>
        </w:tabs>
        <w:spacing w:before="100" w:beforeAutospacing="1" w:after="100" w:afterAutospacing="1"/>
        <w:rPr>
          <w:szCs w:val="24"/>
        </w:rPr>
      </w:pPr>
      <w:r>
        <w:rPr>
          <w:szCs w:val="24"/>
        </w:rPr>
        <w:t>Modernization</w:t>
      </w:r>
    </w:p>
    <w:p w:rsidR="00BC75D3" w:rsidRPr="00762F09" w:rsidRDefault="00BC75D3" w:rsidP="00BC75D3">
      <w:pPr>
        <w:pStyle w:val="BodyText"/>
        <w:spacing w:before="100" w:beforeAutospacing="1" w:after="100" w:afterAutospacing="1"/>
        <w:rPr>
          <w:szCs w:val="24"/>
        </w:rPr>
      </w:pPr>
      <w:r w:rsidRPr="00762F09">
        <w:rPr>
          <w:b/>
          <w:szCs w:val="24"/>
        </w:rPr>
        <w:t>ATF Strategi</w:t>
      </w:r>
      <w:r w:rsidR="005662C4">
        <w:rPr>
          <w:b/>
          <w:szCs w:val="24"/>
        </w:rPr>
        <w:t>c Goal</w:t>
      </w:r>
      <w:r w:rsidRPr="00762F09">
        <w:rPr>
          <w:b/>
          <w:szCs w:val="24"/>
        </w:rPr>
        <w:t xml:space="preserve">: </w:t>
      </w:r>
      <w:r w:rsidRPr="00762F09">
        <w:rPr>
          <w:bCs/>
          <w:szCs w:val="24"/>
          <w:lang w:val="en-GB"/>
        </w:rPr>
        <w:t>Advance domestic and international explosives expertise to prevent, detect, and investigate acts of violent crime and terrorism and to enhance public safety.</w:t>
      </w:r>
    </w:p>
    <w:p w:rsidR="00BC75D3" w:rsidRPr="00E174AA" w:rsidRDefault="00BC75D3" w:rsidP="00BC75D3">
      <w:pPr>
        <w:pStyle w:val="BodyText"/>
        <w:tabs>
          <w:tab w:val="left" w:pos="0"/>
        </w:tabs>
        <w:spacing w:before="100" w:beforeAutospacing="1" w:after="100" w:afterAutospacing="1"/>
        <w:rPr>
          <w:bCs/>
          <w:szCs w:val="24"/>
          <w:lang w:val="en-GB"/>
        </w:rPr>
      </w:pPr>
      <w:r w:rsidRPr="00E174AA">
        <w:rPr>
          <w:b/>
          <w:szCs w:val="24"/>
        </w:rPr>
        <w:t xml:space="preserve">ATF Strategic </w:t>
      </w:r>
      <w:r w:rsidR="005662C4">
        <w:rPr>
          <w:b/>
          <w:szCs w:val="24"/>
        </w:rPr>
        <w:t>Goal</w:t>
      </w:r>
      <w:r w:rsidRPr="00E174AA">
        <w:rPr>
          <w:b/>
          <w:szCs w:val="24"/>
        </w:rPr>
        <w:t>:</w:t>
      </w:r>
      <w:r w:rsidRPr="00E174AA">
        <w:rPr>
          <w:szCs w:val="24"/>
        </w:rPr>
        <w:t xml:space="preserve"> </w:t>
      </w:r>
      <w:r w:rsidRPr="00E174AA">
        <w:rPr>
          <w:bCs/>
          <w:szCs w:val="24"/>
          <w:lang w:val="en-GB"/>
        </w:rPr>
        <w:t>Reduce violent firearms crimes by strengthening firearms trafficking intelligence gathering, analysis, inspection</w:t>
      </w:r>
      <w:r w:rsidR="004107B1">
        <w:rPr>
          <w:bCs/>
          <w:szCs w:val="24"/>
          <w:lang w:val="en-GB"/>
        </w:rPr>
        <w:t>,</w:t>
      </w:r>
      <w:r w:rsidRPr="00E174AA">
        <w:rPr>
          <w:bCs/>
          <w:szCs w:val="24"/>
          <w:lang w:val="en-GB"/>
        </w:rPr>
        <w:t xml:space="preserve"> and investigative activity.</w:t>
      </w:r>
    </w:p>
    <w:p w:rsidR="00BC75D3" w:rsidRDefault="00BC75D3" w:rsidP="00BC75D3">
      <w:pPr>
        <w:pStyle w:val="BodyText"/>
        <w:tabs>
          <w:tab w:val="left" w:pos="0"/>
        </w:tabs>
        <w:spacing w:before="100" w:beforeAutospacing="1" w:after="100" w:afterAutospacing="1"/>
        <w:rPr>
          <w:bCs/>
          <w:szCs w:val="24"/>
          <w:lang w:val="en-GB"/>
        </w:rPr>
      </w:pPr>
      <w:r w:rsidRPr="00E174AA">
        <w:rPr>
          <w:b/>
          <w:bCs/>
          <w:szCs w:val="24"/>
          <w:lang w:val="en-GB"/>
        </w:rPr>
        <w:t xml:space="preserve">ATF Strategic </w:t>
      </w:r>
      <w:r w:rsidR="005662C4">
        <w:rPr>
          <w:b/>
          <w:bCs/>
          <w:szCs w:val="24"/>
          <w:lang w:val="en-GB"/>
        </w:rPr>
        <w:t>Goal</w:t>
      </w:r>
      <w:r w:rsidRPr="00E174AA">
        <w:rPr>
          <w:bCs/>
          <w:szCs w:val="24"/>
          <w:lang w:val="en-GB"/>
        </w:rPr>
        <w:t xml:space="preserve">: Make our communities safer by expanding our efforts to identify, target, and dismantle criminal gangs and </w:t>
      </w:r>
      <w:r>
        <w:rPr>
          <w:bCs/>
          <w:szCs w:val="24"/>
          <w:lang w:val="en-GB"/>
        </w:rPr>
        <w:t>organized crime enterprises</w:t>
      </w:r>
      <w:r w:rsidRPr="00E174AA">
        <w:rPr>
          <w:bCs/>
          <w:szCs w:val="24"/>
          <w:lang w:val="en-GB"/>
        </w:rPr>
        <w:t xml:space="preserve"> that </w:t>
      </w:r>
      <w:r w:rsidR="004107B1">
        <w:rPr>
          <w:bCs/>
          <w:szCs w:val="24"/>
          <w:lang w:val="en-GB"/>
        </w:rPr>
        <w:t>use</w:t>
      </w:r>
      <w:r w:rsidRPr="00E174AA">
        <w:rPr>
          <w:bCs/>
          <w:szCs w:val="24"/>
          <w:lang w:val="en-GB"/>
        </w:rPr>
        <w:t xml:space="preserve"> firearms, arson, and explosives</w:t>
      </w:r>
      <w:r w:rsidR="00532095">
        <w:rPr>
          <w:bCs/>
          <w:szCs w:val="24"/>
          <w:lang w:val="en-GB"/>
        </w:rPr>
        <w:t xml:space="preserve"> or </w:t>
      </w:r>
      <w:r w:rsidR="004107B1">
        <w:rPr>
          <w:bCs/>
          <w:szCs w:val="24"/>
          <w:lang w:val="en-GB"/>
        </w:rPr>
        <w:t xml:space="preserve">are </w:t>
      </w:r>
      <w:r w:rsidR="00532095">
        <w:rPr>
          <w:bCs/>
          <w:szCs w:val="24"/>
          <w:lang w:val="en-GB"/>
        </w:rPr>
        <w:t xml:space="preserve">involved in illegal alcohol and tobacco diversion </w:t>
      </w:r>
      <w:r w:rsidRPr="00E174AA">
        <w:rPr>
          <w:bCs/>
          <w:szCs w:val="24"/>
          <w:lang w:val="en-GB"/>
        </w:rPr>
        <w:t>in furtherance of violent criminal activity.</w:t>
      </w:r>
    </w:p>
    <w:p w:rsidR="00BC75D3" w:rsidRPr="00E174AA" w:rsidRDefault="00BC75D3" w:rsidP="00BC75D3">
      <w:pPr>
        <w:pStyle w:val="BodyText"/>
        <w:tabs>
          <w:tab w:val="left" w:pos="0"/>
        </w:tabs>
        <w:spacing w:before="100" w:beforeAutospacing="1" w:after="100" w:afterAutospacing="1"/>
        <w:rPr>
          <w:bCs/>
          <w:szCs w:val="24"/>
          <w:lang w:val="en-GB"/>
        </w:rPr>
      </w:pPr>
      <w:r>
        <w:t xml:space="preserve">ATF </w:t>
      </w:r>
      <w:r w:rsidR="00430CE4">
        <w:t xml:space="preserve">prevents </w:t>
      </w:r>
      <w:r w:rsidR="000013B6">
        <w:t xml:space="preserve">terrorism, </w:t>
      </w:r>
      <w:r w:rsidR="00430CE4">
        <w:t>reduces</w:t>
      </w:r>
      <w:r w:rsidR="000013B6">
        <w:t xml:space="preserve"> violent </w:t>
      </w:r>
      <w:r w:rsidR="001B41CC">
        <w:t xml:space="preserve">crime </w:t>
      </w:r>
      <w:r>
        <w:t>and promot</w:t>
      </w:r>
      <w:r w:rsidR="00430CE4">
        <w:t>es</w:t>
      </w:r>
      <w:r>
        <w:t xml:space="preserve"> the nation’s security</w:t>
      </w:r>
      <w:r>
        <w:rPr>
          <w:bCs/>
          <w:szCs w:val="24"/>
          <w:lang w:val="en-GB"/>
        </w:rPr>
        <w:t xml:space="preserve"> </w:t>
      </w:r>
      <w:r w:rsidR="00430CE4">
        <w:rPr>
          <w:bCs/>
          <w:szCs w:val="24"/>
          <w:lang w:val="en-GB"/>
        </w:rPr>
        <w:t xml:space="preserve">by </w:t>
      </w:r>
      <w:r w:rsidRPr="00762F09">
        <w:rPr>
          <w:szCs w:val="24"/>
        </w:rPr>
        <w:t>regulat</w:t>
      </w:r>
      <w:r>
        <w:rPr>
          <w:szCs w:val="24"/>
        </w:rPr>
        <w:t>ing</w:t>
      </w:r>
      <w:r w:rsidRPr="00762F09">
        <w:rPr>
          <w:szCs w:val="24"/>
        </w:rPr>
        <w:t xml:space="preserve"> the explosives industry </w:t>
      </w:r>
      <w:r>
        <w:rPr>
          <w:szCs w:val="24"/>
        </w:rPr>
        <w:t xml:space="preserve">and by </w:t>
      </w:r>
      <w:r w:rsidRPr="00762F09">
        <w:rPr>
          <w:szCs w:val="24"/>
        </w:rPr>
        <w:t>investigat</w:t>
      </w:r>
      <w:r>
        <w:rPr>
          <w:szCs w:val="24"/>
        </w:rPr>
        <w:t>ing</w:t>
      </w:r>
      <w:r w:rsidRPr="00762F09">
        <w:rPr>
          <w:szCs w:val="24"/>
        </w:rPr>
        <w:t xml:space="preserve"> </w:t>
      </w:r>
      <w:r w:rsidRPr="00BE2CFE">
        <w:rPr>
          <w:szCs w:val="24"/>
        </w:rPr>
        <w:t>the criminal use of explosives</w:t>
      </w:r>
      <w:r>
        <w:rPr>
          <w:szCs w:val="24"/>
        </w:rPr>
        <w:t xml:space="preserve"> and the crime of arson.  </w:t>
      </w:r>
      <w:r w:rsidRPr="00762F09">
        <w:t>AT</w:t>
      </w:r>
      <w:r w:rsidRPr="005E671B">
        <w:t>F</w:t>
      </w:r>
      <w:r>
        <w:t xml:space="preserve"> further provides critical support to </w:t>
      </w:r>
      <w:r w:rsidRPr="005E671B">
        <w:t xml:space="preserve">local communities </w:t>
      </w:r>
      <w:r>
        <w:t>in their investigations of explosives crimes and arson.</w:t>
      </w:r>
      <w:r w:rsidRPr="00F20AA8">
        <w:rPr>
          <w:bCs/>
          <w:szCs w:val="24"/>
          <w:lang w:val="en-GB"/>
        </w:rPr>
        <w:t xml:space="preserve"> </w:t>
      </w:r>
      <w:r>
        <w:rPr>
          <w:bCs/>
          <w:szCs w:val="24"/>
          <w:lang w:val="en-GB"/>
        </w:rPr>
        <w:t xml:space="preserve"> Moreover, </w:t>
      </w:r>
      <w:r w:rsidRPr="00762F09">
        <w:t>ATF plays a key role in DOJ’s counterterrorism responsibilities</w:t>
      </w:r>
      <w:r w:rsidRPr="00762F09">
        <w:rPr>
          <w:b/>
        </w:rPr>
        <w:t xml:space="preserve"> </w:t>
      </w:r>
      <w:r w:rsidRPr="00762F09">
        <w:t>as set forth in the National Implementation Plan for the War on Terror (NIP) and in DOJ’s supporting plan for the NIP. </w:t>
      </w:r>
    </w:p>
    <w:p w:rsidR="00BC75D3" w:rsidRPr="006D7B2F" w:rsidRDefault="00BC75D3" w:rsidP="00BC75D3">
      <w:pPr>
        <w:pStyle w:val="BudgetHeading2"/>
        <w:numPr>
          <w:ilvl w:val="0"/>
          <w:numId w:val="0"/>
        </w:numPr>
        <w:rPr>
          <w:b w:val="0"/>
        </w:rPr>
      </w:pPr>
      <w:r w:rsidRPr="006D7B2F">
        <w:rPr>
          <w:b w:val="0"/>
        </w:rPr>
        <w:t xml:space="preserve">ATF achieves results in addressing violent crime through our authority to enforce </w:t>
      </w:r>
      <w:r w:rsidR="00F14441">
        <w:rPr>
          <w:b w:val="0"/>
        </w:rPr>
        <w:t>F</w:t>
      </w:r>
      <w:r w:rsidR="00F14441" w:rsidRPr="006D7B2F">
        <w:rPr>
          <w:b w:val="0"/>
        </w:rPr>
        <w:t xml:space="preserve">ederal </w:t>
      </w:r>
      <w:r w:rsidRPr="006D7B2F">
        <w:rPr>
          <w:b w:val="0"/>
        </w:rPr>
        <w:t>firearms laws and regulations.  ATF regulates the firearms industry to ensure F</w:t>
      </w:r>
      <w:r w:rsidR="00455383">
        <w:rPr>
          <w:b w:val="0"/>
        </w:rPr>
        <w:t xml:space="preserve">ederal </w:t>
      </w:r>
      <w:r w:rsidRPr="006D7B2F">
        <w:rPr>
          <w:b w:val="0"/>
        </w:rPr>
        <w:t>F</w:t>
      </w:r>
      <w:r w:rsidR="00455383">
        <w:rPr>
          <w:b w:val="0"/>
        </w:rPr>
        <w:t xml:space="preserve">irearms </w:t>
      </w:r>
      <w:r w:rsidRPr="006D7B2F">
        <w:rPr>
          <w:b w:val="0"/>
        </w:rPr>
        <w:t>L</w:t>
      </w:r>
      <w:r w:rsidR="00455383">
        <w:rPr>
          <w:b w:val="0"/>
        </w:rPr>
        <w:t>icensees (FFL)</w:t>
      </w:r>
      <w:r w:rsidRPr="006D7B2F">
        <w:rPr>
          <w:b w:val="0"/>
        </w:rPr>
        <w:t xml:space="preserve"> </w:t>
      </w:r>
      <w:r w:rsidR="00455383">
        <w:rPr>
          <w:b w:val="0"/>
        </w:rPr>
        <w:t xml:space="preserve">comply </w:t>
      </w:r>
      <w:r w:rsidRPr="006D7B2F">
        <w:rPr>
          <w:b w:val="0"/>
        </w:rPr>
        <w:t>with all applicable laws and regulations.  ATF conducts outreach with the industries to educate and encourage voluntary controls and cooperation with law enforcement officials.  ATF’s regulatory function is a key component in the effort to stem the flow of firearms to prohibited persons and criminal organizations.</w:t>
      </w:r>
    </w:p>
    <w:p w:rsidR="006D7B2F" w:rsidRPr="00762F09" w:rsidRDefault="006D7B2F" w:rsidP="006D7B2F">
      <w:pPr>
        <w:pStyle w:val="BodyText"/>
        <w:spacing w:before="100" w:beforeAutospacing="1" w:after="100" w:afterAutospacing="1"/>
        <w:rPr>
          <w:rFonts w:eastAsia="Arial Unicode MS"/>
          <w:szCs w:val="24"/>
        </w:rPr>
      </w:pPr>
      <w:r w:rsidRPr="00762F09">
        <w:rPr>
          <w:szCs w:val="24"/>
        </w:rPr>
        <w:t>ATF enforc</w:t>
      </w:r>
      <w:r>
        <w:rPr>
          <w:szCs w:val="24"/>
        </w:rPr>
        <w:t>es</w:t>
      </w:r>
      <w:r w:rsidRPr="00762F09">
        <w:rPr>
          <w:szCs w:val="24"/>
        </w:rPr>
        <w:t xml:space="preserve"> the provisions of the Gun Control Act (GCA) </w:t>
      </w:r>
      <w:r>
        <w:rPr>
          <w:szCs w:val="24"/>
        </w:rPr>
        <w:t xml:space="preserve">of 1968 </w:t>
      </w:r>
      <w:r w:rsidRPr="00762F09">
        <w:rPr>
          <w:szCs w:val="24"/>
        </w:rPr>
        <w:t>and the National Firearms Act (NFA)</w:t>
      </w:r>
      <w:r>
        <w:rPr>
          <w:szCs w:val="24"/>
        </w:rPr>
        <w:t xml:space="preserve"> of 1934</w:t>
      </w:r>
      <w:r w:rsidR="00455383">
        <w:rPr>
          <w:szCs w:val="24"/>
        </w:rPr>
        <w:t>--</w:t>
      </w:r>
      <w:r w:rsidRPr="00762F09">
        <w:rPr>
          <w:szCs w:val="24"/>
        </w:rPr>
        <w:t xml:space="preserve">the two major laws enacted by Congress </w:t>
      </w:r>
      <w:r>
        <w:rPr>
          <w:szCs w:val="24"/>
        </w:rPr>
        <w:t>addressing</w:t>
      </w:r>
      <w:r w:rsidRPr="00762F09">
        <w:rPr>
          <w:szCs w:val="24"/>
        </w:rPr>
        <w:t xml:space="preserve"> firearms violence.  ATF </w:t>
      </w:r>
      <w:r w:rsidR="00455383">
        <w:rPr>
          <w:szCs w:val="24"/>
        </w:rPr>
        <w:t>oversees</w:t>
      </w:r>
      <w:r w:rsidRPr="00762F09">
        <w:rPr>
          <w:szCs w:val="24"/>
        </w:rPr>
        <w:t xml:space="preserve"> the importation of arms, ammunitions, and implements of war as authorized by the Arms Export Control Act</w:t>
      </w:r>
      <w:r>
        <w:rPr>
          <w:szCs w:val="24"/>
        </w:rPr>
        <w:t xml:space="preserve"> of 1976</w:t>
      </w:r>
      <w:r w:rsidRPr="00762F09">
        <w:rPr>
          <w:szCs w:val="24"/>
        </w:rPr>
        <w:t>.  ATF enforces</w:t>
      </w:r>
      <w:r>
        <w:rPr>
          <w:rFonts w:eastAsia="Arial Unicode MS"/>
          <w:szCs w:val="24"/>
        </w:rPr>
        <w:t xml:space="preserve"> the explosives and arson laws enacted by Title XI of the Organized Crime Control Act, as well as provisions of</w:t>
      </w:r>
      <w:r w:rsidRPr="00762F09">
        <w:rPr>
          <w:rFonts w:eastAsia="Arial Unicode MS"/>
          <w:szCs w:val="24"/>
        </w:rPr>
        <w:t xml:space="preserve"> </w:t>
      </w:r>
      <w:r w:rsidRPr="00762F09">
        <w:rPr>
          <w:szCs w:val="24"/>
        </w:rPr>
        <w:t xml:space="preserve">the Safe Explosives Act of 2002 </w:t>
      </w:r>
      <w:r w:rsidRPr="00762F09">
        <w:rPr>
          <w:szCs w:val="24"/>
        </w:rPr>
        <w:lastRenderedPageBreak/>
        <w:t>(SEA)</w:t>
      </w:r>
      <w:r>
        <w:rPr>
          <w:szCs w:val="24"/>
        </w:rPr>
        <w:t>,</w:t>
      </w:r>
      <w:r w:rsidRPr="00762F09">
        <w:rPr>
          <w:szCs w:val="24"/>
        </w:rPr>
        <w:t xml:space="preserve"> which </w:t>
      </w:r>
      <w:r w:rsidRPr="00762F09">
        <w:rPr>
          <w:rFonts w:eastAsia="Arial Unicode MS"/>
          <w:szCs w:val="24"/>
        </w:rPr>
        <w:t xml:space="preserve">expanded the </w:t>
      </w:r>
      <w:r w:rsidR="00D568CF" w:rsidRPr="008574D3">
        <w:rPr>
          <w:rFonts w:eastAsia="Arial Unicode MS"/>
          <w:szCs w:val="24"/>
        </w:rPr>
        <w:t>Federal</w:t>
      </w:r>
      <w:r w:rsidR="00D568CF">
        <w:rPr>
          <w:rFonts w:eastAsia="Arial Unicode MS"/>
          <w:szCs w:val="24"/>
        </w:rPr>
        <w:t xml:space="preserve"> </w:t>
      </w:r>
      <w:r w:rsidRPr="00762F09">
        <w:rPr>
          <w:rFonts w:eastAsia="Arial Unicode MS"/>
          <w:szCs w:val="24"/>
        </w:rPr>
        <w:t xml:space="preserve">explosives </w:t>
      </w:r>
      <w:r>
        <w:rPr>
          <w:rFonts w:eastAsia="Arial Unicode MS"/>
          <w:szCs w:val="24"/>
        </w:rPr>
        <w:t xml:space="preserve">laws and </w:t>
      </w:r>
      <w:r w:rsidRPr="00762F09">
        <w:rPr>
          <w:rFonts w:eastAsia="Arial Unicode MS"/>
          <w:szCs w:val="24"/>
        </w:rPr>
        <w:t xml:space="preserve">regulations by placing controls on the intrastate movement of explosives and mandating that all persons who receive explosives obtain a </w:t>
      </w:r>
      <w:r w:rsidR="00D568CF" w:rsidRPr="008574D3">
        <w:rPr>
          <w:rFonts w:eastAsia="Arial Unicode MS"/>
          <w:szCs w:val="24"/>
        </w:rPr>
        <w:t>Federal</w:t>
      </w:r>
      <w:r w:rsidRPr="00762F09">
        <w:rPr>
          <w:rFonts w:eastAsia="Arial Unicode MS"/>
          <w:szCs w:val="24"/>
        </w:rPr>
        <w:t xml:space="preserve"> </w:t>
      </w:r>
      <w:r>
        <w:rPr>
          <w:rFonts w:eastAsia="Arial Unicode MS"/>
          <w:szCs w:val="24"/>
        </w:rPr>
        <w:t xml:space="preserve">license or </w:t>
      </w:r>
      <w:r w:rsidRPr="00762F09">
        <w:rPr>
          <w:rFonts w:eastAsia="Arial Unicode MS"/>
          <w:szCs w:val="24"/>
        </w:rPr>
        <w:t xml:space="preserve">permit </w:t>
      </w:r>
      <w:r>
        <w:rPr>
          <w:rFonts w:eastAsia="Arial Unicode MS"/>
          <w:szCs w:val="24"/>
        </w:rPr>
        <w:t xml:space="preserve">and </w:t>
      </w:r>
      <w:r w:rsidRPr="00762F09">
        <w:rPr>
          <w:rFonts w:eastAsia="Arial Unicode MS"/>
          <w:szCs w:val="24"/>
        </w:rPr>
        <w:t>undergo a background check.</w:t>
      </w:r>
    </w:p>
    <w:p w:rsidR="006D7B2F" w:rsidRDefault="006D7B2F" w:rsidP="006D7B2F">
      <w:pPr>
        <w:spacing w:before="100" w:beforeAutospacing="1" w:after="100" w:afterAutospacing="1"/>
      </w:pPr>
      <w:r w:rsidRPr="00762F09">
        <w:t xml:space="preserve">ATF regulates the firearms and explosives industries from </w:t>
      </w:r>
      <w:r>
        <w:t xml:space="preserve">the point of </w:t>
      </w:r>
      <w:r w:rsidRPr="00762F09">
        <w:t>manufacture and/or importation through retail sale to ensure that FFLs and Federal Explosives Licensees</w:t>
      </w:r>
      <w:r>
        <w:t xml:space="preserve"> (FELs)</w:t>
      </w:r>
      <w:r w:rsidRPr="00762F09">
        <w:t xml:space="preserve"> </w:t>
      </w:r>
      <w:r>
        <w:t>and permittees</w:t>
      </w:r>
      <w:r w:rsidRPr="00762F09">
        <w:t xml:space="preserve"> </w:t>
      </w:r>
      <w:r w:rsidR="00455383">
        <w:t xml:space="preserve">comply </w:t>
      </w:r>
      <w:r w:rsidRPr="00762F09">
        <w:t>with all applicable laws and regulations.</w:t>
      </w:r>
      <w:r>
        <w:t xml:space="preserve">  ATF provides appropriate safeguards of inventories from theft, full accountability</w:t>
      </w:r>
      <w:r w:rsidR="00455383">
        <w:t>,</w:t>
      </w:r>
      <w:r>
        <w:t xml:space="preserve"> and proactive inspection reporting.</w:t>
      </w:r>
    </w:p>
    <w:p w:rsidR="005662C4" w:rsidRDefault="005662C4" w:rsidP="006D7B2F">
      <w:pPr>
        <w:spacing w:before="100" w:beforeAutospacing="1" w:after="100" w:afterAutospacing="1"/>
      </w:pPr>
      <w:r w:rsidRPr="000013B6">
        <w:rPr>
          <w:b/>
        </w:rPr>
        <w:t>ATF Strategic Goal</w:t>
      </w:r>
      <w:r>
        <w:t>: Modernize business processes and systems for improved information sharing, knowledge management, and use of innovative technologies</w:t>
      </w:r>
      <w:r w:rsidR="001B41CC">
        <w:t xml:space="preserve"> </w:t>
      </w:r>
      <w:r w:rsidR="00AC5717">
        <w:t>to support ATF’s critical mission. ATF is committed to modernizing those vital and unique systems that support ATF and its counterparts in the law enforcement community and regulated industries.  In recent years, ATF has made significant strides in transforming its legacy systems to more modern, open</w:t>
      </w:r>
      <w:r w:rsidR="00455383">
        <w:t>,</w:t>
      </w:r>
      <w:r w:rsidR="00AC5717">
        <w:t xml:space="preserve"> and efficient architec</w:t>
      </w:r>
      <w:r w:rsidR="00366C4A">
        <w:t>ture</w:t>
      </w:r>
      <w:r w:rsidR="00455383">
        <w:t>;</w:t>
      </w:r>
      <w:r w:rsidR="00366C4A">
        <w:t xml:space="preserve"> expanding the use </w:t>
      </w:r>
      <w:r w:rsidR="007B76B3">
        <w:t>of technology to improve and streamline processes</w:t>
      </w:r>
      <w:r w:rsidR="00455383">
        <w:t>;</w:t>
      </w:r>
      <w:r w:rsidR="007B76B3">
        <w:t xml:space="preserve"> and providing greater capabilities to its constituents.</w:t>
      </w:r>
    </w:p>
    <w:p w:rsidR="00BE0B8F" w:rsidRDefault="00BE0B8F" w:rsidP="006D7B2F">
      <w:pPr>
        <w:spacing w:before="100" w:beforeAutospacing="1" w:after="100" w:afterAutospacing="1"/>
      </w:pPr>
      <w:r>
        <w:t xml:space="preserve">ATF’s 2010-2016 Strategic </w:t>
      </w:r>
      <w:r w:rsidR="00AB1FF5">
        <w:t xml:space="preserve">Plan </w:t>
      </w:r>
      <w:r>
        <w:t xml:space="preserve">can be found at </w:t>
      </w:r>
      <w:r w:rsidR="00AB1FF5">
        <w:t xml:space="preserve">the following link: </w:t>
      </w:r>
      <w:hyperlink r:id="rId14" w:history="1">
        <w:r w:rsidRPr="00BE0B8F">
          <w:rPr>
            <w:rStyle w:val="Hyperlink"/>
          </w:rPr>
          <w:t>www.atf.gov/publications/general/strategic-plan</w:t>
        </w:r>
      </w:hyperlink>
      <w:r>
        <w:t>/.</w:t>
      </w:r>
    </w:p>
    <w:p w:rsidR="00ED1288" w:rsidRPr="00E436B2" w:rsidRDefault="00ED1288" w:rsidP="00ED1288">
      <w:pPr>
        <w:pStyle w:val="BudgetHeading2"/>
        <w:numPr>
          <w:ilvl w:val="0"/>
          <w:numId w:val="0"/>
        </w:numPr>
      </w:pPr>
      <w:r w:rsidRPr="00AA2B5C">
        <w:rPr>
          <w:bCs w:val="0"/>
        </w:rPr>
        <w:t>C.</w:t>
      </w:r>
      <w:r>
        <w:rPr>
          <w:b w:val="0"/>
          <w:bCs w:val="0"/>
        </w:rPr>
        <w:t xml:space="preserve"> </w:t>
      </w:r>
      <w:r w:rsidRPr="00E436B2">
        <w:t>Executive Perspective</w:t>
      </w:r>
    </w:p>
    <w:p w:rsidR="00ED1288" w:rsidRPr="002C60AE" w:rsidRDefault="00ED1288" w:rsidP="00ED1288">
      <w:pPr>
        <w:rPr>
          <w:bCs/>
        </w:rPr>
      </w:pPr>
    </w:p>
    <w:p w:rsidR="00ED1288" w:rsidRDefault="00ED1288" w:rsidP="00ED1288">
      <w:pPr>
        <w:rPr>
          <w:bCs/>
        </w:rPr>
      </w:pPr>
      <w:r w:rsidRPr="00210FBC">
        <w:rPr>
          <w:bCs/>
        </w:rPr>
        <w:t xml:space="preserve">ATF protects our communities from violent crime and terrorism by investigating and preventing the illicit use of firearms and explosives.  </w:t>
      </w:r>
      <w:r w:rsidR="00AF7E9F" w:rsidRPr="00AF7E9F">
        <w:rPr>
          <w:bCs/>
        </w:rPr>
        <w:t>The combined impact of</w:t>
      </w:r>
      <w:r w:rsidR="00D568CF">
        <w:rPr>
          <w:bCs/>
        </w:rPr>
        <w:t xml:space="preserve"> </w:t>
      </w:r>
      <w:r>
        <w:rPr>
          <w:bCs/>
        </w:rPr>
        <w:t>ATF’s</w:t>
      </w:r>
      <w:r w:rsidRPr="00210FBC">
        <w:rPr>
          <w:bCs/>
        </w:rPr>
        <w:t xml:space="preserve"> regulatory </w:t>
      </w:r>
      <w:r w:rsidRPr="00E436B2">
        <w:t>authorities</w:t>
      </w:r>
      <w:r w:rsidRPr="00210FBC">
        <w:rPr>
          <w:bCs/>
        </w:rPr>
        <w:t xml:space="preserve"> and investigative expertise makes ATF the preeminent agency for investigating firearms and explosives crimes. </w:t>
      </w:r>
    </w:p>
    <w:p w:rsidR="00A74362" w:rsidRPr="00210FBC" w:rsidRDefault="00A74362" w:rsidP="00ED1288">
      <w:pPr>
        <w:rPr>
          <w:bCs/>
        </w:rPr>
      </w:pPr>
    </w:p>
    <w:p w:rsidR="00DB6910" w:rsidRPr="00DB6910" w:rsidRDefault="00C34432" w:rsidP="00A74362">
      <w:pPr>
        <w:rPr>
          <w:color w:val="365F91" w:themeColor="accent1" w:themeShade="BF"/>
        </w:rPr>
      </w:pPr>
      <w:r w:rsidRPr="000013B6">
        <w:rPr>
          <w:bCs/>
        </w:rPr>
        <w:t xml:space="preserve">ATF has approximately 640 non-supervisory, field-based industry operations investigators (IOIs) responsible for inspecting </w:t>
      </w:r>
      <w:r w:rsidR="00956C5B">
        <w:rPr>
          <w:bCs/>
        </w:rPr>
        <w:t>approximately 120,000</w:t>
      </w:r>
      <w:r w:rsidRPr="000013B6">
        <w:rPr>
          <w:bCs/>
        </w:rPr>
        <w:t xml:space="preserve"> FFLs and </w:t>
      </w:r>
      <w:r w:rsidR="00956C5B">
        <w:rPr>
          <w:bCs/>
        </w:rPr>
        <w:t>11,000</w:t>
      </w:r>
      <w:r w:rsidRPr="000013B6">
        <w:rPr>
          <w:bCs/>
        </w:rPr>
        <w:t xml:space="preserve"> F</w:t>
      </w:r>
      <w:r w:rsidR="00455383">
        <w:rPr>
          <w:bCs/>
        </w:rPr>
        <w:t>ELs and</w:t>
      </w:r>
      <w:r w:rsidRPr="000013B6">
        <w:rPr>
          <w:bCs/>
        </w:rPr>
        <w:t xml:space="preserve"> permittees—these inspections help identify possible diversions of firearms and explosives from legal commerce to illicit activities, thereby producing leads for </w:t>
      </w:r>
      <w:r w:rsidRPr="000013B6">
        <w:t>criminal</w:t>
      </w:r>
      <w:r w:rsidRPr="000013B6">
        <w:rPr>
          <w:bCs/>
        </w:rPr>
        <w:t xml:space="preserve"> investigations.  Explosives licensees and permittees are inspected on a </w:t>
      </w:r>
      <w:r w:rsidR="00D86E5C">
        <w:rPr>
          <w:bCs/>
        </w:rPr>
        <w:t>three</w:t>
      </w:r>
      <w:r w:rsidRPr="000013B6">
        <w:rPr>
          <w:bCs/>
        </w:rPr>
        <w:t xml:space="preserve">-year cycle as required by the Safe Explosives Act.  ATF’s inspection frequency goals for FFLs are once every three years for source-State FFLs, and once every five years for non-source State FFLs (Source States are the top 15 States in terms of the source of recovered firearms; non-Source States are all others. These numbers are updated annually).  </w:t>
      </w:r>
      <w:r w:rsidR="0092591F">
        <w:rPr>
          <w:bCs/>
        </w:rPr>
        <w:t>The</w:t>
      </w:r>
      <w:r w:rsidRPr="000013B6">
        <w:rPr>
          <w:bCs/>
        </w:rPr>
        <w:t xml:space="preserve"> “risk-based” approach results in the inspection of high risk (gun source) and non-compliant FFLs.  In response to this approach, ATF has increased the number of IOIs on-board and has been able to conduct </w:t>
      </w:r>
      <w:r w:rsidR="001019C8">
        <w:rPr>
          <w:bCs/>
        </w:rPr>
        <w:t>three</w:t>
      </w:r>
      <w:r w:rsidRPr="000013B6">
        <w:rPr>
          <w:bCs/>
        </w:rPr>
        <w:t>-year inspection cycles in the Southwest Border high priority area.</w:t>
      </w:r>
      <w:r w:rsidR="00DB6910" w:rsidRPr="00DB6910">
        <w:rPr>
          <w:color w:val="365F91" w:themeColor="accent1" w:themeShade="BF"/>
        </w:rPr>
        <w:t xml:space="preserve">  </w:t>
      </w:r>
    </w:p>
    <w:p w:rsidR="00ED1288" w:rsidRDefault="00ED1288" w:rsidP="00ED1288">
      <w:pPr>
        <w:rPr>
          <w:bCs/>
        </w:rPr>
      </w:pPr>
    </w:p>
    <w:p w:rsidR="006E79E2" w:rsidRPr="00210FBC" w:rsidRDefault="006E79E2" w:rsidP="00ED1288">
      <w:pPr>
        <w:rPr>
          <w:bCs/>
        </w:rPr>
      </w:pPr>
    </w:p>
    <w:p w:rsidR="00ED1288" w:rsidRPr="001C0FEC" w:rsidRDefault="00ED1288" w:rsidP="00ED1288">
      <w:pPr>
        <w:pBdr>
          <w:top w:val="double" w:sz="6" w:space="4" w:color="auto"/>
          <w:left w:val="double" w:sz="6" w:space="4" w:color="auto"/>
          <w:bottom w:val="double" w:sz="6" w:space="4" w:color="auto"/>
          <w:right w:val="double" w:sz="6" w:space="4" w:color="auto"/>
        </w:pBdr>
        <w:ind w:left="540" w:right="180"/>
      </w:pPr>
      <w:r w:rsidRPr="001C0FEC">
        <w:t xml:space="preserve">ATF is a global partner for law enforcement </w:t>
      </w:r>
      <w:r w:rsidR="00986242" w:rsidRPr="00CB66C5">
        <w:t>intelligence and information sharing</w:t>
      </w:r>
      <w:r>
        <w:t>:</w:t>
      </w:r>
    </w:p>
    <w:p w:rsidR="00ED1288" w:rsidRDefault="00ED1288" w:rsidP="00ED1288">
      <w:pPr>
        <w:numPr>
          <w:ilvl w:val="1"/>
          <w:numId w:val="31"/>
        </w:numPr>
        <w:pBdr>
          <w:top w:val="double" w:sz="6" w:space="4" w:color="auto"/>
          <w:left w:val="double" w:sz="6" w:space="4" w:color="auto"/>
          <w:bottom w:val="double" w:sz="6" w:space="4" w:color="auto"/>
          <w:right w:val="double" w:sz="6" w:space="4" w:color="auto"/>
        </w:pBdr>
        <w:ind w:left="900" w:right="180"/>
      </w:pPr>
      <w:r w:rsidRPr="001C0FEC">
        <w:t xml:space="preserve">Global Justice Information Sharing Initiative – ATF is </w:t>
      </w:r>
      <w:r w:rsidR="005214AE">
        <w:t xml:space="preserve">the </w:t>
      </w:r>
      <w:r w:rsidRPr="001C0FEC">
        <w:t>DOJ representative to the Criminal Intelligence Coordinating Council (CICC)</w:t>
      </w:r>
      <w:r>
        <w:t>.</w:t>
      </w:r>
    </w:p>
    <w:p w:rsidR="00ED1288" w:rsidRDefault="00ED1288" w:rsidP="00ED1288">
      <w:pPr>
        <w:numPr>
          <w:ilvl w:val="1"/>
          <w:numId w:val="31"/>
        </w:numPr>
        <w:pBdr>
          <w:top w:val="double" w:sz="6" w:space="4" w:color="auto"/>
          <w:left w:val="double" w:sz="6" w:space="4" w:color="auto"/>
          <w:bottom w:val="double" w:sz="6" w:space="4" w:color="auto"/>
          <w:right w:val="double" w:sz="6" w:space="4" w:color="auto"/>
        </w:pBdr>
        <w:ind w:left="900" w:right="180"/>
      </w:pPr>
      <w:r w:rsidRPr="001C0FEC">
        <w:t xml:space="preserve">National Fusion Center – </w:t>
      </w:r>
      <w:r>
        <w:t xml:space="preserve">ATF is a </w:t>
      </w:r>
      <w:r w:rsidRPr="001C0FEC">
        <w:t xml:space="preserve">member of the </w:t>
      </w:r>
      <w:r w:rsidR="005214AE">
        <w:t>B</w:t>
      </w:r>
      <w:r w:rsidRPr="001C0FEC">
        <w:t xml:space="preserve">oard of </w:t>
      </w:r>
      <w:r w:rsidR="005214AE">
        <w:t>D</w:t>
      </w:r>
      <w:r w:rsidRPr="001C0FEC">
        <w:t>irectors</w:t>
      </w:r>
      <w:r>
        <w:t>.</w:t>
      </w:r>
    </w:p>
    <w:p w:rsidR="00ED1288" w:rsidRDefault="00ED1288" w:rsidP="00ED1288">
      <w:pPr>
        <w:numPr>
          <w:ilvl w:val="1"/>
          <w:numId w:val="31"/>
        </w:numPr>
        <w:pBdr>
          <w:top w:val="double" w:sz="6" w:space="4" w:color="auto"/>
          <w:left w:val="double" w:sz="6" w:space="4" w:color="auto"/>
          <w:bottom w:val="double" w:sz="6" w:space="4" w:color="auto"/>
          <w:right w:val="double" w:sz="6" w:space="4" w:color="auto"/>
        </w:pBdr>
        <w:ind w:left="900" w:right="180"/>
      </w:pPr>
      <w:r w:rsidRPr="001C0FEC">
        <w:lastRenderedPageBreak/>
        <w:t xml:space="preserve">Association of Law Enforcement Intelligence Units (LEIU) – </w:t>
      </w:r>
      <w:r>
        <w:t xml:space="preserve">ATF is a member agency and serves as the </w:t>
      </w:r>
      <w:r w:rsidRPr="001C0FEC">
        <w:t xml:space="preserve">first Federal agency on the </w:t>
      </w:r>
      <w:r w:rsidR="005214AE">
        <w:t>B</w:t>
      </w:r>
      <w:r w:rsidRPr="001C0FEC">
        <w:t xml:space="preserve">oard of </w:t>
      </w:r>
      <w:r w:rsidR="005214AE">
        <w:t>D</w:t>
      </w:r>
      <w:r w:rsidRPr="001C0FEC">
        <w:t>irectors</w:t>
      </w:r>
      <w:r>
        <w:t>.</w:t>
      </w:r>
    </w:p>
    <w:p w:rsidR="00ED1288" w:rsidRDefault="00ED1288" w:rsidP="00ED1288">
      <w:pPr>
        <w:numPr>
          <w:ilvl w:val="1"/>
          <w:numId w:val="31"/>
        </w:numPr>
        <w:pBdr>
          <w:top w:val="double" w:sz="6" w:space="4" w:color="auto"/>
          <w:left w:val="double" w:sz="6" w:space="4" w:color="auto"/>
          <w:bottom w:val="double" w:sz="6" w:space="4" w:color="auto"/>
          <w:right w:val="double" w:sz="6" w:space="4" w:color="auto"/>
        </w:pBdr>
        <w:ind w:left="900" w:right="180"/>
      </w:pPr>
      <w:r w:rsidRPr="001C0FEC">
        <w:t xml:space="preserve">Regional Information Sharing System (RISS) – </w:t>
      </w:r>
      <w:r>
        <w:t xml:space="preserve">ATF is a </w:t>
      </w:r>
      <w:r w:rsidRPr="001C0FEC">
        <w:t xml:space="preserve">member of Mid-Atlantic Great Lakes Organized Crime Law Enforcement Network (MAGLOCLEN) </w:t>
      </w:r>
      <w:r>
        <w:t>and supports</w:t>
      </w:r>
      <w:r w:rsidRPr="001C0FEC">
        <w:t xml:space="preserve"> an ATF node</w:t>
      </w:r>
      <w:r>
        <w:t>.</w:t>
      </w:r>
    </w:p>
    <w:p w:rsidR="00ED1288" w:rsidRDefault="00ED1288" w:rsidP="00ED1288">
      <w:pPr>
        <w:numPr>
          <w:ilvl w:val="1"/>
          <w:numId w:val="31"/>
        </w:numPr>
        <w:pBdr>
          <w:top w:val="double" w:sz="6" w:space="4" w:color="auto"/>
          <w:left w:val="double" w:sz="6" w:space="4" w:color="auto"/>
          <w:bottom w:val="double" w:sz="6" w:space="4" w:color="auto"/>
          <w:right w:val="double" w:sz="6" w:space="4" w:color="auto"/>
        </w:pBdr>
        <w:ind w:left="900" w:right="180"/>
      </w:pPr>
      <w:r w:rsidRPr="001C0FEC">
        <w:t xml:space="preserve">Law Enforcement Information Sharing Program (LEISP) – </w:t>
      </w:r>
      <w:r>
        <w:t xml:space="preserve">ATF is a </w:t>
      </w:r>
      <w:r w:rsidRPr="001C0FEC">
        <w:t>member of the coordinating council; Regional Data Exchange System (</w:t>
      </w:r>
      <w:proofErr w:type="spellStart"/>
      <w:r w:rsidRPr="001C0FEC">
        <w:t>OneDOJ</w:t>
      </w:r>
      <w:proofErr w:type="spellEnd"/>
      <w:r w:rsidRPr="001C0FEC">
        <w:t>)/National Data Exchange System (NDEX)</w:t>
      </w:r>
      <w:r>
        <w:t>.</w:t>
      </w:r>
    </w:p>
    <w:p w:rsidR="00ED1288" w:rsidRDefault="00ED1288" w:rsidP="00ED1288">
      <w:pPr>
        <w:numPr>
          <w:ilvl w:val="1"/>
          <w:numId w:val="31"/>
        </w:numPr>
        <w:pBdr>
          <w:top w:val="double" w:sz="6" w:space="4" w:color="auto"/>
          <w:left w:val="double" w:sz="6" w:space="4" w:color="auto"/>
          <w:bottom w:val="double" w:sz="6" w:space="4" w:color="auto"/>
          <w:right w:val="double" w:sz="6" w:space="4" w:color="auto"/>
        </w:pBdr>
        <w:ind w:left="900" w:right="180"/>
      </w:pPr>
      <w:r w:rsidRPr="001C0FEC">
        <w:t>All ATF investigative data are shared through RDEX to regional data exchanges.</w:t>
      </w:r>
    </w:p>
    <w:p w:rsidR="00ED1288" w:rsidRDefault="00ED1288" w:rsidP="00ED1288"/>
    <w:p w:rsidR="00ED1288" w:rsidRDefault="00ED1288" w:rsidP="00ED1288">
      <w:r w:rsidRPr="00A93EF9">
        <w:t xml:space="preserve">The complementary nature of </w:t>
      </w:r>
      <w:r>
        <w:t>ATF’s</w:t>
      </w:r>
      <w:r w:rsidRPr="00A93EF9">
        <w:t xml:space="preserve"> regulatory and criminal jurisdictions is evident in </w:t>
      </w:r>
      <w:r>
        <w:t>its</w:t>
      </w:r>
      <w:r w:rsidRPr="00A93EF9">
        <w:t xml:space="preserve"> history of successes with investigating bombings, including the identification and arrest of a suspect in the 2009 </w:t>
      </w:r>
      <w:r w:rsidRPr="00210FBC">
        <w:rPr>
          <w:bCs/>
        </w:rPr>
        <w:t>bombing</w:t>
      </w:r>
      <w:r w:rsidRPr="00A93EF9">
        <w:t xml:space="preserve"> of </w:t>
      </w:r>
      <w:r w:rsidR="003D3D35" w:rsidRPr="00892B21">
        <w:t>physician</w:t>
      </w:r>
      <w:r w:rsidR="003D3D35">
        <w:rPr>
          <w:color w:val="5F497A" w:themeColor="accent4" w:themeShade="BF"/>
        </w:rPr>
        <w:t xml:space="preserve"> </w:t>
      </w:r>
      <w:r w:rsidRPr="00A93EF9">
        <w:t xml:space="preserve">Trent Pierce in West Memphis, Arkansas.  Similarly, </w:t>
      </w:r>
      <w:r>
        <w:t>ATF has</w:t>
      </w:r>
      <w:r w:rsidRPr="00A93EF9">
        <w:t xml:space="preserve"> a long history of investigating arsons, including </w:t>
      </w:r>
      <w:r w:rsidR="003D3D35" w:rsidRPr="00051247">
        <w:t>recent</w:t>
      </w:r>
      <w:r w:rsidR="003D3D35">
        <w:rPr>
          <w:color w:val="5F497A" w:themeColor="accent4" w:themeShade="BF"/>
        </w:rPr>
        <w:t xml:space="preserve"> </w:t>
      </w:r>
      <w:r w:rsidRPr="00A93EF9">
        <w:t>church arsons in Alabama and Texas.</w:t>
      </w:r>
    </w:p>
    <w:p w:rsidR="00ED1288" w:rsidRDefault="00ED1288" w:rsidP="00ED1288"/>
    <w:p w:rsidR="00ED1288" w:rsidRPr="00892B21" w:rsidRDefault="00ED1288" w:rsidP="00ED1288">
      <w:r>
        <w:t>Equally important,</w:t>
      </w:r>
      <w:r w:rsidRPr="00A93EF9">
        <w:t xml:space="preserve"> ATF </w:t>
      </w:r>
      <w:r>
        <w:t xml:space="preserve">readily </w:t>
      </w:r>
      <w:r w:rsidRPr="00A93EF9">
        <w:t xml:space="preserve">shares </w:t>
      </w:r>
      <w:r>
        <w:t>its</w:t>
      </w:r>
      <w:r w:rsidRPr="00A93EF9">
        <w:t xml:space="preserve"> explosives expertise with State and local partners, as well as </w:t>
      </w:r>
      <w:r w:rsidR="000C5232">
        <w:t xml:space="preserve">with </w:t>
      </w:r>
      <w:r w:rsidRPr="00A93EF9">
        <w:t xml:space="preserve">the </w:t>
      </w:r>
      <w:r w:rsidRPr="00210FBC">
        <w:rPr>
          <w:bCs/>
        </w:rPr>
        <w:t>Department</w:t>
      </w:r>
      <w:r w:rsidRPr="00A93EF9">
        <w:t xml:space="preserve"> of Defense, through training at Fort AP Hill, Virginia and the National Center for Explosives Training and Research in Huntsville, Alabama.</w:t>
      </w:r>
      <w:r w:rsidR="00CB1DC4">
        <w:t xml:space="preserve">  </w:t>
      </w:r>
      <w:r w:rsidR="00CB1DC4" w:rsidRPr="00892B21">
        <w:t>ATF personnel maintain close working relationships on a local basis with our law enforcement counterparts and the industries we regulate to further our mission.</w:t>
      </w:r>
    </w:p>
    <w:p w:rsidR="00ED1288" w:rsidRPr="00A93EF9" w:rsidRDefault="00ED1288" w:rsidP="00ED1288"/>
    <w:p w:rsidR="00ED1288" w:rsidRDefault="00ED1288" w:rsidP="00ED1288">
      <w:r w:rsidRPr="00A93EF9">
        <w:t xml:space="preserve">A core mission of ATF is to deny organized crime its profits by stopping the illegal diversion of tobacco products </w:t>
      </w:r>
      <w:r>
        <w:t>that</w:t>
      </w:r>
      <w:r w:rsidRPr="00A93EF9">
        <w:t xml:space="preserve"> depriv</w:t>
      </w:r>
      <w:r>
        <w:t>es</w:t>
      </w:r>
      <w:r w:rsidRPr="00A93EF9">
        <w:t xml:space="preserve"> States and localities approximately $5 billion per year in tax revenue.  For example, in one recent case, ATF and the Fairfax County, Virginia</w:t>
      </w:r>
      <w:r w:rsidR="000C5232">
        <w:t>,</w:t>
      </w:r>
      <w:r w:rsidRPr="00A93EF9">
        <w:t xml:space="preserve"> Police Department dismantled an organization that trafficked more than $2 million worth of contraband cigarettes to New York.  This organization was also involved in money laundering and bank fraud and </w:t>
      </w:r>
      <w:r>
        <w:t xml:space="preserve">had </w:t>
      </w:r>
      <w:r w:rsidRPr="00A93EF9">
        <w:t>solicited an undercover agent to murder two of its own members.</w:t>
      </w:r>
    </w:p>
    <w:p w:rsidR="00ED1288" w:rsidRDefault="00ED1288" w:rsidP="00ED1288"/>
    <w:p w:rsidR="00ED1288" w:rsidRDefault="00ED1288" w:rsidP="00ED1288">
      <w:pPr>
        <w:numPr>
          <w:ilvl w:val="1"/>
          <w:numId w:val="31"/>
        </w:numPr>
        <w:pBdr>
          <w:top w:val="double" w:sz="6" w:space="4" w:color="auto"/>
          <w:left w:val="double" w:sz="6" w:space="4" w:color="auto"/>
          <w:bottom w:val="double" w:sz="6" w:space="4" w:color="auto"/>
          <w:right w:val="double" w:sz="6" w:space="4" w:color="auto"/>
        </w:pBdr>
        <w:ind w:left="900" w:right="180"/>
      </w:pPr>
      <w:r w:rsidRPr="00BF4555">
        <w:t>Between fiscal years 2003 and 20</w:t>
      </w:r>
      <w:r w:rsidR="00423CBF">
        <w:t>10</w:t>
      </w:r>
      <w:r w:rsidRPr="00BF4555">
        <w:t xml:space="preserve">, across all of ATF’s violent crime programs, ATF has recommended </w:t>
      </w:r>
      <w:r w:rsidR="00423CBF">
        <w:t>99</w:t>
      </w:r>
      <w:r w:rsidRPr="00BF4555">
        <w:t>,</w:t>
      </w:r>
      <w:r w:rsidR="00423CBF">
        <w:t>614</w:t>
      </w:r>
      <w:r w:rsidRPr="00BF4555">
        <w:t xml:space="preserve"> cases and 1</w:t>
      </w:r>
      <w:r w:rsidR="00423CBF">
        <w:t>44</w:t>
      </w:r>
      <w:r w:rsidRPr="00BF4555">
        <w:t>,</w:t>
      </w:r>
      <w:r w:rsidR="00423CBF">
        <w:t>273</w:t>
      </w:r>
      <w:r w:rsidRPr="00BF4555">
        <w:t xml:space="preserve"> defendants for prosecution.</w:t>
      </w:r>
    </w:p>
    <w:p w:rsidR="00ED1288" w:rsidRDefault="00ED1288" w:rsidP="00ED1288">
      <w:pPr>
        <w:numPr>
          <w:ilvl w:val="1"/>
          <w:numId w:val="31"/>
        </w:numPr>
        <w:pBdr>
          <w:top w:val="double" w:sz="6" w:space="4" w:color="auto"/>
          <w:left w:val="double" w:sz="6" w:space="4" w:color="auto"/>
          <w:bottom w:val="double" w:sz="6" w:space="4" w:color="auto"/>
          <w:right w:val="double" w:sz="6" w:space="4" w:color="auto"/>
        </w:pBdr>
        <w:ind w:left="900" w:right="180"/>
      </w:pPr>
      <w:r w:rsidRPr="00BF4555">
        <w:t>Nearly 62</w:t>
      </w:r>
      <w:r w:rsidR="00051247">
        <w:t>%</w:t>
      </w:r>
      <w:r w:rsidR="003D3D35">
        <w:rPr>
          <w:color w:val="5F497A" w:themeColor="accent4" w:themeShade="BF"/>
        </w:rPr>
        <w:t xml:space="preserve"> </w:t>
      </w:r>
      <w:r w:rsidRPr="00BF4555">
        <w:t>of these defendants are previously convicted felons and 84</w:t>
      </w:r>
      <w:r w:rsidR="00051247" w:rsidRPr="00051247">
        <w:t>%</w:t>
      </w:r>
      <w:r w:rsidRPr="00BF4555">
        <w:t xml:space="preserve"> have prior arrest records.</w:t>
      </w:r>
    </w:p>
    <w:p w:rsidR="00ED1288" w:rsidRDefault="00ED1288" w:rsidP="00ED1288">
      <w:pPr>
        <w:numPr>
          <w:ilvl w:val="1"/>
          <w:numId w:val="31"/>
        </w:numPr>
        <w:pBdr>
          <w:top w:val="double" w:sz="6" w:space="4" w:color="auto"/>
          <w:left w:val="double" w:sz="6" w:space="4" w:color="auto"/>
          <w:bottom w:val="double" w:sz="6" w:space="4" w:color="auto"/>
          <w:right w:val="double" w:sz="6" w:space="4" w:color="auto"/>
        </w:pBdr>
        <w:ind w:left="900" w:right="180"/>
      </w:pPr>
      <w:r w:rsidRPr="00BF4555">
        <w:t xml:space="preserve">Of those recommended for prosecution, </w:t>
      </w:r>
      <w:r w:rsidR="0092591F">
        <w:t>approximately 75,000</w:t>
      </w:r>
      <w:r w:rsidRPr="00BF4555">
        <w:t xml:space="preserve"> of the cases have resulted in the indictment of </w:t>
      </w:r>
      <w:r w:rsidR="0092591F">
        <w:t>about 107,000</w:t>
      </w:r>
      <w:r w:rsidRPr="00BF4555">
        <w:t xml:space="preserve"> defendants; of those, </w:t>
      </w:r>
      <w:r w:rsidR="0092591F">
        <w:t>almost 60,000</w:t>
      </w:r>
      <w:r w:rsidR="005214AE" w:rsidRPr="00BF4555">
        <w:t xml:space="preserve"> </w:t>
      </w:r>
      <w:r w:rsidRPr="00BF4555">
        <w:t xml:space="preserve">cases have resulted in the conviction of </w:t>
      </w:r>
      <w:r w:rsidR="0092591F">
        <w:t>about 82,000</w:t>
      </w:r>
      <w:r w:rsidRPr="00BF4555">
        <w:t xml:space="preserve"> defendants.</w:t>
      </w:r>
    </w:p>
    <w:p w:rsidR="00ED1288" w:rsidRDefault="001271F8" w:rsidP="00ED1288">
      <w:pPr>
        <w:numPr>
          <w:ilvl w:val="1"/>
          <w:numId w:val="31"/>
        </w:numPr>
        <w:pBdr>
          <w:top w:val="double" w:sz="6" w:space="4" w:color="auto"/>
          <w:left w:val="double" w:sz="6" w:space="4" w:color="auto"/>
          <w:bottom w:val="double" w:sz="6" w:space="4" w:color="auto"/>
          <w:right w:val="double" w:sz="6" w:space="4" w:color="auto"/>
        </w:pBdr>
        <w:ind w:left="900" w:right="180"/>
      </w:pPr>
      <w:r>
        <w:t>6</w:t>
      </w:r>
      <w:r w:rsidR="00423CBF">
        <w:t>6</w:t>
      </w:r>
      <w:r w:rsidR="00ED1288" w:rsidRPr="00BF4555">
        <w:t>,</w:t>
      </w:r>
      <w:r w:rsidR="00423CBF">
        <w:t>030</w:t>
      </w:r>
      <w:r w:rsidR="005214AE" w:rsidRPr="00BF4555">
        <w:t xml:space="preserve"> </w:t>
      </w:r>
      <w:r w:rsidR="00ED1288" w:rsidRPr="00BF4555">
        <w:t xml:space="preserve">defendants have been sentenced to an average </w:t>
      </w:r>
      <w:r w:rsidR="00423CBF">
        <w:t xml:space="preserve">prison term </w:t>
      </w:r>
      <w:r w:rsidR="00ED1288" w:rsidRPr="00BF4555">
        <w:t>of 1</w:t>
      </w:r>
      <w:r w:rsidR="00423CBF">
        <w:t>68.8</w:t>
      </w:r>
      <w:r w:rsidR="00ED1288" w:rsidRPr="00BF4555">
        <w:t xml:space="preserve"> months</w:t>
      </w:r>
      <w:r w:rsidR="000C5232">
        <w:t>.</w:t>
      </w:r>
    </w:p>
    <w:p w:rsidR="00ED1288" w:rsidRPr="00A93EF9" w:rsidRDefault="00ED1288" w:rsidP="00ED1288"/>
    <w:p w:rsidR="00517417" w:rsidRDefault="00E9133F" w:rsidP="00ED1288">
      <w:r w:rsidRPr="00423CBF">
        <w:t>In fiscal year</w:t>
      </w:r>
      <w:r w:rsidR="00E91D81" w:rsidRPr="00423CBF">
        <w:t xml:space="preserve"> 2010</w:t>
      </w:r>
      <w:r w:rsidR="00ED1288" w:rsidRPr="00A93EF9">
        <w:t>, ATF</w:t>
      </w:r>
      <w:r w:rsidR="00517417">
        <w:t>’s tobacco diversion program</w:t>
      </w:r>
      <w:r w:rsidR="00ED1288" w:rsidRPr="00A93EF9">
        <w:t xml:space="preserve"> </w:t>
      </w:r>
      <w:r w:rsidR="00ED1288" w:rsidRPr="009A54B4">
        <w:t>seized</w:t>
      </w:r>
      <w:r w:rsidR="00ED1288" w:rsidRPr="00A93EF9">
        <w:t xml:space="preserve"> $</w:t>
      </w:r>
      <w:r w:rsidR="00E172A8">
        <w:t>7</w:t>
      </w:r>
      <w:r w:rsidR="00423CBF">
        <w:t>2</w:t>
      </w:r>
      <w:r w:rsidR="00ED1288" w:rsidRPr="00A93EF9">
        <w:t xml:space="preserve"> million in crime proceeds in tobacco diversion</w:t>
      </w:r>
      <w:r w:rsidR="00517417">
        <w:t xml:space="preserve">.  These funds are either </w:t>
      </w:r>
      <w:r w:rsidR="0092591F">
        <w:t xml:space="preserve">available </w:t>
      </w:r>
      <w:r w:rsidR="00517417">
        <w:t>for new cases or are recouped to the Asset Forfeiture Fund.</w:t>
      </w:r>
    </w:p>
    <w:p w:rsidR="00517417" w:rsidRDefault="00517417" w:rsidP="00ED1288"/>
    <w:p w:rsidR="00ED1288" w:rsidRDefault="00517417" w:rsidP="00ED1288">
      <w:r>
        <w:t>ATF</w:t>
      </w:r>
      <w:r w:rsidR="00ED1288" w:rsidRPr="00A93EF9">
        <w:t xml:space="preserve"> </w:t>
      </w:r>
      <w:r>
        <w:t>demonstrates in its firearms cases</w:t>
      </w:r>
      <w:r w:rsidR="00ED1288" w:rsidRPr="00A93EF9">
        <w:t xml:space="preserve"> the expertise and experience to combat the threat to public safety posed by gangs </w:t>
      </w:r>
      <w:r w:rsidR="00ED1288">
        <w:t>that</w:t>
      </w:r>
      <w:r w:rsidR="00ED1288" w:rsidRPr="00A93EF9">
        <w:t xml:space="preserve"> misuse guns to carry out their illicit activities. </w:t>
      </w:r>
      <w:r w:rsidR="00ED1288">
        <w:t xml:space="preserve"> </w:t>
      </w:r>
      <w:r w:rsidR="00ED1288" w:rsidRPr="00A93EF9">
        <w:t xml:space="preserve">ATF has </w:t>
      </w:r>
      <w:r w:rsidR="004D37BB">
        <w:t>led</w:t>
      </w:r>
      <w:r w:rsidR="00ED1288" w:rsidRPr="00A93EF9">
        <w:t xml:space="preserve"> </w:t>
      </w:r>
      <w:r w:rsidR="00ED1288" w:rsidRPr="00A93EF9">
        <w:lastRenderedPageBreak/>
        <w:t xml:space="preserve">many successful </w:t>
      </w:r>
      <w:r w:rsidR="00ED1288" w:rsidRPr="00210FBC">
        <w:rPr>
          <w:bCs/>
        </w:rPr>
        <w:t>investigations</w:t>
      </w:r>
      <w:r w:rsidR="00ED1288" w:rsidRPr="00A93EF9">
        <w:t xml:space="preserve"> against well-known street gangs like the Crips, Bloods</w:t>
      </w:r>
      <w:r w:rsidR="00ED1288">
        <w:t>,</w:t>
      </w:r>
      <w:r w:rsidR="00ED1288" w:rsidRPr="00A93EF9">
        <w:t xml:space="preserve"> and M</w:t>
      </w:r>
      <w:r w:rsidR="00F2186A">
        <w:t xml:space="preserve">ara </w:t>
      </w:r>
      <w:r w:rsidR="00ED1288" w:rsidRPr="00A93EF9">
        <w:t>S</w:t>
      </w:r>
      <w:r w:rsidR="00F2186A">
        <w:t>alvatrucha</w:t>
      </w:r>
      <w:r w:rsidR="00ED1288" w:rsidRPr="00A93EF9">
        <w:t>-13</w:t>
      </w:r>
      <w:r w:rsidR="00F2186A">
        <w:t>(MS-13),</w:t>
      </w:r>
      <w:r w:rsidR="00ED1288" w:rsidRPr="00A93EF9">
        <w:t xml:space="preserve"> as well as outlaw motorcycle organizations.</w:t>
      </w:r>
    </w:p>
    <w:p w:rsidR="00ED1288" w:rsidRDefault="00ED1288" w:rsidP="00ED1288"/>
    <w:p w:rsidR="00ED1288" w:rsidRDefault="00ED1288" w:rsidP="00ED1288">
      <w:r>
        <w:t>ATF has</w:t>
      </w:r>
      <w:r w:rsidRPr="00A93EF9">
        <w:t xml:space="preserve"> established Violent Crime </w:t>
      </w:r>
      <w:r>
        <w:t>Impact Teams (</w:t>
      </w:r>
      <w:r w:rsidRPr="00A93EF9">
        <w:t>VCITs</w:t>
      </w:r>
      <w:r>
        <w:t xml:space="preserve">) </w:t>
      </w:r>
      <w:r w:rsidRPr="00A93EF9">
        <w:t>in some of the nation’s most violent neighborhoods to identify and arrest the “worst of the worst” criminals including gang members.</w:t>
      </w:r>
      <w:r>
        <w:t xml:space="preserve">  ATF has</w:t>
      </w:r>
      <w:r w:rsidRPr="00A93EF9">
        <w:t xml:space="preserve"> 31 VCITs, </w:t>
      </w:r>
      <w:r w:rsidRPr="00210FBC">
        <w:rPr>
          <w:bCs/>
        </w:rPr>
        <w:t>including</w:t>
      </w:r>
      <w:r w:rsidRPr="00A93EF9">
        <w:t xml:space="preserve"> teams in Richmond, Virginia; Birmingham, Alabama; Camden, New Jersey</w:t>
      </w:r>
      <w:r w:rsidR="000C5232">
        <w:t>;</w:t>
      </w:r>
      <w:r w:rsidRPr="00A93EF9">
        <w:t xml:space="preserve"> and Houston and Laredo, Texas.</w:t>
      </w:r>
    </w:p>
    <w:p w:rsidR="00ED1288" w:rsidRDefault="00ED1288" w:rsidP="00ED1288"/>
    <w:p w:rsidR="00ED1288" w:rsidRDefault="00ED1288" w:rsidP="00ED1288">
      <w:pPr>
        <w:numPr>
          <w:ilvl w:val="1"/>
          <w:numId w:val="31"/>
        </w:numPr>
        <w:pBdr>
          <w:top w:val="double" w:sz="6" w:space="4" w:color="auto"/>
          <w:left w:val="double" w:sz="6" w:space="4" w:color="auto"/>
          <w:bottom w:val="double" w:sz="6" w:space="4" w:color="auto"/>
          <w:right w:val="double" w:sz="6" w:space="4" w:color="auto"/>
        </w:pBdr>
        <w:ind w:left="900" w:right="180"/>
      </w:pPr>
      <w:r w:rsidRPr="001C0FEC">
        <w:t>From FY 2003 through FY 20</w:t>
      </w:r>
      <w:r w:rsidR="00423CBF">
        <w:t>10</w:t>
      </w:r>
      <w:r w:rsidRPr="001C0FEC">
        <w:t>, ATF recommended prosecution of 1</w:t>
      </w:r>
      <w:r w:rsidR="00423CBF">
        <w:t>4</w:t>
      </w:r>
      <w:r w:rsidRPr="001C0FEC">
        <w:t>,</w:t>
      </w:r>
      <w:r w:rsidR="00423CBF">
        <w:t>089</w:t>
      </w:r>
      <w:r w:rsidRPr="001C0FEC">
        <w:t xml:space="preserve"> cases and 2</w:t>
      </w:r>
      <w:r w:rsidR="00423CBF">
        <w:t>6</w:t>
      </w:r>
      <w:r w:rsidRPr="001C0FEC">
        <w:t>,</w:t>
      </w:r>
      <w:r w:rsidR="00423CBF">
        <w:t>658</w:t>
      </w:r>
      <w:r w:rsidRPr="001C0FEC">
        <w:t xml:space="preserve"> defendants for </w:t>
      </w:r>
      <w:r w:rsidRPr="00F9549B">
        <w:t>firearms trafficking</w:t>
      </w:r>
      <w:r w:rsidR="000C5232">
        <w:t>-</w:t>
      </w:r>
      <w:r w:rsidRPr="00C12F67">
        <w:t xml:space="preserve"> related offenses involving an estimated </w:t>
      </w:r>
      <w:r w:rsidR="00423CBF">
        <w:t>441</w:t>
      </w:r>
      <w:r w:rsidR="001271F8">
        <w:t>,</w:t>
      </w:r>
      <w:r w:rsidR="00423CBF">
        <w:t>255</w:t>
      </w:r>
      <w:r w:rsidRPr="00C12F67">
        <w:t xml:space="preserve"> weapons.</w:t>
      </w:r>
    </w:p>
    <w:p w:rsidR="00ED1288" w:rsidRPr="00EF726E" w:rsidRDefault="007F1FA3" w:rsidP="00ED1288">
      <w:pPr>
        <w:numPr>
          <w:ilvl w:val="1"/>
          <w:numId w:val="31"/>
        </w:numPr>
        <w:pBdr>
          <w:top w:val="double" w:sz="6" w:space="4" w:color="auto"/>
          <w:left w:val="double" w:sz="6" w:space="4" w:color="auto"/>
          <w:bottom w:val="double" w:sz="6" w:space="4" w:color="auto"/>
          <w:right w:val="double" w:sz="6" w:space="4" w:color="auto"/>
        </w:pBdr>
        <w:ind w:left="900" w:right="180"/>
      </w:pPr>
      <w:r w:rsidRPr="00EF726E">
        <w:t xml:space="preserve">In FY </w:t>
      </w:r>
      <w:r w:rsidR="00EF726E" w:rsidRPr="00EF726E">
        <w:t>2009</w:t>
      </w:r>
      <w:r w:rsidRPr="00EF726E">
        <w:t>-</w:t>
      </w:r>
      <w:r w:rsidR="00EF726E" w:rsidRPr="00EF726E">
        <w:t>10</w:t>
      </w:r>
      <w:r w:rsidRPr="00EF726E">
        <w:t xml:space="preserve">, ATF conducted an integrated training program focusing on firearms tracing, trafficking, and enforcement strategies for </w:t>
      </w:r>
      <w:r w:rsidR="00EF726E" w:rsidRPr="00EF726E">
        <w:t>2,892</w:t>
      </w:r>
      <w:r w:rsidRPr="00EF726E">
        <w:t xml:space="preserve"> Federal, State, and local law enforcement personnel.</w:t>
      </w:r>
    </w:p>
    <w:p w:rsidR="00ED1288" w:rsidRPr="00A93EF9" w:rsidRDefault="00ED1288" w:rsidP="00ED1288"/>
    <w:p w:rsidR="00ED1288" w:rsidRDefault="00ED1288" w:rsidP="00ED1288">
      <w:r>
        <w:t>ATF’s</w:t>
      </w:r>
      <w:r w:rsidRPr="00A93EF9">
        <w:t xml:space="preserve"> regulatory authority and investigative expertise are also directed at dismantling firearms trafficking networks.  </w:t>
      </w:r>
      <w:r w:rsidRPr="00210FBC">
        <w:rPr>
          <w:bCs/>
        </w:rPr>
        <w:t>Through</w:t>
      </w:r>
      <w:r w:rsidRPr="00A93EF9">
        <w:t xml:space="preserve"> the use of trafficking schemes, criminals seek to divert firearms from legitimate commerce </w:t>
      </w:r>
      <w:r>
        <w:t>to</w:t>
      </w:r>
      <w:r w:rsidRPr="00A93EF9">
        <w:t xml:space="preserve"> illicit activities.  Firearms trafficking networks extend throughout the United States and affect communities nationwide.  In recent years, ATF has focused attention on those networks that exist principally to supply weapons to Mexican drug cartels.</w:t>
      </w:r>
    </w:p>
    <w:p w:rsidR="00ED1288" w:rsidRDefault="00ED1288" w:rsidP="00ED1288"/>
    <w:p w:rsidR="00192342" w:rsidRPr="00EB0B89" w:rsidRDefault="00192342" w:rsidP="00192342">
      <w:r w:rsidRPr="00EB0B89">
        <w:t xml:space="preserve">ATF participates in the Sporting, Hunting and Outdoor Trade (SHOT) Show, the world’s premier firearms industry trade show, every year.  ATF meets with the largest firearms retailers in the country, as well as the Firearms and Ammunition Importers Round Table (FAIR) and the National Firearms Act Trade and Collectors Association (NFATCA).  </w:t>
      </w:r>
      <w:r w:rsidR="000C5232">
        <w:t>T</w:t>
      </w:r>
      <w:r w:rsidRPr="00EB0B89">
        <w:t xml:space="preserve">hese meetings identify common </w:t>
      </w:r>
      <w:r w:rsidR="000C5232">
        <w:t>industry</w:t>
      </w:r>
      <w:r w:rsidRPr="00EB0B89">
        <w:t xml:space="preserve"> </w:t>
      </w:r>
      <w:r w:rsidR="000C5232">
        <w:t xml:space="preserve">issues </w:t>
      </w:r>
      <w:r w:rsidRPr="00EB0B89">
        <w:t>and concerns and attempt to address these issues.</w:t>
      </w:r>
    </w:p>
    <w:p w:rsidR="00192342" w:rsidRDefault="00192342" w:rsidP="00ED1288"/>
    <w:p w:rsidR="00ED1288" w:rsidRDefault="000C5232" w:rsidP="00ED1288">
      <w:r>
        <w:t xml:space="preserve">The following data show ATF’s impact on firearms trafficking in the Southwest Border </w:t>
      </w:r>
      <w:r w:rsidR="00ED1288" w:rsidRPr="00A93EF9">
        <w:t>States</w:t>
      </w:r>
      <w:r w:rsidR="005214AE">
        <w:t xml:space="preserve"> of Arizona, California, New Mexico, and Texas </w:t>
      </w:r>
      <w:r>
        <w:t>between FY 2005 and FY 2010:</w:t>
      </w:r>
    </w:p>
    <w:p w:rsidR="00F42E1F" w:rsidRDefault="00F42E1F" w:rsidP="00ED1288"/>
    <w:p w:rsidR="00ED1288" w:rsidRDefault="00DE0339" w:rsidP="00ED1288">
      <w:pPr>
        <w:numPr>
          <w:ilvl w:val="1"/>
          <w:numId w:val="31"/>
        </w:numPr>
        <w:pBdr>
          <w:top w:val="double" w:sz="6" w:space="4" w:color="auto"/>
          <w:left w:val="double" w:sz="6" w:space="4" w:color="auto"/>
          <w:bottom w:val="double" w:sz="6" w:space="4" w:color="auto"/>
          <w:right w:val="double" w:sz="6" w:space="4" w:color="auto"/>
        </w:pBdr>
        <w:ind w:left="900" w:right="180"/>
      </w:pPr>
      <w:r>
        <w:t>1,178</w:t>
      </w:r>
      <w:r w:rsidR="00ED1288" w:rsidRPr="001C0FEC">
        <w:t xml:space="preserve"> cases involving 2,</w:t>
      </w:r>
      <w:r>
        <w:t>552</w:t>
      </w:r>
      <w:r w:rsidR="00ED1288" w:rsidRPr="001C0FEC">
        <w:t xml:space="preserve"> defendants have been recommended for prosecution.</w:t>
      </w:r>
    </w:p>
    <w:p w:rsidR="00ED1288" w:rsidRDefault="00ED1288" w:rsidP="00ED1288">
      <w:pPr>
        <w:numPr>
          <w:ilvl w:val="1"/>
          <w:numId w:val="31"/>
        </w:numPr>
        <w:pBdr>
          <w:top w:val="double" w:sz="6" w:space="4" w:color="auto"/>
          <w:left w:val="double" w:sz="6" w:space="4" w:color="auto"/>
          <w:bottom w:val="double" w:sz="6" w:space="4" w:color="auto"/>
          <w:right w:val="double" w:sz="6" w:space="4" w:color="auto"/>
        </w:pBdr>
        <w:ind w:left="900" w:right="180"/>
      </w:pPr>
      <w:r w:rsidRPr="001C0FEC">
        <w:t>To date, 1,</w:t>
      </w:r>
      <w:r w:rsidR="00DE0339">
        <w:t>800</w:t>
      </w:r>
      <w:r w:rsidRPr="001C0FEC">
        <w:t xml:space="preserve"> defendants have been arrested, 1,</w:t>
      </w:r>
      <w:r w:rsidR="00DE0339">
        <w:t>705</w:t>
      </w:r>
      <w:r w:rsidRPr="001C0FEC">
        <w:t xml:space="preserve"> defendants have been indicted, </w:t>
      </w:r>
      <w:r w:rsidR="00DE0339">
        <w:t>1,170</w:t>
      </w:r>
      <w:r w:rsidRPr="001C0FEC">
        <w:t xml:space="preserve"> defendants have been convicted, and </w:t>
      </w:r>
      <w:r w:rsidR="00DE0339">
        <w:t>8</w:t>
      </w:r>
      <w:r w:rsidR="001271F8">
        <w:t>6</w:t>
      </w:r>
      <w:r w:rsidR="00DE0339">
        <w:t>2</w:t>
      </w:r>
      <w:r w:rsidRPr="001C0FEC">
        <w:t xml:space="preserve"> defendants have been sentenced to an average of </w:t>
      </w:r>
      <w:r w:rsidR="00DE0339">
        <w:t>102</w:t>
      </w:r>
      <w:r w:rsidRPr="001C0FEC">
        <w:t xml:space="preserve"> months incarceration.</w:t>
      </w:r>
    </w:p>
    <w:p w:rsidR="00ED1288" w:rsidRDefault="00ED1288" w:rsidP="00ED1288">
      <w:pPr>
        <w:numPr>
          <w:ilvl w:val="1"/>
          <w:numId w:val="31"/>
        </w:numPr>
        <w:pBdr>
          <w:top w:val="double" w:sz="6" w:space="4" w:color="auto"/>
          <w:left w:val="double" w:sz="6" w:space="4" w:color="auto"/>
          <w:bottom w:val="double" w:sz="6" w:space="4" w:color="auto"/>
          <w:right w:val="double" w:sz="6" w:space="4" w:color="auto"/>
        </w:pBdr>
        <w:ind w:left="900" w:right="180"/>
      </w:pPr>
      <w:r w:rsidRPr="001C0FEC">
        <w:t>3</w:t>
      </w:r>
      <w:r w:rsidR="00DE0339">
        <w:t>63</w:t>
      </w:r>
      <w:r w:rsidRPr="001C0FEC">
        <w:t xml:space="preserve"> of the cases and </w:t>
      </w:r>
      <w:r w:rsidR="00DE0339">
        <w:t>1,098</w:t>
      </w:r>
      <w:r w:rsidRPr="001C0FEC">
        <w:t xml:space="preserve"> of the defendants recommended for prosecution involve gang</w:t>
      </w:r>
      <w:r w:rsidR="00130D87">
        <w:t>-</w:t>
      </w:r>
      <w:r w:rsidRPr="001C0FEC">
        <w:t>related offenses.</w:t>
      </w:r>
    </w:p>
    <w:p w:rsidR="00ED1288" w:rsidRDefault="00DE0339" w:rsidP="00ED1288">
      <w:pPr>
        <w:numPr>
          <w:ilvl w:val="1"/>
          <w:numId w:val="31"/>
        </w:numPr>
        <w:pBdr>
          <w:top w:val="double" w:sz="6" w:space="4" w:color="auto"/>
          <w:left w:val="double" w:sz="6" w:space="4" w:color="auto"/>
          <w:bottom w:val="double" w:sz="6" w:space="4" w:color="auto"/>
          <w:right w:val="double" w:sz="6" w:space="4" w:color="auto"/>
        </w:pBdr>
        <w:ind w:left="900" w:right="180"/>
      </w:pPr>
      <w:r>
        <w:t>604</w:t>
      </w:r>
      <w:r w:rsidR="00ED1288" w:rsidRPr="001C0FEC">
        <w:t xml:space="preserve"> cases have charged violations related to the trafficking of an estimated 1</w:t>
      </w:r>
      <w:r>
        <w:t>9</w:t>
      </w:r>
      <w:r w:rsidR="00ED1288" w:rsidRPr="001C0FEC">
        <w:t>,</w:t>
      </w:r>
      <w:r>
        <w:t>260</w:t>
      </w:r>
      <w:r w:rsidR="00ED1288" w:rsidRPr="001C0FEC">
        <w:t xml:space="preserve"> firearms.  </w:t>
      </w:r>
      <w:r w:rsidR="00ED1288">
        <w:t>A sub-set of 1</w:t>
      </w:r>
      <w:r>
        <w:t>85</w:t>
      </w:r>
      <w:r w:rsidR="00ED1288">
        <w:t xml:space="preserve"> </w:t>
      </w:r>
      <w:r w:rsidR="00ED1288" w:rsidRPr="001C0FEC">
        <w:t xml:space="preserve">of these cases involved gang- related trafficking of over </w:t>
      </w:r>
      <w:r>
        <w:t>4</w:t>
      </w:r>
      <w:r w:rsidR="00ED1288" w:rsidRPr="001C0FEC">
        <w:t>,</w:t>
      </w:r>
      <w:r>
        <w:t>750</w:t>
      </w:r>
      <w:r w:rsidR="00ED1288" w:rsidRPr="001C0FEC">
        <w:t xml:space="preserve"> firearms.</w:t>
      </w:r>
    </w:p>
    <w:p w:rsidR="00ED1288" w:rsidRDefault="00ED1288" w:rsidP="00ED1288">
      <w:pPr>
        <w:numPr>
          <w:ilvl w:val="1"/>
          <w:numId w:val="31"/>
        </w:numPr>
        <w:pBdr>
          <w:top w:val="double" w:sz="6" w:space="4" w:color="auto"/>
          <w:left w:val="double" w:sz="6" w:space="4" w:color="auto"/>
          <w:bottom w:val="double" w:sz="6" w:space="4" w:color="auto"/>
          <w:right w:val="double" w:sz="6" w:space="4" w:color="auto"/>
        </w:pBdr>
        <w:ind w:left="900" w:right="180"/>
      </w:pPr>
      <w:r w:rsidRPr="001C0FEC">
        <w:t xml:space="preserve">In all investigations, over </w:t>
      </w:r>
      <w:r w:rsidR="00DE0339">
        <w:t>8</w:t>
      </w:r>
      <w:r w:rsidRPr="001C0FEC">
        <w:t>,</w:t>
      </w:r>
      <w:r w:rsidR="00DE0339">
        <w:t>700</w:t>
      </w:r>
      <w:r w:rsidRPr="001C0FEC">
        <w:t xml:space="preserve"> firearms have been seized and are no longer available to violent criminals and gang members</w:t>
      </w:r>
      <w:r w:rsidR="005214AE">
        <w:t xml:space="preserve"> and Mexican drug cartels</w:t>
      </w:r>
      <w:r w:rsidRPr="001C0FEC">
        <w:t>.</w:t>
      </w:r>
    </w:p>
    <w:p w:rsidR="00ED1288" w:rsidRPr="00A93EF9" w:rsidRDefault="00ED1288" w:rsidP="00ED1288"/>
    <w:p w:rsidR="002E10D9" w:rsidRDefault="002E10D9" w:rsidP="00B62298">
      <w:pPr>
        <w:rPr>
          <w:color w:val="171E24"/>
        </w:rPr>
      </w:pPr>
      <w:r>
        <w:rPr>
          <w:color w:val="171E24"/>
        </w:rPr>
        <w:t>As the Attorney General stated in his June 2009 testimony, “[C]</w:t>
      </w:r>
      <w:proofErr w:type="spellStart"/>
      <w:r>
        <w:rPr>
          <w:color w:val="171E24"/>
        </w:rPr>
        <w:t>onfronting</w:t>
      </w:r>
      <w:proofErr w:type="spellEnd"/>
      <w:r>
        <w:rPr>
          <w:color w:val="171E24"/>
        </w:rPr>
        <w:t xml:space="preserve"> the Mexican cartels, together with our partners in the Mexican government, is a paramount priority for the United </w:t>
      </w:r>
      <w:r>
        <w:rPr>
          <w:color w:val="171E24"/>
        </w:rPr>
        <w:lastRenderedPageBreak/>
        <w:t xml:space="preserve">States and the Department. The southwest border in particular is a vulnerable area for illegal immigration, drug trafficking, and the smuggling of illegal firearms. Implementing a comprehensive strategy for confronting the cartels and security at the border involves collaboration and coordination at various levels of the government.” </w:t>
      </w:r>
      <w:r w:rsidR="00E078BE">
        <w:rPr>
          <w:color w:val="171E24"/>
        </w:rPr>
        <w:t xml:space="preserve"> </w:t>
      </w:r>
      <w:r w:rsidR="00E91D81" w:rsidRPr="00171567">
        <w:rPr>
          <w:color w:val="171E24"/>
        </w:rPr>
        <w:t xml:space="preserve">ATF’s </w:t>
      </w:r>
      <w:r w:rsidR="00171567" w:rsidRPr="00171567">
        <w:rPr>
          <w:color w:val="171E24"/>
        </w:rPr>
        <w:t>nine</w:t>
      </w:r>
      <w:r w:rsidR="00E91D81" w:rsidRPr="00171567">
        <w:rPr>
          <w:color w:val="171E24"/>
        </w:rPr>
        <w:t xml:space="preserve"> Gunrunner </w:t>
      </w:r>
      <w:r w:rsidR="00E91D81" w:rsidRPr="00171567">
        <w:t>teams</w:t>
      </w:r>
      <w:r w:rsidR="00E91D81" w:rsidRPr="00171567">
        <w:rPr>
          <w:color w:val="5F497A" w:themeColor="accent4" w:themeShade="BF"/>
        </w:rPr>
        <w:t xml:space="preserve"> </w:t>
      </w:r>
      <w:r w:rsidR="00E91D81" w:rsidRPr="00171567">
        <w:rPr>
          <w:color w:val="171E24"/>
        </w:rPr>
        <w:t>and 31 strategically placed VCITs are key frontline elements in the Administration’s National Southwest Border Counternarcotics Strategy Objectives.</w:t>
      </w:r>
    </w:p>
    <w:p w:rsidR="00B62298" w:rsidRDefault="00B62298" w:rsidP="00B62298">
      <w:pPr>
        <w:rPr>
          <w:color w:val="171E24"/>
        </w:rPr>
      </w:pPr>
    </w:p>
    <w:p w:rsidR="002C47CF" w:rsidRPr="00E436B2" w:rsidRDefault="00ED1288" w:rsidP="006D7B2F">
      <w:pPr>
        <w:pStyle w:val="BudgetHeading2"/>
        <w:numPr>
          <w:ilvl w:val="0"/>
          <w:numId w:val="0"/>
        </w:numPr>
      </w:pPr>
      <w:r>
        <w:t>D</w:t>
      </w:r>
      <w:r w:rsidR="002C47CF">
        <w:t>.</w:t>
      </w:r>
      <w:r>
        <w:t xml:space="preserve"> </w:t>
      </w:r>
      <w:r w:rsidR="002C47CF">
        <w:t xml:space="preserve"> </w:t>
      </w:r>
      <w:r w:rsidR="002C47CF" w:rsidRPr="00E436B2">
        <w:t>Adjustments-to-Base (ATB):</w:t>
      </w:r>
    </w:p>
    <w:p w:rsidR="002F62C8" w:rsidRPr="00BE6A0B" w:rsidRDefault="002F62C8" w:rsidP="002F62C8">
      <w:pPr>
        <w:pStyle w:val="BodyText"/>
        <w:spacing w:before="100" w:beforeAutospacing="1" w:after="100" w:afterAutospacing="1"/>
      </w:pPr>
      <w:r>
        <w:t>ATF requests $</w:t>
      </w:r>
      <w:r w:rsidR="00AD50C9">
        <w:t>58</w:t>
      </w:r>
      <w:r w:rsidR="00086196">
        <w:t>,</w:t>
      </w:r>
      <w:r w:rsidR="00AD50C9">
        <w:t>338</w:t>
      </w:r>
      <w:r w:rsidR="00086196">
        <w:t>,000</w:t>
      </w:r>
      <w:r>
        <w:t xml:space="preserve"> in net ATBs to maintain current services levels in firearms, explosives</w:t>
      </w:r>
      <w:r w:rsidR="00130D87">
        <w:t>,</w:t>
      </w:r>
      <w:r>
        <w:t xml:space="preserve"> and arson enforcement activities</w:t>
      </w:r>
      <w:r w:rsidR="00130D87">
        <w:t>;</w:t>
      </w:r>
      <w:r>
        <w:t xml:space="preserve"> regulation of the industries</w:t>
      </w:r>
      <w:r w:rsidR="00130D87">
        <w:t>;</w:t>
      </w:r>
      <w:r>
        <w:t xml:space="preserve"> and in meeting critical Administration priorities.  This </w:t>
      </w:r>
      <w:r w:rsidR="000E7649">
        <w:t xml:space="preserve">ATB </w:t>
      </w:r>
      <w:r>
        <w:t>level supports Administration priorities by annualizing resources in support of Southwest Border enforcement activities</w:t>
      </w:r>
      <w:r w:rsidR="00086196">
        <w:t xml:space="preserve"> and</w:t>
      </w:r>
      <w:r>
        <w:t xml:space="preserve"> </w:t>
      </w:r>
      <w:r w:rsidR="00514DB2" w:rsidRPr="00086196">
        <w:t>providing explosives expertise support to the Iraq Embassy</w:t>
      </w:r>
      <w:r w:rsidR="000E7649">
        <w:t xml:space="preserve">.  </w:t>
      </w:r>
    </w:p>
    <w:p w:rsidR="002F62C8" w:rsidRDefault="002F62C8" w:rsidP="002F62C8">
      <w:pPr>
        <w:pStyle w:val="xl33"/>
        <w:spacing w:beforeAutospacing="1" w:afterAutospacing="1"/>
        <w:jc w:val="left"/>
        <w:rPr>
          <w:rFonts w:ascii="Times New Roman" w:hAnsi="Times New Roman"/>
          <w:b w:val="0"/>
          <w:szCs w:val="24"/>
        </w:rPr>
      </w:pPr>
      <w:r w:rsidRPr="00BE6A0B">
        <w:rPr>
          <w:rFonts w:ascii="Times New Roman" w:hAnsi="Times New Roman"/>
          <w:b w:val="0"/>
          <w:szCs w:val="24"/>
        </w:rPr>
        <w:t>Each of ATF’s programs is essential to reducing violent crime, preventing terrorism, and protecting the Nation.  ATF’s unique regulatory authority of the firearms and explosives industries provides strong support to accomplishment of its law enforcement mission.</w:t>
      </w:r>
      <w:r>
        <w:rPr>
          <w:rFonts w:ascii="Times New Roman" w:hAnsi="Times New Roman"/>
          <w:b w:val="0"/>
          <w:szCs w:val="24"/>
        </w:rPr>
        <w:t xml:space="preserve">  </w:t>
      </w:r>
      <w:r w:rsidRPr="00BE6A0B">
        <w:rPr>
          <w:rFonts w:ascii="Times New Roman" w:hAnsi="Times New Roman"/>
          <w:b w:val="0"/>
          <w:szCs w:val="24"/>
        </w:rPr>
        <w:t xml:space="preserve">ATF’s mission </w:t>
      </w:r>
      <w:r w:rsidR="000E7649">
        <w:rPr>
          <w:rFonts w:ascii="Times New Roman" w:hAnsi="Times New Roman"/>
          <w:b w:val="0"/>
          <w:szCs w:val="24"/>
        </w:rPr>
        <w:t>and its FY 2012</w:t>
      </w:r>
      <w:r>
        <w:rPr>
          <w:rFonts w:ascii="Times New Roman" w:hAnsi="Times New Roman"/>
          <w:b w:val="0"/>
          <w:szCs w:val="24"/>
        </w:rPr>
        <w:t xml:space="preserve"> budget request </w:t>
      </w:r>
      <w:r w:rsidRPr="00BE6A0B">
        <w:rPr>
          <w:rFonts w:ascii="Times New Roman" w:hAnsi="Times New Roman"/>
          <w:b w:val="0"/>
          <w:szCs w:val="24"/>
        </w:rPr>
        <w:t xml:space="preserve">support the priorities of the Attorney General under the Department’s Strategic Goals </w:t>
      </w:r>
      <w:r>
        <w:rPr>
          <w:rFonts w:ascii="Times New Roman" w:hAnsi="Times New Roman"/>
          <w:b w:val="0"/>
          <w:szCs w:val="24"/>
        </w:rPr>
        <w:t>of</w:t>
      </w:r>
      <w:r w:rsidRPr="00BE6A0B">
        <w:rPr>
          <w:rFonts w:ascii="Times New Roman" w:hAnsi="Times New Roman"/>
          <w:b w:val="0"/>
          <w:szCs w:val="24"/>
        </w:rPr>
        <w:t xml:space="preserve"> </w:t>
      </w:r>
      <w:r>
        <w:rPr>
          <w:rFonts w:ascii="Times New Roman" w:hAnsi="Times New Roman"/>
          <w:b w:val="0"/>
          <w:szCs w:val="24"/>
        </w:rPr>
        <w:t>p</w:t>
      </w:r>
      <w:r w:rsidRPr="00BE6A0B">
        <w:rPr>
          <w:rFonts w:ascii="Times New Roman" w:hAnsi="Times New Roman"/>
          <w:b w:val="0"/>
          <w:szCs w:val="24"/>
        </w:rPr>
        <w:t>romot</w:t>
      </w:r>
      <w:r>
        <w:rPr>
          <w:rFonts w:ascii="Times New Roman" w:hAnsi="Times New Roman"/>
          <w:b w:val="0"/>
          <w:szCs w:val="24"/>
        </w:rPr>
        <w:t>ing</w:t>
      </w:r>
      <w:r w:rsidRPr="00BE6A0B">
        <w:rPr>
          <w:rFonts w:ascii="Times New Roman" w:hAnsi="Times New Roman"/>
          <w:b w:val="0"/>
          <w:szCs w:val="24"/>
        </w:rPr>
        <w:t xml:space="preserve"> the </w:t>
      </w:r>
      <w:r w:rsidR="00130D87">
        <w:rPr>
          <w:rFonts w:ascii="Times New Roman" w:hAnsi="Times New Roman"/>
          <w:b w:val="0"/>
          <w:szCs w:val="24"/>
        </w:rPr>
        <w:t>N</w:t>
      </w:r>
      <w:r w:rsidRPr="00BE6A0B">
        <w:rPr>
          <w:rFonts w:ascii="Times New Roman" w:hAnsi="Times New Roman"/>
          <w:b w:val="0"/>
          <w:szCs w:val="24"/>
        </w:rPr>
        <w:t xml:space="preserve">ation’s </w:t>
      </w:r>
      <w:r>
        <w:rPr>
          <w:rFonts w:ascii="Times New Roman" w:hAnsi="Times New Roman"/>
          <w:b w:val="0"/>
          <w:szCs w:val="24"/>
        </w:rPr>
        <w:t>s</w:t>
      </w:r>
      <w:r w:rsidRPr="00BE6A0B">
        <w:rPr>
          <w:rFonts w:ascii="Times New Roman" w:hAnsi="Times New Roman"/>
          <w:b w:val="0"/>
          <w:szCs w:val="24"/>
        </w:rPr>
        <w:t xml:space="preserve">ecurity and </w:t>
      </w:r>
      <w:r>
        <w:rPr>
          <w:rFonts w:ascii="Times New Roman" w:hAnsi="Times New Roman"/>
          <w:b w:val="0"/>
          <w:szCs w:val="24"/>
        </w:rPr>
        <w:t>p</w:t>
      </w:r>
      <w:r w:rsidRPr="00BE6A0B">
        <w:rPr>
          <w:rFonts w:ascii="Times New Roman" w:hAnsi="Times New Roman"/>
          <w:b w:val="0"/>
          <w:szCs w:val="24"/>
        </w:rPr>
        <w:t>revent</w:t>
      </w:r>
      <w:r>
        <w:rPr>
          <w:rFonts w:ascii="Times New Roman" w:hAnsi="Times New Roman"/>
          <w:b w:val="0"/>
          <w:szCs w:val="24"/>
        </w:rPr>
        <w:t>ing</w:t>
      </w:r>
      <w:r w:rsidRPr="00BE6A0B">
        <w:rPr>
          <w:rFonts w:ascii="Times New Roman" w:hAnsi="Times New Roman"/>
          <w:b w:val="0"/>
          <w:szCs w:val="24"/>
        </w:rPr>
        <w:t xml:space="preserve"> </w:t>
      </w:r>
      <w:r>
        <w:rPr>
          <w:rFonts w:ascii="Times New Roman" w:hAnsi="Times New Roman"/>
          <w:b w:val="0"/>
          <w:szCs w:val="24"/>
        </w:rPr>
        <w:t>c</w:t>
      </w:r>
      <w:r w:rsidRPr="00BE6A0B">
        <w:rPr>
          <w:rFonts w:ascii="Times New Roman" w:hAnsi="Times New Roman"/>
          <w:b w:val="0"/>
          <w:szCs w:val="24"/>
        </w:rPr>
        <w:t xml:space="preserve">rime, </w:t>
      </w:r>
      <w:r>
        <w:rPr>
          <w:rFonts w:ascii="Times New Roman" w:hAnsi="Times New Roman"/>
          <w:b w:val="0"/>
          <w:szCs w:val="24"/>
        </w:rPr>
        <w:t>e</w:t>
      </w:r>
      <w:r w:rsidRPr="00BE6A0B">
        <w:rPr>
          <w:rFonts w:ascii="Times New Roman" w:hAnsi="Times New Roman"/>
          <w:b w:val="0"/>
          <w:szCs w:val="24"/>
        </w:rPr>
        <w:t>nforc</w:t>
      </w:r>
      <w:r>
        <w:rPr>
          <w:rFonts w:ascii="Times New Roman" w:hAnsi="Times New Roman"/>
          <w:b w:val="0"/>
          <w:szCs w:val="24"/>
        </w:rPr>
        <w:t>ing</w:t>
      </w:r>
      <w:r w:rsidRPr="00BE6A0B">
        <w:rPr>
          <w:rFonts w:ascii="Times New Roman" w:hAnsi="Times New Roman"/>
          <w:b w:val="0"/>
          <w:szCs w:val="24"/>
        </w:rPr>
        <w:t xml:space="preserve"> </w:t>
      </w:r>
      <w:r>
        <w:rPr>
          <w:rFonts w:ascii="Times New Roman" w:hAnsi="Times New Roman"/>
          <w:b w:val="0"/>
          <w:szCs w:val="24"/>
        </w:rPr>
        <w:t>f</w:t>
      </w:r>
      <w:r w:rsidRPr="00BE6A0B">
        <w:rPr>
          <w:rFonts w:ascii="Times New Roman" w:hAnsi="Times New Roman"/>
          <w:b w:val="0"/>
          <w:szCs w:val="24"/>
        </w:rPr>
        <w:t xml:space="preserve">ederal </w:t>
      </w:r>
      <w:r>
        <w:rPr>
          <w:rFonts w:ascii="Times New Roman" w:hAnsi="Times New Roman"/>
          <w:b w:val="0"/>
          <w:szCs w:val="24"/>
        </w:rPr>
        <w:t>l</w:t>
      </w:r>
      <w:r w:rsidRPr="00BE6A0B">
        <w:rPr>
          <w:rFonts w:ascii="Times New Roman" w:hAnsi="Times New Roman"/>
          <w:b w:val="0"/>
          <w:szCs w:val="24"/>
        </w:rPr>
        <w:t xml:space="preserve">aws, and </w:t>
      </w:r>
      <w:r>
        <w:rPr>
          <w:rFonts w:ascii="Times New Roman" w:hAnsi="Times New Roman"/>
          <w:b w:val="0"/>
          <w:szCs w:val="24"/>
        </w:rPr>
        <w:t>r</w:t>
      </w:r>
      <w:r w:rsidRPr="00BE6A0B">
        <w:rPr>
          <w:rFonts w:ascii="Times New Roman" w:hAnsi="Times New Roman"/>
          <w:b w:val="0"/>
          <w:szCs w:val="24"/>
        </w:rPr>
        <w:t>epresent</w:t>
      </w:r>
      <w:r>
        <w:rPr>
          <w:rFonts w:ascii="Times New Roman" w:hAnsi="Times New Roman"/>
          <w:b w:val="0"/>
          <w:szCs w:val="24"/>
        </w:rPr>
        <w:t>ing the r</w:t>
      </w:r>
      <w:r w:rsidRPr="00BE6A0B">
        <w:rPr>
          <w:rFonts w:ascii="Times New Roman" w:hAnsi="Times New Roman"/>
          <w:b w:val="0"/>
          <w:szCs w:val="24"/>
        </w:rPr>
        <w:t xml:space="preserve">ights of the American </w:t>
      </w:r>
      <w:r>
        <w:rPr>
          <w:rFonts w:ascii="Times New Roman" w:hAnsi="Times New Roman"/>
          <w:b w:val="0"/>
          <w:szCs w:val="24"/>
        </w:rPr>
        <w:t>p</w:t>
      </w:r>
      <w:r w:rsidRPr="00BE6A0B">
        <w:rPr>
          <w:rFonts w:ascii="Times New Roman" w:hAnsi="Times New Roman"/>
          <w:b w:val="0"/>
          <w:szCs w:val="24"/>
        </w:rPr>
        <w:t xml:space="preserve">eople.  </w:t>
      </w:r>
    </w:p>
    <w:p w:rsidR="00006CDB" w:rsidRDefault="00006CDB" w:rsidP="002F62C8">
      <w:pPr>
        <w:pStyle w:val="xl33"/>
        <w:spacing w:beforeAutospacing="1" w:afterAutospacing="1"/>
        <w:jc w:val="left"/>
        <w:rPr>
          <w:rFonts w:ascii="Times New Roman" w:hAnsi="Times New Roman"/>
          <w:szCs w:val="24"/>
        </w:rPr>
      </w:pPr>
      <w:r w:rsidRPr="00006CDB">
        <w:rPr>
          <w:rFonts w:ascii="Times New Roman" w:hAnsi="Times New Roman"/>
          <w:szCs w:val="24"/>
        </w:rPr>
        <w:t xml:space="preserve">E. </w:t>
      </w:r>
      <w:r>
        <w:rPr>
          <w:rFonts w:ascii="Times New Roman" w:hAnsi="Times New Roman"/>
          <w:szCs w:val="24"/>
        </w:rPr>
        <w:t xml:space="preserve"> </w:t>
      </w:r>
      <w:r w:rsidRPr="00006CDB">
        <w:rPr>
          <w:rFonts w:ascii="Times New Roman" w:hAnsi="Times New Roman"/>
          <w:szCs w:val="24"/>
        </w:rPr>
        <w:t>FY 2010 Decision Unit Profile</w:t>
      </w:r>
      <w:r>
        <w:rPr>
          <w:rFonts w:ascii="Times New Roman" w:hAnsi="Times New Roman"/>
          <w:szCs w:val="24"/>
        </w:rPr>
        <w:t>:</w:t>
      </w:r>
    </w:p>
    <w:p w:rsidR="00006CDB" w:rsidRDefault="00006CDB" w:rsidP="00006CDB">
      <w:r>
        <w:t>In FY 2009 and 2010, ATF reprogrammed funds, in accordance with Section 505 of DOJ’s General Provisions, from Arson &amp; Explosives and Alcohol &amp; Tobacco to Firearms.  The reprogrammings were necessary because of ATF’s increasing demands at the Southwest Border and in firearms enforcement activities.   In FY 2012, ATF’s budget request realigns resources to reflect a Decision Unit structure as follows:  Firearms-75%; Arson &amp; Explosives-23%; and Alcohol &amp; Tobacco Diversion-2%.</w:t>
      </w:r>
    </w:p>
    <w:p w:rsidR="00006CDB" w:rsidRPr="00006CDB" w:rsidRDefault="00006CDB" w:rsidP="002F62C8">
      <w:pPr>
        <w:pStyle w:val="xl33"/>
        <w:spacing w:beforeAutospacing="1" w:afterAutospacing="1"/>
        <w:jc w:val="left"/>
        <w:rPr>
          <w:rFonts w:ascii="Times New Roman" w:hAnsi="Times New Roman"/>
          <w:b w:val="0"/>
          <w:szCs w:val="24"/>
        </w:rPr>
      </w:pPr>
    </w:p>
    <w:p w:rsidR="00006CDB" w:rsidRPr="00BE6A0B" w:rsidRDefault="00006CDB" w:rsidP="002F62C8">
      <w:pPr>
        <w:pStyle w:val="xl33"/>
        <w:spacing w:beforeAutospacing="1" w:afterAutospacing="1"/>
        <w:jc w:val="left"/>
        <w:rPr>
          <w:rFonts w:ascii="Times New Roman" w:hAnsi="Times New Roman"/>
          <w:b w:val="0"/>
          <w:szCs w:val="24"/>
        </w:rPr>
      </w:pPr>
    </w:p>
    <w:p w:rsidR="00FA2AAB" w:rsidRPr="00BE6A0B" w:rsidRDefault="00FA2AAB" w:rsidP="005027FD">
      <w:pPr>
        <w:pStyle w:val="xl33"/>
        <w:spacing w:beforeAutospacing="1" w:afterAutospacing="1"/>
        <w:jc w:val="left"/>
        <w:rPr>
          <w:rFonts w:ascii="Times New Roman" w:hAnsi="Times New Roman"/>
          <w:b w:val="0"/>
          <w:szCs w:val="24"/>
        </w:rPr>
      </w:pPr>
      <w:bookmarkStart w:id="3" w:name="_Toc224026861"/>
      <w:bookmarkStart w:id="4" w:name="OLE_LINK9"/>
      <w:bookmarkStart w:id="5" w:name="OLE_LINK10"/>
      <w:r w:rsidRPr="00BE6A0B">
        <w:rPr>
          <w:rFonts w:ascii="Times New Roman" w:hAnsi="Times New Roman"/>
          <w:b w:val="0"/>
          <w:szCs w:val="24"/>
        </w:rPr>
        <w:t xml:space="preserve">  </w:t>
      </w:r>
      <w:bookmarkEnd w:id="3"/>
    </w:p>
    <w:p w:rsidR="00B6650B" w:rsidRDefault="00FA2AAB" w:rsidP="00802178">
      <w:pPr>
        <w:pStyle w:val="Heading1"/>
        <w:spacing w:before="100" w:beforeAutospacing="1" w:after="100" w:afterAutospacing="1"/>
      </w:pPr>
      <w:r w:rsidRPr="00762F09">
        <w:rPr>
          <w:rFonts w:ascii="Times New Roman" w:hAnsi="Times New Roman"/>
          <w:b w:val="0"/>
          <w:bCs/>
          <w:szCs w:val="24"/>
        </w:rPr>
        <w:br w:type="page"/>
      </w:r>
      <w:bookmarkStart w:id="6" w:name="type02"/>
      <w:bookmarkStart w:id="7" w:name="type03"/>
      <w:bookmarkStart w:id="8" w:name="type06"/>
      <w:bookmarkStart w:id="9" w:name="type07"/>
      <w:bookmarkStart w:id="10" w:name="type08"/>
      <w:bookmarkStart w:id="11" w:name="type09"/>
      <w:bookmarkStart w:id="12" w:name="type10"/>
      <w:bookmarkStart w:id="13" w:name="type11"/>
      <w:bookmarkStart w:id="14" w:name="_Toc224026862"/>
      <w:bookmarkEnd w:id="4"/>
      <w:bookmarkEnd w:id="5"/>
      <w:bookmarkEnd w:id="6"/>
      <w:bookmarkEnd w:id="7"/>
      <w:bookmarkEnd w:id="8"/>
      <w:bookmarkEnd w:id="9"/>
      <w:bookmarkEnd w:id="10"/>
      <w:bookmarkEnd w:id="11"/>
      <w:bookmarkEnd w:id="12"/>
      <w:bookmarkEnd w:id="13"/>
      <w:r w:rsidRPr="00762F09">
        <w:rPr>
          <w:rFonts w:ascii="Times New Roman" w:hAnsi="Times New Roman"/>
          <w:szCs w:val="24"/>
        </w:rPr>
        <w:lastRenderedPageBreak/>
        <w:t xml:space="preserve">ATF Resource Profile FY </w:t>
      </w:r>
      <w:bookmarkEnd w:id="14"/>
      <w:r w:rsidR="003A1DEB" w:rsidRPr="00762F09">
        <w:rPr>
          <w:rFonts w:ascii="Times New Roman" w:hAnsi="Times New Roman"/>
          <w:szCs w:val="24"/>
        </w:rPr>
        <w:t>201</w:t>
      </w:r>
      <w:r w:rsidR="003A1DEB">
        <w:rPr>
          <w:rFonts w:ascii="Times New Roman" w:hAnsi="Times New Roman"/>
          <w:szCs w:val="24"/>
        </w:rPr>
        <w:t>2</w:t>
      </w:r>
      <w:r w:rsidR="00B62298">
        <w:rPr>
          <w:rFonts w:ascii="Times New Roman" w:hAnsi="Times New Roman"/>
          <w:szCs w:val="24"/>
        </w:rPr>
        <w:t xml:space="preserve"> </w:t>
      </w:r>
    </w:p>
    <w:p w:rsidR="00FA2AAB" w:rsidRPr="00762F09" w:rsidRDefault="00FA2AAB" w:rsidP="005027FD">
      <w:pPr>
        <w:pStyle w:val="Header"/>
        <w:tabs>
          <w:tab w:val="clear" w:pos="4320"/>
          <w:tab w:val="clear" w:pos="8640"/>
        </w:tabs>
        <w:spacing w:before="100" w:beforeAutospacing="1" w:after="100" w:afterAutospacing="1"/>
        <w:jc w:val="center"/>
        <w:rPr>
          <w:b/>
          <w:bCs/>
        </w:rPr>
      </w:pPr>
      <w:r w:rsidRPr="00762F09">
        <w:rPr>
          <w:b/>
          <w:bCs/>
        </w:rPr>
        <w:t>Resources in Support of DOJ Strategic Goals 1 &amp; 2</w:t>
      </w:r>
    </w:p>
    <w:tbl>
      <w:tblPr>
        <w:tblpPr w:leftFromText="180" w:rightFromText="180" w:vertAnchor="text" w:horzAnchor="margin" w:tblpX="108" w:tblpY="332"/>
        <w:tblW w:w="9558" w:type="dxa"/>
        <w:tblLayout w:type="fixed"/>
        <w:tblLook w:val="0000"/>
      </w:tblPr>
      <w:tblGrid>
        <w:gridCol w:w="1548"/>
        <w:gridCol w:w="1260"/>
        <w:gridCol w:w="1260"/>
        <w:gridCol w:w="1260"/>
        <w:gridCol w:w="1440"/>
        <w:gridCol w:w="1260"/>
        <w:gridCol w:w="1530"/>
      </w:tblGrid>
      <w:tr w:rsidR="00FA2AAB" w:rsidRPr="00762F09" w:rsidTr="00E5153E">
        <w:trPr>
          <w:trHeight w:val="836"/>
        </w:trPr>
        <w:tc>
          <w:tcPr>
            <w:tcW w:w="1548" w:type="dxa"/>
            <w:tcBorders>
              <w:left w:val="nil"/>
              <w:bottom w:val="double" w:sz="4" w:space="0" w:color="999999"/>
              <w:right w:val="single" w:sz="4" w:space="0" w:color="999999"/>
            </w:tcBorders>
            <w:vAlign w:val="center"/>
          </w:tcPr>
          <w:p w:rsidR="00FA2AAB" w:rsidRPr="00762F09" w:rsidRDefault="00FA2AAB" w:rsidP="005027FD">
            <w:pPr>
              <w:pStyle w:val="Header"/>
              <w:tabs>
                <w:tab w:val="clear" w:pos="4320"/>
                <w:tab w:val="clear" w:pos="8640"/>
              </w:tabs>
              <w:spacing w:before="100" w:beforeAutospacing="1" w:after="100" w:afterAutospacing="1"/>
              <w:jc w:val="center"/>
              <w:rPr>
                <w:b/>
                <w:bCs/>
              </w:rPr>
            </w:pPr>
            <w:r w:rsidRPr="00762F09">
              <w:rPr>
                <w:b/>
                <w:bCs/>
              </w:rPr>
              <w:t>Decision Unit</w:t>
            </w:r>
          </w:p>
        </w:tc>
        <w:tc>
          <w:tcPr>
            <w:tcW w:w="1260" w:type="dxa"/>
            <w:tcBorders>
              <w:bottom w:val="double" w:sz="4" w:space="0" w:color="999999"/>
            </w:tcBorders>
          </w:tcPr>
          <w:p w:rsidR="00FA2AAB" w:rsidRPr="00762F09" w:rsidRDefault="00FA2AAB" w:rsidP="00ED3050">
            <w:pPr>
              <w:spacing w:before="100" w:beforeAutospacing="1" w:after="100" w:afterAutospacing="1"/>
              <w:jc w:val="center"/>
              <w:rPr>
                <w:b/>
                <w:bCs/>
              </w:rPr>
            </w:pPr>
            <w:r w:rsidRPr="00762F09">
              <w:rPr>
                <w:b/>
                <w:bCs/>
              </w:rPr>
              <w:t xml:space="preserve">FY </w:t>
            </w:r>
            <w:r w:rsidR="00ED3050" w:rsidRPr="00762F09">
              <w:rPr>
                <w:b/>
                <w:bCs/>
              </w:rPr>
              <w:t>20</w:t>
            </w:r>
            <w:r w:rsidR="00ED3050">
              <w:rPr>
                <w:b/>
                <w:bCs/>
              </w:rPr>
              <w:t>10</w:t>
            </w:r>
            <w:r w:rsidR="00ED3050" w:rsidRPr="00762F09">
              <w:rPr>
                <w:b/>
                <w:bCs/>
              </w:rPr>
              <w:t xml:space="preserve"> </w:t>
            </w:r>
            <w:r w:rsidRPr="00762F09">
              <w:rPr>
                <w:b/>
                <w:bCs/>
              </w:rPr>
              <w:t>Enacted FTE</w:t>
            </w:r>
          </w:p>
        </w:tc>
        <w:tc>
          <w:tcPr>
            <w:tcW w:w="1260" w:type="dxa"/>
            <w:tcBorders>
              <w:bottom w:val="double" w:sz="4" w:space="0" w:color="999999"/>
            </w:tcBorders>
          </w:tcPr>
          <w:p w:rsidR="00FA2AAB" w:rsidRPr="00762F09" w:rsidRDefault="00FA2AAB" w:rsidP="00ED3050">
            <w:pPr>
              <w:pStyle w:val="xl33"/>
              <w:spacing w:beforeAutospacing="1" w:afterAutospacing="1"/>
              <w:rPr>
                <w:rFonts w:ascii="Times New Roman" w:hAnsi="Times New Roman"/>
                <w:bCs/>
                <w:szCs w:val="24"/>
              </w:rPr>
            </w:pPr>
            <w:r w:rsidRPr="00F03D4E">
              <w:rPr>
                <w:rFonts w:ascii="Times New Roman" w:hAnsi="Times New Roman"/>
              </w:rPr>
              <w:t xml:space="preserve">FY </w:t>
            </w:r>
            <w:r w:rsidR="00ED3050" w:rsidRPr="00F03D4E">
              <w:rPr>
                <w:rFonts w:ascii="Times New Roman" w:hAnsi="Times New Roman"/>
              </w:rPr>
              <w:t>20</w:t>
            </w:r>
            <w:r w:rsidR="00ED3050">
              <w:rPr>
                <w:rFonts w:ascii="Times New Roman" w:hAnsi="Times New Roman"/>
              </w:rPr>
              <w:t>10</w:t>
            </w:r>
            <w:r w:rsidR="00ED3050" w:rsidRPr="00F03D4E">
              <w:rPr>
                <w:rFonts w:ascii="Times New Roman" w:hAnsi="Times New Roman"/>
              </w:rPr>
              <w:t xml:space="preserve"> </w:t>
            </w:r>
            <w:r w:rsidRPr="00F03D4E">
              <w:rPr>
                <w:rFonts w:ascii="Times New Roman" w:hAnsi="Times New Roman"/>
              </w:rPr>
              <w:t xml:space="preserve">Enacted </w:t>
            </w:r>
            <w:r w:rsidRPr="00762F09">
              <w:rPr>
                <w:rFonts w:ascii="Times New Roman" w:hAnsi="Times New Roman"/>
                <w:bCs/>
                <w:szCs w:val="24"/>
              </w:rPr>
              <w:t>($000)</w:t>
            </w:r>
          </w:p>
        </w:tc>
        <w:tc>
          <w:tcPr>
            <w:tcW w:w="1260" w:type="dxa"/>
            <w:tcBorders>
              <w:bottom w:val="double" w:sz="4" w:space="0" w:color="999999"/>
            </w:tcBorders>
          </w:tcPr>
          <w:p w:rsidR="00FA2AAB" w:rsidRPr="00762F09" w:rsidRDefault="00FA2AAB" w:rsidP="00802178">
            <w:pPr>
              <w:pStyle w:val="xl33"/>
              <w:spacing w:beforeAutospacing="1" w:afterAutospacing="1"/>
              <w:rPr>
                <w:rFonts w:ascii="Times New Roman" w:hAnsi="Times New Roman"/>
                <w:bCs/>
                <w:szCs w:val="24"/>
              </w:rPr>
            </w:pPr>
            <w:r w:rsidRPr="00762F09">
              <w:rPr>
                <w:rFonts w:ascii="Times New Roman" w:hAnsi="Times New Roman"/>
                <w:bCs/>
                <w:szCs w:val="24"/>
              </w:rPr>
              <w:t xml:space="preserve">FY </w:t>
            </w:r>
            <w:r w:rsidR="00ED3050" w:rsidRPr="00762F09">
              <w:rPr>
                <w:rFonts w:ascii="Times New Roman" w:hAnsi="Times New Roman"/>
                <w:bCs/>
                <w:szCs w:val="24"/>
              </w:rPr>
              <w:t>20</w:t>
            </w:r>
            <w:r w:rsidR="00ED3050">
              <w:rPr>
                <w:rFonts w:ascii="Times New Roman" w:hAnsi="Times New Roman"/>
                <w:bCs/>
                <w:szCs w:val="24"/>
              </w:rPr>
              <w:t>11</w:t>
            </w:r>
            <w:r w:rsidR="00ED3050" w:rsidRPr="00762F09">
              <w:rPr>
                <w:rFonts w:ascii="Times New Roman" w:hAnsi="Times New Roman"/>
                <w:bCs/>
                <w:szCs w:val="24"/>
              </w:rPr>
              <w:t xml:space="preserve"> </w:t>
            </w:r>
            <w:r w:rsidR="00802178">
              <w:rPr>
                <w:rFonts w:ascii="Times New Roman" w:hAnsi="Times New Roman"/>
                <w:bCs/>
                <w:szCs w:val="24"/>
              </w:rPr>
              <w:t>CR</w:t>
            </w:r>
            <w:r w:rsidRPr="00762F09">
              <w:rPr>
                <w:rFonts w:ascii="Times New Roman" w:hAnsi="Times New Roman"/>
                <w:bCs/>
                <w:szCs w:val="24"/>
              </w:rPr>
              <w:t xml:space="preserve"> </w:t>
            </w:r>
            <w:r w:rsidR="00802178">
              <w:rPr>
                <w:rFonts w:ascii="Times New Roman" w:hAnsi="Times New Roman"/>
                <w:bCs/>
                <w:szCs w:val="24"/>
              </w:rPr>
              <w:t xml:space="preserve">     </w:t>
            </w:r>
            <w:r w:rsidRPr="00762F09">
              <w:rPr>
                <w:rFonts w:ascii="Times New Roman" w:hAnsi="Times New Roman"/>
                <w:bCs/>
                <w:szCs w:val="24"/>
              </w:rPr>
              <w:t>FTE</w:t>
            </w:r>
          </w:p>
        </w:tc>
        <w:tc>
          <w:tcPr>
            <w:tcW w:w="1440" w:type="dxa"/>
            <w:tcBorders>
              <w:bottom w:val="double" w:sz="4" w:space="0" w:color="999999"/>
            </w:tcBorders>
          </w:tcPr>
          <w:p w:rsidR="00FA2AAB" w:rsidRPr="00762F09" w:rsidRDefault="00FA2AAB" w:rsidP="00802178">
            <w:pPr>
              <w:pStyle w:val="xl33"/>
              <w:spacing w:beforeAutospacing="1" w:afterAutospacing="1"/>
              <w:rPr>
                <w:rFonts w:ascii="Times New Roman" w:hAnsi="Times New Roman"/>
                <w:szCs w:val="24"/>
              </w:rPr>
            </w:pPr>
            <w:r w:rsidRPr="00F03D4E">
              <w:rPr>
                <w:rFonts w:ascii="Times New Roman" w:hAnsi="Times New Roman"/>
              </w:rPr>
              <w:t xml:space="preserve">FY </w:t>
            </w:r>
            <w:r w:rsidR="00ED3050" w:rsidRPr="00F03D4E">
              <w:rPr>
                <w:rFonts w:ascii="Times New Roman" w:hAnsi="Times New Roman"/>
              </w:rPr>
              <w:t>20</w:t>
            </w:r>
            <w:r w:rsidR="00ED3050">
              <w:rPr>
                <w:rFonts w:ascii="Times New Roman" w:hAnsi="Times New Roman"/>
              </w:rPr>
              <w:t>11</w:t>
            </w:r>
            <w:r w:rsidR="00ED3050" w:rsidRPr="00F03D4E">
              <w:rPr>
                <w:rFonts w:ascii="Times New Roman" w:hAnsi="Times New Roman"/>
              </w:rPr>
              <w:t xml:space="preserve"> </w:t>
            </w:r>
            <w:r w:rsidR="00802178">
              <w:rPr>
                <w:rFonts w:ascii="Times New Roman" w:hAnsi="Times New Roman"/>
              </w:rPr>
              <w:t>CR</w:t>
            </w:r>
            <w:r w:rsidRPr="00762F09">
              <w:rPr>
                <w:rFonts w:ascii="Times New Roman" w:hAnsi="Times New Roman"/>
                <w:bCs/>
                <w:szCs w:val="24"/>
              </w:rPr>
              <w:t xml:space="preserve"> </w:t>
            </w:r>
            <w:r w:rsidR="00802178">
              <w:rPr>
                <w:rFonts w:ascii="Times New Roman" w:hAnsi="Times New Roman"/>
                <w:bCs/>
                <w:szCs w:val="24"/>
              </w:rPr>
              <w:t xml:space="preserve">    </w:t>
            </w:r>
            <w:r w:rsidRPr="00762F09">
              <w:rPr>
                <w:rFonts w:ascii="Times New Roman" w:hAnsi="Times New Roman"/>
                <w:szCs w:val="24"/>
              </w:rPr>
              <w:t>($000)</w:t>
            </w:r>
          </w:p>
        </w:tc>
        <w:tc>
          <w:tcPr>
            <w:tcW w:w="1260" w:type="dxa"/>
            <w:tcBorders>
              <w:bottom w:val="double" w:sz="4" w:space="0" w:color="999999"/>
            </w:tcBorders>
          </w:tcPr>
          <w:p w:rsidR="00FA2AAB" w:rsidRPr="00762F09" w:rsidRDefault="00FA2AAB" w:rsidP="00ED3050">
            <w:pPr>
              <w:pStyle w:val="xl33"/>
              <w:spacing w:beforeAutospacing="1" w:afterAutospacing="1"/>
              <w:rPr>
                <w:rFonts w:ascii="Times New Roman" w:hAnsi="Times New Roman"/>
                <w:bCs/>
                <w:szCs w:val="24"/>
              </w:rPr>
            </w:pPr>
            <w:r w:rsidRPr="00762F09">
              <w:rPr>
                <w:rFonts w:ascii="Times New Roman" w:hAnsi="Times New Roman"/>
                <w:bCs/>
                <w:szCs w:val="24"/>
              </w:rPr>
              <w:t xml:space="preserve">FY </w:t>
            </w:r>
            <w:r w:rsidR="00ED3050" w:rsidRPr="00762F09">
              <w:rPr>
                <w:rFonts w:ascii="Times New Roman" w:hAnsi="Times New Roman"/>
                <w:bCs/>
                <w:szCs w:val="24"/>
              </w:rPr>
              <w:t>201</w:t>
            </w:r>
            <w:r w:rsidR="00ED3050">
              <w:rPr>
                <w:rFonts w:ascii="Times New Roman" w:hAnsi="Times New Roman"/>
                <w:bCs/>
                <w:szCs w:val="24"/>
              </w:rPr>
              <w:t>2</w:t>
            </w:r>
            <w:r w:rsidR="00ED3050" w:rsidRPr="00762F09">
              <w:rPr>
                <w:rFonts w:ascii="Times New Roman" w:hAnsi="Times New Roman"/>
                <w:bCs/>
                <w:szCs w:val="24"/>
              </w:rPr>
              <w:t xml:space="preserve"> </w:t>
            </w:r>
            <w:r w:rsidRPr="00762F09">
              <w:rPr>
                <w:rFonts w:ascii="Times New Roman" w:hAnsi="Times New Roman"/>
                <w:bCs/>
                <w:szCs w:val="24"/>
              </w:rPr>
              <w:t>Request FTE</w:t>
            </w:r>
          </w:p>
        </w:tc>
        <w:tc>
          <w:tcPr>
            <w:tcW w:w="1530" w:type="dxa"/>
            <w:tcBorders>
              <w:bottom w:val="double" w:sz="4" w:space="0" w:color="999999"/>
            </w:tcBorders>
          </w:tcPr>
          <w:p w:rsidR="00FA2AAB" w:rsidRPr="00B24A13" w:rsidRDefault="00FA2AAB" w:rsidP="00ED3050">
            <w:pPr>
              <w:spacing w:before="100" w:beforeAutospacing="1" w:after="100" w:afterAutospacing="1"/>
              <w:jc w:val="center"/>
              <w:rPr>
                <w:b/>
                <w:bCs/>
                <w:highlight w:val="yellow"/>
              </w:rPr>
            </w:pPr>
            <w:r w:rsidRPr="00FF7D31">
              <w:rPr>
                <w:b/>
                <w:bCs/>
              </w:rPr>
              <w:t xml:space="preserve">FY </w:t>
            </w:r>
            <w:r w:rsidR="00ED3050" w:rsidRPr="00FF7D31">
              <w:rPr>
                <w:b/>
                <w:bCs/>
              </w:rPr>
              <w:t>201</w:t>
            </w:r>
            <w:r w:rsidR="00ED3050">
              <w:rPr>
                <w:b/>
                <w:bCs/>
              </w:rPr>
              <w:t>2</w:t>
            </w:r>
            <w:r w:rsidR="00ED3050" w:rsidRPr="00FF7D31">
              <w:rPr>
                <w:b/>
                <w:bCs/>
              </w:rPr>
              <w:t xml:space="preserve"> </w:t>
            </w:r>
            <w:r w:rsidRPr="00FF7D31">
              <w:rPr>
                <w:b/>
                <w:bCs/>
              </w:rPr>
              <w:t>Request ($000)</w:t>
            </w:r>
          </w:p>
        </w:tc>
      </w:tr>
      <w:tr w:rsidR="00FA2AAB" w:rsidRPr="00762F09" w:rsidTr="00E5153E">
        <w:trPr>
          <w:trHeight w:val="443"/>
        </w:trPr>
        <w:tc>
          <w:tcPr>
            <w:tcW w:w="1548" w:type="dxa"/>
            <w:tcBorders>
              <w:top w:val="double" w:sz="4" w:space="0" w:color="999999"/>
              <w:left w:val="nil"/>
              <w:right w:val="single" w:sz="4" w:space="0" w:color="999999"/>
            </w:tcBorders>
            <w:vAlign w:val="center"/>
          </w:tcPr>
          <w:p w:rsidR="00FA2AAB" w:rsidRPr="00762F09" w:rsidRDefault="00FA2AAB" w:rsidP="005027FD">
            <w:pPr>
              <w:autoSpaceDE w:val="0"/>
              <w:autoSpaceDN w:val="0"/>
              <w:adjustRightInd w:val="0"/>
              <w:spacing w:before="100" w:beforeAutospacing="1" w:after="100" w:afterAutospacing="1"/>
              <w:jc w:val="center"/>
            </w:pPr>
            <w:r w:rsidRPr="00762F09">
              <w:rPr>
                <w:sz w:val="22"/>
                <w:szCs w:val="22"/>
              </w:rPr>
              <w:t>Firearms</w:t>
            </w:r>
          </w:p>
        </w:tc>
        <w:tc>
          <w:tcPr>
            <w:tcW w:w="1260" w:type="dxa"/>
            <w:tcBorders>
              <w:top w:val="double" w:sz="4" w:space="0" w:color="999999"/>
            </w:tcBorders>
            <w:vAlign w:val="center"/>
          </w:tcPr>
          <w:p w:rsidR="00FA2AAB" w:rsidRPr="00762F09" w:rsidRDefault="00FA2AAB" w:rsidP="00ED3050">
            <w:pPr>
              <w:tabs>
                <w:tab w:val="left" w:pos="822"/>
              </w:tabs>
              <w:autoSpaceDE w:val="0"/>
              <w:autoSpaceDN w:val="0"/>
              <w:adjustRightInd w:val="0"/>
              <w:spacing w:before="100" w:beforeAutospacing="1" w:after="100" w:afterAutospacing="1"/>
              <w:jc w:val="center"/>
            </w:pPr>
            <w:r w:rsidRPr="00762F09">
              <w:rPr>
                <w:sz w:val="22"/>
                <w:szCs w:val="22"/>
              </w:rPr>
              <w:t>3,</w:t>
            </w:r>
            <w:r w:rsidR="00ED3050">
              <w:rPr>
                <w:sz w:val="22"/>
                <w:szCs w:val="22"/>
              </w:rPr>
              <w:t>614</w:t>
            </w:r>
          </w:p>
        </w:tc>
        <w:tc>
          <w:tcPr>
            <w:tcW w:w="1260" w:type="dxa"/>
            <w:tcBorders>
              <w:top w:val="double" w:sz="4" w:space="0" w:color="999999"/>
            </w:tcBorders>
            <w:vAlign w:val="center"/>
          </w:tcPr>
          <w:p w:rsidR="00FA2AAB" w:rsidRPr="00762F09" w:rsidRDefault="00FA2AAB" w:rsidP="00ED3050">
            <w:pPr>
              <w:autoSpaceDE w:val="0"/>
              <w:autoSpaceDN w:val="0"/>
              <w:adjustRightInd w:val="0"/>
              <w:spacing w:before="100" w:beforeAutospacing="1" w:after="100" w:afterAutospacing="1"/>
              <w:jc w:val="center"/>
            </w:pPr>
            <w:r w:rsidRPr="00762F09">
              <w:rPr>
                <w:sz w:val="22"/>
                <w:szCs w:val="22"/>
              </w:rPr>
              <w:t>$</w:t>
            </w:r>
            <w:r w:rsidR="00ED3050">
              <w:rPr>
                <w:sz w:val="22"/>
                <w:szCs w:val="22"/>
              </w:rPr>
              <w:t>802,636</w:t>
            </w:r>
          </w:p>
        </w:tc>
        <w:tc>
          <w:tcPr>
            <w:tcW w:w="1260" w:type="dxa"/>
            <w:tcBorders>
              <w:top w:val="double" w:sz="4" w:space="0" w:color="999999"/>
            </w:tcBorders>
            <w:vAlign w:val="center"/>
          </w:tcPr>
          <w:p w:rsidR="00FA2AAB" w:rsidRPr="00762F09" w:rsidRDefault="00FA2AAB" w:rsidP="00802178">
            <w:pPr>
              <w:tabs>
                <w:tab w:val="left" w:pos="758"/>
              </w:tabs>
              <w:autoSpaceDE w:val="0"/>
              <w:autoSpaceDN w:val="0"/>
              <w:adjustRightInd w:val="0"/>
              <w:spacing w:before="100" w:beforeAutospacing="1" w:after="100" w:afterAutospacing="1"/>
              <w:jc w:val="center"/>
            </w:pPr>
            <w:r w:rsidRPr="00762F09">
              <w:rPr>
                <w:sz w:val="22"/>
                <w:szCs w:val="22"/>
              </w:rPr>
              <w:t>3,</w:t>
            </w:r>
            <w:r w:rsidR="00802178">
              <w:rPr>
                <w:sz w:val="22"/>
                <w:szCs w:val="22"/>
              </w:rPr>
              <w:t>614</w:t>
            </w:r>
          </w:p>
        </w:tc>
        <w:tc>
          <w:tcPr>
            <w:tcW w:w="1440" w:type="dxa"/>
            <w:tcBorders>
              <w:top w:val="double" w:sz="4" w:space="0" w:color="999999"/>
            </w:tcBorders>
            <w:vAlign w:val="center"/>
          </w:tcPr>
          <w:p w:rsidR="00FA2AAB" w:rsidRPr="00762F09" w:rsidRDefault="00FA2AAB" w:rsidP="005C570C">
            <w:pPr>
              <w:tabs>
                <w:tab w:val="left" w:pos="758"/>
              </w:tabs>
              <w:autoSpaceDE w:val="0"/>
              <w:autoSpaceDN w:val="0"/>
              <w:adjustRightInd w:val="0"/>
              <w:spacing w:before="100" w:beforeAutospacing="1" w:after="100" w:afterAutospacing="1"/>
              <w:jc w:val="center"/>
            </w:pPr>
            <w:r w:rsidRPr="00762F09">
              <w:rPr>
                <w:sz w:val="22"/>
                <w:szCs w:val="22"/>
              </w:rPr>
              <w:t>$</w:t>
            </w:r>
            <w:r w:rsidR="00751BEE">
              <w:rPr>
                <w:sz w:val="22"/>
                <w:szCs w:val="22"/>
              </w:rPr>
              <w:t>8</w:t>
            </w:r>
            <w:r w:rsidR="005C570C">
              <w:rPr>
                <w:sz w:val="22"/>
                <w:szCs w:val="22"/>
              </w:rPr>
              <w:t>02</w:t>
            </w:r>
            <w:r w:rsidR="00751BEE">
              <w:rPr>
                <w:sz w:val="22"/>
                <w:szCs w:val="22"/>
              </w:rPr>
              <w:t>,</w:t>
            </w:r>
            <w:r w:rsidR="005C570C">
              <w:rPr>
                <w:sz w:val="22"/>
                <w:szCs w:val="22"/>
              </w:rPr>
              <w:t>636</w:t>
            </w:r>
          </w:p>
        </w:tc>
        <w:tc>
          <w:tcPr>
            <w:tcW w:w="1260" w:type="dxa"/>
            <w:tcBorders>
              <w:top w:val="double" w:sz="4" w:space="0" w:color="999999"/>
            </w:tcBorders>
            <w:vAlign w:val="center"/>
          </w:tcPr>
          <w:p w:rsidR="00FA2AAB" w:rsidRPr="00992371" w:rsidRDefault="00583634" w:rsidP="00830315">
            <w:pPr>
              <w:tabs>
                <w:tab w:val="left" w:pos="758"/>
              </w:tabs>
              <w:autoSpaceDE w:val="0"/>
              <w:autoSpaceDN w:val="0"/>
              <w:adjustRightInd w:val="0"/>
              <w:spacing w:before="100" w:beforeAutospacing="1" w:after="100" w:afterAutospacing="1"/>
              <w:jc w:val="center"/>
              <w:rPr>
                <w:highlight w:val="yellow"/>
              </w:rPr>
            </w:pPr>
            <w:r>
              <w:rPr>
                <w:sz w:val="22"/>
                <w:szCs w:val="22"/>
              </w:rPr>
              <w:t>3,</w:t>
            </w:r>
            <w:r w:rsidR="00830315">
              <w:rPr>
                <w:sz w:val="22"/>
                <w:szCs w:val="22"/>
              </w:rPr>
              <w:t>816</w:t>
            </w:r>
          </w:p>
        </w:tc>
        <w:tc>
          <w:tcPr>
            <w:tcW w:w="1530" w:type="dxa"/>
            <w:tcBorders>
              <w:top w:val="double" w:sz="4" w:space="0" w:color="999999"/>
            </w:tcBorders>
            <w:vAlign w:val="center"/>
          </w:tcPr>
          <w:p w:rsidR="00FA2AAB" w:rsidRPr="00B24A13" w:rsidRDefault="00ED3050" w:rsidP="00830315">
            <w:pPr>
              <w:autoSpaceDE w:val="0"/>
              <w:autoSpaceDN w:val="0"/>
              <w:adjustRightInd w:val="0"/>
              <w:spacing w:before="100" w:beforeAutospacing="1" w:after="100" w:afterAutospacing="1"/>
              <w:jc w:val="center"/>
              <w:rPr>
                <w:highlight w:val="yellow"/>
              </w:rPr>
            </w:pPr>
            <w:r>
              <w:rPr>
                <w:sz w:val="22"/>
                <w:szCs w:val="22"/>
              </w:rPr>
              <w:t>$</w:t>
            </w:r>
            <w:r w:rsidR="00830315">
              <w:rPr>
                <w:sz w:val="22"/>
                <w:szCs w:val="22"/>
              </w:rPr>
              <w:t>860,471</w:t>
            </w:r>
          </w:p>
        </w:tc>
      </w:tr>
      <w:tr w:rsidR="00FA2AAB" w:rsidRPr="00762F09" w:rsidTr="00E5153E">
        <w:trPr>
          <w:trHeight w:val="259"/>
        </w:trPr>
        <w:tc>
          <w:tcPr>
            <w:tcW w:w="1548" w:type="dxa"/>
            <w:tcBorders>
              <w:left w:val="nil"/>
              <w:right w:val="single" w:sz="4" w:space="0" w:color="999999"/>
            </w:tcBorders>
            <w:vAlign w:val="center"/>
          </w:tcPr>
          <w:p w:rsidR="00FA2AAB" w:rsidRPr="00762F09" w:rsidRDefault="00FA2AAB" w:rsidP="005027FD">
            <w:pPr>
              <w:autoSpaceDE w:val="0"/>
              <w:autoSpaceDN w:val="0"/>
              <w:adjustRightInd w:val="0"/>
              <w:spacing w:before="100" w:beforeAutospacing="1" w:after="100" w:afterAutospacing="1"/>
              <w:jc w:val="center"/>
            </w:pPr>
          </w:p>
        </w:tc>
        <w:tc>
          <w:tcPr>
            <w:tcW w:w="1260" w:type="dxa"/>
            <w:vAlign w:val="center"/>
          </w:tcPr>
          <w:p w:rsidR="00FA2AAB" w:rsidRPr="00762F09" w:rsidRDefault="00FA2AAB" w:rsidP="005027FD">
            <w:pPr>
              <w:autoSpaceDE w:val="0"/>
              <w:autoSpaceDN w:val="0"/>
              <w:adjustRightInd w:val="0"/>
              <w:spacing w:before="100" w:beforeAutospacing="1" w:after="100" w:afterAutospacing="1"/>
              <w:jc w:val="center"/>
            </w:pPr>
          </w:p>
        </w:tc>
        <w:tc>
          <w:tcPr>
            <w:tcW w:w="1260" w:type="dxa"/>
            <w:vAlign w:val="center"/>
          </w:tcPr>
          <w:p w:rsidR="00FA2AAB" w:rsidRPr="00762F09" w:rsidRDefault="00FA2AAB" w:rsidP="005027FD">
            <w:pPr>
              <w:autoSpaceDE w:val="0"/>
              <w:autoSpaceDN w:val="0"/>
              <w:adjustRightInd w:val="0"/>
              <w:spacing w:before="100" w:beforeAutospacing="1" w:after="100" w:afterAutospacing="1"/>
              <w:jc w:val="center"/>
            </w:pPr>
          </w:p>
        </w:tc>
        <w:tc>
          <w:tcPr>
            <w:tcW w:w="1260" w:type="dxa"/>
            <w:vAlign w:val="center"/>
          </w:tcPr>
          <w:p w:rsidR="00FA2AAB" w:rsidRPr="00762F09" w:rsidRDefault="00FA2AAB" w:rsidP="005027FD">
            <w:pPr>
              <w:autoSpaceDE w:val="0"/>
              <w:autoSpaceDN w:val="0"/>
              <w:adjustRightInd w:val="0"/>
              <w:spacing w:before="100" w:beforeAutospacing="1" w:after="100" w:afterAutospacing="1"/>
              <w:jc w:val="center"/>
            </w:pPr>
          </w:p>
        </w:tc>
        <w:tc>
          <w:tcPr>
            <w:tcW w:w="1440" w:type="dxa"/>
            <w:vAlign w:val="center"/>
          </w:tcPr>
          <w:p w:rsidR="00FA2AAB" w:rsidRPr="00762F09" w:rsidRDefault="00FA2AAB" w:rsidP="005027FD">
            <w:pPr>
              <w:autoSpaceDE w:val="0"/>
              <w:autoSpaceDN w:val="0"/>
              <w:adjustRightInd w:val="0"/>
              <w:spacing w:before="100" w:beforeAutospacing="1" w:after="100" w:afterAutospacing="1"/>
              <w:jc w:val="center"/>
            </w:pPr>
          </w:p>
        </w:tc>
        <w:tc>
          <w:tcPr>
            <w:tcW w:w="1260" w:type="dxa"/>
            <w:vAlign w:val="center"/>
          </w:tcPr>
          <w:p w:rsidR="00FA2AAB" w:rsidRPr="00992371" w:rsidRDefault="00FA2AAB" w:rsidP="005027FD">
            <w:pPr>
              <w:autoSpaceDE w:val="0"/>
              <w:autoSpaceDN w:val="0"/>
              <w:adjustRightInd w:val="0"/>
              <w:spacing w:before="100" w:beforeAutospacing="1" w:after="100" w:afterAutospacing="1"/>
              <w:jc w:val="center"/>
              <w:rPr>
                <w:highlight w:val="yellow"/>
              </w:rPr>
            </w:pPr>
          </w:p>
        </w:tc>
        <w:tc>
          <w:tcPr>
            <w:tcW w:w="1530" w:type="dxa"/>
            <w:vAlign w:val="center"/>
          </w:tcPr>
          <w:p w:rsidR="00FA2AAB" w:rsidRPr="00B24A13" w:rsidRDefault="00FA2AAB" w:rsidP="005027FD">
            <w:pPr>
              <w:autoSpaceDE w:val="0"/>
              <w:autoSpaceDN w:val="0"/>
              <w:adjustRightInd w:val="0"/>
              <w:spacing w:before="100" w:beforeAutospacing="1" w:after="100" w:afterAutospacing="1"/>
              <w:jc w:val="center"/>
              <w:rPr>
                <w:highlight w:val="yellow"/>
              </w:rPr>
            </w:pPr>
          </w:p>
        </w:tc>
      </w:tr>
      <w:tr w:rsidR="00FA2AAB" w:rsidRPr="00762F09" w:rsidTr="00E5153E">
        <w:trPr>
          <w:trHeight w:val="558"/>
        </w:trPr>
        <w:tc>
          <w:tcPr>
            <w:tcW w:w="1548" w:type="dxa"/>
            <w:tcBorders>
              <w:left w:val="nil"/>
              <w:right w:val="single" w:sz="4" w:space="0" w:color="999999"/>
            </w:tcBorders>
            <w:vAlign w:val="center"/>
          </w:tcPr>
          <w:p w:rsidR="00FA2AAB" w:rsidRPr="00762F09" w:rsidRDefault="00FA2AAB" w:rsidP="005027FD">
            <w:pPr>
              <w:autoSpaceDE w:val="0"/>
              <w:autoSpaceDN w:val="0"/>
              <w:adjustRightInd w:val="0"/>
              <w:spacing w:before="100" w:beforeAutospacing="1" w:after="100" w:afterAutospacing="1"/>
              <w:jc w:val="center"/>
            </w:pPr>
            <w:r w:rsidRPr="00762F09">
              <w:rPr>
                <w:sz w:val="22"/>
                <w:szCs w:val="22"/>
              </w:rPr>
              <w:t>Arson and Explosives</w:t>
            </w:r>
          </w:p>
        </w:tc>
        <w:tc>
          <w:tcPr>
            <w:tcW w:w="1260" w:type="dxa"/>
            <w:vAlign w:val="center"/>
          </w:tcPr>
          <w:p w:rsidR="00FA2AAB" w:rsidRPr="00762F09" w:rsidRDefault="00FA2AAB" w:rsidP="00ED3050">
            <w:pPr>
              <w:autoSpaceDE w:val="0"/>
              <w:autoSpaceDN w:val="0"/>
              <w:adjustRightInd w:val="0"/>
              <w:spacing w:before="100" w:beforeAutospacing="1" w:after="100" w:afterAutospacing="1"/>
              <w:jc w:val="center"/>
            </w:pPr>
            <w:r w:rsidRPr="00762F09">
              <w:rPr>
                <w:sz w:val="22"/>
                <w:szCs w:val="22"/>
              </w:rPr>
              <w:t>1,</w:t>
            </w:r>
            <w:r w:rsidR="00ED3050" w:rsidRPr="00762F09">
              <w:rPr>
                <w:sz w:val="22"/>
                <w:szCs w:val="22"/>
              </w:rPr>
              <w:t>3</w:t>
            </w:r>
            <w:r w:rsidR="00ED3050">
              <w:rPr>
                <w:sz w:val="22"/>
                <w:szCs w:val="22"/>
              </w:rPr>
              <w:t>21</w:t>
            </w:r>
          </w:p>
        </w:tc>
        <w:tc>
          <w:tcPr>
            <w:tcW w:w="1260" w:type="dxa"/>
            <w:vAlign w:val="center"/>
          </w:tcPr>
          <w:p w:rsidR="00FA2AAB" w:rsidRPr="00762F09" w:rsidRDefault="00FA2AAB" w:rsidP="00ED3050">
            <w:pPr>
              <w:autoSpaceDE w:val="0"/>
              <w:autoSpaceDN w:val="0"/>
              <w:adjustRightInd w:val="0"/>
              <w:spacing w:before="100" w:beforeAutospacing="1" w:after="100" w:afterAutospacing="1"/>
              <w:jc w:val="center"/>
            </w:pPr>
            <w:r w:rsidRPr="00762F09">
              <w:rPr>
                <w:sz w:val="22"/>
                <w:szCs w:val="22"/>
              </w:rPr>
              <w:t>$</w:t>
            </w:r>
            <w:r w:rsidR="00ED3050">
              <w:rPr>
                <w:sz w:val="22"/>
                <w:szCs w:val="22"/>
              </w:rPr>
              <w:t>289,841</w:t>
            </w:r>
          </w:p>
        </w:tc>
        <w:tc>
          <w:tcPr>
            <w:tcW w:w="1260" w:type="dxa"/>
            <w:vAlign w:val="center"/>
          </w:tcPr>
          <w:p w:rsidR="00FA2AAB" w:rsidRPr="00762F09" w:rsidRDefault="00FA2AAB" w:rsidP="00751BEE">
            <w:pPr>
              <w:autoSpaceDE w:val="0"/>
              <w:autoSpaceDN w:val="0"/>
              <w:adjustRightInd w:val="0"/>
              <w:spacing w:before="100" w:beforeAutospacing="1" w:after="100" w:afterAutospacing="1"/>
              <w:jc w:val="center"/>
            </w:pPr>
            <w:r w:rsidRPr="00762F09">
              <w:rPr>
                <w:sz w:val="22"/>
                <w:szCs w:val="22"/>
              </w:rPr>
              <w:t>1,</w:t>
            </w:r>
            <w:r w:rsidR="00751BEE">
              <w:rPr>
                <w:sz w:val="22"/>
                <w:szCs w:val="22"/>
              </w:rPr>
              <w:t>321</w:t>
            </w:r>
          </w:p>
        </w:tc>
        <w:tc>
          <w:tcPr>
            <w:tcW w:w="1440" w:type="dxa"/>
            <w:vAlign w:val="center"/>
          </w:tcPr>
          <w:p w:rsidR="00FA2AAB" w:rsidRPr="00762F09" w:rsidRDefault="00FA2AAB" w:rsidP="005C570C">
            <w:pPr>
              <w:autoSpaceDE w:val="0"/>
              <w:autoSpaceDN w:val="0"/>
              <w:adjustRightInd w:val="0"/>
              <w:spacing w:before="100" w:beforeAutospacing="1" w:after="100" w:afterAutospacing="1"/>
              <w:jc w:val="center"/>
            </w:pPr>
            <w:r w:rsidRPr="00762F09">
              <w:rPr>
                <w:sz w:val="22"/>
                <w:szCs w:val="22"/>
              </w:rPr>
              <w:t>$</w:t>
            </w:r>
            <w:r w:rsidR="005C570C">
              <w:rPr>
                <w:sz w:val="22"/>
                <w:szCs w:val="22"/>
              </w:rPr>
              <w:t>289</w:t>
            </w:r>
            <w:r w:rsidR="00751BEE">
              <w:rPr>
                <w:sz w:val="22"/>
                <w:szCs w:val="22"/>
              </w:rPr>
              <w:t>,</w:t>
            </w:r>
            <w:r w:rsidR="005C570C">
              <w:rPr>
                <w:sz w:val="22"/>
                <w:szCs w:val="22"/>
              </w:rPr>
              <w:t>841</w:t>
            </w:r>
          </w:p>
        </w:tc>
        <w:tc>
          <w:tcPr>
            <w:tcW w:w="1260" w:type="dxa"/>
            <w:vAlign w:val="center"/>
          </w:tcPr>
          <w:p w:rsidR="00FA2AAB" w:rsidRPr="00992371" w:rsidRDefault="00583634" w:rsidP="00830315">
            <w:pPr>
              <w:autoSpaceDE w:val="0"/>
              <w:autoSpaceDN w:val="0"/>
              <w:adjustRightInd w:val="0"/>
              <w:spacing w:before="100" w:beforeAutospacing="1" w:after="100" w:afterAutospacing="1"/>
              <w:jc w:val="center"/>
              <w:rPr>
                <w:highlight w:val="yellow"/>
              </w:rPr>
            </w:pPr>
            <w:r>
              <w:rPr>
                <w:sz w:val="22"/>
                <w:szCs w:val="22"/>
              </w:rPr>
              <w:t>1,</w:t>
            </w:r>
            <w:r w:rsidR="00C63F6C">
              <w:rPr>
                <w:sz w:val="22"/>
                <w:szCs w:val="22"/>
              </w:rPr>
              <w:t>24</w:t>
            </w:r>
            <w:r w:rsidR="00830315">
              <w:rPr>
                <w:sz w:val="22"/>
                <w:szCs w:val="22"/>
              </w:rPr>
              <w:t>1</w:t>
            </w:r>
          </w:p>
        </w:tc>
        <w:tc>
          <w:tcPr>
            <w:tcW w:w="1530" w:type="dxa"/>
            <w:vAlign w:val="center"/>
          </w:tcPr>
          <w:p w:rsidR="00FA2AAB" w:rsidRPr="00B24A13" w:rsidRDefault="00ED3050" w:rsidP="00830315">
            <w:pPr>
              <w:autoSpaceDE w:val="0"/>
              <w:autoSpaceDN w:val="0"/>
              <w:adjustRightInd w:val="0"/>
              <w:spacing w:before="100" w:beforeAutospacing="1" w:after="100" w:afterAutospacing="1"/>
              <w:jc w:val="center"/>
              <w:rPr>
                <w:highlight w:val="yellow"/>
              </w:rPr>
            </w:pPr>
            <w:r>
              <w:rPr>
                <w:sz w:val="22"/>
                <w:szCs w:val="22"/>
              </w:rPr>
              <w:t>$</w:t>
            </w:r>
            <w:r w:rsidR="00C63F6C">
              <w:rPr>
                <w:sz w:val="22"/>
                <w:szCs w:val="22"/>
              </w:rPr>
              <w:t>2</w:t>
            </w:r>
            <w:r w:rsidR="00830315">
              <w:rPr>
                <w:sz w:val="22"/>
                <w:szCs w:val="22"/>
              </w:rPr>
              <w:t>63,878</w:t>
            </w:r>
          </w:p>
        </w:tc>
      </w:tr>
      <w:tr w:rsidR="00FA2AAB" w:rsidRPr="00762F09" w:rsidTr="00E5153E">
        <w:trPr>
          <w:trHeight w:val="278"/>
        </w:trPr>
        <w:tc>
          <w:tcPr>
            <w:tcW w:w="1548" w:type="dxa"/>
            <w:tcBorders>
              <w:left w:val="nil"/>
              <w:right w:val="single" w:sz="4" w:space="0" w:color="999999"/>
            </w:tcBorders>
            <w:vAlign w:val="center"/>
          </w:tcPr>
          <w:p w:rsidR="00FA2AAB" w:rsidRPr="00762F09" w:rsidRDefault="00FA2AAB" w:rsidP="005027FD">
            <w:pPr>
              <w:autoSpaceDE w:val="0"/>
              <w:autoSpaceDN w:val="0"/>
              <w:adjustRightInd w:val="0"/>
              <w:spacing w:before="100" w:beforeAutospacing="1" w:after="100" w:afterAutospacing="1"/>
              <w:jc w:val="center"/>
            </w:pPr>
          </w:p>
        </w:tc>
        <w:tc>
          <w:tcPr>
            <w:tcW w:w="1260" w:type="dxa"/>
            <w:vAlign w:val="center"/>
          </w:tcPr>
          <w:p w:rsidR="00FA2AAB" w:rsidRPr="00762F09" w:rsidRDefault="00FA2AAB" w:rsidP="005027FD">
            <w:pPr>
              <w:autoSpaceDE w:val="0"/>
              <w:autoSpaceDN w:val="0"/>
              <w:adjustRightInd w:val="0"/>
              <w:spacing w:before="100" w:beforeAutospacing="1" w:after="100" w:afterAutospacing="1"/>
              <w:jc w:val="center"/>
            </w:pPr>
          </w:p>
        </w:tc>
        <w:tc>
          <w:tcPr>
            <w:tcW w:w="1260" w:type="dxa"/>
            <w:vAlign w:val="center"/>
          </w:tcPr>
          <w:p w:rsidR="00FA2AAB" w:rsidRPr="00762F09" w:rsidRDefault="00FA2AAB" w:rsidP="005027FD">
            <w:pPr>
              <w:autoSpaceDE w:val="0"/>
              <w:autoSpaceDN w:val="0"/>
              <w:adjustRightInd w:val="0"/>
              <w:spacing w:before="100" w:beforeAutospacing="1" w:after="100" w:afterAutospacing="1"/>
              <w:jc w:val="center"/>
            </w:pPr>
          </w:p>
        </w:tc>
        <w:tc>
          <w:tcPr>
            <w:tcW w:w="1260" w:type="dxa"/>
            <w:vAlign w:val="center"/>
          </w:tcPr>
          <w:p w:rsidR="00FA2AAB" w:rsidRPr="00762F09" w:rsidRDefault="00FA2AAB" w:rsidP="005027FD">
            <w:pPr>
              <w:autoSpaceDE w:val="0"/>
              <w:autoSpaceDN w:val="0"/>
              <w:adjustRightInd w:val="0"/>
              <w:spacing w:before="100" w:beforeAutospacing="1" w:after="100" w:afterAutospacing="1"/>
              <w:jc w:val="center"/>
            </w:pPr>
          </w:p>
        </w:tc>
        <w:tc>
          <w:tcPr>
            <w:tcW w:w="1440" w:type="dxa"/>
            <w:vAlign w:val="center"/>
          </w:tcPr>
          <w:p w:rsidR="00FA2AAB" w:rsidRPr="00762F09" w:rsidRDefault="00FA2AAB" w:rsidP="005027FD">
            <w:pPr>
              <w:autoSpaceDE w:val="0"/>
              <w:autoSpaceDN w:val="0"/>
              <w:adjustRightInd w:val="0"/>
              <w:spacing w:before="100" w:beforeAutospacing="1" w:after="100" w:afterAutospacing="1"/>
              <w:jc w:val="center"/>
            </w:pPr>
          </w:p>
        </w:tc>
        <w:tc>
          <w:tcPr>
            <w:tcW w:w="1260" w:type="dxa"/>
            <w:vAlign w:val="center"/>
          </w:tcPr>
          <w:p w:rsidR="00FA2AAB" w:rsidRPr="00992371" w:rsidRDefault="00FA2AAB" w:rsidP="005027FD">
            <w:pPr>
              <w:autoSpaceDE w:val="0"/>
              <w:autoSpaceDN w:val="0"/>
              <w:adjustRightInd w:val="0"/>
              <w:spacing w:before="100" w:beforeAutospacing="1" w:after="100" w:afterAutospacing="1"/>
              <w:jc w:val="center"/>
              <w:rPr>
                <w:highlight w:val="yellow"/>
              </w:rPr>
            </w:pPr>
          </w:p>
        </w:tc>
        <w:tc>
          <w:tcPr>
            <w:tcW w:w="1530" w:type="dxa"/>
            <w:vAlign w:val="center"/>
          </w:tcPr>
          <w:p w:rsidR="00FA2AAB" w:rsidRPr="00B24A13" w:rsidRDefault="00FA2AAB" w:rsidP="005027FD">
            <w:pPr>
              <w:autoSpaceDE w:val="0"/>
              <w:autoSpaceDN w:val="0"/>
              <w:adjustRightInd w:val="0"/>
              <w:spacing w:before="100" w:beforeAutospacing="1" w:after="100" w:afterAutospacing="1"/>
              <w:jc w:val="center"/>
              <w:rPr>
                <w:highlight w:val="yellow"/>
              </w:rPr>
            </w:pPr>
          </w:p>
        </w:tc>
      </w:tr>
      <w:tr w:rsidR="00FA2AAB" w:rsidRPr="00762F09" w:rsidTr="00E5153E">
        <w:trPr>
          <w:trHeight w:val="836"/>
        </w:trPr>
        <w:tc>
          <w:tcPr>
            <w:tcW w:w="1548" w:type="dxa"/>
            <w:tcBorders>
              <w:left w:val="nil"/>
              <w:right w:val="single" w:sz="4" w:space="0" w:color="999999"/>
            </w:tcBorders>
            <w:vAlign w:val="center"/>
          </w:tcPr>
          <w:p w:rsidR="00FA2AAB" w:rsidRPr="00762F09" w:rsidRDefault="00FA2AAB" w:rsidP="005027FD">
            <w:pPr>
              <w:autoSpaceDE w:val="0"/>
              <w:autoSpaceDN w:val="0"/>
              <w:adjustRightInd w:val="0"/>
              <w:spacing w:before="100" w:beforeAutospacing="1" w:after="100" w:afterAutospacing="1"/>
              <w:jc w:val="center"/>
            </w:pPr>
            <w:r w:rsidRPr="00762F09">
              <w:rPr>
                <w:sz w:val="22"/>
                <w:szCs w:val="22"/>
              </w:rPr>
              <w:t>Alcohol and Tobacco Diversion</w:t>
            </w:r>
          </w:p>
        </w:tc>
        <w:tc>
          <w:tcPr>
            <w:tcW w:w="1260" w:type="dxa"/>
            <w:vAlign w:val="center"/>
          </w:tcPr>
          <w:p w:rsidR="00FA2AAB" w:rsidRPr="00762F09" w:rsidRDefault="00FA2AAB" w:rsidP="005027FD">
            <w:pPr>
              <w:autoSpaceDE w:val="0"/>
              <w:autoSpaceDN w:val="0"/>
              <w:adjustRightInd w:val="0"/>
              <w:spacing w:before="100" w:beforeAutospacing="1" w:after="100" w:afterAutospacing="1"/>
              <w:jc w:val="center"/>
            </w:pPr>
            <w:r w:rsidRPr="00762F09">
              <w:rPr>
                <w:sz w:val="22"/>
                <w:szCs w:val="22"/>
              </w:rPr>
              <w:t xml:space="preserve">    90</w:t>
            </w:r>
          </w:p>
        </w:tc>
        <w:tc>
          <w:tcPr>
            <w:tcW w:w="1260" w:type="dxa"/>
            <w:vAlign w:val="center"/>
          </w:tcPr>
          <w:p w:rsidR="00FA2AAB" w:rsidRPr="00762F09" w:rsidRDefault="00FA2AAB" w:rsidP="00ED3050">
            <w:pPr>
              <w:autoSpaceDE w:val="0"/>
              <w:autoSpaceDN w:val="0"/>
              <w:adjustRightInd w:val="0"/>
              <w:spacing w:before="100" w:beforeAutospacing="1" w:after="100" w:afterAutospacing="1"/>
              <w:jc w:val="center"/>
            </w:pPr>
            <w:r w:rsidRPr="00762F09">
              <w:rPr>
                <w:sz w:val="22"/>
                <w:szCs w:val="22"/>
              </w:rPr>
              <w:t xml:space="preserve"> $</w:t>
            </w:r>
            <w:r w:rsidR="00ED3050">
              <w:rPr>
                <w:sz w:val="22"/>
                <w:szCs w:val="22"/>
              </w:rPr>
              <w:t>22,295</w:t>
            </w:r>
          </w:p>
        </w:tc>
        <w:tc>
          <w:tcPr>
            <w:tcW w:w="1260" w:type="dxa"/>
            <w:vAlign w:val="center"/>
          </w:tcPr>
          <w:p w:rsidR="00FA2AAB" w:rsidRPr="00762F09" w:rsidRDefault="00FA2AAB" w:rsidP="00751BEE">
            <w:pPr>
              <w:tabs>
                <w:tab w:val="left" w:pos="758"/>
              </w:tabs>
              <w:autoSpaceDE w:val="0"/>
              <w:autoSpaceDN w:val="0"/>
              <w:adjustRightInd w:val="0"/>
              <w:spacing w:before="100" w:beforeAutospacing="1" w:after="100" w:afterAutospacing="1"/>
              <w:jc w:val="center"/>
            </w:pPr>
            <w:r w:rsidRPr="00762F09">
              <w:rPr>
                <w:sz w:val="22"/>
                <w:szCs w:val="22"/>
              </w:rPr>
              <w:t xml:space="preserve">    </w:t>
            </w:r>
            <w:r w:rsidR="00751BEE">
              <w:rPr>
                <w:sz w:val="22"/>
                <w:szCs w:val="22"/>
              </w:rPr>
              <w:t>90</w:t>
            </w:r>
          </w:p>
        </w:tc>
        <w:tc>
          <w:tcPr>
            <w:tcW w:w="1440" w:type="dxa"/>
            <w:vAlign w:val="center"/>
          </w:tcPr>
          <w:p w:rsidR="00FA2AAB" w:rsidRPr="00762F09" w:rsidRDefault="00FA2AAB" w:rsidP="00830315">
            <w:pPr>
              <w:tabs>
                <w:tab w:val="left" w:pos="758"/>
              </w:tabs>
              <w:autoSpaceDE w:val="0"/>
              <w:autoSpaceDN w:val="0"/>
              <w:adjustRightInd w:val="0"/>
              <w:spacing w:before="100" w:beforeAutospacing="1" w:after="100" w:afterAutospacing="1"/>
              <w:jc w:val="center"/>
            </w:pPr>
            <w:r w:rsidRPr="00762F09">
              <w:rPr>
                <w:sz w:val="22"/>
                <w:szCs w:val="22"/>
              </w:rPr>
              <w:t xml:space="preserve"> $</w:t>
            </w:r>
            <w:r w:rsidR="00751BEE">
              <w:rPr>
                <w:sz w:val="22"/>
                <w:szCs w:val="22"/>
              </w:rPr>
              <w:t>2</w:t>
            </w:r>
            <w:r w:rsidR="005C570C">
              <w:rPr>
                <w:sz w:val="22"/>
                <w:szCs w:val="22"/>
              </w:rPr>
              <w:t>2</w:t>
            </w:r>
            <w:r w:rsidR="00751BEE">
              <w:rPr>
                <w:sz w:val="22"/>
                <w:szCs w:val="22"/>
              </w:rPr>
              <w:t>,2</w:t>
            </w:r>
            <w:r w:rsidR="005C570C">
              <w:rPr>
                <w:sz w:val="22"/>
                <w:szCs w:val="22"/>
              </w:rPr>
              <w:t>95</w:t>
            </w:r>
          </w:p>
        </w:tc>
        <w:tc>
          <w:tcPr>
            <w:tcW w:w="1260" w:type="dxa"/>
            <w:vAlign w:val="center"/>
          </w:tcPr>
          <w:p w:rsidR="00FA2AAB" w:rsidRPr="00992371" w:rsidRDefault="00157FD9" w:rsidP="00157FD9">
            <w:pPr>
              <w:tabs>
                <w:tab w:val="left" w:pos="758"/>
              </w:tabs>
              <w:autoSpaceDE w:val="0"/>
              <w:autoSpaceDN w:val="0"/>
              <w:adjustRightInd w:val="0"/>
              <w:spacing w:before="100" w:beforeAutospacing="1" w:after="100" w:afterAutospacing="1"/>
              <w:jc w:val="center"/>
              <w:rPr>
                <w:highlight w:val="yellow"/>
              </w:rPr>
            </w:pPr>
            <w:r>
              <w:rPr>
                <w:sz w:val="22"/>
                <w:szCs w:val="22"/>
              </w:rPr>
              <w:t>90</w:t>
            </w:r>
          </w:p>
        </w:tc>
        <w:tc>
          <w:tcPr>
            <w:tcW w:w="1530" w:type="dxa"/>
            <w:vAlign w:val="center"/>
          </w:tcPr>
          <w:p w:rsidR="00FA2AAB" w:rsidRPr="00B24A13" w:rsidRDefault="00ED3050" w:rsidP="00830315">
            <w:pPr>
              <w:autoSpaceDE w:val="0"/>
              <w:autoSpaceDN w:val="0"/>
              <w:adjustRightInd w:val="0"/>
              <w:spacing w:before="100" w:beforeAutospacing="1" w:after="100" w:afterAutospacing="1"/>
              <w:jc w:val="center"/>
              <w:rPr>
                <w:highlight w:val="yellow"/>
              </w:rPr>
            </w:pPr>
            <w:r>
              <w:rPr>
                <w:sz w:val="22"/>
                <w:szCs w:val="22"/>
              </w:rPr>
              <w:t>$</w:t>
            </w:r>
            <w:r w:rsidR="00583634">
              <w:rPr>
                <w:sz w:val="22"/>
                <w:szCs w:val="22"/>
              </w:rPr>
              <w:t>2</w:t>
            </w:r>
            <w:r w:rsidR="00830315">
              <w:rPr>
                <w:sz w:val="22"/>
                <w:szCs w:val="22"/>
              </w:rPr>
              <w:t>2</w:t>
            </w:r>
            <w:r w:rsidR="00583634">
              <w:rPr>
                <w:sz w:val="22"/>
                <w:szCs w:val="22"/>
              </w:rPr>
              <w:t>,</w:t>
            </w:r>
            <w:r w:rsidR="00830315">
              <w:rPr>
                <w:sz w:val="22"/>
                <w:szCs w:val="22"/>
              </w:rPr>
              <w:t>944</w:t>
            </w:r>
          </w:p>
        </w:tc>
      </w:tr>
      <w:tr w:rsidR="00FA2AAB" w:rsidRPr="00762F09" w:rsidTr="00E5153E">
        <w:trPr>
          <w:trHeight w:val="301"/>
        </w:trPr>
        <w:tc>
          <w:tcPr>
            <w:tcW w:w="1548" w:type="dxa"/>
            <w:tcBorders>
              <w:left w:val="nil"/>
              <w:right w:val="single" w:sz="4" w:space="0" w:color="999999"/>
            </w:tcBorders>
            <w:vAlign w:val="center"/>
          </w:tcPr>
          <w:p w:rsidR="00FA2AAB" w:rsidRPr="00762F09" w:rsidRDefault="00FA2AAB" w:rsidP="005027FD">
            <w:pPr>
              <w:pStyle w:val="Heading7"/>
              <w:spacing w:before="100" w:beforeAutospacing="1" w:after="100" w:afterAutospacing="1"/>
              <w:ind w:right="0"/>
              <w:jc w:val="center"/>
              <w:rPr>
                <w:sz w:val="22"/>
                <w:szCs w:val="22"/>
              </w:rPr>
            </w:pPr>
          </w:p>
        </w:tc>
        <w:tc>
          <w:tcPr>
            <w:tcW w:w="1260" w:type="dxa"/>
            <w:vAlign w:val="center"/>
          </w:tcPr>
          <w:p w:rsidR="00FA2AAB" w:rsidRPr="00762F09" w:rsidRDefault="00FA2AAB" w:rsidP="005027FD">
            <w:pPr>
              <w:spacing w:before="100" w:beforeAutospacing="1" w:after="100" w:afterAutospacing="1"/>
              <w:jc w:val="center"/>
              <w:rPr>
                <w:b/>
              </w:rPr>
            </w:pPr>
          </w:p>
        </w:tc>
        <w:tc>
          <w:tcPr>
            <w:tcW w:w="1260" w:type="dxa"/>
            <w:vAlign w:val="center"/>
          </w:tcPr>
          <w:p w:rsidR="00FA2AAB" w:rsidRPr="00762F09" w:rsidRDefault="00FA2AAB" w:rsidP="005027FD">
            <w:pPr>
              <w:spacing w:before="100" w:beforeAutospacing="1" w:after="100" w:afterAutospacing="1"/>
              <w:jc w:val="center"/>
              <w:rPr>
                <w:b/>
              </w:rPr>
            </w:pPr>
          </w:p>
        </w:tc>
        <w:tc>
          <w:tcPr>
            <w:tcW w:w="1260" w:type="dxa"/>
            <w:vAlign w:val="center"/>
          </w:tcPr>
          <w:p w:rsidR="00FA2AAB" w:rsidRPr="00762F09" w:rsidRDefault="00FA2AAB" w:rsidP="005027FD">
            <w:pPr>
              <w:spacing w:before="100" w:beforeAutospacing="1" w:after="100" w:afterAutospacing="1"/>
              <w:jc w:val="center"/>
              <w:rPr>
                <w:b/>
              </w:rPr>
            </w:pPr>
          </w:p>
        </w:tc>
        <w:tc>
          <w:tcPr>
            <w:tcW w:w="1440" w:type="dxa"/>
            <w:vAlign w:val="center"/>
          </w:tcPr>
          <w:p w:rsidR="00FA2AAB" w:rsidRPr="00762F09" w:rsidRDefault="00FA2AAB" w:rsidP="005027FD">
            <w:pPr>
              <w:spacing w:before="100" w:beforeAutospacing="1" w:after="100" w:afterAutospacing="1"/>
              <w:jc w:val="center"/>
              <w:rPr>
                <w:b/>
              </w:rPr>
            </w:pPr>
          </w:p>
        </w:tc>
        <w:tc>
          <w:tcPr>
            <w:tcW w:w="1260" w:type="dxa"/>
            <w:vAlign w:val="center"/>
          </w:tcPr>
          <w:p w:rsidR="00FA2AAB" w:rsidRPr="00992371" w:rsidRDefault="00FA2AAB" w:rsidP="001115EC">
            <w:pPr>
              <w:spacing w:before="100" w:beforeAutospacing="1" w:after="100" w:afterAutospacing="1"/>
              <w:jc w:val="center"/>
              <w:rPr>
                <w:b/>
                <w:highlight w:val="yellow"/>
              </w:rPr>
            </w:pPr>
          </w:p>
        </w:tc>
        <w:tc>
          <w:tcPr>
            <w:tcW w:w="1530" w:type="dxa"/>
            <w:vAlign w:val="center"/>
          </w:tcPr>
          <w:p w:rsidR="00FA2AAB" w:rsidRPr="00B24A13" w:rsidRDefault="00FA2AAB" w:rsidP="005027FD">
            <w:pPr>
              <w:spacing w:before="100" w:beforeAutospacing="1" w:after="100" w:afterAutospacing="1"/>
              <w:jc w:val="center"/>
              <w:rPr>
                <w:b/>
                <w:highlight w:val="yellow"/>
              </w:rPr>
            </w:pPr>
          </w:p>
        </w:tc>
      </w:tr>
      <w:tr w:rsidR="00FA2AAB" w:rsidRPr="00762F09" w:rsidTr="00E5153E">
        <w:trPr>
          <w:trHeight w:val="301"/>
        </w:trPr>
        <w:tc>
          <w:tcPr>
            <w:tcW w:w="1548" w:type="dxa"/>
            <w:tcBorders>
              <w:left w:val="nil"/>
              <w:right w:val="single" w:sz="4" w:space="0" w:color="999999"/>
            </w:tcBorders>
            <w:vAlign w:val="center"/>
          </w:tcPr>
          <w:p w:rsidR="00FA2AAB" w:rsidRPr="00762F09" w:rsidRDefault="00FA2AAB" w:rsidP="005027FD">
            <w:pPr>
              <w:pStyle w:val="Heading7"/>
              <w:spacing w:before="100" w:beforeAutospacing="1" w:after="100" w:afterAutospacing="1"/>
              <w:ind w:right="0"/>
              <w:jc w:val="center"/>
              <w:rPr>
                <w:sz w:val="22"/>
                <w:szCs w:val="22"/>
              </w:rPr>
            </w:pPr>
            <w:r w:rsidRPr="00762F09">
              <w:rPr>
                <w:sz w:val="22"/>
                <w:szCs w:val="22"/>
              </w:rPr>
              <w:t>Subtotal ATF S&amp;E</w:t>
            </w:r>
          </w:p>
        </w:tc>
        <w:tc>
          <w:tcPr>
            <w:tcW w:w="1260" w:type="dxa"/>
            <w:vAlign w:val="center"/>
          </w:tcPr>
          <w:p w:rsidR="00FA2AAB" w:rsidRPr="00762F09" w:rsidRDefault="00ED3050" w:rsidP="005027FD">
            <w:pPr>
              <w:spacing w:before="100" w:beforeAutospacing="1" w:after="100" w:afterAutospacing="1"/>
              <w:jc w:val="center"/>
              <w:rPr>
                <w:b/>
              </w:rPr>
            </w:pPr>
            <w:r>
              <w:rPr>
                <w:b/>
                <w:sz w:val="22"/>
                <w:szCs w:val="22"/>
              </w:rPr>
              <w:t>5,025</w:t>
            </w:r>
          </w:p>
        </w:tc>
        <w:tc>
          <w:tcPr>
            <w:tcW w:w="1260" w:type="dxa"/>
            <w:vAlign w:val="center"/>
          </w:tcPr>
          <w:p w:rsidR="00FA2AAB" w:rsidRPr="00762F09" w:rsidRDefault="00FA2AAB" w:rsidP="00ED3050">
            <w:pPr>
              <w:spacing w:before="100" w:beforeAutospacing="1" w:after="100" w:afterAutospacing="1"/>
              <w:jc w:val="center"/>
              <w:rPr>
                <w:b/>
              </w:rPr>
            </w:pPr>
            <w:r w:rsidRPr="00762F09">
              <w:rPr>
                <w:b/>
                <w:sz w:val="22"/>
                <w:szCs w:val="22"/>
              </w:rPr>
              <w:t>$</w:t>
            </w:r>
            <w:r>
              <w:rPr>
                <w:b/>
                <w:sz w:val="22"/>
                <w:szCs w:val="22"/>
              </w:rPr>
              <w:t>1,</w:t>
            </w:r>
            <w:r w:rsidR="00ED3050">
              <w:rPr>
                <w:b/>
                <w:sz w:val="22"/>
                <w:szCs w:val="22"/>
              </w:rPr>
              <w:t>114,772</w:t>
            </w:r>
          </w:p>
        </w:tc>
        <w:tc>
          <w:tcPr>
            <w:tcW w:w="1260" w:type="dxa"/>
            <w:vAlign w:val="center"/>
          </w:tcPr>
          <w:p w:rsidR="00FA2AAB" w:rsidRPr="00762F09" w:rsidRDefault="00FA2AAB" w:rsidP="00802178">
            <w:pPr>
              <w:spacing w:before="100" w:beforeAutospacing="1" w:after="100" w:afterAutospacing="1"/>
              <w:jc w:val="center"/>
              <w:rPr>
                <w:b/>
              </w:rPr>
            </w:pPr>
            <w:r>
              <w:rPr>
                <w:b/>
                <w:sz w:val="22"/>
                <w:szCs w:val="22"/>
              </w:rPr>
              <w:t>5</w:t>
            </w:r>
            <w:r w:rsidRPr="00762F09">
              <w:rPr>
                <w:b/>
                <w:sz w:val="22"/>
                <w:szCs w:val="22"/>
              </w:rPr>
              <w:t>,</w:t>
            </w:r>
            <w:r w:rsidR="00802178">
              <w:rPr>
                <w:b/>
                <w:sz w:val="22"/>
                <w:szCs w:val="22"/>
              </w:rPr>
              <w:t>025</w:t>
            </w:r>
          </w:p>
        </w:tc>
        <w:tc>
          <w:tcPr>
            <w:tcW w:w="1440" w:type="dxa"/>
            <w:vAlign w:val="center"/>
          </w:tcPr>
          <w:p w:rsidR="00FA2AAB" w:rsidRPr="00762F09" w:rsidRDefault="00FA2AAB" w:rsidP="00830315">
            <w:pPr>
              <w:spacing w:before="100" w:beforeAutospacing="1" w:after="100" w:afterAutospacing="1"/>
              <w:jc w:val="center"/>
              <w:rPr>
                <w:b/>
              </w:rPr>
            </w:pPr>
            <w:r w:rsidRPr="00762F09">
              <w:rPr>
                <w:b/>
                <w:sz w:val="22"/>
                <w:szCs w:val="22"/>
              </w:rPr>
              <w:t>$1,</w:t>
            </w:r>
            <w:r w:rsidR="00ED3050">
              <w:rPr>
                <w:b/>
                <w:sz w:val="22"/>
                <w:szCs w:val="22"/>
              </w:rPr>
              <w:t>1</w:t>
            </w:r>
            <w:r w:rsidR="00830315">
              <w:rPr>
                <w:b/>
                <w:sz w:val="22"/>
                <w:szCs w:val="22"/>
              </w:rPr>
              <w:t>14</w:t>
            </w:r>
            <w:r w:rsidR="00ED3050">
              <w:rPr>
                <w:b/>
                <w:sz w:val="22"/>
                <w:szCs w:val="22"/>
              </w:rPr>
              <w:t>,</w:t>
            </w:r>
            <w:r w:rsidR="00830315">
              <w:rPr>
                <w:b/>
                <w:sz w:val="22"/>
                <w:szCs w:val="22"/>
              </w:rPr>
              <w:t>772</w:t>
            </w:r>
          </w:p>
        </w:tc>
        <w:tc>
          <w:tcPr>
            <w:tcW w:w="1260" w:type="dxa"/>
            <w:vAlign w:val="center"/>
          </w:tcPr>
          <w:p w:rsidR="00FA2AAB" w:rsidRPr="00992371" w:rsidRDefault="00583634" w:rsidP="00830315">
            <w:pPr>
              <w:spacing w:before="100" w:beforeAutospacing="1" w:after="100" w:afterAutospacing="1"/>
              <w:jc w:val="center"/>
              <w:rPr>
                <w:b/>
                <w:highlight w:val="yellow"/>
              </w:rPr>
            </w:pPr>
            <w:r>
              <w:rPr>
                <w:b/>
                <w:sz w:val="22"/>
                <w:szCs w:val="22"/>
              </w:rPr>
              <w:t>5,</w:t>
            </w:r>
            <w:r w:rsidR="00830315">
              <w:rPr>
                <w:b/>
                <w:sz w:val="22"/>
                <w:szCs w:val="22"/>
              </w:rPr>
              <w:t>147</w:t>
            </w:r>
          </w:p>
        </w:tc>
        <w:tc>
          <w:tcPr>
            <w:tcW w:w="1530" w:type="dxa"/>
            <w:vAlign w:val="center"/>
          </w:tcPr>
          <w:p w:rsidR="00FA2AAB" w:rsidRPr="00B24A13" w:rsidRDefault="00FA2AAB" w:rsidP="00830315">
            <w:pPr>
              <w:spacing w:before="100" w:beforeAutospacing="1" w:after="100" w:afterAutospacing="1"/>
              <w:jc w:val="center"/>
              <w:rPr>
                <w:b/>
                <w:highlight w:val="yellow"/>
              </w:rPr>
            </w:pPr>
            <w:r w:rsidRPr="00FF7D31">
              <w:rPr>
                <w:b/>
                <w:sz w:val="22"/>
                <w:szCs w:val="22"/>
              </w:rPr>
              <w:t>$</w:t>
            </w:r>
            <w:r w:rsidR="00583634">
              <w:rPr>
                <w:b/>
                <w:sz w:val="22"/>
                <w:szCs w:val="22"/>
              </w:rPr>
              <w:t>1,</w:t>
            </w:r>
            <w:r w:rsidR="00830315">
              <w:rPr>
                <w:b/>
                <w:sz w:val="22"/>
                <w:szCs w:val="22"/>
              </w:rPr>
              <w:t>147</w:t>
            </w:r>
            <w:r w:rsidR="00583634">
              <w:rPr>
                <w:b/>
                <w:sz w:val="22"/>
                <w:szCs w:val="22"/>
              </w:rPr>
              <w:t>,</w:t>
            </w:r>
            <w:r w:rsidR="006A53DF">
              <w:rPr>
                <w:b/>
                <w:sz w:val="22"/>
                <w:szCs w:val="22"/>
              </w:rPr>
              <w:t>2</w:t>
            </w:r>
            <w:r w:rsidR="00830315">
              <w:rPr>
                <w:b/>
                <w:sz w:val="22"/>
                <w:szCs w:val="22"/>
              </w:rPr>
              <w:t>95</w:t>
            </w:r>
          </w:p>
        </w:tc>
      </w:tr>
      <w:tr w:rsidR="00FA2AAB" w:rsidRPr="00762F09" w:rsidTr="00E5153E">
        <w:trPr>
          <w:trHeight w:val="301"/>
        </w:trPr>
        <w:tc>
          <w:tcPr>
            <w:tcW w:w="1548" w:type="dxa"/>
            <w:tcBorders>
              <w:left w:val="nil"/>
              <w:right w:val="single" w:sz="4" w:space="0" w:color="999999"/>
            </w:tcBorders>
            <w:vAlign w:val="center"/>
          </w:tcPr>
          <w:p w:rsidR="00FA2AAB" w:rsidRPr="00762F09" w:rsidRDefault="00FA2AAB" w:rsidP="005027FD">
            <w:pPr>
              <w:pStyle w:val="Heading7"/>
              <w:spacing w:before="100" w:beforeAutospacing="1" w:after="100" w:afterAutospacing="1"/>
              <w:ind w:right="0"/>
              <w:jc w:val="center"/>
              <w:rPr>
                <w:sz w:val="22"/>
                <w:szCs w:val="22"/>
              </w:rPr>
            </w:pPr>
          </w:p>
        </w:tc>
        <w:tc>
          <w:tcPr>
            <w:tcW w:w="1260" w:type="dxa"/>
            <w:vAlign w:val="center"/>
          </w:tcPr>
          <w:p w:rsidR="00FA2AAB" w:rsidRPr="00762F09" w:rsidRDefault="00FA2AAB" w:rsidP="005027FD">
            <w:pPr>
              <w:spacing w:before="100" w:beforeAutospacing="1" w:after="100" w:afterAutospacing="1"/>
              <w:jc w:val="center"/>
              <w:rPr>
                <w:b/>
              </w:rPr>
            </w:pPr>
          </w:p>
        </w:tc>
        <w:tc>
          <w:tcPr>
            <w:tcW w:w="1260" w:type="dxa"/>
            <w:vAlign w:val="center"/>
          </w:tcPr>
          <w:p w:rsidR="00FA2AAB" w:rsidRPr="00762F09" w:rsidRDefault="00FA2AAB" w:rsidP="005027FD">
            <w:pPr>
              <w:spacing w:before="100" w:beforeAutospacing="1" w:after="100" w:afterAutospacing="1"/>
              <w:jc w:val="center"/>
              <w:rPr>
                <w:b/>
              </w:rPr>
            </w:pPr>
          </w:p>
        </w:tc>
        <w:tc>
          <w:tcPr>
            <w:tcW w:w="1260" w:type="dxa"/>
            <w:vAlign w:val="center"/>
          </w:tcPr>
          <w:p w:rsidR="00FA2AAB" w:rsidRPr="00762F09" w:rsidRDefault="00FA2AAB" w:rsidP="005027FD">
            <w:pPr>
              <w:spacing w:before="100" w:beforeAutospacing="1" w:after="100" w:afterAutospacing="1"/>
              <w:jc w:val="center"/>
              <w:rPr>
                <w:b/>
              </w:rPr>
            </w:pPr>
          </w:p>
        </w:tc>
        <w:tc>
          <w:tcPr>
            <w:tcW w:w="1440" w:type="dxa"/>
            <w:vAlign w:val="center"/>
          </w:tcPr>
          <w:p w:rsidR="00FA2AAB" w:rsidRPr="00762F09" w:rsidRDefault="00FA2AAB" w:rsidP="005027FD">
            <w:pPr>
              <w:spacing w:before="100" w:beforeAutospacing="1" w:after="100" w:afterAutospacing="1"/>
              <w:jc w:val="center"/>
              <w:rPr>
                <w:b/>
              </w:rPr>
            </w:pPr>
          </w:p>
        </w:tc>
        <w:tc>
          <w:tcPr>
            <w:tcW w:w="1260" w:type="dxa"/>
            <w:vAlign w:val="center"/>
          </w:tcPr>
          <w:p w:rsidR="00FA2AAB" w:rsidRPr="00762F09" w:rsidRDefault="00FA2AAB" w:rsidP="005027FD">
            <w:pPr>
              <w:spacing w:before="100" w:beforeAutospacing="1" w:after="100" w:afterAutospacing="1"/>
              <w:jc w:val="center"/>
              <w:rPr>
                <w:b/>
              </w:rPr>
            </w:pPr>
          </w:p>
        </w:tc>
        <w:tc>
          <w:tcPr>
            <w:tcW w:w="1530" w:type="dxa"/>
            <w:vAlign w:val="center"/>
          </w:tcPr>
          <w:p w:rsidR="00FA2AAB" w:rsidRPr="00B24A13" w:rsidRDefault="00FA2AAB" w:rsidP="005027FD">
            <w:pPr>
              <w:spacing w:before="100" w:beforeAutospacing="1" w:after="100" w:afterAutospacing="1"/>
              <w:jc w:val="center"/>
              <w:rPr>
                <w:b/>
                <w:highlight w:val="yellow"/>
              </w:rPr>
            </w:pPr>
          </w:p>
        </w:tc>
      </w:tr>
      <w:tr w:rsidR="00FA2AAB" w:rsidRPr="00762F09" w:rsidTr="00E5153E">
        <w:trPr>
          <w:trHeight w:val="301"/>
        </w:trPr>
        <w:tc>
          <w:tcPr>
            <w:tcW w:w="1548" w:type="dxa"/>
            <w:tcBorders>
              <w:left w:val="nil"/>
              <w:right w:val="single" w:sz="4" w:space="0" w:color="999999"/>
            </w:tcBorders>
            <w:vAlign w:val="center"/>
          </w:tcPr>
          <w:p w:rsidR="00FA2AAB" w:rsidRPr="00762F09" w:rsidRDefault="00FA2AAB" w:rsidP="005027FD">
            <w:pPr>
              <w:pStyle w:val="Heading7"/>
              <w:spacing w:before="100" w:beforeAutospacing="1" w:after="100" w:afterAutospacing="1"/>
              <w:ind w:right="0"/>
              <w:rPr>
                <w:b w:val="0"/>
                <w:sz w:val="22"/>
                <w:szCs w:val="22"/>
              </w:rPr>
            </w:pPr>
            <w:r w:rsidRPr="00762F09">
              <w:rPr>
                <w:b w:val="0"/>
                <w:sz w:val="22"/>
                <w:szCs w:val="22"/>
              </w:rPr>
              <w:t>Construction</w:t>
            </w:r>
          </w:p>
        </w:tc>
        <w:tc>
          <w:tcPr>
            <w:tcW w:w="1260" w:type="dxa"/>
            <w:vAlign w:val="center"/>
          </w:tcPr>
          <w:p w:rsidR="00FA2AAB" w:rsidRPr="00762F09" w:rsidRDefault="00FA2AAB" w:rsidP="005027FD">
            <w:pPr>
              <w:spacing w:before="100" w:beforeAutospacing="1" w:after="100" w:afterAutospacing="1"/>
              <w:jc w:val="center"/>
            </w:pPr>
            <w:r w:rsidRPr="00762F09">
              <w:rPr>
                <w:sz w:val="22"/>
                <w:szCs w:val="22"/>
              </w:rPr>
              <w:t>0</w:t>
            </w:r>
          </w:p>
        </w:tc>
        <w:tc>
          <w:tcPr>
            <w:tcW w:w="1260" w:type="dxa"/>
            <w:vAlign w:val="center"/>
          </w:tcPr>
          <w:p w:rsidR="00FA2AAB" w:rsidRPr="00762F09" w:rsidRDefault="00ED3050" w:rsidP="005027FD">
            <w:pPr>
              <w:spacing w:before="100" w:beforeAutospacing="1" w:after="100" w:afterAutospacing="1"/>
              <w:jc w:val="center"/>
            </w:pPr>
            <w:r>
              <w:rPr>
                <w:sz w:val="22"/>
                <w:szCs w:val="22"/>
              </w:rPr>
              <w:t>6,000</w:t>
            </w:r>
          </w:p>
        </w:tc>
        <w:tc>
          <w:tcPr>
            <w:tcW w:w="1260" w:type="dxa"/>
            <w:vAlign w:val="center"/>
          </w:tcPr>
          <w:p w:rsidR="00FA2AAB" w:rsidRPr="00762F09" w:rsidRDefault="00FA2AAB" w:rsidP="005027FD">
            <w:pPr>
              <w:spacing w:before="100" w:beforeAutospacing="1" w:after="100" w:afterAutospacing="1"/>
              <w:jc w:val="center"/>
            </w:pPr>
            <w:r w:rsidRPr="00762F09">
              <w:rPr>
                <w:sz w:val="22"/>
                <w:szCs w:val="22"/>
              </w:rPr>
              <w:t>0</w:t>
            </w:r>
          </w:p>
        </w:tc>
        <w:tc>
          <w:tcPr>
            <w:tcW w:w="1440" w:type="dxa"/>
            <w:vAlign w:val="center"/>
          </w:tcPr>
          <w:p w:rsidR="00FA2AAB" w:rsidRPr="00762F09" w:rsidRDefault="00ED3050" w:rsidP="005027FD">
            <w:pPr>
              <w:spacing w:before="100" w:beforeAutospacing="1" w:after="100" w:afterAutospacing="1"/>
              <w:jc w:val="center"/>
            </w:pPr>
            <w:r>
              <w:rPr>
                <w:sz w:val="22"/>
                <w:szCs w:val="22"/>
              </w:rPr>
              <w:t>0</w:t>
            </w:r>
          </w:p>
        </w:tc>
        <w:tc>
          <w:tcPr>
            <w:tcW w:w="1260" w:type="dxa"/>
            <w:vAlign w:val="center"/>
          </w:tcPr>
          <w:p w:rsidR="00FA2AAB" w:rsidRPr="00992371" w:rsidRDefault="00FA2AAB" w:rsidP="005027FD">
            <w:pPr>
              <w:spacing w:before="100" w:beforeAutospacing="1" w:after="100" w:afterAutospacing="1"/>
              <w:jc w:val="center"/>
              <w:rPr>
                <w:highlight w:val="yellow"/>
              </w:rPr>
            </w:pPr>
            <w:r w:rsidRPr="00FF7D31">
              <w:rPr>
                <w:sz w:val="22"/>
                <w:szCs w:val="22"/>
              </w:rPr>
              <w:t>0</w:t>
            </w:r>
          </w:p>
        </w:tc>
        <w:tc>
          <w:tcPr>
            <w:tcW w:w="1530" w:type="dxa"/>
            <w:vAlign w:val="center"/>
          </w:tcPr>
          <w:p w:rsidR="00FA2AAB" w:rsidRPr="00B24A13" w:rsidRDefault="00FA2AAB" w:rsidP="005027FD">
            <w:pPr>
              <w:spacing w:before="100" w:beforeAutospacing="1" w:after="100" w:afterAutospacing="1"/>
              <w:jc w:val="center"/>
              <w:rPr>
                <w:highlight w:val="yellow"/>
              </w:rPr>
            </w:pPr>
            <w:r w:rsidRPr="00FF7D31">
              <w:rPr>
                <w:sz w:val="22"/>
                <w:szCs w:val="22"/>
              </w:rPr>
              <w:t>0</w:t>
            </w:r>
          </w:p>
        </w:tc>
      </w:tr>
      <w:tr w:rsidR="00FA2AAB" w:rsidRPr="00762F09" w:rsidTr="00E5153E">
        <w:trPr>
          <w:trHeight w:val="301"/>
        </w:trPr>
        <w:tc>
          <w:tcPr>
            <w:tcW w:w="1548" w:type="dxa"/>
            <w:tcBorders>
              <w:left w:val="nil"/>
              <w:right w:val="single" w:sz="4" w:space="0" w:color="999999"/>
            </w:tcBorders>
            <w:vAlign w:val="center"/>
          </w:tcPr>
          <w:p w:rsidR="00FA2AAB" w:rsidRPr="00762F09" w:rsidRDefault="00FA2AAB" w:rsidP="005027FD">
            <w:pPr>
              <w:pStyle w:val="Heading7"/>
              <w:spacing w:before="100" w:beforeAutospacing="1" w:after="100" w:afterAutospacing="1"/>
              <w:ind w:right="0"/>
              <w:jc w:val="center"/>
              <w:rPr>
                <w:sz w:val="22"/>
                <w:szCs w:val="22"/>
              </w:rPr>
            </w:pPr>
          </w:p>
        </w:tc>
        <w:tc>
          <w:tcPr>
            <w:tcW w:w="1260" w:type="dxa"/>
            <w:vAlign w:val="center"/>
          </w:tcPr>
          <w:p w:rsidR="00FA2AAB" w:rsidRPr="00762F09" w:rsidRDefault="00FA2AAB" w:rsidP="005027FD">
            <w:pPr>
              <w:spacing w:before="100" w:beforeAutospacing="1" w:after="100" w:afterAutospacing="1"/>
              <w:jc w:val="center"/>
              <w:rPr>
                <w:b/>
              </w:rPr>
            </w:pPr>
          </w:p>
        </w:tc>
        <w:tc>
          <w:tcPr>
            <w:tcW w:w="1260" w:type="dxa"/>
            <w:vAlign w:val="center"/>
          </w:tcPr>
          <w:p w:rsidR="00FA2AAB" w:rsidRPr="00762F09" w:rsidRDefault="00FA2AAB" w:rsidP="005027FD">
            <w:pPr>
              <w:spacing w:before="100" w:beforeAutospacing="1" w:after="100" w:afterAutospacing="1"/>
              <w:jc w:val="center"/>
              <w:rPr>
                <w:b/>
              </w:rPr>
            </w:pPr>
          </w:p>
        </w:tc>
        <w:tc>
          <w:tcPr>
            <w:tcW w:w="1260" w:type="dxa"/>
            <w:vAlign w:val="center"/>
          </w:tcPr>
          <w:p w:rsidR="00FA2AAB" w:rsidRPr="00762F09" w:rsidRDefault="00FA2AAB" w:rsidP="005027FD">
            <w:pPr>
              <w:spacing w:before="100" w:beforeAutospacing="1" w:after="100" w:afterAutospacing="1"/>
              <w:jc w:val="center"/>
              <w:rPr>
                <w:b/>
              </w:rPr>
            </w:pPr>
          </w:p>
        </w:tc>
        <w:tc>
          <w:tcPr>
            <w:tcW w:w="1440" w:type="dxa"/>
            <w:vAlign w:val="center"/>
          </w:tcPr>
          <w:p w:rsidR="00FA2AAB" w:rsidRPr="00762F09" w:rsidRDefault="00FA2AAB" w:rsidP="005027FD">
            <w:pPr>
              <w:spacing w:before="100" w:beforeAutospacing="1" w:after="100" w:afterAutospacing="1"/>
              <w:jc w:val="center"/>
              <w:rPr>
                <w:b/>
              </w:rPr>
            </w:pPr>
          </w:p>
        </w:tc>
        <w:tc>
          <w:tcPr>
            <w:tcW w:w="1260" w:type="dxa"/>
            <w:vAlign w:val="center"/>
          </w:tcPr>
          <w:p w:rsidR="00FA2AAB" w:rsidRPr="00992371" w:rsidRDefault="00FA2AAB" w:rsidP="005027FD">
            <w:pPr>
              <w:spacing w:before="100" w:beforeAutospacing="1" w:after="100" w:afterAutospacing="1"/>
              <w:jc w:val="center"/>
              <w:rPr>
                <w:b/>
                <w:highlight w:val="yellow"/>
              </w:rPr>
            </w:pPr>
          </w:p>
        </w:tc>
        <w:tc>
          <w:tcPr>
            <w:tcW w:w="1530" w:type="dxa"/>
            <w:vAlign w:val="center"/>
          </w:tcPr>
          <w:p w:rsidR="00FA2AAB" w:rsidRPr="00B24A13" w:rsidRDefault="00FA2AAB" w:rsidP="005027FD">
            <w:pPr>
              <w:spacing w:before="100" w:beforeAutospacing="1" w:after="100" w:afterAutospacing="1"/>
              <w:jc w:val="center"/>
              <w:rPr>
                <w:b/>
                <w:highlight w:val="yellow"/>
              </w:rPr>
            </w:pPr>
          </w:p>
        </w:tc>
      </w:tr>
      <w:tr w:rsidR="00FA2AAB" w:rsidRPr="00762F09" w:rsidTr="00E5153E">
        <w:trPr>
          <w:trHeight w:val="301"/>
        </w:trPr>
        <w:tc>
          <w:tcPr>
            <w:tcW w:w="1548" w:type="dxa"/>
            <w:tcBorders>
              <w:left w:val="nil"/>
              <w:right w:val="single" w:sz="4" w:space="0" w:color="999999"/>
            </w:tcBorders>
            <w:vAlign w:val="center"/>
          </w:tcPr>
          <w:p w:rsidR="00FA2AAB" w:rsidRPr="00762F09" w:rsidRDefault="00FA2AAB" w:rsidP="005027FD">
            <w:pPr>
              <w:pStyle w:val="Heading7"/>
              <w:spacing w:before="100" w:beforeAutospacing="1" w:after="100" w:afterAutospacing="1"/>
              <w:ind w:right="0"/>
              <w:jc w:val="center"/>
              <w:rPr>
                <w:sz w:val="22"/>
                <w:szCs w:val="22"/>
              </w:rPr>
            </w:pPr>
            <w:r w:rsidRPr="00762F09">
              <w:rPr>
                <w:sz w:val="22"/>
                <w:szCs w:val="22"/>
              </w:rPr>
              <w:t>Total ATF S&amp;E and Construction</w:t>
            </w:r>
          </w:p>
        </w:tc>
        <w:tc>
          <w:tcPr>
            <w:tcW w:w="1260" w:type="dxa"/>
            <w:vAlign w:val="center"/>
          </w:tcPr>
          <w:p w:rsidR="00FA2AAB" w:rsidRPr="00762F09" w:rsidRDefault="00ED3050" w:rsidP="005027FD">
            <w:pPr>
              <w:spacing w:before="100" w:beforeAutospacing="1" w:after="100" w:afterAutospacing="1"/>
              <w:jc w:val="center"/>
              <w:rPr>
                <w:b/>
              </w:rPr>
            </w:pPr>
            <w:r>
              <w:rPr>
                <w:b/>
                <w:sz w:val="22"/>
                <w:szCs w:val="22"/>
              </w:rPr>
              <w:t>5,025</w:t>
            </w:r>
          </w:p>
        </w:tc>
        <w:tc>
          <w:tcPr>
            <w:tcW w:w="1260" w:type="dxa"/>
            <w:vAlign w:val="center"/>
          </w:tcPr>
          <w:p w:rsidR="00FA2AAB" w:rsidRPr="00762F09" w:rsidRDefault="00FA2AAB" w:rsidP="00ED3050">
            <w:pPr>
              <w:spacing w:before="100" w:beforeAutospacing="1" w:after="100" w:afterAutospacing="1"/>
              <w:jc w:val="center"/>
              <w:rPr>
                <w:b/>
              </w:rPr>
            </w:pPr>
            <w:r w:rsidRPr="00762F09">
              <w:rPr>
                <w:b/>
                <w:sz w:val="22"/>
                <w:szCs w:val="22"/>
              </w:rPr>
              <w:t>$1,</w:t>
            </w:r>
            <w:r w:rsidR="00ED3050">
              <w:rPr>
                <w:b/>
                <w:sz w:val="22"/>
                <w:szCs w:val="22"/>
              </w:rPr>
              <w:t>120,772</w:t>
            </w:r>
          </w:p>
        </w:tc>
        <w:tc>
          <w:tcPr>
            <w:tcW w:w="1260" w:type="dxa"/>
            <w:vAlign w:val="center"/>
          </w:tcPr>
          <w:p w:rsidR="00FA2AAB" w:rsidRPr="00762F09" w:rsidRDefault="00FA2AAB" w:rsidP="005C570C">
            <w:pPr>
              <w:spacing w:before="100" w:beforeAutospacing="1" w:after="100" w:afterAutospacing="1"/>
              <w:jc w:val="center"/>
              <w:rPr>
                <w:b/>
              </w:rPr>
            </w:pPr>
            <w:r>
              <w:rPr>
                <w:b/>
                <w:sz w:val="22"/>
                <w:szCs w:val="22"/>
              </w:rPr>
              <w:t>5</w:t>
            </w:r>
            <w:r w:rsidRPr="00762F09">
              <w:rPr>
                <w:b/>
                <w:sz w:val="22"/>
                <w:szCs w:val="22"/>
              </w:rPr>
              <w:t>,</w:t>
            </w:r>
            <w:r w:rsidR="005C570C">
              <w:rPr>
                <w:b/>
                <w:sz w:val="22"/>
                <w:szCs w:val="22"/>
              </w:rPr>
              <w:t>025</w:t>
            </w:r>
          </w:p>
        </w:tc>
        <w:tc>
          <w:tcPr>
            <w:tcW w:w="1440" w:type="dxa"/>
            <w:vAlign w:val="center"/>
          </w:tcPr>
          <w:p w:rsidR="00FA2AAB" w:rsidRPr="00762F09" w:rsidRDefault="00FA2AAB" w:rsidP="00830315">
            <w:pPr>
              <w:spacing w:before="100" w:beforeAutospacing="1" w:after="100" w:afterAutospacing="1"/>
              <w:jc w:val="center"/>
              <w:rPr>
                <w:b/>
              </w:rPr>
            </w:pPr>
            <w:r w:rsidRPr="00762F09">
              <w:rPr>
                <w:b/>
                <w:sz w:val="22"/>
                <w:szCs w:val="22"/>
              </w:rPr>
              <w:t>$1,</w:t>
            </w:r>
            <w:r w:rsidR="00ED3050">
              <w:rPr>
                <w:b/>
                <w:sz w:val="22"/>
                <w:szCs w:val="22"/>
              </w:rPr>
              <w:t>1</w:t>
            </w:r>
            <w:r w:rsidR="00830315">
              <w:rPr>
                <w:b/>
                <w:sz w:val="22"/>
                <w:szCs w:val="22"/>
              </w:rPr>
              <w:t>14</w:t>
            </w:r>
            <w:r w:rsidR="00ED3050">
              <w:rPr>
                <w:b/>
                <w:sz w:val="22"/>
                <w:szCs w:val="22"/>
              </w:rPr>
              <w:t>,</w:t>
            </w:r>
            <w:r w:rsidR="00830315">
              <w:rPr>
                <w:b/>
                <w:sz w:val="22"/>
                <w:szCs w:val="22"/>
              </w:rPr>
              <w:t>772</w:t>
            </w:r>
          </w:p>
        </w:tc>
        <w:tc>
          <w:tcPr>
            <w:tcW w:w="1260" w:type="dxa"/>
            <w:vAlign w:val="center"/>
          </w:tcPr>
          <w:p w:rsidR="00FA2AAB" w:rsidRPr="00992371" w:rsidRDefault="00583634" w:rsidP="00830315">
            <w:pPr>
              <w:spacing w:before="100" w:beforeAutospacing="1" w:after="100" w:afterAutospacing="1"/>
              <w:jc w:val="center"/>
              <w:rPr>
                <w:b/>
                <w:highlight w:val="yellow"/>
              </w:rPr>
            </w:pPr>
            <w:r>
              <w:rPr>
                <w:b/>
                <w:sz w:val="22"/>
                <w:szCs w:val="22"/>
              </w:rPr>
              <w:t>5,</w:t>
            </w:r>
            <w:r w:rsidR="00830315">
              <w:rPr>
                <w:b/>
                <w:sz w:val="22"/>
                <w:szCs w:val="22"/>
              </w:rPr>
              <w:t>147</w:t>
            </w:r>
          </w:p>
        </w:tc>
        <w:tc>
          <w:tcPr>
            <w:tcW w:w="1530" w:type="dxa"/>
            <w:vAlign w:val="center"/>
          </w:tcPr>
          <w:p w:rsidR="00FA2AAB" w:rsidRPr="00762F09" w:rsidRDefault="00FA2AAB" w:rsidP="00830315">
            <w:pPr>
              <w:spacing w:before="100" w:beforeAutospacing="1" w:after="100" w:afterAutospacing="1"/>
              <w:jc w:val="center"/>
              <w:rPr>
                <w:b/>
              </w:rPr>
            </w:pPr>
            <w:r w:rsidRPr="00FF7D31">
              <w:rPr>
                <w:b/>
                <w:sz w:val="22"/>
                <w:szCs w:val="22"/>
              </w:rPr>
              <w:t>$</w:t>
            </w:r>
            <w:r w:rsidR="00583634">
              <w:rPr>
                <w:b/>
                <w:sz w:val="22"/>
                <w:szCs w:val="22"/>
              </w:rPr>
              <w:t>1,</w:t>
            </w:r>
            <w:r w:rsidR="00830315">
              <w:rPr>
                <w:b/>
                <w:sz w:val="22"/>
                <w:szCs w:val="22"/>
              </w:rPr>
              <w:t>147</w:t>
            </w:r>
            <w:r w:rsidR="00583634">
              <w:rPr>
                <w:b/>
                <w:sz w:val="22"/>
                <w:szCs w:val="22"/>
              </w:rPr>
              <w:t>,</w:t>
            </w:r>
            <w:r w:rsidR="006A53DF">
              <w:rPr>
                <w:b/>
                <w:sz w:val="22"/>
                <w:szCs w:val="22"/>
              </w:rPr>
              <w:t>2</w:t>
            </w:r>
            <w:r w:rsidR="00830315">
              <w:rPr>
                <w:b/>
                <w:sz w:val="22"/>
                <w:szCs w:val="22"/>
              </w:rPr>
              <w:t>95</w:t>
            </w:r>
          </w:p>
        </w:tc>
      </w:tr>
    </w:tbl>
    <w:p w:rsidR="00FA2AAB" w:rsidRPr="00762F09" w:rsidRDefault="00FA2AAB" w:rsidP="005027FD">
      <w:pPr>
        <w:pStyle w:val="Header"/>
        <w:tabs>
          <w:tab w:val="clear" w:pos="4320"/>
          <w:tab w:val="clear" w:pos="8640"/>
        </w:tabs>
        <w:spacing w:before="100" w:beforeAutospacing="1" w:after="100" w:afterAutospacing="1"/>
        <w:jc w:val="center"/>
        <w:rPr>
          <w:bCs/>
        </w:rPr>
      </w:pPr>
      <w:r w:rsidRPr="00762F09">
        <w:rPr>
          <w:b/>
          <w:bCs/>
        </w:rPr>
        <w:br w:type="page"/>
      </w:r>
      <w:r w:rsidRPr="00762F09">
        <w:rPr>
          <w:b/>
          <w:bCs/>
        </w:rPr>
        <w:lastRenderedPageBreak/>
        <w:t>S&amp;E Resources in Support of DOJ Strategic Goals 1 &amp; 2</w:t>
      </w:r>
    </w:p>
    <w:p w:rsidR="00FA2AAB" w:rsidRPr="00762F09" w:rsidRDefault="00FA2AAB" w:rsidP="005027FD">
      <w:pPr>
        <w:pStyle w:val="Header"/>
        <w:tabs>
          <w:tab w:val="clear" w:pos="4320"/>
          <w:tab w:val="clear" w:pos="8640"/>
        </w:tabs>
        <w:spacing w:before="100" w:beforeAutospacing="1" w:after="100" w:afterAutospacing="1"/>
        <w:jc w:val="center"/>
        <w:rPr>
          <w:b/>
          <w:bCs/>
        </w:rPr>
      </w:pPr>
      <w:r w:rsidRPr="00762F09">
        <w:rPr>
          <w:b/>
          <w:bCs/>
        </w:rPr>
        <w:t xml:space="preserve">By Decision Units and Counterterrorism Crosscut </w:t>
      </w:r>
    </w:p>
    <w:p w:rsidR="00FA2AAB" w:rsidRPr="00762F09" w:rsidRDefault="00FA2AAB" w:rsidP="005027FD">
      <w:pPr>
        <w:pStyle w:val="xl19"/>
        <w:spacing w:before="100" w:beforeAutospacing="1" w:after="100" w:afterAutospacing="1"/>
        <w:jc w:val="center"/>
        <w:rPr>
          <w:b/>
          <w:bCs/>
        </w:rPr>
      </w:pPr>
      <w:r w:rsidRPr="00762F09">
        <w:rPr>
          <w:b/>
          <w:bCs/>
        </w:rPr>
        <w:t xml:space="preserve"> Decision Units</w:t>
      </w:r>
    </w:p>
    <w:p w:rsidR="00FA2AAB" w:rsidRPr="00762F09" w:rsidRDefault="00273F9D" w:rsidP="005027FD">
      <w:pPr>
        <w:pStyle w:val="xl19"/>
        <w:spacing w:before="100" w:beforeAutospacing="1" w:after="100" w:afterAutospacing="1"/>
        <w:jc w:val="center"/>
      </w:pPr>
      <w:r>
        <w:pict>
          <v:group id="_x0000_s1026" editas="canvas" alt="This graphic portrays the policy resource breakout and Decision Unit structure for ATF.  Firearms programs - 75%; Arson &amp; Explosives programs - 23%; Alcohol &amp; Tobacco Diversion programs - 2%." style="width:322.5pt;height:184.5pt;mso-position-horizontal-relative:char;mso-position-vertical-relative:line" coordsize="6450,36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50;height:3690" o:preferrelative="f" stroked="t" strokeweight=".5pt">
              <v:fill o:detectmouseclick="t"/>
              <v:path o:extrusionok="t" o:connecttype="none"/>
              <o:lock v:ext="edit" text="t"/>
            </v:shape>
            <v:shape id="_x0000_s1028" style="position:absolute;left:3049;top:1425;width:196;height:894" coordsize="196,894" path="m196,431l,,,464,196,894r,-463xe" fillcolor="black" stroked="f">
              <v:fill r:id="rId15" o:title="" type="tile"/>
              <v:path arrowok="t"/>
            </v:shape>
            <v:shape id="_x0000_s1029" style="position:absolute;left:3049;top:1425;width:196;height:894" coordsize="196,894" path="m196,431l,,,464,196,894r,-463xe" filled="f" strokeweight="44e-5mm">
              <v:path arrowok="t"/>
            </v:shape>
            <v:shape id="_x0000_s1030" style="position:absolute;left:3049;top:1425;width:196;height:431" coordsize="196,431" path="m,l49,r98,l196,r,431l,xe" fillcolor="black" stroked="f">
              <v:fill r:id="rId16" o:title="" type="tile"/>
              <v:path arrowok="t"/>
            </v:shape>
            <v:shape id="_x0000_s1031" style="position:absolute;left:3049;top:1425;width:196;height:431" coordsize="196,431" path="m,l49,r98,l196,r,431l,xe" filled="f" strokeweight="44e-5mm">
              <v:path arrowok="t"/>
            </v:shape>
            <v:shape id="_x0000_s1032" style="position:absolute;left:3131;top:895;width:326;height:530" coordsize="20,32" path="m20,l14,,,32e" filled="f" strokeweight="44e-5mm">
              <v:path arrowok="t"/>
            </v:shape>
            <v:shape id="_x0000_s1033" style="position:absolute;left:1419;top:1889;width:16;height:530" coordsize="16,530" path="m16,66l,49,,33r,l,16,,,,,,464r,l,480r,17l,497r,16l16,530,16,66xe" fillcolor="black" stroked="f">
              <v:fill r:id="rId17" o:title="" type="tile"/>
              <v:path arrowok="t"/>
            </v:shape>
            <v:shape id="_x0000_s1034" style="position:absolute;left:1419;top:1889;width:16;height:530" coordsize="16,530" path="m16,66l,49,,33r,l,16,,,,,,464r,l,480r,17l,497r,16l16,530,16,66xe" filled="f" strokeweight="44e-5mm">
              <v:path arrowok="t"/>
            </v:shape>
            <v:shape id="_x0000_s1035" style="position:absolute;left:1435;top:1889;width:1614;height:530" coordsize="1614,530" path="m1614,l,66,,530,1614,464,1614,xe" fillcolor="black" stroked="f">
              <v:fill r:id="rId17" o:title="" type="tile"/>
              <v:path arrowok="t"/>
            </v:shape>
            <v:shape id="_x0000_s1036" style="position:absolute;left:1435;top:1889;width:1614;height:530" coordsize="1614,530" path="m1614,l,66,,530,1614,464,1614,xe" filled="f" strokeweight="44e-5mm">
              <v:path arrowok="t"/>
            </v:shape>
            <v:shape id="_x0000_s1037" style="position:absolute;left:1419;top:1458;width:1630;height:497" coordsize="1630,497" path="m16,497l,464r,l,431,,414,,398,,381,16,364,32,348,49,315,65,298,81,282r33,-17l130,248r49,-16l195,215r49,-16l277,182r49,-16l375,149r49,-17l473,116r49,l587,99,619,83,701,66r49,l815,50r82,l945,33r82,l1076,17r81,l1206,17,1288,r65,l1435,r195,431l16,497xe" fillcolor="black" stroked="f">
              <v:fill r:id="rId18" o:title="" type="tile"/>
              <v:path arrowok="t"/>
            </v:shape>
            <v:shape id="_x0000_s1038" style="position:absolute;left:1419;top:1458;width:1630;height:497" coordsize="1630,497" path="m16,497l,464r,l,431,,414,,398,,381,16,364,32,348,49,315,65,298,81,282r33,-17l130,248r49,-16l195,215r49,-16l277,182r49,-16l375,149r49,-17l473,116r49,l587,99,619,83,701,66r49,l815,50r82,l945,33r82,l1076,17r81,l1206,17,1288,r65,l1435,r195,431l16,497xe" filled="f" strokeweight="44e-5mm">
              <v:path arrowok="t"/>
            </v:shape>
            <v:shape id="_x0000_s1039" style="position:absolute;left:1435;top:1325;width:294;height:299" coordsize="18,18" path="m,l6,,18,18e" filled="f" strokeweight="44e-5mm">
              <v:path arrowok="t"/>
            </v:shape>
            <v:shape id="_x0000_s1040" style="position:absolute;left:1843;top:1972;width:3261;height:894" coordsize="3261,894" path="m3261,r,16l3245,33r,16l3228,66r-16,33l3196,116r-16,16l3147,149r-16,16l3098,182r-49,16l3016,215r-32,16l2951,248r-65,17l2853,281r-49,17l2739,314r-49,l2625,331r-49,16l2511,364r-65,l2380,381r-65,l2266,397r-81,l2103,414r-65,l1956,414r-48,l1810,430r-82,l1679,430r-98,l1533,430r-82,l1386,414r-82,l1223,414r-49,l1092,397r-65,l945,397,880,381,831,364r-81,l701,347r-65,l570,331,521,314,456,298,424,281,358,265,310,248r-33,l228,231,195,215,163,198,130,182,98,149,65,132,49,116,32,99,16,82,,66,,530r16,16l32,563r17,16l65,596r33,17l130,646r33,16l195,679r33,16l277,712r33,l358,729r66,16l456,762r65,16l570,795r66,16l701,811r49,17l831,828r49,16l945,861r82,l1092,861r82,17l1223,878r81,l1386,878r65,16l1533,894r48,l1679,894r49,l1810,894r98,-16l1956,878r82,l2103,878r82,-17l2266,861r49,-17l2380,844r66,-16l2511,828r65,-17l2625,795r65,-17l2739,778r65,-16l2853,745r33,-16l2951,712r33,-17l3016,679r33,-17l3098,646r33,-17l3147,613r33,-17l3196,579r16,-16l3228,530r17,-17l3245,497r16,-17l3261,463,3261,xe" fillcolor="black" stroked="f">
              <v:fill r:id="rId19" o:title="" type="tile"/>
              <v:path arrowok="t"/>
            </v:shape>
            <v:shape id="_x0000_s1041" style="position:absolute;left:1843;top:1972;width:3261;height:894" coordsize="3261,894" path="m3261,r,16l3245,33r,16l3228,66r-16,33l3196,116r-16,16l3147,149r-16,16l3098,182r-49,16l3016,215r-32,16l2951,248r-65,17l2853,281r-49,17l2739,314r-49,l2625,331r-49,16l2511,364r-65,l2380,381r-65,l2266,397r-81,l2103,414r-65,l1956,414r-48,l1810,430r-82,l1679,430r-98,l1533,430r-82,l1386,414r-82,l1223,414r-49,l1092,397r-65,l945,397,880,381,831,364r-81,l701,347r-65,l570,331,521,314,456,298,424,281,358,265,310,248r-33,l228,231,195,215,163,198,130,182,98,149,65,132,49,116,32,99,16,82,,66,,530r16,16l32,563r17,16l65,596r33,17l130,646r33,16l195,679r33,16l277,712r33,l358,729r66,16l456,762r65,16l570,795r66,16l701,811r49,17l831,828r49,16l945,861r82,l1092,861r82,17l1223,878r81,l1386,878r65,16l1533,894r48,l1679,894r49,l1810,894r98,-16l1956,878r82,l2103,878r82,-17l2266,861r49,-17l2380,844r66,-16l2511,828r65,-17l2625,795r65,-17l2739,778r65,-16l2853,745r33,-16l2951,712r33,-17l3016,679r33,-17l3098,646r33,-17l3147,613r33,-17l3196,579r16,-16l3228,530r17,-17l3245,497r16,-17l3261,463,3261,xe" filled="f" strokeweight="44e-5mm">
              <v:path arrowok="t"/>
            </v:shape>
            <v:shape id="_x0000_s1042" style="position:absolute;left:1843;top:1541;width:3261;height:861" coordsize="3261,861" path="m1614,r98,l1761,r81,l1924,r65,l2071,16r49,l2201,16r82,17l2332,33r81,16l2495,66r32,l2609,83r65,16l2707,99r65,17l2821,132r49,17l2935,165r33,17l3000,199r49,16l3082,232r32,16l3147,265r16,16l3196,315r16,l3228,348r17,16l3245,381r16,16l3261,431r,16l3245,464r,16l3228,497r-16,33l3196,530r-16,33l3147,580r-16,16l3098,613r-49,16l3016,646r-32,16l2935,679r-49,17l2837,712r-33,17l2739,745r-65,17l2625,762r-65,16l2495,795r-49,l2364,812r-81,16l2234,828r-82,l2103,845r-81,l1924,845r-49,l1793,861r-81,l1647,861r-82,l1467,861r-49,l1337,845r-65,l1190,845r-81,-17l1060,828r-82,l897,812r-49,l766,795,701,778r-49,l587,762,538,745,473,729,424,712r-49,l326,696,277,679,244,662,195,646,163,629,130,613,98,580r-17,l49,547,32,530,16,513,,497,1614,431,1614,xe" fillcolor="black" stroked="f">
              <v:fill r:id="rId20" o:title="" type="tile"/>
              <v:path arrowok="t"/>
            </v:shape>
            <v:shape id="_x0000_s1043" style="position:absolute;left:1843;top:1541;width:3261;height:861" coordsize="3261,861" path="m1614,r98,l1761,r81,l1924,r65,l2071,16r49,l2201,16r82,17l2332,33r81,16l2495,66r32,l2609,83r65,16l2707,99r65,17l2821,132r49,17l2935,165r33,17l3000,199r49,16l3082,232r32,16l3147,265r16,16l3196,315r16,l3228,348r17,16l3245,381r16,16l3261,431r,16l3245,464r,16l3228,497r-16,33l3196,530r-16,33l3147,580r-16,16l3098,613r-49,16l3016,646r-32,16l2935,679r-49,17l2837,712r-33,17l2739,745r-65,17l2625,762r-65,16l2495,795r-49,l2364,812r-81,16l2234,828r-82,l2103,845r-81,l1924,845r-49,l1793,861r-81,l1647,861r-82,l1467,861r-49,l1337,845r-65,l1190,845r-81,-17l1060,828r-82,l897,812r-49,l766,795,701,778r-49,l587,762,538,745,473,729,424,712r-49,l326,696,277,679,244,662,195,646,163,629,130,613,98,580r-17,l49,547,32,530,16,513,,497,1614,431,1614,xe" filled="f" strokeweight="44e-5mm">
              <v:path arrowok="t"/>
            </v:shape>
            <v:shape id="_x0000_s1044" style="position:absolute;left:4713;top:2717;width:244;height:331" coordsize="15,20" path="m15,20r-6,l,e" filled="f" strokeweight="44e-5mm">
              <v:path arrowok="t"/>
            </v:shape>
            <v:rect id="_x0000_s1045" style="position:absolute;left:538;top:911;width:854;height:276;mso-wrap-style:none" filled="f" stroked="f">
              <v:textbox style="mso-next-textbox:#_x0000_s1045;mso-fit-shape-to-text:t" inset="0,0,0,0">
                <w:txbxContent>
                  <w:p w:rsidR="00104151" w:rsidRDefault="00104151">
                    <w:r>
                      <w:rPr>
                        <w:rFonts w:ascii="Arial" w:hAnsi="Arial" w:cs="Arial"/>
                        <w:color w:val="000000"/>
                      </w:rPr>
                      <w:t xml:space="preserve">Arson &amp; </w:t>
                    </w:r>
                  </w:p>
                </w:txbxContent>
              </v:textbox>
            </v:rect>
            <v:rect id="_x0000_s1046" style="position:absolute;left:408;top:1193;width:1148;height:276;mso-wrap-style:none" filled="f" stroked="f">
              <v:textbox style="mso-next-textbox:#_x0000_s1046;mso-fit-shape-to-text:t" inset="0,0,0,0">
                <w:txbxContent>
                  <w:p w:rsidR="00104151" w:rsidRDefault="00104151">
                    <w:r>
                      <w:rPr>
                        <w:rFonts w:ascii="Arial" w:hAnsi="Arial" w:cs="Arial"/>
                        <w:color w:val="000000"/>
                      </w:rPr>
                      <w:t>Explosives</w:t>
                    </w:r>
                  </w:p>
                </w:txbxContent>
              </v:textbox>
            </v:rect>
            <v:rect id="_x0000_s1047" style="position:absolute;left:701;top:1475;width:481;height:276;mso-wrap-style:none" filled="f" stroked="f">
              <v:textbox style="mso-next-textbox:#_x0000_s1047;mso-fit-shape-to-text:t" inset="0,0,0,0">
                <w:txbxContent>
                  <w:p w:rsidR="00104151" w:rsidRDefault="00104151">
                    <w:r>
                      <w:rPr>
                        <w:rFonts w:ascii="Arial" w:hAnsi="Arial" w:cs="Arial"/>
                        <w:color w:val="000000"/>
                      </w:rPr>
                      <w:t>23%</w:t>
                    </w:r>
                  </w:p>
                </w:txbxContent>
              </v:textbox>
            </v:rect>
            <v:rect id="_x0000_s1048" style="position:absolute;left:3490;top:331;width:1014;height:276;mso-wrap-style:none" filled="f" stroked="f">
              <v:textbox style="mso-next-textbox:#_x0000_s1048;mso-fit-shape-to-text:t" inset="0,0,0,0">
                <w:txbxContent>
                  <w:p w:rsidR="00104151" w:rsidRDefault="00104151">
                    <w:r>
                      <w:rPr>
                        <w:rFonts w:ascii="Arial" w:hAnsi="Arial" w:cs="Arial"/>
                        <w:color w:val="000000"/>
                      </w:rPr>
                      <w:t xml:space="preserve">Alcohol &amp; </w:t>
                    </w:r>
                  </w:p>
                </w:txbxContent>
              </v:textbox>
            </v:rect>
            <v:rect id="_x0000_s1049" style="position:absolute;left:3555;top:613;width:921;height:276;mso-wrap-style:none" filled="f" stroked="f">
              <v:textbox style="mso-next-textbox:#_x0000_s1049;mso-fit-shape-to-text:t" inset="0,0,0,0">
                <w:txbxContent>
                  <w:p w:rsidR="00104151" w:rsidRDefault="00104151">
                    <w:r>
                      <w:rPr>
                        <w:rFonts w:ascii="Arial" w:hAnsi="Arial" w:cs="Arial"/>
                        <w:color w:val="000000"/>
                      </w:rPr>
                      <w:t xml:space="preserve">Tobacco </w:t>
                    </w:r>
                  </w:p>
                </w:txbxContent>
              </v:textbox>
            </v:rect>
            <v:rect id="_x0000_s1050" style="position:absolute;left:3522;top:895;width:1001;height:276;mso-wrap-style:none" filled="f" stroked="f">
              <v:textbox style="mso-next-textbox:#_x0000_s1050;mso-fit-shape-to-text:t" inset="0,0,0,0">
                <w:txbxContent>
                  <w:p w:rsidR="00104151" w:rsidRDefault="00104151">
                    <w:r>
                      <w:rPr>
                        <w:rFonts w:ascii="Arial" w:hAnsi="Arial" w:cs="Arial"/>
                        <w:color w:val="000000"/>
                      </w:rPr>
                      <w:t>Diversion</w:t>
                    </w:r>
                  </w:p>
                </w:txbxContent>
              </v:textbox>
            </v:rect>
            <v:rect id="_x0000_s1051" style="position:absolute;left:3799;top:1176;width:347;height:276;mso-wrap-style:none" filled="f" stroked="f">
              <v:textbox style="mso-next-textbox:#_x0000_s1051;mso-fit-shape-to-text:t" inset="0,0,0,0">
                <w:txbxContent>
                  <w:p w:rsidR="00104151" w:rsidRDefault="00104151">
                    <w:r>
                      <w:rPr>
                        <w:rFonts w:ascii="Arial" w:hAnsi="Arial" w:cs="Arial"/>
                        <w:color w:val="000000"/>
                      </w:rPr>
                      <w:t>2%</w:t>
                    </w:r>
                  </w:p>
                </w:txbxContent>
              </v:textbox>
            </v:rect>
            <v:rect id="_x0000_s1052" style="position:absolute;left:4990;top:2767;width:947;height:276;mso-wrap-style:none" filled="f" stroked="f">
              <v:textbox style="mso-next-textbox:#_x0000_s1052;mso-fit-shape-to-text:t" inset="0,0,0,0">
                <w:txbxContent>
                  <w:p w:rsidR="00104151" w:rsidRDefault="00104151">
                    <w:r>
                      <w:rPr>
                        <w:rFonts w:ascii="Arial" w:hAnsi="Arial" w:cs="Arial"/>
                        <w:color w:val="000000"/>
                      </w:rPr>
                      <w:t>Firearms</w:t>
                    </w:r>
                  </w:p>
                </w:txbxContent>
              </v:textbox>
            </v:rect>
            <v:rect id="_x0000_s1053" style="position:absolute;left:5202;top:3048;width:481;height:276;mso-wrap-style:none" filled="f" stroked="f">
              <v:textbox style="mso-next-textbox:#_x0000_s1053;mso-fit-shape-to-text:t" inset="0,0,0,0">
                <w:txbxContent>
                  <w:p w:rsidR="00104151" w:rsidRDefault="00104151">
                    <w:r>
                      <w:rPr>
                        <w:rFonts w:ascii="Arial" w:hAnsi="Arial" w:cs="Arial"/>
                        <w:color w:val="000000"/>
                      </w:rPr>
                      <w:t>75%</w:t>
                    </w:r>
                  </w:p>
                </w:txbxContent>
              </v:textbox>
            </v:rect>
            <w10:wrap type="none"/>
            <w10:anchorlock/>
          </v:group>
        </w:pict>
      </w:r>
    </w:p>
    <w:p w:rsidR="003B1411" w:rsidRDefault="003B1411">
      <w:pPr>
        <w:rPr>
          <w:b/>
        </w:rPr>
      </w:pPr>
    </w:p>
    <w:p w:rsidR="00FA2AAB" w:rsidRPr="00762F09" w:rsidRDefault="00FA2AAB" w:rsidP="005027FD">
      <w:pPr>
        <w:pStyle w:val="BodyText"/>
        <w:spacing w:before="100" w:beforeAutospacing="1" w:after="100" w:afterAutospacing="1"/>
        <w:jc w:val="center"/>
        <w:rPr>
          <w:b/>
          <w:szCs w:val="24"/>
        </w:rPr>
      </w:pPr>
      <w:r w:rsidRPr="00762F09">
        <w:rPr>
          <w:b/>
          <w:szCs w:val="24"/>
        </w:rPr>
        <w:t>ATF Homeland Security Counterterrorism Crosscut</w:t>
      </w:r>
    </w:p>
    <w:p w:rsidR="00FA2AAB" w:rsidRPr="00762F09" w:rsidRDefault="00FA2AAB" w:rsidP="005027FD">
      <w:pPr>
        <w:pStyle w:val="BodyText"/>
        <w:spacing w:before="100" w:beforeAutospacing="1" w:after="100" w:afterAutospacing="1"/>
        <w:jc w:val="center"/>
        <w:rPr>
          <w:b/>
          <w:szCs w:val="24"/>
        </w:rPr>
      </w:pPr>
    </w:p>
    <w:p w:rsidR="00FA2AAB" w:rsidRPr="00762F09" w:rsidRDefault="00F50DA7" w:rsidP="005027FD">
      <w:pPr>
        <w:pStyle w:val="BodyText"/>
        <w:spacing w:before="100" w:beforeAutospacing="1" w:after="100" w:afterAutospacing="1"/>
        <w:jc w:val="center"/>
        <w:rPr>
          <w:bCs/>
          <w:szCs w:val="24"/>
        </w:rPr>
      </w:pPr>
      <w:r>
        <w:rPr>
          <w:noProof/>
          <w:szCs w:val="24"/>
        </w:rPr>
        <w:drawing>
          <wp:inline distT="0" distB="0" distL="0" distR="0">
            <wp:extent cx="4171950" cy="2330450"/>
            <wp:effectExtent l="19050" t="19050" r="19050" b="12700"/>
            <wp:docPr id="2" name="Picture 5" descr="This graphic portrays ATF's Homeland Security and Counterterrorism resource crosscut.  Approximately 40% of ATF's resources support homeland security and domestic counterterrorism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graphic portrays ATF's Homeland Security and Counterterrorism resource crosscut.  Approximately 40% of ATF's resources support homeland security and domestic counterterrorism activities."/>
                    <pic:cNvPicPr>
                      <a:picLocks noChangeAspect="1" noChangeArrowheads="1"/>
                    </pic:cNvPicPr>
                  </pic:nvPicPr>
                  <pic:blipFill>
                    <a:blip r:embed="rId21" cstate="print"/>
                    <a:srcRect/>
                    <a:stretch>
                      <a:fillRect/>
                    </a:stretch>
                  </pic:blipFill>
                  <pic:spPr bwMode="auto">
                    <a:xfrm>
                      <a:off x="0" y="0"/>
                      <a:ext cx="4171950" cy="2330450"/>
                    </a:xfrm>
                    <a:prstGeom prst="rect">
                      <a:avLst/>
                    </a:prstGeom>
                    <a:noFill/>
                    <a:ln w="6350" cmpd="sng">
                      <a:solidFill>
                        <a:srgbClr val="000000"/>
                      </a:solidFill>
                      <a:miter lim="800000"/>
                      <a:headEnd/>
                      <a:tailEnd/>
                    </a:ln>
                    <a:effectLst/>
                  </pic:spPr>
                </pic:pic>
              </a:graphicData>
            </a:graphic>
          </wp:inline>
        </w:drawing>
      </w:r>
    </w:p>
    <w:p w:rsidR="00FA2AAB" w:rsidRDefault="00FA2AAB" w:rsidP="00650E16">
      <w:r>
        <w:rPr>
          <w:b/>
          <w:bCs/>
        </w:rPr>
        <w:br w:type="page"/>
      </w:r>
    </w:p>
    <w:p w:rsidR="00FA2AAB" w:rsidRDefault="00FA2AAB" w:rsidP="003E14B1">
      <w:pPr>
        <w:pStyle w:val="BodyText"/>
        <w:keepNext/>
        <w:rPr>
          <w:b/>
          <w:bCs/>
          <w:szCs w:val="24"/>
        </w:rPr>
      </w:pPr>
      <w:r>
        <w:rPr>
          <w:b/>
          <w:bCs/>
          <w:szCs w:val="24"/>
        </w:rPr>
        <w:lastRenderedPageBreak/>
        <w:t>Environmental Management</w:t>
      </w:r>
    </w:p>
    <w:p w:rsidR="00FA2AAB" w:rsidRDefault="00FA2AAB" w:rsidP="003E14B1">
      <w:pPr>
        <w:pStyle w:val="BodyText"/>
        <w:keepNext/>
        <w:rPr>
          <w:b/>
          <w:bCs/>
          <w:szCs w:val="24"/>
        </w:rPr>
      </w:pPr>
    </w:p>
    <w:p w:rsidR="00FA2AAB" w:rsidRDefault="00FA2AAB" w:rsidP="001C5C93">
      <w:r>
        <w:rPr>
          <w:color w:val="000000"/>
        </w:rPr>
        <w:t xml:space="preserve">ATF has fully implemented Environmental Management Systems at its three laboratories.  ATF will develop and implement a Bureau-wide, organizational Environmental Management System by the end of fiscal year 2011 in accordance with the schedule established by the </w:t>
      </w:r>
      <w:r w:rsidR="00FB59FB">
        <w:rPr>
          <w:color w:val="000000"/>
        </w:rPr>
        <w:t>DOJ</w:t>
      </w:r>
      <w:r>
        <w:rPr>
          <w:color w:val="000000"/>
        </w:rPr>
        <w:t>. </w:t>
      </w:r>
      <w:r w:rsidR="000E48E8">
        <w:rPr>
          <w:color w:val="000000"/>
        </w:rPr>
        <w:t xml:space="preserve"> </w:t>
      </w:r>
      <w:r>
        <w:rPr>
          <w:color w:val="000000"/>
        </w:rPr>
        <w:t xml:space="preserve">ATF </w:t>
      </w:r>
      <w:r w:rsidR="00960337">
        <w:rPr>
          <w:color w:val="000000"/>
        </w:rPr>
        <w:t>has reviewed its</w:t>
      </w:r>
      <w:r>
        <w:rPr>
          <w:color w:val="000000"/>
        </w:rPr>
        <w:t xml:space="preserve"> acquisition </w:t>
      </w:r>
      <w:r w:rsidRPr="00E322CC">
        <w:rPr>
          <w:color w:val="000000"/>
        </w:rPr>
        <w:t>policy and procedures complying with the Department's Green Purchasing Program</w:t>
      </w:r>
      <w:r>
        <w:rPr>
          <w:color w:val="000000"/>
        </w:rPr>
        <w:t xml:space="preserve">. Green purchasing training </w:t>
      </w:r>
      <w:r w:rsidR="004D04D1">
        <w:rPr>
          <w:color w:val="000000"/>
        </w:rPr>
        <w:t>has been</w:t>
      </w:r>
      <w:r>
        <w:rPr>
          <w:color w:val="000000"/>
        </w:rPr>
        <w:t xml:space="preserve"> conducted for </w:t>
      </w:r>
      <w:r w:rsidR="004D04D1">
        <w:rPr>
          <w:color w:val="000000"/>
        </w:rPr>
        <w:t>all Contracting Officers and Purchase Card Holders</w:t>
      </w:r>
      <w:r>
        <w:rPr>
          <w:color w:val="000000"/>
        </w:rPr>
        <w:t>. </w:t>
      </w:r>
      <w:r w:rsidR="004D04D1">
        <w:rPr>
          <w:color w:val="000000"/>
        </w:rPr>
        <w:t xml:space="preserve">The Bureau established and met its training completion goal </w:t>
      </w:r>
      <w:r w:rsidR="00631FEB">
        <w:rPr>
          <w:color w:val="000000"/>
        </w:rPr>
        <w:t xml:space="preserve">of June 2010. </w:t>
      </w:r>
      <w:r w:rsidR="000E48E8">
        <w:rPr>
          <w:color w:val="000000"/>
        </w:rPr>
        <w:t xml:space="preserve"> </w:t>
      </w:r>
      <w:r>
        <w:rPr>
          <w:color w:val="000000"/>
        </w:rPr>
        <w:t>ATF ensure</w:t>
      </w:r>
      <w:r w:rsidR="007244C6">
        <w:rPr>
          <w:color w:val="000000"/>
        </w:rPr>
        <w:t>s</w:t>
      </w:r>
      <w:r>
        <w:rPr>
          <w:color w:val="000000"/>
        </w:rPr>
        <w:t xml:space="preserve"> that all new purchased and leased computers and monitors are EPEAT (Electronic Product Environmental Assessment Tool </w:t>
      </w:r>
      <w:r w:rsidRPr="0060589B">
        <w:rPr>
          <w:color w:val="000000"/>
        </w:rPr>
        <w:t>- </w:t>
      </w:r>
      <w:hyperlink r:id="rId22" w:tooltip="http://www.epeat.net/" w:history="1">
        <w:r w:rsidRPr="0060589B">
          <w:rPr>
            <w:color w:val="000000"/>
          </w:rPr>
          <w:t>www.epeat.net</w:t>
        </w:r>
      </w:hyperlink>
      <w:r>
        <w:rPr>
          <w:color w:val="000000"/>
        </w:rPr>
        <w:t>) – Silver rated and registered</w:t>
      </w:r>
      <w:r w:rsidR="007244C6">
        <w:rPr>
          <w:color w:val="000000"/>
        </w:rPr>
        <w:t>, and</w:t>
      </w:r>
      <w:r>
        <w:rPr>
          <w:color w:val="000000"/>
        </w:rPr>
        <w:t xml:space="preserve"> that IT service contracts and leases support EPEAT-registered products, ENERGY STAR features, environmentally sound management techniques, and </w:t>
      </w:r>
      <w:r w:rsidR="007244C6">
        <w:rPr>
          <w:color w:val="000000"/>
        </w:rPr>
        <w:t xml:space="preserve">do </w:t>
      </w:r>
      <w:r>
        <w:rPr>
          <w:color w:val="000000"/>
        </w:rPr>
        <w:t xml:space="preserve">extend product lifecycles. </w:t>
      </w:r>
      <w:r w:rsidR="000E48E8">
        <w:rPr>
          <w:color w:val="000000"/>
        </w:rPr>
        <w:t xml:space="preserve"> </w:t>
      </w:r>
      <w:r w:rsidRPr="0060589B">
        <w:rPr>
          <w:color w:val="000000"/>
        </w:rPr>
        <w:t xml:space="preserve">ATF is developing policy and procedures to </w:t>
      </w:r>
      <w:r w:rsidR="00DF5630" w:rsidRPr="009007BE">
        <w:rPr>
          <w:color w:val="000000" w:themeColor="text1"/>
        </w:rPr>
        <w:t>ensure</w:t>
      </w:r>
      <w:r w:rsidR="00DF5630">
        <w:rPr>
          <w:color w:val="000000"/>
        </w:rPr>
        <w:t xml:space="preserve"> </w:t>
      </w:r>
      <w:r w:rsidRPr="0060589B">
        <w:rPr>
          <w:color w:val="000000"/>
        </w:rPr>
        <w:t xml:space="preserve">compliance with Executive Order 13423, </w:t>
      </w:r>
      <w:r w:rsidR="00130D87">
        <w:rPr>
          <w:color w:val="000000"/>
        </w:rPr>
        <w:t>as it relates</w:t>
      </w:r>
      <w:r w:rsidRPr="0060589B">
        <w:rPr>
          <w:color w:val="000000"/>
        </w:rPr>
        <w:t xml:space="preserve"> to </w:t>
      </w:r>
      <w:r>
        <w:rPr>
          <w:color w:val="000000"/>
        </w:rPr>
        <w:t xml:space="preserve">Toxic and Hazardous Chemical reduction, Sustainable Buildings, Energy Management, Transportation, Recycling, Water Management, Environmental Management Systems, and Electronics </w:t>
      </w:r>
      <w:r w:rsidRPr="00BA0135">
        <w:t>Stewardship</w:t>
      </w:r>
      <w:r>
        <w:rPr>
          <w:color w:val="000000"/>
        </w:rPr>
        <w:t xml:space="preserve">. </w:t>
      </w:r>
      <w:r w:rsidR="00885F4B">
        <w:rPr>
          <w:color w:val="000000"/>
        </w:rPr>
        <w:t xml:space="preserve"> More information on Federal Environmental Requirements and DOJ’s Environmental Programs can be found at </w:t>
      </w:r>
      <w:hyperlink r:id="rId23" w:history="1">
        <w:r w:rsidR="00885F4B" w:rsidRPr="008E03AC">
          <w:rPr>
            <w:rStyle w:val="Hyperlink"/>
          </w:rPr>
          <w:t>www.usdoj.gov\jmd\ep</w:t>
        </w:r>
      </w:hyperlink>
      <w:r w:rsidR="00885F4B">
        <w:rPr>
          <w:color w:val="000000"/>
        </w:rPr>
        <w:t xml:space="preserve">. </w:t>
      </w:r>
    </w:p>
    <w:p w:rsidR="00F72B72" w:rsidRDefault="00F72B72" w:rsidP="00F72B72">
      <w:pPr>
        <w:rPr>
          <w:b/>
          <w:bCs/>
        </w:rPr>
      </w:pPr>
    </w:p>
    <w:p w:rsidR="00F72B72" w:rsidRPr="00F72B72" w:rsidRDefault="00F72B72" w:rsidP="00F72B72">
      <w:pPr>
        <w:pStyle w:val="BodyText"/>
        <w:keepNext/>
        <w:rPr>
          <w:b/>
          <w:bCs/>
          <w:szCs w:val="24"/>
        </w:rPr>
      </w:pPr>
      <w:r w:rsidRPr="00F72B72">
        <w:rPr>
          <w:b/>
          <w:bCs/>
          <w:szCs w:val="24"/>
        </w:rPr>
        <w:t>Strategic Management of Human Capital</w:t>
      </w:r>
    </w:p>
    <w:p w:rsidR="00F72B72" w:rsidRDefault="00F72B72" w:rsidP="00F72B72">
      <w:r>
        <w:t xml:space="preserve"> </w:t>
      </w:r>
    </w:p>
    <w:p w:rsidR="00F72B72" w:rsidRPr="00F72B72" w:rsidRDefault="00F72B72" w:rsidP="00F72B72">
      <w:pPr>
        <w:rPr>
          <w:color w:val="000000"/>
        </w:rPr>
      </w:pPr>
      <w:r w:rsidRPr="00F72B72">
        <w:rPr>
          <w:color w:val="000000"/>
        </w:rPr>
        <w:t xml:space="preserve">Human capital continues to be ATF’s most important asset.  ATF established a Workforce Strategic Priority Action Committee (SPAC) to define and implement workforce priorities identified by ATF’s Strategic Leadership Team, and </w:t>
      </w:r>
      <w:r w:rsidR="00130D87">
        <w:rPr>
          <w:color w:val="000000"/>
        </w:rPr>
        <w:t xml:space="preserve">that </w:t>
      </w:r>
      <w:r w:rsidRPr="00F72B72">
        <w:rPr>
          <w:color w:val="000000"/>
        </w:rPr>
        <w:t>continues to provide key oversight and direction in carrying out the objectives of ATF’s Human Capital Strategic Plan.     </w:t>
      </w:r>
    </w:p>
    <w:p w:rsidR="00F72B72" w:rsidRPr="00F72B72" w:rsidRDefault="00F72B72" w:rsidP="00F72B72">
      <w:pPr>
        <w:rPr>
          <w:color w:val="000000"/>
        </w:rPr>
      </w:pPr>
    </w:p>
    <w:p w:rsidR="00F72B72" w:rsidRPr="00F72B72" w:rsidRDefault="007244C6" w:rsidP="00F72B72">
      <w:pPr>
        <w:rPr>
          <w:color w:val="000000"/>
        </w:rPr>
      </w:pPr>
      <w:r>
        <w:rPr>
          <w:color w:val="000000"/>
        </w:rPr>
        <w:t xml:space="preserve">ATF continues to ensure that </w:t>
      </w:r>
      <w:r w:rsidR="00F72B72" w:rsidRPr="00F72B72">
        <w:rPr>
          <w:color w:val="000000"/>
        </w:rPr>
        <w:t>ATF’s promotion process is technically sound and meets the most rigorous legal and professional s</w:t>
      </w:r>
      <w:r w:rsidR="00F72B72">
        <w:rPr>
          <w:color w:val="000000"/>
        </w:rPr>
        <w:t>tandards for a valid process</w:t>
      </w:r>
      <w:r>
        <w:rPr>
          <w:color w:val="000000"/>
        </w:rPr>
        <w:t>.</w:t>
      </w:r>
      <w:r w:rsidR="00F72B72">
        <w:rPr>
          <w:color w:val="000000"/>
        </w:rPr>
        <w:t xml:space="preserve"> </w:t>
      </w:r>
      <w:r w:rsidR="000E48E8">
        <w:rPr>
          <w:color w:val="000000"/>
        </w:rPr>
        <w:t xml:space="preserve"> </w:t>
      </w:r>
      <w:r w:rsidR="00F72B72" w:rsidRPr="00F72B72">
        <w:rPr>
          <w:color w:val="000000"/>
        </w:rPr>
        <w:t>ATF validate</w:t>
      </w:r>
      <w:r>
        <w:rPr>
          <w:color w:val="000000"/>
        </w:rPr>
        <w:t>s</w:t>
      </w:r>
      <w:r w:rsidR="00F72B72" w:rsidRPr="00F72B72">
        <w:rPr>
          <w:color w:val="000000"/>
        </w:rPr>
        <w:t xml:space="preserve"> semi-annually the GS-1811 </w:t>
      </w:r>
      <w:r>
        <w:rPr>
          <w:color w:val="000000"/>
        </w:rPr>
        <w:t>s</w:t>
      </w:r>
      <w:r w:rsidRPr="00F72B72">
        <w:rPr>
          <w:color w:val="000000"/>
        </w:rPr>
        <w:t xml:space="preserve">pecial </w:t>
      </w:r>
      <w:r>
        <w:rPr>
          <w:color w:val="000000"/>
        </w:rPr>
        <w:t>a</w:t>
      </w:r>
      <w:r w:rsidRPr="00F72B72">
        <w:rPr>
          <w:color w:val="000000"/>
        </w:rPr>
        <w:t xml:space="preserve">gent </w:t>
      </w:r>
      <w:r w:rsidR="00F72B72" w:rsidRPr="00F72B72">
        <w:rPr>
          <w:color w:val="000000"/>
        </w:rPr>
        <w:t>competency model. </w:t>
      </w:r>
      <w:r w:rsidR="00282384">
        <w:rPr>
          <w:color w:val="000000"/>
        </w:rPr>
        <w:t> </w:t>
      </w:r>
      <w:r w:rsidR="00F72B72" w:rsidRPr="00F72B72">
        <w:rPr>
          <w:color w:val="000000"/>
        </w:rPr>
        <w:t>ATF use</w:t>
      </w:r>
      <w:r w:rsidR="00960337">
        <w:rPr>
          <w:color w:val="000000"/>
        </w:rPr>
        <w:t>s</w:t>
      </w:r>
      <w:r w:rsidR="00F72B72" w:rsidRPr="00F72B72">
        <w:rPr>
          <w:color w:val="000000"/>
        </w:rPr>
        <w:t xml:space="preserve"> the 1811 </w:t>
      </w:r>
      <w:r w:rsidR="00282384">
        <w:rPr>
          <w:color w:val="000000"/>
        </w:rPr>
        <w:t>c</w:t>
      </w:r>
      <w:r w:rsidR="00F72B72" w:rsidRPr="00F72B72">
        <w:rPr>
          <w:color w:val="000000"/>
        </w:rPr>
        <w:t xml:space="preserve">ompetency model as a basis for testing applicants for the </w:t>
      </w:r>
      <w:r>
        <w:rPr>
          <w:color w:val="000000"/>
        </w:rPr>
        <w:t>s</w:t>
      </w:r>
      <w:r w:rsidRPr="00F72B72">
        <w:rPr>
          <w:color w:val="000000"/>
        </w:rPr>
        <w:t xml:space="preserve">pecial </w:t>
      </w:r>
      <w:r>
        <w:rPr>
          <w:color w:val="000000"/>
        </w:rPr>
        <w:t>a</w:t>
      </w:r>
      <w:r w:rsidRPr="00F72B72">
        <w:rPr>
          <w:color w:val="000000"/>
        </w:rPr>
        <w:t xml:space="preserve">gent </w:t>
      </w:r>
      <w:r w:rsidR="00F72B72" w:rsidRPr="00F72B72">
        <w:rPr>
          <w:color w:val="000000"/>
        </w:rPr>
        <w:t>occupation, recruitment activities, assessing performance annually</w:t>
      </w:r>
      <w:r w:rsidR="00130D87">
        <w:rPr>
          <w:color w:val="000000"/>
        </w:rPr>
        <w:t>,</w:t>
      </w:r>
      <w:r w:rsidR="00F72B72" w:rsidRPr="00F72B72">
        <w:rPr>
          <w:color w:val="000000"/>
        </w:rPr>
        <w:t xml:space="preserve"> and promoting </w:t>
      </w:r>
      <w:r w:rsidR="00960337">
        <w:rPr>
          <w:color w:val="000000"/>
        </w:rPr>
        <w:t>a</w:t>
      </w:r>
      <w:r w:rsidR="00960337" w:rsidRPr="00F72B72">
        <w:rPr>
          <w:color w:val="000000"/>
        </w:rPr>
        <w:t xml:space="preserve">gents </w:t>
      </w:r>
      <w:r w:rsidR="00F72B72" w:rsidRPr="00F72B72">
        <w:rPr>
          <w:color w:val="000000"/>
        </w:rPr>
        <w:t xml:space="preserve">into the senior level ranks of </w:t>
      </w:r>
      <w:r>
        <w:rPr>
          <w:color w:val="000000"/>
        </w:rPr>
        <w:t>resident agent in charge (</w:t>
      </w:r>
      <w:r w:rsidR="00F72B72" w:rsidRPr="00F72B72">
        <w:rPr>
          <w:color w:val="000000"/>
        </w:rPr>
        <w:t>RAC</w:t>
      </w:r>
      <w:r>
        <w:rPr>
          <w:color w:val="000000"/>
        </w:rPr>
        <w:t>)</w:t>
      </w:r>
      <w:r w:rsidR="00F72B72" w:rsidRPr="00F72B72">
        <w:rPr>
          <w:color w:val="000000"/>
        </w:rPr>
        <w:t xml:space="preserve"> and </w:t>
      </w:r>
      <w:r>
        <w:rPr>
          <w:color w:val="000000"/>
        </w:rPr>
        <w:t>assistant special agent in charge (</w:t>
      </w:r>
      <w:r w:rsidR="00F72B72" w:rsidRPr="00F72B72">
        <w:rPr>
          <w:color w:val="000000"/>
        </w:rPr>
        <w:t>ASAC</w:t>
      </w:r>
      <w:r>
        <w:rPr>
          <w:color w:val="000000"/>
        </w:rPr>
        <w:t>)</w:t>
      </w:r>
      <w:r w:rsidR="00F72B72" w:rsidRPr="00F72B72">
        <w:rPr>
          <w:color w:val="000000"/>
        </w:rPr>
        <w:t xml:space="preserve">.  An </w:t>
      </w:r>
      <w:r w:rsidR="003A05FE">
        <w:rPr>
          <w:color w:val="000000"/>
        </w:rPr>
        <w:t>IOI</w:t>
      </w:r>
      <w:r w:rsidR="00F72B72" w:rsidRPr="00F72B72">
        <w:rPr>
          <w:color w:val="000000"/>
        </w:rPr>
        <w:t xml:space="preserve"> competency model has also been established to assess skills gaps and to recruit.  ATF </w:t>
      </w:r>
      <w:r w:rsidR="00130D87">
        <w:rPr>
          <w:color w:val="000000"/>
        </w:rPr>
        <w:t>continues</w:t>
      </w:r>
      <w:r w:rsidR="00F72B72" w:rsidRPr="00F72B72">
        <w:rPr>
          <w:color w:val="000000"/>
        </w:rPr>
        <w:t xml:space="preserve"> to build a validated competency base for all occupations that are either mission critical or administrative support.  </w:t>
      </w:r>
    </w:p>
    <w:p w:rsidR="00F72B72" w:rsidRPr="00F72B72" w:rsidRDefault="00F72B72" w:rsidP="00F72B72">
      <w:pPr>
        <w:rPr>
          <w:color w:val="000000"/>
        </w:rPr>
      </w:pPr>
    </w:p>
    <w:p w:rsidR="00F72B72" w:rsidRPr="00F72B72" w:rsidRDefault="00F72B72" w:rsidP="00F72B72">
      <w:r w:rsidRPr="00F72B72">
        <w:rPr>
          <w:color w:val="000000"/>
        </w:rPr>
        <w:t xml:space="preserve">As employee safety and wellness continues to be a high priority for ATF, </w:t>
      </w:r>
      <w:r w:rsidR="00130D87">
        <w:rPr>
          <w:color w:val="000000"/>
        </w:rPr>
        <w:t xml:space="preserve">the Bureau </w:t>
      </w:r>
      <w:r>
        <w:rPr>
          <w:color w:val="000000"/>
        </w:rPr>
        <w:t>plans to increase its</w:t>
      </w:r>
      <w:r w:rsidRPr="00F72B72">
        <w:rPr>
          <w:color w:val="000000"/>
        </w:rPr>
        <w:t xml:space="preserve"> Workforce Wellness Program in 2011.  Some specific targets to help ensure all employees have sufficient information and opportunities to maintain and improve thei</w:t>
      </w:r>
      <w:r w:rsidR="00282384">
        <w:rPr>
          <w:color w:val="000000"/>
        </w:rPr>
        <w:t>r health and wellness include: </w:t>
      </w:r>
      <w:r w:rsidRPr="00F72B72">
        <w:rPr>
          <w:color w:val="000000"/>
        </w:rPr>
        <w:t xml:space="preserve">a Health Improvement Program participation rate of </w:t>
      </w:r>
      <w:r w:rsidR="00631FEB">
        <w:rPr>
          <w:color w:val="000000"/>
        </w:rPr>
        <w:t>75</w:t>
      </w:r>
      <w:r w:rsidR="0047481A" w:rsidRPr="00E235F0">
        <w:t xml:space="preserve">% </w:t>
      </w:r>
      <w:r w:rsidRPr="00F72B72">
        <w:rPr>
          <w:color w:val="000000"/>
        </w:rPr>
        <w:t>of our employee population; 50</w:t>
      </w:r>
      <w:r w:rsidR="0047481A" w:rsidRPr="00E235F0">
        <w:t>%</w:t>
      </w:r>
      <w:r w:rsidR="0047481A">
        <w:rPr>
          <w:color w:val="000000"/>
        </w:rPr>
        <w:t xml:space="preserve"> </w:t>
      </w:r>
      <w:r w:rsidRPr="00F72B72">
        <w:rPr>
          <w:color w:val="000000"/>
        </w:rPr>
        <w:t>increase in wellness session participation by increasing publicity about this series at times of the day that may be more conducive to employees’ schedules; expanding the Automated External Defibrillators program to ATF field office locations</w:t>
      </w:r>
      <w:r w:rsidR="003B1411">
        <w:rPr>
          <w:color w:val="000000"/>
        </w:rPr>
        <w:t>.  These capabilities</w:t>
      </w:r>
      <w:r w:rsidR="00631FEB">
        <w:rPr>
          <w:color w:val="000000"/>
        </w:rPr>
        <w:t xml:space="preserve"> include </w:t>
      </w:r>
      <w:r w:rsidR="003B1411">
        <w:rPr>
          <w:color w:val="000000"/>
        </w:rPr>
        <w:t xml:space="preserve">new </w:t>
      </w:r>
      <w:r w:rsidR="00631FEB">
        <w:rPr>
          <w:color w:val="000000"/>
        </w:rPr>
        <w:t xml:space="preserve">equipment and </w:t>
      </w:r>
      <w:r w:rsidR="003B1411">
        <w:rPr>
          <w:color w:val="000000"/>
        </w:rPr>
        <w:t xml:space="preserve">a </w:t>
      </w:r>
      <w:r w:rsidRPr="00F72B72">
        <w:t>cardiopulmonary resuscitation training program</w:t>
      </w:r>
      <w:r w:rsidR="00631FEB">
        <w:t>.</w:t>
      </w:r>
      <w:r w:rsidRPr="00F72B72">
        <w:t xml:space="preserve"> </w:t>
      </w:r>
    </w:p>
    <w:p w:rsidR="00F72B72" w:rsidRPr="00F72B72" w:rsidRDefault="00F72B72" w:rsidP="00F72B72"/>
    <w:p w:rsidR="00F72B72" w:rsidRPr="00F72B72" w:rsidRDefault="00F72B72" w:rsidP="00F72B72">
      <w:pPr>
        <w:rPr>
          <w:color w:val="000000"/>
        </w:rPr>
      </w:pPr>
      <w:r w:rsidRPr="00F72B72">
        <w:rPr>
          <w:color w:val="000000"/>
        </w:rPr>
        <w:t>ATF monitor</w:t>
      </w:r>
      <w:r w:rsidR="007244C6">
        <w:rPr>
          <w:color w:val="000000"/>
        </w:rPr>
        <w:t>s</w:t>
      </w:r>
      <w:r w:rsidR="00130D87">
        <w:rPr>
          <w:color w:val="000000"/>
        </w:rPr>
        <w:t xml:space="preserve"> employee satisfaction</w:t>
      </w:r>
      <w:r w:rsidRPr="00F72B72">
        <w:rPr>
          <w:color w:val="000000"/>
        </w:rPr>
        <w:t xml:space="preserve"> and make</w:t>
      </w:r>
      <w:r w:rsidR="007244C6">
        <w:rPr>
          <w:color w:val="000000"/>
        </w:rPr>
        <w:t>s</w:t>
      </w:r>
      <w:r w:rsidRPr="00F72B72">
        <w:rPr>
          <w:color w:val="000000"/>
        </w:rPr>
        <w:t xml:space="preserve"> improvements based on the Federal Human </w:t>
      </w:r>
      <w:r>
        <w:rPr>
          <w:color w:val="000000"/>
        </w:rPr>
        <w:t xml:space="preserve">Capital Survey results, </w:t>
      </w:r>
      <w:r w:rsidR="00B638EB">
        <w:rPr>
          <w:color w:val="000000"/>
        </w:rPr>
        <w:t>through</w:t>
      </w:r>
      <w:r w:rsidR="00B638EB" w:rsidRPr="00F72B72">
        <w:rPr>
          <w:color w:val="000000"/>
        </w:rPr>
        <w:t xml:space="preserve"> </w:t>
      </w:r>
      <w:r w:rsidRPr="00F72B72">
        <w:rPr>
          <w:color w:val="000000"/>
        </w:rPr>
        <w:t xml:space="preserve">surveys of workforce engagement and focus groups measuring </w:t>
      </w:r>
      <w:r w:rsidRPr="00F72B72">
        <w:rPr>
          <w:color w:val="000000"/>
        </w:rPr>
        <w:lastRenderedPageBreak/>
        <w:t>employee satisfaction.</w:t>
      </w:r>
      <w:r w:rsidR="004A1FEE">
        <w:rPr>
          <w:color w:val="000000"/>
        </w:rPr>
        <w:t xml:space="preserve">  </w:t>
      </w:r>
      <w:r w:rsidRPr="00F72B72">
        <w:rPr>
          <w:color w:val="000000"/>
        </w:rPr>
        <w:t>Additional emphasis is being given to succession planning, espe</w:t>
      </w:r>
      <w:r>
        <w:rPr>
          <w:color w:val="000000"/>
        </w:rPr>
        <w:t xml:space="preserve">cially leadership training, </w:t>
      </w:r>
      <w:r w:rsidRPr="00F72B72">
        <w:rPr>
          <w:color w:val="000000"/>
        </w:rPr>
        <w:t>employee accountability, ethics and professionalism</w:t>
      </w:r>
      <w:r w:rsidR="00BA1D67">
        <w:rPr>
          <w:color w:val="000000"/>
        </w:rPr>
        <w:t>,</w:t>
      </w:r>
      <w:r w:rsidRPr="00F72B72">
        <w:rPr>
          <w:color w:val="000000"/>
        </w:rPr>
        <w:t xml:space="preserve"> </w:t>
      </w:r>
      <w:r w:rsidR="00282384">
        <w:rPr>
          <w:color w:val="000000"/>
        </w:rPr>
        <w:t>and performance management.</w:t>
      </w:r>
      <w:r w:rsidR="004A1FEE">
        <w:rPr>
          <w:color w:val="000000"/>
        </w:rPr>
        <w:t xml:space="preserve">  </w:t>
      </w:r>
      <w:r w:rsidRPr="00F72B72">
        <w:rPr>
          <w:color w:val="000000"/>
        </w:rPr>
        <w:t xml:space="preserve">Such plans identify key training and development initiatives and provide a common understanding of </w:t>
      </w:r>
      <w:r w:rsidR="004A1FEE">
        <w:rPr>
          <w:color w:val="000000"/>
        </w:rPr>
        <w:t>career development activities.</w:t>
      </w:r>
      <w:r w:rsidR="001271F8">
        <w:rPr>
          <w:color w:val="000000"/>
        </w:rPr>
        <w:t xml:space="preserve">  ATF has set targets for improvement and </w:t>
      </w:r>
      <w:r w:rsidR="00BA1D67">
        <w:rPr>
          <w:color w:val="000000"/>
        </w:rPr>
        <w:t xml:space="preserve">has </w:t>
      </w:r>
      <w:r w:rsidR="001271F8">
        <w:rPr>
          <w:color w:val="000000"/>
        </w:rPr>
        <w:t>adopted the entire Federal Human Capital Survey as a part of its overall performance management program.</w:t>
      </w:r>
    </w:p>
    <w:p w:rsidR="00F72B72" w:rsidRPr="00F72B72" w:rsidRDefault="00F72B72" w:rsidP="00F72B72">
      <w:pPr>
        <w:rPr>
          <w:color w:val="000000"/>
        </w:rPr>
      </w:pPr>
    </w:p>
    <w:p w:rsidR="00B638EB" w:rsidRDefault="00F72B72" w:rsidP="00F72B72">
      <w:pPr>
        <w:rPr>
          <w:color w:val="000000"/>
        </w:rPr>
      </w:pPr>
      <w:r w:rsidRPr="00F72B72">
        <w:rPr>
          <w:color w:val="000000"/>
        </w:rPr>
        <w:t xml:space="preserve">ATF has implemented a Learning Management System (LMS) that allows for streamlined and automated tracking of employee training requests and activities.  The system conforms to the requirements of the </w:t>
      </w:r>
      <w:r w:rsidR="00BA1D67">
        <w:rPr>
          <w:color w:val="000000"/>
        </w:rPr>
        <w:t>Office of Personnel Management</w:t>
      </w:r>
      <w:r w:rsidRPr="00F72B72">
        <w:rPr>
          <w:color w:val="000000"/>
        </w:rPr>
        <w:t xml:space="preserve"> Human Resources Line of Business initiative.  It enables more comprehensive tracking of curricula, certifications, and employee learning plans and will allow for a strategic linkage between competencies and training.  </w:t>
      </w:r>
    </w:p>
    <w:p w:rsidR="00B638EB" w:rsidRDefault="00B638EB" w:rsidP="00F72B72">
      <w:pPr>
        <w:rPr>
          <w:color w:val="000000"/>
        </w:rPr>
      </w:pPr>
    </w:p>
    <w:p w:rsidR="00F72B72" w:rsidRDefault="00B638EB" w:rsidP="00F72B72">
      <w:pPr>
        <w:rPr>
          <w:color w:val="000000"/>
        </w:rPr>
      </w:pPr>
      <w:r>
        <w:rPr>
          <w:color w:val="000000"/>
        </w:rPr>
        <w:t xml:space="preserve">ATF also maintains a significant technology-based training capability.  In FY </w:t>
      </w:r>
      <w:r w:rsidR="00436075">
        <w:rPr>
          <w:color w:val="000000"/>
        </w:rPr>
        <w:t>20</w:t>
      </w:r>
      <w:r>
        <w:rPr>
          <w:color w:val="000000"/>
        </w:rPr>
        <w:t>10, ATF received the Office of Government Ethics Education and Communication award in recognition of our innovative use of technology in support of ethics training</w:t>
      </w:r>
      <w:r w:rsidR="0076238D">
        <w:rPr>
          <w:color w:val="000000"/>
        </w:rPr>
        <w:t xml:space="preserve">.  ATF developed and delivered </w:t>
      </w:r>
      <w:r>
        <w:rPr>
          <w:color w:val="000000"/>
        </w:rPr>
        <w:t xml:space="preserve">mandatory ethics training to employees throughout the Bureau using our </w:t>
      </w:r>
      <w:proofErr w:type="spellStart"/>
      <w:r w:rsidR="00517417">
        <w:rPr>
          <w:color w:val="000000"/>
        </w:rPr>
        <w:t>learnATF</w:t>
      </w:r>
      <w:proofErr w:type="spellEnd"/>
      <w:r w:rsidR="00517417">
        <w:rPr>
          <w:color w:val="000000"/>
        </w:rPr>
        <w:t xml:space="preserve"> </w:t>
      </w:r>
      <w:proofErr w:type="gramStart"/>
      <w:r>
        <w:rPr>
          <w:color w:val="000000"/>
        </w:rPr>
        <w:t>Live</w:t>
      </w:r>
      <w:proofErr w:type="gramEnd"/>
      <w:r>
        <w:rPr>
          <w:color w:val="000000"/>
        </w:rPr>
        <w:t xml:space="preserve"> virtual classroom platform.  This effort generated efficiencies in time and travel and allowed Bureau employees throughout the nation to receive live ethics training through the web while at their desks.</w:t>
      </w:r>
      <w:r w:rsidRPr="00F72B72" w:rsidDel="00B638EB">
        <w:rPr>
          <w:color w:val="000000"/>
        </w:rPr>
        <w:t xml:space="preserve"> </w:t>
      </w:r>
    </w:p>
    <w:p w:rsidR="00EC0DFE" w:rsidRPr="00F72B72" w:rsidRDefault="00EC0DFE" w:rsidP="00F72B72">
      <w:pPr>
        <w:rPr>
          <w:color w:val="000000"/>
        </w:rPr>
      </w:pPr>
    </w:p>
    <w:p w:rsidR="00944AEB" w:rsidRPr="00D804DF" w:rsidRDefault="00944AEB" w:rsidP="00944AEB">
      <w:pPr>
        <w:rPr>
          <w:color w:val="000000"/>
        </w:rPr>
      </w:pPr>
      <w:r w:rsidRPr="007F7B4E">
        <w:rPr>
          <w:color w:val="000000"/>
        </w:rPr>
        <w:t xml:space="preserve">ATF continues to implement the President’s Hiring Reform memorandum issued on May 11, 2010.  The Hiring Reform memorandum included provisions for </w:t>
      </w:r>
      <w:r w:rsidR="004107B1">
        <w:rPr>
          <w:color w:val="000000"/>
        </w:rPr>
        <w:t>eliminating</w:t>
      </w:r>
      <w:r w:rsidRPr="007F7B4E">
        <w:rPr>
          <w:color w:val="000000"/>
        </w:rPr>
        <w:t xml:space="preserve"> “essay questions” and narrative K</w:t>
      </w:r>
      <w:r w:rsidR="004107B1">
        <w:rPr>
          <w:color w:val="000000"/>
        </w:rPr>
        <w:t>nowledge</w:t>
      </w:r>
      <w:r w:rsidRPr="007F7B4E">
        <w:rPr>
          <w:color w:val="000000"/>
        </w:rPr>
        <w:t xml:space="preserve">, </w:t>
      </w:r>
      <w:r w:rsidR="004107B1">
        <w:rPr>
          <w:color w:val="000000"/>
        </w:rPr>
        <w:t xml:space="preserve">Skills, and Ability responses, </w:t>
      </w:r>
      <w:r w:rsidRPr="007F7B4E">
        <w:rPr>
          <w:color w:val="000000"/>
        </w:rPr>
        <w:t>allowing applications to apply with only a resume and increased the hiring manager’s responsibility and accountability for successful recruitment and hiring. ATF continues to leverage technology with the use of an automated hiring system that allows applicants to upload their resume</w:t>
      </w:r>
      <w:r w:rsidR="00BA1D67">
        <w:rPr>
          <w:color w:val="000000"/>
        </w:rPr>
        <w:t>s</w:t>
      </w:r>
      <w:r w:rsidRPr="007F7B4E">
        <w:rPr>
          <w:color w:val="000000"/>
        </w:rPr>
        <w:t xml:space="preserve"> and notifies </w:t>
      </w:r>
      <w:r w:rsidR="00BA1D67">
        <w:rPr>
          <w:color w:val="000000"/>
        </w:rPr>
        <w:t xml:space="preserve">them </w:t>
      </w:r>
      <w:r w:rsidRPr="007F7B4E">
        <w:rPr>
          <w:color w:val="000000"/>
        </w:rPr>
        <w:t>as they progress through the hiring timeline.</w:t>
      </w:r>
    </w:p>
    <w:p w:rsidR="007E5FBE" w:rsidRDefault="007E5FBE" w:rsidP="007E5FBE">
      <w:pPr>
        <w:rPr>
          <w:b/>
          <w:bCs/>
          <w:color w:val="C00000"/>
        </w:rPr>
      </w:pPr>
    </w:p>
    <w:p w:rsidR="007E5FBE" w:rsidRPr="00E75F0F" w:rsidRDefault="008E5AAF" w:rsidP="007E5FBE">
      <w:pPr>
        <w:rPr>
          <w:color w:val="C00000"/>
        </w:rPr>
      </w:pPr>
      <w:r w:rsidRPr="00C52FBE">
        <w:rPr>
          <w:bCs/>
        </w:rPr>
        <w:t xml:space="preserve">ATF determined that improvements in the strategic management of the Bureau’s workforce could be achieved through the integration of the human resources and training functions. This resulted in a </w:t>
      </w:r>
      <w:r w:rsidR="000D2456" w:rsidRPr="00C52FBE">
        <w:rPr>
          <w:bCs/>
        </w:rPr>
        <w:t>consolidation</w:t>
      </w:r>
      <w:r w:rsidRPr="00C52FBE">
        <w:rPr>
          <w:bCs/>
        </w:rPr>
        <w:t xml:space="preserve"> of the training functions in the Office of Training and Professional Development (TPD) and the human resource functions in the Office of Management (OM).  This </w:t>
      </w:r>
      <w:r w:rsidR="000D2456" w:rsidRPr="00C52FBE">
        <w:rPr>
          <w:bCs/>
        </w:rPr>
        <w:t>consolidation</w:t>
      </w:r>
      <w:r w:rsidRPr="00C52FBE">
        <w:rPr>
          <w:bCs/>
        </w:rPr>
        <w:t xml:space="preserve"> established a single focal point for indentifying and addressing workforce issues, achieved a more comprehensive architecture and governance process for talent management, and ensured the alignment of human resource and training business processes to maximize the value of both.  ATF can now establish a fully integrated workforce management strategy, using a competency-based approach to link recruitment, training, skill sets, succession planning, continuous learning, and performance management. </w:t>
      </w:r>
    </w:p>
    <w:p w:rsidR="00FA2AAB" w:rsidRDefault="00FA2AAB" w:rsidP="005027FD">
      <w:pPr>
        <w:pStyle w:val="BodyText"/>
        <w:keepNext/>
        <w:spacing w:before="100" w:beforeAutospacing="1" w:after="100" w:afterAutospacing="1"/>
        <w:rPr>
          <w:b/>
          <w:bCs/>
          <w:szCs w:val="24"/>
        </w:rPr>
      </w:pPr>
      <w:r>
        <w:rPr>
          <w:b/>
          <w:bCs/>
          <w:szCs w:val="24"/>
        </w:rPr>
        <w:br w:type="page"/>
      </w:r>
      <w:r w:rsidRPr="00762F09">
        <w:rPr>
          <w:b/>
          <w:bCs/>
          <w:szCs w:val="24"/>
        </w:rPr>
        <w:lastRenderedPageBreak/>
        <w:t xml:space="preserve">II.   Summary of Program Changes </w:t>
      </w:r>
    </w:p>
    <w:tbl>
      <w:tblPr>
        <w:tblW w:w="11314" w:type="dxa"/>
        <w:jc w:val="center"/>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2"/>
        <w:gridCol w:w="5376"/>
        <w:gridCol w:w="720"/>
        <w:gridCol w:w="900"/>
        <w:gridCol w:w="1260"/>
        <w:gridCol w:w="926"/>
      </w:tblGrid>
      <w:tr w:rsidR="00FA2AAB" w:rsidRPr="00762F09" w:rsidTr="00EC0DFE">
        <w:trPr>
          <w:cantSplit/>
          <w:jc w:val="center"/>
        </w:trPr>
        <w:tc>
          <w:tcPr>
            <w:tcW w:w="2132" w:type="dxa"/>
            <w:vMerge w:val="restart"/>
            <w:shd w:val="clear" w:color="auto" w:fill="D9D9D9"/>
            <w:vAlign w:val="center"/>
          </w:tcPr>
          <w:p w:rsidR="00FA2AAB" w:rsidRPr="00762F09" w:rsidRDefault="00FA2AAB" w:rsidP="00EC0DFE">
            <w:pPr>
              <w:pStyle w:val="BodyText"/>
              <w:keepNext/>
              <w:jc w:val="center"/>
              <w:rPr>
                <w:b/>
                <w:bCs/>
                <w:szCs w:val="24"/>
              </w:rPr>
            </w:pPr>
            <w:r w:rsidRPr="00EC0A49">
              <w:rPr>
                <w:b/>
                <w:bCs/>
                <w:szCs w:val="24"/>
                <w:shd w:val="clear" w:color="auto" w:fill="E0E0E0"/>
              </w:rPr>
              <w:t>Item Name</w:t>
            </w:r>
          </w:p>
        </w:tc>
        <w:tc>
          <w:tcPr>
            <w:tcW w:w="8256" w:type="dxa"/>
            <w:gridSpan w:val="4"/>
            <w:shd w:val="clear" w:color="auto" w:fill="D9D9D9"/>
          </w:tcPr>
          <w:p w:rsidR="00FA2AAB" w:rsidRPr="00762F09" w:rsidRDefault="00FA2AAB" w:rsidP="00225126">
            <w:pPr>
              <w:pStyle w:val="BodyText"/>
              <w:keepNext/>
              <w:jc w:val="center"/>
              <w:rPr>
                <w:b/>
                <w:bCs/>
                <w:szCs w:val="24"/>
              </w:rPr>
            </w:pPr>
            <w:r w:rsidRPr="00EC0A49">
              <w:rPr>
                <w:b/>
                <w:bCs/>
                <w:szCs w:val="24"/>
                <w:shd w:val="clear" w:color="auto" w:fill="E0E0E0"/>
              </w:rPr>
              <w:t>Description</w:t>
            </w:r>
          </w:p>
        </w:tc>
        <w:tc>
          <w:tcPr>
            <w:tcW w:w="926" w:type="dxa"/>
            <w:vMerge w:val="restart"/>
            <w:shd w:val="clear" w:color="auto" w:fill="D9D9D9"/>
            <w:vAlign w:val="center"/>
          </w:tcPr>
          <w:p w:rsidR="00FA2AAB" w:rsidRPr="00762F09" w:rsidRDefault="00FA2AAB" w:rsidP="00EC0DFE">
            <w:pPr>
              <w:pStyle w:val="BodyText"/>
              <w:keepNext/>
              <w:jc w:val="center"/>
              <w:rPr>
                <w:b/>
                <w:bCs/>
                <w:szCs w:val="24"/>
              </w:rPr>
            </w:pPr>
            <w:r w:rsidRPr="00762F09">
              <w:rPr>
                <w:b/>
                <w:bCs/>
                <w:szCs w:val="24"/>
              </w:rPr>
              <w:t>Page</w:t>
            </w:r>
          </w:p>
        </w:tc>
      </w:tr>
      <w:tr w:rsidR="00FA2AAB" w:rsidRPr="00762F09" w:rsidTr="00EC0DFE">
        <w:trPr>
          <w:cantSplit/>
          <w:jc w:val="center"/>
        </w:trPr>
        <w:tc>
          <w:tcPr>
            <w:tcW w:w="2132" w:type="dxa"/>
            <w:vMerge/>
          </w:tcPr>
          <w:p w:rsidR="00FA2AAB" w:rsidRPr="00762F09" w:rsidRDefault="00FA2AAB" w:rsidP="005027FD">
            <w:pPr>
              <w:pStyle w:val="BodyText"/>
              <w:keepNext/>
              <w:spacing w:before="100" w:beforeAutospacing="1" w:after="100" w:afterAutospacing="1"/>
              <w:jc w:val="center"/>
              <w:rPr>
                <w:b/>
                <w:bCs/>
                <w:szCs w:val="24"/>
              </w:rPr>
            </w:pPr>
          </w:p>
        </w:tc>
        <w:tc>
          <w:tcPr>
            <w:tcW w:w="5376" w:type="dxa"/>
            <w:vAlign w:val="center"/>
          </w:tcPr>
          <w:p w:rsidR="00FA2AAB" w:rsidRPr="00762F09" w:rsidRDefault="00FA2AAB" w:rsidP="00EC0DFE">
            <w:pPr>
              <w:pStyle w:val="BodyText"/>
              <w:keepNext/>
              <w:jc w:val="center"/>
              <w:rPr>
                <w:b/>
                <w:bCs/>
                <w:szCs w:val="24"/>
              </w:rPr>
            </w:pPr>
            <w:r w:rsidRPr="00762F09">
              <w:rPr>
                <w:b/>
                <w:bCs/>
                <w:szCs w:val="24"/>
              </w:rPr>
              <w:t>S &amp; E</w:t>
            </w:r>
          </w:p>
        </w:tc>
        <w:tc>
          <w:tcPr>
            <w:tcW w:w="720" w:type="dxa"/>
            <w:shd w:val="clear" w:color="auto" w:fill="F3F3F3"/>
            <w:vAlign w:val="center"/>
          </w:tcPr>
          <w:p w:rsidR="00FA2AAB" w:rsidRPr="00762F09" w:rsidRDefault="00FA2AAB" w:rsidP="00EC0DFE">
            <w:pPr>
              <w:pStyle w:val="BodyText"/>
              <w:keepNext/>
              <w:jc w:val="center"/>
              <w:rPr>
                <w:b/>
                <w:bCs/>
                <w:szCs w:val="24"/>
              </w:rPr>
            </w:pPr>
            <w:r w:rsidRPr="00762F09">
              <w:rPr>
                <w:b/>
                <w:bCs/>
                <w:szCs w:val="24"/>
              </w:rPr>
              <w:t>Pos.</w:t>
            </w:r>
          </w:p>
        </w:tc>
        <w:tc>
          <w:tcPr>
            <w:tcW w:w="900" w:type="dxa"/>
            <w:shd w:val="clear" w:color="auto" w:fill="F3F3F3"/>
            <w:vAlign w:val="center"/>
          </w:tcPr>
          <w:p w:rsidR="00FA2AAB" w:rsidRPr="00762F09" w:rsidRDefault="00FA2AAB" w:rsidP="00EC0DFE">
            <w:pPr>
              <w:pStyle w:val="BodyText"/>
              <w:keepNext/>
              <w:jc w:val="center"/>
              <w:rPr>
                <w:b/>
                <w:bCs/>
                <w:szCs w:val="24"/>
              </w:rPr>
            </w:pPr>
            <w:r w:rsidRPr="00762F09">
              <w:rPr>
                <w:b/>
                <w:bCs/>
                <w:szCs w:val="24"/>
              </w:rPr>
              <w:t>FTE</w:t>
            </w:r>
          </w:p>
        </w:tc>
        <w:tc>
          <w:tcPr>
            <w:tcW w:w="1260" w:type="dxa"/>
            <w:shd w:val="clear" w:color="auto" w:fill="F3F3F3"/>
            <w:vAlign w:val="center"/>
          </w:tcPr>
          <w:p w:rsidR="00FA2AAB" w:rsidRPr="00762F09" w:rsidRDefault="00FA2AAB" w:rsidP="00EC0DFE">
            <w:pPr>
              <w:pStyle w:val="BodyText"/>
              <w:keepNext/>
              <w:jc w:val="center"/>
              <w:rPr>
                <w:b/>
                <w:bCs/>
                <w:szCs w:val="24"/>
              </w:rPr>
            </w:pPr>
            <w:r w:rsidRPr="00762F09">
              <w:rPr>
                <w:b/>
                <w:bCs/>
                <w:szCs w:val="24"/>
              </w:rPr>
              <w:t>Dollars ($000)</w:t>
            </w:r>
          </w:p>
        </w:tc>
        <w:tc>
          <w:tcPr>
            <w:tcW w:w="926" w:type="dxa"/>
            <w:vMerge/>
          </w:tcPr>
          <w:p w:rsidR="00FA2AAB" w:rsidRPr="00762F09" w:rsidRDefault="00FA2AAB" w:rsidP="005027FD">
            <w:pPr>
              <w:pStyle w:val="BodyText"/>
              <w:keepNext/>
              <w:spacing w:before="100" w:beforeAutospacing="1" w:after="100" w:afterAutospacing="1"/>
              <w:jc w:val="center"/>
              <w:rPr>
                <w:b/>
                <w:bCs/>
                <w:szCs w:val="24"/>
              </w:rPr>
            </w:pPr>
          </w:p>
        </w:tc>
      </w:tr>
      <w:tr w:rsidR="00014458" w:rsidRPr="00762F09" w:rsidTr="00F35E87">
        <w:trPr>
          <w:trHeight w:val="890"/>
          <w:jc w:val="center"/>
        </w:trPr>
        <w:tc>
          <w:tcPr>
            <w:tcW w:w="2132" w:type="dxa"/>
          </w:tcPr>
          <w:p w:rsidR="00014458" w:rsidRDefault="00BE7BE1" w:rsidP="00BE7BE1">
            <w:pPr>
              <w:pStyle w:val="BodyText"/>
              <w:spacing w:before="100" w:beforeAutospacing="1" w:after="100" w:afterAutospacing="1"/>
              <w:rPr>
                <w:bCs/>
                <w:szCs w:val="24"/>
              </w:rPr>
            </w:pPr>
            <w:r>
              <w:rPr>
                <w:bCs/>
                <w:szCs w:val="24"/>
              </w:rPr>
              <w:t>Electronic Surveillance</w:t>
            </w:r>
            <w:r w:rsidR="0011478D">
              <w:rPr>
                <w:bCs/>
                <w:szCs w:val="24"/>
              </w:rPr>
              <w:t xml:space="preserve"> Capabilities</w:t>
            </w:r>
          </w:p>
        </w:tc>
        <w:tc>
          <w:tcPr>
            <w:tcW w:w="5376" w:type="dxa"/>
            <w:vAlign w:val="bottom"/>
          </w:tcPr>
          <w:p w:rsidR="00014458" w:rsidRPr="005E6FDF" w:rsidDel="0007453E" w:rsidRDefault="002E2287" w:rsidP="002E2287">
            <w:pPr>
              <w:pStyle w:val="xl24"/>
              <w:spacing w:before="0" w:after="0"/>
            </w:pPr>
            <w:r>
              <w:t>To establish a Domestic Communications Assistance Center to support law enforcement’s electronic surveillance capabilities.</w:t>
            </w:r>
            <w:r w:rsidR="00125E4F" w:rsidRPr="00E056E5">
              <w:t xml:space="preserve"> </w:t>
            </w:r>
          </w:p>
        </w:tc>
        <w:tc>
          <w:tcPr>
            <w:tcW w:w="720" w:type="dxa"/>
          </w:tcPr>
          <w:p w:rsidR="00014458" w:rsidRPr="0022457A" w:rsidRDefault="005E6FDF" w:rsidP="00F35E87">
            <w:pPr>
              <w:pStyle w:val="BodyText"/>
              <w:spacing w:before="100" w:beforeAutospacing="1" w:after="100" w:afterAutospacing="1"/>
              <w:jc w:val="center"/>
              <w:rPr>
                <w:bCs/>
                <w:szCs w:val="24"/>
              </w:rPr>
            </w:pPr>
            <w:r>
              <w:rPr>
                <w:bCs/>
                <w:szCs w:val="24"/>
              </w:rPr>
              <w:t>8</w:t>
            </w:r>
          </w:p>
        </w:tc>
        <w:tc>
          <w:tcPr>
            <w:tcW w:w="900" w:type="dxa"/>
          </w:tcPr>
          <w:p w:rsidR="00014458" w:rsidRPr="0022457A" w:rsidRDefault="00EF1E86" w:rsidP="00F35E87">
            <w:pPr>
              <w:pStyle w:val="BodyText"/>
              <w:spacing w:before="100" w:beforeAutospacing="1" w:after="100" w:afterAutospacing="1"/>
              <w:jc w:val="center"/>
              <w:rPr>
                <w:bCs/>
                <w:szCs w:val="24"/>
              </w:rPr>
            </w:pPr>
            <w:r>
              <w:rPr>
                <w:bCs/>
                <w:szCs w:val="24"/>
              </w:rPr>
              <w:t>4</w:t>
            </w:r>
          </w:p>
        </w:tc>
        <w:tc>
          <w:tcPr>
            <w:tcW w:w="1260" w:type="dxa"/>
          </w:tcPr>
          <w:p w:rsidR="00014458" w:rsidRPr="005E6FDF" w:rsidRDefault="005E6FDF" w:rsidP="00F35E87">
            <w:pPr>
              <w:pStyle w:val="xl19"/>
              <w:spacing w:before="100" w:beforeAutospacing="1" w:after="100" w:afterAutospacing="1"/>
              <w:jc w:val="center"/>
              <w:rPr>
                <w:bCs/>
              </w:rPr>
            </w:pPr>
            <w:r w:rsidRPr="005E6FDF">
              <w:rPr>
                <w:bCs/>
              </w:rPr>
              <w:t>$1,519</w:t>
            </w:r>
          </w:p>
        </w:tc>
        <w:tc>
          <w:tcPr>
            <w:tcW w:w="926" w:type="dxa"/>
          </w:tcPr>
          <w:p w:rsidR="00014458" w:rsidRPr="005D2FB2" w:rsidRDefault="00034CF3" w:rsidP="00E3229E">
            <w:pPr>
              <w:pStyle w:val="BodyText"/>
              <w:spacing w:before="100" w:beforeAutospacing="1" w:after="100" w:afterAutospacing="1"/>
              <w:jc w:val="center"/>
              <w:rPr>
                <w:bCs/>
                <w:szCs w:val="24"/>
              </w:rPr>
            </w:pPr>
            <w:r>
              <w:rPr>
                <w:bCs/>
                <w:szCs w:val="24"/>
              </w:rPr>
              <w:t>5</w:t>
            </w:r>
            <w:r w:rsidR="00E3229E">
              <w:rPr>
                <w:bCs/>
                <w:szCs w:val="24"/>
              </w:rPr>
              <w:t>1</w:t>
            </w:r>
          </w:p>
        </w:tc>
      </w:tr>
      <w:tr w:rsidR="00F97EAD" w:rsidRPr="00762F09" w:rsidTr="00A01139">
        <w:trPr>
          <w:trHeight w:val="890"/>
          <w:jc w:val="center"/>
        </w:trPr>
        <w:tc>
          <w:tcPr>
            <w:tcW w:w="2132" w:type="dxa"/>
          </w:tcPr>
          <w:p w:rsidR="00F97EAD" w:rsidRDefault="00F97EAD" w:rsidP="00014458">
            <w:pPr>
              <w:pStyle w:val="BodyText"/>
              <w:spacing w:before="100" w:beforeAutospacing="1" w:after="100" w:afterAutospacing="1"/>
              <w:rPr>
                <w:bCs/>
                <w:szCs w:val="24"/>
              </w:rPr>
            </w:pPr>
            <w:r>
              <w:rPr>
                <w:bCs/>
                <w:szCs w:val="24"/>
              </w:rPr>
              <w:t>National Integrated Ballistic Information Network (NIBIN)</w:t>
            </w:r>
          </w:p>
        </w:tc>
        <w:tc>
          <w:tcPr>
            <w:tcW w:w="5376" w:type="dxa"/>
          </w:tcPr>
          <w:p w:rsidR="00F97EAD" w:rsidRDefault="00F97EAD" w:rsidP="00A01139">
            <w:pPr>
              <w:spacing w:before="100" w:beforeAutospacing="1" w:after="100" w:afterAutospacing="1"/>
              <w:rPr>
                <w:szCs w:val="18"/>
              </w:rPr>
            </w:pPr>
            <w:r w:rsidRPr="00254D2D">
              <w:rPr>
                <w:bCs/>
              </w:rPr>
              <w:t>This request reflects an offset for ATF’s National Integrated Ballistic Information Network (NIBIN)</w:t>
            </w:r>
            <w:r w:rsidR="005276C9">
              <w:t>.</w:t>
            </w:r>
            <w:r>
              <w:t xml:space="preserve">  </w:t>
            </w:r>
          </w:p>
        </w:tc>
        <w:tc>
          <w:tcPr>
            <w:tcW w:w="720" w:type="dxa"/>
            <w:vAlign w:val="bottom"/>
          </w:tcPr>
          <w:p w:rsidR="00F97EAD" w:rsidRPr="0022457A" w:rsidRDefault="00F97EAD" w:rsidP="00F35E87">
            <w:pPr>
              <w:pStyle w:val="BodyText"/>
              <w:spacing w:before="100" w:beforeAutospacing="1" w:after="100" w:afterAutospacing="1"/>
              <w:jc w:val="center"/>
              <w:rPr>
                <w:bCs/>
                <w:szCs w:val="24"/>
              </w:rPr>
            </w:pPr>
          </w:p>
        </w:tc>
        <w:tc>
          <w:tcPr>
            <w:tcW w:w="900" w:type="dxa"/>
            <w:vAlign w:val="bottom"/>
          </w:tcPr>
          <w:p w:rsidR="00F97EAD" w:rsidRPr="0022457A" w:rsidRDefault="00F97EAD" w:rsidP="00F35E87">
            <w:pPr>
              <w:pStyle w:val="BodyText"/>
              <w:spacing w:before="100" w:beforeAutospacing="1" w:after="100" w:afterAutospacing="1"/>
              <w:jc w:val="center"/>
              <w:rPr>
                <w:bCs/>
                <w:szCs w:val="24"/>
              </w:rPr>
            </w:pPr>
          </w:p>
        </w:tc>
        <w:tc>
          <w:tcPr>
            <w:tcW w:w="1260" w:type="dxa"/>
          </w:tcPr>
          <w:p w:rsidR="00F97EAD" w:rsidRPr="003B1411" w:rsidRDefault="00F97EAD" w:rsidP="00F35E87">
            <w:pPr>
              <w:pStyle w:val="xl19"/>
              <w:spacing w:before="100" w:beforeAutospacing="1" w:after="100" w:afterAutospacing="1"/>
              <w:jc w:val="center"/>
              <w:rPr>
                <w:bCs/>
                <w:color w:val="FF0000"/>
              </w:rPr>
            </w:pPr>
            <w:r w:rsidRPr="003B1411">
              <w:rPr>
                <w:bCs/>
                <w:color w:val="FF0000"/>
              </w:rPr>
              <w:t>($10,000)</w:t>
            </w:r>
          </w:p>
        </w:tc>
        <w:tc>
          <w:tcPr>
            <w:tcW w:w="926" w:type="dxa"/>
          </w:tcPr>
          <w:p w:rsidR="00F97EAD" w:rsidRDefault="00034CF3" w:rsidP="00E3229E">
            <w:pPr>
              <w:pStyle w:val="BodyText"/>
              <w:spacing w:before="100" w:beforeAutospacing="1" w:after="100" w:afterAutospacing="1"/>
              <w:jc w:val="center"/>
              <w:rPr>
                <w:bCs/>
                <w:szCs w:val="24"/>
              </w:rPr>
            </w:pPr>
            <w:r>
              <w:rPr>
                <w:bCs/>
                <w:szCs w:val="24"/>
              </w:rPr>
              <w:t>5</w:t>
            </w:r>
            <w:r w:rsidR="00E3229E">
              <w:rPr>
                <w:bCs/>
                <w:szCs w:val="24"/>
              </w:rPr>
              <w:t>4</w:t>
            </w:r>
          </w:p>
        </w:tc>
      </w:tr>
      <w:tr w:rsidR="00F97EAD" w:rsidRPr="00762F09" w:rsidTr="00460AB0">
        <w:trPr>
          <w:trHeight w:val="890"/>
          <w:jc w:val="center"/>
        </w:trPr>
        <w:tc>
          <w:tcPr>
            <w:tcW w:w="2132" w:type="dxa"/>
          </w:tcPr>
          <w:p w:rsidR="00F97EAD" w:rsidRDefault="00F97EAD" w:rsidP="00014458">
            <w:pPr>
              <w:pStyle w:val="BodyText"/>
              <w:spacing w:before="100" w:beforeAutospacing="1" w:after="100" w:afterAutospacing="1"/>
              <w:rPr>
                <w:bCs/>
                <w:szCs w:val="24"/>
              </w:rPr>
            </w:pPr>
            <w:r>
              <w:rPr>
                <w:bCs/>
                <w:szCs w:val="24"/>
              </w:rPr>
              <w:t xml:space="preserve">Relocation Program </w:t>
            </w:r>
          </w:p>
        </w:tc>
        <w:tc>
          <w:tcPr>
            <w:tcW w:w="5376" w:type="dxa"/>
            <w:vAlign w:val="bottom"/>
          </w:tcPr>
          <w:p w:rsidR="00F97EAD" w:rsidRPr="005E6FDF" w:rsidDel="0007453E" w:rsidRDefault="00F97EAD" w:rsidP="0007453E">
            <w:pPr>
              <w:spacing w:before="100" w:beforeAutospacing="1" w:after="100" w:afterAutospacing="1"/>
            </w:pPr>
            <w:r>
              <w:rPr>
                <w:szCs w:val="18"/>
              </w:rPr>
              <w:t>This request reflects an offset for the ATF Relocation Program and will be realized through efficiencies and cost reduction measures.</w:t>
            </w:r>
          </w:p>
        </w:tc>
        <w:tc>
          <w:tcPr>
            <w:tcW w:w="720" w:type="dxa"/>
            <w:vAlign w:val="bottom"/>
          </w:tcPr>
          <w:p w:rsidR="00F97EAD" w:rsidRPr="0022457A" w:rsidRDefault="00F97EAD" w:rsidP="00F35E87">
            <w:pPr>
              <w:pStyle w:val="BodyText"/>
              <w:spacing w:before="100" w:beforeAutospacing="1" w:after="100" w:afterAutospacing="1"/>
              <w:jc w:val="center"/>
              <w:rPr>
                <w:bCs/>
                <w:szCs w:val="24"/>
              </w:rPr>
            </w:pPr>
          </w:p>
        </w:tc>
        <w:tc>
          <w:tcPr>
            <w:tcW w:w="900" w:type="dxa"/>
            <w:vAlign w:val="bottom"/>
          </w:tcPr>
          <w:p w:rsidR="00F97EAD" w:rsidRPr="0022457A" w:rsidRDefault="00F97EAD" w:rsidP="00F35E87">
            <w:pPr>
              <w:pStyle w:val="BodyText"/>
              <w:spacing w:before="100" w:beforeAutospacing="1" w:after="100" w:afterAutospacing="1"/>
              <w:jc w:val="center"/>
              <w:rPr>
                <w:bCs/>
                <w:szCs w:val="24"/>
              </w:rPr>
            </w:pPr>
          </w:p>
        </w:tc>
        <w:tc>
          <w:tcPr>
            <w:tcW w:w="1260" w:type="dxa"/>
          </w:tcPr>
          <w:p w:rsidR="00F97EAD" w:rsidRPr="003B1411" w:rsidRDefault="00F97EAD" w:rsidP="00F35E87">
            <w:pPr>
              <w:pStyle w:val="xl19"/>
              <w:spacing w:before="100" w:beforeAutospacing="1" w:after="100" w:afterAutospacing="1"/>
              <w:jc w:val="center"/>
              <w:rPr>
                <w:bCs/>
                <w:color w:val="FF0000"/>
              </w:rPr>
            </w:pPr>
            <w:r w:rsidRPr="003B1411">
              <w:rPr>
                <w:bCs/>
                <w:color w:val="FF0000"/>
              </w:rPr>
              <w:t>($8,692)</w:t>
            </w:r>
          </w:p>
        </w:tc>
        <w:tc>
          <w:tcPr>
            <w:tcW w:w="926" w:type="dxa"/>
          </w:tcPr>
          <w:p w:rsidR="00F97EAD" w:rsidRPr="005D2FB2" w:rsidRDefault="00034CF3" w:rsidP="00E3229E">
            <w:pPr>
              <w:pStyle w:val="BodyText"/>
              <w:spacing w:before="100" w:beforeAutospacing="1" w:after="100" w:afterAutospacing="1"/>
              <w:jc w:val="center"/>
              <w:rPr>
                <w:bCs/>
                <w:szCs w:val="24"/>
              </w:rPr>
            </w:pPr>
            <w:r>
              <w:rPr>
                <w:bCs/>
                <w:szCs w:val="24"/>
              </w:rPr>
              <w:t>5</w:t>
            </w:r>
            <w:r w:rsidR="00E3229E">
              <w:rPr>
                <w:bCs/>
                <w:szCs w:val="24"/>
              </w:rPr>
              <w:t>6</w:t>
            </w:r>
          </w:p>
        </w:tc>
      </w:tr>
      <w:tr w:rsidR="00F97EAD" w:rsidRPr="00762F09" w:rsidTr="001D6D8B">
        <w:trPr>
          <w:trHeight w:val="611"/>
          <w:jc w:val="center"/>
        </w:trPr>
        <w:tc>
          <w:tcPr>
            <w:tcW w:w="2132" w:type="dxa"/>
          </w:tcPr>
          <w:p w:rsidR="00F97EAD" w:rsidRDefault="00F97EAD" w:rsidP="007062E3">
            <w:pPr>
              <w:pStyle w:val="BodyText"/>
              <w:spacing w:before="100" w:beforeAutospacing="1" w:after="100" w:afterAutospacing="1"/>
              <w:rPr>
                <w:bCs/>
                <w:szCs w:val="24"/>
              </w:rPr>
            </w:pPr>
            <w:r>
              <w:rPr>
                <w:bCs/>
                <w:szCs w:val="24"/>
              </w:rPr>
              <w:t>State and Local Training</w:t>
            </w:r>
          </w:p>
        </w:tc>
        <w:tc>
          <w:tcPr>
            <w:tcW w:w="5376" w:type="dxa"/>
          </w:tcPr>
          <w:p w:rsidR="00F97EAD" w:rsidRPr="005E6FDF" w:rsidDel="0007453E" w:rsidRDefault="00F97EAD" w:rsidP="007B1587">
            <w:pPr>
              <w:spacing w:before="100" w:beforeAutospacing="1" w:after="100" w:afterAutospacing="1"/>
            </w:pPr>
            <w:r>
              <w:rPr>
                <w:bCs/>
              </w:rPr>
              <w:t xml:space="preserve">ATF </w:t>
            </w:r>
            <w:r w:rsidR="007B1587">
              <w:t>is limiting training opportunities to non-Federal partners.</w:t>
            </w:r>
            <w:r>
              <w:t xml:space="preserve"> </w:t>
            </w:r>
          </w:p>
        </w:tc>
        <w:tc>
          <w:tcPr>
            <w:tcW w:w="720" w:type="dxa"/>
          </w:tcPr>
          <w:p w:rsidR="00F97EAD" w:rsidRPr="0022457A" w:rsidRDefault="00F97EAD" w:rsidP="001D6D8B">
            <w:pPr>
              <w:pStyle w:val="BodyText"/>
              <w:spacing w:before="100" w:beforeAutospacing="1" w:after="100" w:afterAutospacing="1"/>
              <w:jc w:val="center"/>
              <w:rPr>
                <w:bCs/>
                <w:szCs w:val="24"/>
              </w:rPr>
            </w:pPr>
          </w:p>
        </w:tc>
        <w:tc>
          <w:tcPr>
            <w:tcW w:w="900" w:type="dxa"/>
          </w:tcPr>
          <w:p w:rsidR="00F97EAD" w:rsidRPr="0022457A" w:rsidRDefault="00F97EAD" w:rsidP="001D6D8B">
            <w:pPr>
              <w:pStyle w:val="BodyText"/>
              <w:spacing w:before="100" w:beforeAutospacing="1" w:after="100" w:afterAutospacing="1"/>
              <w:jc w:val="center"/>
              <w:rPr>
                <w:bCs/>
                <w:szCs w:val="24"/>
              </w:rPr>
            </w:pPr>
          </w:p>
        </w:tc>
        <w:tc>
          <w:tcPr>
            <w:tcW w:w="1260" w:type="dxa"/>
          </w:tcPr>
          <w:p w:rsidR="00F97EAD" w:rsidRPr="003B1411" w:rsidRDefault="00F97EAD" w:rsidP="00F35E87">
            <w:pPr>
              <w:pStyle w:val="xl19"/>
              <w:spacing w:before="100" w:beforeAutospacing="1" w:after="100" w:afterAutospacing="1"/>
              <w:jc w:val="center"/>
              <w:rPr>
                <w:bCs/>
                <w:color w:val="FF0000"/>
              </w:rPr>
            </w:pPr>
            <w:r w:rsidRPr="003B1411">
              <w:rPr>
                <w:bCs/>
                <w:color w:val="FF0000"/>
              </w:rPr>
              <w:t>($4,000)</w:t>
            </w:r>
          </w:p>
        </w:tc>
        <w:tc>
          <w:tcPr>
            <w:tcW w:w="926" w:type="dxa"/>
          </w:tcPr>
          <w:p w:rsidR="00F97EAD" w:rsidRPr="005D2FB2" w:rsidRDefault="00034CF3" w:rsidP="00E3229E">
            <w:pPr>
              <w:pStyle w:val="BodyText"/>
              <w:spacing w:before="100" w:beforeAutospacing="1" w:after="100" w:afterAutospacing="1"/>
              <w:jc w:val="center"/>
              <w:rPr>
                <w:bCs/>
                <w:szCs w:val="24"/>
              </w:rPr>
            </w:pPr>
            <w:r>
              <w:rPr>
                <w:bCs/>
                <w:szCs w:val="24"/>
              </w:rPr>
              <w:t>5</w:t>
            </w:r>
            <w:r w:rsidR="00E3229E">
              <w:rPr>
                <w:bCs/>
                <w:szCs w:val="24"/>
              </w:rPr>
              <w:t>8</w:t>
            </w:r>
          </w:p>
        </w:tc>
      </w:tr>
      <w:tr w:rsidR="00F97EAD" w:rsidRPr="00762F09" w:rsidTr="00F35E87">
        <w:trPr>
          <w:trHeight w:val="620"/>
          <w:jc w:val="center"/>
        </w:trPr>
        <w:tc>
          <w:tcPr>
            <w:tcW w:w="2132" w:type="dxa"/>
          </w:tcPr>
          <w:p w:rsidR="00F97EAD" w:rsidRDefault="00F97EAD" w:rsidP="00014458">
            <w:pPr>
              <w:pStyle w:val="BodyText"/>
              <w:spacing w:before="100" w:beforeAutospacing="1" w:after="100" w:afterAutospacing="1"/>
              <w:rPr>
                <w:bCs/>
                <w:szCs w:val="24"/>
              </w:rPr>
            </w:pPr>
            <w:r>
              <w:rPr>
                <w:bCs/>
                <w:szCs w:val="24"/>
              </w:rPr>
              <w:t>Administrative Efficiencies</w:t>
            </w:r>
          </w:p>
        </w:tc>
        <w:tc>
          <w:tcPr>
            <w:tcW w:w="5376" w:type="dxa"/>
            <w:vAlign w:val="bottom"/>
          </w:tcPr>
          <w:p w:rsidR="00F97EAD" w:rsidRPr="005E6FDF" w:rsidDel="0007453E" w:rsidRDefault="00F97EAD" w:rsidP="0007453E">
            <w:pPr>
              <w:spacing w:before="100" w:beforeAutospacing="1" w:after="100" w:afterAutospacing="1"/>
            </w:pPr>
            <w:r>
              <w:rPr>
                <w:szCs w:val="18"/>
              </w:rPr>
              <w:t xml:space="preserve">As part of its efforts to streamline and improve efficiency, the Department has asked components to reduce anticipated administrative costs.  </w:t>
            </w:r>
          </w:p>
        </w:tc>
        <w:tc>
          <w:tcPr>
            <w:tcW w:w="720" w:type="dxa"/>
          </w:tcPr>
          <w:p w:rsidR="00F97EAD" w:rsidRPr="0022457A" w:rsidRDefault="00F97EAD" w:rsidP="00F35E87">
            <w:pPr>
              <w:pStyle w:val="BodyText"/>
              <w:spacing w:before="100" w:beforeAutospacing="1" w:after="100" w:afterAutospacing="1"/>
              <w:jc w:val="center"/>
              <w:rPr>
                <w:bCs/>
                <w:szCs w:val="24"/>
              </w:rPr>
            </w:pPr>
          </w:p>
        </w:tc>
        <w:tc>
          <w:tcPr>
            <w:tcW w:w="900" w:type="dxa"/>
          </w:tcPr>
          <w:p w:rsidR="00F97EAD" w:rsidRPr="0022457A" w:rsidRDefault="00F97EAD" w:rsidP="00F35E87">
            <w:pPr>
              <w:pStyle w:val="BodyText"/>
              <w:spacing w:before="100" w:beforeAutospacing="1" w:after="100" w:afterAutospacing="1"/>
              <w:jc w:val="center"/>
              <w:rPr>
                <w:bCs/>
                <w:szCs w:val="24"/>
              </w:rPr>
            </w:pPr>
          </w:p>
        </w:tc>
        <w:tc>
          <w:tcPr>
            <w:tcW w:w="1260" w:type="dxa"/>
          </w:tcPr>
          <w:p w:rsidR="00F97EAD" w:rsidRPr="003B1411" w:rsidRDefault="00F97EAD" w:rsidP="00F35E87">
            <w:pPr>
              <w:pStyle w:val="xl19"/>
              <w:spacing w:before="100" w:beforeAutospacing="1" w:after="100" w:afterAutospacing="1"/>
              <w:jc w:val="center"/>
              <w:rPr>
                <w:bCs/>
                <w:color w:val="FF0000"/>
              </w:rPr>
            </w:pPr>
            <w:r w:rsidRPr="003B1411">
              <w:rPr>
                <w:bCs/>
                <w:color w:val="FF0000"/>
              </w:rPr>
              <w:t>($2,841)</w:t>
            </w:r>
          </w:p>
        </w:tc>
        <w:tc>
          <w:tcPr>
            <w:tcW w:w="926" w:type="dxa"/>
          </w:tcPr>
          <w:p w:rsidR="00F97EAD" w:rsidRPr="005D2FB2" w:rsidRDefault="00034CF3" w:rsidP="00E3229E">
            <w:pPr>
              <w:pStyle w:val="BodyText"/>
              <w:spacing w:before="100" w:beforeAutospacing="1" w:after="100" w:afterAutospacing="1"/>
              <w:jc w:val="center"/>
              <w:rPr>
                <w:bCs/>
                <w:szCs w:val="24"/>
              </w:rPr>
            </w:pPr>
            <w:r>
              <w:rPr>
                <w:bCs/>
                <w:szCs w:val="24"/>
              </w:rPr>
              <w:t>6</w:t>
            </w:r>
            <w:r w:rsidR="00E3229E">
              <w:rPr>
                <w:bCs/>
                <w:szCs w:val="24"/>
              </w:rPr>
              <w:t>0</w:t>
            </w:r>
          </w:p>
        </w:tc>
      </w:tr>
      <w:tr w:rsidR="00F97EAD" w:rsidRPr="00762F09" w:rsidTr="00F35E87">
        <w:trPr>
          <w:trHeight w:val="890"/>
          <w:jc w:val="center"/>
        </w:trPr>
        <w:tc>
          <w:tcPr>
            <w:tcW w:w="2132" w:type="dxa"/>
          </w:tcPr>
          <w:p w:rsidR="00F97EAD" w:rsidRDefault="00F97EAD" w:rsidP="00014458">
            <w:pPr>
              <w:pStyle w:val="BodyText"/>
              <w:spacing w:before="100" w:beforeAutospacing="1" w:after="100" w:afterAutospacing="1"/>
              <w:rPr>
                <w:bCs/>
                <w:szCs w:val="24"/>
              </w:rPr>
            </w:pPr>
            <w:r>
              <w:rPr>
                <w:bCs/>
                <w:szCs w:val="24"/>
              </w:rPr>
              <w:t>Alcohol and Tobacco Program</w:t>
            </w:r>
          </w:p>
        </w:tc>
        <w:tc>
          <w:tcPr>
            <w:tcW w:w="5376" w:type="dxa"/>
            <w:vAlign w:val="bottom"/>
          </w:tcPr>
          <w:p w:rsidR="00F97EAD" w:rsidRPr="005E6FDF" w:rsidDel="0007453E" w:rsidRDefault="00F97EAD" w:rsidP="0007453E">
            <w:pPr>
              <w:spacing w:before="100" w:beforeAutospacing="1" w:after="100" w:afterAutospacing="1"/>
            </w:pPr>
            <w:r w:rsidRPr="0043642D">
              <w:rPr>
                <w:bCs/>
                <w:color w:val="000000" w:themeColor="text1"/>
              </w:rPr>
              <w:t>ATF</w:t>
            </w:r>
            <w:r>
              <w:rPr>
                <w:bCs/>
                <w:color w:val="000000" w:themeColor="text1"/>
              </w:rPr>
              <w:t>’s alcohol and tobacco program is approximately</w:t>
            </w:r>
            <w:r w:rsidRPr="0043642D">
              <w:rPr>
                <w:bCs/>
                <w:color w:val="000000" w:themeColor="text1"/>
              </w:rPr>
              <w:t xml:space="preserve"> $22 million annually</w:t>
            </w:r>
            <w:r>
              <w:rPr>
                <w:bCs/>
                <w:color w:val="000000" w:themeColor="text1"/>
              </w:rPr>
              <w:t>, which is 2% of our strategic mission resources</w:t>
            </w:r>
            <w:r w:rsidRPr="0043642D">
              <w:rPr>
                <w:bCs/>
                <w:color w:val="000000" w:themeColor="text1"/>
              </w:rPr>
              <w:t xml:space="preserve">.  </w:t>
            </w:r>
            <w:r>
              <w:rPr>
                <w:bCs/>
                <w:color w:val="000000" w:themeColor="text1"/>
              </w:rPr>
              <w:t>This represents a 5% reduction to the tobacco and alcohol diversion program.</w:t>
            </w:r>
          </w:p>
        </w:tc>
        <w:tc>
          <w:tcPr>
            <w:tcW w:w="720" w:type="dxa"/>
            <w:vAlign w:val="bottom"/>
          </w:tcPr>
          <w:p w:rsidR="00F97EAD" w:rsidRPr="0022457A" w:rsidRDefault="00F97EAD" w:rsidP="00BA0135">
            <w:pPr>
              <w:pStyle w:val="BodyText"/>
              <w:spacing w:before="100" w:beforeAutospacing="1" w:after="100" w:afterAutospacing="1"/>
              <w:jc w:val="center"/>
              <w:rPr>
                <w:bCs/>
                <w:szCs w:val="24"/>
              </w:rPr>
            </w:pPr>
          </w:p>
        </w:tc>
        <w:tc>
          <w:tcPr>
            <w:tcW w:w="900" w:type="dxa"/>
            <w:vAlign w:val="bottom"/>
          </w:tcPr>
          <w:p w:rsidR="00F97EAD" w:rsidRPr="0022457A" w:rsidRDefault="00F97EAD" w:rsidP="00BA0135">
            <w:pPr>
              <w:pStyle w:val="BodyText"/>
              <w:spacing w:before="100" w:beforeAutospacing="1" w:after="100" w:afterAutospacing="1"/>
              <w:jc w:val="center"/>
              <w:rPr>
                <w:bCs/>
                <w:szCs w:val="24"/>
              </w:rPr>
            </w:pPr>
          </w:p>
        </w:tc>
        <w:tc>
          <w:tcPr>
            <w:tcW w:w="1260" w:type="dxa"/>
          </w:tcPr>
          <w:p w:rsidR="00F97EAD" w:rsidRPr="003B1411" w:rsidRDefault="00F97EAD" w:rsidP="00F35E87">
            <w:pPr>
              <w:pStyle w:val="xl19"/>
              <w:spacing w:before="100" w:beforeAutospacing="1" w:after="100" w:afterAutospacing="1"/>
              <w:jc w:val="center"/>
              <w:rPr>
                <w:bCs/>
                <w:color w:val="FF0000"/>
                <w:highlight w:val="yellow"/>
              </w:rPr>
            </w:pPr>
            <w:r w:rsidRPr="003B1411">
              <w:rPr>
                <w:bCs/>
                <w:color w:val="FF0000"/>
              </w:rPr>
              <w:t>($1,000)</w:t>
            </w:r>
          </w:p>
        </w:tc>
        <w:tc>
          <w:tcPr>
            <w:tcW w:w="926" w:type="dxa"/>
          </w:tcPr>
          <w:p w:rsidR="00F97EAD" w:rsidRPr="005D2FB2" w:rsidRDefault="00034CF3" w:rsidP="00E3229E">
            <w:pPr>
              <w:pStyle w:val="BodyText"/>
              <w:spacing w:before="100" w:beforeAutospacing="1" w:after="100" w:afterAutospacing="1"/>
              <w:jc w:val="center"/>
              <w:rPr>
                <w:bCs/>
                <w:szCs w:val="24"/>
              </w:rPr>
            </w:pPr>
            <w:r>
              <w:rPr>
                <w:bCs/>
                <w:szCs w:val="24"/>
              </w:rPr>
              <w:t>6</w:t>
            </w:r>
            <w:r w:rsidR="00E3229E">
              <w:rPr>
                <w:bCs/>
                <w:szCs w:val="24"/>
              </w:rPr>
              <w:t>2</w:t>
            </w:r>
          </w:p>
        </w:tc>
      </w:tr>
      <w:tr w:rsidR="00F97EAD" w:rsidRPr="00762F09" w:rsidTr="00460AB0">
        <w:trPr>
          <w:trHeight w:val="890"/>
          <w:jc w:val="center"/>
        </w:trPr>
        <w:tc>
          <w:tcPr>
            <w:tcW w:w="2132" w:type="dxa"/>
          </w:tcPr>
          <w:p w:rsidR="00F97EAD" w:rsidRDefault="00F97EAD" w:rsidP="003A2FA2">
            <w:pPr>
              <w:pStyle w:val="BodyText"/>
              <w:spacing w:before="100" w:beforeAutospacing="1" w:after="100" w:afterAutospacing="1"/>
              <w:rPr>
                <w:bCs/>
                <w:szCs w:val="24"/>
              </w:rPr>
            </w:pPr>
            <w:r>
              <w:rPr>
                <w:bCs/>
                <w:szCs w:val="24"/>
              </w:rPr>
              <w:t>Extend Technology Refresh</w:t>
            </w:r>
          </w:p>
        </w:tc>
        <w:tc>
          <w:tcPr>
            <w:tcW w:w="5376" w:type="dxa"/>
            <w:vAlign w:val="bottom"/>
          </w:tcPr>
          <w:p w:rsidR="00F97EAD" w:rsidRDefault="00F97EAD" w:rsidP="007F1CF8">
            <w:pPr>
              <w:spacing w:before="100" w:beforeAutospacing="1" w:after="100" w:afterAutospacing="1"/>
              <w:rPr>
                <w:szCs w:val="18"/>
              </w:rPr>
            </w:pPr>
            <w:r>
              <w:rPr>
                <w:szCs w:val="18"/>
              </w:rPr>
              <w:t>As part of its efforts to streamline and improve efficiency, the Department</w:t>
            </w:r>
            <w:r w:rsidR="007F1CF8">
              <w:rPr>
                <w:szCs w:val="18"/>
              </w:rPr>
              <w:t>’s</w:t>
            </w:r>
            <w:r>
              <w:rPr>
                <w:szCs w:val="18"/>
              </w:rPr>
              <w:t xml:space="preserve"> components </w:t>
            </w:r>
            <w:r w:rsidR="007F1CF8">
              <w:rPr>
                <w:szCs w:val="18"/>
              </w:rPr>
              <w:t>will</w:t>
            </w:r>
            <w:r>
              <w:rPr>
                <w:szCs w:val="18"/>
              </w:rPr>
              <w:t xml:space="preserve"> extend their technology refresh cycle by one fiscal year.</w:t>
            </w:r>
          </w:p>
        </w:tc>
        <w:tc>
          <w:tcPr>
            <w:tcW w:w="720" w:type="dxa"/>
          </w:tcPr>
          <w:p w:rsidR="00F97EAD" w:rsidRPr="0022457A" w:rsidRDefault="00F97EAD" w:rsidP="00BA0135">
            <w:pPr>
              <w:pStyle w:val="BodyText"/>
              <w:spacing w:before="100" w:beforeAutospacing="1" w:after="100" w:afterAutospacing="1"/>
              <w:jc w:val="center"/>
              <w:rPr>
                <w:bCs/>
                <w:szCs w:val="24"/>
              </w:rPr>
            </w:pPr>
          </w:p>
        </w:tc>
        <w:tc>
          <w:tcPr>
            <w:tcW w:w="900" w:type="dxa"/>
          </w:tcPr>
          <w:p w:rsidR="00F97EAD" w:rsidRPr="0022457A" w:rsidRDefault="00F97EAD" w:rsidP="00BA0135">
            <w:pPr>
              <w:pStyle w:val="BodyText"/>
              <w:spacing w:before="100" w:beforeAutospacing="1" w:after="100" w:afterAutospacing="1"/>
              <w:jc w:val="center"/>
              <w:rPr>
                <w:bCs/>
                <w:szCs w:val="24"/>
              </w:rPr>
            </w:pPr>
          </w:p>
        </w:tc>
        <w:tc>
          <w:tcPr>
            <w:tcW w:w="1260" w:type="dxa"/>
          </w:tcPr>
          <w:p w:rsidR="00F97EAD" w:rsidRPr="003B1411" w:rsidRDefault="00F97EAD" w:rsidP="00F35E87">
            <w:pPr>
              <w:pStyle w:val="xl19"/>
              <w:spacing w:before="100" w:beforeAutospacing="1" w:after="100" w:afterAutospacing="1"/>
              <w:jc w:val="center"/>
              <w:rPr>
                <w:bCs/>
                <w:color w:val="FF0000"/>
              </w:rPr>
            </w:pPr>
            <w:r w:rsidRPr="003B1411">
              <w:rPr>
                <w:bCs/>
                <w:color w:val="FF0000"/>
              </w:rPr>
              <w:t>($373)</w:t>
            </w:r>
          </w:p>
        </w:tc>
        <w:tc>
          <w:tcPr>
            <w:tcW w:w="926" w:type="dxa"/>
          </w:tcPr>
          <w:p w:rsidR="00F97EAD" w:rsidRDefault="00034CF3" w:rsidP="00E3229E">
            <w:pPr>
              <w:pStyle w:val="BodyText"/>
              <w:spacing w:before="100" w:beforeAutospacing="1" w:after="100" w:afterAutospacing="1"/>
              <w:jc w:val="center"/>
              <w:rPr>
                <w:bCs/>
                <w:szCs w:val="24"/>
              </w:rPr>
            </w:pPr>
            <w:r>
              <w:rPr>
                <w:bCs/>
                <w:szCs w:val="24"/>
              </w:rPr>
              <w:t>6</w:t>
            </w:r>
            <w:r w:rsidR="00E3229E">
              <w:rPr>
                <w:bCs/>
                <w:szCs w:val="24"/>
              </w:rPr>
              <w:t>4</w:t>
            </w:r>
          </w:p>
        </w:tc>
      </w:tr>
      <w:tr w:rsidR="00F97EAD" w:rsidRPr="00762F09" w:rsidTr="00460AB0">
        <w:trPr>
          <w:trHeight w:val="890"/>
          <w:jc w:val="center"/>
        </w:trPr>
        <w:tc>
          <w:tcPr>
            <w:tcW w:w="2132" w:type="dxa"/>
          </w:tcPr>
          <w:p w:rsidR="00F97EAD" w:rsidRDefault="00F97EAD" w:rsidP="00C34432">
            <w:pPr>
              <w:pStyle w:val="BodyText"/>
              <w:tabs>
                <w:tab w:val="left" w:pos="461"/>
              </w:tabs>
              <w:spacing w:before="100" w:beforeAutospacing="1" w:after="100" w:afterAutospacing="1"/>
              <w:rPr>
                <w:bCs/>
                <w:szCs w:val="24"/>
              </w:rPr>
            </w:pPr>
            <w:r>
              <w:rPr>
                <w:bCs/>
                <w:szCs w:val="24"/>
              </w:rPr>
              <w:t>Reduce Physical Footprints</w:t>
            </w:r>
          </w:p>
        </w:tc>
        <w:tc>
          <w:tcPr>
            <w:tcW w:w="5376" w:type="dxa"/>
            <w:vAlign w:val="bottom"/>
          </w:tcPr>
          <w:p w:rsidR="00F97EAD" w:rsidRDefault="00F97EAD" w:rsidP="00BA1D67">
            <w:pPr>
              <w:pStyle w:val="Header"/>
              <w:outlineLvl w:val="0"/>
            </w:pPr>
            <w:r>
              <w:rPr>
                <w:szCs w:val="18"/>
              </w:rPr>
              <w:t xml:space="preserve">As part of its efforts to streamline and improve efficiency, the Department </w:t>
            </w:r>
            <w:r w:rsidR="007F1CF8">
              <w:rPr>
                <w:szCs w:val="18"/>
              </w:rPr>
              <w:t>and its components will</w:t>
            </w:r>
            <w:r>
              <w:rPr>
                <w:szCs w:val="18"/>
              </w:rPr>
              <w:t xml:space="preserve"> consolidate their regional and sub-offices as part of a way to better </w:t>
            </w:r>
            <w:r w:rsidR="00BA1D67">
              <w:rPr>
                <w:szCs w:val="18"/>
              </w:rPr>
              <w:t>use</w:t>
            </w:r>
            <w:r>
              <w:rPr>
                <w:szCs w:val="18"/>
              </w:rPr>
              <w:t xml:space="preserve"> existing workspace as well as enhance information sharing and the ability of regional offices to avoid duplicative work.  </w:t>
            </w:r>
          </w:p>
        </w:tc>
        <w:tc>
          <w:tcPr>
            <w:tcW w:w="720" w:type="dxa"/>
          </w:tcPr>
          <w:p w:rsidR="00F97EAD" w:rsidRPr="0022457A" w:rsidRDefault="00F97EAD" w:rsidP="00BA0135">
            <w:pPr>
              <w:pStyle w:val="BodyText"/>
              <w:spacing w:before="100" w:beforeAutospacing="1" w:after="100" w:afterAutospacing="1"/>
              <w:jc w:val="center"/>
              <w:rPr>
                <w:bCs/>
                <w:szCs w:val="24"/>
              </w:rPr>
            </w:pPr>
          </w:p>
        </w:tc>
        <w:tc>
          <w:tcPr>
            <w:tcW w:w="900" w:type="dxa"/>
          </w:tcPr>
          <w:p w:rsidR="00F97EAD" w:rsidRPr="0022457A" w:rsidRDefault="00F97EAD" w:rsidP="00BA0135">
            <w:pPr>
              <w:pStyle w:val="BodyText"/>
              <w:spacing w:before="100" w:beforeAutospacing="1" w:after="100" w:afterAutospacing="1"/>
              <w:jc w:val="center"/>
              <w:rPr>
                <w:bCs/>
                <w:szCs w:val="24"/>
              </w:rPr>
            </w:pPr>
          </w:p>
        </w:tc>
        <w:tc>
          <w:tcPr>
            <w:tcW w:w="1260" w:type="dxa"/>
          </w:tcPr>
          <w:p w:rsidR="00F97EAD" w:rsidRPr="003B1411" w:rsidRDefault="00F97EAD" w:rsidP="00F35E87">
            <w:pPr>
              <w:pStyle w:val="xl19"/>
              <w:spacing w:before="100" w:beforeAutospacing="1" w:after="100" w:afterAutospacing="1"/>
              <w:jc w:val="center"/>
              <w:rPr>
                <w:bCs/>
                <w:color w:val="FF0000"/>
              </w:rPr>
            </w:pPr>
            <w:r w:rsidRPr="003B1411">
              <w:rPr>
                <w:bCs/>
                <w:color w:val="FF0000"/>
              </w:rPr>
              <w:t>($292)</w:t>
            </w:r>
          </w:p>
        </w:tc>
        <w:tc>
          <w:tcPr>
            <w:tcW w:w="926" w:type="dxa"/>
          </w:tcPr>
          <w:p w:rsidR="00F97EAD" w:rsidRDefault="00034CF3" w:rsidP="00E3229E">
            <w:pPr>
              <w:pStyle w:val="BodyText"/>
              <w:spacing w:before="100" w:beforeAutospacing="1" w:after="100" w:afterAutospacing="1"/>
              <w:jc w:val="center"/>
              <w:rPr>
                <w:bCs/>
                <w:szCs w:val="24"/>
              </w:rPr>
            </w:pPr>
            <w:r>
              <w:rPr>
                <w:bCs/>
                <w:szCs w:val="24"/>
              </w:rPr>
              <w:t>6</w:t>
            </w:r>
            <w:r w:rsidR="00E3229E">
              <w:rPr>
                <w:bCs/>
                <w:szCs w:val="24"/>
              </w:rPr>
              <w:t>6</w:t>
            </w:r>
          </w:p>
        </w:tc>
      </w:tr>
      <w:tr w:rsidR="00F97EAD" w:rsidRPr="00762F09" w:rsidTr="00F35E87">
        <w:trPr>
          <w:trHeight w:val="890"/>
          <w:jc w:val="center"/>
        </w:trPr>
        <w:tc>
          <w:tcPr>
            <w:tcW w:w="2132" w:type="dxa"/>
          </w:tcPr>
          <w:p w:rsidR="00F97EAD" w:rsidRDefault="00F97EAD" w:rsidP="00014458">
            <w:pPr>
              <w:pStyle w:val="BodyText"/>
              <w:spacing w:before="100" w:beforeAutospacing="1" w:after="100" w:afterAutospacing="1"/>
              <w:rPr>
                <w:bCs/>
                <w:szCs w:val="24"/>
              </w:rPr>
            </w:pPr>
            <w:r>
              <w:rPr>
                <w:bCs/>
                <w:szCs w:val="24"/>
              </w:rPr>
              <w:t>Consolidate Task Forces</w:t>
            </w:r>
          </w:p>
        </w:tc>
        <w:tc>
          <w:tcPr>
            <w:tcW w:w="5376" w:type="dxa"/>
            <w:vAlign w:val="bottom"/>
          </w:tcPr>
          <w:p w:rsidR="00F97EAD" w:rsidRDefault="00F97EAD" w:rsidP="007F1CF8">
            <w:pPr>
              <w:spacing w:before="100" w:beforeAutospacing="1" w:after="100" w:afterAutospacing="1"/>
              <w:rPr>
                <w:szCs w:val="18"/>
              </w:rPr>
            </w:pPr>
            <w:r>
              <w:rPr>
                <w:szCs w:val="18"/>
              </w:rPr>
              <w:t xml:space="preserve">The Department of Justice seeks to reduce the overall Federal task force footprint by eliminating 335 task force locations that are in close geographic proximity and target the same crime problem.  </w:t>
            </w:r>
          </w:p>
        </w:tc>
        <w:tc>
          <w:tcPr>
            <w:tcW w:w="720" w:type="dxa"/>
            <w:vAlign w:val="bottom"/>
          </w:tcPr>
          <w:p w:rsidR="00F97EAD" w:rsidRPr="0022457A" w:rsidRDefault="00F97EAD" w:rsidP="00BA0135">
            <w:pPr>
              <w:pStyle w:val="BodyText"/>
              <w:spacing w:before="100" w:beforeAutospacing="1" w:after="100" w:afterAutospacing="1"/>
              <w:jc w:val="center"/>
              <w:rPr>
                <w:bCs/>
                <w:szCs w:val="24"/>
              </w:rPr>
            </w:pPr>
          </w:p>
        </w:tc>
        <w:tc>
          <w:tcPr>
            <w:tcW w:w="900" w:type="dxa"/>
            <w:vAlign w:val="bottom"/>
          </w:tcPr>
          <w:p w:rsidR="00F97EAD" w:rsidRPr="0022457A" w:rsidRDefault="00F97EAD" w:rsidP="00BA0135">
            <w:pPr>
              <w:pStyle w:val="BodyText"/>
              <w:spacing w:before="100" w:beforeAutospacing="1" w:after="100" w:afterAutospacing="1"/>
              <w:jc w:val="center"/>
              <w:rPr>
                <w:bCs/>
                <w:szCs w:val="24"/>
              </w:rPr>
            </w:pPr>
          </w:p>
        </w:tc>
        <w:tc>
          <w:tcPr>
            <w:tcW w:w="1260" w:type="dxa"/>
          </w:tcPr>
          <w:p w:rsidR="00F97EAD" w:rsidRPr="003B1411" w:rsidRDefault="00F97EAD" w:rsidP="00F35E87">
            <w:pPr>
              <w:pStyle w:val="xl19"/>
              <w:spacing w:before="100" w:beforeAutospacing="1" w:after="100" w:afterAutospacing="1"/>
              <w:jc w:val="center"/>
              <w:rPr>
                <w:bCs/>
                <w:color w:val="FF0000"/>
              </w:rPr>
            </w:pPr>
            <w:r w:rsidRPr="003B1411">
              <w:rPr>
                <w:bCs/>
                <w:color w:val="FF0000"/>
              </w:rPr>
              <w:t>($136)</w:t>
            </w:r>
          </w:p>
        </w:tc>
        <w:tc>
          <w:tcPr>
            <w:tcW w:w="926" w:type="dxa"/>
          </w:tcPr>
          <w:p w:rsidR="00F97EAD" w:rsidRDefault="00034CF3" w:rsidP="00E3229E">
            <w:pPr>
              <w:pStyle w:val="BodyText"/>
              <w:spacing w:before="100" w:beforeAutospacing="1" w:after="100" w:afterAutospacing="1"/>
              <w:jc w:val="center"/>
              <w:rPr>
                <w:bCs/>
                <w:szCs w:val="24"/>
              </w:rPr>
            </w:pPr>
            <w:r>
              <w:rPr>
                <w:bCs/>
                <w:szCs w:val="24"/>
              </w:rPr>
              <w:t>6</w:t>
            </w:r>
            <w:r w:rsidR="00E3229E">
              <w:rPr>
                <w:bCs/>
                <w:szCs w:val="24"/>
              </w:rPr>
              <w:t>8</w:t>
            </w:r>
          </w:p>
        </w:tc>
      </w:tr>
    </w:tbl>
    <w:p w:rsidR="00D9043D" w:rsidRDefault="00D9043D">
      <w:pPr>
        <w:rPr>
          <w:b/>
          <w:bCs/>
        </w:rPr>
      </w:pPr>
      <w:r>
        <w:rPr>
          <w:b/>
          <w:bCs/>
        </w:rPr>
        <w:br w:type="page"/>
      </w:r>
    </w:p>
    <w:p w:rsidR="00394287" w:rsidRDefault="00394287" w:rsidP="00B36F83">
      <w:pPr>
        <w:tabs>
          <w:tab w:val="left" w:pos="7950"/>
        </w:tabs>
        <w:spacing w:before="100" w:beforeAutospacing="1" w:after="100" w:afterAutospacing="1"/>
        <w:rPr>
          <w:b/>
          <w:bCs/>
        </w:rPr>
      </w:pPr>
      <w:r>
        <w:rPr>
          <w:b/>
          <w:bCs/>
        </w:rPr>
        <w:lastRenderedPageBreak/>
        <w:t>III. Appropriations Language and Analysis of Appropriations Language</w:t>
      </w:r>
    </w:p>
    <w:p w:rsidR="00394287" w:rsidRDefault="00394287" w:rsidP="00B36F83">
      <w:pPr>
        <w:tabs>
          <w:tab w:val="left" w:pos="7950"/>
        </w:tabs>
        <w:spacing w:before="100" w:beforeAutospacing="1" w:after="100" w:afterAutospacing="1"/>
        <w:rPr>
          <w:b/>
          <w:bCs/>
        </w:rPr>
      </w:pPr>
      <w:r>
        <w:rPr>
          <w:b/>
          <w:bCs/>
        </w:rPr>
        <w:t>Appropriations Language</w:t>
      </w:r>
    </w:p>
    <w:p w:rsidR="00B66164" w:rsidRPr="00CB6894" w:rsidRDefault="00B66164" w:rsidP="00B66164">
      <w:pPr>
        <w:pStyle w:val="style"/>
        <w:ind w:right="428"/>
        <w:rPr>
          <w:i/>
        </w:rPr>
      </w:pPr>
      <w:r w:rsidRPr="00961FB8">
        <w:rPr>
          <w:i/>
        </w:rPr>
        <w:t xml:space="preserve">For necessary expenses of the Bureau of Alcohol, Tobacco, Firearms and Explosives; not to exceed $40,000 for official reception and representation expenses; for training of State and local law enforcement agencies with or without reimbursement, including training in connection with the training and acquisition of canines for explosives and fire accelerants detection; and for provision of laboratory assistance to State and local law enforcement agencies, with [or without] reimbursement, </w:t>
      </w:r>
      <w:r w:rsidRPr="00AD0E4B">
        <w:rPr>
          <w:i/>
        </w:rPr>
        <w:t>$1,147,295,000,</w:t>
      </w:r>
      <w:r w:rsidRPr="00961FB8">
        <w:rPr>
          <w:i/>
        </w:rPr>
        <w:t xml:space="preserve"> of which not to exceed $1,000,000 shall be available for the payment of attorneys' fees as provided by section 924(d)(2) of title 18, U.S. Code; and of which not to exceed $20,000,000 shall remain available until expended: Provided, That no funds appropriated herein shall be available for salaries or administrative expenses in connection with consolidating or centralizing, within the Department of Justice, the records, or any portion thereof, of acquisition and disposition of firearms maintained by Federal firearms licensees: Provided further, That no funds appropriated herein shall be used to pay administrative expenses or the compensation of any officer or employee of the U.S. to implement an amendment or amendments to 27 CFR 478.118 or to change the definition of ``Curios or relics'' in 27 CFR 478.11 or remove any item from ATF Publication 5300.11 as it existed on January 1, 1994: Provided further, That none of the funds appropriated herein shall be available to investigate or act upon applications for relief from Federal firearms disabilities under 18 U.S.C. 925(c): Provided further, That such funds shall be available to investigate and act upon applications filed by corporations for relief from Federal firearms disabilities under section 925(c) of title 18, U.S. Code: Provided further, That no funds made available by this or any other Act may be used to transfer the functions, missions, or activities of the Bureau of Alcohol, Tobacco, Firearms and Explosives to other agencies or Departments in fiscal </w:t>
      </w:r>
      <w:r w:rsidRPr="00AD0E4B">
        <w:rPr>
          <w:i/>
          <w:color w:val="000000" w:themeColor="text1"/>
        </w:rPr>
        <w:t>year 2012</w:t>
      </w:r>
      <w:r w:rsidRPr="00961FB8">
        <w:rPr>
          <w:i/>
        </w:rPr>
        <w:t xml:space="preserve">: Provided further, That, beginning in fiscal year </w:t>
      </w:r>
      <w:r w:rsidRPr="00AD0E4B">
        <w:rPr>
          <w:i/>
          <w:color w:val="000000" w:themeColor="text1"/>
        </w:rPr>
        <w:t>2012</w:t>
      </w:r>
      <w:r w:rsidRPr="00961FB8">
        <w:rPr>
          <w:i/>
        </w:rPr>
        <w:t xml:space="preserve"> and thereafter, no funds appropriated under this or any other Act may be used to disclose part or all of the contents of the Firearms Trace System database maintained by the National Trace Center of the Bureau of Alcohol, Tobacco, Firearms and Explosives or any information required to be kept by licensees pursuant to section 923(g) of title 18, U.S. Code, or required to be reported pursuant to paragraphs (3) and (7) of such section 923(g), except to: (1) a Federal, State, local, or tribal, law enforcement agency, or a Federal, State, or local prosecutor; (2) a foreign law enforcement agency solely in connection with or for use in a criminal investigation or prosecution; or (3) a Federal agency for a national security or intelligence purpose; unless such disclosure of such data to any of the entities described in (1), (2) or (3) of this proviso would compromise the identity of any undercover law enforcement officer or confidential informant, or interfere with any case under investigation; and no person or entity described in (1), (2) or (3) shall knowingly and publicly disclose such data; and all such data shall be immune from legal process, shall not be subject to subpoena or other discovery, shall be inadmissible in evidence, and shall not be used, relied on, or disclosed in any manner, nor shall testimony or other evidence be permitted based on the data, in a civil action in any State (including the District of Columbia) or Federal court or in an administrative proceeding other than a proceeding commenced by the Bureau of Alcohol, Tobacco, Firearms and Explosives to enforce the </w:t>
      </w:r>
      <w:r w:rsidRPr="00CB6894">
        <w:rPr>
          <w:i/>
        </w:rPr>
        <w:t xml:space="preserve">provisions of chapter 44 of such title, or a review of </w:t>
      </w:r>
      <w:r w:rsidRPr="00CB6894">
        <w:rPr>
          <w:i/>
        </w:rPr>
        <w:lastRenderedPageBreak/>
        <w:t>such an action or proceeding; except that this proviso shall not be construed to prevent: (A) the disclosure of statistical information concerning total production, importation, and exportation by each licensed importer (as defined in section 921(a)(9) of such title) and licensed manufacturer (as defined in section 921(1)(10) of such title); (B) the sharing or exchange of such information among and between Federal, State, local, or foreign law enforcement agencies, Federal, State, or local prosecutors, and Federal national security, intelligence, or counterterrorism officials; or (C) the publication of annual statistical reports on products regulated by the Bureau of Alcohol, Tobacco, Firearms and Explosives, including total production, importation, and exportation by each licensed importer (as so defined) and licensed manufacturer (as so defined), or statistical aggregate data regarding firearms traffickers and trafficking channels, or firearms misuse, felons, and trafficking investigations: Provided further, That no funds made available by this or any other Act shall be expended to promulgate or implement any rule requiring a physical inventory of any business licensed under section 923 of title 18, U.S. Code: Provided further, That no funds under this Act may be used to electronically retrieve information gathered pursuant to 18 U.S.C. 923(g)(4) by name or any personal identification code: Provided further, That no funds authorized or made available under this or any other Act may be used to deny any application for a license under section 923 of title 18, U.S. Code, or renewal of such a license due to a lack of business activity, provided that the applicant is otherwise eligible to receive such a license, and is eligible to report business income or to claim an income tax deduction for business expenses under the Internal Revenue Code of 1986.</w:t>
      </w:r>
    </w:p>
    <w:p w:rsidR="00B66164" w:rsidRDefault="00B66164" w:rsidP="00B66164">
      <w:pPr>
        <w:pStyle w:val="style"/>
        <w:ind w:right="428"/>
      </w:pPr>
      <w:r>
        <w:t>Note. - A full-year 2011 appropriation for this account was not enacted at the time the budget was prepared; therefore, this account is operating under a continuing resolution (P.L. 111-242, as amended). The amounts included for 2011 reflect the annualized level provided by the continuing resolution.</w:t>
      </w:r>
    </w:p>
    <w:p w:rsidR="00C728A4" w:rsidRDefault="00C728A4" w:rsidP="00B5417D">
      <w:pPr>
        <w:pStyle w:val="style"/>
        <w:ind w:right="428"/>
      </w:pPr>
    </w:p>
    <w:p w:rsidR="00B5417D" w:rsidRPr="003B059A" w:rsidRDefault="00B5417D" w:rsidP="00B5417D">
      <w:pPr>
        <w:rPr>
          <w:b/>
          <w:color w:val="FF0000"/>
        </w:rPr>
      </w:pPr>
      <w:r>
        <w:rPr>
          <w:b/>
          <w:color w:val="FF0000"/>
        </w:rPr>
        <w:t xml:space="preserve">Recommended change to </w:t>
      </w:r>
      <w:r w:rsidRPr="003B059A">
        <w:rPr>
          <w:b/>
          <w:color w:val="FF0000"/>
        </w:rPr>
        <w:t>Department of Justice General Provision for FY 201</w:t>
      </w:r>
      <w:r>
        <w:rPr>
          <w:b/>
          <w:color w:val="FF0000"/>
        </w:rPr>
        <w:t>2</w:t>
      </w:r>
    </w:p>
    <w:p w:rsidR="00B5417D" w:rsidRPr="003B059A" w:rsidRDefault="00B5417D" w:rsidP="00B5417D">
      <w:pPr>
        <w:rPr>
          <w:color w:val="FF0000"/>
        </w:rPr>
      </w:pPr>
    </w:p>
    <w:p w:rsidR="00C728A4" w:rsidRDefault="00B5417D" w:rsidP="00B5417D">
      <w:pPr>
        <w:rPr>
          <w:i/>
          <w:color w:val="FF0000"/>
        </w:rPr>
      </w:pPr>
      <w:r w:rsidRPr="003B059A">
        <w:rPr>
          <w:i/>
          <w:color w:val="FF0000"/>
        </w:rPr>
        <w:t>The Attorney General is authorized to extend through September 30, 201</w:t>
      </w:r>
      <w:r>
        <w:rPr>
          <w:i/>
          <w:color w:val="FF0000"/>
        </w:rPr>
        <w:t>3</w:t>
      </w:r>
      <w:r w:rsidRPr="003B059A">
        <w:rPr>
          <w:i/>
          <w:color w:val="FF0000"/>
        </w:rPr>
        <w:t xml:space="preserve">, the Personnel Management </w:t>
      </w:r>
      <w:r>
        <w:rPr>
          <w:i/>
          <w:color w:val="FF0000"/>
        </w:rPr>
        <w:t>d</w:t>
      </w:r>
      <w:r w:rsidRPr="003B059A">
        <w:rPr>
          <w:i/>
          <w:color w:val="FF0000"/>
        </w:rPr>
        <w:t xml:space="preserve">emonstration </w:t>
      </w:r>
      <w:r>
        <w:rPr>
          <w:i/>
          <w:color w:val="FF0000"/>
        </w:rPr>
        <w:t>p</w:t>
      </w:r>
      <w:r w:rsidRPr="003B059A">
        <w:rPr>
          <w:i/>
          <w:color w:val="FF0000"/>
        </w:rPr>
        <w:t>roject transferred to the Attorney General pursuant to section 1115 of the Homeland Security Act of 2002, Public Law 107-296 (</w:t>
      </w:r>
      <w:r>
        <w:rPr>
          <w:i/>
          <w:color w:val="FF0000"/>
        </w:rPr>
        <w:t>28 U.S.C. 599B</w:t>
      </w:r>
      <w:r w:rsidRPr="003B059A">
        <w:rPr>
          <w:i/>
          <w:color w:val="FF0000"/>
        </w:rPr>
        <w:t>) without limitation on the number of employees or the positions covered.</w:t>
      </w:r>
    </w:p>
    <w:p w:rsidR="00CD0707" w:rsidRDefault="00CD0707" w:rsidP="00CD0707">
      <w:pPr>
        <w:rPr>
          <w:i/>
          <w:color w:val="FF0000"/>
        </w:rPr>
      </w:pPr>
    </w:p>
    <w:p w:rsidR="00394287" w:rsidRPr="00CD0707" w:rsidRDefault="00394287" w:rsidP="00CD0707">
      <w:pPr>
        <w:rPr>
          <w:i/>
          <w:color w:val="FF0000"/>
        </w:rPr>
      </w:pPr>
      <w:r>
        <w:rPr>
          <w:b/>
          <w:bCs/>
        </w:rPr>
        <w:t>Analysis of Appropriations Language</w:t>
      </w:r>
    </w:p>
    <w:p w:rsidR="00CD0707" w:rsidRDefault="00CD0707" w:rsidP="00CD0707">
      <w:pPr>
        <w:rPr>
          <w:i/>
        </w:rPr>
      </w:pPr>
    </w:p>
    <w:p w:rsidR="00FA4E48" w:rsidRDefault="00514DB2" w:rsidP="00CD0707">
      <w:proofErr w:type="gramStart"/>
      <w:r w:rsidRPr="00CD0707">
        <w:rPr>
          <w:i/>
        </w:rPr>
        <w:t>Would extend the pay demonstration project for two years through September 30, 2013 without limit on the number of employees or the positions covered</w:t>
      </w:r>
      <w:r w:rsidR="009522C9">
        <w:t>.</w:t>
      </w:r>
      <w:proofErr w:type="gramEnd"/>
    </w:p>
    <w:p w:rsidR="00420EC4" w:rsidRDefault="00420EC4">
      <w:r>
        <w:br w:type="page"/>
      </w:r>
    </w:p>
    <w:p w:rsidR="007D0C8C" w:rsidRDefault="00394287" w:rsidP="007D0C8C">
      <w:pPr>
        <w:tabs>
          <w:tab w:val="left" w:pos="7950"/>
        </w:tabs>
        <w:spacing w:before="100" w:beforeAutospacing="1" w:after="100" w:afterAutospacing="1"/>
        <w:rPr>
          <w:b/>
          <w:bCs/>
        </w:rPr>
      </w:pPr>
      <w:r>
        <w:rPr>
          <w:b/>
          <w:bCs/>
        </w:rPr>
        <w:lastRenderedPageBreak/>
        <w:t>IV</w:t>
      </w:r>
      <w:r w:rsidR="00885F4B">
        <w:rPr>
          <w:b/>
          <w:bCs/>
        </w:rPr>
        <w:t xml:space="preserve">.   Decision Unit </w:t>
      </w:r>
      <w:r>
        <w:rPr>
          <w:b/>
          <w:bCs/>
        </w:rPr>
        <w:t>Justification</w:t>
      </w:r>
    </w:p>
    <w:p w:rsidR="007D0C8C" w:rsidRPr="00762F09" w:rsidRDefault="007D0C8C" w:rsidP="007D0C8C">
      <w:pPr>
        <w:spacing w:before="100" w:beforeAutospacing="1" w:after="100" w:afterAutospacing="1"/>
      </w:pPr>
      <w:r w:rsidRPr="00762F09">
        <w:rPr>
          <w:b/>
          <w:bCs/>
        </w:rPr>
        <w:t xml:space="preserve">A.  Firearms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1440"/>
        <w:gridCol w:w="1260"/>
        <w:gridCol w:w="1440"/>
      </w:tblGrid>
      <w:tr w:rsidR="007D0C8C" w:rsidRPr="00762F09" w:rsidTr="007D0C8C">
        <w:tc>
          <w:tcPr>
            <w:tcW w:w="5220" w:type="dxa"/>
            <w:vAlign w:val="bottom"/>
          </w:tcPr>
          <w:p w:rsidR="007D0C8C" w:rsidRPr="00143009" w:rsidRDefault="007D0C8C" w:rsidP="007D0C8C">
            <w:pPr>
              <w:spacing w:before="100" w:beforeAutospacing="1" w:after="100" w:afterAutospacing="1"/>
              <w:rPr>
                <w:b/>
                <w:bCs/>
              </w:rPr>
            </w:pPr>
            <w:r w:rsidRPr="00143009">
              <w:rPr>
                <w:b/>
                <w:bCs/>
              </w:rPr>
              <w:t>Firearms TOTAL</w:t>
            </w:r>
          </w:p>
        </w:tc>
        <w:tc>
          <w:tcPr>
            <w:tcW w:w="1440" w:type="dxa"/>
            <w:vAlign w:val="bottom"/>
          </w:tcPr>
          <w:p w:rsidR="007D0C8C" w:rsidRPr="00143009" w:rsidRDefault="007D0C8C" w:rsidP="007D0C8C">
            <w:pPr>
              <w:spacing w:before="100" w:beforeAutospacing="1" w:after="100" w:afterAutospacing="1"/>
              <w:jc w:val="center"/>
              <w:rPr>
                <w:b/>
                <w:bCs/>
              </w:rPr>
            </w:pPr>
            <w:smartTag w:uri="urn:schemas-microsoft-com:office:smarttags" w:element="City">
              <w:smartTag w:uri="urn:schemas-microsoft-com:office:smarttags" w:element="place">
                <w:r w:rsidRPr="00143009">
                  <w:rPr>
                    <w:b/>
                    <w:bCs/>
                  </w:rPr>
                  <w:t>Perm</w:t>
                </w:r>
              </w:smartTag>
            </w:smartTag>
            <w:r w:rsidRPr="00143009">
              <w:rPr>
                <w:b/>
                <w:bCs/>
              </w:rPr>
              <w:t xml:space="preserve"> Pos.</w:t>
            </w:r>
          </w:p>
        </w:tc>
        <w:tc>
          <w:tcPr>
            <w:tcW w:w="1260" w:type="dxa"/>
            <w:vAlign w:val="bottom"/>
          </w:tcPr>
          <w:p w:rsidR="007D0C8C" w:rsidRPr="00143009" w:rsidRDefault="007D0C8C" w:rsidP="007D0C8C">
            <w:pPr>
              <w:spacing w:before="100" w:beforeAutospacing="1" w:after="100" w:afterAutospacing="1"/>
              <w:jc w:val="center"/>
              <w:rPr>
                <w:b/>
                <w:bCs/>
              </w:rPr>
            </w:pPr>
            <w:r w:rsidRPr="00143009">
              <w:rPr>
                <w:b/>
                <w:bCs/>
              </w:rPr>
              <w:t>FTE</w:t>
            </w:r>
          </w:p>
        </w:tc>
        <w:tc>
          <w:tcPr>
            <w:tcW w:w="1440" w:type="dxa"/>
            <w:vAlign w:val="bottom"/>
          </w:tcPr>
          <w:p w:rsidR="007D0C8C" w:rsidRPr="00143009" w:rsidRDefault="007D0C8C" w:rsidP="007D0C8C">
            <w:pPr>
              <w:spacing w:before="100" w:beforeAutospacing="1" w:after="100" w:afterAutospacing="1"/>
              <w:jc w:val="center"/>
              <w:rPr>
                <w:b/>
                <w:bCs/>
              </w:rPr>
            </w:pPr>
            <w:r>
              <w:rPr>
                <w:b/>
                <w:bCs/>
              </w:rPr>
              <w:t xml:space="preserve">Amount </w:t>
            </w:r>
            <w:r w:rsidRPr="00143009">
              <w:rPr>
                <w:b/>
                <w:bCs/>
              </w:rPr>
              <w:t>($000)</w:t>
            </w:r>
          </w:p>
        </w:tc>
      </w:tr>
      <w:tr w:rsidR="007D0C8C" w:rsidRPr="00762F09" w:rsidTr="007D0C8C">
        <w:tc>
          <w:tcPr>
            <w:tcW w:w="5220" w:type="dxa"/>
          </w:tcPr>
          <w:p w:rsidR="007D0C8C" w:rsidRPr="00762F09" w:rsidRDefault="007D0C8C" w:rsidP="007D0C8C">
            <w:pPr>
              <w:spacing w:before="100" w:beforeAutospacing="1" w:after="100" w:afterAutospacing="1"/>
            </w:pPr>
            <w:r w:rsidRPr="00762F09">
              <w:t>20</w:t>
            </w:r>
            <w:r>
              <w:t>10</w:t>
            </w:r>
            <w:r w:rsidRPr="00762F09">
              <w:t xml:space="preserve"> Enacted w/Rescissions </w:t>
            </w:r>
          </w:p>
        </w:tc>
        <w:tc>
          <w:tcPr>
            <w:tcW w:w="1440" w:type="dxa"/>
          </w:tcPr>
          <w:p w:rsidR="007D0C8C" w:rsidRPr="00762F09" w:rsidRDefault="007D0C8C" w:rsidP="007D0C8C">
            <w:pPr>
              <w:spacing w:before="100" w:beforeAutospacing="1" w:after="100" w:afterAutospacing="1"/>
              <w:jc w:val="right"/>
            </w:pPr>
            <w:r>
              <w:t>3,687</w:t>
            </w:r>
          </w:p>
        </w:tc>
        <w:tc>
          <w:tcPr>
            <w:tcW w:w="1260" w:type="dxa"/>
          </w:tcPr>
          <w:p w:rsidR="007D0C8C" w:rsidRPr="00143009" w:rsidRDefault="007D0C8C" w:rsidP="007D0C8C">
            <w:pPr>
              <w:spacing w:before="100" w:beforeAutospacing="1" w:after="100" w:afterAutospacing="1"/>
              <w:jc w:val="right"/>
              <w:rPr>
                <w:bCs/>
              </w:rPr>
            </w:pPr>
            <w:r>
              <w:rPr>
                <w:bCs/>
              </w:rPr>
              <w:t>3,614</w:t>
            </w:r>
          </w:p>
        </w:tc>
        <w:tc>
          <w:tcPr>
            <w:tcW w:w="1440" w:type="dxa"/>
          </w:tcPr>
          <w:p w:rsidR="007D0C8C" w:rsidRPr="00762F09" w:rsidRDefault="007D0C8C" w:rsidP="007D0C8C">
            <w:pPr>
              <w:spacing w:before="100" w:beforeAutospacing="1" w:after="100" w:afterAutospacing="1"/>
              <w:jc w:val="right"/>
            </w:pPr>
            <w:r>
              <w:t>802,636</w:t>
            </w:r>
          </w:p>
        </w:tc>
      </w:tr>
      <w:tr w:rsidR="007D0C8C" w:rsidRPr="00762F09" w:rsidTr="007D0C8C">
        <w:tc>
          <w:tcPr>
            <w:tcW w:w="5220" w:type="dxa"/>
          </w:tcPr>
          <w:p w:rsidR="007D0C8C" w:rsidRPr="00762F09" w:rsidRDefault="007D0C8C" w:rsidP="007D0C8C">
            <w:pPr>
              <w:spacing w:before="100" w:beforeAutospacing="1" w:after="100" w:afterAutospacing="1"/>
              <w:ind w:right="-468"/>
            </w:pPr>
            <w:r w:rsidRPr="00762F09">
              <w:t>20</w:t>
            </w:r>
            <w:r>
              <w:t>10</w:t>
            </w:r>
            <w:r w:rsidRPr="00762F09">
              <w:t xml:space="preserve"> Supplemental</w:t>
            </w:r>
          </w:p>
        </w:tc>
        <w:tc>
          <w:tcPr>
            <w:tcW w:w="1440" w:type="dxa"/>
          </w:tcPr>
          <w:p w:rsidR="007D0C8C" w:rsidRPr="00762F09" w:rsidRDefault="007D0C8C" w:rsidP="007D0C8C">
            <w:pPr>
              <w:spacing w:before="100" w:beforeAutospacing="1" w:after="100" w:afterAutospacing="1"/>
              <w:jc w:val="right"/>
            </w:pPr>
            <w:r w:rsidRPr="00762F09">
              <w:t>0</w:t>
            </w:r>
          </w:p>
        </w:tc>
        <w:tc>
          <w:tcPr>
            <w:tcW w:w="1260" w:type="dxa"/>
          </w:tcPr>
          <w:p w:rsidR="007D0C8C" w:rsidRPr="00762F09" w:rsidRDefault="007D0C8C" w:rsidP="007D0C8C">
            <w:pPr>
              <w:spacing w:before="100" w:beforeAutospacing="1" w:after="100" w:afterAutospacing="1"/>
              <w:jc w:val="right"/>
            </w:pPr>
            <w:r w:rsidRPr="00762F09">
              <w:t>0</w:t>
            </w:r>
          </w:p>
        </w:tc>
        <w:tc>
          <w:tcPr>
            <w:tcW w:w="1440" w:type="dxa"/>
          </w:tcPr>
          <w:p w:rsidR="007D0C8C" w:rsidRPr="00762F09" w:rsidRDefault="007415D1" w:rsidP="007415D1">
            <w:pPr>
              <w:spacing w:before="100" w:beforeAutospacing="1" w:after="100" w:afterAutospacing="1"/>
              <w:jc w:val="right"/>
            </w:pPr>
            <w:r>
              <w:t>37,500</w:t>
            </w:r>
          </w:p>
        </w:tc>
      </w:tr>
      <w:tr w:rsidR="007D0C8C" w:rsidRPr="00762F09" w:rsidTr="007D0C8C">
        <w:tc>
          <w:tcPr>
            <w:tcW w:w="5220" w:type="dxa"/>
          </w:tcPr>
          <w:p w:rsidR="007D0C8C" w:rsidRPr="00762F09" w:rsidRDefault="007D0C8C" w:rsidP="007D0C8C">
            <w:pPr>
              <w:spacing w:before="100" w:beforeAutospacing="1" w:after="100" w:afterAutospacing="1"/>
              <w:ind w:right="-468"/>
            </w:pPr>
            <w:r w:rsidRPr="00762F09">
              <w:t>20</w:t>
            </w:r>
            <w:r>
              <w:t>10</w:t>
            </w:r>
            <w:r w:rsidRPr="00762F09">
              <w:t xml:space="preserve"> Enacted w/Rescissions and Supplemental</w:t>
            </w:r>
          </w:p>
        </w:tc>
        <w:tc>
          <w:tcPr>
            <w:tcW w:w="1440" w:type="dxa"/>
          </w:tcPr>
          <w:p w:rsidR="007D0C8C" w:rsidRPr="00762F09" w:rsidRDefault="007D0C8C" w:rsidP="007D0C8C">
            <w:pPr>
              <w:spacing w:before="100" w:beforeAutospacing="1" w:after="100" w:afterAutospacing="1"/>
              <w:jc w:val="right"/>
            </w:pPr>
            <w:r>
              <w:t>3,687</w:t>
            </w:r>
          </w:p>
        </w:tc>
        <w:tc>
          <w:tcPr>
            <w:tcW w:w="1260" w:type="dxa"/>
          </w:tcPr>
          <w:p w:rsidR="007D0C8C" w:rsidRPr="00762F09" w:rsidRDefault="007D0C8C" w:rsidP="007D0C8C">
            <w:pPr>
              <w:spacing w:before="100" w:beforeAutospacing="1" w:after="100" w:afterAutospacing="1"/>
              <w:jc w:val="right"/>
            </w:pPr>
            <w:r>
              <w:t>3,614</w:t>
            </w:r>
          </w:p>
        </w:tc>
        <w:tc>
          <w:tcPr>
            <w:tcW w:w="1440" w:type="dxa"/>
          </w:tcPr>
          <w:p w:rsidR="007D0C8C" w:rsidRPr="00762F09" w:rsidRDefault="007D0C8C" w:rsidP="007415D1">
            <w:pPr>
              <w:spacing w:before="100" w:beforeAutospacing="1" w:after="100" w:afterAutospacing="1"/>
              <w:jc w:val="right"/>
            </w:pPr>
            <w:r>
              <w:t>8</w:t>
            </w:r>
            <w:r w:rsidR="007415D1">
              <w:t>40</w:t>
            </w:r>
            <w:r>
              <w:t>,</w:t>
            </w:r>
            <w:r w:rsidR="007415D1">
              <w:t>136</w:t>
            </w:r>
          </w:p>
        </w:tc>
      </w:tr>
      <w:tr w:rsidR="007D0C8C" w:rsidRPr="00762F09" w:rsidTr="007D0C8C">
        <w:tc>
          <w:tcPr>
            <w:tcW w:w="5220" w:type="dxa"/>
          </w:tcPr>
          <w:p w:rsidR="007D0C8C" w:rsidRPr="00762F09" w:rsidRDefault="007D0C8C" w:rsidP="007D0C8C">
            <w:pPr>
              <w:spacing w:before="100" w:beforeAutospacing="1" w:after="100" w:afterAutospacing="1"/>
              <w:ind w:right="-468"/>
            </w:pPr>
            <w:r w:rsidRPr="00762F09">
              <w:t>20</w:t>
            </w:r>
            <w:r>
              <w:t>11</w:t>
            </w:r>
            <w:r w:rsidRPr="00762F09">
              <w:t xml:space="preserve"> </w:t>
            </w:r>
            <w:r w:rsidR="00601472">
              <w:t>CR</w:t>
            </w:r>
          </w:p>
        </w:tc>
        <w:tc>
          <w:tcPr>
            <w:tcW w:w="1440" w:type="dxa"/>
          </w:tcPr>
          <w:p w:rsidR="007D0C8C" w:rsidRPr="00762F09" w:rsidRDefault="007D0C8C" w:rsidP="00601472">
            <w:pPr>
              <w:spacing w:before="100" w:beforeAutospacing="1" w:after="100" w:afterAutospacing="1"/>
              <w:jc w:val="right"/>
            </w:pPr>
            <w:r>
              <w:t>3,</w:t>
            </w:r>
            <w:r w:rsidR="00601472">
              <w:t>687</w:t>
            </w:r>
          </w:p>
        </w:tc>
        <w:tc>
          <w:tcPr>
            <w:tcW w:w="1260" w:type="dxa"/>
          </w:tcPr>
          <w:p w:rsidR="007D0C8C" w:rsidRPr="00762F09" w:rsidRDefault="007D0C8C" w:rsidP="00601472">
            <w:pPr>
              <w:spacing w:before="100" w:beforeAutospacing="1" w:after="100" w:afterAutospacing="1"/>
              <w:jc w:val="right"/>
            </w:pPr>
            <w:r>
              <w:t>3,</w:t>
            </w:r>
            <w:r w:rsidR="00601472">
              <w:t>614</w:t>
            </w:r>
          </w:p>
        </w:tc>
        <w:tc>
          <w:tcPr>
            <w:tcW w:w="1440" w:type="dxa"/>
          </w:tcPr>
          <w:p w:rsidR="007D0C8C" w:rsidRPr="00762F09" w:rsidRDefault="007D0C8C" w:rsidP="00A1208F">
            <w:pPr>
              <w:spacing w:before="100" w:beforeAutospacing="1" w:after="100" w:afterAutospacing="1"/>
              <w:jc w:val="right"/>
            </w:pPr>
            <w:r>
              <w:t>8</w:t>
            </w:r>
            <w:r w:rsidR="00A1208F">
              <w:t>02</w:t>
            </w:r>
            <w:r>
              <w:t>,</w:t>
            </w:r>
            <w:r w:rsidR="00A1208F">
              <w:t>636</w:t>
            </w:r>
          </w:p>
        </w:tc>
      </w:tr>
      <w:tr w:rsidR="007D0C8C" w:rsidRPr="00762F09" w:rsidTr="007D0C8C">
        <w:tc>
          <w:tcPr>
            <w:tcW w:w="5220" w:type="dxa"/>
          </w:tcPr>
          <w:p w:rsidR="007D0C8C" w:rsidRPr="00762F09" w:rsidRDefault="007D0C8C" w:rsidP="007D0C8C">
            <w:pPr>
              <w:spacing w:before="100" w:beforeAutospacing="1" w:after="100" w:afterAutospacing="1"/>
              <w:ind w:right="-468"/>
            </w:pPr>
            <w:r w:rsidRPr="00762F09">
              <w:t>Adjustments to Base and Technical Adjustments</w:t>
            </w:r>
          </w:p>
        </w:tc>
        <w:tc>
          <w:tcPr>
            <w:tcW w:w="1440" w:type="dxa"/>
          </w:tcPr>
          <w:p w:rsidR="007D0C8C" w:rsidRPr="00D02E43" w:rsidRDefault="007D0C8C" w:rsidP="00A1208F">
            <w:pPr>
              <w:spacing w:before="100" w:beforeAutospacing="1" w:after="100" w:afterAutospacing="1"/>
              <w:jc w:val="right"/>
            </w:pPr>
            <w:r>
              <w:t>1</w:t>
            </w:r>
            <w:r w:rsidR="00A1208F">
              <w:t>53</w:t>
            </w:r>
          </w:p>
        </w:tc>
        <w:tc>
          <w:tcPr>
            <w:tcW w:w="1260" w:type="dxa"/>
          </w:tcPr>
          <w:p w:rsidR="007D0C8C" w:rsidRPr="00D02E43" w:rsidRDefault="007D0C8C" w:rsidP="00A1208F">
            <w:pPr>
              <w:spacing w:before="100" w:beforeAutospacing="1" w:after="100" w:afterAutospacing="1"/>
              <w:jc w:val="right"/>
            </w:pPr>
            <w:r>
              <w:t>19</w:t>
            </w:r>
            <w:r w:rsidR="00A1208F">
              <w:t>9</w:t>
            </w:r>
          </w:p>
        </w:tc>
        <w:tc>
          <w:tcPr>
            <w:tcW w:w="1440" w:type="dxa"/>
          </w:tcPr>
          <w:p w:rsidR="007D0C8C" w:rsidRPr="00D02E43" w:rsidRDefault="00A1208F" w:rsidP="00A1208F">
            <w:pPr>
              <w:spacing w:before="100" w:beforeAutospacing="1" w:after="100" w:afterAutospacing="1"/>
              <w:jc w:val="right"/>
            </w:pPr>
            <w:r>
              <w:t>78,947</w:t>
            </w:r>
          </w:p>
        </w:tc>
      </w:tr>
      <w:tr w:rsidR="007D0C8C" w:rsidRPr="00762F09" w:rsidTr="007D0C8C">
        <w:tc>
          <w:tcPr>
            <w:tcW w:w="5220" w:type="dxa"/>
          </w:tcPr>
          <w:p w:rsidR="007D0C8C" w:rsidRPr="00762F09" w:rsidRDefault="007D0C8C" w:rsidP="007D0C8C">
            <w:pPr>
              <w:spacing w:before="100" w:beforeAutospacing="1" w:after="100" w:afterAutospacing="1"/>
            </w:pPr>
            <w:r w:rsidRPr="00762F09">
              <w:t>201</w:t>
            </w:r>
            <w:r>
              <w:t>2</w:t>
            </w:r>
            <w:r w:rsidRPr="00762F09">
              <w:t xml:space="preserve"> Current Services</w:t>
            </w:r>
          </w:p>
        </w:tc>
        <w:tc>
          <w:tcPr>
            <w:tcW w:w="1440" w:type="dxa"/>
          </w:tcPr>
          <w:p w:rsidR="007D0C8C" w:rsidRPr="00143009" w:rsidRDefault="007D0C8C" w:rsidP="00A1208F">
            <w:pPr>
              <w:spacing w:before="100" w:beforeAutospacing="1" w:after="100" w:afterAutospacing="1"/>
              <w:jc w:val="right"/>
              <w:rPr>
                <w:highlight w:val="yellow"/>
              </w:rPr>
            </w:pPr>
            <w:r>
              <w:t>3,</w:t>
            </w:r>
            <w:r w:rsidR="00A1208F">
              <w:t>840</w:t>
            </w:r>
          </w:p>
        </w:tc>
        <w:tc>
          <w:tcPr>
            <w:tcW w:w="1260" w:type="dxa"/>
          </w:tcPr>
          <w:p w:rsidR="007D0C8C" w:rsidRPr="00143009" w:rsidRDefault="007D0C8C" w:rsidP="00A1208F">
            <w:pPr>
              <w:spacing w:before="100" w:beforeAutospacing="1" w:after="100" w:afterAutospacing="1"/>
              <w:jc w:val="right"/>
              <w:rPr>
                <w:highlight w:val="yellow"/>
              </w:rPr>
            </w:pPr>
            <w:r>
              <w:t>3,8</w:t>
            </w:r>
            <w:r w:rsidR="00A1208F">
              <w:t>13</w:t>
            </w:r>
          </w:p>
        </w:tc>
        <w:tc>
          <w:tcPr>
            <w:tcW w:w="1440" w:type="dxa"/>
          </w:tcPr>
          <w:p w:rsidR="007D0C8C" w:rsidRPr="00143009" w:rsidRDefault="00A1208F" w:rsidP="00A1208F">
            <w:pPr>
              <w:spacing w:before="100" w:beforeAutospacing="1" w:after="100" w:afterAutospacing="1"/>
              <w:jc w:val="right"/>
              <w:rPr>
                <w:highlight w:val="yellow"/>
              </w:rPr>
            </w:pPr>
            <w:r>
              <w:t>881,583</w:t>
            </w:r>
          </w:p>
        </w:tc>
      </w:tr>
      <w:tr w:rsidR="007D0C8C" w:rsidRPr="00762F09" w:rsidTr="007D0C8C">
        <w:tc>
          <w:tcPr>
            <w:tcW w:w="5220" w:type="dxa"/>
          </w:tcPr>
          <w:p w:rsidR="007D0C8C" w:rsidRPr="00762F09" w:rsidRDefault="007D0C8C" w:rsidP="007D0C8C">
            <w:pPr>
              <w:spacing w:before="100" w:beforeAutospacing="1" w:after="100" w:afterAutospacing="1"/>
            </w:pPr>
            <w:r w:rsidRPr="00762F09">
              <w:t>201</w:t>
            </w:r>
            <w:r>
              <w:t>2</w:t>
            </w:r>
            <w:r w:rsidRPr="00762F09">
              <w:t xml:space="preserve"> </w:t>
            </w:r>
            <w:r>
              <w:t>Program Increases</w:t>
            </w:r>
          </w:p>
        </w:tc>
        <w:tc>
          <w:tcPr>
            <w:tcW w:w="1440" w:type="dxa"/>
          </w:tcPr>
          <w:p w:rsidR="007D0C8C" w:rsidRPr="00D02E43" w:rsidRDefault="00A1208F" w:rsidP="007D0C8C">
            <w:pPr>
              <w:spacing w:before="100" w:beforeAutospacing="1" w:after="100" w:afterAutospacing="1"/>
              <w:jc w:val="right"/>
            </w:pPr>
            <w:r>
              <w:t>6</w:t>
            </w:r>
          </w:p>
        </w:tc>
        <w:tc>
          <w:tcPr>
            <w:tcW w:w="1260" w:type="dxa"/>
          </w:tcPr>
          <w:p w:rsidR="007D0C8C" w:rsidRPr="00D02E43" w:rsidRDefault="00A1208F" w:rsidP="007D0C8C">
            <w:pPr>
              <w:spacing w:before="100" w:beforeAutospacing="1" w:after="100" w:afterAutospacing="1"/>
              <w:jc w:val="right"/>
            </w:pPr>
            <w:r>
              <w:t>3</w:t>
            </w:r>
          </w:p>
        </w:tc>
        <w:tc>
          <w:tcPr>
            <w:tcW w:w="1440" w:type="dxa"/>
          </w:tcPr>
          <w:p w:rsidR="007D0C8C" w:rsidRPr="00D02E43" w:rsidRDefault="007D0C8C" w:rsidP="00A1208F">
            <w:pPr>
              <w:spacing w:before="100" w:beforeAutospacing="1" w:after="100" w:afterAutospacing="1"/>
              <w:jc w:val="right"/>
            </w:pPr>
            <w:r>
              <w:t>1,</w:t>
            </w:r>
            <w:r w:rsidR="00A1208F">
              <w:t>139</w:t>
            </w:r>
          </w:p>
        </w:tc>
      </w:tr>
      <w:tr w:rsidR="007D0C8C" w:rsidRPr="00762F09" w:rsidTr="007D0C8C">
        <w:tc>
          <w:tcPr>
            <w:tcW w:w="5220" w:type="dxa"/>
          </w:tcPr>
          <w:p w:rsidR="007D0C8C" w:rsidRPr="00762F09" w:rsidRDefault="007D0C8C" w:rsidP="007D0C8C">
            <w:pPr>
              <w:spacing w:before="100" w:beforeAutospacing="1" w:after="100" w:afterAutospacing="1"/>
            </w:pPr>
            <w:r>
              <w:t>2012 Program Offsets</w:t>
            </w:r>
          </w:p>
        </w:tc>
        <w:tc>
          <w:tcPr>
            <w:tcW w:w="1440" w:type="dxa"/>
          </w:tcPr>
          <w:p w:rsidR="007D0C8C" w:rsidRDefault="007D0C8C" w:rsidP="007D0C8C">
            <w:pPr>
              <w:spacing w:before="100" w:beforeAutospacing="1" w:after="100" w:afterAutospacing="1"/>
              <w:jc w:val="right"/>
            </w:pPr>
            <w:r>
              <w:t>0</w:t>
            </w:r>
          </w:p>
        </w:tc>
        <w:tc>
          <w:tcPr>
            <w:tcW w:w="1260" w:type="dxa"/>
          </w:tcPr>
          <w:p w:rsidR="007D0C8C" w:rsidRDefault="007D0C8C" w:rsidP="007D0C8C">
            <w:pPr>
              <w:spacing w:before="100" w:beforeAutospacing="1" w:after="100" w:afterAutospacing="1"/>
              <w:jc w:val="right"/>
            </w:pPr>
            <w:r>
              <w:t>0</w:t>
            </w:r>
          </w:p>
        </w:tc>
        <w:tc>
          <w:tcPr>
            <w:tcW w:w="1440" w:type="dxa"/>
          </w:tcPr>
          <w:p w:rsidR="007D0C8C" w:rsidRDefault="007D0C8C" w:rsidP="00A1208F">
            <w:pPr>
              <w:spacing w:before="100" w:beforeAutospacing="1" w:after="100" w:afterAutospacing="1"/>
              <w:jc w:val="right"/>
            </w:pPr>
            <w:r>
              <w:t>(2</w:t>
            </w:r>
            <w:r w:rsidR="00A1208F">
              <w:t>2</w:t>
            </w:r>
            <w:r>
              <w:t>,</w:t>
            </w:r>
            <w:r w:rsidR="00A1208F">
              <w:t>250</w:t>
            </w:r>
            <w:r>
              <w:t>)</w:t>
            </w:r>
          </w:p>
        </w:tc>
      </w:tr>
      <w:tr w:rsidR="007D0C8C" w:rsidRPr="00762F09" w:rsidTr="007D0C8C">
        <w:tc>
          <w:tcPr>
            <w:tcW w:w="5220" w:type="dxa"/>
          </w:tcPr>
          <w:p w:rsidR="007D0C8C" w:rsidRPr="00762F09" w:rsidRDefault="007D0C8C" w:rsidP="007D0C8C">
            <w:pPr>
              <w:spacing w:before="100" w:beforeAutospacing="1" w:after="100" w:afterAutospacing="1"/>
            </w:pPr>
            <w:r w:rsidRPr="00762F09">
              <w:t>201</w:t>
            </w:r>
            <w:r>
              <w:t>2</w:t>
            </w:r>
            <w:r w:rsidRPr="00762F09">
              <w:t xml:space="preserve"> Request</w:t>
            </w:r>
          </w:p>
        </w:tc>
        <w:tc>
          <w:tcPr>
            <w:tcW w:w="1440" w:type="dxa"/>
          </w:tcPr>
          <w:p w:rsidR="007D0C8C" w:rsidRPr="00D02E43" w:rsidRDefault="007D0C8C" w:rsidP="00A1208F">
            <w:pPr>
              <w:spacing w:before="100" w:beforeAutospacing="1" w:after="100" w:afterAutospacing="1"/>
              <w:jc w:val="right"/>
            </w:pPr>
            <w:r>
              <w:t>3,</w:t>
            </w:r>
            <w:r w:rsidR="00A1208F">
              <w:t>846</w:t>
            </w:r>
          </w:p>
        </w:tc>
        <w:tc>
          <w:tcPr>
            <w:tcW w:w="1260" w:type="dxa"/>
          </w:tcPr>
          <w:p w:rsidR="007D0C8C" w:rsidRPr="00D02E43" w:rsidRDefault="007D0C8C" w:rsidP="00A1208F">
            <w:pPr>
              <w:spacing w:before="100" w:beforeAutospacing="1" w:after="100" w:afterAutospacing="1"/>
              <w:jc w:val="right"/>
            </w:pPr>
            <w:r>
              <w:t>3,</w:t>
            </w:r>
            <w:r w:rsidR="00A1208F">
              <w:t>816</w:t>
            </w:r>
          </w:p>
        </w:tc>
        <w:tc>
          <w:tcPr>
            <w:tcW w:w="1440" w:type="dxa"/>
          </w:tcPr>
          <w:p w:rsidR="007D0C8C" w:rsidRPr="00D02E43" w:rsidRDefault="00A1208F" w:rsidP="002F0E6A">
            <w:pPr>
              <w:spacing w:before="100" w:beforeAutospacing="1" w:after="100" w:afterAutospacing="1"/>
              <w:jc w:val="right"/>
            </w:pPr>
            <w:r>
              <w:t>860,47</w:t>
            </w:r>
            <w:r w:rsidR="002F0E6A">
              <w:t>2</w:t>
            </w:r>
          </w:p>
        </w:tc>
      </w:tr>
      <w:tr w:rsidR="007D0C8C" w:rsidRPr="00762F09" w:rsidTr="007D0C8C">
        <w:tc>
          <w:tcPr>
            <w:tcW w:w="5220" w:type="dxa"/>
            <w:shd w:val="clear" w:color="auto" w:fill="E0E0E0"/>
          </w:tcPr>
          <w:p w:rsidR="007D0C8C" w:rsidRPr="00143009" w:rsidRDefault="007D0C8C" w:rsidP="007D0C8C">
            <w:pPr>
              <w:spacing w:before="100" w:beforeAutospacing="1" w:after="100" w:afterAutospacing="1"/>
              <w:rPr>
                <w:b/>
                <w:bCs/>
              </w:rPr>
            </w:pPr>
            <w:r w:rsidRPr="00143009">
              <w:rPr>
                <w:b/>
                <w:bCs/>
              </w:rPr>
              <w:t>Total Change 201</w:t>
            </w:r>
            <w:r>
              <w:rPr>
                <w:b/>
                <w:bCs/>
              </w:rPr>
              <w:t>1</w:t>
            </w:r>
            <w:r w:rsidRPr="00143009">
              <w:rPr>
                <w:b/>
                <w:bCs/>
              </w:rPr>
              <w:t>-201</w:t>
            </w:r>
            <w:r>
              <w:rPr>
                <w:b/>
                <w:bCs/>
              </w:rPr>
              <w:t>2</w:t>
            </w:r>
          </w:p>
        </w:tc>
        <w:tc>
          <w:tcPr>
            <w:tcW w:w="1440" w:type="dxa"/>
            <w:shd w:val="clear" w:color="auto" w:fill="E0E0E0"/>
          </w:tcPr>
          <w:p w:rsidR="007D0C8C" w:rsidRPr="00143009" w:rsidRDefault="00A1208F" w:rsidP="00A1208F">
            <w:pPr>
              <w:spacing w:before="100" w:beforeAutospacing="1" w:after="100" w:afterAutospacing="1"/>
              <w:jc w:val="right"/>
              <w:rPr>
                <w:b/>
              </w:rPr>
            </w:pPr>
            <w:r>
              <w:rPr>
                <w:b/>
              </w:rPr>
              <w:t>159</w:t>
            </w:r>
          </w:p>
        </w:tc>
        <w:tc>
          <w:tcPr>
            <w:tcW w:w="1260" w:type="dxa"/>
            <w:shd w:val="clear" w:color="auto" w:fill="E0E0E0"/>
          </w:tcPr>
          <w:p w:rsidR="007D0C8C" w:rsidRPr="00143009" w:rsidRDefault="007D0C8C" w:rsidP="00A1208F">
            <w:pPr>
              <w:spacing w:before="100" w:beforeAutospacing="1" w:after="100" w:afterAutospacing="1"/>
              <w:jc w:val="right"/>
              <w:rPr>
                <w:b/>
              </w:rPr>
            </w:pPr>
            <w:r>
              <w:rPr>
                <w:b/>
              </w:rPr>
              <w:t>20</w:t>
            </w:r>
            <w:r w:rsidR="00A1208F">
              <w:rPr>
                <w:b/>
              </w:rPr>
              <w:t>2</w:t>
            </w:r>
          </w:p>
        </w:tc>
        <w:tc>
          <w:tcPr>
            <w:tcW w:w="1440" w:type="dxa"/>
            <w:shd w:val="clear" w:color="auto" w:fill="E0E0E0"/>
          </w:tcPr>
          <w:p w:rsidR="007D0C8C" w:rsidRPr="00143009" w:rsidRDefault="00A1208F" w:rsidP="002F0E6A">
            <w:pPr>
              <w:spacing w:before="100" w:beforeAutospacing="1" w:after="100" w:afterAutospacing="1"/>
              <w:jc w:val="right"/>
              <w:rPr>
                <w:b/>
              </w:rPr>
            </w:pPr>
            <w:r>
              <w:rPr>
                <w:b/>
              </w:rPr>
              <w:t>57,</w:t>
            </w:r>
            <w:r w:rsidR="002F0E6A">
              <w:rPr>
                <w:b/>
              </w:rPr>
              <w:t>836</w:t>
            </w:r>
          </w:p>
        </w:tc>
      </w:tr>
    </w:tbl>
    <w:tbl>
      <w:tblPr>
        <w:tblpPr w:leftFromText="180" w:rightFromText="180" w:vertAnchor="text" w:horzAnchor="margin" w:tblpX="108" w:tblpY="42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12"/>
        <w:gridCol w:w="1440"/>
        <w:gridCol w:w="1260"/>
        <w:gridCol w:w="1440"/>
      </w:tblGrid>
      <w:tr w:rsidR="007D0C8C" w:rsidRPr="00762F09" w:rsidTr="007D0C8C">
        <w:tc>
          <w:tcPr>
            <w:tcW w:w="5112" w:type="dxa"/>
          </w:tcPr>
          <w:p w:rsidR="007D0C8C" w:rsidRPr="006C5146" w:rsidRDefault="007D0C8C" w:rsidP="007D0C8C">
            <w:pPr>
              <w:spacing w:before="100" w:beforeAutospacing="1" w:after="100" w:afterAutospacing="1"/>
              <w:rPr>
                <w:b/>
                <w:bCs/>
              </w:rPr>
            </w:pPr>
            <w:r w:rsidRPr="006C5146">
              <w:rPr>
                <w:b/>
                <w:bCs/>
              </w:rPr>
              <w:t>Firearms – Information Technology Breakout (of Decision Unit Total)</w:t>
            </w:r>
          </w:p>
        </w:tc>
        <w:tc>
          <w:tcPr>
            <w:tcW w:w="1440" w:type="dxa"/>
            <w:vAlign w:val="bottom"/>
          </w:tcPr>
          <w:p w:rsidR="007D0C8C" w:rsidRPr="006C5146" w:rsidRDefault="007D0C8C" w:rsidP="007D0C8C">
            <w:pPr>
              <w:spacing w:before="100" w:beforeAutospacing="1" w:after="100" w:afterAutospacing="1"/>
              <w:jc w:val="center"/>
              <w:rPr>
                <w:b/>
                <w:bCs/>
              </w:rPr>
            </w:pPr>
            <w:smartTag w:uri="urn:schemas-microsoft-com:office:smarttags" w:element="place">
              <w:smartTag w:uri="urn:schemas-microsoft-com:office:smarttags" w:element="City">
                <w:r w:rsidRPr="006C5146">
                  <w:rPr>
                    <w:b/>
                    <w:bCs/>
                  </w:rPr>
                  <w:t>Perm</w:t>
                </w:r>
              </w:smartTag>
            </w:smartTag>
            <w:r w:rsidRPr="006C5146">
              <w:rPr>
                <w:b/>
                <w:bCs/>
              </w:rPr>
              <w:t xml:space="preserve"> Pos.</w:t>
            </w:r>
          </w:p>
        </w:tc>
        <w:tc>
          <w:tcPr>
            <w:tcW w:w="1260" w:type="dxa"/>
            <w:vAlign w:val="bottom"/>
          </w:tcPr>
          <w:p w:rsidR="007D0C8C" w:rsidRPr="006C5146" w:rsidRDefault="007D0C8C" w:rsidP="007D0C8C">
            <w:pPr>
              <w:spacing w:before="100" w:beforeAutospacing="1" w:after="100" w:afterAutospacing="1"/>
              <w:jc w:val="center"/>
              <w:rPr>
                <w:b/>
                <w:bCs/>
              </w:rPr>
            </w:pPr>
            <w:r w:rsidRPr="006C5146">
              <w:rPr>
                <w:b/>
                <w:bCs/>
              </w:rPr>
              <w:t>FTE</w:t>
            </w:r>
          </w:p>
        </w:tc>
        <w:tc>
          <w:tcPr>
            <w:tcW w:w="1440" w:type="dxa"/>
            <w:vAlign w:val="bottom"/>
          </w:tcPr>
          <w:p w:rsidR="007D0C8C" w:rsidRPr="006C5146" w:rsidRDefault="007D0C8C" w:rsidP="007D0C8C">
            <w:pPr>
              <w:spacing w:before="100" w:beforeAutospacing="1" w:after="100" w:afterAutospacing="1"/>
              <w:jc w:val="center"/>
              <w:rPr>
                <w:b/>
                <w:bCs/>
              </w:rPr>
            </w:pPr>
            <w:r w:rsidRPr="006C5146">
              <w:rPr>
                <w:b/>
                <w:bCs/>
              </w:rPr>
              <w:t>Amount</w:t>
            </w:r>
            <w:r>
              <w:rPr>
                <w:b/>
                <w:bCs/>
              </w:rPr>
              <w:t xml:space="preserve"> </w:t>
            </w:r>
            <w:r w:rsidRPr="006C5146">
              <w:rPr>
                <w:b/>
                <w:bCs/>
              </w:rPr>
              <w:t>($000)</w:t>
            </w:r>
          </w:p>
        </w:tc>
      </w:tr>
      <w:tr w:rsidR="007D0C8C" w:rsidRPr="00762F09" w:rsidTr="007D0C8C">
        <w:tc>
          <w:tcPr>
            <w:tcW w:w="5112" w:type="dxa"/>
          </w:tcPr>
          <w:p w:rsidR="007D0C8C" w:rsidRPr="00762F09" w:rsidRDefault="007D0C8C" w:rsidP="007D0C8C">
            <w:pPr>
              <w:spacing w:before="100" w:beforeAutospacing="1" w:after="100" w:afterAutospacing="1"/>
            </w:pPr>
            <w:r w:rsidRPr="00762F09">
              <w:t>20</w:t>
            </w:r>
            <w:r>
              <w:t>10</w:t>
            </w:r>
            <w:r w:rsidRPr="00762F09">
              <w:t xml:space="preserve"> Enacted w/Rescissions </w:t>
            </w:r>
          </w:p>
        </w:tc>
        <w:tc>
          <w:tcPr>
            <w:tcW w:w="1440" w:type="dxa"/>
          </w:tcPr>
          <w:p w:rsidR="007D0C8C" w:rsidRPr="00762F09" w:rsidRDefault="007D0C8C" w:rsidP="007D0C8C">
            <w:pPr>
              <w:spacing w:before="100" w:beforeAutospacing="1" w:after="100" w:afterAutospacing="1"/>
              <w:jc w:val="right"/>
            </w:pPr>
            <w:r>
              <w:t>65</w:t>
            </w:r>
          </w:p>
        </w:tc>
        <w:tc>
          <w:tcPr>
            <w:tcW w:w="1260" w:type="dxa"/>
          </w:tcPr>
          <w:p w:rsidR="007D0C8C" w:rsidRPr="006C5146" w:rsidRDefault="007D0C8C" w:rsidP="007D0C8C">
            <w:pPr>
              <w:spacing w:before="100" w:beforeAutospacing="1" w:after="100" w:afterAutospacing="1"/>
              <w:jc w:val="right"/>
              <w:rPr>
                <w:bCs/>
              </w:rPr>
            </w:pPr>
            <w:r>
              <w:rPr>
                <w:bCs/>
              </w:rPr>
              <w:t>65</w:t>
            </w:r>
          </w:p>
        </w:tc>
        <w:tc>
          <w:tcPr>
            <w:tcW w:w="1440" w:type="dxa"/>
          </w:tcPr>
          <w:p w:rsidR="007D0C8C" w:rsidRPr="00762F09" w:rsidRDefault="007D0C8C" w:rsidP="007D0C8C">
            <w:pPr>
              <w:spacing w:before="100" w:beforeAutospacing="1" w:after="100" w:afterAutospacing="1"/>
              <w:jc w:val="right"/>
            </w:pPr>
            <w:r>
              <w:t>92,969</w:t>
            </w:r>
          </w:p>
        </w:tc>
      </w:tr>
      <w:tr w:rsidR="007D0C8C" w:rsidRPr="00762F09" w:rsidTr="007D0C8C">
        <w:tc>
          <w:tcPr>
            <w:tcW w:w="5112" w:type="dxa"/>
          </w:tcPr>
          <w:p w:rsidR="007D0C8C" w:rsidRPr="00762F09" w:rsidRDefault="007D0C8C" w:rsidP="007D0C8C">
            <w:pPr>
              <w:spacing w:before="100" w:beforeAutospacing="1" w:after="100" w:afterAutospacing="1"/>
              <w:ind w:right="-468"/>
            </w:pPr>
            <w:r w:rsidRPr="00762F09">
              <w:t>20</w:t>
            </w:r>
            <w:r>
              <w:t>10</w:t>
            </w:r>
            <w:r w:rsidRPr="00762F09">
              <w:t xml:space="preserve"> Supplemental</w:t>
            </w:r>
          </w:p>
        </w:tc>
        <w:tc>
          <w:tcPr>
            <w:tcW w:w="1440" w:type="dxa"/>
          </w:tcPr>
          <w:p w:rsidR="007D0C8C" w:rsidRPr="00762F09" w:rsidRDefault="007D0C8C" w:rsidP="007D0C8C">
            <w:pPr>
              <w:spacing w:before="100" w:beforeAutospacing="1" w:after="100" w:afterAutospacing="1"/>
              <w:jc w:val="right"/>
            </w:pPr>
            <w:r>
              <w:t>0</w:t>
            </w:r>
          </w:p>
        </w:tc>
        <w:tc>
          <w:tcPr>
            <w:tcW w:w="1260" w:type="dxa"/>
          </w:tcPr>
          <w:p w:rsidR="007D0C8C" w:rsidRPr="00762F09" w:rsidRDefault="007D0C8C" w:rsidP="007D0C8C">
            <w:pPr>
              <w:spacing w:before="100" w:beforeAutospacing="1" w:after="100" w:afterAutospacing="1"/>
              <w:jc w:val="right"/>
            </w:pPr>
            <w:r>
              <w:t>0</w:t>
            </w:r>
          </w:p>
        </w:tc>
        <w:tc>
          <w:tcPr>
            <w:tcW w:w="1440" w:type="dxa"/>
          </w:tcPr>
          <w:p w:rsidR="007D0C8C" w:rsidRPr="00762F09" w:rsidRDefault="007D0C8C" w:rsidP="007D0C8C">
            <w:pPr>
              <w:spacing w:before="100" w:beforeAutospacing="1" w:after="100" w:afterAutospacing="1"/>
              <w:jc w:val="right"/>
            </w:pPr>
            <w:r>
              <w:t>0</w:t>
            </w:r>
          </w:p>
        </w:tc>
      </w:tr>
      <w:tr w:rsidR="007D0C8C" w:rsidRPr="00762F09" w:rsidTr="007D0C8C">
        <w:tc>
          <w:tcPr>
            <w:tcW w:w="5112" w:type="dxa"/>
          </w:tcPr>
          <w:p w:rsidR="007D0C8C" w:rsidRPr="00762F09" w:rsidRDefault="007D0C8C" w:rsidP="007D0C8C">
            <w:pPr>
              <w:spacing w:before="100" w:beforeAutospacing="1" w:after="100" w:afterAutospacing="1"/>
              <w:ind w:right="-468"/>
            </w:pPr>
            <w:r w:rsidRPr="00762F09">
              <w:t>20</w:t>
            </w:r>
            <w:r>
              <w:t>10</w:t>
            </w:r>
            <w:r w:rsidRPr="00762F09">
              <w:t xml:space="preserve"> Enacted w/Rescissions and Supplemental</w:t>
            </w:r>
          </w:p>
        </w:tc>
        <w:tc>
          <w:tcPr>
            <w:tcW w:w="1440" w:type="dxa"/>
          </w:tcPr>
          <w:p w:rsidR="007D0C8C" w:rsidRPr="00762F09" w:rsidRDefault="007D0C8C" w:rsidP="007D0C8C">
            <w:pPr>
              <w:spacing w:before="100" w:beforeAutospacing="1" w:after="100" w:afterAutospacing="1"/>
              <w:jc w:val="right"/>
            </w:pPr>
            <w:r>
              <w:t>65</w:t>
            </w:r>
          </w:p>
        </w:tc>
        <w:tc>
          <w:tcPr>
            <w:tcW w:w="1260" w:type="dxa"/>
          </w:tcPr>
          <w:p w:rsidR="007D0C8C" w:rsidRPr="00762F09" w:rsidRDefault="007D0C8C" w:rsidP="007D0C8C">
            <w:pPr>
              <w:spacing w:before="100" w:beforeAutospacing="1" w:after="100" w:afterAutospacing="1"/>
              <w:jc w:val="right"/>
            </w:pPr>
            <w:r>
              <w:t>65</w:t>
            </w:r>
          </w:p>
        </w:tc>
        <w:tc>
          <w:tcPr>
            <w:tcW w:w="1440" w:type="dxa"/>
          </w:tcPr>
          <w:p w:rsidR="007D0C8C" w:rsidRPr="00762F09" w:rsidRDefault="007D0C8C" w:rsidP="007D0C8C">
            <w:pPr>
              <w:spacing w:before="100" w:beforeAutospacing="1" w:after="100" w:afterAutospacing="1"/>
              <w:jc w:val="right"/>
            </w:pPr>
            <w:r>
              <w:t>92,969</w:t>
            </w:r>
          </w:p>
        </w:tc>
      </w:tr>
      <w:tr w:rsidR="007D0C8C" w:rsidRPr="00762F09" w:rsidTr="007D0C8C">
        <w:tc>
          <w:tcPr>
            <w:tcW w:w="5112" w:type="dxa"/>
          </w:tcPr>
          <w:p w:rsidR="007D0C8C" w:rsidRPr="00762F09" w:rsidRDefault="007D0C8C" w:rsidP="00601472">
            <w:pPr>
              <w:spacing w:before="100" w:beforeAutospacing="1" w:after="100" w:afterAutospacing="1"/>
              <w:ind w:right="-468"/>
            </w:pPr>
            <w:r w:rsidRPr="00762F09">
              <w:t>20</w:t>
            </w:r>
            <w:r>
              <w:t>11</w:t>
            </w:r>
            <w:r w:rsidRPr="00762F09">
              <w:t xml:space="preserve"> </w:t>
            </w:r>
            <w:r w:rsidR="00601472">
              <w:t>CR</w:t>
            </w:r>
          </w:p>
        </w:tc>
        <w:tc>
          <w:tcPr>
            <w:tcW w:w="1440" w:type="dxa"/>
          </w:tcPr>
          <w:p w:rsidR="007D0C8C" w:rsidRPr="00762F09" w:rsidRDefault="007D0C8C" w:rsidP="007D0C8C">
            <w:pPr>
              <w:spacing w:before="100" w:beforeAutospacing="1" w:after="100" w:afterAutospacing="1"/>
              <w:jc w:val="right"/>
            </w:pPr>
            <w:r>
              <w:t>65</w:t>
            </w:r>
          </w:p>
        </w:tc>
        <w:tc>
          <w:tcPr>
            <w:tcW w:w="1260" w:type="dxa"/>
          </w:tcPr>
          <w:p w:rsidR="007D0C8C" w:rsidRPr="00762F09" w:rsidRDefault="007D0C8C" w:rsidP="007D0C8C">
            <w:pPr>
              <w:spacing w:before="100" w:beforeAutospacing="1" w:after="100" w:afterAutospacing="1"/>
              <w:jc w:val="right"/>
            </w:pPr>
            <w:r>
              <w:t>65</w:t>
            </w:r>
          </w:p>
        </w:tc>
        <w:tc>
          <w:tcPr>
            <w:tcW w:w="1440" w:type="dxa"/>
          </w:tcPr>
          <w:p w:rsidR="007D0C8C" w:rsidRPr="00762F09" w:rsidRDefault="007D0C8C" w:rsidP="007D0C8C">
            <w:pPr>
              <w:spacing w:before="100" w:beforeAutospacing="1" w:after="100" w:afterAutospacing="1"/>
              <w:jc w:val="right"/>
            </w:pPr>
            <w:r>
              <w:t>93,329</w:t>
            </w:r>
          </w:p>
        </w:tc>
      </w:tr>
      <w:tr w:rsidR="007D0C8C" w:rsidRPr="00762F09" w:rsidTr="007D0C8C">
        <w:tc>
          <w:tcPr>
            <w:tcW w:w="5112" w:type="dxa"/>
          </w:tcPr>
          <w:p w:rsidR="007D0C8C" w:rsidRPr="00762F09" w:rsidRDefault="007D0C8C" w:rsidP="007D0C8C">
            <w:pPr>
              <w:spacing w:before="100" w:beforeAutospacing="1" w:after="100" w:afterAutospacing="1"/>
              <w:ind w:right="-468"/>
            </w:pPr>
            <w:r w:rsidRPr="00762F09">
              <w:t>Adjustments to Base and Technical Adjustments</w:t>
            </w:r>
          </w:p>
        </w:tc>
        <w:tc>
          <w:tcPr>
            <w:tcW w:w="1440" w:type="dxa"/>
          </w:tcPr>
          <w:p w:rsidR="007D0C8C" w:rsidRPr="000749A2" w:rsidRDefault="00D54074" w:rsidP="00D54074">
            <w:pPr>
              <w:spacing w:before="100" w:beforeAutospacing="1" w:after="100" w:afterAutospacing="1"/>
              <w:jc w:val="right"/>
            </w:pPr>
            <w:r>
              <w:t>0</w:t>
            </w:r>
          </w:p>
        </w:tc>
        <w:tc>
          <w:tcPr>
            <w:tcW w:w="1260" w:type="dxa"/>
          </w:tcPr>
          <w:p w:rsidR="007D0C8C" w:rsidRPr="000749A2" w:rsidRDefault="00D54074" w:rsidP="00D54074">
            <w:pPr>
              <w:spacing w:before="100" w:beforeAutospacing="1" w:after="100" w:afterAutospacing="1"/>
              <w:jc w:val="right"/>
            </w:pPr>
            <w:r>
              <w:t>0</w:t>
            </w:r>
          </w:p>
        </w:tc>
        <w:tc>
          <w:tcPr>
            <w:tcW w:w="1440" w:type="dxa"/>
          </w:tcPr>
          <w:p w:rsidR="007D0C8C" w:rsidRPr="000749A2" w:rsidRDefault="00D54074" w:rsidP="00D54074">
            <w:pPr>
              <w:spacing w:before="100" w:beforeAutospacing="1" w:after="100" w:afterAutospacing="1"/>
              <w:jc w:val="right"/>
            </w:pPr>
            <w:r>
              <w:t>880</w:t>
            </w:r>
          </w:p>
        </w:tc>
      </w:tr>
      <w:tr w:rsidR="007D0C8C" w:rsidRPr="00762F09" w:rsidTr="007D0C8C">
        <w:tc>
          <w:tcPr>
            <w:tcW w:w="5112" w:type="dxa"/>
          </w:tcPr>
          <w:p w:rsidR="007D0C8C" w:rsidRPr="00762F09" w:rsidRDefault="007D0C8C" w:rsidP="007D0C8C">
            <w:pPr>
              <w:spacing w:before="100" w:beforeAutospacing="1" w:after="100" w:afterAutospacing="1"/>
            </w:pPr>
            <w:r w:rsidRPr="00762F09">
              <w:t>201</w:t>
            </w:r>
            <w:r>
              <w:t>2</w:t>
            </w:r>
            <w:r w:rsidRPr="00762F09">
              <w:t xml:space="preserve"> Current Services</w:t>
            </w:r>
          </w:p>
        </w:tc>
        <w:tc>
          <w:tcPr>
            <w:tcW w:w="1440" w:type="dxa"/>
          </w:tcPr>
          <w:p w:rsidR="007D0C8C" w:rsidRPr="000749A2" w:rsidRDefault="007D0C8C" w:rsidP="00D54074">
            <w:pPr>
              <w:spacing w:before="100" w:beforeAutospacing="1" w:after="100" w:afterAutospacing="1"/>
              <w:jc w:val="right"/>
            </w:pPr>
            <w:r>
              <w:t>6</w:t>
            </w:r>
            <w:r w:rsidR="00D54074">
              <w:t>5</w:t>
            </w:r>
          </w:p>
        </w:tc>
        <w:tc>
          <w:tcPr>
            <w:tcW w:w="1260" w:type="dxa"/>
          </w:tcPr>
          <w:p w:rsidR="007D0C8C" w:rsidRPr="000749A2" w:rsidRDefault="007D0C8C" w:rsidP="00D54074">
            <w:pPr>
              <w:spacing w:before="100" w:beforeAutospacing="1" w:after="100" w:afterAutospacing="1"/>
              <w:jc w:val="right"/>
            </w:pPr>
            <w:r>
              <w:t>6</w:t>
            </w:r>
            <w:r w:rsidR="00D54074">
              <w:t>5</w:t>
            </w:r>
          </w:p>
        </w:tc>
        <w:tc>
          <w:tcPr>
            <w:tcW w:w="1440" w:type="dxa"/>
          </w:tcPr>
          <w:p w:rsidR="007D0C8C" w:rsidRPr="000749A2" w:rsidRDefault="007D0C8C" w:rsidP="00D54074">
            <w:pPr>
              <w:spacing w:before="100" w:beforeAutospacing="1" w:after="100" w:afterAutospacing="1"/>
              <w:jc w:val="right"/>
            </w:pPr>
            <w:r>
              <w:t>9</w:t>
            </w:r>
            <w:r w:rsidR="00D54074">
              <w:t>4,209</w:t>
            </w:r>
          </w:p>
        </w:tc>
      </w:tr>
      <w:tr w:rsidR="007D0C8C" w:rsidRPr="00762F09" w:rsidTr="007D0C8C">
        <w:tc>
          <w:tcPr>
            <w:tcW w:w="5112" w:type="dxa"/>
          </w:tcPr>
          <w:p w:rsidR="007D0C8C" w:rsidRPr="00762F09" w:rsidRDefault="007D0C8C" w:rsidP="007D0C8C">
            <w:pPr>
              <w:spacing w:before="100" w:beforeAutospacing="1" w:after="100" w:afterAutospacing="1"/>
            </w:pPr>
            <w:r w:rsidRPr="00762F09">
              <w:t>201</w:t>
            </w:r>
            <w:r>
              <w:t>2</w:t>
            </w:r>
            <w:r w:rsidRPr="00762F09">
              <w:t xml:space="preserve"> </w:t>
            </w:r>
            <w:r>
              <w:t>Program Increases</w:t>
            </w:r>
          </w:p>
        </w:tc>
        <w:tc>
          <w:tcPr>
            <w:tcW w:w="1440" w:type="dxa"/>
          </w:tcPr>
          <w:p w:rsidR="007D0C8C" w:rsidRPr="000749A2" w:rsidRDefault="007D0C8C" w:rsidP="007D0C8C">
            <w:pPr>
              <w:spacing w:before="100" w:beforeAutospacing="1" w:after="100" w:afterAutospacing="1"/>
              <w:jc w:val="right"/>
            </w:pPr>
            <w:r>
              <w:t>0</w:t>
            </w:r>
          </w:p>
        </w:tc>
        <w:tc>
          <w:tcPr>
            <w:tcW w:w="1260" w:type="dxa"/>
          </w:tcPr>
          <w:p w:rsidR="007D0C8C" w:rsidRPr="000749A2" w:rsidRDefault="007D0C8C" w:rsidP="007D0C8C">
            <w:pPr>
              <w:spacing w:before="100" w:beforeAutospacing="1" w:after="100" w:afterAutospacing="1"/>
              <w:jc w:val="right"/>
            </w:pPr>
            <w:r>
              <w:t>0</w:t>
            </w:r>
          </w:p>
        </w:tc>
        <w:tc>
          <w:tcPr>
            <w:tcW w:w="1440" w:type="dxa"/>
          </w:tcPr>
          <w:p w:rsidR="007D0C8C" w:rsidRPr="000749A2" w:rsidRDefault="00D54074" w:rsidP="00D54074">
            <w:pPr>
              <w:spacing w:before="100" w:beforeAutospacing="1" w:after="100" w:afterAutospacing="1"/>
              <w:jc w:val="right"/>
            </w:pPr>
            <w:r>
              <w:t>0</w:t>
            </w:r>
          </w:p>
        </w:tc>
      </w:tr>
      <w:tr w:rsidR="007D0C8C" w:rsidRPr="00762F09" w:rsidTr="007D0C8C">
        <w:tc>
          <w:tcPr>
            <w:tcW w:w="5112" w:type="dxa"/>
          </w:tcPr>
          <w:p w:rsidR="007D0C8C" w:rsidRPr="00762F09" w:rsidRDefault="007D0C8C" w:rsidP="007D0C8C">
            <w:pPr>
              <w:spacing w:before="100" w:beforeAutospacing="1" w:after="100" w:afterAutospacing="1"/>
            </w:pPr>
            <w:r>
              <w:t>2012 Program Offsets</w:t>
            </w:r>
          </w:p>
        </w:tc>
        <w:tc>
          <w:tcPr>
            <w:tcW w:w="1440" w:type="dxa"/>
          </w:tcPr>
          <w:p w:rsidR="007D0C8C" w:rsidRDefault="007D0C8C" w:rsidP="007D0C8C">
            <w:pPr>
              <w:spacing w:before="100" w:beforeAutospacing="1" w:after="100" w:afterAutospacing="1"/>
              <w:jc w:val="right"/>
            </w:pPr>
            <w:r>
              <w:t>0</w:t>
            </w:r>
          </w:p>
        </w:tc>
        <w:tc>
          <w:tcPr>
            <w:tcW w:w="1260" w:type="dxa"/>
          </w:tcPr>
          <w:p w:rsidR="007D0C8C" w:rsidRDefault="007D0C8C" w:rsidP="007D0C8C">
            <w:pPr>
              <w:spacing w:before="100" w:beforeAutospacing="1" w:after="100" w:afterAutospacing="1"/>
              <w:jc w:val="right"/>
            </w:pPr>
            <w:r>
              <w:t>0</w:t>
            </w:r>
          </w:p>
        </w:tc>
        <w:tc>
          <w:tcPr>
            <w:tcW w:w="1440" w:type="dxa"/>
          </w:tcPr>
          <w:p w:rsidR="007D0C8C" w:rsidRDefault="007D0C8C" w:rsidP="007D0C8C">
            <w:pPr>
              <w:spacing w:before="100" w:beforeAutospacing="1" w:after="100" w:afterAutospacing="1"/>
              <w:jc w:val="right"/>
            </w:pPr>
            <w:r>
              <w:t>(</w:t>
            </w:r>
            <w:r w:rsidR="00D54074">
              <w:t>10,</w:t>
            </w:r>
            <w:r>
              <w:t>280)</w:t>
            </w:r>
          </w:p>
        </w:tc>
      </w:tr>
      <w:tr w:rsidR="007D0C8C" w:rsidRPr="00762F09" w:rsidTr="007D0C8C">
        <w:tc>
          <w:tcPr>
            <w:tcW w:w="5112" w:type="dxa"/>
          </w:tcPr>
          <w:p w:rsidR="007D0C8C" w:rsidRPr="00762F09" w:rsidRDefault="007D0C8C" w:rsidP="007D0C8C">
            <w:pPr>
              <w:spacing w:before="100" w:beforeAutospacing="1" w:after="100" w:afterAutospacing="1"/>
            </w:pPr>
            <w:r w:rsidRPr="00762F09">
              <w:t>201</w:t>
            </w:r>
            <w:r>
              <w:t>2</w:t>
            </w:r>
            <w:r w:rsidRPr="00762F09">
              <w:t xml:space="preserve"> Request</w:t>
            </w:r>
          </w:p>
        </w:tc>
        <w:tc>
          <w:tcPr>
            <w:tcW w:w="1440" w:type="dxa"/>
          </w:tcPr>
          <w:p w:rsidR="007D0C8C" w:rsidRPr="000749A2" w:rsidRDefault="007D0C8C" w:rsidP="007D0C8C">
            <w:pPr>
              <w:spacing w:before="100" w:beforeAutospacing="1" w:after="100" w:afterAutospacing="1"/>
              <w:jc w:val="right"/>
            </w:pPr>
            <w:r>
              <w:t>6</w:t>
            </w:r>
            <w:r w:rsidR="009E7C8C">
              <w:t>5</w:t>
            </w:r>
          </w:p>
        </w:tc>
        <w:tc>
          <w:tcPr>
            <w:tcW w:w="1260" w:type="dxa"/>
          </w:tcPr>
          <w:p w:rsidR="007D0C8C" w:rsidRPr="000749A2" w:rsidRDefault="007D0C8C" w:rsidP="007D0C8C">
            <w:pPr>
              <w:spacing w:before="100" w:beforeAutospacing="1" w:after="100" w:afterAutospacing="1"/>
              <w:jc w:val="right"/>
            </w:pPr>
            <w:r>
              <w:t>6</w:t>
            </w:r>
            <w:r w:rsidR="009E7C8C">
              <w:t>5</w:t>
            </w:r>
          </w:p>
        </w:tc>
        <w:tc>
          <w:tcPr>
            <w:tcW w:w="1440" w:type="dxa"/>
          </w:tcPr>
          <w:p w:rsidR="007D0C8C" w:rsidRPr="000749A2" w:rsidRDefault="00D54074" w:rsidP="00D54074">
            <w:pPr>
              <w:spacing w:before="100" w:beforeAutospacing="1" w:after="100" w:afterAutospacing="1"/>
              <w:jc w:val="right"/>
            </w:pPr>
            <w:r>
              <w:t>83,929</w:t>
            </w:r>
          </w:p>
        </w:tc>
      </w:tr>
      <w:tr w:rsidR="007D0C8C" w:rsidRPr="00762F09" w:rsidTr="007D0C8C">
        <w:tc>
          <w:tcPr>
            <w:tcW w:w="5112" w:type="dxa"/>
            <w:shd w:val="clear" w:color="auto" w:fill="E0E0E0"/>
          </w:tcPr>
          <w:p w:rsidR="007D0C8C" w:rsidRPr="006C5146" w:rsidRDefault="007D0C8C" w:rsidP="007D0C8C">
            <w:pPr>
              <w:spacing w:before="100" w:beforeAutospacing="1" w:after="100" w:afterAutospacing="1"/>
              <w:rPr>
                <w:b/>
                <w:bCs/>
              </w:rPr>
            </w:pPr>
            <w:r w:rsidRPr="006C5146">
              <w:rPr>
                <w:b/>
                <w:bCs/>
              </w:rPr>
              <w:t>Total Change 201</w:t>
            </w:r>
            <w:r>
              <w:rPr>
                <w:b/>
                <w:bCs/>
              </w:rPr>
              <w:t>1</w:t>
            </w:r>
            <w:r w:rsidRPr="006C5146">
              <w:rPr>
                <w:b/>
                <w:bCs/>
              </w:rPr>
              <w:t>-201</w:t>
            </w:r>
            <w:r>
              <w:rPr>
                <w:b/>
                <w:bCs/>
              </w:rPr>
              <w:t>2</w:t>
            </w:r>
          </w:p>
        </w:tc>
        <w:tc>
          <w:tcPr>
            <w:tcW w:w="1440" w:type="dxa"/>
            <w:shd w:val="clear" w:color="auto" w:fill="E0E0E0"/>
          </w:tcPr>
          <w:p w:rsidR="007D0C8C" w:rsidRPr="006C5146" w:rsidRDefault="009E7C8C" w:rsidP="007D0C8C">
            <w:pPr>
              <w:spacing w:before="100" w:beforeAutospacing="1" w:after="100" w:afterAutospacing="1"/>
              <w:jc w:val="right"/>
              <w:rPr>
                <w:b/>
              </w:rPr>
            </w:pPr>
            <w:r>
              <w:rPr>
                <w:b/>
              </w:rPr>
              <w:t>0</w:t>
            </w:r>
          </w:p>
        </w:tc>
        <w:tc>
          <w:tcPr>
            <w:tcW w:w="1260" w:type="dxa"/>
            <w:shd w:val="clear" w:color="auto" w:fill="E0E0E0"/>
          </w:tcPr>
          <w:p w:rsidR="007D0C8C" w:rsidRPr="006C5146" w:rsidRDefault="009E7C8C" w:rsidP="007D0C8C">
            <w:pPr>
              <w:spacing w:before="100" w:beforeAutospacing="1" w:after="100" w:afterAutospacing="1"/>
              <w:jc w:val="right"/>
              <w:rPr>
                <w:b/>
              </w:rPr>
            </w:pPr>
            <w:r>
              <w:rPr>
                <w:b/>
              </w:rPr>
              <w:t>0</w:t>
            </w:r>
          </w:p>
        </w:tc>
        <w:tc>
          <w:tcPr>
            <w:tcW w:w="1440" w:type="dxa"/>
            <w:shd w:val="clear" w:color="auto" w:fill="E0E0E0"/>
          </w:tcPr>
          <w:p w:rsidR="007D0C8C" w:rsidRPr="006C5146" w:rsidRDefault="00D54074" w:rsidP="00D54074">
            <w:pPr>
              <w:spacing w:before="100" w:beforeAutospacing="1" w:after="100" w:afterAutospacing="1"/>
              <w:jc w:val="right"/>
              <w:rPr>
                <w:b/>
              </w:rPr>
            </w:pPr>
            <w:r>
              <w:rPr>
                <w:b/>
              </w:rPr>
              <w:t>(9,400)</w:t>
            </w:r>
          </w:p>
        </w:tc>
      </w:tr>
    </w:tbl>
    <w:p w:rsidR="00F42E1F" w:rsidRDefault="00F42E1F" w:rsidP="007D0C8C">
      <w:pPr>
        <w:spacing w:before="100" w:beforeAutospacing="1" w:after="100" w:afterAutospacing="1"/>
        <w:rPr>
          <w:b/>
          <w:bCs/>
        </w:rPr>
      </w:pPr>
    </w:p>
    <w:p w:rsidR="007D0C8C" w:rsidRPr="00762F09" w:rsidRDefault="007D0C8C" w:rsidP="007D0C8C">
      <w:pPr>
        <w:spacing w:before="100" w:beforeAutospacing="1" w:after="100" w:afterAutospacing="1"/>
        <w:rPr>
          <w:b/>
        </w:rPr>
      </w:pPr>
      <w:r w:rsidRPr="00762F09">
        <w:rPr>
          <w:b/>
          <w:bCs/>
        </w:rPr>
        <w:t>1.  Program Description</w:t>
      </w:r>
    </w:p>
    <w:p w:rsidR="007D0C8C" w:rsidRDefault="007D0C8C" w:rsidP="007D0C8C">
      <w:r w:rsidRPr="00114140">
        <w:t xml:space="preserve">ATF addresses </w:t>
      </w:r>
      <w:r>
        <w:t xml:space="preserve">firearms-related </w:t>
      </w:r>
      <w:r w:rsidRPr="00114140">
        <w:t xml:space="preserve">violent crime </w:t>
      </w:r>
      <w:r>
        <w:t>by enforcing</w:t>
      </w:r>
      <w:r w:rsidRPr="00114140">
        <w:t xml:space="preserve"> </w:t>
      </w:r>
      <w:r>
        <w:t>Federal</w:t>
      </w:r>
      <w:r w:rsidRPr="00114140">
        <w:t xml:space="preserve"> laws and regulations.  </w:t>
      </w:r>
      <w:r>
        <w:t>We</w:t>
      </w:r>
      <w:r w:rsidRPr="00114140">
        <w:t xml:space="preserve"> ensure</w:t>
      </w:r>
      <w:r>
        <w:t xml:space="preserve"> that</w:t>
      </w:r>
      <w:r w:rsidRPr="00114140">
        <w:t xml:space="preserve"> Federal </w:t>
      </w:r>
      <w:r w:rsidRPr="002E02BB">
        <w:t>Firearms Licensees</w:t>
      </w:r>
      <w:r>
        <w:rPr>
          <w:color w:val="5F497A" w:themeColor="accent4" w:themeShade="BF"/>
        </w:rPr>
        <w:t xml:space="preserve"> </w:t>
      </w:r>
      <w:r w:rsidRPr="00114140">
        <w:t xml:space="preserve">(FFL) </w:t>
      </w:r>
      <w:proofErr w:type="gramStart"/>
      <w:r w:rsidRPr="00114140">
        <w:t>comply</w:t>
      </w:r>
      <w:proofErr w:type="gramEnd"/>
      <w:r w:rsidRPr="00114140">
        <w:t xml:space="preserve"> with applicable laws and regulations</w:t>
      </w:r>
      <w:r>
        <w:t>, and we</w:t>
      </w:r>
      <w:r w:rsidRPr="00114140">
        <w:t xml:space="preserve"> educate and motivate </w:t>
      </w:r>
      <w:r>
        <w:t>industry members</w:t>
      </w:r>
      <w:r w:rsidRPr="00114140">
        <w:t xml:space="preserve"> to implement voluntary controls and cooperate with law enforcement officials.  ATF’s regulatory function is a key component in </w:t>
      </w:r>
      <w:r>
        <w:t>our</w:t>
      </w:r>
      <w:r w:rsidRPr="00114140">
        <w:t xml:space="preserve"> effort to stem the flow of firearms to prohibited persons and criminal organizations.  </w:t>
      </w:r>
    </w:p>
    <w:p w:rsidR="007D0C8C" w:rsidRDefault="007D0C8C" w:rsidP="007D0C8C"/>
    <w:p w:rsidR="007D0C8C" w:rsidRDefault="007D0C8C" w:rsidP="007D0C8C">
      <w:r w:rsidRPr="00114140">
        <w:t xml:space="preserve">ATF regulates the manufacture, importation, and sale of firearms in the </w:t>
      </w:r>
      <w:r>
        <w:t>United States</w:t>
      </w:r>
      <w:r w:rsidRPr="00114140">
        <w:t xml:space="preserve">. </w:t>
      </w:r>
      <w:r>
        <w:t xml:space="preserve"> ATF</w:t>
      </w:r>
      <w:r w:rsidRPr="00114140">
        <w:t xml:space="preserve"> </w:t>
      </w:r>
      <w:r>
        <w:t>investigates</w:t>
      </w:r>
      <w:r w:rsidRPr="00114140">
        <w:t xml:space="preserve"> FFL applicants to determine their eligibility to engage in a firearms business, and educate</w:t>
      </w:r>
      <w:r>
        <w:t>s</w:t>
      </w:r>
      <w:r w:rsidRPr="00114140">
        <w:t xml:space="preserve"> licensees on their </w:t>
      </w:r>
      <w:r>
        <w:t xml:space="preserve">legal </w:t>
      </w:r>
      <w:r w:rsidRPr="00114140">
        <w:t xml:space="preserve">responsibilities.  </w:t>
      </w:r>
      <w:r>
        <w:t>ATF</w:t>
      </w:r>
      <w:r w:rsidRPr="00114140">
        <w:t xml:space="preserve"> enforce</w:t>
      </w:r>
      <w:r>
        <w:t>s</w:t>
      </w:r>
      <w:r w:rsidRPr="00114140">
        <w:t xml:space="preserve"> the Brady Law, which require</w:t>
      </w:r>
      <w:r>
        <w:t>s</w:t>
      </w:r>
      <w:r w:rsidRPr="00114140">
        <w:t xml:space="preserve"> that all </w:t>
      </w:r>
      <w:r>
        <w:t>FFL</w:t>
      </w:r>
      <w:r w:rsidRPr="00114140">
        <w:t xml:space="preserve"> sales to non-licensed individuals include a background check to ensure that the purchaser is not a felon or other prohibited person.  </w:t>
      </w:r>
      <w:r>
        <w:t xml:space="preserve">ATF requires that </w:t>
      </w:r>
      <w:r w:rsidRPr="00114140">
        <w:t xml:space="preserve">FFLs maintain records of </w:t>
      </w:r>
      <w:r w:rsidRPr="00114140">
        <w:lastRenderedPageBreak/>
        <w:t>their acquisition and disposition of firearms.  ATF has the authority to request information from these records to assist</w:t>
      </w:r>
      <w:r>
        <w:t xml:space="preserve"> with criminal investigations.</w:t>
      </w:r>
    </w:p>
    <w:p w:rsidR="007D0C8C" w:rsidRDefault="007D0C8C" w:rsidP="007D0C8C">
      <w:pPr>
        <w:pStyle w:val="BodyText"/>
        <w:spacing w:before="100" w:beforeAutospacing="1" w:after="100" w:afterAutospacing="1"/>
      </w:pPr>
      <w:r w:rsidRPr="00114140">
        <w:t>Through this regulatory framework, ATF track</w:t>
      </w:r>
      <w:r>
        <w:t>s</w:t>
      </w:r>
      <w:r w:rsidRPr="00114140">
        <w:t xml:space="preserve"> each recovered firearm from its point of manufacture or importation to the point of first retail sale, a process known as “tracing.”  By tracing all crime gun recoveries submitted to ATF, investigators are able to discern patterns of persons purchasing firearms, locations of purchase, and weapon types</w:t>
      </w:r>
      <w:r>
        <w:t>.  These patterns</w:t>
      </w:r>
      <w:r w:rsidRPr="00114140">
        <w:t xml:space="preserve"> provide invaluable leads in </w:t>
      </w:r>
      <w:r>
        <w:t xml:space="preserve">identifying </w:t>
      </w:r>
      <w:r w:rsidRPr="00114140">
        <w:t xml:space="preserve">persons </w:t>
      </w:r>
      <w:r>
        <w:t>who divert</w:t>
      </w:r>
      <w:r w:rsidRPr="00114140">
        <w:t xml:space="preserve"> firearms into illegal commerce.  By identifying and targeting these persons, ATF stem</w:t>
      </w:r>
      <w:r>
        <w:t>s</w:t>
      </w:r>
      <w:r w:rsidRPr="00114140">
        <w:t xml:space="preserve"> the flow of illegal guns and make</w:t>
      </w:r>
      <w:r>
        <w:t>s</w:t>
      </w:r>
      <w:r w:rsidRPr="00114140">
        <w:t xml:space="preserve"> it difficult for convicted felons, drug traffickers, or juvenile gang members to obtain firearm</w:t>
      </w:r>
      <w:r>
        <w:t>s</w:t>
      </w:r>
      <w:r w:rsidRPr="00114140">
        <w:t xml:space="preserve"> </w:t>
      </w:r>
      <w:r>
        <w:t>for use</w:t>
      </w:r>
      <w:r w:rsidRPr="00114140">
        <w:t xml:space="preserve"> in violent crimes.  Moreover, by connecting a firearm to a gun trafficker, ATF connect</w:t>
      </w:r>
      <w:r>
        <w:t>s</w:t>
      </w:r>
      <w:r w:rsidRPr="00114140">
        <w:t xml:space="preserve"> firearms sold by that trafficker to those who use firearms in violent crime</w:t>
      </w:r>
      <w:r>
        <w:t>s</w:t>
      </w:r>
      <w:r w:rsidRPr="00114140">
        <w:t>.</w:t>
      </w:r>
    </w:p>
    <w:p w:rsidR="007D0C8C" w:rsidRPr="000E69A2" w:rsidRDefault="007D0C8C" w:rsidP="007D0C8C">
      <w:pPr>
        <w:rPr>
          <w:b/>
          <w:i/>
        </w:rPr>
      </w:pPr>
      <w:r w:rsidRPr="000E69A2">
        <w:rPr>
          <w:b/>
          <w:i/>
        </w:rPr>
        <w:t>ATF’s Integrated Violence Reduction Strategy (IVRS)</w:t>
      </w:r>
    </w:p>
    <w:p w:rsidR="007D0C8C" w:rsidRDefault="007D0C8C" w:rsidP="007D0C8C"/>
    <w:p w:rsidR="007D0C8C" w:rsidRDefault="007D0C8C" w:rsidP="007D0C8C">
      <w:r w:rsidRPr="00114140">
        <w:t xml:space="preserve">Firearms-related violent crimes, while fueled by various causes, often relate to or stem from unlawful diversion of firearms from legal commerce into the hands of prohibited individuals who then leverage firearms acquisition to fund terrorism or to support drug or organized crime enterprises.  In addition, the </w:t>
      </w:r>
      <w:r w:rsidRPr="00D9043D">
        <w:t xml:space="preserve">Uniform Crime Report </w:t>
      </w:r>
      <w:r w:rsidR="00D9043D" w:rsidRPr="00D9043D">
        <w:t xml:space="preserve">for 2009 </w:t>
      </w:r>
      <w:r w:rsidRPr="00D9043D">
        <w:t>indicates that firearms violence claimed 9,</w:t>
      </w:r>
      <w:r w:rsidR="00D9043D" w:rsidRPr="00D9043D">
        <w:t>146</w:t>
      </w:r>
      <w:r w:rsidRPr="00D9043D">
        <w:t xml:space="preserve"> lives</w:t>
      </w:r>
      <w:r w:rsidRPr="00114140">
        <w:t>, which equates to 2</w:t>
      </w:r>
      <w:r w:rsidR="00D9043D">
        <w:t>5</w:t>
      </w:r>
      <w:r w:rsidRPr="00114140">
        <w:t xml:space="preserve"> lives a day.</w:t>
      </w:r>
    </w:p>
    <w:p w:rsidR="007D0C8C" w:rsidRDefault="007D0C8C" w:rsidP="007D0C8C">
      <w:pPr>
        <w:pStyle w:val="BodyText"/>
        <w:spacing w:before="100" w:beforeAutospacing="1" w:after="100" w:afterAutospacing="1"/>
      </w:pPr>
      <w:r w:rsidRPr="00114140">
        <w:t>ATF’s Integrated Violence Reduction Strategy (IVRS) breaks this link by enforcing firearms laws to remove violent offenders from our communities, keeping firearms from prohibited possessors, eliminating illegal weapons transfers, halting illegal sources of firearms, and pursuing outreach and prevention efforts.  The IVRS builds upon traditional enforcement efforts with state-of-the-art ballistic imaging technology, firearms tracing, and intelligence and information sharing.</w:t>
      </w:r>
    </w:p>
    <w:p w:rsidR="007D0C8C" w:rsidRPr="00762F09" w:rsidRDefault="007D0C8C" w:rsidP="007D0C8C">
      <w:pPr>
        <w:pStyle w:val="BodyText"/>
        <w:spacing w:before="100" w:beforeAutospacing="1" w:after="100" w:afterAutospacing="1"/>
      </w:pPr>
      <w:r w:rsidRPr="00762F09">
        <w:t xml:space="preserve">This is accomplished by: </w:t>
      </w:r>
    </w:p>
    <w:p w:rsidR="007D0C8C" w:rsidRPr="00762F09" w:rsidRDefault="007D0C8C" w:rsidP="007D0C8C">
      <w:pPr>
        <w:pStyle w:val="BodyText"/>
        <w:numPr>
          <w:ilvl w:val="0"/>
          <w:numId w:val="9"/>
        </w:numPr>
        <w:spacing w:before="100" w:beforeAutospacing="1" w:after="100" w:afterAutospacing="1"/>
        <w:rPr>
          <w:bCs/>
        </w:rPr>
      </w:pPr>
      <w:r w:rsidRPr="00762F09">
        <w:rPr>
          <w:bCs/>
        </w:rPr>
        <w:t>Partnering with law enforcement agencies and prosecutors at all levels to develop focused enforcement strategies to investigate, arrest, and prosecute violent offenders and illegal domestic and international firearms traffickers.</w:t>
      </w:r>
    </w:p>
    <w:p w:rsidR="007D0C8C" w:rsidRPr="00762F09" w:rsidRDefault="007D0C8C" w:rsidP="007D0C8C">
      <w:pPr>
        <w:pStyle w:val="BodyText"/>
        <w:numPr>
          <w:ilvl w:val="0"/>
          <w:numId w:val="9"/>
        </w:numPr>
        <w:spacing w:before="100" w:beforeAutospacing="1" w:after="100" w:afterAutospacing="1"/>
        <w:rPr>
          <w:bCs/>
        </w:rPr>
      </w:pPr>
      <w:r w:rsidRPr="00762F09">
        <w:rPr>
          <w:bCs/>
        </w:rPr>
        <w:t>Providing assistance and leadership within the law enforcement community to effectively solve violent crimes using specialized resources, technology, and training.</w:t>
      </w:r>
    </w:p>
    <w:p w:rsidR="007D0C8C" w:rsidRPr="00762F09" w:rsidRDefault="007D0C8C" w:rsidP="007D0C8C">
      <w:pPr>
        <w:pStyle w:val="BodyText"/>
        <w:numPr>
          <w:ilvl w:val="0"/>
          <w:numId w:val="9"/>
        </w:numPr>
        <w:spacing w:before="100" w:beforeAutospacing="1" w:after="100" w:afterAutospacing="1"/>
        <w:rPr>
          <w:bCs/>
        </w:rPr>
      </w:pPr>
      <w:r>
        <w:rPr>
          <w:bCs/>
        </w:rPr>
        <w:t>Collaborating</w:t>
      </w:r>
      <w:r w:rsidRPr="00762F09">
        <w:rPr>
          <w:bCs/>
        </w:rPr>
        <w:t xml:space="preserve"> with FFLs to promote the proper recordkeeping and business practices that help prevent the acquisition of firearms by prohibited persons.</w:t>
      </w:r>
    </w:p>
    <w:p w:rsidR="007D0C8C" w:rsidRPr="00762F09" w:rsidRDefault="007D0C8C" w:rsidP="007D0C8C">
      <w:pPr>
        <w:pStyle w:val="BodyText"/>
        <w:numPr>
          <w:ilvl w:val="0"/>
          <w:numId w:val="9"/>
        </w:numPr>
        <w:spacing w:before="100" w:beforeAutospacing="1" w:after="100" w:afterAutospacing="1"/>
        <w:rPr>
          <w:b/>
        </w:rPr>
      </w:pPr>
      <w:r>
        <w:rPr>
          <w:bCs/>
        </w:rPr>
        <w:t>Educating the</w:t>
      </w:r>
      <w:r w:rsidRPr="00762F09">
        <w:rPr>
          <w:bCs/>
        </w:rPr>
        <w:t xml:space="preserve"> community </w:t>
      </w:r>
      <w:r>
        <w:rPr>
          <w:bCs/>
        </w:rPr>
        <w:t xml:space="preserve">and industry through </w:t>
      </w:r>
      <w:r w:rsidRPr="00762F09">
        <w:rPr>
          <w:bCs/>
        </w:rPr>
        <w:t>outreach.</w:t>
      </w:r>
    </w:p>
    <w:p w:rsidR="007D0C8C" w:rsidRPr="00762F09" w:rsidRDefault="007D0C8C" w:rsidP="007D0C8C">
      <w:pPr>
        <w:pStyle w:val="Heading2"/>
        <w:spacing w:before="100" w:beforeAutospacing="1" w:after="100" w:afterAutospacing="1"/>
        <w:rPr>
          <w:rFonts w:ascii="Times New Roman" w:hAnsi="Times New Roman" w:cs="Times New Roman"/>
          <w:sz w:val="24"/>
          <w:szCs w:val="24"/>
        </w:rPr>
      </w:pPr>
      <w:r w:rsidRPr="004B0B95">
        <w:rPr>
          <w:rFonts w:ascii="Times New Roman" w:hAnsi="Times New Roman" w:cs="Times New Roman"/>
          <w:sz w:val="24"/>
          <w:szCs w:val="24"/>
        </w:rPr>
        <w:t>Reducing Violence through the Interdiction and Prevention of Firearms Trafficking</w:t>
      </w:r>
    </w:p>
    <w:p w:rsidR="007D0C8C" w:rsidRPr="00B07415" w:rsidRDefault="007D0C8C" w:rsidP="007D0C8C">
      <w:pPr>
        <w:rPr>
          <w:color w:val="000000" w:themeColor="text1"/>
        </w:rPr>
      </w:pPr>
      <w:r w:rsidRPr="00114140">
        <w:t>ATF’s statutory authority and long experience regulating the firearms industry</w:t>
      </w:r>
      <w:r>
        <w:t>, together with its</w:t>
      </w:r>
      <w:r w:rsidRPr="00114140">
        <w:t xml:space="preserve"> unique technical/forensic capabilities</w:t>
      </w:r>
      <w:r>
        <w:t>,</w:t>
      </w:r>
      <w:r w:rsidRPr="00114140">
        <w:t xml:space="preserve"> make ATF the </w:t>
      </w:r>
      <w:r>
        <w:t>Federal</w:t>
      </w:r>
      <w:r w:rsidRPr="00114140">
        <w:t xml:space="preserve"> authority on firearms trafficking and investigations.</w:t>
      </w:r>
      <w:r>
        <w:t xml:space="preserve">  ATF </w:t>
      </w:r>
      <w:r w:rsidRPr="00114140">
        <w:t xml:space="preserve">focuses on </w:t>
      </w:r>
      <w:r>
        <w:t>closing</w:t>
      </w:r>
      <w:r w:rsidRPr="00114140">
        <w:t xml:space="preserve"> </w:t>
      </w:r>
      <w:r>
        <w:t xml:space="preserve">regulated retailers, secondary markets such as gun shows </w:t>
      </w:r>
      <w:r w:rsidRPr="00B07415">
        <w:rPr>
          <w:color w:val="000000" w:themeColor="text1"/>
        </w:rPr>
        <w:t>and flea markets</w:t>
      </w:r>
      <w:r>
        <w:t xml:space="preserve">, and the Internet to individuals </w:t>
      </w:r>
      <w:r w:rsidRPr="00B07415">
        <w:rPr>
          <w:color w:val="000000" w:themeColor="text1"/>
        </w:rPr>
        <w:t>who cannot legally obtain a firearm.</w:t>
      </w:r>
    </w:p>
    <w:p w:rsidR="007D0C8C" w:rsidRDefault="007D0C8C" w:rsidP="007D0C8C"/>
    <w:p w:rsidR="007D0C8C" w:rsidRPr="00B07415" w:rsidRDefault="007D0C8C" w:rsidP="007D0C8C">
      <w:r w:rsidRPr="00B07415">
        <w:lastRenderedPageBreak/>
        <w:t>ATF traces the on-going movement of firearms from legal to illegal commerce, from source area to market area, from trafficker to triggerman.  ATF agents, IOIs, and Federal prosecutors work together in a source area—thousands of miles from a criminal market area—to deliver a major impact on violent crime and gang violence in a market area.  Dismantling a gun trafficking organization wherever it operates impacts the ability of criminals to threaten or harm our communities across the country.</w:t>
      </w:r>
    </w:p>
    <w:p w:rsidR="007D0C8C" w:rsidRDefault="007D0C8C" w:rsidP="007D0C8C"/>
    <w:p w:rsidR="007D0C8C" w:rsidRPr="00114140" w:rsidRDefault="007D0C8C" w:rsidP="007D0C8C">
      <w:r w:rsidRPr="00114140">
        <w:t xml:space="preserve">ATF operates the National Tracing Center (NTC), which is the only law enforcement entity able to trace firearms from their manufacture to the point of first retail sale.  Crime gun trace data shows that there are geographic market areas where crime guns are recovered and source areas that provide firearms to those markets.  </w:t>
      </w:r>
      <w:r>
        <w:t xml:space="preserve">Trafficking techniques include </w:t>
      </w:r>
      <w:r w:rsidRPr="00114140">
        <w:t>straw purchases (where a legal purchaser buys a firearm on behalf of, or at the directi</w:t>
      </w:r>
      <w:r>
        <w:t xml:space="preserve">on of, a prohibited purchaser), </w:t>
      </w:r>
      <w:r w:rsidRPr="00114140">
        <w:t>illegal dealing at</w:t>
      </w:r>
      <w:r>
        <w:t xml:space="preserve"> gun shows and other locations, dishonest FFLs, burglaries of gun stores,</w:t>
      </w:r>
      <w:r w:rsidRPr="00114140">
        <w:t xml:space="preserve"> the theft of interstate shipment</w:t>
      </w:r>
      <w:r>
        <w:t>s of firearms,</w:t>
      </w:r>
      <w:r w:rsidRPr="00114140">
        <w:t xml:space="preserve"> and large-scale trafficking organizations.</w:t>
      </w:r>
    </w:p>
    <w:p w:rsidR="007D0C8C" w:rsidRDefault="007D0C8C" w:rsidP="007D0C8C"/>
    <w:p w:rsidR="007D0C8C" w:rsidRDefault="007D0C8C" w:rsidP="007D0C8C">
      <w:r>
        <w:t>ATF’s</w:t>
      </w:r>
      <w:r w:rsidRPr="00114140">
        <w:t xml:space="preserve"> trafficking strategy </w:t>
      </w:r>
      <w:r>
        <w:t>deploys</w:t>
      </w:r>
      <w:r w:rsidRPr="00114140">
        <w:t xml:space="preserve"> resources to specific localities where there is a high incidence of gang and gun violence.  ATF’s Violent Crime Impact Team (VCIT) program, a vital </w:t>
      </w:r>
      <w:r>
        <w:t xml:space="preserve">IVRS </w:t>
      </w:r>
      <w:r w:rsidRPr="00114140">
        <w:t>component</w:t>
      </w:r>
      <w:r>
        <w:t xml:space="preserve">, </w:t>
      </w:r>
      <w:r w:rsidRPr="00114140">
        <w:t xml:space="preserve">is a particularly effective example of how focused law enforcement in violence-plagued, gang-infected communities </w:t>
      </w:r>
      <w:r>
        <w:t>reduces</w:t>
      </w:r>
      <w:r w:rsidRPr="00114140">
        <w:t xml:space="preserve"> violent crime.</w:t>
      </w:r>
    </w:p>
    <w:p w:rsidR="007D0C8C" w:rsidRPr="00114140" w:rsidRDefault="007D0C8C" w:rsidP="007D0C8C"/>
    <w:p w:rsidR="007D0C8C" w:rsidRDefault="007D0C8C" w:rsidP="007D0C8C">
      <w:pPr>
        <w:rPr>
          <w:b/>
          <w:i/>
        </w:rPr>
      </w:pPr>
      <w:r w:rsidRPr="000E69A2">
        <w:rPr>
          <w:b/>
          <w:i/>
        </w:rPr>
        <w:t>Reducing Violent Gang Crime</w:t>
      </w:r>
      <w:r>
        <w:rPr>
          <w:b/>
          <w:i/>
        </w:rPr>
        <w:t xml:space="preserve"> </w:t>
      </w:r>
    </w:p>
    <w:p w:rsidR="007D0C8C" w:rsidRDefault="007D0C8C" w:rsidP="007D0C8C">
      <w:pPr>
        <w:rPr>
          <w:b/>
          <w:i/>
        </w:rPr>
      </w:pPr>
    </w:p>
    <w:p w:rsidR="007D0C8C" w:rsidRDefault="007D0C8C" w:rsidP="007D0C8C">
      <w:r w:rsidRPr="00114140">
        <w:t xml:space="preserve">ATF’s core missions - enforcing laws that prohibit the criminal misuse of firearms and explosives, and investigating acts of arson - have placed it at the center of gang investigations.  Since its creation as a bureau in 1972, ATF has established itself as a lead </w:t>
      </w:r>
      <w:r>
        <w:t>Federal</w:t>
      </w:r>
      <w:r w:rsidRPr="00114140">
        <w:t xml:space="preserve"> agency in the investigation of violent gang-related crime.  ATF has unique statutory authority over the “tools of the trade” that make gangs a threat to public safety.  These tools include guns in the hands of felons and prohibited persons, and weapons and explosives used to </w:t>
      </w:r>
      <w:r w:rsidR="009B0A89">
        <w:t>further criminal activity</w:t>
      </w:r>
      <w:r w:rsidRPr="00114140">
        <w:t>.  ATF targets and dismantles criminal organizations like Mara Salvatrucha (MS-13),</w:t>
      </w:r>
      <w:r>
        <w:t xml:space="preserve"> Latin Kings,</w:t>
      </w:r>
      <w:r w:rsidRPr="00114140">
        <w:t xml:space="preserve"> outlaw motorcycle organizations </w:t>
      </w:r>
      <w:r w:rsidRPr="00B07415">
        <w:t>such as the Hells Angels and the Mongols,</w:t>
      </w:r>
      <w:r w:rsidRPr="00114140">
        <w:t xml:space="preserve"> national gangs like the Crips and Bloods, Asian gangs, white supremacists, and innumerable neighborhood-based gangs</w:t>
      </w:r>
      <w:r>
        <w:t xml:space="preserve"> that individually and collectively pose a great threat to the public safety</w:t>
      </w:r>
      <w:r w:rsidRPr="00114140">
        <w:t xml:space="preserve">.  ATF’s anti-gang strategy includes enforcing </w:t>
      </w:r>
      <w:r>
        <w:t>Federal</w:t>
      </w:r>
      <w:r w:rsidRPr="00114140">
        <w:t xml:space="preserve"> statutes such as the Racketeer Influenced and Corrupt Organizations Act (RICO) and the Armed Career Criminal statute.</w:t>
      </w:r>
    </w:p>
    <w:p w:rsidR="007D0C8C" w:rsidRDefault="007D0C8C" w:rsidP="007D0C8C"/>
    <w:p w:rsidR="007D0C8C" w:rsidRPr="001C0FEC" w:rsidRDefault="007D0C8C" w:rsidP="007D0C8C">
      <w:pPr>
        <w:numPr>
          <w:ilvl w:val="0"/>
          <w:numId w:val="7"/>
        </w:numPr>
        <w:pBdr>
          <w:top w:val="double" w:sz="6" w:space="1" w:color="auto"/>
          <w:left w:val="double" w:sz="6" w:space="4" w:color="auto"/>
          <w:bottom w:val="double" w:sz="6" w:space="1" w:color="auto"/>
          <w:right w:val="double" w:sz="6" w:space="4" w:color="auto"/>
        </w:pBdr>
        <w:ind w:left="540" w:right="360"/>
      </w:pPr>
      <w:r w:rsidRPr="001C0FEC">
        <w:t>Criminal gangs are active within all 50 States, the District of Columbia, and the American Commonwealths.</w:t>
      </w:r>
    </w:p>
    <w:p w:rsidR="007D0C8C" w:rsidRPr="001C0FEC" w:rsidRDefault="007D0C8C" w:rsidP="007D0C8C">
      <w:pPr>
        <w:numPr>
          <w:ilvl w:val="0"/>
          <w:numId w:val="7"/>
        </w:numPr>
        <w:pBdr>
          <w:top w:val="double" w:sz="6" w:space="1" w:color="auto"/>
          <w:left w:val="double" w:sz="6" w:space="4" w:color="auto"/>
          <w:bottom w:val="double" w:sz="6" w:space="1" w:color="auto"/>
          <w:right w:val="double" w:sz="6" w:space="4" w:color="auto"/>
        </w:pBdr>
        <w:ind w:left="540" w:right="360"/>
      </w:pPr>
      <w:r w:rsidRPr="001C0FEC">
        <w:t>Approximately 1 million gang members belong to more than 20,000 gangs.</w:t>
      </w:r>
    </w:p>
    <w:p w:rsidR="007D0C8C" w:rsidRPr="001C0FEC" w:rsidRDefault="007D0C8C" w:rsidP="007D0C8C">
      <w:pPr>
        <w:numPr>
          <w:ilvl w:val="0"/>
          <w:numId w:val="7"/>
        </w:numPr>
        <w:pBdr>
          <w:top w:val="double" w:sz="6" w:space="1" w:color="auto"/>
          <w:left w:val="double" w:sz="6" w:space="4" w:color="auto"/>
          <w:bottom w:val="double" w:sz="6" w:space="1" w:color="auto"/>
          <w:right w:val="double" w:sz="6" w:space="4" w:color="auto"/>
        </w:pBdr>
        <w:ind w:left="540" w:right="360"/>
      </w:pPr>
      <w:r w:rsidRPr="001C0FEC">
        <w:t>Criminal gangs commit as much as 80</w:t>
      </w:r>
      <w:r w:rsidRPr="002E02BB">
        <w:rPr>
          <w:bCs/>
        </w:rPr>
        <w:t>%</w:t>
      </w:r>
      <w:r w:rsidRPr="001C0FEC">
        <w:t xml:space="preserve"> of the crime in communities, according to law enforcement sources.</w:t>
      </w:r>
    </w:p>
    <w:p w:rsidR="007D0C8C" w:rsidRPr="001C0FEC" w:rsidRDefault="007D0C8C" w:rsidP="007D0C8C">
      <w:pPr>
        <w:numPr>
          <w:ilvl w:val="0"/>
          <w:numId w:val="7"/>
        </w:numPr>
        <w:pBdr>
          <w:top w:val="double" w:sz="6" w:space="1" w:color="auto"/>
          <w:left w:val="double" w:sz="6" w:space="4" w:color="auto"/>
          <w:bottom w:val="double" w:sz="6" w:space="1" w:color="auto"/>
          <w:right w:val="double" w:sz="6" w:space="4" w:color="auto"/>
        </w:pBdr>
        <w:ind w:left="540" w:right="360"/>
      </w:pPr>
      <w:r>
        <w:t>Criminal g</w:t>
      </w:r>
      <w:r w:rsidRPr="001C0FEC">
        <w:t xml:space="preserve">angs </w:t>
      </w:r>
      <w:r>
        <w:t>sell</w:t>
      </w:r>
      <w:r w:rsidRPr="001C0FEC">
        <w:t xml:space="preserve"> illicit narcotics supplied by and through Mexic</w:t>
      </w:r>
      <w:r w:rsidR="009A52C0">
        <w:t>an-</w:t>
      </w:r>
      <w:r w:rsidRPr="001C0FEC">
        <w:t>based drug trafficking organizations.</w:t>
      </w:r>
    </w:p>
    <w:p w:rsidR="007D0C8C" w:rsidRPr="001C0FEC" w:rsidRDefault="007D0C8C" w:rsidP="007D0C8C">
      <w:pPr>
        <w:numPr>
          <w:ilvl w:val="0"/>
          <w:numId w:val="7"/>
        </w:numPr>
        <w:pBdr>
          <w:top w:val="double" w:sz="6" w:space="1" w:color="auto"/>
          <w:left w:val="double" w:sz="6" w:space="4" w:color="auto"/>
          <w:bottom w:val="double" w:sz="6" w:space="1" w:color="auto"/>
          <w:right w:val="double" w:sz="6" w:space="4" w:color="auto"/>
        </w:pBdr>
        <w:ind w:left="540" w:right="360"/>
      </w:pPr>
      <w:r w:rsidRPr="001C0FEC">
        <w:t>The FY 2009 National Gang Threat Assessment reports that 94.3 percent of gang-related homicides involved the use of a firearm.</w:t>
      </w:r>
    </w:p>
    <w:p w:rsidR="007D0C8C" w:rsidRPr="00D9043D" w:rsidRDefault="00E91D81" w:rsidP="007D0C8C">
      <w:pPr>
        <w:numPr>
          <w:ilvl w:val="0"/>
          <w:numId w:val="7"/>
        </w:numPr>
        <w:pBdr>
          <w:top w:val="double" w:sz="6" w:space="1" w:color="auto"/>
          <w:left w:val="double" w:sz="6" w:space="4" w:color="auto"/>
          <w:bottom w:val="double" w:sz="6" w:space="1" w:color="auto"/>
          <w:right w:val="double" w:sz="6" w:space="4" w:color="auto"/>
        </w:pBdr>
        <w:ind w:left="540" w:right="360"/>
      </w:pPr>
      <w:r w:rsidRPr="00D9043D">
        <w:t>VCITs are currently active in 31 cities</w:t>
      </w:r>
    </w:p>
    <w:p w:rsidR="007D0C8C" w:rsidRPr="00114140" w:rsidRDefault="007D0C8C" w:rsidP="007D0C8C"/>
    <w:p w:rsidR="007D0C8C" w:rsidRPr="00840EA3" w:rsidRDefault="007D0C8C" w:rsidP="007D0C8C">
      <w:r w:rsidRPr="00840EA3">
        <w:lastRenderedPageBreak/>
        <w:t>ATF has a powerful IVRS tool in the VCIT.  VCITs focus primarily on urban areas and work with local law enforcement partners.  VCITs identify hot spots of violent firearms crime and use undercover operations, surveillance, wiretaps, and the controlled purchase of drugs, guns and explosives to identify and attack the gang’s hierarchy. The teams target, investigate, arrest, and recommend for prosecution the “worst of the worst” criminals.  A VCIT focuses on a small area and floods it with the integrated resources of the VCIT partners.  ATF’s VCIT program is an example of the logical market area complement to its firearms trafficking strategy.</w:t>
      </w:r>
    </w:p>
    <w:p w:rsidR="007D0C8C" w:rsidRDefault="007D0C8C" w:rsidP="007D0C8C"/>
    <w:p w:rsidR="007D0C8C" w:rsidRPr="001C0FEC" w:rsidRDefault="00D9043D" w:rsidP="009E7C8C">
      <w:pPr>
        <w:pBdr>
          <w:top w:val="double" w:sz="6" w:space="1" w:color="auto"/>
          <w:left w:val="double" w:sz="6" w:space="4" w:color="auto"/>
          <w:right w:val="double" w:sz="6" w:space="4" w:color="auto"/>
        </w:pBdr>
        <w:ind w:left="180" w:right="360"/>
      </w:pPr>
      <w:r>
        <w:t xml:space="preserve">In the 31 </w:t>
      </w:r>
      <w:r w:rsidR="007D0C8C" w:rsidRPr="001C0FEC">
        <w:t>VCIT</w:t>
      </w:r>
      <w:r>
        <w:t xml:space="preserve"> task force cities</w:t>
      </w:r>
      <w:r w:rsidR="007D0C8C" w:rsidRPr="001C0FEC">
        <w:t xml:space="preserve"> since 2004: </w:t>
      </w:r>
    </w:p>
    <w:p w:rsidR="007D0C8C" w:rsidRDefault="007D0C8C" w:rsidP="007D0C8C">
      <w:pPr>
        <w:numPr>
          <w:ilvl w:val="0"/>
          <w:numId w:val="7"/>
        </w:numPr>
        <w:pBdr>
          <w:left w:val="double" w:sz="6" w:space="4" w:color="auto"/>
          <w:right w:val="double" w:sz="6" w:space="4" w:color="auto"/>
        </w:pBdr>
        <w:ind w:left="540" w:right="360"/>
      </w:pPr>
      <w:r w:rsidRPr="001C0FEC">
        <w:t xml:space="preserve">The teams have obtained convictions against </w:t>
      </w:r>
      <w:r w:rsidR="004D3C57">
        <w:t>over 3</w:t>
      </w:r>
      <w:r w:rsidR="0092591F">
        <w:t>,</w:t>
      </w:r>
      <w:r w:rsidR="004D3C57">
        <w:t>1</w:t>
      </w:r>
      <w:r w:rsidR="0092591F">
        <w:t>00</w:t>
      </w:r>
      <w:r w:rsidRPr="001C0FEC">
        <w:t xml:space="preserve"> defendants</w:t>
      </w:r>
      <w:r w:rsidR="009E7C8C">
        <w:t xml:space="preserve">; over 80% were </w:t>
      </w:r>
      <w:r w:rsidR="004D3C57">
        <w:t>sentenced to prison, with an average sentence of 17 years.</w:t>
      </w:r>
    </w:p>
    <w:p w:rsidR="00D9043D" w:rsidRPr="001C0FEC" w:rsidRDefault="00D9043D" w:rsidP="00D9043D">
      <w:pPr>
        <w:numPr>
          <w:ilvl w:val="0"/>
          <w:numId w:val="7"/>
        </w:numPr>
        <w:pBdr>
          <w:left w:val="double" w:sz="6" w:space="4" w:color="auto"/>
          <w:right w:val="double" w:sz="6" w:space="4" w:color="auto"/>
        </w:pBdr>
        <w:ind w:left="540" w:right="360"/>
      </w:pPr>
      <w:r>
        <w:t>In FY 2010, ATF referred 4,913 gang related defendants for prosecution.</w:t>
      </w:r>
    </w:p>
    <w:p w:rsidR="007D0C8C" w:rsidRPr="001C0FEC" w:rsidRDefault="007D0C8C" w:rsidP="00420EC4">
      <w:pPr>
        <w:numPr>
          <w:ilvl w:val="0"/>
          <w:numId w:val="7"/>
        </w:numPr>
        <w:pBdr>
          <w:left w:val="double" w:sz="6" w:space="4" w:color="auto"/>
          <w:bottom w:val="double" w:sz="6" w:space="1" w:color="auto"/>
          <w:right w:val="double" w:sz="6" w:space="4" w:color="auto"/>
        </w:pBdr>
        <w:ind w:right="360" w:hanging="180"/>
      </w:pPr>
      <w:r w:rsidRPr="001C0FEC">
        <w:t xml:space="preserve">In fiscal years </w:t>
      </w:r>
      <w:r>
        <w:t>200</w:t>
      </w:r>
      <w:r w:rsidR="00D9043D">
        <w:t>3</w:t>
      </w:r>
      <w:r w:rsidRPr="001C0FEC">
        <w:t xml:space="preserve"> through </w:t>
      </w:r>
      <w:r>
        <w:t>2010</w:t>
      </w:r>
      <w:r w:rsidRPr="001C0FEC">
        <w:t xml:space="preserve">, an average of </w:t>
      </w:r>
      <w:r>
        <w:t>12%</w:t>
      </w:r>
      <w:r w:rsidRPr="001C0FEC">
        <w:t xml:space="preserve"> of all ATF cases and </w:t>
      </w:r>
      <w:r>
        <w:t>2</w:t>
      </w:r>
      <w:r w:rsidR="00D9043D">
        <w:t>0</w:t>
      </w:r>
      <w:r w:rsidRPr="002E02BB">
        <w:rPr>
          <w:bCs/>
        </w:rPr>
        <w:t>%</w:t>
      </w:r>
      <w:r w:rsidRPr="001C0FEC">
        <w:t xml:space="preserve"> of all </w:t>
      </w:r>
      <w:r w:rsidR="00D9043D">
        <w:t xml:space="preserve">ATF </w:t>
      </w:r>
      <w:r w:rsidRPr="001C0FEC">
        <w:t>defendants referred for prosecution (</w:t>
      </w:r>
      <w:r>
        <w:t>11,</w:t>
      </w:r>
      <w:r w:rsidR="00D9043D">
        <w:t>968</w:t>
      </w:r>
      <w:r w:rsidRPr="001C0FEC">
        <w:t xml:space="preserve"> cases and </w:t>
      </w:r>
      <w:r>
        <w:t>2</w:t>
      </w:r>
      <w:r w:rsidR="00D9043D">
        <w:t>8</w:t>
      </w:r>
      <w:r>
        <w:t>,</w:t>
      </w:r>
      <w:r w:rsidR="00D9043D">
        <w:t>347</w:t>
      </w:r>
      <w:r w:rsidRPr="001C0FEC">
        <w:t xml:space="preserve"> defendants) involved allegations of gang-related criminal conduct.</w:t>
      </w:r>
    </w:p>
    <w:p w:rsidR="007D0C8C" w:rsidRPr="00C12F67" w:rsidRDefault="007D0C8C" w:rsidP="007D0C8C">
      <w:pPr>
        <w:numPr>
          <w:ilvl w:val="0"/>
          <w:numId w:val="7"/>
        </w:numPr>
        <w:pBdr>
          <w:left w:val="double" w:sz="6" w:space="4" w:color="auto"/>
          <w:bottom w:val="double" w:sz="6" w:space="1" w:color="auto"/>
          <w:right w:val="double" w:sz="6" w:space="4" w:color="auto"/>
        </w:pBdr>
        <w:ind w:left="540" w:right="360"/>
      </w:pPr>
      <w:r w:rsidRPr="001C0FEC">
        <w:t>Many of these cases involve firearms and RICO violations, as wel</w:t>
      </w:r>
      <w:r w:rsidR="009E7C8C">
        <w:t xml:space="preserve">l as violations of </w:t>
      </w:r>
      <w:r w:rsidRPr="001C0FEC">
        <w:t>explosives laws.</w:t>
      </w:r>
    </w:p>
    <w:p w:rsidR="007D0C8C" w:rsidRPr="00762F09" w:rsidRDefault="007D0C8C" w:rsidP="007D0C8C">
      <w:pPr>
        <w:pStyle w:val="Heading2"/>
        <w:spacing w:before="100" w:beforeAutospacing="1" w:after="100" w:afterAutospacing="1"/>
        <w:rPr>
          <w:rFonts w:ascii="Times New Roman" w:hAnsi="Times New Roman" w:cs="Times New Roman"/>
          <w:sz w:val="24"/>
          <w:szCs w:val="24"/>
        </w:rPr>
      </w:pPr>
      <w:r w:rsidRPr="00D472EE">
        <w:rPr>
          <w:rFonts w:ascii="Times New Roman" w:hAnsi="Times New Roman" w:cs="Times New Roman"/>
          <w:sz w:val="24"/>
          <w:szCs w:val="24"/>
        </w:rPr>
        <w:t>Reducing Violent Crime through Effective Regulation of the Firearms Industry</w:t>
      </w:r>
    </w:p>
    <w:p w:rsidR="007D0C8C" w:rsidRDefault="007D0C8C" w:rsidP="007D0C8C">
      <w:r w:rsidRPr="00114140">
        <w:t xml:space="preserve">The fair and effective regulation of the firearms industry is a key component of ATF’s firearms enforcement efforts.  ATF’s Federal Firearms Licensing Center (FFLC) </w:t>
      </w:r>
      <w:r>
        <w:t>issues</w:t>
      </w:r>
      <w:r w:rsidRPr="00114140">
        <w:t xml:space="preserve"> licenses to legitimate firearms manufacturers, importers, and dealers.  ATF </w:t>
      </w:r>
      <w:r>
        <w:t>investigates</w:t>
      </w:r>
      <w:r w:rsidRPr="00114140">
        <w:t xml:space="preserve"> firearms license applicants for </w:t>
      </w:r>
      <w:r>
        <w:t>Federal</w:t>
      </w:r>
      <w:r w:rsidRPr="00114140">
        <w:t xml:space="preserve"> prohibitions such as felony convictions, illicit drug use, illegal alien status, mental illness, </w:t>
      </w:r>
      <w:r>
        <w:t xml:space="preserve">or </w:t>
      </w:r>
      <w:r w:rsidRPr="00114140">
        <w:t xml:space="preserve">minimum age requirement.  </w:t>
      </w:r>
    </w:p>
    <w:p w:rsidR="007D0C8C" w:rsidRDefault="007D0C8C" w:rsidP="007D0C8C"/>
    <w:p w:rsidR="007D0C8C" w:rsidRDefault="007D0C8C" w:rsidP="007D0C8C">
      <w:r w:rsidRPr="00114140">
        <w:t xml:space="preserve">To prevent individuals from buying firearms by falsely claiming to be an FFL, ATF provides licensees with access to </w:t>
      </w:r>
      <w:r>
        <w:t>the “FFL EZ Check</w:t>
      </w:r>
      <w:r w:rsidRPr="00114140">
        <w:t xml:space="preserve">” </w:t>
      </w:r>
      <w:r>
        <w:t xml:space="preserve">database, </w:t>
      </w:r>
      <w:r w:rsidRPr="00114140">
        <w:t>which allows FFLs to verify the legitimacy of the licensee before shipping or disposing of a firearm.</w:t>
      </w:r>
    </w:p>
    <w:p w:rsidR="007D0C8C" w:rsidRPr="00114140" w:rsidRDefault="007D0C8C" w:rsidP="007D0C8C"/>
    <w:p w:rsidR="007D0C8C" w:rsidRDefault="007D0C8C" w:rsidP="007D0C8C">
      <w:r w:rsidRPr="00114140">
        <w:t xml:space="preserve">Proper and timely recordkeeping by FFLs is critical to the success of a crime gun trace and is required for all firearms </w:t>
      </w:r>
      <w:r>
        <w:t>transactions</w:t>
      </w:r>
      <w:r w:rsidRPr="00114140">
        <w:t xml:space="preserve"> by licensees.  Failing to account for firearms is a serious public safety concern because unaccounted firearms cannot be </w:t>
      </w:r>
      <w:r w:rsidRPr="009813EA">
        <w:t>completely traced to the retail</w:t>
      </w:r>
      <w:r w:rsidRPr="008F20CC">
        <w:rPr>
          <w:color w:val="548DD4" w:themeColor="text2" w:themeTint="99"/>
        </w:rPr>
        <w:t xml:space="preserve"> </w:t>
      </w:r>
      <w:r w:rsidRPr="009813EA">
        <w:t>purchaser.</w:t>
      </w:r>
      <w:r w:rsidRPr="00114140">
        <w:t xml:space="preserve">  ATF’s FFL inspection program includes using tracing information on recovered firearms to detect indicators of illegal firearms trafficking and provide leads for inspections of specific dealers.</w:t>
      </w:r>
    </w:p>
    <w:p w:rsidR="007D0C8C" w:rsidRDefault="007D0C8C" w:rsidP="007D0C8C"/>
    <w:p w:rsidR="007D0C8C" w:rsidRPr="00114140" w:rsidRDefault="007D0C8C" w:rsidP="007D0C8C">
      <w:r w:rsidRPr="00114140">
        <w:t xml:space="preserve">Along with conducting face-to-face qualifying inspections </w:t>
      </w:r>
      <w:r>
        <w:t>of</w:t>
      </w:r>
      <w:r w:rsidRPr="00114140">
        <w:t xml:space="preserve"> all new license applicants, ATF conducts compliance inspections of current FFLs and collaborates with the industry on voluntary compliance efforts.  </w:t>
      </w:r>
      <w:r w:rsidR="00E91D81" w:rsidRPr="00D9043D">
        <w:t xml:space="preserve">ATF employs approximately 640 non-supervisory, field-based IOIs to investigate approximately </w:t>
      </w:r>
      <w:r w:rsidR="008F7E6B" w:rsidRPr="00D9043D">
        <w:t>1</w:t>
      </w:r>
      <w:r w:rsidR="008F7E6B">
        <w:t>20</w:t>
      </w:r>
      <w:r w:rsidR="00E91D81" w:rsidRPr="00D9043D">
        <w:t xml:space="preserve">,000 firearms licensees, approximately </w:t>
      </w:r>
      <w:r w:rsidR="009B0A89" w:rsidRPr="00D9043D">
        <w:t>5</w:t>
      </w:r>
      <w:r w:rsidR="00D9043D" w:rsidRPr="00D9043D">
        <w:t>6</w:t>
      </w:r>
      <w:r w:rsidR="009B0A89" w:rsidRPr="00D9043D">
        <w:t>,</w:t>
      </w:r>
      <w:r w:rsidR="00D9043D" w:rsidRPr="00D9043D">
        <w:t>280</w:t>
      </w:r>
      <w:r w:rsidR="00E91D81" w:rsidRPr="00D9043D">
        <w:t xml:space="preserve"> of which are collectors of specialty firearms, </w:t>
      </w:r>
      <w:r w:rsidR="00E91D81" w:rsidRPr="00D9043D">
        <w:rPr>
          <w:i/>
        </w:rPr>
        <w:t>e.g.</w:t>
      </w:r>
      <w:r w:rsidR="00E91D81" w:rsidRPr="00D9043D">
        <w:t xml:space="preserve"> curios and relics.</w:t>
      </w:r>
      <w:r w:rsidRPr="00114140">
        <w:t xml:space="preserve"> </w:t>
      </w:r>
      <w:r>
        <w:t xml:space="preserve"> </w:t>
      </w:r>
      <w:r w:rsidRPr="00114140">
        <w:t xml:space="preserve">In FY </w:t>
      </w:r>
      <w:r>
        <w:t>2010</w:t>
      </w:r>
      <w:r w:rsidRPr="00114140">
        <w:t xml:space="preserve">, these IOIs inspected more than </w:t>
      </w:r>
      <w:r>
        <w:t>1</w:t>
      </w:r>
      <w:r w:rsidR="00D9043D">
        <w:t>1</w:t>
      </w:r>
      <w:r>
        <w:t>,</w:t>
      </w:r>
      <w:r w:rsidR="00D9043D">
        <w:t>400</w:t>
      </w:r>
      <w:r w:rsidRPr="00114140">
        <w:t xml:space="preserve"> active FFLs.</w:t>
      </w:r>
    </w:p>
    <w:p w:rsidR="007D0C8C" w:rsidRPr="00114140" w:rsidRDefault="007D0C8C" w:rsidP="007D0C8C"/>
    <w:p w:rsidR="007D0C8C" w:rsidRDefault="007D0C8C" w:rsidP="007D0C8C">
      <w:r w:rsidRPr="00114140">
        <w:t xml:space="preserve">ATF IOIs inspect FFLs to ensure compliance with the Gun Control Act (GCA).  </w:t>
      </w:r>
      <w:r>
        <w:t>Responses to non-compliance</w:t>
      </w:r>
      <w:r w:rsidRPr="00114140">
        <w:t xml:space="preserve"> include issuing a “Report of Violations,” sending a “Warning Letter,” or hold</w:t>
      </w:r>
      <w:r>
        <w:t>ing</w:t>
      </w:r>
      <w:r w:rsidRPr="00114140">
        <w:t xml:space="preserve"> </w:t>
      </w:r>
      <w:r w:rsidRPr="00114140">
        <w:lastRenderedPageBreak/>
        <w:t xml:space="preserve">a “Warning Conference” with the industry member.  </w:t>
      </w:r>
      <w:r w:rsidRPr="009813EA">
        <w:t>On rare occasions, ATF encounters a</w:t>
      </w:r>
      <w:r w:rsidRPr="00114140">
        <w:t xml:space="preserve"> licensee who fails to comply with laws and regulations </w:t>
      </w:r>
      <w:r>
        <w:t>or</w:t>
      </w:r>
      <w:r w:rsidRPr="00114140">
        <w:t xml:space="preserve"> who demonstrates a lack of commitment to improving his or her business practices.  In such cases, ATF’s obligation to protect public safety may require revocation of the </w:t>
      </w:r>
      <w:r>
        <w:t>Federal</w:t>
      </w:r>
      <w:r w:rsidRPr="00114140">
        <w:t xml:space="preserve"> firearms license.</w:t>
      </w:r>
    </w:p>
    <w:p w:rsidR="007D0C8C" w:rsidRPr="00114140" w:rsidRDefault="007D0C8C" w:rsidP="007D0C8C"/>
    <w:p w:rsidR="007D0C8C" w:rsidRPr="00114140" w:rsidRDefault="007D0C8C" w:rsidP="007D0C8C">
      <w:r w:rsidRPr="00114140">
        <w:t xml:space="preserve">The </w:t>
      </w:r>
      <w:r>
        <w:t>Arms Export Control Act (</w:t>
      </w:r>
      <w:r w:rsidRPr="00114140">
        <w:t>AECA</w:t>
      </w:r>
      <w:r>
        <w:t>)</w:t>
      </w:r>
      <w:r w:rsidRPr="00114140">
        <w:t xml:space="preserve"> authorizes ATF to regulate the importation of firearms, ammunition</w:t>
      </w:r>
      <w:r>
        <w:t>,</w:t>
      </w:r>
      <w:r w:rsidRPr="00114140">
        <w:t xml:space="preserve"> and implements of war into the U.S.  ATF </w:t>
      </w:r>
      <w:r>
        <w:t>handles</w:t>
      </w:r>
      <w:r w:rsidRPr="00114140">
        <w:t xml:space="preserve"> applications to import items </w:t>
      </w:r>
      <w:r>
        <w:t>from</w:t>
      </w:r>
      <w:r w:rsidRPr="00114140">
        <w:t xml:space="preserve"> domestic businesses, members of the U.S. military returning from abroad with personal firearms, non-immigrant aliens temporarily hunting or attending legal sporting activities in the U.S., and U.S. citizens re-establishing residency after having lived abroad.  Through industry outreach and regulation, ATF provides technical advice to the public regarding import requirements applicable to firearms, ammunition</w:t>
      </w:r>
      <w:r>
        <w:t>,</w:t>
      </w:r>
      <w:r w:rsidRPr="00114140">
        <w:t xml:space="preserve"> and implements of war.</w:t>
      </w:r>
    </w:p>
    <w:p w:rsidR="007D0C8C" w:rsidRDefault="007D0C8C" w:rsidP="007D0C8C"/>
    <w:p w:rsidR="007D0C8C" w:rsidRPr="009813EA" w:rsidRDefault="007D0C8C" w:rsidP="007D0C8C">
      <w:pPr>
        <w:numPr>
          <w:ilvl w:val="1"/>
          <w:numId w:val="7"/>
        </w:numPr>
        <w:pBdr>
          <w:top w:val="double" w:sz="6" w:space="1" w:color="auto"/>
          <w:left w:val="double" w:sz="6" w:space="13" w:color="auto"/>
          <w:bottom w:val="double" w:sz="6" w:space="1" w:color="auto"/>
          <w:right w:val="double" w:sz="6" w:space="4" w:color="auto"/>
        </w:pBdr>
        <w:tabs>
          <w:tab w:val="clear" w:pos="2160"/>
        </w:tabs>
        <w:ind w:left="720" w:right="360"/>
      </w:pPr>
      <w:r w:rsidRPr="009813EA">
        <w:t xml:space="preserve">In fiscal year </w:t>
      </w:r>
      <w:r>
        <w:t>2010</w:t>
      </w:r>
      <w:r w:rsidRPr="009813EA">
        <w:t xml:space="preserve">, ATF conducted </w:t>
      </w:r>
      <w:r>
        <w:t>1</w:t>
      </w:r>
      <w:r w:rsidR="009B105C">
        <w:t>1</w:t>
      </w:r>
      <w:r>
        <w:t>,</w:t>
      </w:r>
      <w:r w:rsidR="009B105C">
        <w:t>413</w:t>
      </w:r>
      <w:r w:rsidRPr="009813EA">
        <w:t xml:space="preserve"> compliance inspections.</w:t>
      </w:r>
    </w:p>
    <w:p w:rsidR="007D0C8C" w:rsidRPr="009813EA" w:rsidRDefault="007D0C8C" w:rsidP="007D0C8C">
      <w:pPr>
        <w:numPr>
          <w:ilvl w:val="1"/>
          <w:numId w:val="7"/>
        </w:numPr>
        <w:pBdr>
          <w:top w:val="double" w:sz="6" w:space="1" w:color="auto"/>
          <w:left w:val="double" w:sz="6" w:space="13" w:color="auto"/>
          <w:bottom w:val="double" w:sz="6" w:space="1" w:color="auto"/>
          <w:right w:val="double" w:sz="6" w:space="4" w:color="auto"/>
        </w:pBdr>
        <w:tabs>
          <w:tab w:val="clear" w:pos="2160"/>
        </w:tabs>
        <w:ind w:left="720" w:right="360"/>
      </w:pPr>
      <w:r w:rsidRPr="009813EA">
        <w:t xml:space="preserve">Approximately </w:t>
      </w:r>
      <w:r w:rsidR="009B105C">
        <w:t>47</w:t>
      </w:r>
      <w:r>
        <w:t xml:space="preserve"> </w:t>
      </w:r>
      <w:r w:rsidRPr="009813EA">
        <w:t>percent of the licensees inspected were determined to be in full compliance with the law and regulations and no violations were cited.</w:t>
      </w:r>
    </w:p>
    <w:p w:rsidR="007D0C8C" w:rsidRPr="009813EA" w:rsidRDefault="009B105C" w:rsidP="007D0C8C">
      <w:pPr>
        <w:numPr>
          <w:ilvl w:val="1"/>
          <w:numId w:val="7"/>
        </w:numPr>
        <w:pBdr>
          <w:top w:val="double" w:sz="6" w:space="1" w:color="auto"/>
          <w:left w:val="double" w:sz="6" w:space="13" w:color="auto"/>
          <w:bottom w:val="double" w:sz="6" w:space="1" w:color="auto"/>
          <w:right w:val="double" w:sz="6" w:space="4" w:color="auto"/>
        </w:pBdr>
        <w:tabs>
          <w:tab w:val="clear" w:pos="2160"/>
        </w:tabs>
        <w:ind w:left="720" w:right="360"/>
      </w:pPr>
      <w:r>
        <w:t>100</w:t>
      </w:r>
      <w:r w:rsidR="007D0C8C" w:rsidRPr="009813EA">
        <w:t xml:space="preserve"> compliance inspections recommended license revocation or denial of an application for renewal of a Federal firearms license due to willful violations of the GCA.  An additional </w:t>
      </w:r>
      <w:r>
        <w:t>49</w:t>
      </w:r>
      <w:r w:rsidR="007D0C8C" w:rsidRPr="009813EA">
        <w:t xml:space="preserve"> license inspections resulted in licenses being surrendered in lieu of administrative action.  This figure is less than one percent of the number of licensees inspected.</w:t>
      </w:r>
    </w:p>
    <w:p w:rsidR="007D0C8C" w:rsidRPr="009813EA" w:rsidRDefault="007D0C8C" w:rsidP="007D0C8C">
      <w:pPr>
        <w:numPr>
          <w:ilvl w:val="1"/>
          <w:numId w:val="7"/>
        </w:numPr>
        <w:pBdr>
          <w:top w:val="double" w:sz="6" w:space="1" w:color="auto"/>
          <w:left w:val="double" w:sz="6" w:space="13" w:color="auto"/>
          <w:bottom w:val="double" w:sz="6" w:space="1" w:color="auto"/>
          <w:right w:val="double" w:sz="6" w:space="4" w:color="auto"/>
        </w:pBdr>
        <w:tabs>
          <w:tab w:val="clear" w:pos="2160"/>
        </w:tabs>
        <w:ind w:left="720" w:right="360"/>
      </w:pPr>
      <w:r w:rsidRPr="009813EA">
        <w:t>ATF reviewed more than</w:t>
      </w:r>
      <w:r w:rsidR="009B105C">
        <w:t xml:space="preserve"> 2</w:t>
      </w:r>
      <w:r w:rsidRPr="009813EA">
        <w:t xml:space="preserve"> million firearms transfer records for legal sufficiency and validated </w:t>
      </w:r>
      <w:r w:rsidR="009B105C">
        <w:t>over 328</w:t>
      </w:r>
      <w:r w:rsidRPr="009813EA">
        <w:t>,000 National Instant Check submissions.</w:t>
      </w:r>
    </w:p>
    <w:p w:rsidR="007D0C8C" w:rsidRPr="009813EA" w:rsidRDefault="007D0C8C" w:rsidP="007D0C8C">
      <w:pPr>
        <w:numPr>
          <w:ilvl w:val="1"/>
          <w:numId w:val="7"/>
        </w:numPr>
        <w:pBdr>
          <w:top w:val="double" w:sz="6" w:space="1" w:color="auto"/>
          <w:left w:val="double" w:sz="6" w:space="13" w:color="auto"/>
          <w:bottom w:val="double" w:sz="6" w:space="1" w:color="auto"/>
          <w:right w:val="double" w:sz="6" w:space="4" w:color="auto"/>
        </w:pBdr>
        <w:tabs>
          <w:tab w:val="clear" w:pos="2160"/>
        </w:tabs>
        <w:ind w:left="720" w:right="360"/>
      </w:pPr>
      <w:r w:rsidRPr="009813EA">
        <w:t>During compliance inspections conducted in 20</w:t>
      </w:r>
      <w:r w:rsidR="009B105C">
        <w:t>10</w:t>
      </w:r>
      <w:r w:rsidRPr="009813EA">
        <w:t>, ATF investigators identified 1</w:t>
      </w:r>
      <w:r w:rsidR="009B105C">
        <w:t>22</w:t>
      </w:r>
      <w:r w:rsidRPr="009813EA">
        <w:t>,</w:t>
      </w:r>
      <w:r w:rsidR="009B105C">
        <w:t>737</w:t>
      </w:r>
      <w:r w:rsidRPr="009813EA">
        <w:t xml:space="preserve"> firearms that FFLs could not locate in inventory or account for by disposition or theft.</w:t>
      </w:r>
    </w:p>
    <w:p w:rsidR="007D0C8C" w:rsidRPr="009813EA" w:rsidRDefault="007D0C8C" w:rsidP="007D0C8C">
      <w:pPr>
        <w:numPr>
          <w:ilvl w:val="1"/>
          <w:numId w:val="7"/>
        </w:numPr>
        <w:pBdr>
          <w:top w:val="double" w:sz="6" w:space="1" w:color="auto"/>
          <w:left w:val="double" w:sz="6" w:space="13" w:color="auto"/>
          <w:bottom w:val="double" w:sz="6" w:space="1" w:color="auto"/>
          <w:right w:val="double" w:sz="6" w:space="4" w:color="auto"/>
        </w:pBdr>
        <w:tabs>
          <w:tab w:val="clear" w:pos="2160"/>
        </w:tabs>
        <w:ind w:left="720" w:right="360"/>
      </w:pPr>
      <w:r w:rsidRPr="009813EA">
        <w:t xml:space="preserve">By working with industry members, IOIs reduced this number to approximately </w:t>
      </w:r>
      <w:r w:rsidR="009B105C">
        <w:t>31</w:t>
      </w:r>
      <w:r w:rsidRPr="009813EA">
        <w:t>,</w:t>
      </w:r>
      <w:r w:rsidR="009B105C">
        <w:t>198</w:t>
      </w:r>
      <w:r w:rsidRPr="009813EA">
        <w:t xml:space="preserve"> unaccounted-for firearms.  ATF IOIs improved the success rate of potential firearms traces of previously unaccounted firearms by </w:t>
      </w:r>
      <w:r w:rsidR="009B105C">
        <w:t>75</w:t>
      </w:r>
      <w:r w:rsidRPr="009813EA">
        <w:t xml:space="preserve"> percent.</w:t>
      </w:r>
    </w:p>
    <w:p w:rsidR="007D0C8C" w:rsidRPr="00114140" w:rsidRDefault="007D0C8C" w:rsidP="007D0C8C"/>
    <w:p w:rsidR="007D0C8C" w:rsidRDefault="007D0C8C" w:rsidP="007D0C8C">
      <w:pPr>
        <w:rPr>
          <w:b/>
          <w:i/>
        </w:rPr>
      </w:pPr>
      <w:r w:rsidRPr="000E69A2">
        <w:rPr>
          <w:b/>
          <w:i/>
        </w:rPr>
        <w:t>Reducing Violence on the Southwest Border – Project Gunrunner</w:t>
      </w:r>
      <w:r>
        <w:rPr>
          <w:b/>
          <w:i/>
        </w:rPr>
        <w:t xml:space="preserve"> </w:t>
      </w:r>
    </w:p>
    <w:p w:rsidR="007D0C8C" w:rsidRDefault="007D0C8C" w:rsidP="007D0C8C">
      <w:pPr>
        <w:rPr>
          <w:b/>
          <w:i/>
        </w:rPr>
      </w:pPr>
    </w:p>
    <w:p w:rsidR="007D0C8C" w:rsidRPr="00114140" w:rsidRDefault="007D0C8C" w:rsidP="007D0C8C">
      <w:r w:rsidRPr="00114140">
        <w:t xml:space="preserve">The violence fueled by firearms trafficking is </w:t>
      </w:r>
      <w:r>
        <w:t>evident</w:t>
      </w:r>
      <w:r w:rsidRPr="00114140">
        <w:t xml:space="preserve"> in the crisis on our Southwest </w:t>
      </w:r>
      <w:r w:rsidRPr="002E02BB">
        <w:t>B</w:t>
      </w:r>
      <w:r w:rsidRPr="00114140">
        <w:t xml:space="preserve">order.  Our firearms trafficking strategy complements our continued focus on </w:t>
      </w:r>
      <w:r>
        <w:t>deploying</w:t>
      </w:r>
      <w:r w:rsidRPr="00114140">
        <w:t xml:space="preserve"> resources to specific localities where there is a high incidence of gang and gun violence.  Recent investigative data have shown an increase in the number of firearms recovered in Mexico, and these firearms fuel the growing violence along the border.  In partnership with other U.S. agencies and the Government of Mexico, </w:t>
      </w:r>
      <w:r w:rsidR="00514DB2" w:rsidRPr="00FA4E48">
        <w:t>ATF’s Project Gunrunner</w:t>
      </w:r>
      <w:r w:rsidRPr="00114140">
        <w:t xml:space="preserve"> investigate</w:t>
      </w:r>
      <w:r>
        <w:t>s</w:t>
      </w:r>
      <w:r w:rsidRPr="00114140">
        <w:t xml:space="preserve"> the sources of firearms identified from trace data derived from firearm recoveries and subsequent trace requests made by our Mexican counterparts.  In the overarching U.S. Government S</w:t>
      </w:r>
      <w:r>
        <w:t xml:space="preserve">outhwest </w:t>
      </w:r>
      <w:r w:rsidRPr="002E02BB">
        <w:t>Border strategy</w:t>
      </w:r>
      <w:r>
        <w:t xml:space="preserve">, ATF </w:t>
      </w:r>
      <w:r w:rsidRPr="00114140">
        <w:t>stem</w:t>
      </w:r>
      <w:r>
        <w:t>s</w:t>
      </w:r>
      <w:r w:rsidRPr="00114140">
        <w:t xml:space="preserve"> the illegal trafficking of weapons across the border and reduce</w:t>
      </w:r>
      <w:r>
        <w:t>s</w:t>
      </w:r>
      <w:r w:rsidRPr="00114140">
        <w:t xml:space="preserve"> the firearms</w:t>
      </w:r>
      <w:r>
        <w:t>-</w:t>
      </w:r>
      <w:r w:rsidRPr="00114140">
        <w:t xml:space="preserve">driven violence now occurring on both sides of the border.  </w:t>
      </w:r>
    </w:p>
    <w:p w:rsidR="007D0C8C" w:rsidRDefault="007D0C8C" w:rsidP="007D0C8C"/>
    <w:p w:rsidR="007D0C8C" w:rsidRDefault="007D0C8C" w:rsidP="00420EC4">
      <w:pPr>
        <w:numPr>
          <w:ilvl w:val="0"/>
          <w:numId w:val="7"/>
        </w:numPr>
        <w:pBdr>
          <w:top w:val="double" w:sz="6" w:space="1" w:color="auto"/>
          <w:left w:val="double" w:sz="6" w:space="4" w:color="auto"/>
          <w:right w:val="double" w:sz="6" w:space="4" w:color="auto"/>
        </w:pBdr>
        <w:ind w:right="360" w:hanging="180"/>
      </w:pPr>
      <w:r w:rsidRPr="001A13EE">
        <w:lastRenderedPageBreak/>
        <w:t xml:space="preserve">To confront the escalating firearms-violence problem along the Southwest </w:t>
      </w:r>
      <w:r w:rsidRPr="00573480">
        <w:rPr>
          <w:color w:val="5F497A" w:themeColor="accent4" w:themeShade="BF"/>
        </w:rPr>
        <w:t>b</w:t>
      </w:r>
      <w:r w:rsidRPr="001A13EE">
        <w:t xml:space="preserve">order, in FY </w:t>
      </w:r>
      <w:r w:rsidR="003037BB" w:rsidRPr="001A13EE">
        <w:t>200</w:t>
      </w:r>
      <w:r w:rsidR="003037BB">
        <w:t>9</w:t>
      </w:r>
      <w:r w:rsidRPr="001A13EE">
        <w:t>-</w:t>
      </w:r>
      <w:r w:rsidR="003037BB">
        <w:t>10</w:t>
      </w:r>
      <w:r w:rsidRPr="001A13EE">
        <w:t xml:space="preserve">, </w:t>
      </w:r>
      <w:r w:rsidRPr="003037BB">
        <w:t xml:space="preserve">ATF provided firearms-trafficking training </w:t>
      </w:r>
      <w:r w:rsidR="003037BB" w:rsidRPr="003037BB">
        <w:t>to approximately</w:t>
      </w:r>
      <w:r w:rsidRPr="003037BB">
        <w:t xml:space="preserve"> </w:t>
      </w:r>
      <w:r w:rsidR="003037BB" w:rsidRPr="003037BB">
        <w:t xml:space="preserve">1,100 </w:t>
      </w:r>
      <w:r w:rsidRPr="003037BB">
        <w:t>Mexican police and prosecutors.</w:t>
      </w:r>
    </w:p>
    <w:p w:rsidR="007D0C8C" w:rsidRPr="001A13EE" w:rsidRDefault="00C34432" w:rsidP="00420EC4">
      <w:pPr>
        <w:numPr>
          <w:ilvl w:val="0"/>
          <w:numId w:val="7"/>
        </w:numPr>
        <w:pBdr>
          <w:left w:val="double" w:sz="6" w:space="4" w:color="auto"/>
          <w:bottom w:val="double" w:sz="6" w:space="3" w:color="auto"/>
          <w:right w:val="double" w:sz="6" w:space="4" w:color="auto"/>
        </w:pBdr>
        <w:ind w:right="360" w:hanging="180"/>
      </w:pPr>
      <w:r w:rsidRPr="003037BB">
        <w:t>Every year, ATF provides firearms-related training</w:t>
      </w:r>
      <w:r w:rsidR="007D0C8C" w:rsidRPr="001A13EE">
        <w:t xml:space="preserve"> to more than 1,000 police officials served by the International Law Enforcement Academies across the globe.  In Africa, Eastern Europe, Asia, and Latin America, this training focuses on firearms trafficking and other violent-crime problems impacting each region.</w:t>
      </w:r>
    </w:p>
    <w:p w:rsidR="007D0C8C" w:rsidRDefault="007D0C8C" w:rsidP="007D0C8C"/>
    <w:p w:rsidR="007D0C8C" w:rsidRPr="00114140" w:rsidRDefault="007D0C8C" w:rsidP="007D0C8C">
      <w:r w:rsidRPr="00114140">
        <w:t xml:space="preserve">Firearms tracing, </w:t>
      </w:r>
      <w:r>
        <w:t>especially the</w:t>
      </w:r>
      <w:r w:rsidRPr="00114140">
        <w:t xml:space="preserve"> expansion of the eTrace firearms tracing system</w:t>
      </w:r>
      <w:r>
        <w:t xml:space="preserve"> into the nine U.S. Consulates in Mexico</w:t>
      </w:r>
      <w:r w:rsidRPr="00114140">
        <w:t xml:space="preserve">, is a critical component of </w:t>
      </w:r>
      <w:r w:rsidR="000A6AFA">
        <w:t xml:space="preserve">Project Gunrunner.  Further, </w:t>
      </w:r>
      <w:r w:rsidRPr="00114140">
        <w:t xml:space="preserve">ATF </w:t>
      </w:r>
      <w:r>
        <w:t>extensively</w:t>
      </w:r>
      <w:r w:rsidRPr="00114140">
        <w:t xml:space="preserve"> train</w:t>
      </w:r>
      <w:r>
        <w:t>s</w:t>
      </w:r>
      <w:r w:rsidRPr="00114140">
        <w:t xml:space="preserve"> Mexican law enforcement personnel on firearms tracing and trafficking techniques.  ATF and the Government of Mexico continue to </w:t>
      </w:r>
      <w:r>
        <w:t xml:space="preserve">enhance </w:t>
      </w:r>
      <w:r w:rsidRPr="00114140">
        <w:t xml:space="preserve">the firearms tracing process </w:t>
      </w:r>
      <w:r>
        <w:t>through</w:t>
      </w:r>
      <w:r w:rsidRPr="00114140">
        <w:t xml:space="preserve"> </w:t>
      </w:r>
      <w:r>
        <w:t>deployment of</w:t>
      </w:r>
      <w:r w:rsidRPr="00114140">
        <w:t xml:space="preserve"> a Spanish-language version of eTrace to </w:t>
      </w:r>
      <w:r>
        <w:t xml:space="preserve">designated </w:t>
      </w:r>
      <w:r w:rsidRPr="00114140">
        <w:t xml:space="preserve">Mexican law enforcement agencies.  ATF has deployed eTrace to Mexico, Guatemala and Costa Rica.  </w:t>
      </w:r>
    </w:p>
    <w:p w:rsidR="007D0C8C" w:rsidRDefault="007D0C8C" w:rsidP="007D0C8C"/>
    <w:p w:rsidR="007D0C8C" w:rsidRPr="00380C6E" w:rsidRDefault="007D0C8C" w:rsidP="007D0C8C">
      <w:r w:rsidRPr="00380C6E">
        <w:t>ATF has assigned agents to Las Cruces</w:t>
      </w:r>
      <w:r>
        <w:t xml:space="preserve"> and Roswell,</w:t>
      </w:r>
      <w:r w:rsidRPr="00380C6E">
        <w:t xml:space="preserve"> </w:t>
      </w:r>
      <w:r w:rsidR="005A6FC0">
        <w:t>New Mexico</w:t>
      </w:r>
      <w:r w:rsidRPr="00380C6E">
        <w:t xml:space="preserve">; El Centro, </w:t>
      </w:r>
      <w:r w:rsidR="005A6FC0">
        <w:t>California</w:t>
      </w:r>
      <w:r w:rsidRPr="00380C6E">
        <w:t>; McAllen</w:t>
      </w:r>
      <w:r>
        <w:t>,</w:t>
      </w:r>
      <w:r w:rsidRPr="00380C6E">
        <w:t xml:space="preserve"> Houston, </w:t>
      </w:r>
      <w:r>
        <w:t>and</w:t>
      </w:r>
      <w:r w:rsidRPr="00380C6E">
        <w:t xml:space="preserve"> El Paso, </w:t>
      </w:r>
      <w:r w:rsidR="005A6FC0">
        <w:t>Texas</w:t>
      </w:r>
      <w:r w:rsidRPr="00380C6E">
        <w:t xml:space="preserve">; </w:t>
      </w:r>
      <w:r w:rsidR="005A6FC0">
        <w:t xml:space="preserve">and </w:t>
      </w:r>
      <w:r w:rsidRPr="00380C6E">
        <w:t xml:space="preserve">Phoenix and Tucson, </w:t>
      </w:r>
      <w:r w:rsidR="005A6FC0">
        <w:t>Arizona</w:t>
      </w:r>
      <w:r w:rsidRPr="00380C6E">
        <w:t xml:space="preserve">, in addition to ATF’s resources in other strategic locations along the Southwest Border, to disrupt the firearms trafficking corridors operating along the border.  Trends indicate that the firearms illegally crossing the U.S.-Mexico border are extremely lethal because of their increased capabilities and weapon types.  </w:t>
      </w:r>
      <w:r w:rsidRPr="008F7E6B">
        <w:t xml:space="preserve">ATF analyzed firearms seizures originating from Mexico from FY </w:t>
      </w:r>
      <w:r w:rsidR="005F25FD" w:rsidRPr="008F7E6B">
        <w:t xml:space="preserve">2007 </w:t>
      </w:r>
      <w:r w:rsidRPr="008F7E6B">
        <w:t xml:space="preserve">to FY </w:t>
      </w:r>
      <w:r w:rsidR="005F25FD" w:rsidRPr="008F7E6B">
        <w:t xml:space="preserve">2010 </w:t>
      </w:r>
      <w:r w:rsidRPr="008F7E6B">
        <w:t xml:space="preserve">and identified the following </w:t>
      </w:r>
      <w:r w:rsidR="008F7E6B" w:rsidRPr="008F7E6B">
        <w:t xml:space="preserve">calibers </w:t>
      </w:r>
      <w:r w:rsidRPr="008F7E6B">
        <w:t xml:space="preserve">that are among those most commonly used by criminals: </w:t>
      </w:r>
      <w:r w:rsidR="008F7E6B" w:rsidRPr="008F7E6B">
        <w:t>7.62mm, .223 caliber, 9mm, 5.7mm, 5.56 mm, .50 BMG, .45 caliber, .40 caliber, .38 caliber, and .308 caliber.</w:t>
      </w:r>
      <w:r w:rsidRPr="00380C6E">
        <w:t xml:space="preserve">  </w:t>
      </w:r>
    </w:p>
    <w:p w:rsidR="007D0C8C" w:rsidRDefault="007D0C8C" w:rsidP="007D0C8C"/>
    <w:p w:rsidR="007D0C8C" w:rsidRPr="00114140" w:rsidRDefault="007D0C8C" w:rsidP="007D0C8C">
      <w:r w:rsidRPr="00114140">
        <w:t xml:space="preserve">Most of the firearms violence in Mexico is perpetrated by </w:t>
      </w:r>
      <w:r w:rsidRPr="00BA6AA7">
        <w:t>drug trafficking organizations</w:t>
      </w:r>
      <w:r w:rsidRPr="00114140">
        <w:t xml:space="preserve"> (DTO.)  These Mexican DTO</w:t>
      </w:r>
      <w:r w:rsidR="00420EC4">
        <w:t>s</w:t>
      </w:r>
      <w:r>
        <w:t>,</w:t>
      </w:r>
      <w:r w:rsidRPr="00114140">
        <w:t xml:space="preserve"> among the leading gun trafficking organizations operating in the U.S.</w:t>
      </w:r>
      <w:r>
        <w:t>,</w:t>
      </w:r>
      <w:r w:rsidRPr="00114140">
        <w:t xml:space="preserve"> vi</w:t>
      </w:r>
      <w:r>
        <w:t>e</w:t>
      </w:r>
      <w:r w:rsidRPr="00114140">
        <w:t xml:space="preserve"> for control of drug trafficking routes</w:t>
      </w:r>
      <w:r w:rsidRPr="00E5640A">
        <w:t>.</w:t>
      </w:r>
      <w:r w:rsidRPr="00114140">
        <w:t xml:space="preserve">  DTOs in Mexico</w:t>
      </w:r>
      <w:r>
        <w:t xml:space="preserve"> enforce and maintain their narcotics operations by relying</w:t>
      </w:r>
      <w:r w:rsidRPr="00114140">
        <w:t xml:space="preserve"> on firearms from illicit suppliers.  Intelligence indicates these criminal organizations have tasked their money laundering, distribution</w:t>
      </w:r>
      <w:r>
        <w:t>,</w:t>
      </w:r>
      <w:r w:rsidRPr="00114140">
        <w:t xml:space="preserve"> and transportation infrastructures with reaching into the U.S. to acquire firearms and ammunition.  </w:t>
      </w:r>
    </w:p>
    <w:p w:rsidR="007D0C8C" w:rsidRDefault="007D0C8C" w:rsidP="007D0C8C"/>
    <w:p w:rsidR="007D0C8C" w:rsidRDefault="007D0C8C" w:rsidP="007D0C8C">
      <w:r>
        <w:t xml:space="preserve">To disrupt firearms trafficking corridors along the southwest border, </w:t>
      </w:r>
      <w:r w:rsidRPr="00114140">
        <w:t xml:space="preserve">ATF has </w:t>
      </w:r>
      <w:r>
        <w:t xml:space="preserve">assigned </w:t>
      </w:r>
      <w:r w:rsidRPr="00114140">
        <w:t xml:space="preserve">approximately </w:t>
      </w:r>
      <w:r>
        <w:t>224</w:t>
      </w:r>
      <w:r w:rsidRPr="00275FAE">
        <w:t xml:space="preserve"> agents, </w:t>
      </w:r>
      <w:r>
        <w:t>165</w:t>
      </w:r>
      <w:r w:rsidRPr="00275FAE">
        <w:t xml:space="preserve"> IOIs, and </w:t>
      </w:r>
      <w:r>
        <w:t>32</w:t>
      </w:r>
      <w:r w:rsidRPr="00275FAE">
        <w:t xml:space="preserve"> support staff to the four contiguous </w:t>
      </w:r>
      <w:r w:rsidRPr="00D70840">
        <w:t>B</w:t>
      </w:r>
      <w:r w:rsidRPr="00275FAE">
        <w:t xml:space="preserve">order States.  These ATF personnel, together with other agents, IOIs, and forensic auditors across the country, pursue firearms trafficking investigations that originate in areas away from the border but that result in the movement of firearms to Mexico.  </w:t>
      </w:r>
    </w:p>
    <w:p w:rsidR="007D0C8C" w:rsidRDefault="007D0C8C" w:rsidP="007D0C8C">
      <w:pPr>
        <w:autoSpaceDE w:val="0"/>
        <w:autoSpaceDN w:val="0"/>
        <w:adjustRightInd w:val="0"/>
        <w:rPr>
          <w:b/>
          <w:i/>
        </w:rPr>
      </w:pPr>
    </w:p>
    <w:p w:rsidR="007D0C8C" w:rsidRPr="002E10D9" w:rsidRDefault="007D0C8C" w:rsidP="007D0C8C">
      <w:pPr>
        <w:autoSpaceDE w:val="0"/>
        <w:autoSpaceDN w:val="0"/>
        <w:adjustRightInd w:val="0"/>
        <w:rPr>
          <w:b/>
          <w:i/>
        </w:rPr>
      </w:pPr>
      <w:r w:rsidRPr="002E10D9">
        <w:rPr>
          <w:b/>
          <w:i/>
        </w:rPr>
        <w:t>Reducing Violent Firearm Crime with National Information Sharing</w:t>
      </w:r>
    </w:p>
    <w:p w:rsidR="007D0C8C" w:rsidRPr="003F20A1" w:rsidRDefault="007D0C8C" w:rsidP="007D0C8C">
      <w:pPr>
        <w:autoSpaceDE w:val="0"/>
        <w:autoSpaceDN w:val="0"/>
        <w:adjustRightInd w:val="0"/>
      </w:pPr>
    </w:p>
    <w:p w:rsidR="007D0C8C" w:rsidRDefault="007D0C8C" w:rsidP="007D0C8C">
      <w:r w:rsidRPr="00114140">
        <w:t>ATF maintains an extensive firearms reference collection</w:t>
      </w:r>
      <w:r>
        <w:t xml:space="preserve"> that includes </w:t>
      </w:r>
      <w:r w:rsidRPr="00114140">
        <w:t>technical firearms reference files, a library</w:t>
      </w:r>
      <w:r>
        <w:t>,</w:t>
      </w:r>
      <w:r w:rsidRPr="00114140">
        <w:t xml:space="preserve"> and firearms technical and reference databases.  ATF responds to </w:t>
      </w:r>
      <w:r>
        <w:t>Federal</w:t>
      </w:r>
      <w:r w:rsidRPr="00114140">
        <w:t xml:space="preserve">, </w:t>
      </w:r>
      <w:r>
        <w:t>S</w:t>
      </w:r>
      <w:r w:rsidRPr="00114140">
        <w:t>tate, and local law enforcement agencies, the firearms industry, Congress, and the public when requested to test, evaluate, or provide expert testimony regarding firearms and ammunition.  ATF is responsible for rendering opinions regarding the classification of suspected illegal firearms and newly designed firearms.</w:t>
      </w:r>
    </w:p>
    <w:p w:rsidR="007D0C8C" w:rsidRDefault="007D0C8C" w:rsidP="007D0C8C"/>
    <w:p w:rsidR="007D0C8C" w:rsidRDefault="007D0C8C" w:rsidP="00DE2A3D">
      <w:r>
        <w:t>ATF collects, reports, and shares ballistic intelligence</w:t>
      </w:r>
      <w:r w:rsidR="005A6FC0">
        <w:t xml:space="preserve"> </w:t>
      </w:r>
      <w:r>
        <w:t xml:space="preserve">to identify, target, and dismantle violent gangs and criminal organizations engaged in firearms-related violent crimes. ATF administers automated ballistic imaging technology for Federal, State, and local law enforcement, forensic science, and attorney agencies in the United States through ATF’s National Integrated Ballistic Information Network (NIBIN). NIBIN partners use Integrated Ballistic Identification Systems (IBIS) </w:t>
      </w:r>
      <w:r w:rsidRPr="00114140">
        <w:t>to acquire digital images of markings made on spent ammunition recovered from a crime scene or a crime gun test fire</w:t>
      </w:r>
      <w:r>
        <w:t>,</w:t>
      </w:r>
      <w:r w:rsidRPr="00114140">
        <w:t xml:space="preserve"> and then compare those images </w:t>
      </w:r>
      <w:r>
        <w:t>with</w:t>
      </w:r>
      <w:r w:rsidRPr="00114140">
        <w:t xml:space="preserve"> earlier NIBIN entries.  </w:t>
      </w:r>
    </w:p>
    <w:p w:rsidR="007D0C8C" w:rsidRDefault="007D0C8C" w:rsidP="007D0C8C">
      <w:r>
        <w:t xml:space="preserve"> </w:t>
      </w:r>
    </w:p>
    <w:p w:rsidR="006134E6" w:rsidRPr="005C6609" w:rsidRDefault="006134E6" w:rsidP="006134E6">
      <w:pPr>
        <w:tabs>
          <w:tab w:val="left" w:pos="0"/>
        </w:tabs>
      </w:pPr>
      <w:r w:rsidRPr="005C6609">
        <w:t>B</w:t>
      </w:r>
      <w:r>
        <w:t xml:space="preserve">eginning in FY 2012, </w:t>
      </w:r>
      <w:r w:rsidRPr="005C6609">
        <w:t>ATF will reduce the number of supported NIBIN workstations and contractor support</w:t>
      </w:r>
      <w:r>
        <w:t xml:space="preserve"> by </w:t>
      </w:r>
      <w:r w:rsidRPr="005C6609">
        <w:t>identifying the least productive NIBIN locations.  Specifically, $2</w:t>
      </w:r>
      <w:r>
        <w:t xml:space="preserve"> million</w:t>
      </w:r>
      <w:r w:rsidRPr="005C6609">
        <w:t xml:space="preserve"> in field contractor support will be eliminated</w:t>
      </w:r>
      <w:r>
        <w:t xml:space="preserve"> and</w:t>
      </w:r>
      <w:r w:rsidRPr="005C6609">
        <w:t xml:space="preserve"> </w:t>
      </w:r>
      <w:r>
        <w:t xml:space="preserve">a reduction in </w:t>
      </w:r>
      <w:r w:rsidRPr="005C6609">
        <w:t xml:space="preserve">ongoing </w:t>
      </w:r>
      <w:r>
        <w:t>operational costs</w:t>
      </w:r>
      <w:r w:rsidRPr="005C6609">
        <w:t xml:space="preserve"> of the NIBIN workstations and network</w:t>
      </w:r>
      <w:r>
        <w:t xml:space="preserve"> will result in savings of $8 million</w:t>
      </w:r>
      <w:r w:rsidRPr="005C6609">
        <w:t>.  ATF will decommission more than 120 NIBIN workstations or approximately 66% of its sites across the country</w:t>
      </w:r>
      <w:r w:rsidR="00A01139">
        <w:t>.</w:t>
      </w:r>
      <w:r w:rsidRPr="005C6609">
        <w:t xml:space="preserve">  Where feasible, ATF will explore regionalization of NIBIN service to consolidate remaining resources.  Finally, ATF will gauge state and local law enforcement NIBIN needs and explore a cost sharing option via a user fee structure.  </w:t>
      </w:r>
    </w:p>
    <w:p w:rsidR="006134E6" w:rsidRPr="00114140" w:rsidRDefault="006134E6" w:rsidP="007D0C8C"/>
    <w:p w:rsidR="007D0C8C" w:rsidRPr="00114140" w:rsidRDefault="007D0C8C" w:rsidP="007D0C8C">
      <w:r w:rsidRPr="00114140">
        <w:t>ATF’s National Tracing Center (NTC) is another key tool in fighting violent crime.  Each year, the NTC traces hundreds of thousands of recovered crime guns</w:t>
      </w:r>
      <w:r>
        <w:t xml:space="preserve">.  </w:t>
      </w:r>
      <w:r w:rsidRPr="00C01DAD">
        <w:t>In FY 20</w:t>
      </w:r>
      <w:r w:rsidR="00061721">
        <w:t>10</w:t>
      </w:r>
      <w:r w:rsidRPr="00C01DAD">
        <w:t>, the NTC traced 343,</w:t>
      </w:r>
      <w:r w:rsidR="00216352">
        <w:t>914</w:t>
      </w:r>
      <w:r w:rsidRPr="00C01DAD">
        <w:t xml:space="preserve"> recovered firearms for law enforcement offices in over 6</w:t>
      </w:r>
      <w:r w:rsidR="00216352">
        <w:t>0</w:t>
      </w:r>
      <w:r w:rsidRPr="00C01DAD">
        <w:t xml:space="preserve"> different countries.</w:t>
      </w:r>
      <w:r w:rsidRPr="00114140">
        <w:t xml:space="preserve">  </w:t>
      </w:r>
      <w:r w:rsidRPr="00380C6E">
        <w:t>The NTC anticipates that it will receive about 3</w:t>
      </w:r>
      <w:r w:rsidR="00216352">
        <w:t>43</w:t>
      </w:r>
      <w:r w:rsidRPr="00380C6E">
        <w:t>,000 trace requests in FY 201</w:t>
      </w:r>
      <w:r w:rsidR="00061721">
        <w:t>1</w:t>
      </w:r>
      <w:r w:rsidRPr="00380C6E">
        <w:t xml:space="preserve"> and about 3</w:t>
      </w:r>
      <w:r w:rsidR="00216352">
        <w:t>5</w:t>
      </w:r>
      <w:r w:rsidRPr="00380C6E">
        <w:t>4,000 trace requests in FY 201</w:t>
      </w:r>
      <w:r w:rsidR="00061721">
        <w:t>2</w:t>
      </w:r>
      <w:r w:rsidRPr="00380C6E">
        <w:t xml:space="preserve">.  </w:t>
      </w:r>
      <w:r w:rsidRPr="00114140">
        <w:t>The NTC is the only repository of all crime gun trace data, multiple handgun sales information, stolen firearms information, suspect gun information, and over 100 million firearms transaction records from out-of</w:t>
      </w:r>
      <w:r>
        <w:t>-business FFLs.  The data allow</w:t>
      </w:r>
      <w:r w:rsidRPr="00114140">
        <w:t xml:space="preserve"> ATF to identify recurring patterns and trends indicative of illegal firearms trafficking and pass that information on to law enforcement.  Analysis of the collective crime gun trace data </w:t>
      </w:r>
      <w:r>
        <w:t>helps</w:t>
      </w:r>
      <w:r w:rsidRPr="00114140">
        <w:t xml:space="preserve"> communities </w:t>
      </w:r>
      <w:r>
        <w:t>develop</w:t>
      </w:r>
      <w:r w:rsidRPr="00114140">
        <w:t xml:space="preserve"> focused strategies or programs that address specific factors </w:t>
      </w:r>
      <w:r>
        <w:t>that contribute</w:t>
      </w:r>
      <w:r w:rsidRPr="00114140">
        <w:t xml:space="preserve"> to armed crime.  The NTC also ensures that ATF agents can access its data through eTrace, a web-based input and query engine available to all law enforcement agencies.</w:t>
      </w:r>
    </w:p>
    <w:p w:rsidR="007D0C8C" w:rsidRPr="00114140" w:rsidRDefault="007D0C8C" w:rsidP="007D0C8C"/>
    <w:p w:rsidR="007D0C8C" w:rsidRPr="00114140" w:rsidRDefault="007D0C8C" w:rsidP="007D0C8C">
      <w:r w:rsidRPr="00114140">
        <w:t xml:space="preserve">Intelligence gathered from tracing crime guns provides leads on illegal firearms traffickers, straw purchasers, and others involved in violent firearms crime, </w:t>
      </w:r>
      <w:r w:rsidR="005A6FC0">
        <w:t>including</w:t>
      </w:r>
      <w:r w:rsidRPr="00114140">
        <w:t xml:space="preserve"> criminal gang members.  Firearm trace data identifies “hot spots” of criminal activity and locates </w:t>
      </w:r>
      <w:r>
        <w:t>weapons</w:t>
      </w:r>
      <w:r w:rsidRPr="00114140">
        <w:t xml:space="preserve"> sources </w:t>
      </w:r>
      <w:r>
        <w:t>even if they are in</w:t>
      </w:r>
      <w:r w:rsidRPr="00114140">
        <w:t xml:space="preserve"> other states or across the country.  ATF uses this data to target and perfect its own criminal investigations, and transmits information to </w:t>
      </w:r>
      <w:r>
        <w:t>S</w:t>
      </w:r>
      <w:r w:rsidRPr="00114140">
        <w:t>tate and local law enforcement.</w:t>
      </w:r>
    </w:p>
    <w:p w:rsidR="007D0C8C" w:rsidRDefault="007D0C8C" w:rsidP="007D0C8C"/>
    <w:p w:rsidR="007D0C8C" w:rsidRPr="00114140" w:rsidRDefault="007D0C8C" w:rsidP="007D0C8C">
      <w:r w:rsidRPr="00114140">
        <w:t xml:space="preserve">ATF’s National Tracing Center performs a number of functions that play a critical role in stemming the flow of illegal guns and improving FFL compliance with </w:t>
      </w:r>
      <w:r>
        <w:t>Federal</w:t>
      </w:r>
      <w:r w:rsidRPr="00114140">
        <w:t xml:space="preserve"> gun laws.  Below are examples of some of the key functions of the NTC</w:t>
      </w:r>
      <w:r w:rsidR="00960880">
        <w:t>:</w:t>
      </w:r>
    </w:p>
    <w:p w:rsidR="007D0C8C" w:rsidRPr="00114140" w:rsidRDefault="007D0C8C" w:rsidP="007D0C8C"/>
    <w:p w:rsidR="007D0C8C" w:rsidRPr="00114140" w:rsidRDefault="007D0C8C" w:rsidP="007D0C8C">
      <w:r w:rsidRPr="00ED0F86">
        <w:rPr>
          <w:b/>
        </w:rPr>
        <w:t>eTrace:</w:t>
      </w:r>
      <w:r w:rsidRPr="00114140">
        <w:t xml:space="preserve"> This is a web-based firearms tracing system interface that ATF developed to allow law enforcement agencies to securely submit trace requests via the Internet, receive trace results</w:t>
      </w:r>
      <w:r w:rsidR="004637CC">
        <w:t>,</w:t>
      </w:r>
      <w:r w:rsidRPr="00114140">
        <w:t xml:space="preserve"> and perform limited analysis of the data.  eTrace is the primary means through which a law enforcement agency interacts with the NTC.  </w:t>
      </w:r>
      <w:r w:rsidRPr="00C01DAD">
        <w:t xml:space="preserve">To date, </w:t>
      </w:r>
      <w:r w:rsidRPr="005F25FD">
        <w:t xml:space="preserve">approximately </w:t>
      </w:r>
      <w:r w:rsidR="005F25FD" w:rsidRPr="005F25FD">
        <w:t>3,380</w:t>
      </w:r>
      <w:r w:rsidRPr="005F25FD">
        <w:t xml:space="preserve"> law enforcement </w:t>
      </w:r>
      <w:r w:rsidRPr="005F25FD">
        <w:lastRenderedPageBreak/>
        <w:t xml:space="preserve">agencies use eTrace to submit their trace requests to the NTC, including law enforcement agencies from </w:t>
      </w:r>
      <w:r w:rsidR="005F25FD" w:rsidRPr="005F25FD">
        <w:t xml:space="preserve">32 </w:t>
      </w:r>
      <w:r w:rsidRPr="005F25FD">
        <w:t>foreign countries.</w:t>
      </w:r>
    </w:p>
    <w:p w:rsidR="007D0C8C" w:rsidRDefault="007D0C8C" w:rsidP="007D0C8C"/>
    <w:p w:rsidR="007D0C8C" w:rsidRDefault="007D0C8C" w:rsidP="007D0C8C">
      <w:r w:rsidRPr="00ED0F86">
        <w:rPr>
          <w:b/>
        </w:rPr>
        <w:t>Suspect Gun:</w:t>
      </w:r>
      <w:r w:rsidRPr="00114140">
        <w:t xml:space="preserve"> A suspect gun is a firearm that has not been recovered by law enforcement but is suspected to be involved in criminal activity.  It is flagged in the Firearms Tracing System (FTS) so that if it is recovered and traced by a law enforcement agency, the criminal investigations can be coordinated.</w:t>
      </w:r>
    </w:p>
    <w:p w:rsidR="007D0C8C" w:rsidRPr="00114140" w:rsidRDefault="007D0C8C" w:rsidP="007D0C8C"/>
    <w:p w:rsidR="007D0C8C" w:rsidRPr="00114140" w:rsidRDefault="007D0C8C" w:rsidP="007D0C8C">
      <w:r w:rsidRPr="00ED0F86">
        <w:rPr>
          <w:b/>
        </w:rPr>
        <w:t>Firearms Theft:</w:t>
      </w:r>
      <w:r w:rsidRPr="00114140">
        <w:t xml:space="preserve"> FFLs are required to report the theft or loss of firearms in their inventory to ATF so that when they are recovered and traced by a law enforcement agency, the criminal investigations can be coordinated.</w:t>
      </w:r>
    </w:p>
    <w:p w:rsidR="007D0C8C" w:rsidRDefault="007D0C8C" w:rsidP="007D0C8C"/>
    <w:p w:rsidR="007D0C8C" w:rsidRPr="00114140" w:rsidRDefault="007D0C8C" w:rsidP="007D0C8C">
      <w:r w:rsidRPr="00ED0F86">
        <w:rPr>
          <w:b/>
        </w:rPr>
        <w:t>Interstate Theft:</w:t>
      </w:r>
      <w:r w:rsidRPr="00114140">
        <w:t xml:space="preserve"> Interstate carriers can voluntarily report the theft or loss of firearms in transit so that if they are recovered and traced by a law enforcement agency, the criminal investigations can be coordinated.</w:t>
      </w:r>
    </w:p>
    <w:p w:rsidR="007D0C8C" w:rsidRDefault="007D0C8C" w:rsidP="007D0C8C"/>
    <w:p w:rsidR="007D0C8C" w:rsidRPr="00114140" w:rsidRDefault="007D0C8C" w:rsidP="007D0C8C">
      <w:r w:rsidRPr="00ED0F86">
        <w:rPr>
          <w:b/>
        </w:rPr>
        <w:t>Obliterated Serial Number:</w:t>
      </w:r>
      <w:r w:rsidRPr="00114140">
        <w:t xml:space="preserve"> Allows law enforcement agencies to submit firearms trace requests with partial serial numbers from crime guns recovered with obliterated serial numbers to identify the crime gun and develop investigative leads.</w:t>
      </w:r>
    </w:p>
    <w:p w:rsidR="007D0C8C" w:rsidRDefault="007D0C8C" w:rsidP="007D0C8C"/>
    <w:p w:rsidR="007D0C8C" w:rsidRPr="00114140" w:rsidRDefault="007D0C8C" w:rsidP="007D0C8C">
      <w:r w:rsidRPr="00ED0F86">
        <w:rPr>
          <w:b/>
        </w:rPr>
        <w:t>International Tracing:</w:t>
      </w:r>
      <w:r w:rsidRPr="00114140">
        <w:t xml:space="preserve"> ATF traces firearms for foreign law enforcement agencies to provide investigative leads, detect firearms traffickers and to determine international arms trafficking routes.  More than 50 countries annually submit trace requests to the NTC.</w:t>
      </w:r>
    </w:p>
    <w:p w:rsidR="007D0C8C" w:rsidRDefault="007D0C8C" w:rsidP="007D0C8C"/>
    <w:p w:rsidR="007D0C8C" w:rsidRPr="00114140" w:rsidRDefault="007D0C8C" w:rsidP="007D0C8C">
      <w:r w:rsidRPr="00ED0F86">
        <w:rPr>
          <w:b/>
        </w:rPr>
        <w:t>Out-Of-Business Records:</w:t>
      </w:r>
      <w:r w:rsidRPr="00114140">
        <w:t xml:space="preserve"> When an FFL discontinues business, </w:t>
      </w:r>
      <w:r w:rsidR="004637CC">
        <w:t xml:space="preserve">it must send its </w:t>
      </w:r>
      <w:r w:rsidRPr="00114140">
        <w:t>firearms transactions records to the NTC.  The NTC receives an average of 1.2 million out-of-business records per month and is the only repository for these records within the U.S.</w:t>
      </w:r>
    </w:p>
    <w:p w:rsidR="007D0C8C" w:rsidRDefault="007D0C8C" w:rsidP="007D0C8C"/>
    <w:p w:rsidR="007D0C8C" w:rsidRPr="00114140" w:rsidRDefault="007D0C8C" w:rsidP="007D0C8C">
      <w:r w:rsidRPr="00ED0F86">
        <w:rPr>
          <w:b/>
        </w:rPr>
        <w:t>Multiple Sales Program:</w:t>
      </w:r>
      <w:r w:rsidRPr="00114140">
        <w:t xml:space="preserve"> When an FFL sells two or more handguns to the same purchaser within five consecutive business days the FFL is required to submit a report of multiple sales to the NTC.  The NTC receives an average of 140,000 reports of multiple sales from licensees each year.  These reports, when cross-referenced with firearms trace information for recovered crime guns, can be an important indicator in detecting illegal firearms trafficking.</w:t>
      </w:r>
    </w:p>
    <w:p w:rsidR="007D0C8C" w:rsidRDefault="007D0C8C" w:rsidP="007D0C8C"/>
    <w:p w:rsidR="007D0C8C" w:rsidRPr="00114140" w:rsidRDefault="007D0C8C" w:rsidP="007D0C8C">
      <w:r w:rsidRPr="00ED0F86">
        <w:rPr>
          <w:b/>
        </w:rPr>
        <w:t>Record Search Requests:</w:t>
      </w:r>
      <w:r w:rsidRPr="00114140">
        <w:t xml:space="preserve"> By searching the out-of-business FFL records, the NTC can assist law enforcement agencies investigating the theft of firearms to obtain firearms serial numbers.  This is conducted when the owner has no record of the firearm serial number and the FFL from whom the owner purchased the firearm is now out of business.</w:t>
      </w:r>
    </w:p>
    <w:p w:rsidR="007D0C8C" w:rsidRDefault="007D0C8C" w:rsidP="007D0C8C"/>
    <w:p w:rsidR="007D0C8C" w:rsidRPr="00114140" w:rsidRDefault="007D0C8C" w:rsidP="007D0C8C">
      <w:r w:rsidRPr="00ED0F86">
        <w:rPr>
          <w:b/>
        </w:rPr>
        <w:t>Certified Trace Requests:</w:t>
      </w:r>
      <w:r w:rsidRPr="00114140">
        <w:t xml:space="preserve"> The NTC validates and certifies firearms trace records and FFL out-of-business records for ATF and U.S. prosecutors for criminal court purposes.  </w:t>
      </w:r>
    </w:p>
    <w:p w:rsidR="007D0C8C" w:rsidRDefault="007D0C8C" w:rsidP="007D0C8C"/>
    <w:p w:rsidR="007D0C8C" w:rsidRDefault="007D0C8C" w:rsidP="007D0C8C">
      <w:r w:rsidRPr="00ED0F86">
        <w:rPr>
          <w:b/>
        </w:rPr>
        <w:t>Demand Letter Project:</w:t>
      </w:r>
      <w:r w:rsidRPr="00114140">
        <w:t xml:space="preserve"> The NTC sends certified demand letters to non-compliant FFLs who repeatedly fail to respond to firearms trace requests within the required timeframe, and to FFLs who sell</w:t>
      </w:r>
      <w:r w:rsidR="005C5C17">
        <w:t xml:space="preserve"> numerous</w:t>
      </w:r>
      <w:r w:rsidRPr="00114140">
        <w:t xml:space="preserve"> firearms with short time-to-crime traces.  (The time-to-crime is the period between the sale of a firearm and </w:t>
      </w:r>
      <w:r>
        <w:t xml:space="preserve">law enforcement’s recovery </w:t>
      </w:r>
      <w:r w:rsidRPr="00114140">
        <w:t xml:space="preserve">of that firearm in a crime.)  Under </w:t>
      </w:r>
      <w:r w:rsidRPr="00114140">
        <w:lastRenderedPageBreak/>
        <w:t xml:space="preserve">the demand letter initiative, ATF requires FFLs, who had been uncooperative with trace requests, to provide copies of their acquisition and disposition records for the prior three (3) years.  This is necessary so that ATF can perform any needed crime gun traces (referred to as “Demand Letter 1” licensees).  Licensees who have 15 or more crime guns traced to them in the previous year are required to send ATF their acquisition records relating to the firearms acquired, including used firearms (referred to as “Demand Letter 2” licensees).  This initiative has been extremely successful in improving FFL compliance with trace requests.  In fact, ATF did not issue any demand letters in the first category (Demand Letter 1) in 2008.  </w:t>
      </w:r>
    </w:p>
    <w:p w:rsidR="007D0C8C" w:rsidRPr="00114140" w:rsidRDefault="007D0C8C" w:rsidP="007D0C8C"/>
    <w:p w:rsidR="007D0C8C" w:rsidRPr="00ED0F86" w:rsidRDefault="007D0C8C" w:rsidP="007D0C8C">
      <w:pPr>
        <w:rPr>
          <w:b/>
        </w:rPr>
      </w:pPr>
      <w:r w:rsidRPr="00ED0F86">
        <w:rPr>
          <w:b/>
        </w:rPr>
        <w:t>National Firearms Act (NFA) Enforcement</w:t>
      </w:r>
    </w:p>
    <w:p w:rsidR="007D0C8C" w:rsidRDefault="007D0C8C" w:rsidP="007D0C8C"/>
    <w:p w:rsidR="007D0C8C" w:rsidRPr="00641C6F" w:rsidRDefault="007D0C8C" w:rsidP="007D0C8C">
      <w:pPr>
        <w:rPr>
          <w:b/>
          <w:i/>
        </w:rPr>
      </w:pPr>
      <w:r w:rsidRPr="00617030">
        <w:rPr>
          <w:b/>
          <w:i/>
        </w:rPr>
        <w:t xml:space="preserve">Weapons </w:t>
      </w:r>
    </w:p>
    <w:p w:rsidR="007D0C8C" w:rsidRDefault="007D0C8C" w:rsidP="007D0C8C"/>
    <w:p w:rsidR="007D0C8C" w:rsidRPr="00114140" w:rsidRDefault="007D0C8C" w:rsidP="007D0C8C">
      <w:r w:rsidRPr="00114140">
        <w:t xml:space="preserve">The NFA requires registration and </w:t>
      </w:r>
      <w:r>
        <w:t xml:space="preserve">tax </w:t>
      </w:r>
      <w:r w:rsidRPr="00114140">
        <w:t>payment for making or transfer</w:t>
      </w:r>
      <w:r>
        <w:t>ring</w:t>
      </w:r>
      <w:r w:rsidRPr="00114140">
        <w:t xml:space="preserve"> the following types of firearms: machine guns, silencers, short-barreled rifles and shotguns, destructive devices, and certain concealable weapons classified as “any other weapons.”  </w:t>
      </w:r>
      <w:r>
        <w:t>The NFA mandates that individuals as well as firearms manufacturers and importers register the NFA firearms that they make, manufacture</w:t>
      </w:r>
      <w:r w:rsidR="004637CC">
        <w:t>,</w:t>
      </w:r>
      <w:r>
        <w:t xml:space="preserve"> or import, and that ATF approve in advance all NFA firearms transfers and exports.</w:t>
      </w:r>
      <w:r w:rsidRPr="00114140">
        <w:t xml:space="preserve">  </w:t>
      </w:r>
    </w:p>
    <w:p w:rsidR="007D0C8C" w:rsidRDefault="007D0C8C" w:rsidP="007D0C8C"/>
    <w:p w:rsidR="007D0C8C" w:rsidRDefault="007D0C8C" w:rsidP="007D0C8C">
      <w:r w:rsidRPr="00114140">
        <w:t xml:space="preserve">The NFA </w:t>
      </w:r>
      <w:r>
        <w:t>taxes</w:t>
      </w:r>
      <w:r w:rsidRPr="00114140">
        <w:t xml:space="preserve"> the manufacture and transfer of NFA firearms, and directs manufacturers, importers, and dealers to pay a special occupational tax.  ATF processes all applications to manufacture, transfer, and register NFA firearms</w:t>
      </w:r>
      <w:r>
        <w:t>, as well as</w:t>
      </w:r>
      <w:r w:rsidRPr="00114140">
        <w:t xml:space="preserve"> notices of NFA firearms manufactured or imported.  The registration information is recorded in the National Firearms Registration and Transfer Record (NFRTR). </w:t>
      </w:r>
      <w:r>
        <w:t xml:space="preserve"> </w:t>
      </w:r>
      <w:r w:rsidRPr="00114140">
        <w:t>The NFRTR supports ATF’s efforts to inspect firearms licensees and conduct criminal investigations.  ATF has unique statutory authority to classify weapons under the NFA.  ATF continually provides technical information to the industry and the public concerning compliance with the NFA.</w:t>
      </w:r>
    </w:p>
    <w:p w:rsidR="007D0C8C" w:rsidRPr="000E69A2" w:rsidRDefault="007D0C8C" w:rsidP="007D0C8C">
      <w:pPr>
        <w:spacing w:before="100" w:beforeAutospacing="1" w:after="100" w:afterAutospacing="1"/>
        <w:rPr>
          <w:b/>
          <w:i/>
        </w:rPr>
      </w:pPr>
      <w:r w:rsidRPr="000E69A2">
        <w:rPr>
          <w:b/>
          <w:i/>
        </w:rPr>
        <w:t>Importation of Firearms</w:t>
      </w:r>
    </w:p>
    <w:p w:rsidR="007D0C8C" w:rsidRPr="00114140" w:rsidRDefault="007D0C8C" w:rsidP="007D0C8C">
      <w:r w:rsidRPr="00114140">
        <w:t xml:space="preserve">ATF regulates the importation of firearms, ammunition, and other defense-related articles </w:t>
      </w:r>
      <w:r>
        <w:t>by issuing</w:t>
      </w:r>
      <w:r w:rsidRPr="00114140">
        <w:t xml:space="preserve"> import permits.  ATF also regulates the importation of firearms and ammunition by non</w:t>
      </w:r>
      <w:r>
        <w:t>-</w:t>
      </w:r>
      <w:r w:rsidRPr="00114140">
        <w:t>immigrant aliens.  ATF maintains close liaison with the Department of State and U.S. Customs and Border Protection to ensure that the permits issued do not conflict with the foreign policy and national security interests of the U.S.</w:t>
      </w:r>
    </w:p>
    <w:p w:rsidR="007D0C8C" w:rsidRPr="00114140" w:rsidRDefault="007D0C8C" w:rsidP="007D0C8C"/>
    <w:p w:rsidR="007D0C8C" w:rsidRPr="000E69A2" w:rsidRDefault="007D0C8C" w:rsidP="007D0C8C">
      <w:pPr>
        <w:rPr>
          <w:b/>
          <w:i/>
        </w:rPr>
      </w:pPr>
      <w:r w:rsidRPr="000E69A2">
        <w:rPr>
          <w:b/>
          <w:i/>
        </w:rPr>
        <w:t>ATF Partnerships with the Firearms Industry</w:t>
      </w:r>
    </w:p>
    <w:p w:rsidR="007D0C8C" w:rsidRDefault="007D0C8C" w:rsidP="007D0C8C"/>
    <w:p w:rsidR="007D0C8C" w:rsidRPr="00114140" w:rsidRDefault="007D0C8C" w:rsidP="007D0C8C">
      <w:r w:rsidRPr="00114140">
        <w:t>ATF updates members of the regulated firearms community o</w:t>
      </w:r>
      <w:r>
        <w:t>n</w:t>
      </w:r>
      <w:r w:rsidRPr="00114140">
        <w:t xml:space="preserve"> statutory, regulatory, and policy changes that affect their day-to-day operations</w:t>
      </w:r>
      <w:r>
        <w:t xml:space="preserve"> and routinely holds s</w:t>
      </w:r>
      <w:r w:rsidRPr="00114140">
        <w:t xml:space="preserve">eminars with industry associations such as the National Firearms Act Trade and Collectors Association, Firearms and Ammunition Importers Roundtable, National Shooting Sports Foundation, National Pawnbrokers Association, the National Association of Arms Shows, and </w:t>
      </w:r>
      <w:r>
        <w:t>similar</w:t>
      </w:r>
      <w:r w:rsidRPr="00114140">
        <w:t xml:space="preserve"> industry groups.  </w:t>
      </w:r>
    </w:p>
    <w:p w:rsidR="007D0C8C" w:rsidRDefault="007D0C8C" w:rsidP="007D0C8C"/>
    <w:p w:rsidR="007D0C8C" w:rsidRPr="00114140" w:rsidRDefault="007D0C8C" w:rsidP="007D0C8C">
      <w:r w:rsidRPr="00114140">
        <w:lastRenderedPageBreak/>
        <w:t>ATF publishes and distributes open letters to importers of firearms, ammunition, and other regulated commodities advising them of important issues that impact their operations.  ATF also publishes pertinent articles in its semi-annual FFL Newsletter and conducts seminars for licensees at various locations.</w:t>
      </w:r>
    </w:p>
    <w:p w:rsidR="007D0C8C" w:rsidRDefault="007D0C8C" w:rsidP="007D0C8C"/>
    <w:p w:rsidR="007D0C8C" w:rsidRDefault="00514DB2" w:rsidP="007D0C8C">
      <w:r w:rsidRPr="00460F38">
        <w:t xml:space="preserve">“Don’t Lie for the Other Guy” is a successful outreach program </w:t>
      </w:r>
      <w:r w:rsidR="005E1BCC" w:rsidRPr="00460F38">
        <w:t>d</w:t>
      </w:r>
      <w:r w:rsidRPr="00460F38">
        <w:t>esigned to train FFLs in the detection and avoidance of illegal straw purchases, “Don’t Lie for the Other Guy” also educates the public about the serious consequences of being involved in straw purchases.</w:t>
      </w:r>
    </w:p>
    <w:p w:rsidR="007D0C8C" w:rsidRPr="006C7DF9" w:rsidRDefault="007D0C8C" w:rsidP="007D0C8C">
      <w:pPr>
        <w:spacing w:before="100" w:beforeAutospacing="1" w:after="100" w:afterAutospacing="1"/>
        <w:rPr>
          <w:b/>
          <w:i/>
        </w:rPr>
      </w:pPr>
      <w:r w:rsidRPr="006C7DF9">
        <w:rPr>
          <w:b/>
          <w:i/>
        </w:rPr>
        <w:t>International Policy</w:t>
      </w:r>
    </w:p>
    <w:p w:rsidR="007D0C8C" w:rsidRPr="00762F09" w:rsidRDefault="007D0C8C" w:rsidP="00472037">
      <w:pPr>
        <w:spacing w:before="100" w:beforeAutospacing="1" w:after="100" w:afterAutospacing="1"/>
      </w:pPr>
      <w:r w:rsidRPr="00762F09">
        <w:t xml:space="preserve">ATF ensures that the international firearms agreements in which the </w:t>
      </w:r>
      <w:smartTag w:uri="urn:schemas-microsoft-com:office:smarttags" w:element="country-region">
        <w:r w:rsidRPr="00762F09">
          <w:t>U.S.</w:t>
        </w:r>
      </w:smartTag>
      <w:r w:rsidRPr="00762F09">
        <w:t xml:space="preserve"> participates are consistent with </w:t>
      </w:r>
      <w:smartTag w:uri="urn:schemas-microsoft-com:office:smarttags" w:element="country-region">
        <w:smartTag w:uri="urn:schemas-microsoft-com:office:smarttags" w:element="place">
          <w:r w:rsidRPr="00762F09">
            <w:t>U.S.</w:t>
          </w:r>
        </w:smartTag>
      </w:smartTag>
      <w:r w:rsidRPr="00762F09">
        <w:t xml:space="preserve"> laws, regulations, policies, and practices.  The United Nations Program of Action, the Organization of American States Convention on Firearms, and the International Tracing Instrument are just a few of the agreements </w:t>
      </w:r>
      <w:r>
        <w:t>through</w:t>
      </w:r>
      <w:r w:rsidRPr="00762F09">
        <w:t xml:space="preserve"> which ATF </w:t>
      </w:r>
      <w:r w:rsidR="004637CC">
        <w:t>protects</w:t>
      </w:r>
      <w:r w:rsidRPr="00762F09">
        <w:t xml:space="preserve"> the policies of the U.S. in international settings.</w:t>
      </w:r>
      <w:r>
        <w:t xml:space="preserve">  </w:t>
      </w:r>
      <w:r w:rsidRPr="00762F09">
        <w:t xml:space="preserve">At the request of the Department of State, ATF </w:t>
      </w:r>
      <w:r>
        <w:t>serves as an advocate for</w:t>
      </w:r>
      <w:r w:rsidRPr="00762F09">
        <w:t xml:space="preserve"> the firearms policies of the U.S. in international </w:t>
      </w:r>
      <w:r>
        <w:t xml:space="preserve">forums </w:t>
      </w:r>
      <w:r w:rsidRPr="00762F09">
        <w:t xml:space="preserve">such as the United Nations and the Organization of American States.  </w:t>
      </w:r>
    </w:p>
    <w:p w:rsidR="00472037" w:rsidRDefault="00472037">
      <w:pPr>
        <w:rPr>
          <w:b/>
          <w:color w:val="FF0000"/>
        </w:rPr>
        <w:sectPr w:rsidR="00472037" w:rsidSect="003C2B91">
          <w:footerReference w:type="default" r:id="rId24"/>
          <w:pgSz w:w="12240" w:h="15840" w:code="1"/>
          <w:pgMar w:top="1440" w:right="1440" w:bottom="1440" w:left="1440" w:header="720" w:footer="720" w:gutter="0"/>
          <w:pgNumType w:start="1"/>
          <w:cols w:space="720"/>
          <w:noEndnote/>
          <w:docGrid w:linePitch="326"/>
        </w:sectPr>
      </w:pPr>
    </w:p>
    <w:p w:rsidR="00DE7A7D" w:rsidRDefault="00DE7A7D">
      <w:pPr>
        <w:rPr>
          <w:b/>
          <w:color w:val="FF0000"/>
        </w:rPr>
      </w:pPr>
    </w:p>
    <w:tbl>
      <w:tblPr>
        <w:tblW w:w="14598" w:type="dxa"/>
        <w:tblInd w:w="-697" w:type="dxa"/>
        <w:tblLayout w:type="fixed"/>
        <w:tblCellMar>
          <w:left w:w="0" w:type="dxa"/>
          <w:right w:w="0" w:type="dxa"/>
        </w:tblCellMar>
        <w:tblLook w:val="0000"/>
      </w:tblPr>
      <w:tblGrid>
        <w:gridCol w:w="1952"/>
        <w:gridCol w:w="2907"/>
        <w:gridCol w:w="1079"/>
        <w:gridCol w:w="897"/>
        <w:gridCol w:w="738"/>
        <w:gridCol w:w="1034"/>
        <w:gridCol w:w="35"/>
        <w:gridCol w:w="567"/>
        <w:gridCol w:w="71"/>
        <w:gridCol w:w="988"/>
        <w:gridCol w:w="599"/>
        <w:gridCol w:w="25"/>
        <w:gridCol w:w="1352"/>
        <w:gridCol w:w="719"/>
        <w:gridCol w:w="1635"/>
      </w:tblGrid>
      <w:tr w:rsidR="009E1534" w:rsidRPr="00762F09" w:rsidTr="009E1534">
        <w:trPr>
          <w:trHeight w:val="110"/>
        </w:trPr>
        <w:tc>
          <w:tcPr>
            <w:tcW w:w="14598" w:type="dxa"/>
            <w:gridSpan w:val="15"/>
            <w:tcBorders>
              <w:top w:val="single" w:sz="8" w:space="0" w:color="auto"/>
              <w:left w:val="single" w:sz="8" w:space="0" w:color="auto"/>
              <w:bottom w:val="single" w:sz="4" w:space="0" w:color="auto"/>
              <w:right w:val="single" w:sz="8" w:space="0" w:color="000000"/>
            </w:tcBorders>
            <w:shd w:val="clear" w:color="auto" w:fill="FFFFFF"/>
            <w:tcMar>
              <w:top w:w="25" w:type="dxa"/>
              <w:left w:w="25" w:type="dxa"/>
              <w:bottom w:w="0" w:type="dxa"/>
              <w:right w:w="25" w:type="dxa"/>
            </w:tcMar>
            <w:vAlign w:val="bottom"/>
          </w:tcPr>
          <w:p w:rsidR="009E1534" w:rsidRPr="00AB50B6" w:rsidRDefault="006558B9" w:rsidP="00594479">
            <w:pPr>
              <w:spacing w:before="100" w:beforeAutospacing="1" w:after="100" w:afterAutospacing="1"/>
              <w:ind w:right="-205"/>
              <w:jc w:val="center"/>
              <w:rPr>
                <w:b/>
                <w:color w:val="FF0000"/>
                <w:sz w:val="28"/>
                <w:szCs w:val="28"/>
              </w:rPr>
            </w:pPr>
            <w:r>
              <w:rPr>
                <w:b/>
                <w:szCs w:val="20"/>
              </w:rPr>
              <w:t>2.</w:t>
            </w:r>
            <w:r w:rsidR="009E1534" w:rsidRPr="00762F09">
              <w:rPr>
                <w:b/>
                <w:szCs w:val="20"/>
              </w:rPr>
              <w:t xml:space="preserve"> PERFORMANCE AND RESOURCES TABLE</w:t>
            </w:r>
            <w:r w:rsidR="009E1534">
              <w:rPr>
                <w:b/>
                <w:szCs w:val="20"/>
              </w:rPr>
              <w:t xml:space="preserve"> </w:t>
            </w:r>
          </w:p>
        </w:tc>
      </w:tr>
      <w:tr w:rsidR="009E1534" w:rsidRPr="00762F09" w:rsidTr="009E1534">
        <w:trPr>
          <w:trHeight w:val="333"/>
        </w:trPr>
        <w:tc>
          <w:tcPr>
            <w:tcW w:w="14598" w:type="dxa"/>
            <w:gridSpan w:val="15"/>
            <w:tcBorders>
              <w:top w:val="single" w:sz="8" w:space="0" w:color="auto"/>
              <w:left w:val="single" w:sz="8" w:space="0" w:color="auto"/>
              <w:bottom w:val="single" w:sz="4" w:space="0" w:color="auto"/>
              <w:right w:val="single" w:sz="8" w:space="0" w:color="000000"/>
            </w:tcBorders>
            <w:shd w:val="clear" w:color="auto" w:fill="FFFFFF"/>
            <w:tcMar>
              <w:top w:w="25" w:type="dxa"/>
              <w:left w:w="25" w:type="dxa"/>
              <w:bottom w:w="0" w:type="dxa"/>
              <w:right w:w="25" w:type="dxa"/>
            </w:tcMar>
            <w:vAlign w:val="bottom"/>
          </w:tcPr>
          <w:p w:rsidR="009E1534" w:rsidRPr="00762F09" w:rsidRDefault="009E1534" w:rsidP="009E1534">
            <w:pPr>
              <w:spacing w:before="100" w:beforeAutospacing="1" w:after="100" w:afterAutospacing="1"/>
              <w:ind w:right="-205"/>
              <w:rPr>
                <w:b/>
                <w:bCs/>
              </w:rPr>
            </w:pPr>
            <w:r w:rsidRPr="00762F09">
              <w:rPr>
                <w:b/>
              </w:rPr>
              <w:t>Decision Unit: Firearms</w:t>
            </w:r>
          </w:p>
        </w:tc>
      </w:tr>
      <w:tr w:rsidR="009E1534" w:rsidRPr="00762F09" w:rsidTr="009E1534">
        <w:trPr>
          <w:trHeight w:val="110"/>
        </w:trPr>
        <w:tc>
          <w:tcPr>
            <w:tcW w:w="14598" w:type="dxa"/>
            <w:gridSpan w:val="15"/>
            <w:tcBorders>
              <w:top w:val="single" w:sz="8" w:space="0" w:color="auto"/>
              <w:left w:val="single" w:sz="8" w:space="0" w:color="auto"/>
              <w:bottom w:val="single" w:sz="4" w:space="0" w:color="auto"/>
              <w:right w:val="single" w:sz="8" w:space="0" w:color="000000"/>
            </w:tcBorders>
            <w:shd w:val="clear" w:color="auto" w:fill="FFFFFF"/>
            <w:tcMar>
              <w:top w:w="25" w:type="dxa"/>
              <w:left w:w="25" w:type="dxa"/>
              <w:bottom w:w="0" w:type="dxa"/>
              <w:right w:w="25" w:type="dxa"/>
            </w:tcMar>
            <w:vAlign w:val="bottom"/>
          </w:tcPr>
          <w:p w:rsidR="009E1534" w:rsidRPr="00762F09" w:rsidRDefault="009E1534" w:rsidP="009E1534">
            <w:pPr>
              <w:spacing w:before="100" w:beforeAutospacing="1" w:after="100" w:afterAutospacing="1"/>
              <w:ind w:right="-205"/>
              <w:rPr>
                <w:b/>
              </w:rPr>
            </w:pPr>
            <w:r w:rsidRPr="00762F09">
              <w:rPr>
                <w:b/>
              </w:rPr>
              <w:t>DOJ Strategic Goal/Objective: Goal 2, Objective 2.2</w:t>
            </w:r>
          </w:p>
        </w:tc>
      </w:tr>
      <w:tr w:rsidR="009E1534" w:rsidRPr="00762F09" w:rsidTr="00CD60EF">
        <w:trPr>
          <w:trHeight w:val="110"/>
        </w:trPr>
        <w:tc>
          <w:tcPr>
            <w:tcW w:w="4859" w:type="dxa"/>
            <w:gridSpan w:val="2"/>
            <w:tcBorders>
              <w:top w:val="single" w:sz="8" w:space="0" w:color="auto"/>
              <w:left w:val="single" w:sz="8" w:space="0" w:color="auto"/>
              <w:bottom w:val="single" w:sz="4" w:space="0" w:color="auto"/>
              <w:right w:val="single" w:sz="4" w:space="0" w:color="000000"/>
            </w:tcBorders>
            <w:shd w:val="clear" w:color="auto" w:fill="FFFFFF"/>
            <w:tcMar>
              <w:top w:w="25" w:type="dxa"/>
              <w:left w:w="25" w:type="dxa"/>
              <w:bottom w:w="0" w:type="dxa"/>
              <w:right w:w="25" w:type="dxa"/>
            </w:tcMar>
            <w:vAlign w:val="bottom"/>
          </w:tcPr>
          <w:p w:rsidR="009E1534" w:rsidRPr="00762F09" w:rsidRDefault="00E835B8" w:rsidP="009E1534">
            <w:pPr>
              <w:spacing w:before="100" w:beforeAutospacing="1" w:after="100" w:afterAutospacing="1"/>
              <w:rPr>
                <w:rFonts w:eastAsia="Arial Unicode MS"/>
                <w:b/>
              </w:rPr>
            </w:pPr>
            <w:r>
              <w:rPr>
                <w:b/>
              </w:rPr>
              <w:t>WORKLOAD/</w:t>
            </w:r>
            <w:r w:rsidR="009E1534" w:rsidRPr="00762F09">
              <w:rPr>
                <w:b/>
              </w:rPr>
              <w:t>RESOURCES</w:t>
            </w:r>
          </w:p>
        </w:tc>
        <w:tc>
          <w:tcPr>
            <w:tcW w:w="1976" w:type="dxa"/>
            <w:gridSpan w:val="2"/>
            <w:tcBorders>
              <w:top w:val="single" w:sz="8" w:space="0" w:color="auto"/>
              <w:left w:val="nil"/>
              <w:bottom w:val="single" w:sz="4" w:space="0" w:color="auto"/>
              <w:right w:val="single" w:sz="4" w:space="0" w:color="000000"/>
            </w:tcBorders>
            <w:shd w:val="clear" w:color="auto" w:fill="FFFFFF"/>
            <w:tcMar>
              <w:top w:w="25" w:type="dxa"/>
              <w:left w:w="25" w:type="dxa"/>
              <w:bottom w:w="0" w:type="dxa"/>
              <w:right w:w="25" w:type="dxa"/>
            </w:tcMar>
            <w:vAlign w:val="center"/>
          </w:tcPr>
          <w:p w:rsidR="009E1534" w:rsidRPr="00762F09" w:rsidRDefault="009E1534" w:rsidP="009E1534">
            <w:pPr>
              <w:spacing w:before="100" w:beforeAutospacing="1" w:after="100" w:afterAutospacing="1"/>
              <w:jc w:val="center"/>
              <w:rPr>
                <w:rFonts w:eastAsia="Arial Unicode MS"/>
                <w:b/>
              </w:rPr>
            </w:pPr>
            <w:bookmarkStart w:id="15" w:name="OLE_LINK3"/>
            <w:bookmarkStart w:id="16" w:name="OLE_LINK4"/>
            <w:r w:rsidRPr="00762F09">
              <w:rPr>
                <w:b/>
              </w:rPr>
              <w:t>Final Target</w:t>
            </w:r>
            <w:bookmarkEnd w:id="15"/>
            <w:bookmarkEnd w:id="16"/>
          </w:p>
        </w:tc>
        <w:tc>
          <w:tcPr>
            <w:tcW w:w="1772" w:type="dxa"/>
            <w:gridSpan w:val="2"/>
            <w:tcBorders>
              <w:top w:val="single" w:sz="8" w:space="0" w:color="auto"/>
              <w:left w:val="nil"/>
              <w:bottom w:val="single" w:sz="4" w:space="0" w:color="auto"/>
              <w:right w:val="single" w:sz="4" w:space="0" w:color="000000"/>
            </w:tcBorders>
            <w:shd w:val="clear" w:color="auto" w:fill="FFFFFF"/>
            <w:tcMar>
              <w:top w:w="25" w:type="dxa"/>
              <w:left w:w="25" w:type="dxa"/>
              <w:bottom w:w="0" w:type="dxa"/>
              <w:right w:w="25" w:type="dxa"/>
            </w:tcMar>
            <w:vAlign w:val="center"/>
          </w:tcPr>
          <w:p w:rsidR="009E1534" w:rsidRPr="00762F09" w:rsidRDefault="005A5C1C" w:rsidP="00E835B8">
            <w:pPr>
              <w:spacing w:before="100" w:beforeAutospacing="1" w:after="100" w:afterAutospacing="1"/>
              <w:jc w:val="center"/>
              <w:rPr>
                <w:b/>
              </w:rPr>
            </w:pPr>
            <w:r>
              <w:rPr>
                <w:b/>
              </w:rPr>
              <w:t>Actual</w:t>
            </w:r>
          </w:p>
        </w:tc>
        <w:tc>
          <w:tcPr>
            <w:tcW w:w="1661" w:type="dxa"/>
            <w:gridSpan w:val="4"/>
            <w:tcBorders>
              <w:top w:val="single" w:sz="8" w:space="0" w:color="auto"/>
              <w:left w:val="nil"/>
              <w:bottom w:val="single" w:sz="4" w:space="0" w:color="auto"/>
              <w:right w:val="single" w:sz="8" w:space="0" w:color="auto"/>
            </w:tcBorders>
            <w:shd w:val="clear" w:color="auto" w:fill="FFFFFF"/>
            <w:tcMar>
              <w:top w:w="25" w:type="dxa"/>
              <w:left w:w="25" w:type="dxa"/>
              <w:bottom w:w="0" w:type="dxa"/>
              <w:right w:w="25" w:type="dxa"/>
            </w:tcMar>
            <w:vAlign w:val="center"/>
          </w:tcPr>
          <w:p w:rsidR="009E1534" w:rsidRPr="00762F09" w:rsidRDefault="009E1534" w:rsidP="009E1534">
            <w:pPr>
              <w:spacing w:before="100" w:beforeAutospacing="1" w:after="100" w:afterAutospacing="1"/>
              <w:jc w:val="center"/>
              <w:rPr>
                <w:rFonts w:eastAsia="Arial Unicode MS"/>
                <w:b/>
              </w:rPr>
            </w:pPr>
            <w:r w:rsidRPr="00762F09">
              <w:rPr>
                <w:rFonts w:eastAsia="Arial Unicode MS"/>
                <w:b/>
              </w:rPr>
              <w:t>Projected</w:t>
            </w:r>
          </w:p>
        </w:tc>
        <w:tc>
          <w:tcPr>
            <w:tcW w:w="1976" w:type="dxa"/>
            <w:gridSpan w:val="3"/>
            <w:tcBorders>
              <w:top w:val="single" w:sz="8" w:space="0" w:color="auto"/>
              <w:left w:val="single" w:sz="8" w:space="0" w:color="auto"/>
              <w:bottom w:val="single" w:sz="4" w:space="0" w:color="auto"/>
              <w:right w:val="single" w:sz="8" w:space="0" w:color="000000"/>
            </w:tcBorders>
            <w:shd w:val="clear" w:color="auto" w:fill="FFFFFF"/>
            <w:vAlign w:val="center"/>
          </w:tcPr>
          <w:p w:rsidR="009E1534" w:rsidRPr="00762F09" w:rsidRDefault="009E1534" w:rsidP="009E1534">
            <w:pPr>
              <w:spacing w:before="100" w:beforeAutospacing="1" w:after="100" w:afterAutospacing="1"/>
              <w:jc w:val="center"/>
              <w:rPr>
                <w:b/>
              </w:rPr>
            </w:pPr>
            <w:r w:rsidRPr="00762F09">
              <w:rPr>
                <w:b/>
              </w:rPr>
              <w:t>Changes</w:t>
            </w:r>
          </w:p>
        </w:tc>
        <w:tc>
          <w:tcPr>
            <w:tcW w:w="2354" w:type="dxa"/>
            <w:gridSpan w:val="2"/>
            <w:tcBorders>
              <w:top w:val="single" w:sz="8" w:space="0" w:color="auto"/>
              <w:left w:val="single" w:sz="8" w:space="0" w:color="000000"/>
              <w:bottom w:val="single" w:sz="4" w:space="0" w:color="auto"/>
              <w:right w:val="single" w:sz="8" w:space="0" w:color="000000"/>
            </w:tcBorders>
            <w:shd w:val="clear" w:color="auto" w:fill="FFFFFF"/>
            <w:tcMar>
              <w:top w:w="25" w:type="dxa"/>
              <w:left w:w="25" w:type="dxa"/>
              <w:bottom w:w="0" w:type="dxa"/>
              <w:right w:w="25" w:type="dxa"/>
            </w:tcMar>
            <w:vAlign w:val="center"/>
          </w:tcPr>
          <w:p w:rsidR="009E1534" w:rsidRPr="00762F09" w:rsidRDefault="009E1534" w:rsidP="009E1534">
            <w:pPr>
              <w:spacing w:before="100" w:beforeAutospacing="1" w:after="100" w:afterAutospacing="1"/>
              <w:ind w:right="-205"/>
              <w:jc w:val="center"/>
              <w:rPr>
                <w:rFonts w:eastAsia="Arial Unicode MS"/>
                <w:b/>
              </w:rPr>
            </w:pPr>
            <w:r w:rsidRPr="00762F09">
              <w:rPr>
                <w:b/>
              </w:rPr>
              <w:t>Requested (Total)</w:t>
            </w:r>
          </w:p>
        </w:tc>
      </w:tr>
      <w:tr w:rsidR="009E1534" w:rsidRPr="00762F09" w:rsidTr="00CD60EF">
        <w:trPr>
          <w:trHeight w:val="199"/>
        </w:trPr>
        <w:tc>
          <w:tcPr>
            <w:tcW w:w="4859" w:type="dxa"/>
            <w:gridSpan w:val="2"/>
            <w:tcBorders>
              <w:top w:val="single" w:sz="4" w:space="0" w:color="auto"/>
              <w:left w:val="single" w:sz="8" w:space="0" w:color="auto"/>
              <w:bottom w:val="single" w:sz="4" w:space="0" w:color="auto"/>
              <w:right w:val="single" w:sz="4" w:space="0" w:color="000000"/>
            </w:tcBorders>
            <w:shd w:val="clear" w:color="auto" w:fill="FFFFFF"/>
            <w:noWrap/>
            <w:tcMar>
              <w:top w:w="25" w:type="dxa"/>
              <w:left w:w="25" w:type="dxa"/>
              <w:bottom w:w="0" w:type="dxa"/>
              <w:right w:w="25" w:type="dxa"/>
            </w:tcMar>
            <w:vAlign w:val="bottom"/>
          </w:tcPr>
          <w:p w:rsidR="009E1534" w:rsidRPr="00762F09" w:rsidRDefault="009E1534" w:rsidP="009E1534">
            <w:pPr>
              <w:spacing w:before="100" w:beforeAutospacing="1" w:after="100" w:afterAutospacing="1"/>
              <w:rPr>
                <w:rFonts w:eastAsia="Arial Unicode MS"/>
              </w:rPr>
            </w:pPr>
            <w:r w:rsidRPr="00762F09">
              <w:t> </w:t>
            </w:r>
          </w:p>
        </w:tc>
        <w:tc>
          <w:tcPr>
            <w:tcW w:w="1976" w:type="dxa"/>
            <w:gridSpan w:val="2"/>
            <w:tcBorders>
              <w:top w:val="single" w:sz="4" w:space="0" w:color="auto"/>
              <w:left w:val="nil"/>
              <w:bottom w:val="single" w:sz="4" w:space="0" w:color="auto"/>
              <w:right w:val="single" w:sz="4" w:space="0" w:color="000000"/>
            </w:tcBorders>
            <w:shd w:val="clear" w:color="auto" w:fill="FFFFFF"/>
            <w:noWrap/>
            <w:tcMar>
              <w:top w:w="25" w:type="dxa"/>
              <w:left w:w="25" w:type="dxa"/>
              <w:bottom w:w="0" w:type="dxa"/>
              <w:right w:w="25" w:type="dxa"/>
            </w:tcMar>
            <w:vAlign w:val="center"/>
          </w:tcPr>
          <w:p w:rsidR="009E1534" w:rsidRPr="00762F09" w:rsidRDefault="009E1534" w:rsidP="009E1534">
            <w:pPr>
              <w:spacing w:before="100" w:beforeAutospacing="1" w:after="100" w:afterAutospacing="1"/>
              <w:jc w:val="center"/>
              <w:rPr>
                <w:b/>
              </w:rPr>
            </w:pPr>
            <w:r>
              <w:rPr>
                <w:b/>
              </w:rPr>
              <w:t>FY 2010</w:t>
            </w:r>
          </w:p>
        </w:tc>
        <w:tc>
          <w:tcPr>
            <w:tcW w:w="1772" w:type="dxa"/>
            <w:gridSpan w:val="2"/>
            <w:tcBorders>
              <w:top w:val="single" w:sz="4" w:space="0" w:color="auto"/>
              <w:left w:val="nil"/>
              <w:bottom w:val="single" w:sz="4" w:space="0" w:color="auto"/>
              <w:right w:val="single" w:sz="4" w:space="0" w:color="000000"/>
            </w:tcBorders>
            <w:shd w:val="clear" w:color="auto" w:fill="FFFFFF"/>
            <w:tcMar>
              <w:top w:w="25" w:type="dxa"/>
              <w:left w:w="25" w:type="dxa"/>
              <w:bottom w:w="0" w:type="dxa"/>
              <w:right w:w="25" w:type="dxa"/>
            </w:tcMar>
            <w:vAlign w:val="center"/>
          </w:tcPr>
          <w:p w:rsidR="009E1534" w:rsidRPr="00762F09" w:rsidRDefault="009E1534" w:rsidP="009E1534">
            <w:pPr>
              <w:spacing w:before="100" w:beforeAutospacing="1" w:after="100" w:afterAutospacing="1"/>
              <w:jc w:val="center"/>
              <w:rPr>
                <w:rFonts w:eastAsia="Arial Unicode MS"/>
                <w:b/>
              </w:rPr>
            </w:pPr>
            <w:r w:rsidRPr="00762F09">
              <w:rPr>
                <w:b/>
              </w:rPr>
              <w:t>FY 20</w:t>
            </w:r>
            <w:r>
              <w:rPr>
                <w:b/>
              </w:rPr>
              <w:t>10</w:t>
            </w:r>
          </w:p>
        </w:tc>
        <w:tc>
          <w:tcPr>
            <w:tcW w:w="1661" w:type="dxa"/>
            <w:gridSpan w:val="4"/>
            <w:tcBorders>
              <w:top w:val="single" w:sz="4" w:space="0" w:color="auto"/>
              <w:left w:val="nil"/>
              <w:bottom w:val="single" w:sz="4" w:space="0" w:color="auto"/>
              <w:right w:val="single" w:sz="4" w:space="0" w:color="000000"/>
            </w:tcBorders>
            <w:shd w:val="clear" w:color="auto" w:fill="FFFFFF"/>
            <w:tcMar>
              <w:top w:w="25" w:type="dxa"/>
              <w:left w:w="25" w:type="dxa"/>
              <w:bottom w:w="0" w:type="dxa"/>
              <w:right w:w="25" w:type="dxa"/>
            </w:tcMar>
            <w:vAlign w:val="center"/>
          </w:tcPr>
          <w:p w:rsidR="009E1534" w:rsidRPr="00762F09" w:rsidRDefault="009E1534" w:rsidP="001D6D8B">
            <w:pPr>
              <w:spacing w:before="100" w:beforeAutospacing="1" w:after="100" w:afterAutospacing="1"/>
              <w:jc w:val="center"/>
              <w:rPr>
                <w:rFonts w:eastAsia="Arial Unicode MS"/>
                <w:b/>
              </w:rPr>
            </w:pPr>
            <w:r>
              <w:rPr>
                <w:b/>
              </w:rPr>
              <w:t xml:space="preserve">FY 2011 </w:t>
            </w:r>
            <w:r w:rsidR="001D6D8B">
              <w:rPr>
                <w:b/>
              </w:rPr>
              <w:t>CR</w:t>
            </w:r>
          </w:p>
        </w:tc>
        <w:tc>
          <w:tcPr>
            <w:tcW w:w="1976" w:type="dxa"/>
            <w:gridSpan w:val="3"/>
            <w:tcBorders>
              <w:top w:val="single" w:sz="4" w:space="0" w:color="auto"/>
              <w:left w:val="nil"/>
              <w:bottom w:val="single" w:sz="4" w:space="0" w:color="auto"/>
              <w:right w:val="single" w:sz="4" w:space="0" w:color="000000"/>
            </w:tcBorders>
            <w:shd w:val="clear" w:color="auto" w:fill="FFFFFF"/>
            <w:tcMar>
              <w:top w:w="25" w:type="dxa"/>
              <w:left w:w="25" w:type="dxa"/>
              <w:bottom w:w="0" w:type="dxa"/>
              <w:right w:w="25" w:type="dxa"/>
            </w:tcMar>
            <w:vAlign w:val="center"/>
          </w:tcPr>
          <w:p w:rsidR="009E1534" w:rsidRPr="00762F09" w:rsidRDefault="009E1534" w:rsidP="009E1534">
            <w:pPr>
              <w:spacing w:before="100" w:beforeAutospacing="1" w:after="100" w:afterAutospacing="1"/>
              <w:jc w:val="center"/>
              <w:rPr>
                <w:rFonts w:eastAsia="Arial Unicode MS"/>
                <w:b/>
              </w:rPr>
            </w:pPr>
            <w:r w:rsidRPr="00762F09">
              <w:rPr>
                <w:rFonts w:eastAsia="Arial Unicode MS"/>
                <w:b/>
              </w:rPr>
              <w:t>Current Services Adjustments a</w:t>
            </w:r>
            <w:r>
              <w:rPr>
                <w:rFonts w:eastAsia="Arial Unicode MS"/>
                <w:b/>
              </w:rPr>
              <w:t>nd FY 2012</w:t>
            </w:r>
            <w:r w:rsidRPr="00762F09">
              <w:rPr>
                <w:rFonts w:eastAsia="Arial Unicode MS"/>
                <w:b/>
              </w:rPr>
              <w:t xml:space="preserve"> Program Change</w:t>
            </w:r>
          </w:p>
        </w:tc>
        <w:tc>
          <w:tcPr>
            <w:tcW w:w="2354" w:type="dxa"/>
            <w:gridSpan w:val="2"/>
            <w:tcBorders>
              <w:top w:val="single" w:sz="4" w:space="0" w:color="auto"/>
              <w:left w:val="nil"/>
              <w:bottom w:val="single" w:sz="4" w:space="0" w:color="auto"/>
              <w:right w:val="single" w:sz="8" w:space="0" w:color="000000"/>
            </w:tcBorders>
            <w:shd w:val="clear" w:color="auto" w:fill="FFFFFF"/>
            <w:noWrap/>
            <w:tcMar>
              <w:top w:w="25" w:type="dxa"/>
              <w:left w:w="25" w:type="dxa"/>
              <w:bottom w:w="0" w:type="dxa"/>
              <w:right w:w="25" w:type="dxa"/>
            </w:tcMar>
            <w:vAlign w:val="center"/>
          </w:tcPr>
          <w:p w:rsidR="009E1534" w:rsidRPr="00762F09" w:rsidRDefault="009E1534" w:rsidP="009E1534">
            <w:pPr>
              <w:spacing w:before="100" w:beforeAutospacing="1" w:after="100" w:afterAutospacing="1"/>
              <w:jc w:val="center"/>
              <w:rPr>
                <w:rFonts w:eastAsia="Arial Unicode MS"/>
                <w:b/>
              </w:rPr>
            </w:pPr>
            <w:r>
              <w:rPr>
                <w:b/>
              </w:rPr>
              <w:t>FY 2012</w:t>
            </w:r>
            <w:r w:rsidRPr="00762F09">
              <w:rPr>
                <w:b/>
              </w:rPr>
              <w:t xml:space="preserve"> Request</w:t>
            </w:r>
          </w:p>
        </w:tc>
      </w:tr>
      <w:tr w:rsidR="009E1534" w:rsidRPr="00762F09" w:rsidTr="00CD60EF">
        <w:trPr>
          <w:cantSplit/>
          <w:trHeight w:val="110"/>
        </w:trPr>
        <w:tc>
          <w:tcPr>
            <w:tcW w:w="4859" w:type="dxa"/>
            <w:gridSpan w:val="2"/>
            <w:vMerge w:val="restart"/>
            <w:tcBorders>
              <w:top w:val="single" w:sz="4" w:space="0" w:color="auto"/>
              <w:left w:val="single" w:sz="8" w:space="0" w:color="auto"/>
              <w:right w:val="single" w:sz="4" w:space="0" w:color="000000"/>
            </w:tcBorders>
            <w:shd w:val="clear" w:color="auto" w:fill="FFFFFF"/>
            <w:noWrap/>
            <w:tcMar>
              <w:top w:w="25" w:type="dxa"/>
              <w:left w:w="25" w:type="dxa"/>
              <w:bottom w:w="0" w:type="dxa"/>
              <w:right w:w="25" w:type="dxa"/>
            </w:tcMar>
          </w:tcPr>
          <w:p w:rsidR="00E835B8" w:rsidRPr="00664E3A" w:rsidRDefault="009E1534" w:rsidP="00E835B8">
            <w:pPr>
              <w:spacing w:before="100" w:beforeAutospacing="1" w:after="100" w:afterAutospacing="1"/>
              <w:rPr>
                <w:rFonts w:eastAsia="Arial Unicode MS"/>
                <w:b/>
                <w:color w:val="FF0000"/>
                <w:sz w:val="12"/>
                <w:szCs w:val="12"/>
              </w:rPr>
            </w:pPr>
            <w:r w:rsidRPr="00762F09">
              <w:rPr>
                <w:b/>
              </w:rPr>
              <w:t>Total Costs and FTE</w:t>
            </w:r>
          </w:p>
        </w:tc>
        <w:tc>
          <w:tcPr>
            <w:tcW w:w="1079" w:type="dxa"/>
            <w:tcBorders>
              <w:top w:val="single" w:sz="4" w:space="0" w:color="auto"/>
              <w:left w:val="nil"/>
              <w:bottom w:val="single" w:sz="4" w:space="0" w:color="auto"/>
              <w:right w:val="single" w:sz="4" w:space="0" w:color="000000"/>
            </w:tcBorders>
            <w:shd w:val="clear" w:color="auto" w:fill="FFFFFF"/>
            <w:noWrap/>
            <w:tcMar>
              <w:top w:w="25" w:type="dxa"/>
              <w:left w:w="25" w:type="dxa"/>
              <w:bottom w:w="0" w:type="dxa"/>
              <w:right w:w="25" w:type="dxa"/>
            </w:tcMar>
            <w:vAlign w:val="bottom"/>
          </w:tcPr>
          <w:p w:rsidR="009E1534" w:rsidRPr="00762F09" w:rsidRDefault="009E1534" w:rsidP="009E1534">
            <w:pPr>
              <w:spacing w:before="100" w:beforeAutospacing="1" w:after="100" w:afterAutospacing="1"/>
              <w:jc w:val="center"/>
              <w:rPr>
                <w:rFonts w:eastAsia="Arial Unicode MS"/>
                <w:b/>
              </w:rPr>
            </w:pPr>
            <w:r w:rsidRPr="00762F09">
              <w:rPr>
                <w:b/>
                <w:sz w:val="22"/>
                <w:szCs w:val="22"/>
              </w:rPr>
              <w:t>FTE</w:t>
            </w:r>
          </w:p>
        </w:tc>
        <w:tc>
          <w:tcPr>
            <w:tcW w:w="897" w:type="dxa"/>
            <w:tcBorders>
              <w:top w:val="single" w:sz="4" w:space="0" w:color="auto"/>
              <w:left w:val="nil"/>
              <w:bottom w:val="single" w:sz="4" w:space="0" w:color="auto"/>
              <w:right w:val="single" w:sz="4" w:space="0" w:color="000000"/>
            </w:tcBorders>
            <w:shd w:val="clear" w:color="auto" w:fill="FFFFFF"/>
            <w:vAlign w:val="bottom"/>
          </w:tcPr>
          <w:p w:rsidR="009E1534" w:rsidRPr="00762F09" w:rsidRDefault="009E1534" w:rsidP="009E1534">
            <w:pPr>
              <w:spacing w:before="100" w:beforeAutospacing="1" w:after="100" w:afterAutospacing="1"/>
              <w:jc w:val="center"/>
              <w:rPr>
                <w:rFonts w:eastAsia="Arial Unicode MS"/>
                <w:b/>
              </w:rPr>
            </w:pPr>
            <w:r w:rsidRPr="00762F09">
              <w:rPr>
                <w:b/>
                <w:sz w:val="22"/>
                <w:szCs w:val="22"/>
              </w:rPr>
              <w:t>$000</w:t>
            </w:r>
          </w:p>
        </w:tc>
        <w:tc>
          <w:tcPr>
            <w:tcW w:w="738" w:type="dxa"/>
            <w:tcBorders>
              <w:top w:val="single" w:sz="4" w:space="0" w:color="auto"/>
              <w:left w:val="nil"/>
              <w:bottom w:val="single" w:sz="4" w:space="0" w:color="auto"/>
              <w:right w:val="single" w:sz="4" w:space="0" w:color="000000"/>
            </w:tcBorders>
            <w:noWrap/>
            <w:tcMar>
              <w:top w:w="25" w:type="dxa"/>
              <w:left w:w="25" w:type="dxa"/>
              <w:bottom w:w="0" w:type="dxa"/>
              <w:right w:w="25" w:type="dxa"/>
            </w:tcMar>
            <w:vAlign w:val="bottom"/>
          </w:tcPr>
          <w:p w:rsidR="009E1534" w:rsidRPr="00762F09" w:rsidRDefault="009E1534" w:rsidP="009E1534">
            <w:pPr>
              <w:spacing w:before="100" w:beforeAutospacing="1" w:after="100" w:afterAutospacing="1"/>
              <w:jc w:val="center"/>
              <w:rPr>
                <w:rFonts w:eastAsia="Arial Unicode MS"/>
                <w:b/>
              </w:rPr>
            </w:pPr>
            <w:r w:rsidRPr="00762F09">
              <w:rPr>
                <w:b/>
                <w:sz w:val="22"/>
                <w:szCs w:val="22"/>
              </w:rPr>
              <w:t>FTE</w:t>
            </w:r>
          </w:p>
        </w:tc>
        <w:tc>
          <w:tcPr>
            <w:tcW w:w="1034" w:type="dxa"/>
            <w:tcBorders>
              <w:top w:val="single" w:sz="4" w:space="0" w:color="auto"/>
              <w:left w:val="nil"/>
              <w:bottom w:val="single" w:sz="4" w:space="0" w:color="auto"/>
              <w:right w:val="single" w:sz="4" w:space="0" w:color="000000"/>
            </w:tcBorders>
            <w:vAlign w:val="bottom"/>
          </w:tcPr>
          <w:p w:rsidR="009E1534" w:rsidRPr="00762F09" w:rsidRDefault="009E1534" w:rsidP="009E1534">
            <w:pPr>
              <w:spacing w:before="100" w:beforeAutospacing="1" w:after="100" w:afterAutospacing="1"/>
              <w:jc w:val="center"/>
              <w:rPr>
                <w:rFonts w:eastAsia="Arial Unicode MS"/>
                <w:b/>
              </w:rPr>
            </w:pPr>
            <w:r w:rsidRPr="00762F09">
              <w:rPr>
                <w:b/>
                <w:sz w:val="22"/>
                <w:szCs w:val="22"/>
              </w:rPr>
              <w:t>$000</w:t>
            </w:r>
          </w:p>
        </w:tc>
        <w:tc>
          <w:tcPr>
            <w:tcW w:w="602" w:type="dxa"/>
            <w:gridSpan w:val="2"/>
            <w:tcBorders>
              <w:top w:val="single" w:sz="4" w:space="0" w:color="auto"/>
              <w:left w:val="nil"/>
              <w:bottom w:val="single" w:sz="4" w:space="0" w:color="auto"/>
              <w:right w:val="single" w:sz="4" w:space="0" w:color="000000"/>
            </w:tcBorders>
            <w:shd w:val="clear" w:color="auto" w:fill="FFFFFF"/>
            <w:noWrap/>
            <w:tcMar>
              <w:top w:w="25" w:type="dxa"/>
              <w:left w:w="25" w:type="dxa"/>
              <w:bottom w:w="0" w:type="dxa"/>
              <w:right w:w="25" w:type="dxa"/>
            </w:tcMar>
            <w:vAlign w:val="bottom"/>
          </w:tcPr>
          <w:p w:rsidR="009E1534" w:rsidRPr="00762F09" w:rsidRDefault="009E1534" w:rsidP="009E1534">
            <w:pPr>
              <w:spacing w:before="100" w:beforeAutospacing="1" w:after="100" w:afterAutospacing="1"/>
              <w:jc w:val="center"/>
              <w:rPr>
                <w:rFonts w:eastAsia="Arial Unicode MS"/>
                <w:b/>
              </w:rPr>
            </w:pPr>
            <w:r w:rsidRPr="00762F09">
              <w:rPr>
                <w:b/>
                <w:sz w:val="22"/>
                <w:szCs w:val="22"/>
              </w:rPr>
              <w:t>FTE</w:t>
            </w:r>
          </w:p>
        </w:tc>
        <w:tc>
          <w:tcPr>
            <w:tcW w:w="1059" w:type="dxa"/>
            <w:gridSpan w:val="2"/>
            <w:tcBorders>
              <w:top w:val="single" w:sz="4" w:space="0" w:color="auto"/>
              <w:left w:val="nil"/>
              <w:bottom w:val="single" w:sz="4" w:space="0" w:color="auto"/>
              <w:right w:val="single" w:sz="4" w:space="0" w:color="000000"/>
            </w:tcBorders>
            <w:shd w:val="clear" w:color="auto" w:fill="FFFFFF"/>
            <w:vAlign w:val="bottom"/>
          </w:tcPr>
          <w:p w:rsidR="009E1534" w:rsidRPr="00762F09" w:rsidRDefault="009E1534" w:rsidP="009E1534">
            <w:pPr>
              <w:spacing w:before="100" w:beforeAutospacing="1" w:after="100" w:afterAutospacing="1"/>
              <w:jc w:val="center"/>
              <w:rPr>
                <w:rFonts w:eastAsia="Arial Unicode MS"/>
                <w:b/>
              </w:rPr>
            </w:pPr>
            <w:r w:rsidRPr="00762F09">
              <w:rPr>
                <w:b/>
                <w:sz w:val="22"/>
                <w:szCs w:val="22"/>
              </w:rPr>
              <w:t>$000</w:t>
            </w:r>
          </w:p>
        </w:tc>
        <w:tc>
          <w:tcPr>
            <w:tcW w:w="599" w:type="dxa"/>
            <w:tcBorders>
              <w:top w:val="single" w:sz="4" w:space="0" w:color="auto"/>
              <w:left w:val="nil"/>
              <w:bottom w:val="single" w:sz="4" w:space="0" w:color="auto"/>
              <w:right w:val="single" w:sz="4" w:space="0" w:color="000000"/>
            </w:tcBorders>
            <w:noWrap/>
            <w:tcMar>
              <w:top w:w="25" w:type="dxa"/>
              <w:left w:w="25" w:type="dxa"/>
              <w:bottom w:w="0" w:type="dxa"/>
              <w:right w:w="25" w:type="dxa"/>
            </w:tcMar>
            <w:vAlign w:val="bottom"/>
          </w:tcPr>
          <w:p w:rsidR="009E1534" w:rsidRPr="00762F09" w:rsidRDefault="009E1534" w:rsidP="009E1534">
            <w:pPr>
              <w:spacing w:before="100" w:beforeAutospacing="1" w:after="100" w:afterAutospacing="1"/>
              <w:jc w:val="center"/>
              <w:rPr>
                <w:rFonts w:eastAsia="Arial Unicode MS"/>
                <w:b/>
              </w:rPr>
            </w:pPr>
            <w:r w:rsidRPr="00762F09">
              <w:rPr>
                <w:b/>
                <w:sz w:val="22"/>
                <w:szCs w:val="22"/>
              </w:rPr>
              <w:t>FTE</w:t>
            </w:r>
          </w:p>
        </w:tc>
        <w:tc>
          <w:tcPr>
            <w:tcW w:w="1377" w:type="dxa"/>
            <w:gridSpan w:val="2"/>
            <w:tcBorders>
              <w:top w:val="single" w:sz="4" w:space="0" w:color="auto"/>
              <w:left w:val="nil"/>
              <w:bottom w:val="single" w:sz="4" w:space="0" w:color="auto"/>
              <w:right w:val="single" w:sz="4" w:space="0" w:color="000000"/>
            </w:tcBorders>
            <w:vAlign w:val="bottom"/>
          </w:tcPr>
          <w:p w:rsidR="009E1534" w:rsidRPr="00762F09" w:rsidRDefault="009E1534" w:rsidP="009E1534">
            <w:pPr>
              <w:spacing w:before="100" w:beforeAutospacing="1" w:after="100" w:afterAutospacing="1"/>
              <w:jc w:val="center"/>
              <w:rPr>
                <w:rFonts w:eastAsia="Arial Unicode MS"/>
                <w:b/>
              </w:rPr>
            </w:pPr>
            <w:r w:rsidRPr="00762F09">
              <w:rPr>
                <w:b/>
                <w:sz w:val="22"/>
                <w:szCs w:val="22"/>
              </w:rPr>
              <w:t>$000</w:t>
            </w:r>
          </w:p>
        </w:tc>
        <w:tc>
          <w:tcPr>
            <w:tcW w:w="719" w:type="dxa"/>
            <w:tcBorders>
              <w:top w:val="single" w:sz="4" w:space="0" w:color="auto"/>
              <w:left w:val="nil"/>
              <w:bottom w:val="single" w:sz="4" w:space="0" w:color="auto"/>
              <w:right w:val="single" w:sz="8" w:space="0" w:color="000000"/>
            </w:tcBorders>
            <w:shd w:val="clear" w:color="auto" w:fill="FFFFFF"/>
            <w:noWrap/>
            <w:tcMar>
              <w:top w:w="25" w:type="dxa"/>
              <w:left w:w="25" w:type="dxa"/>
              <w:bottom w:w="0" w:type="dxa"/>
              <w:right w:w="25" w:type="dxa"/>
            </w:tcMar>
            <w:vAlign w:val="bottom"/>
          </w:tcPr>
          <w:p w:rsidR="009E1534" w:rsidRPr="00762F09" w:rsidRDefault="009E1534" w:rsidP="009E1534">
            <w:pPr>
              <w:spacing w:before="100" w:beforeAutospacing="1" w:after="100" w:afterAutospacing="1"/>
              <w:jc w:val="center"/>
              <w:rPr>
                <w:rFonts w:eastAsia="Arial Unicode MS"/>
                <w:b/>
              </w:rPr>
            </w:pPr>
            <w:r w:rsidRPr="00762F09">
              <w:rPr>
                <w:b/>
                <w:sz w:val="22"/>
                <w:szCs w:val="22"/>
              </w:rPr>
              <w:t>FTE</w:t>
            </w:r>
          </w:p>
        </w:tc>
        <w:tc>
          <w:tcPr>
            <w:tcW w:w="1635" w:type="dxa"/>
            <w:tcBorders>
              <w:top w:val="single" w:sz="4" w:space="0" w:color="auto"/>
              <w:left w:val="nil"/>
              <w:bottom w:val="single" w:sz="4" w:space="0" w:color="auto"/>
              <w:right w:val="single" w:sz="8" w:space="0" w:color="000000"/>
            </w:tcBorders>
            <w:shd w:val="clear" w:color="auto" w:fill="FFFFFF"/>
            <w:vAlign w:val="bottom"/>
          </w:tcPr>
          <w:p w:rsidR="009E1534" w:rsidRPr="00762F09" w:rsidRDefault="009E1534" w:rsidP="009E1534">
            <w:pPr>
              <w:spacing w:before="100" w:beforeAutospacing="1" w:after="100" w:afterAutospacing="1"/>
              <w:jc w:val="center"/>
              <w:rPr>
                <w:rFonts w:eastAsia="Arial Unicode MS"/>
                <w:b/>
              </w:rPr>
            </w:pPr>
            <w:r w:rsidRPr="00762F09">
              <w:rPr>
                <w:b/>
                <w:sz w:val="22"/>
                <w:szCs w:val="22"/>
              </w:rPr>
              <w:t>$000</w:t>
            </w:r>
          </w:p>
        </w:tc>
      </w:tr>
      <w:tr w:rsidR="009E1534" w:rsidRPr="00762F09" w:rsidTr="00CD60EF">
        <w:trPr>
          <w:cantSplit/>
          <w:trHeight w:val="253"/>
        </w:trPr>
        <w:tc>
          <w:tcPr>
            <w:tcW w:w="4859" w:type="dxa"/>
            <w:gridSpan w:val="2"/>
            <w:vMerge/>
            <w:tcBorders>
              <w:left w:val="single" w:sz="8" w:space="0" w:color="auto"/>
              <w:bottom w:val="single" w:sz="4" w:space="0" w:color="auto"/>
              <w:right w:val="single" w:sz="4" w:space="0" w:color="000000"/>
            </w:tcBorders>
            <w:shd w:val="clear" w:color="auto" w:fill="FFFFFF"/>
            <w:noWrap/>
            <w:tcMar>
              <w:top w:w="25" w:type="dxa"/>
              <w:left w:w="25" w:type="dxa"/>
              <w:bottom w:w="0" w:type="dxa"/>
              <w:right w:w="25" w:type="dxa"/>
            </w:tcMar>
            <w:vAlign w:val="center"/>
          </w:tcPr>
          <w:p w:rsidR="009E1534" w:rsidRPr="00762F09" w:rsidRDefault="009E1534" w:rsidP="009E1534">
            <w:pPr>
              <w:spacing w:before="100" w:beforeAutospacing="1" w:after="100" w:afterAutospacing="1"/>
              <w:rPr>
                <w:rFonts w:eastAsia="Arial Unicode MS"/>
                <w:b/>
              </w:rPr>
            </w:pPr>
          </w:p>
        </w:tc>
        <w:tc>
          <w:tcPr>
            <w:tcW w:w="1079" w:type="dxa"/>
            <w:tcBorders>
              <w:top w:val="single" w:sz="4" w:space="0" w:color="auto"/>
              <w:left w:val="nil"/>
              <w:bottom w:val="single" w:sz="4" w:space="0" w:color="auto"/>
              <w:right w:val="single" w:sz="4" w:space="0" w:color="000000"/>
            </w:tcBorders>
            <w:shd w:val="clear" w:color="auto" w:fill="FFFFFF"/>
            <w:noWrap/>
            <w:tcMar>
              <w:top w:w="25" w:type="dxa"/>
              <w:left w:w="25" w:type="dxa"/>
              <w:bottom w:w="0" w:type="dxa"/>
              <w:right w:w="25" w:type="dxa"/>
            </w:tcMar>
            <w:vAlign w:val="bottom"/>
          </w:tcPr>
          <w:p w:rsidR="009E1534" w:rsidRPr="00762F09" w:rsidRDefault="009E1534" w:rsidP="009E1534">
            <w:pPr>
              <w:spacing w:before="100" w:beforeAutospacing="1" w:after="100" w:afterAutospacing="1"/>
              <w:jc w:val="center"/>
              <w:rPr>
                <w:rFonts w:eastAsia="Arial Unicode MS"/>
                <w:b/>
              </w:rPr>
            </w:pPr>
            <w:r>
              <w:rPr>
                <w:rFonts w:eastAsia="Arial Unicode MS"/>
                <w:b/>
                <w:sz w:val="22"/>
                <w:szCs w:val="22"/>
              </w:rPr>
              <w:t>3,614</w:t>
            </w:r>
          </w:p>
        </w:tc>
        <w:tc>
          <w:tcPr>
            <w:tcW w:w="897" w:type="dxa"/>
            <w:tcBorders>
              <w:top w:val="single" w:sz="4" w:space="0" w:color="auto"/>
              <w:left w:val="nil"/>
              <w:bottom w:val="single" w:sz="4" w:space="0" w:color="auto"/>
              <w:right w:val="single" w:sz="4" w:space="0" w:color="000000"/>
            </w:tcBorders>
            <w:shd w:val="clear" w:color="auto" w:fill="FFFFFF"/>
            <w:vAlign w:val="bottom"/>
          </w:tcPr>
          <w:p w:rsidR="00E835B8" w:rsidRPr="00762F09" w:rsidRDefault="009E1534" w:rsidP="009E1534">
            <w:pPr>
              <w:spacing w:before="100" w:beforeAutospacing="1" w:after="100" w:afterAutospacing="1"/>
              <w:jc w:val="center"/>
              <w:rPr>
                <w:rFonts w:eastAsia="Arial Unicode MS"/>
                <w:b/>
              </w:rPr>
            </w:pPr>
            <w:r>
              <w:rPr>
                <w:rFonts w:eastAsia="Arial Unicode MS"/>
                <w:b/>
                <w:sz w:val="22"/>
                <w:szCs w:val="22"/>
              </w:rPr>
              <w:t>$802,636</w:t>
            </w:r>
          </w:p>
        </w:tc>
        <w:tc>
          <w:tcPr>
            <w:tcW w:w="738" w:type="dxa"/>
            <w:tcBorders>
              <w:top w:val="single" w:sz="4" w:space="0" w:color="auto"/>
              <w:left w:val="nil"/>
              <w:bottom w:val="single" w:sz="4" w:space="0" w:color="auto"/>
              <w:right w:val="single" w:sz="4" w:space="0" w:color="000000"/>
            </w:tcBorders>
            <w:noWrap/>
            <w:tcMar>
              <w:top w:w="25" w:type="dxa"/>
              <w:left w:w="25" w:type="dxa"/>
              <w:bottom w:w="0" w:type="dxa"/>
              <w:right w:w="25" w:type="dxa"/>
            </w:tcMar>
            <w:vAlign w:val="bottom"/>
          </w:tcPr>
          <w:p w:rsidR="009E1534" w:rsidRPr="00CF3FC3" w:rsidRDefault="009E1534" w:rsidP="009E1534">
            <w:pPr>
              <w:spacing w:before="100" w:beforeAutospacing="1" w:after="100" w:afterAutospacing="1"/>
              <w:jc w:val="center"/>
              <w:rPr>
                <w:rFonts w:eastAsia="Arial Unicode MS"/>
                <w:b/>
              </w:rPr>
            </w:pPr>
            <w:r>
              <w:rPr>
                <w:rFonts w:eastAsia="Arial Unicode MS"/>
                <w:b/>
                <w:sz w:val="22"/>
                <w:szCs w:val="22"/>
              </w:rPr>
              <w:t>3,614</w:t>
            </w:r>
          </w:p>
        </w:tc>
        <w:tc>
          <w:tcPr>
            <w:tcW w:w="1034" w:type="dxa"/>
            <w:tcBorders>
              <w:top w:val="single" w:sz="4" w:space="0" w:color="auto"/>
              <w:left w:val="nil"/>
              <w:bottom w:val="single" w:sz="4" w:space="0" w:color="auto"/>
              <w:right w:val="single" w:sz="4" w:space="0" w:color="000000"/>
            </w:tcBorders>
            <w:vAlign w:val="bottom"/>
          </w:tcPr>
          <w:p w:rsidR="00E835B8" w:rsidRPr="00CF3FC3" w:rsidRDefault="009E1534" w:rsidP="009E1534">
            <w:pPr>
              <w:spacing w:before="100" w:beforeAutospacing="1" w:after="100" w:afterAutospacing="1"/>
              <w:jc w:val="center"/>
              <w:rPr>
                <w:rFonts w:eastAsia="Arial Unicode MS"/>
                <w:b/>
              </w:rPr>
            </w:pPr>
            <w:r w:rsidRPr="00CF3FC3">
              <w:rPr>
                <w:rFonts w:eastAsia="Arial Unicode MS"/>
                <w:b/>
                <w:sz w:val="22"/>
                <w:szCs w:val="22"/>
              </w:rPr>
              <w:t>$</w:t>
            </w:r>
            <w:r>
              <w:rPr>
                <w:rFonts w:eastAsia="Arial Unicode MS"/>
                <w:b/>
                <w:sz w:val="22"/>
                <w:szCs w:val="22"/>
              </w:rPr>
              <w:t>802,636</w:t>
            </w:r>
          </w:p>
        </w:tc>
        <w:tc>
          <w:tcPr>
            <w:tcW w:w="602" w:type="dxa"/>
            <w:gridSpan w:val="2"/>
            <w:tcBorders>
              <w:top w:val="single" w:sz="4" w:space="0" w:color="auto"/>
              <w:left w:val="nil"/>
              <w:bottom w:val="single" w:sz="4" w:space="0" w:color="auto"/>
              <w:right w:val="single" w:sz="4" w:space="0" w:color="000000"/>
            </w:tcBorders>
            <w:shd w:val="clear" w:color="auto" w:fill="FFFFFF"/>
            <w:noWrap/>
            <w:tcMar>
              <w:top w:w="25" w:type="dxa"/>
              <w:left w:w="25" w:type="dxa"/>
              <w:bottom w:w="0" w:type="dxa"/>
              <w:right w:w="25" w:type="dxa"/>
            </w:tcMar>
            <w:vAlign w:val="bottom"/>
          </w:tcPr>
          <w:p w:rsidR="009E1534" w:rsidRPr="00762F09" w:rsidRDefault="009E1534" w:rsidP="001D6D8B">
            <w:pPr>
              <w:spacing w:before="100" w:beforeAutospacing="1" w:after="100" w:afterAutospacing="1"/>
              <w:jc w:val="center"/>
              <w:rPr>
                <w:rFonts w:eastAsia="Arial Unicode MS"/>
                <w:b/>
              </w:rPr>
            </w:pPr>
            <w:r>
              <w:rPr>
                <w:rFonts w:eastAsia="Arial Unicode MS"/>
                <w:b/>
                <w:sz w:val="22"/>
                <w:szCs w:val="22"/>
              </w:rPr>
              <w:t>3,</w:t>
            </w:r>
            <w:r w:rsidR="001D6D8B">
              <w:rPr>
                <w:rFonts w:eastAsia="Arial Unicode MS"/>
                <w:b/>
                <w:sz w:val="22"/>
                <w:szCs w:val="22"/>
              </w:rPr>
              <w:t>614</w:t>
            </w:r>
          </w:p>
        </w:tc>
        <w:tc>
          <w:tcPr>
            <w:tcW w:w="1059" w:type="dxa"/>
            <w:gridSpan w:val="2"/>
            <w:tcBorders>
              <w:top w:val="single" w:sz="4" w:space="0" w:color="auto"/>
              <w:left w:val="nil"/>
              <w:bottom w:val="single" w:sz="4" w:space="0" w:color="auto"/>
              <w:right w:val="single" w:sz="4" w:space="0" w:color="000000"/>
            </w:tcBorders>
            <w:shd w:val="clear" w:color="auto" w:fill="FFFFFF"/>
            <w:vAlign w:val="bottom"/>
          </w:tcPr>
          <w:p w:rsidR="00E835B8" w:rsidRPr="00762F09" w:rsidRDefault="009E1534" w:rsidP="001D6D8B">
            <w:pPr>
              <w:spacing w:before="100" w:beforeAutospacing="1" w:after="100" w:afterAutospacing="1"/>
              <w:jc w:val="center"/>
              <w:rPr>
                <w:rFonts w:eastAsia="Arial Unicode MS"/>
                <w:b/>
              </w:rPr>
            </w:pPr>
            <w:r>
              <w:rPr>
                <w:rFonts w:eastAsia="Arial Unicode MS"/>
                <w:b/>
                <w:sz w:val="22"/>
                <w:szCs w:val="22"/>
              </w:rPr>
              <w:t>$</w:t>
            </w:r>
            <w:r w:rsidR="001D6D8B">
              <w:rPr>
                <w:rFonts w:eastAsia="Arial Unicode MS"/>
                <w:b/>
                <w:sz w:val="22"/>
                <w:szCs w:val="22"/>
              </w:rPr>
              <w:t>802,636</w:t>
            </w:r>
          </w:p>
        </w:tc>
        <w:tc>
          <w:tcPr>
            <w:tcW w:w="599" w:type="dxa"/>
            <w:tcBorders>
              <w:top w:val="single" w:sz="4" w:space="0" w:color="auto"/>
              <w:left w:val="nil"/>
              <w:bottom w:val="single" w:sz="4" w:space="0" w:color="auto"/>
              <w:right w:val="single" w:sz="4" w:space="0" w:color="000000"/>
            </w:tcBorders>
            <w:noWrap/>
            <w:tcMar>
              <w:top w:w="25" w:type="dxa"/>
              <w:left w:w="25" w:type="dxa"/>
              <w:bottom w:w="0" w:type="dxa"/>
              <w:right w:w="25" w:type="dxa"/>
            </w:tcMar>
            <w:vAlign w:val="bottom"/>
          </w:tcPr>
          <w:p w:rsidR="009E1534" w:rsidRPr="00CF3FC3" w:rsidRDefault="00DB0403" w:rsidP="00DB0403">
            <w:pPr>
              <w:spacing w:before="100" w:beforeAutospacing="1" w:after="100" w:afterAutospacing="1"/>
              <w:jc w:val="center"/>
              <w:rPr>
                <w:rFonts w:eastAsia="Arial Unicode MS"/>
                <w:b/>
              </w:rPr>
            </w:pPr>
            <w:r>
              <w:rPr>
                <w:rFonts w:eastAsia="Arial Unicode MS"/>
                <w:b/>
              </w:rPr>
              <w:t>202</w:t>
            </w:r>
          </w:p>
        </w:tc>
        <w:tc>
          <w:tcPr>
            <w:tcW w:w="1377" w:type="dxa"/>
            <w:gridSpan w:val="2"/>
            <w:tcBorders>
              <w:top w:val="single" w:sz="4" w:space="0" w:color="auto"/>
              <w:left w:val="nil"/>
              <w:bottom w:val="single" w:sz="4" w:space="0" w:color="auto"/>
              <w:right w:val="single" w:sz="4" w:space="0" w:color="000000"/>
            </w:tcBorders>
            <w:vAlign w:val="bottom"/>
          </w:tcPr>
          <w:p w:rsidR="00E835B8" w:rsidRPr="00CF3FC3" w:rsidRDefault="009E1534" w:rsidP="001F7F5E">
            <w:pPr>
              <w:spacing w:before="100" w:beforeAutospacing="1" w:after="100" w:afterAutospacing="1"/>
              <w:jc w:val="center"/>
              <w:rPr>
                <w:rFonts w:eastAsia="Arial Unicode MS"/>
                <w:b/>
              </w:rPr>
            </w:pPr>
            <w:r w:rsidRPr="00CF3FC3">
              <w:rPr>
                <w:rFonts w:eastAsia="Arial Unicode MS"/>
                <w:b/>
                <w:sz w:val="22"/>
                <w:szCs w:val="22"/>
              </w:rPr>
              <w:t>$</w:t>
            </w:r>
            <w:r w:rsidR="00DB0403">
              <w:rPr>
                <w:rFonts w:eastAsia="Arial Unicode MS"/>
                <w:b/>
                <w:sz w:val="22"/>
                <w:szCs w:val="22"/>
              </w:rPr>
              <w:t>57,83</w:t>
            </w:r>
            <w:r w:rsidR="001F7F5E">
              <w:rPr>
                <w:rFonts w:eastAsia="Arial Unicode MS"/>
                <w:b/>
                <w:sz w:val="22"/>
                <w:szCs w:val="22"/>
              </w:rPr>
              <w:t>7</w:t>
            </w:r>
          </w:p>
        </w:tc>
        <w:tc>
          <w:tcPr>
            <w:tcW w:w="719" w:type="dxa"/>
            <w:tcBorders>
              <w:top w:val="single" w:sz="4" w:space="0" w:color="auto"/>
              <w:left w:val="nil"/>
              <w:bottom w:val="single" w:sz="4" w:space="0" w:color="auto"/>
              <w:right w:val="single" w:sz="8" w:space="0" w:color="000000"/>
            </w:tcBorders>
            <w:shd w:val="clear" w:color="auto" w:fill="FFFFFF"/>
            <w:noWrap/>
            <w:tcMar>
              <w:top w:w="25" w:type="dxa"/>
              <w:left w:w="25" w:type="dxa"/>
              <w:bottom w:w="0" w:type="dxa"/>
              <w:right w:w="25" w:type="dxa"/>
            </w:tcMar>
            <w:vAlign w:val="bottom"/>
          </w:tcPr>
          <w:p w:rsidR="009E1534" w:rsidRPr="00CF3FC3" w:rsidRDefault="00C87103" w:rsidP="00635503">
            <w:pPr>
              <w:spacing w:before="100" w:beforeAutospacing="1" w:after="100" w:afterAutospacing="1"/>
              <w:jc w:val="center"/>
              <w:rPr>
                <w:rFonts w:eastAsia="Arial Unicode MS"/>
                <w:b/>
              </w:rPr>
            </w:pPr>
            <w:r>
              <w:rPr>
                <w:rFonts w:eastAsia="Arial Unicode MS"/>
                <w:b/>
              </w:rPr>
              <w:t>3,</w:t>
            </w:r>
            <w:r w:rsidR="00635503">
              <w:rPr>
                <w:rFonts w:eastAsia="Arial Unicode MS"/>
                <w:b/>
              </w:rPr>
              <w:t>816</w:t>
            </w:r>
          </w:p>
        </w:tc>
        <w:tc>
          <w:tcPr>
            <w:tcW w:w="1635" w:type="dxa"/>
            <w:tcBorders>
              <w:top w:val="single" w:sz="4" w:space="0" w:color="auto"/>
              <w:left w:val="nil"/>
              <w:bottom w:val="single" w:sz="4" w:space="0" w:color="auto"/>
              <w:right w:val="single" w:sz="8" w:space="0" w:color="000000"/>
            </w:tcBorders>
            <w:shd w:val="clear" w:color="auto" w:fill="FFFFFF"/>
            <w:vAlign w:val="bottom"/>
          </w:tcPr>
          <w:p w:rsidR="00E835B8" w:rsidRPr="00CF3FC3" w:rsidRDefault="009E1534" w:rsidP="00635503">
            <w:pPr>
              <w:spacing w:before="100" w:beforeAutospacing="1" w:after="100" w:afterAutospacing="1"/>
              <w:jc w:val="center"/>
              <w:rPr>
                <w:rFonts w:eastAsia="Arial Unicode MS"/>
                <w:b/>
              </w:rPr>
            </w:pPr>
            <w:r w:rsidRPr="00CF3FC3">
              <w:rPr>
                <w:rFonts w:eastAsia="Arial Unicode MS"/>
                <w:b/>
                <w:sz w:val="22"/>
                <w:szCs w:val="22"/>
              </w:rPr>
              <w:t>$</w:t>
            </w:r>
            <w:r w:rsidR="00635503">
              <w:rPr>
                <w:rFonts w:eastAsia="Arial Unicode MS"/>
                <w:b/>
                <w:sz w:val="22"/>
                <w:szCs w:val="22"/>
              </w:rPr>
              <w:t>860,471</w:t>
            </w:r>
          </w:p>
        </w:tc>
      </w:tr>
      <w:tr w:rsidR="009E1534" w:rsidRPr="00762F09" w:rsidTr="00CD60EF">
        <w:trPr>
          <w:cantSplit/>
          <w:trHeight w:val="94"/>
        </w:trPr>
        <w:tc>
          <w:tcPr>
            <w:tcW w:w="1952" w:type="dxa"/>
            <w:vMerge w:val="restart"/>
            <w:tcBorders>
              <w:top w:val="single" w:sz="4" w:space="0" w:color="auto"/>
              <w:left w:val="single" w:sz="4" w:space="0" w:color="auto"/>
              <w:bottom w:val="single" w:sz="4" w:space="0" w:color="auto"/>
              <w:right w:val="nil"/>
            </w:tcBorders>
            <w:shd w:val="clear" w:color="auto" w:fill="FFFFFF"/>
            <w:tcMar>
              <w:top w:w="25" w:type="dxa"/>
              <w:left w:w="25" w:type="dxa"/>
              <w:bottom w:w="0" w:type="dxa"/>
              <w:right w:w="25" w:type="dxa"/>
            </w:tcMar>
            <w:vAlign w:val="center"/>
          </w:tcPr>
          <w:p w:rsidR="009E1534" w:rsidRPr="00762F09" w:rsidRDefault="009E1534" w:rsidP="009E1534">
            <w:pPr>
              <w:spacing w:before="100" w:beforeAutospacing="1" w:after="100" w:afterAutospacing="1"/>
              <w:ind w:left="-25"/>
              <w:rPr>
                <w:rFonts w:eastAsia="Arial Unicode MS"/>
                <w:b/>
              </w:rPr>
            </w:pPr>
            <w:r w:rsidRPr="00762F09">
              <w:rPr>
                <w:b/>
              </w:rPr>
              <w:t>Program Activity</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FFFFFF"/>
            <w:tcMar>
              <w:top w:w="25" w:type="dxa"/>
              <w:left w:w="25" w:type="dxa"/>
              <w:bottom w:w="0" w:type="dxa"/>
              <w:right w:w="25" w:type="dxa"/>
            </w:tcMar>
            <w:vAlign w:val="center"/>
          </w:tcPr>
          <w:p w:rsidR="009E1534" w:rsidRPr="00A13F4F" w:rsidRDefault="009E1534" w:rsidP="009E1534">
            <w:pPr>
              <w:spacing w:before="100" w:beforeAutospacing="1" w:after="100" w:afterAutospacing="1"/>
              <w:ind w:left="-25"/>
              <w:rPr>
                <w:rFonts w:eastAsia="Arial Unicode MS"/>
                <w:b/>
                <w:color w:val="FF0000"/>
              </w:rPr>
            </w:pPr>
            <w:r w:rsidRPr="00762F09">
              <w:rPr>
                <w:rFonts w:eastAsia="Arial Unicode MS"/>
                <w:b/>
              </w:rPr>
              <w:t>Criminal Enforcement</w:t>
            </w:r>
          </w:p>
        </w:tc>
        <w:tc>
          <w:tcPr>
            <w:tcW w:w="1079" w:type="dxa"/>
            <w:tcBorders>
              <w:top w:val="single" w:sz="4" w:space="0" w:color="auto"/>
              <w:left w:val="nil"/>
              <w:bottom w:val="single" w:sz="4" w:space="0" w:color="auto"/>
              <w:right w:val="nil"/>
            </w:tcBorders>
            <w:shd w:val="clear" w:color="auto" w:fill="FFFFFF"/>
            <w:noWrap/>
            <w:tcMar>
              <w:top w:w="25" w:type="dxa"/>
              <w:left w:w="25" w:type="dxa"/>
              <w:bottom w:w="0" w:type="dxa"/>
              <w:right w:w="25" w:type="dxa"/>
            </w:tcMar>
            <w:vAlign w:val="bottom"/>
          </w:tcPr>
          <w:p w:rsidR="009E1534" w:rsidRPr="00762F09" w:rsidRDefault="009E1534" w:rsidP="009E1534">
            <w:pPr>
              <w:spacing w:before="100" w:beforeAutospacing="1" w:after="100" w:afterAutospacing="1"/>
              <w:ind w:left="-25"/>
              <w:jc w:val="center"/>
              <w:rPr>
                <w:rFonts w:eastAsia="Arial Unicode MS"/>
                <w:b/>
              </w:rPr>
            </w:pPr>
            <w:r w:rsidRPr="00762F09">
              <w:rPr>
                <w:b/>
                <w:sz w:val="22"/>
                <w:szCs w:val="22"/>
              </w:rPr>
              <w:t>FTE</w:t>
            </w:r>
          </w:p>
        </w:tc>
        <w:tc>
          <w:tcPr>
            <w:tcW w:w="897" w:type="dxa"/>
            <w:tcBorders>
              <w:top w:val="single" w:sz="4" w:space="0" w:color="auto"/>
              <w:left w:val="single" w:sz="4" w:space="0" w:color="auto"/>
              <w:bottom w:val="single" w:sz="4" w:space="0" w:color="auto"/>
              <w:right w:val="nil"/>
            </w:tcBorders>
            <w:shd w:val="clear" w:color="auto" w:fill="FFFFFF"/>
            <w:noWrap/>
            <w:tcMar>
              <w:top w:w="25" w:type="dxa"/>
              <w:left w:w="25" w:type="dxa"/>
              <w:bottom w:w="0" w:type="dxa"/>
              <w:right w:w="25" w:type="dxa"/>
            </w:tcMar>
            <w:vAlign w:val="bottom"/>
          </w:tcPr>
          <w:p w:rsidR="009E1534" w:rsidRPr="00762F09" w:rsidRDefault="009E1534" w:rsidP="009E1534">
            <w:pPr>
              <w:spacing w:before="100" w:beforeAutospacing="1" w:after="100" w:afterAutospacing="1"/>
              <w:ind w:left="-25"/>
              <w:jc w:val="center"/>
              <w:rPr>
                <w:rFonts w:eastAsia="Arial Unicode MS"/>
                <w:b/>
              </w:rPr>
            </w:pPr>
            <w:r w:rsidRPr="00762F09">
              <w:rPr>
                <w:b/>
                <w:sz w:val="22"/>
                <w:szCs w:val="22"/>
              </w:rPr>
              <w:t>$000</w:t>
            </w:r>
          </w:p>
        </w:tc>
        <w:tc>
          <w:tcPr>
            <w:tcW w:w="738" w:type="dxa"/>
            <w:tcBorders>
              <w:top w:val="single" w:sz="4" w:space="0" w:color="auto"/>
              <w:left w:val="single" w:sz="4" w:space="0" w:color="auto"/>
              <w:bottom w:val="single" w:sz="4" w:space="0" w:color="auto"/>
              <w:right w:val="single" w:sz="4" w:space="0" w:color="auto"/>
            </w:tcBorders>
            <w:noWrap/>
            <w:tcMar>
              <w:top w:w="25" w:type="dxa"/>
              <w:left w:w="25" w:type="dxa"/>
              <w:bottom w:w="0" w:type="dxa"/>
              <w:right w:w="25" w:type="dxa"/>
            </w:tcMar>
            <w:vAlign w:val="bottom"/>
          </w:tcPr>
          <w:p w:rsidR="009E1534" w:rsidRPr="00762F09" w:rsidRDefault="009E1534" w:rsidP="009E1534">
            <w:pPr>
              <w:spacing w:before="100" w:beforeAutospacing="1" w:after="100" w:afterAutospacing="1"/>
              <w:ind w:left="-25"/>
              <w:jc w:val="center"/>
              <w:rPr>
                <w:rFonts w:eastAsia="Arial Unicode MS"/>
                <w:b/>
              </w:rPr>
            </w:pPr>
            <w:r w:rsidRPr="00762F09">
              <w:rPr>
                <w:b/>
                <w:sz w:val="22"/>
                <w:szCs w:val="22"/>
              </w:rPr>
              <w:t>FTE</w:t>
            </w:r>
          </w:p>
        </w:tc>
        <w:tc>
          <w:tcPr>
            <w:tcW w:w="1069" w:type="dxa"/>
            <w:gridSpan w:val="2"/>
            <w:tcBorders>
              <w:top w:val="single" w:sz="4" w:space="0" w:color="auto"/>
              <w:left w:val="nil"/>
              <w:bottom w:val="single" w:sz="4" w:space="0" w:color="auto"/>
              <w:right w:val="single" w:sz="4" w:space="0" w:color="auto"/>
            </w:tcBorders>
            <w:noWrap/>
            <w:tcMar>
              <w:top w:w="25" w:type="dxa"/>
              <w:left w:w="25" w:type="dxa"/>
              <w:bottom w:w="0" w:type="dxa"/>
              <w:right w:w="25" w:type="dxa"/>
            </w:tcMar>
            <w:vAlign w:val="bottom"/>
          </w:tcPr>
          <w:p w:rsidR="009E1534" w:rsidRPr="00762F09" w:rsidRDefault="009E1534" w:rsidP="009E1534">
            <w:pPr>
              <w:spacing w:before="100" w:beforeAutospacing="1" w:after="100" w:afterAutospacing="1"/>
              <w:ind w:left="-25"/>
              <w:jc w:val="center"/>
              <w:rPr>
                <w:rFonts w:eastAsia="Arial Unicode MS"/>
                <w:b/>
              </w:rPr>
            </w:pPr>
            <w:r w:rsidRPr="00762F09">
              <w:rPr>
                <w:b/>
                <w:sz w:val="22"/>
                <w:szCs w:val="22"/>
              </w:rPr>
              <w:t>$000</w:t>
            </w:r>
          </w:p>
        </w:tc>
        <w:tc>
          <w:tcPr>
            <w:tcW w:w="638" w:type="dxa"/>
            <w:gridSpan w:val="2"/>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9E1534" w:rsidRPr="00762F09" w:rsidRDefault="009E1534" w:rsidP="009E1534">
            <w:pPr>
              <w:spacing w:before="100" w:beforeAutospacing="1" w:after="100" w:afterAutospacing="1"/>
              <w:ind w:left="-25"/>
              <w:jc w:val="center"/>
              <w:rPr>
                <w:rFonts w:eastAsia="Arial Unicode MS"/>
                <w:b/>
              </w:rPr>
            </w:pPr>
            <w:r w:rsidRPr="00762F09">
              <w:rPr>
                <w:b/>
                <w:sz w:val="22"/>
                <w:szCs w:val="22"/>
              </w:rPr>
              <w:t>FTE</w:t>
            </w:r>
          </w:p>
        </w:tc>
        <w:tc>
          <w:tcPr>
            <w:tcW w:w="988"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9E1534" w:rsidRPr="00762F09" w:rsidRDefault="009E1534" w:rsidP="009E1534">
            <w:pPr>
              <w:spacing w:before="100" w:beforeAutospacing="1" w:after="100" w:afterAutospacing="1"/>
              <w:ind w:left="-25"/>
              <w:jc w:val="center"/>
              <w:rPr>
                <w:rFonts w:eastAsia="Arial Unicode MS"/>
                <w:b/>
              </w:rPr>
            </w:pPr>
            <w:r w:rsidRPr="00762F09">
              <w:rPr>
                <w:b/>
                <w:sz w:val="22"/>
                <w:szCs w:val="22"/>
              </w:rPr>
              <w:t>$000</w:t>
            </w:r>
          </w:p>
        </w:tc>
        <w:tc>
          <w:tcPr>
            <w:tcW w:w="624" w:type="dxa"/>
            <w:gridSpan w:val="2"/>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9E1534" w:rsidRPr="00762F09" w:rsidRDefault="009E1534" w:rsidP="009E1534">
            <w:pPr>
              <w:spacing w:before="100" w:beforeAutospacing="1" w:after="100" w:afterAutospacing="1"/>
              <w:ind w:left="-25"/>
              <w:jc w:val="center"/>
              <w:rPr>
                <w:rFonts w:eastAsia="Arial Unicode MS"/>
                <w:b/>
              </w:rPr>
            </w:pPr>
            <w:r w:rsidRPr="00762F09">
              <w:rPr>
                <w:b/>
                <w:sz w:val="22"/>
                <w:szCs w:val="22"/>
              </w:rPr>
              <w:t>FTE</w:t>
            </w:r>
          </w:p>
        </w:tc>
        <w:tc>
          <w:tcPr>
            <w:tcW w:w="1352"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9E1534" w:rsidRPr="00762F09" w:rsidRDefault="009E1534" w:rsidP="009E1534">
            <w:pPr>
              <w:spacing w:before="100" w:beforeAutospacing="1" w:after="100" w:afterAutospacing="1"/>
              <w:ind w:left="-25"/>
              <w:jc w:val="center"/>
              <w:rPr>
                <w:rFonts w:eastAsia="Arial Unicode MS"/>
                <w:b/>
              </w:rPr>
            </w:pPr>
            <w:r w:rsidRPr="00762F09">
              <w:rPr>
                <w:b/>
                <w:sz w:val="22"/>
                <w:szCs w:val="22"/>
              </w:rPr>
              <w:t>$000</w:t>
            </w:r>
          </w:p>
        </w:tc>
        <w:tc>
          <w:tcPr>
            <w:tcW w:w="719"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9E1534" w:rsidRPr="00762F09" w:rsidRDefault="009E1534" w:rsidP="009E1534">
            <w:pPr>
              <w:spacing w:before="100" w:beforeAutospacing="1" w:after="100" w:afterAutospacing="1"/>
              <w:ind w:left="-25"/>
              <w:jc w:val="center"/>
              <w:rPr>
                <w:rFonts w:eastAsia="Arial Unicode MS"/>
                <w:b/>
              </w:rPr>
            </w:pPr>
            <w:r w:rsidRPr="00762F09">
              <w:rPr>
                <w:b/>
                <w:sz w:val="22"/>
                <w:szCs w:val="22"/>
              </w:rPr>
              <w:t>FTE</w:t>
            </w:r>
          </w:p>
        </w:tc>
        <w:tc>
          <w:tcPr>
            <w:tcW w:w="1635"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9E1534" w:rsidRPr="00762F09" w:rsidRDefault="009E1534" w:rsidP="009E1534">
            <w:pPr>
              <w:spacing w:before="100" w:beforeAutospacing="1" w:after="100" w:afterAutospacing="1"/>
              <w:ind w:left="-25"/>
              <w:jc w:val="center"/>
              <w:rPr>
                <w:rFonts w:eastAsia="Arial Unicode MS"/>
                <w:b/>
              </w:rPr>
            </w:pPr>
            <w:r w:rsidRPr="00762F09">
              <w:rPr>
                <w:b/>
                <w:sz w:val="22"/>
                <w:szCs w:val="22"/>
              </w:rPr>
              <w:t>$000</w:t>
            </w:r>
          </w:p>
        </w:tc>
      </w:tr>
      <w:tr w:rsidR="009E1534" w:rsidRPr="00762F09" w:rsidTr="00CD60EF">
        <w:trPr>
          <w:cantSplit/>
          <w:trHeight w:val="334"/>
        </w:trPr>
        <w:tc>
          <w:tcPr>
            <w:tcW w:w="1952" w:type="dxa"/>
            <w:vMerge/>
            <w:tcBorders>
              <w:top w:val="single" w:sz="4" w:space="0" w:color="auto"/>
              <w:left w:val="single" w:sz="4" w:space="0" w:color="auto"/>
              <w:bottom w:val="single" w:sz="4" w:space="0" w:color="auto"/>
              <w:right w:val="nil"/>
            </w:tcBorders>
            <w:vAlign w:val="center"/>
          </w:tcPr>
          <w:p w:rsidR="009E1534" w:rsidRPr="00762F09" w:rsidRDefault="009E1534" w:rsidP="009E1534">
            <w:pPr>
              <w:spacing w:before="100" w:beforeAutospacing="1" w:after="100" w:afterAutospacing="1"/>
              <w:ind w:left="-25"/>
              <w:rPr>
                <w:rFonts w:eastAsia="Arial Unicode MS"/>
                <w:b/>
              </w:rPr>
            </w:pPr>
          </w:p>
        </w:tc>
        <w:tc>
          <w:tcPr>
            <w:tcW w:w="2907" w:type="dxa"/>
            <w:vMerge/>
            <w:tcBorders>
              <w:top w:val="single" w:sz="4" w:space="0" w:color="auto"/>
              <w:left w:val="single" w:sz="4" w:space="0" w:color="auto"/>
              <w:bottom w:val="single" w:sz="4" w:space="0" w:color="auto"/>
              <w:right w:val="single" w:sz="4" w:space="0" w:color="auto"/>
            </w:tcBorders>
            <w:vAlign w:val="center"/>
          </w:tcPr>
          <w:p w:rsidR="009E1534" w:rsidRPr="00762F09" w:rsidRDefault="009E1534" w:rsidP="009E1534">
            <w:pPr>
              <w:spacing w:before="100" w:beforeAutospacing="1" w:after="100" w:afterAutospacing="1"/>
              <w:ind w:left="-25"/>
              <w:rPr>
                <w:rFonts w:eastAsia="Arial Unicode MS"/>
                <w:b/>
              </w:rPr>
            </w:pPr>
          </w:p>
        </w:tc>
        <w:tc>
          <w:tcPr>
            <w:tcW w:w="1079" w:type="dxa"/>
            <w:tcBorders>
              <w:top w:val="single" w:sz="4" w:space="0" w:color="auto"/>
              <w:left w:val="nil"/>
              <w:bottom w:val="single" w:sz="4" w:space="0" w:color="auto"/>
              <w:right w:val="nil"/>
            </w:tcBorders>
            <w:shd w:val="clear" w:color="auto" w:fill="FFFFFF"/>
            <w:noWrap/>
            <w:tcMar>
              <w:top w:w="25" w:type="dxa"/>
              <w:left w:w="25" w:type="dxa"/>
              <w:bottom w:w="0" w:type="dxa"/>
              <w:right w:w="25" w:type="dxa"/>
            </w:tcMar>
            <w:vAlign w:val="bottom"/>
          </w:tcPr>
          <w:p w:rsidR="009E1534" w:rsidRPr="00762F09" w:rsidRDefault="009E1534" w:rsidP="001F7F5E">
            <w:pPr>
              <w:spacing w:before="100" w:beforeAutospacing="1" w:after="100" w:afterAutospacing="1"/>
              <w:ind w:left="-25"/>
              <w:jc w:val="center"/>
              <w:rPr>
                <w:rFonts w:eastAsia="Arial Unicode MS"/>
                <w:b/>
              </w:rPr>
            </w:pPr>
            <w:r>
              <w:rPr>
                <w:rFonts w:eastAsia="Arial Unicode MS"/>
                <w:b/>
                <w:sz w:val="22"/>
                <w:szCs w:val="22"/>
              </w:rPr>
              <w:t>2,9</w:t>
            </w:r>
            <w:r w:rsidR="001F7F5E">
              <w:rPr>
                <w:rFonts w:eastAsia="Arial Unicode MS"/>
                <w:b/>
                <w:sz w:val="22"/>
                <w:szCs w:val="22"/>
              </w:rPr>
              <w:t>3</w:t>
            </w:r>
            <w:r>
              <w:rPr>
                <w:rFonts w:eastAsia="Arial Unicode MS"/>
                <w:b/>
                <w:sz w:val="22"/>
                <w:szCs w:val="22"/>
              </w:rPr>
              <w:t>4</w:t>
            </w:r>
          </w:p>
        </w:tc>
        <w:tc>
          <w:tcPr>
            <w:tcW w:w="897" w:type="dxa"/>
            <w:tcBorders>
              <w:top w:val="single" w:sz="4" w:space="0" w:color="auto"/>
              <w:left w:val="single" w:sz="4" w:space="0" w:color="auto"/>
              <w:bottom w:val="single" w:sz="4" w:space="0" w:color="auto"/>
              <w:right w:val="single" w:sz="4" w:space="0" w:color="auto"/>
            </w:tcBorders>
            <w:shd w:val="clear" w:color="auto" w:fill="FFFFFF"/>
            <w:noWrap/>
            <w:tcMar>
              <w:top w:w="25" w:type="dxa"/>
              <w:left w:w="25" w:type="dxa"/>
              <w:bottom w:w="0" w:type="dxa"/>
              <w:right w:w="25" w:type="dxa"/>
            </w:tcMar>
            <w:vAlign w:val="bottom"/>
          </w:tcPr>
          <w:p w:rsidR="009E1534" w:rsidRPr="00762F09" w:rsidRDefault="009E1534" w:rsidP="001F7F5E">
            <w:pPr>
              <w:spacing w:before="100" w:beforeAutospacing="1" w:after="100" w:afterAutospacing="1"/>
              <w:ind w:left="-25"/>
              <w:jc w:val="center"/>
              <w:rPr>
                <w:rFonts w:eastAsia="Arial Unicode MS"/>
                <w:b/>
              </w:rPr>
            </w:pPr>
            <w:r>
              <w:rPr>
                <w:rFonts w:eastAsia="Arial Unicode MS"/>
                <w:b/>
                <w:sz w:val="22"/>
                <w:szCs w:val="22"/>
              </w:rPr>
              <w:t>$68</w:t>
            </w:r>
            <w:r w:rsidR="001F7F5E">
              <w:rPr>
                <w:rFonts w:eastAsia="Arial Unicode MS"/>
                <w:b/>
                <w:sz w:val="22"/>
                <w:szCs w:val="22"/>
              </w:rPr>
              <w:t>3</w:t>
            </w:r>
            <w:r>
              <w:rPr>
                <w:rFonts w:eastAsia="Arial Unicode MS"/>
                <w:b/>
                <w:sz w:val="22"/>
                <w:szCs w:val="22"/>
              </w:rPr>
              <w:t>,</w:t>
            </w:r>
            <w:r w:rsidR="001F7F5E">
              <w:rPr>
                <w:rFonts w:eastAsia="Arial Unicode MS"/>
                <w:b/>
                <w:sz w:val="22"/>
                <w:szCs w:val="22"/>
              </w:rPr>
              <w:t>578</w:t>
            </w:r>
          </w:p>
        </w:tc>
        <w:tc>
          <w:tcPr>
            <w:tcW w:w="738" w:type="dxa"/>
            <w:tcBorders>
              <w:top w:val="single" w:sz="4" w:space="0" w:color="auto"/>
              <w:left w:val="nil"/>
              <w:bottom w:val="single" w:sz="4" w:space="0" w:color="auto"/>
              <w:right w:val="single" w:sz="4" w:space="0" w:color="auto"/>
            </w:tcBorders>
            <w:noWrap/>
            <w:tcMar>
              <w:top w:w="25" w:type="dxa"/>
              <w:left w:w="25" w:type="dxa"/>
              <w:bottom w:w="0" w:type="dxa"/>
              <w:right w:w="25" w:type="dxa"/>
            </w:tcMar>
            <w:vAlign w:val="bottom"/>
          </w:tcPr>
          <w:p w:rsidR="009E1534" w:rsidRPr="00CF3FC3" w:rsidRDefault="009E1534" w:rsidP="001F7F5E">
            <w:pPr>
              <w:spacing w:before="100" w:beforeAutospacing="1" w:after="100" w:afterAutospacing="1"/>
              <w:ind w:left="-25"/>
              <w:jc w:val="center"/>
              <w:rPr>
                <w:rFonts w:eastAsia="Arial Unicode MS"/>
                <w:b/>
              </w:rPr>
            </w:pPr>
            <w:r>
              <w:rPr>
                <w:rFonts w:eastAsia="Arial Unicode MS"/>
                <w:b/>
                <w:sz w:val="22"/>
                <w:szCs w:val="22"/>
              </w:rPr>
              <w:t>2,9</w:t>
            </w:r>
            <w:r w:rsidR="001F7F5E">
              <w:rPr>
                <w:rFonts w:eastAsia="Arial Unicode MS"/>
                <w:b/>
                <w:sz w:val="22"/>
                <w:szCs w:val="22"/>
              </w:rPr>
              <w:t>3</w:t>
            </w:r>
            <w:r>
              <w:rPr>
                <w:rFonts w:eastAsia="Arial Unicode MS"/>
                <w:b/>
                <w:sz w:val="22"/>
                <w:szCs w:val="22"/>
              </w:rPr>
              <w:t>4</w:t>
            </w:r>
          </w:p>
        </w:tc>
        <w:tc>
          <w:tcPr>
            <w:tcW w:w="1069" w:type="dxa"/>
            <w:gridSpan w:val="2"/>
            <w:tcBorders>
              <w:top w:val="single" w:sz="4" w:space="0" w:color="auto"/>
              <w:left w:val="nil"/>
              <w:bottom w:val="single" w:sz="4" w:space="0" w:color="auto"/>
              <w:right w:val="single" w:sz="4" w:space="0" w:color="auto"/>
            </w:tcBorders>
            <w:noWrap/>
            <w:tcMar>
              <w:top w:w="25" w:type="dxa"/>
              <w:left w:w="25" w:type="dxa"/>
              <w:bottom w:w="0" w:type="dxa"/>
              <w:right w:w="25" w:type="dxa"/>
            </w:tcMar>
            <w:vAlign w:val="bottom"/>
          </w:tcPr>
          <w:p w:rsidR="009E1534" w:rsidRPr="00CF3FC3" w:rsidRDefault="009E1534" w:rsidP="001F7F5E">
            <w:pPr>
              <w:spacing w:before="100" w:beforeAutospacing="1" w:after="100" w:afterAutospacing="1"/>
              <w:ind w:left="-25"/>
              <w:jc w:val="center"/>
              <w:rPr>
                <w:rFonts w:eastAsia="Arial Unicode MS"/>
                <w:b/>
              </w:rPr>
            </w:pPr>
            <w:r w:rsidRPr="00CF3FC3">
              <w:rPr>
                <w:rFonts w:eastAsia="Arial Unicode MS"/>
                <w:b/>
                <w:sz w:val="22"/>
                <w:szCs w:val="22"/>
              </w:rPr>
              <w:t>$</w:t>
            </w:r>
            <w:r>
              <w:rPr>
                <w:rFonts w:eastAsia="Arial Unicode MS"/>
                <w:b/>
                <w:sz w:val="22"/>
                <w:szCs w:val="22"/>
              </w:rPr>
              <w:t>68</w:t>
            </w:r>
            <w:r w:rsidR="001F7F5E">
              <w:rPr>
                <w:rFonts w:eastAsia="Arial Unicode MS"/>
                <w:b/>
                <w:sz w:val="22"/>
                <w:szCs w:val="22"/>
              </w:rPr>
              <w:t>3</w:t>
            </w:r>
            <w:r>
              <w:rPr>
                <w:rFonts w:eastAsia="Arial Unicode MS"/>
                <w:b/>
                <w:sz w:val="22"/>
                <w:szCs w:val="22"/>
              </w:rPr>
              <w:t>,</w:t>
            </w:r>
            <w:r w:rsidR="001F7F5E">
              <w:rPr>
                <w:rFonts w:eastAsia="Arial Unicode MS"/>
                <w:b/>
                <w:sz w:val="22"/>
                <w:szCs w:val="22"/>
              </w:rPr>
              <w:t>578</w:t>
            </w:r>
          </w:p>
        </w:tc>
        <w:tc>
          <w:tcPr>
            <w:tcW w:w="638" w:type="dxa"/>
            <w:gridSpan w:val="2"/>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9E1534" w:rsidRPr="00762F09" w:rsidRDefault="00635503" w:rsidP="004C5E97">
            <w:pPr>
              <w:spacing w:before="100" w:beforeAutospacing="1" w:after="100" w:afterAutospacing="1"/>
              <w:ind w:left="-25"/>
              <w:jc w:val="center"/>
              <w:rPr>
                <w:rFonts w:eastAsia="Arial Unicode MS"/>
                <w:b/>
              </w:rPr>
            </w:pPr>
            <w:r>
              <w:rPr>
                <w:rFonts w:eastAsia="Arial Unicode MS"/>
                <w:b/>
                <w:sz w:val="22"/>
                <w:szCs w:val="22"/>
              </w:rPr>
              <w:t>2</w:t>
            </w:r>
            <w:r w:rsidR="001F7F5E">
              <w:rPr>
                <w:rFonts w:eastAsia="Arial Unicode MS"/>
                <w:b/>
                <w:sz w:val="22"/>
                <w:szCs w:val="22"/>
              </w:rPr>
              <w:t>,</w:t>
            </w:r>
            <w:r>
              <w:rPr>
                <w:rFonts w:eastAsia="Arial Unicode MS"/>
                <w:b/>
                <w:sz w:val="22"/>
                <w:szCs w:val="22"/>
              </w:rPr>
              <w:t>934</w:t>
            </w:r>
          </w:p>
        </w:tc>
        <w:tc>
          <w:tcPr>
            <w:tcW w:w="988"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9E1534" w:rsidRPr="00762F09" w:rsidRDefault="009E1534" w:rsidP="001D6D8B">
            <w:pPr>
              <w:spacing w:before="100" w:beforeAutospacing="1" w:after="100" w:afterAutospacing="1"/>
              <w:ind w:left="-25"/>
              <w:jc w:val="center"/>
              <w:rPr>
                <w:rFonts w:eastAsia="Arial Unicode MS"/>
                <w:b/>
              </w:rPr>
            </w:pPr>
            <w:r w:rsidRPr="00762F09">
              <w:rPr>
                <w:rFonts w:eastAsia="Arial Unicode MS"/>
                <w:b/>
                <w:sz w:val="22"/>
                <w:szCs w:val="22"/>
              </w:rPr>
              <w:t>$</w:t>
            </w:r>
            <w:r w:rsidR="001D6D8B">
              <w:rPr>
                <w:rFonts w:eastAsia="Arial Unicode MS"/>
                <w:b/>
                <w:sz w:val="22"/>
                <w:szCs w:val="22"/>
              </w:rPr>
              <w:t>683,578</w:t>
            </w:r>
          </w:p>
        </w:tc>
        <w:tc>
          <w:tcPr>
            <w:tcW w:w="624" w:type="dxa"/>
            <w:gridSpan w:val="2"/>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9E1534" w:rsidRPr="00CF3FC3" w:rsidRDefault="00635503" w:rsidP="00DB0403">
            <w:pPr>
              <w:spacing w:before="100" w:beforeAutospacing="1" w:after="100" w:afterAutospacing="1"/>
              <w:ind w:left="-25"/>
              <w:jc w:val="center"/>
              <w:rPr>
                <w:rFonts w:eastAsia="Arial Unicode MS"/>
                <w:b/>
              </w:rPr>
            </w:pPr>
            <w:r>
              <w:rPr>
                <w:rFonts w:eastAsia="Arial Unicode MS"/>
                <w:b/>
              </w:rPr>
              <w:t>16</w:t>
            </w:r>
            <w:r w:rsidR="00DB0403">
              <w:rPr>
                <w:rFonts w:eastAsia="Arial Unicode MS"/>
                <w:b/>
              </w:rPr>
              <w:t>5</w:t>
            </w:r>
          </w:p>
        </w:tc>
        <w:tc>
          <w:tcPr>
            <w:tcW w:w="1352"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9E1534" w:rsidRPr="00CF3FC3" w:rsidRDefault="009E1534" w:rsidP="00DB0403">
            <w:pPr>
              <w:spacing w:before="100" w:beforeAutospacing="1" w:after="100" w:afterAutospacing="1"/>
              <w:ind w:left="-25"/>
              <w:jc w:val="center"/>
              <w:rPr>
                <w:rFonts w:eastAsia="Arial Unicode MS"/>
                <w:b/>
              </w:rPr>
            </w:pPr>
            <w:r>
              <w:rPr>
                <w:rFonts w:eastAsia="Arial Unicode MS"/>
                <w:b/>
                <w:sz w:val="22"/>
                <w:szCs w:val="22"/>
              </w:rPr>
              <w:t>$</w:t>
            </w:r>
            <w:r w:rsidR="00DB0403">
              <w:rPr>
                <w:rFonts w:eastAsia="Arial Unicode MS"/>
                <w:b/>
                <w:sz w:val="22"/>
                <w:szCs w:val="22"/>
              </w:rPr>
              <w:t>47,512</w:t>
            </w:r>
          </w:p>
        </w:tc>
        <w:tc>
          <w:tcPr>
            <w:tcW w:w="719" w:type="dxa"/>
            <w:tcBorders>
              <w:top w:val="single" w:sz="4" w:space="0" w:color="auto"/>
              <w:left w:val="nil"/>
              <w:bottom w:val="single" w:sz="4" w:space="0" w:color="auto"/>
              <w:right w:val="single" w:sz="8" w:space="0" w:color="auto"/>
            </w:tcBorders>
            <w:shd w:val="clear" w:color="auto" w:fill="FFFFFF"/>
            <w:noWrap/>
            <w:tcMar>
              <w:top w:w="25" w:type="dxa"/>
              <w:left w:w="25" w:type="dxa"/>
              <w:bottom w:w="0" w:type="dxa"/>
              <w:right w:w="25" w:type="dxa"/>
            </w:tcMar>
            <w:vAlign w:val="bottom"/>
          </w:tcPr>
          <w:p w:rsidR="009E1534" w:rsidRPr="00CF3FC3" w:rsidRDefault="00C87103" w:rsidP="00635503">
            <w:pPr>
              <w:spacing w:before="100" w:beforeAutospacing="1" w:after="100" w:afterAutospacing="1"/>
              <w:ind w:left="-25"/>
              <w:jc w:val="center"/>
              <w:rPr>
                <w:rFonts w:eastAsia="Arial Unicode MS"/>
                <w:b/>
              </w:rPr>
            </w:pPr>
            <w:r>
              <w:rPr>
                <w:rFonts w:eastAsia="Arial Unicode MS"/>
                <w:b/>
              </w:rPr>
              <w:t>3,</w:t>
            </w:r>
            <w:r w:rsidR="00635503">
              <w:rPr>
                <w:rFonts w:eastAsia="Arial Unicode MS"/>
                <w:b/>
              </w:rPr>
              <w:t>099</w:t>
            </w:r>
          </w:p>
        </w:tc>
        <w:tc>
          <w:tcPr>
            <w:tcW w:w="1635"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9E1534" w:rsidRPr="00CF3FC3" w:rsidRDefault="009E1534" w:rsidP="00635503">
            <w:pPr>
              <w:spacing w:before="100" w:beforeAutospacing="1" w:after="100" w:afterAutospacing="1"/>
              <w:ind w:left="-25"/>
              <w:jc w:val="center"/>
              <w:rPr>
                <w:rFonts w:eastAsia="Arial Unicode MS"/>
                <w:b/>
              </w:rPr>
            </w:pPr>
            <w:r>
              <w:rPr>
                <w:rFonts w:eastAsia="Arial Unicode MS"/>
                <w:b/>
                <w:sz w:val="22"/>
                <w:szCs w:val="22"/>
              </w:rPr>
              <w:t>$</w:t>
            </w:r>
            <w:r w:rsidR="00635503">
              <w:rPr>
                <w:rFonts w:eastAsia="Arial Unicode MS"/>
                <w:b/>
                <w:sz w:val="22"/>
                <w:szCs w:val="22"/>
              </w:rPr>
              <w:t>731,090</w:t>
            </w:r>
          </w:p>
        </w:tc>
      </w:tr>
      <w:tr w:rsidR="009E1534" w:rsidRPr="00762F09" w:rsidTr="00CD60EF">
        <w:trPr>
          <w:cantSplit/>
          <w:trHeight w:val="200"/>
        </w:trPr>
        <w:tc>
          <w:tcPr>
            <w:tcW w:w="1952" w:type="dxa"/>
            <w:tcBorders>
              <w:top w:val="single" w:sz="4" w:space="0" w:color="auto"/>
              <w:left w:val="single" w:sz="4" w:space="0" w:color="auto"/>
              <w:bottom w:val="single" w:sz="4" w:space="0" w:color="auto"/>
              <w:right w:val="nil"/>
            </w:tcBorders>
            <w:shd w:val="clear" w:color="auto" w:fill="FFFFFF"/>
            <w:tcMar>
              <w:top w:w="25" w:type="dxa"/>
              <w:left w:w="25" w:type="dxa"/>
              <w:bottom w:w="0" w:type="dxa"/>
              <w:right w:w="25" w:type="dxa"/>
            </w:tcMar>
            <w:vAlign w:val="center"/>
          </w:tcPr>
          <w:p w:rsidR="009E1534" w:rsidRPr="00762F09" w:rsidRDefault="009E1534" w:rsidP="009E1534">
            <w:pPr>
              <w:spacing w:before="100" w:beforeAutospacing="1" w:after="100" w:afterAutospacing="1"/>
              <w:jc w:val="center"/>
              <w:rPr>
                <w:sz w:val="22"/>
                <w:szCs w:val="22"/>
              </w:rPr>
            </w:pPr>
            <w:r>
              <w:rPr>
                <w:sz w:val="22"/>
                <w:szCs w:val="22"/>
              </w:rPr>
              <w:t>OUTCOME  Measure</w:t>
            </w:r>
          </w:p>
        </w:tc>
        <w:tc>
          <w:tcPr>
            <w:tcW w:w="2907" w:type="dxa"/>
            <w:tcBorders>
              <w:top w:val="single" w:sz="4" w:space="0" w:color="auto"/>
              <w:left w:val="single" w:sz="4" w:space="0" w:color="auto"/>
              <w:bottom w:val="single" w:sz="4" w:space="0" w:color="auto"/>
              <w:right w:val="nil"/>
            </w:tcBorders>
            <w:shd w:val="clear" w:color="auto" w:fill="FFFFFF"/>
            <w:tcMar>
              <w:top w:w="25" w:type="dxa"/>
              <w:left w:w="25" w:type="dxa"/>
              <w:bottom w:w="0" w:type="dxa"/>
              <w:right w:w="25" w:type="dxa"/>
            </w:tcMar>
            <w:vAlign w:val="center"/>
          </w:tcPr>
          <w:p w:rsidR="009E1534" w:rsidRPr="00762F09" w:rsidRDefault="009E1534" w:rsidP="009E1534">
            <w:pPr>
              <w:spacing w:before="100" w:beforeAutospacing="1" w:after="100" w:afterAutospacing="1"/>
              <w:rPr>
                <w:rFonts w:eastAsia="Arial Unicode MS"/>
                <w:sz w:val="22"/>
                <w:szCs w:val="22"/>
              </w:rPr>
            </w:pPr>
            <w:r>
              <w:rPr>
                <w:rFonts w:eastAsia="Arial Unicode MS"/>
                <w:sz w:val="22"/>
                <w:szCs w:val="22"/>
              </w:rPr>
              <w:t xml:space="preserve">Reduce the risk to public safety caused by </w:t>
            </w:r>
            <w:r w:rsidR="00BA0C80">
              <w:rPr>
                <w:rFonts w:eastAsia="Arial Unicode MS"/>
                <w:sz w:val="22"/>
                <w:szCs w:val="22"/>
              </w:rPr>
              <w:t xml:space="preserve">illegal </w:t>
            </w:r>
            <w:r>
              <w:rPr>
                <w:rFonts w:eastAsia="Arial Unicode MS"/>
                <w:sz w:val="22"/>
                <w:szCs w:val="22"/>
              </w:rPr>
              <w:t>firearms trafficking</w:t>
            </w:r>
          </w:p>
        </w:tc>
        <w:tc>
          <w:tcPr>
            <w:tcW w:w="1976" w:type="dxa"/>
            <w:gridSpan w:val="2"/>
            <w:tcBorders>
              <w:top w:val="single" w:sz="4" w:space="0" w:color="auto"/>
              <w:left w:val="single" w:sz="4" w:space="0" w:color="auto"/>
              <w:bottom w:val="single" w:sz="4" w:space="0" w:color="auto"/>
              <w:right w:val="single" w:sz="4" w:space="0" w:color="000000"/>
            </w:tcBorders>
            <w:shd w:val="clear" w:color="auto" w:fill="FFFFFF"/>
            <w:noWrap/>
            <w:tcMar>
              <w:top w:w="25" w:type="dxa"/>
              <w:left w:w="25" w:type="dxa"/>
              <w:bottom w:w="0" w:type="dxa"/>
              <w:right w:w="25" w:type="dxa"/>
            </w:tcMar>
            <w:vAlign w:val="bottom"/>
          </w:tcPr>
          <w:p w:rsidR="009E1534" w:rsidRPr="00762F09" w:rsidRDefault="009E1534" w:rsidP="009E1534">
            <w:pPr>
              <w:spacing w:before="100" w:beforeAutospacing="1" w:after="100" w:afterAutospacing="1"/>
              <w:jc w:val="center"/>
            </w:pPr>
            <w:r>
              <w:t>N/A</w:t>
            </w:r>
          </w:p>
        </w:tc>
        <w:tc>
          <w:tcPr>
            <w:tcW w:w="1807" w:type="dxa"/>
            <w:gridSpan w:val="3"/>
            <w:tcBorders>
              <w:top w:val="single" w:sz="4" w:space="0" w:color="auto"/>
              <w:left w:val="nil"/>
              <w:bottom w:val="single" w:sz="4" w:space="0" w:color="auto"/>
              <w:right w:val="single" w:sz="4" w:space="0" w:color="000000"/>
            </w:tcBorders>
            <w:noWrap/>
            <w:tcMar>
              <w:top w:w="25" w:type="dxa"/>
              <w:left w:w="25" w:type="dxa"/>
              <w:bottom w:w="0" w:type="dxa"/>
              <w:right w:w="25" w:type="dxa"/>
            </w:tcMar>
            <w:vAlign w:val="bottom"/>
          </w:tcPr>
          <w:p w:rsidR="009E1534" w:rsidRPr="00CF3FC3" w:rsidRDefault="001F7F5E" w:rsidP="00FB4170">
            <w:pPr>
              <w:spacing w:before="100" w:beforeAutospacing="1" w:after="100" w:afterAutospacing="1"/>
              <w:jc w:val="center"/>
            </w:pPr>
            <w:r>
              <w:t>100.4</w:t>
            </w:r>
          </w:p>
        </w:tc>
        <w:tc>
          <w:tcPr>
            <w:tcW w:w="1626" w:type="dxa"/>
            <w:gridSpan w:val="3"/>
            <w:tcBorders>
              <w:top w:val="single" w:sz="4" w:space="0" w:color="auto"/>
              <w:left w:val="nil"/>
              <w:bottom w:val="single" w:sz="4" w:space="0" w:color="auto"/>
              <w:right w:val="single" w:sz="4" w:space="0" w:color="000000"/>
            </w:tcBorders>
            <w:shd w:val="clear" w:color="auto" w:fill="FFFFFF"/>
            <w:noWrap/>
            <w:tcMar>
              <w:top w:w="25" w:type="dxa"/>
              <w:left w:w="25" w:type="dxa"/>
              <w:bottom w:w="0" w:type="dxa"/>
              <w:right w:w="25" w:type="dxa"/>
            </w:tcMar>
            <w:vAlign w:val="bottom"/>
          </w:tcPr>
          <w:p w:rsidR="009E1534" w:rsidRDefault="00120D00" w:rsidP="00FB4170">
            <w:pPr>
              <w:spacing w:before="100" w:beforeAutospacing="1" w:after="100" w:afterAutospacing="1"/>
              <w:jc w:val="center"/>
              <w:rPr>
                <w:rFonts w:eastAsia="Arial Unicode MS"/>
              </w:rPr>
            </w:pPr>
            <w:r>
              <w:rPr>
                <w:rFonts w:eastAsia="Arial Unicode MS"/>
              </w:rPr>
              <w:t>98</w:t>
            </w:r>
          </w:p>
        </w:tc>
        <w:tc>
          <w:tcPr>
            <w:tcW w:w="1976" w:type="dxa"/>
            <w:gridSpan w:val="3"/>
            <w:tcBorders>
              <w:top w:val="single" w:sz="4" w:space="0" w:color="auto"/>
              <w:left w:val="nil"/>
              <w:bottom w:val="single" w:sz="4" w:space="0" w:color="auto"/>
              <w:right w:val="single" w:sz="4" w:space="0" w:color="000000"/>
            </w:tcBorders>
            <w:tcMar>
              <w:top w:w="25" w:type="dxa"/>
              <w:left w:w="25" w:type="dxa"/>
              <w:bottom w:w="0" w:type="dxa"/>
              <w:right w:w="25" w:type="dxa"/>
            </w:tcMar>
            <w:vAlign w:val="bottom"/>
          </w:tcPr>
          <w:p w:rsidR="009E1534" w:rsidRPr="00CF3FC3" w:rsidDel="001E04C1" w:rsidRDefault="00A01139" w:rsidP="009E1534">
            <w:pPr>
              <w:spacing w:before="100" w:beforeAutospacing="1" w:after="100" w:afterAutospacing="1"/>
              <w:jc w:val="center"/>
              <w:rPr>
                <w:rFonts w:eastAsia="Arial Unicode MS"/>
              </w:rPr>
            </w:pPr>
            <w:r>
              <w:rPr>
                <w:rFonts w:eastAsia="Arial Unicode MS"/>
              </w:rPr>
              <w:t>-5</w:t>
            </w:r>
          </w:p>
        </w:tc>
        <w:tc>
          <w:tcPr>
            <w:tcW w:w="2354" w:type="dxa"/>
            <w:gridSpan w:val="2"/>
            <w:tcBorders>
              <w:top w:val="single" w:sz="4" w:space="0" w:color="auto"/>
              <w:left w:val="nil"/>
              <w:bottom w:val="single" w:sz="4" w:space="0" w:color="auto"/>
              <w:right w:val="single" w:sz="4" w:space="0" w:color="auto"/>
            </w:tcBorders>
            <w:tcMar>
              <w:top w:w="25" w:type="dxa"/>
              <w:left w:w="25" w:type="dxa"/>
              <w:bottom w:w="0" w:type="dxa"/>
              <w:right w:w="25" w:type="dxa"/>
            </w:tcMar>
            <w:vAlign w:val="bottom"/>
          </w:tcPr>
          <w:p w:rsidR="009E1534" w:rsidRPr="00CF3FC3" w:rsidDel="001E04C1" w:rsidRDefault="00FB4170" w:rsidP="00A01139">
            <w:pPr>
              <w:spacing w:before="100" w:beforeAutospacing="1" w:after="100" w:afterAutospacing="1"/>
              <w:jc w:val="center"/>
              <w:rPr>
                <w:rFonts w:eastAsia="Arial Unicode MS"/>
              </w:rPr>
            </w:pPr>
            <w:r>
              <w:rPr>
                <w:rFonts w:eastAsia="Arial Unicode MS"/>
              </w:rPr>
              <w:t>9</w:t>
            </w:r>
            <w:r w:rsidR="00A01139">
              <w:rPr>
                <w:rFonts w:eastAsia="Arial Unicode MS"/>
              </w:rPr>
              <w:t>3</w:t>
            </w:r>
          </w:p>
        </w:tc>
      </w:tr>
      <w:tr w:rsidR="009E1534" w:rsidRPr="00762F09" w:rsidTr="00CD60EF">
        <w:trPr>
          <w:cantSplit/>
          <w:trHeight w:val="200"/>
        </w:trPr>
        <w:tc>
          <w:tcPr>
            <w:tcW w:w="1952" w:type="dxa"/>
            <w:tcBorders>
              <w:top w:val="single" w:sz="4" w:space="0" w:color="auto"/>
              <w:left w:val="single" w:sz="4" w:space="0" w:color="auto"/>
              <w:bottom w:val="single" w:sz="4" w:space="0" w:color="auto"/>
              <w:right w:val="nil"/>
            </w:tcBorders>
            <w:shd w:val="clear" w:color="auto" w:fill="FFFFFF"/>
            <w:tcMar>
              <w:top w:w="25" w:type="dxa"/>
              <w:left w:w="25" w:type="dxa"/>
              <w:bottom w:w="0" w:type="dxa"/>
              <w:right w:w="25" w:type="dxa"/>
            </w:tcMar>
            <w:vAlign w:val="center"/>
          </w:tcPr>
          <w:p w:rsidR="009E1534" w:rsidRPr="00762F09" w:rsidRDefault="009E1534" w:rsidP="009E1534">
            <w:pPr>
              <w:spacing w:before="100" w:beforeAutospacing="1" w:after="100" w:afterAutospacing="1"/>
              <w:jc w:val="center"/>
              <w:rPr>
                <w:sz w:val="22"/>
                <w:szCs w:val="22"/>
              </w:rPr>
            </w:pPr>
            <w:r>
              <w:rPr>
                <w:sz w:val="22"/>
                <w:szCs w:val="22"/>
              </w:rPr>
              <w:t>OUTCOME  Measure</w:t>
            </w:r>
          </w:p>
        </w:tc>
        <w:tc>
          <w:tcPr>
            <w:tcW w:w="2907" w:type="dxa"/>
            <w:tcBorders>
              <w:top w:val="single" w:sz="4" w:space="0" w:color="auto"/>
              <w:left w:val="single" w:sz="4" w:space="0" w:color="auto"/>
              <w:bottom w:val="single" w:sz="4" w:space="0" w:color="auto"/>
              <w:right w:val="nil"/>
            </w:tcBorders>
            <w:shd w:val="clear" w:color="auto" w:fill="FFFFFF"/>
            <w:tcMar>
              <w:top w:w="25" w:type="dxa"/>
              <w:left w:w="25" w:type="dxa"/>
              <w:bottom w:w="0" w:type="dxa"/>
              <w:right w:w="25" w:type="dxa"/>
            </w:tcMar>
            <w:vAlign w:val="center"/>
          </w:tcPr>
          <w:p w:rsidR="009E1534" w:rsidRPr="00762F09" w:rsidRDefault="009E1534" w:rsidP="009E1534">
            <w:pPr>
              <w:spacing w:before="100" w:beforeAutospacing="1" w:after="100" w:afterAutospacing="1"/>
              <w:rPr>
                <w:rFonts w:eastAsia="Arial Unicode MS"/>
                <w:sz w:val="22"/>
                <w:szCs w:val="22"/>
              </w:rPr>
            </w:pPr>
            <w:r>
              <w:rPr>
                <w:rFonts w:eastAsia="Arial Unicode MS"/>
                <w:sz w:val="22"/>
                <w:szCs w:val="22"/>
              </w:rPr>
              <w:t>Reduce the risk to public safety caused by criminal possession and use of firearms</w:t>
            </w:r>
          </w:p>
        </w:tc>
        <w:tc>
          <w:tcPr>
            <w:tcW w:w="1976" w:type="dxa"/>
            <w:gridSpan w:val="2"/>
            <w:tcBorders>
              <w:top w:val="single" w:sz="4" w:space="0" w:color="auto"/>
              <w:left w:val="single" w:sz="4" w:space="0" w:color="auto"/>
              <w:bottom w:val="single" w:sz="4" w:space="0" w:color="auto"/>
              <w:right w:val="single" w:sz="4" w:space="0" w:color="000000"/>
            </w:tcBorders>
            <w:shd w:val="clear" w:color="auto" w:fill="FFFFFF"/>
            <w:noWrap/>
            <w:tcMar>
              <w:top w:w="25" w:type="dxa"/>
              <w:left w:w="25" w:type="dxa"/>
              <w:bottom w:w="0" w:type="dxa"/>
              <w:right w:w="25" w:type="dxa"/>
            </w:tcMar>
            <w:vAlign w:val="bottom"/>
          </w:tcPr>
          <w:p w:rsidR="009E1534" w:rsidRPr="00762F09" w:rsidRDefault="009E1534" w:rsidP="009E1534">
            <w:pPr>
              <w:spacing w:before="100" w:beforeAutospacing="1" w:after="100" w:afterAutospacing="1"/>
              <w:jc w:val="center"/>
            </w:pPr>
            <w:r>
              <w:t>N/A</w:t>
            </w:r>
          </w:p>
        </w:tc>
        <w:tc>
          <w:tcPr>
            <w:tcW w:w="1807" w:type="dxa"/>
            <w:gridSpan w:val="3"/>
            <w:tcBorders>
              <w:top w:val="single" w:sz="4" w:space="0" w:color="auto"/>
              <w:left w:val="nil"/>
              <w:bottom w:val="single" w:sz="4" w:space="0" w:color="auto"/>
              <w:right w:val="single" w:sz="4" w:space="0" w:color="000000"/>
            </w:tcBorders>
            <w:noWrap/>
            <w:tcMar>
              <w:top w:w="25" w:type="dxa"/>
              <w:left w:w="25" w:type="dxa"/>
              <w:bottom w:w="0" w:type="dxa"/>
              <w:right w:w="25" w:type="dxa"/>
            </w:tcMar>
            <w:vAlign w:val="bottom"/>
          </w:tcPr>
          <w:p w:rsidR="009E1534" w:rsidRPr="00CF3FC3" w:rsidRDefault="00BA0C80" w:rsidP="001F7F5E">
            <w:pPr>
              <w:spacing w:before="100" w:beforeAutospacing="1" w:after="100" w:afterAutospacing="1"/>
              <w:jc w:val="center"/>
            </w:pPr>
            <w:r>
              <w:t>9</w:t>
            </w:r>
            <w:r w:rsidR="001F7F5E">
              <w:t>9.8</w:t>
            </w:r>
          </w:p>
        </w:tc>
        <w:tc>
          <w:tcPr>
            <w:tcW w:w="1626" w:type="dxa"/>
            <w:gridSpan w:val="3"/>
            <w:tcBorders>
              <w:top w:val="single" w:sz="4" w:space="0" w:color="auto"/>
              <w:left w:val="nil"/>
              <w:bottom w:val="single" w:sz="4" w:space="0" w:color="auto"/>
              <w:right w:val="single" w:sz="4" w:space="0" w:color="000000"/>
            </w:tcBorders>
            <w:shd w:val="clear" w:color="auto" w:fill="FFFFFF"/>
            <w:noWrap/>
            <w:tcMar>
              <w:top w:w="25" w:type="dxa"/>
              <w:left w:w="25" w:type="dxa"/>
              <w:bottom w:w="0" w:type="dxa"/>
              <w:right w:w="25" w:type="dxa"/>
            </w:tcMar>
            <w:vAlign w:val="bottom"/>
          </w:tcPr>
          <w:p w:rsidR="009E1534" w:rsidRDefault="00120D00" w:rsidP="00FB4170">
            <w:pPr>
              <w:spacing w:before="100" w:beforeAutospacing="1" w:after="100" w:afterAutospacing="1"/>
              <w:jc w:val="center"/>
              <w:rPr>
                <w:rFonts w:eastAsia="Arial Unicode MS"/>
              </w:rPr>
            </w:pPr>
            <w:r>
              <w:t>93</w:t>
            </w:r>
          </w:p>
        </w:tc>
        <w:tc>
          <w:tcPr>
            <w:tcW w:w="1976" w:type="dxa"/>
            <w:gridSpan w:val="3"/>
            <w:tcBorders>
              <w:top w:val="single" w:sz="4" w:space="0" w:color="auto"/>
              <w:left w:val="nil"/>
              <w:bottom w:val="single" w:sz="4" w:space="0" w:color="auto"/>
              <w:right w:val="single" w:sz="4" w:space="0" w:color="000000"/>
            </w:tcBorders>
            <w:tcMar>
              <w:top w:w="25" w:type="dxa"/>
              <w:left w:w="25" w:type="dxa"/>
              <w:bottom w:w="0" w:type="dxa"/>
              <w:right w:w="25" w:type="dxa"/>
            </w:tcMar>
            <w:vAlign w:val="bottom"/>
          </w:tcPr>
          <w:p w:rsidR="009E1534" w:rsidRPr="00CF3FC3" w:rsidDel="001E04C1" w:rsidRDefault="00FB4170" w:rsidP="00FB4170">
            <w:pPr>
              <w:spacing w:before="100" w:beforeAutospacing="1" w:after="100" w:afterAutospacing="1"/>
              <w:jc w:val="center"/>
              <w:rPr>
                <w:rFonts w:eastAsia="Arial Unicode MS"/>
              </w:rPr>
            </w:pPr>
            <w:r>
              <w:t>-</w:t>
            </w:r>
            <w:r w:rsidR="00120D00">
              <w:t>8</w:t>
            </w:r>
          </w:p>
        </w:tc>
        <w:tc>
          <w:tcPr>
            <w:tcW w:w="2354" w:type="dxa"/>
            <w:gridSpan w:val="2"/>
            <w:tcBorders>
              <w:top w:val="single" w:sz="4" w:space="0" w:color="auto"/>
              <w:left w:val="nil"/>
              <w:bottom w:val="single" w:sz="4" w:space="0" w:color="auto"/>
              <w:right w:val="single" w:sz="4" w:space="0" w:color="auto"/>
            </w:tcBorders>
            <w:tcMar>
              <w:top w:w="25" w:type="dxa"/>
              <w:left w:w="25" w:type="dxa"/>
              <w:bottom w:w="0" w:type="dxa"/>
              <w:right w:w="25" w:type="dxa"/>
            </w:tcMar>
            <w:vAlign w:val="bottom"/>
          </w:tcPr>
          <w:p w:rsidR="009E1534" w:rsidRPr="00CF3FC3" w:rsidDel="001E04C1" w:rsidRDefault="00FB4170" w:rsidP="00FB4170">
            <w:pPr>
              <w:spacing w:before="100" w:beforeAutospacing="1" w:after="100" w:afterAutospacing="1"/>
              <w:jc w:val="center"/>
              <w:rPr>
                <w:rFonts w:eastAsia="Arial Unicode MS"/>
              </w:rPr>
            </w:pPr>
            <w:r>
              <w:rPr>
                <w:rFonts w:eastAsia="Arial Unicode MS"/>
              </w:rPr>
              <w:t>85</w:t>
            </w:r>
          </w:p>
        </w:tc>
      </w:tr>
      <w:tr w:rsidR="009E1534" w:rsidRPr="00762F09" w:rsidTr="00CD60EF">
        <w:trPr>
          <w:cantSplit/>
          <w:trHeight w:val="200"/>
        </w:trPr>
        <w:tc>
          <w:tcPr>
            <w:tcW w:w="1952" w:type="dxa"/>
            <w:tcBorders>
              <w:top w:val="single" w:sz="4" w:space="0" w:color="auto"/>
              <w:left w:val="single" w:sz="4" w:space="0" w:color="auto"/>
              <w:bottom w:val="single" w:sz="4" w:space="0" w:color="auto"/>
              <w:right w:val="nil"/>
            </w:tcBorders>
            <w:shd w:val="clear" w:color="auto" w:fill="FFFFFF"/>
            <w:tcMar>
              <w:top w:w="25" w:type="dxa"/>
              <w:left w:w="25" w:type="dxa"/>
              <w:bottom w:w="0" w:type="dxa"/>
              <w:right w:w="25" w:type="dxa"/>
            </w:tcMar>
            <w:vAlign w:val="center"/>
          </w:tcPr>
          <w:p w:rsidR="009E1534" w:rsidRPr="00762F09" w:rsidRDefault="009E1534" w:rsidP="009E1534">
            <w:pPr>
              <w:spacing w:before="100" w:beforeAutospacing="1" w:after="100" w:afterAutospacing="1"/>
              <w:jc w:val="center"/>
              <w:rPr>
                <w:sz w:val="22"/>
                <w:szCs w:val="22"/>
              </w:rPr>
            </w:pPr>
            <w:r>
              <w:rPr>
                <w:sz w:val="22"/>
                <w:szCs w:val="22"/>
              </w:rPr>
              <w:t>OUTCOME  Measure</w:t>
            </w:r>
          </w:p>
        </w:tc>
        <w:tc>
          <w:tcPr>
            <w:tcW w:w="2907" w:type="dxa"/>
            <w:tcBorders>
              <w:top w:val="single" w:sz="4" w:space="0" w:color="auto"/>
              <w:left w:val="single" w:sz="4" w:space="0" w:color="auto"/>
              <w:bottom w:val="single" w:sz="4" w:space="0" w:color="auto"/>
              <w:right w:val="nil"/>
            </w:tcBorders>
            <w:shd w:val="clear" w:color="auto" w:fill="FFFFFF"/>
            <w:tcMar>
              <w:top w:w="25" w:type="dxa"/>
              <w:left w:w="25" w:type="dxa"/>
              <w:bottom w:w="0" w:type="dxa"/>
              <w:right w:w="25" w:type="dxa"/>
            </w:tcMar>
            <w:vAlign w:val="center"/>
          </w:tcPr>
          <w:p w:rsidR="009E1534" w:rsidRPr="00762F09" w:rsidRDefault="009E1534" w:rsidP="009E1534">
            <w:pPr>
              <w:spacing w:before="100" w:beforeAutospacing="1" w:after="100" w:afterAutospacing="1"/>
              <w:rPr>
                <w:rFonts w:eastAsia="Arial Unicode MS"/>
                <w:sz w:val="22"/>
                <w:szCs w:val="22"/>
              </w:rPr>
            </w:pPr>
            <w:r>
              <w:rPr>
                <w:rFonts w:eastAsia="Arial Unicode MS"/>
                <w:sz w:val="22"/>
                <w:szCs w:val="22"/>
              </w:rPr>
              <w:t>Reduce the risk to public safety caused by criminal organizations and gangs</w:t>
            </w:r>
          </w:p>
        </w:tc>
        <w:tc>
          <w:tcPr>
            <w:tcW w:w="1976" w:type="dxa"/>
            <w:gridSpan w:val="2"/>
            <w:tcBorders>
              <w:top w:val="single" w:sz="4" w:space="0" w:color="auto"/>
              <w:left w:val="single" w:sz="4" w:space="0" w:color="auto"/>
              <w:bottom w:val="single" w:sz="4" w:space="0" w:color="auto"/>
              <w:right w:val="single" w:sz="4" w:space="0" w:color="000000"/>
            </w:tcBorders>
            <w:shd w:val="clear" w:color="auto" w:fill="FFFFFF"/>
            <w:noWrap/>
            <w:tcMar>
              <w:top w:w="25" w:type="dxa"/>
              <w:left w:w="25" w:type="dxa"/>
              <w:bottom w:w="0" w:type="dxa"/>
              <w:right w:w="25" w:type="dxa"/>
            </w:tcMar>
            <w:vAlign w:val="bottom"/>
          </w:tcPr>
          <w:p w:rsidR="009E1534" w:rsidRPr="00762F09" w:rsidRDefault="009E1534" w:rsidP="009E1534">
            <w:pPr>
              <w:spacing w:before="100" w:beforeAutospacing="1" w:after="100" w:afterAutospacing="1"/>
              <w:jc w:val="center"/>
            </w:pPr>
            <w:r>
              <w:t>N/A</w:t>
            </w:r>
          </w:p>
        </w:tc>
        <w:tc>
          <w:tcPr>
            <w:tcW w:w="1807" w:type="dxa"/>
            <w:gridSpan w:val="3"/>
            <w:tcBorders>
              <w:top w:val="single" w:sz="4" w:space="0" w:color="auto"/>
              <w:left w:val="nil"/>
              <w:bottom w:val="single" w:sz="4" w:space="0" w:color="auto"/>
              <w:right w:val="single" w:sz="4" w:space="0" w:color="000000"/>
            </w:tcBorders>
            <w:noWrap/>
            <w:tcMar>
              <w:top w:w="25" w:type="dxa"/>
              <w:left w:w="25" w:type="dxa"/>
              <w:bottom w:w="0" w:type="dxa"/>
              <w:right w:w="25" w:type="dxa"/>
            </w:tcMar>
            <w:vAlign w:val="bottom"/>
          </w:tcPr>
          <w:p w:rsidR="009E1534" w:rsidRPr="00CF3FC3" w:rsidRDefault="00BA0C80" w:rsidP="00FB4170">
            <w:pPr>
              <w:spacing w:before="100" w:beforeAutospacing="1" w:after="100" w:afterAutospacing="1"/>
              <w:jc w:val="center"/>
            </w:pPr>
            <w:r>
              <w:t>95</w:t>
            </w:r>
            <w:r w:rsidR="001F7F5E">
              <w:t>.8</w:t>
            </w:r>
          </w:p>
        </w:tc>
        <w:tc>
          <w:tcPr>
            <w:tcW w:w="1626" w:type="dxa"/>
            <w:gridSpan w:val="3"/>
            <w:tcBorders>
              <w:top w:val="single" w:sz="4" w:space="0" w:color="auto"/>
              <w:left w:val="nil"/>
              <w:bottom w:val="single" w:sz="4" w:space="0" w:color="auto"/>
              <w:right w:val="single" w:sz="4" w:space="0" w:color="000000"/>
            </w:tcBorders>
            <w:shd w:val="clear" w:color="auto" w:fill="FFFFFF"/>
            <w:noWrap/>
            <w:tcMar>
              <w:top w:w="25" w:type="dxa"/>
              <w:left w:w="25" w:type="dxa"/>
              <w:bottom w:w="0" w:type="dxa"/>
              <w:right w:w="25" w:type="dxa"/>
            </w:tcMar>
            <w:vAlign w:val="bottom"/>
          </w:tcPr>
          <w:p w:rsidR="009E1534" w:rsidRDefault="00120D00" w:rsidP="00FB4170">
            <w:pPr>
              <w:spacing w:before="100" w:beforeAutospacing="1" w:after="100" w:afterAutospacing="1"/>
              <w:jc w:val="center"/>
              <w:rPr>
                <w:rFonts w:eastAsia="Arial Unicode MS"/>
              </w:rPr>
            </w:pPr>
            <w:r>
              <w:t>95</w:t>
            </w:r>
          </w:p>
        </w:tc>
        <w:tc>
          <w:tcPr>
            <w:tcW w:w="1976" w:type="dxa"/>
            <w:gridSpan w:val="3"/>
            <w:tcBorders>
              <w:top w:val="single" w:sz="4" w:space="0" w:color="auto"/>
              <w:left w:val="nil"/>
              <w:bottom w:val="single" w:sz="4" w:space="0" w:color="auto"/>
              <w:right w:val="single" w:sz="4" w:space="0" w:color="000000"/>
            </w:tcBorders>
            <w:tcMar>
              <w:top w:w="25" w:type="dxa"/>
              <w:left w:w="25" w:type="dxa"/>
              <w:bottom w:w="0" w:type="dxa"/>
              <w:right w:w="25" w:type="dxa"/>
            </w:tcMar>
            <w:vAlign w:val="bottom"/>
          </w:tcPr>
          <w:p w:rsidR="009E1534" w:rsidRPr="00CF3FC3" w:rsidDel="001E04C1" w:rsidRDefault="00FB4170" w:rsidP="00FB4170">
            <w:pPr>
              <w:spacing w:before="100" w:beforeAutospacing="1" w:after="100" w:afterAutospacing="1"/>
              <w:jc w:val="center"/>
              <w:rPr>
                <w:rFonts w:eastAsia="Arial Unicode MS"/>
              </w:rPr>
            </w:pPr>
            <w:r>
              <w:rPr>
                <w:rFonts w:eastAsia="Arial Unicode MS"/>
              </w:rPr>
              <w:t>-</w:t>
            </w:r>
            <w:r w:rsidR="00120D00">
              <w:rPr>
                <w:rFonts w:eastAsia="Arial Unicode MS"/>
              </w:rPr>
              <w:t>8</w:t>
            </w:r>
          </w:p>
        </w:tc>
        <w:tc>
          <w:tcPr>
            <w:tcW w:w="2354" w:type="dxa"/>
            <w:gridSpan w:val="2"/>
            <w:tcBorders>
              <w:top w:val="single" w:sz="4" w:space="0" w:color="auto"/>
              <w:left w:val="nil"/>
              <w:bottom w:val="single" w:sz="4" w:space="0" w:color="auto"/>
              <w:right w:val="single" w:sz="4" w:space="0" w:color="auto"/>
            </w:tcBorders>
            <w:tcMar>
              <w:top w:w="25" w:type="dxa"/>
              <w:left w:w="25" w:type="dxa"/>
              <w:bottom w:w="0" w:type="dxa"/>
              <w:right w:w="25" w:type="dxa"/>
            </w:tcMar>
            <w:vAlign w:val="bottom"/>
          </w:tcPr>
          <w:p w:rsidR="009E1534" w:rsidRPr="00CF3FC3" w:rsidDel="001E04C1" w:rsidRDefault="00FB4170" w:rsidP="00FB4170">
            <w:pPr>
              <w:spacing w:before="100" w:beforeAutospacing="1" w:after="100" w:afterAutospacing="1"/>
              <w:jc w:val="center"/>
              <w:rPr>
                <w:rFonts w:eastAsia="Arial Unicode MS"/>
              </w:rPr>
            </w:pPr>
            <w:r>
              <w:rPr>
                <w:rFonts w:eastAsia="Arial Unicode MS"/>
              </w:rPr>
              <w:t>87</w:t>
            </w:r>
          </w:p>
        </w:tc>
      </w:tr>
    </w:tbl>
    <w:p w:rsidR="00F1543D" w:rsidRDefault="00F1543D" w:rsidP="00F1543D">
      <w:pPr>
        <w:rPr>
          <w:b/>
          <w:sz w:val="18"/>
          <w:szCs w:val="18"/>
        </w:rPr>
      </w:pPr>
    </w:p>
    <w:p w:rsidR="00F1543D" w:rsidRDefault="00F1543D" w:rsidP="00F1543D">
      <w:pPr>
        <w:rPr>
          <w:b/>
          <w:sz w:val="18"/>
          <w:szCs w:val="18"/>
        </w:rPr>
      </w:pPr>
    </w:p>
    <w:p w:rsidR="007E12D8" w:rsidRDefault="00F1543D" w:rsidP="00C43091">
      <w:pPr>
        <w:rPr>
          <w:color w:val="000000"/>
          <w:sz w:val="16"/>
          <w:szCs w:val="16"/>
        </w:rPr>
      </w:pPr>
      <w:r>
        <w:rPr>
          <w:b/>
          <w:sz w:val="18"/>
          <w:szCs w:val="18"/>
        </w:rPr>
        <w:t>Footnote:</w:t>
      </w:r>
      <w:r>
        <w:rPr>
          <w:sz w:val="18"/>
          <w:szCs w:val="18"/>
        </w:rPr>
        <w:t xml:space="preserve">  </w:t>
      </w:r>
      <w:r w:rsidR="00C43091" w:rsidRPr="00C43091">
        <w:rPr>
          <w:color w:val="000000"/>
          <w:sz w:val="16"/>
          <w:szCs w:val="16"/>
        </w:rPr>
        <w:t>ATF has established a benchmark for its performance index using FY 2010 actual performance data and resource levels.  The benchmark level is expressed as a performance index target of “100” in the FY 2011 Congressional Budget Request.  From this benchmark, ATF has determined the FY 2012 performance targets by estimating expected performance with the requested level of resources in the FY 2012 Congressional Budget Request.  ATF’s FY 2012 performance targets represent the Bureau’s capability (relative to the FY 2010 benchmark level and within the resources requested) to impact strategic risk areas (Performance Goals/Outcome).  Using the underlying benchmarked proxy index indicators as a starting point, ATF is able to project anticipated mission performance, with results displayed at the performance goal index levels (</w:t>
      </w:r>
      <w:proofErr w:type="spellStart"/>
      <w:r w:rsidR="00C43091" w:rsidRPr="00C43091">
        <w:rPr>
          <w:color w:val="000000"/>
          <w:sz w:val="16"/>
          <w:szCs w:val="16"/>
        </w:rPr>
        <w:t>Actuals</w:t>
      </w:r>
      <w:proofErr w:type="spellEnd"/>
      <w:r w:rsidR="00C43091" w:rsidRPr="00C43091">
        <w:rPr>
          <w:color w:val="000000"/>
          <w:sz w:val="16"/>
          <w:szCs w:val="16"/>
        </w:rPr>
        <w:t>).  Please refer to section 3.a. for a discussion of the Performance Plan and Report of Outcomes.</w:t>
      </w:r>
      <w:r w:rsidR="003C5F3C">
        <w:rPr>
          <w:color w:val="000000"/>
          <w:sz w:val="16"/>
          <w:szCs w:val="16"/>
        </w:rPr>
        <w:t xml:space="preserve">  </w:t>
      </w:r>
    </w:p>
    <w:p w:rsidR="007E12D8" w:rsidRDefault="007E12D8" w:rsidP="00C43091">
      <w:pPr>
        <w:rPr>
          <w:color w:val="000000"/>
          <w:sz w:val="16"/>
          <w:szCs w:val="16"/>
        </w:rPr>
      </w:pPr>
    </w:p>
    <w:p w:rsidR="00327018" w:rsidRPr="00327018" w:rsidRDefault="00327018" w:rsidP="00327018">
      <w:pPr>
        <w:rPr>
          <w:color w:val="000000"/>
          <w:sz w:val="16"/>
          <w:szCs w:val="16"/>
        </w:rPr>
      </w:pPr>
      <w:r w:rsidRPr="00327018">
        <w:rPr>
          <w:color w:val="000000"/>
          <w:sz w:val="16"/>
          <w:szCs w:val="16"/>
        </w:rPr>
        <w:t xml:space="preserve">Targets may change based on FY 2011 resource availability but ATF will ensure that performance measures reflect the goals and objectives for FY 2012. </w:t>
      </w:r>
    </w:p>
    <w:p w:rsidR="00F1543D" w:rsidRDefault="00F1543D" w:rsidP="00F1543D">
      <w:pPr>
        <w:rPr>
          <w:sz w:val="16"/>
          <w:szCs w:val="16"/>
        </w:rPr>
      </w:pPr>
    </w:p>
    <w:p w:rsidR="00253077" w:rsidRDefault="00253077"/>
    <w:p w:rsidR="00253077" w:rsidRDefault="00253077"/>
    <w:p w:rsidR="00594479" w:rsidRDefault="00594479"/>
    <w:p w:rsidR="00594479" w:rsidRDefault="00594479"/>
    <w:tbl>
      <w:tblPr>
        <w:tblW w:w="14598" w:type="dxa"/>
        <w:tblInd w:w="-697" w:type="dxa"/>
        <w:tblLayout w:type="fixed"/>
        <w:tblCellMar>
          <w:left w:w="0" w:type="dxa"/>
          <w:right w:w="0" w:type="dxa"/>
        </w:tblCellMar>
        <w:tblLook w:val="0000"/>
      </w:tblPr>
      <w:tblGrid>
        <w:gridCol w:w="1971"/>
        <w:gridCol w:w="2933"/>
        <w:gridCol w:w="725"/>
        <w:gridCol w:w="1268"/>
        <w:gridCol w:w="635"/>
        <w:gridCol w:w="1178"/>
        <w:gridCol w:w="543"/>
        <w:gridCol w:w="1087"/>
        <w:gridCol w:w="629"/>
        <w:gridCol w:w="1364"/>
        <w:gridCol w:w="585"/>
        <w:gridCol w:w="1680"/>
      </w:tblGrid>
      <w:tr w:rsidR="009E1534" w:rsidRPr="00762F09" w:rsidTr="00730A46">
        <w:trPr>
          <w:cantSplit/>
          <w:trHeight w:val="200"/>
        </w:trPr>
        <w:tc>
          <w:tcPr>
            <w:tcW w:w="4874" w:type="dxa"/>
            <w:gridSpan w:val="2"/>
            <w:tcBorders>
              <w:top w:val="single" w:sz="4" w:space="0" w:color="auto"/>
              <w:left w:val="single" w:sz="4" w:space="0" w:color="auto"/>
              <w:bottom w:val="single" w:sz="4" w:space="0" w:color="auto"/>
              <w:right w:val="nil"/>
            </w:tcBorders>
            <w:tcMar>
              <w:top w:w="25" w:type="dxa"/>
              <w:left w:w="25" w:type="dxa"/>
              <w:bottom w:w="0" w:type="dxa"/>
              <w:right w:w="25" w:type="dxa"/>
            </w:tcMar>
            <w:vAlign w:val="center"/>
          </w:tcPr>
          <w:p w:rsidR="009E1534" w:rsidRPr="00762F09" w:rsidRDefault="009E1534" w:rsidP="00594479">
            <w:pPr>
              <w:spacing w:before="100" w:beforeAutospacing="1" w:after="100" w:afterAutospacing="1"/>
              <w:rPr>
                <w:b/>
              </w:rPr>
            </w:pPr>
          </w:p>
        </w:tc>
        <w:tc>
          <w:tcPr>
            <w:tcW w:w="1980" w:type="dxa"/>
            <w:gridSpan w:val="2"/>
            <w:tcBorders>
              <w:top w:val="single" w:sz="4" w:space="0" w:color="auto"/>
              <w:left w:val="single" w:sz="4" w:space="0" w:color="auto"/>
              <w:bottom w:val="single" w:sz="4" w:space="0" w:color="auto"/>
              <w:right w:val="single" w:sz="4" w:space="0" w:color="000000"/>
            </w:tcBorders>
            <w:noWrap/>
            <w:tcMar>
              <w:top w:w="25" w:type="dxa"/>
              <w:left w:w="25" w:type="dxa"/>
              <w:bottom w:w="0" w:type="dxa"/>
              <w:right w:w="25" w:type="dxa"/>
            </w:tcMar>
            <w:vAlign w:val="center"/>
          </w:tcPr>
          <w:p w:rsidR="009E1534" w:rsidRPr="00762F09" w:rsidRDefault="009E1534" w:rsidP="00594479">
            <w:pPr>
              <w:spacing w:before="100" w:beforeAutospacing="1" w:after="100" w:afterAutospacing="1"/>
              <w:jc w:val="center"/>
              <w:rPr>
                <w:b/>
              </w:rPr>
            </w:pPr>
            <w:r w:rsidRPr="00762F09">
              <w:rPr>
                <w:b/>
              </w:rPr>
              <w:t>Final Target</w:t>
            </w:r>
          </w:p>
        </w:tc>
        <w:tc>
          <w:tcPr>
            <w:tcW w:w="1801" w:type="dxa"/>
            <w:gridSpan w:val="2"/>
            <w:tcBorders>
              <w:top w:val="single" w:sz="4" w:space="0" w:color="auto"/>
              <w:left w:val="nil"/>
              <w:bottom w:val="single" w:sz="4" w:space="0" w:color="auto"/>
              <w:right w:val="single" w:sz="4" w:space="0" w:color="000000"/>
            </w:tcBorders>
            <w:noWrap/>
            <w:tcMar>
              <w:top w:w="25" w:type="dxa"/>
              <w:left w:w="25" w:type="dxa"/>
              <w:bottom w:w="0" w:type="dxa"/>
              <w:right w:w="25" w:type="dxa"/>
            </w:tcMar>
            <w:vAlign w:val="center"/>
          </w:tcPr>
          <w:p w:rsidR="009E1534" w:rsidRPr="00762F09" w:rsidRDefault="00472037" w:rsidP="00472037">
            <w:pPr>
              <w:spacing w:before="100" w:beforeAutospacing="1" w:after="100" w:afterAutospacing="1"/>
              <w:jc w:val="center"/>
              <w:rPr>
                <w:b/>
              </w:rPr>
            </w:pPr>
            <w:r>
              <w:rPr>
                <w:b/>
              </w:rPr>
              <w:t>Actual</w:t>
            </w:r>
          </w:p>
        </w:tc>
        <w:tc>
          <w:tcPr>
            <w:tcW w:w="1620" w:type="dxa"/>
            <w:gridSpan w:val="2"/>
            <w:tcBorders>
              <w:top w:val="single" w:sz="4" w:space="0" w:color="auto"/>
              <w:left w:val="nil"/>
              <w:bottom w:val="single" w:sz="4" w:space="0" w:color="auto"/>
              <w:right w:val="single" w:sz="4" w:space="0" w:color="000000"/>
            </w:tcBorders>
            <w:noWrap/>
            <w:tcMar>
              <w:top w:w="25" w:type="dxa"/>
              <w:left w:w="25" w:type="dxa"/>
              <w:bottom w:w="0" w:type="dxa"/>
              <w:right w:w="25" w:type="dxa"/>
            </w:tcMar>
            <w:vAlign w:val="center"/>
          </w:tcPr>
          <w:p w:rsidR="009E1534" w:rsidRPr="00762F09" w:rsidRDefault="009E1534" w:rsidP="00594479">
            <w:pPr>
              <w:spacing w:before="100" w:beforeAutospacing="1" w:after="100" w:afterAutospacing="1"/>
              <w:jc w:val="center"/>
              <w:rPr>
                <w:b/>
              </w:rPr>
            </w:pPr>
            <w:r w:rsidRPr="00762F09">
              <w:rPr>
                <w:rFonts w:eastAsia="Arial Unicode MS"/>
                <w:b/>
              </w:rPr>
              <w:t>Projected</w:t>
            </w:r>
          </w:p>
        </w:tc>
        <w:tc>
          <w:tcPr>
            <w:tcW w:w="1980" w:type="dxa"/>
            <w:gridSpan w:val="2"/>
            <w:tcBorders>
              <w:top w:val="single" w:sz="4" w:space="0" w:color="auto"/>
              <w:left w:val="nil"/>
              <w:bottom w:val="single" w:sz="4" w:space="0" w:color="auto"/>
              <w:right w:val="single" w:sz="4" w:space="0" w:color="000000"/>
            </w:tcBorders>
            <w:tcMar>
              <w:top w:w="25" w:type="dxa"/>
              <w:left w:w="25" w:type="dxa"/>
              <w:bottom w:w="0" w:type="dxa"/>
              <w:right w:w="25" w:type="dxa"/>
            </w:tcMar>
            <w:vAlign w:val="center"/>
          </w:tcPr>
          <w:p w:rsidR="009E1534" w:rsidRPr="00762F09" w:rsidRDefault="009E1534" w:rsidP="00594479">
            <w:pPr>
              <w:spacing w:before="100" w:beforeAutospacing="1" w:after="100" w:afterAutospacing="1"/>
              <w:jc w:val="center"/>
              <w:rPr>
                <w:rFonts w:eastAsia="Arial Unicode MS"/>
                <w:b/>
              </w:rPr>
            </w:pPr>
            <w:r w:rsidRPr="00762F09">
              <w:rPr>
                <w:b/>
              </w:rPr>
              <w:t>Changes</w:t>
            </w:r>
          </w:p>
        </w:tc>
        <w:tc>
          <w:tcPr>
            <w:tcW w:w="2250" w:type="dxa"/>
            <w:gridSpan w:val="2"/>
            <w:tcBorders>
              <w:top w:val="single" w:sz="4" w:space="0" w:color="auto"/>
              <w:left w:val="nil"/>
              <w:bottom w:val="single" w:sz="4" w:space="0" w:color="auto"/>
              <w:right w:val="single" w:sz="4" w:space="0" w:color="auto"/>
            </w:tcBorders>
            <w:tcMar>
              <w:top w:w="25" w:type="dxa"/>
              <w:left w:w="25" w:type="dxa"/>
              <w:bottom w:w="0" w:type="dxa"/>
              <w:right w:w="25" w:type="dxa"/>
            </w:tcMar>
            <w:vAlign w:val="center"/>
          </w:tcPr>
          <w:p w:rsidR="009E1534" w:rsidRPr="00762F09" w:rsidRDefault="009E1534" w:rsidP="00594479">
            <w:pPr>
              <w:spacing w:before="100" w:beforeAutospacing="1" w:after="100" w:afterAutospacing="1"/>
              <w:jc w:val="center"/>
              <w:rPr>
                <w:b/>
              </w:rPr>
            </w:pPr>
            <w:r w:rsidRPr="00762F09">
              <w:rPr>
                <w:b/>
              </w:rPr>
              <w:t>Requested (Total)</w:t>
            </w:r>
          </w:p>
        </w:tc>
      </w:tr>
      <w:tr w:rsidR="009E1534" w:rsidRPr="00762F09" w:rsidTr="00730A46">
        <w:trPr>
          <w:cantSplit/>
          <w:trHeight w:val="200"/>
        </w:trPr>
        <w:tc>
          <w:tcPr>
            <w:tcW w:w="1959" w:type="dxa"/>
            <w:tcBorders>
              <w:top w:val="single" w:sz="4" w:space="0" w:color="auto"/>
              <w:left w:val="single" w:sz="4" w:space="0" w:color="auto"/>
              <w:bottom w:val="single" w:sz="4" w:space="0" w:color="auto"/>
              <w:right w:val="nil"/>
            </w:tcBorders>
            <w:tcMar>
              <w:top w:w="25" w:type="dxa"/>
              <w:left w:w="25" w:type="dxa"/>
              <w:bottom w:w="0" w:type="dxa"/>
              <w:right w:w="25" w:type="dxa"/>
            </w:tcMar>
            <w:vAlign w:val="center"/>
          </w:tcPr>
          <w:p w:rsidR="009E1534" w:rsidRPr="003F17DB" w:rsidRDefault="009E1534" w:rsidP="00594479">
            <w:pPr>
              <w:spacing w:before="100" w:beforeAutospacing="1" w:after="100" w:afterAutospacing="1"/>
              <w:ind w:left="-25"/>
              <w:rPr>
                <w:b/>
              </w:rPr>
            </w:pPr>
          </w:p>
        </w:tc>
        <w:tc>
          <w:tcPr>
            <w:tcW w:w="2915" w:type="dxa"/>
            <w:tcBorders>
              <w:top w:val="single" w:sz="4" w:space="0" w:color="auto"/>
              <w:left w:val="single" w:sz="4" w:space="0" w:color="auto"/>
              <w:bottom w:val="single" w:sz="4" w:space="0" w:color="auto"/>
              <w:right w:val="nil"/>
            </w:tcBorders>
            <w:tcMar>
              <w:top w:w="25" w:type="dxa"/>
              <w:left w:w="25" w:type="dxa"/>
              <w:bottom w:w="0" w:type="dxa"/>
              <w:right w:w="25" w:type="dxa"/>
            </w:tcMar>
            <w:vAlign w:val="center"/>
          </w:tcPr>
          <w:p w:rsidR="009E1534" w:rsidRPr="00762F09" w:rsidRDefault="009E1534" w:rsidP="00594479">
            <w:pPr>
              <w:spacing w:before="100" w:beforeAutospacing="1" w:after="100" w:afterAutospacing="1"/>
              <w:jc w:val="center"/>
              <w:rPr>
                <w:b/>
              </w:rPr>
            </w:pPr>
          </w:p>
        </w:tc>
        <w:tc>
          <w:tcPr>
            <w:tcW w:w="1980" w:type="dxa"/>
            <w:gridSpan w:val="2"/>
            <w:tcBorders>
              <w:top w:val="single" w:sz="4" w:space="0" w:color="auto"/>
              <w:left w:val="single" w:sz="4" w:space="0" w:color="auto"/>
              <w:bottom w:val="single" w:sz="4" w:space="0" w:color="auto"/>
              <w:right w:val="single" w:sz="4" w:space="0" w:color="000000"/>
            </w:tcBorders>
            <w:noWrap/>
            <w:tcMar>
              <w:top w:w="25" w:type="dxa"/>
              <w:left w:w="25" w:type="dxa"/>
              <w:bottom w:w="0" w:type="dxa"/>
              <w:right w:w="25" w:type="dxa"/>
            </w:tcMar>
            <w:vAlign w:val="center"/>
          </w:tcPr>
          <w:p w:rsidR="009E1534" w:rsidRPr="00762F09" w:rsidRDefault="009E1534" w:rsidP="00594479">
            <w:pPr>
              <w:spacing w:before="100" w:beforeAutospacing="1" w:after="100" w:afterAutospacing="1"/>
              <w:jc w:val="center"/>
              <w:rPr>
                <w:b/>
              </w:rPr>
            </w:pPr>
            <w:r>
              <w:rPr>
                <w:b/>
              </w:rPr>
              <w:t>FY 2010</w:t>
            </w:r>
          </w:p>
        </w:tc>
        <w:tc>
          <w:tcPr>
            <w:tcW w:w="1801" w:type="dxa"/>
            <w:gridSpan w:val="2"/>
            <w:tcBorders>
              <w:top w:val="single" w:sz="4" w:space="0" w:color="auto"/>
              <w:left w:val="nil"/>
              <w:bottom w:val="single" w:sz="4" w:space="0" w:color="auto"/>
              <w:right w:val="single" w:sz="4" w:space="0" w:color="000000"/>
            </w:tcBorders>
            <w:noWrap/>
            <w:tcMar>
              <w:top w:w="25" w:type="dxa"/>
              <w:left w:w="25" w:type="dxa"/>
              <w:bottom w:w="0" w:type="dxa"/>
              <w:right w:w="25" w:type="dxa"/>
            </w:tcMar>
            <w:vAlign w:val="center"/>
          </w:tcPr>
          <w:p w:rsidR="009E1534" w:rsidRPr="00762F09" w:rsidRDefault="009E1534" w:rsidP="00594479">
            <w:pPr>
              <w:spacing w:before="100" w:beforeAutospacing="1" w:after="100" w:afterAutospacing="1"/>
              <w:jc w:val="center"/>
              <w:rPr>
                <w:rFonts w:eastAsia="Arial Unicode MS"/>
                <w:b/>
              </w:rPr>
            </w:pPr>
            <w:r w:rsidRPr="00762F09">
              <w:rPr>
                <w:b/>
              </w:rPr>
              <w:t>FY 20</w:t>
            </w:r>
            <w:r>
              <w:rPr>
                <w:b/>
              </w:rPr>
              <w:t>10</w:t>
            </w:r>
          </w:p>
        </w:tc>
        <w:tc>
          <w:tcPr>
            <w:tcW w:w="1620" w:type="dxa"/>
            <w:gridSpan w:val="2"/>
            <w:tcBorders>
              <w:top w:val="single" w:sz="4" w:space="0" w:color="auto"/>
              <w:left w:val="nil"/>
              <w:bottom w:val="single" w:sz="4" w:space="0" w:color="auto"/>
              <w:right w:val="single" w:sz="4" w:space="0" w:color="000000"/>
            </w:tcBorders>
            <w:noWrap/>
            <w:tcMar>
              <w:top w:w="25" w:type="dxa"/>
              <w:left w:w="25" w:type="dxa"/>
              <w:bottom w:w="0" w:type="dxa"/>
              <w:right w:w="25" w:type="dxa"/>
            </w:tcMar>
            <w:vAlign w:val="center"/>
          </w:tcPr>
          <w:p w:rsidR="009E1534" w:rsidRPr="00762F09" w:rsidRDefault="009E1534" w:rsidP="00635503">
            <w:pPr>
              <w:spacing w:before="100" w:beforeAutospacing="1" w:after="100" w:afterAutospacing="1"/>
              <w:jc w:val="center"/>
              <w:rPr>
                <w:rFonts w:eastAsia="Arial Unicode MS"/>
                <w:b/>
              </w:rPr>
            </w:pPr>
            <w:r>
              <w:rPr>
                <w:b/>
              </w:rPr>
              <w:t xml:space="preserve">FY 2011 </w:t>
            </w:r>
            <w:r w:rsidR="00635503">
              <w:rPr>
                <w:b/>
              </w:rPr>
              <w:t>CR</w:t>
            </w:r>
          </w:p>
        </w:tc>
        <w:tc>
          <w:tcPr>
            <w:tcW w:w="1980" w:type="dxa"/>
            <w:gridSpan w:val="2"/>
            <w:tcBorders>
              <w:top w:val="single" w:sz="4" w:space="0" w:color="auto"/>
              <w:left w:val="nil"/>
              <w:bottom w:val="single" w:sz="4" w:space="0" w:color="auto"/>
              <w:right w:val="single" w:sz="4" w:space="0" w:color="000000"/>
            </w:tcBorders>
            <w:tcMar>
              <w:top w:w="25" w:type="dxa"/>
              <w:left w:w="25" w:type="dxa"/>
              <w:bottom w:w="0" w:type="dxa"/>
              <w:right w:w="25" w:type="dxa"/>
            </w:tcMar>
            <w:vAlign w:val="center"/>
          </w:tcPr>
          <w:p w:rsidR="00460AB0" w:rsidRDefault="009E1534">
            <w:pPr>
              <w:spacing w:before="100" w:beforeAutospacing="1" w:after="100" w:afterAutospacing="1"/>
              <w:jc w:val="center"/>
              <w:rPr>
                <w:rFonts w:eastAsia="Arial Unicode MS"/>
                <w:b/>
              </w:rPr>
            </w:pPr>
            <w:r w:rsidRPr="00762F09">
              <w:rPr>
                <w:rFonts w:eastAsia="Arial Unicode MS"/>
                <w:b/>
              </w:rPr>
              <w:t>Current Services Adjustments an</w:t>
            </w:r>
            <w:r>
              <w:rPr>
                <w:rFonts w:eastAsia="Arial Unicode MS"/>
                <w:b/>
              </w:rPr>
              <w:t>d FY 2012</w:t>
            </w:r>
            <w:r w:rsidRPr="00762F09">
              <w:rPr>
                <w:rFonts w:eastAsia="Arial Unicode MS"/>
                <w:b/>
              </w:rPr>
              <w:t xml:space="preserve"> Program Change</w:t>
            </w:r>
          </w:p>
        </w:tc>
        <w:tc>
          <w:tcPr>
            <w:tcW w:w="2250" w:type="dxa"/>
            <w:gridSpan w:val="2"/>
            <w:tcBorders>
              <w:top w:val="single" w:sz="4" w:space="0" w:color="auto"/>
              <w:left w:val="nil"/>
              <w:bottom w:val="single" w:sz="4" w:space="0" w:color="auto"/>
              <w:right w:val="single" w:sz="4" w:space="0" w:color="auto"/>
            </w:tcBorders>
            <w:tcMar>
              <w:top w:w="25" w:type="dxa"/>
              <w:left w:w="25" w:type="dxa"/>
              <w:bottom w:w="0" w:type="dxa"/>
              <w:right w:w="25" w:type="dxa"/>
            </w:tcMar>
            <w:vAlign w:val="center"/>
          </w:tcPr>
          <w:p w:rsidR="00460AB0" w:rsidRDefault="009E1534">
            <w:pPr>
              <w:spacing w:before="100" w:beforeAutospacing="1" w:after="100" w:afterAutospacing="1"/>
              <w:jc w:val="center"/>
              <w:rPr>
                <w:rFonts w:eastAsia="Arial Unicode MS"/>
                <w:b/>
              </w:rPr>
            </w:pPr>
            <w:r>
              <w:rPr>
                <w:b/>
              </w:rPr>
              <w:t>FY 2012</w:t>
            </w:r>
            <w:r w:rsidRPr="00762F09">
              <w:rPr>
                <w:b/>
              </w:rPr>
              <w:t xml:space="preserve"> Request</w:t>
            </w:r>
          </w:p>
        </w:tc>
      </w:tr>
      <w:tr w:rsidR="009E1534" w:rsidRPr="00762F09" w:rsidTr="00730A46">
        <w:trPr>
          <w:cantSplit/>
          <w:trHeight w:val="94"/>
        </w:trPr>
        <w:tc>
          <w:tcPr>
            <w:tcW w:w="1959" w:type="dxa"/>
            <w:vMerge w:val="restart"/>
            <w:tcBorders>
              <w:top w:val="single" w:sz="4" w:space="0" w:color="auto"/>
              <w:left w:val="single" w:sz="4" w:space="0" w:color="auto"/>
              <w:bottom w:val="single" w:sz="4" w:space="0" w:color="auto"/>
              <w:right w:val="nil"/>
            </w:tcBorders>
            <w:shd w:val="clear" w:color="auto" w:fill="FFFFFF"/>
            <w:tcMar>
              <w:top w:w="25" w:type="dxa"/>
              <w:left w:w="25" w:type="dxa"/>
              <w:bottom w:w="0" w:type="dxa"/>
              <w:right w:w="25" w:type="dxa"/>
            </w:tcMar>
            <w:vAlign w:val="center"/>
          </w:tcPr>
          <w:p w:rsidR="009E1534" w:rsidRPr="00762F09" w:rsidRDefault="009E1534" w:rsidP="00594479">
            <w:pPr>
              <w:spacing w:before="100" w:beforeAutospacing="1" w:after="100" w:afterAutospacing="1"/>
              <w:ind w:left="-25"/>
              <w:jc w:val="center"/>
              <w:rPr>
                <w:rFonts w:eastAsia="Arial Unicode MS"/>
                <w:b/>
              </w:rPr>
            </w:pPr>
            <w:r w:rsidRPr="00762F09">
              <w:rPr>
                <w:b/>
              </w:rPr>
              <w:t>Program Activity</w:t>
            </w:r>
          </w:p>
        </w:tc>
        <w:tc>
          <w:tcPr>
            <w:tcW w:w="2915" w:type="dxa"/>
            <w:vMerge w:val="restart"/>
            <w:tcBorders>
              <w:top w:val="single" w:sz="4" w:space="0" w:color="auto"/>
              <w:left w:val="single" w:sz="4" w:space="0" w:color="auto"/>
              <w:bottom w:val="single" w:sz="4" w:space="0" w:color="auto"/>
              <w:right w:val="single" w:sz="4" w:space="0" w:color="auto"/>
            </w:tcBorders>
            <w:shd w:val="clear" w:color="auto" w:fill="FFFFFF"/>
            <w:tcMar>
              <w:top w:w="25" w:type="dxa"/>
              <w:left w:w="25" w:type="dxa"/>
              <w:bottom w:w="0" w:type="dxa"/>
              <w:right w:w="25" w:type="dxa"/>
            </w:tcMar>
            <w:vAlign w:val="center"/>
          </w:tcPr>
          <w:p w:rsidR="009E1534" w:rsidRPr="00A13F4F" w:rsidRDefault="009E1534" w:rsidP="00594479">
            <w:pPr>
              <w:spacing w:before="100" w:beforeAutospacing="1" w:after="100" w:afterAutospacing="1"/>
              <w:rPr>
                <w:rFonts w:eastAsia="Arial Unicode MS"/>
                <w:b/>
                <w:color w:val="FF0000"/>
              </w:rPr>
            </w:pPr>
            <w:r w:rsidRPr="00762F09">
              <w:rPr>
                <w:rFonts w:eastAsia="Arial Unicode MS"/>
                <w:b/>
              </w:rPr>
              <w:t>Regulatory Compliance</w:t>
            </w:r>
          </w:p>
        </w:tc>
        <w:tc>
          <w:tcPr>
            <w:tcW w:w="720" w:type="dxa"/>
            <w:tcBorders>
              <w:top w:val="single" w:sz="4" w:space="0" w:color="auto"/>
              <w:left w:val="nil"/>
              <w:bottom w:val="single" w:sz="4" w:space="0" w:color="auto"/>
              <w:right w:val="nil"/>
            </w:tcBorders>
            <w:shd w:val="clear" w:color="auto" w:fill="FFFFFF"/>
            <w:noWrap/>
            <w:tcMar>
              <w:top w:w="25" w:type="dxa"/>
              <w:left w:w="25" w:type="dxa"/>
              <w:bottom w:w="0" w:type="dxa"/>
              <w:right w:w="25" w:type="dxa"/>
            </w:tcMar>
            <w:vAlign w:val="bottom"/>
          </w:tcPr>
          <w:p w:rsidR="009E1534" w:rsidRPr="00762F09" w:rsidRDefault="009E1534" w:rsidP="00594479">
            <w:pPr>
              <w:spacing w:before="100" w:beforeAutospacing="1" w:after="100" w:afterAutospacing="1"/>
              <w:ind w:left="-25"/>
              <w:jc w:val="center"/>
              <w:rPr>
                <w:rFonts w:eastAsia="Arial Unicode MS"/>
                <w:b/>
              </w:rPr>
            </w:pPr>
            <w:r w:rsidRPr="00762F09">
              <w:rPr>
                <w:b/>
              </w:rPr>
              <w:t>FTE</w:t>
            </w:r>
          </w:p>
        </w:tc>
        <w:tc>
          <w:tcPr>
            <w:tcW w:w="1260" w:type="dxa"/>
            <w:tcBorders>
              <w:top w:val="single" w:sz="4" w:space="0" w:color="auto"/>
              <w:left w:val="single" w:sz="4" w:space="0" w:color="auto"/>
              <w:bottom w:val="single" w:sz="4" w:space="0" w:color="auto"/>
              <w:right w:val="nil"/>
            </w:tcBorders>
            <w:shd w:val="clear" w:color="auto" w:fill="FFFFFF"/>
            <w:noWrap/>
            <w:tcMar>
              <w:top w:w="25" w:type="dxa"/>
              <w:left w:w="25" w:type="dxa"/>
              <w:bottom w:w="0" w:type="dxa"/>
              <w:right w:w="25" w:type="dxa"/>
            </w:tcMar>
            <w:vAlign w:val="bottom"/>
          </w:tcPr>
          <w:p w:rsidR="009E1534" w:rsidRPr="00762F09" w:rsidRDefault="009E1534" w:rsidP="00594479">
            <w:pPr>
              <w:spacing w:before="100" w:beforeAutospacing="1" w:after="100" w:afterAutospacing="1"/>
              <w:ind w:left="-25"/>
              <w:jc w:val="center"/>
              <w:rPr>
                <w:rFonts w:eastAsia="Arial Unicode MS"/>
                <w:b/>
              </w:rPr>
            </w:pPr>
            <w:r w:rsidRPr="00762F09">
              <w:rPr>
                <w:b/>
              </w:rPr>
              <w:t>$000</w:t>
            </w:r>
          </w:p>
        </w:tc>
        <w:tc>
          <w:tcPr>
            <w:tcW w:w="631" w:type="dxa"/>
            <w:tcBorders>
              <w:top w:val="single" w:sz="4" w:space="0" w:color="auto"/>
              <w:left w:val="single" w:sz="4" w:space="0" w:color="auto"/>
              <w:bottom w:val="single" w:sz="4" w:space="0" w:color="auto"/>
              <w:right w:val="single" w:sz="4" w:space="0" w:color="auto"/>
            </w:tcBorders>
            <w:noWrap/>
            <w:tcMar>
              <w:top w:w="25" w:type="dxa"/>
              <w:left w:w="25" w:type="dxa"/>
              <w:bottom w:w="0" w:type="dxa"/>
              <w:right w:w="25" w:type="dxa"/>
            </w:tcMar>
            <w:vAlign w:val="bottom"/>
          </w:tcPr>
          <w:p w:rsidR="009E1534" w:rsidRPr="00762F09" w:rsidRDefault="009E1534" w:rsidP="00594479">
            <w:pPr>
              <w:spacing w:before="100" w:beforeAutospacing="1" w:after="100" w:afterAutospacing="1"/>
              <w:ind w:left="-25"/>
              <w:jc w:val="center"/>
              <w:rPr>
                <w:rFonts w:eastAsia="Arial Unicode MS"/>
                <w:b/>
              </w:rPr>
            </w:pPr>
            <w:r w:rsidRPr="00762F09">
              <w:rPr>
                <w:b/>
              </w:rPr>
              <w:t>FTE</w:t>
            </w:r>
          </w:p>
        </w:tc>
        <w:tc>
          <w:tcPr>
            <w:tcW w:w="1170" w:type="dxa"/>
            <w:tcBorders>
              <w:top w:val="single" w:sz="4" w:space="0" w:color="auto"/>
              <w:left w:val="nil"/>
              <w:bottom w:val="single" w:sz="4" w:space="0" w:color="auto"/>
              <w:right w:val="single" w:sz="4" w:space="0" w:color="auto"/>
            </w:tcBorders>
            <w:noWrap/>
            <w:tcMar>
              <w:top w:w="25" w:type="dxa"/>
              <w:left w:w="25" w:type="dxa"/>
              <w:bottom w:w="0" w:type="dxa"/>
              <w:right w:w="25" w:type="dxa"/>
            </w:tcMar>
            <w:vAlign w:val="bottom"/>
          </w:tcPr>
          <w:p w:rsidR="00460AB0" w:rsidRDefault="009E1534">
            <w:pPr>
              <w:spacing w:before="100" w:beforeAutospacing="1" w:after="100" w:afterAutospacing="1"/>
              <w:ind w:left="-25"/>
              <w:jc w:val="center"/>
              <w:rPr>
                <w:rFonts w:eastAsia="Arial Unicode MS"/>
                <w:b/>
              </w:rPr>
            </w:pPr>
            <w:r w:rsidRPr="00762F09">
              <w:rPr>
                <w:b/>
              </w:rPr>
              <w:t>$000</w:t>
            </w:r>
          </w:p>
        </w:tc>
        <w:tc>
          <w:tcPr>
            <w:tcW w:w="540"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460AB0" w:rsidRDefault="009E1534">
            <w:pPr>
              <w:spacing w:before="100" w:beforeAutospacing="1" w:after="100" w:afterAutospacing="1"/>
              <w:ind w:left="-25"/>
              <w:jc w:val="center"/>
              <w:rPr>
                <w:rFonts w:eastAsia="Arial Unicode MS"/>
                <w:b/>
              </w:rPr>
            </w:pPr>
            <w:r w:rsidRPr="00762F09">
              <w:rPr>
                <w:b/>
              </w:rPr>
              <w:t>FTE</w:t>
            </w:r>
          </w:p>
        </w:tc>
        <w:tc>
          <w:tcPr>
            <w:tcW w:w="1080"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460AB0" w:rsidRDefault="009E1534">
            <w:pPr>
              <w:spacing w:before="100" w:beforeAutospacing="1" w:after="100" w:afterAutospacing="1"/>
              <w:ind w:left="-25"/>
              <w:jc w:val="center"/>
              <w:rPr>
                <w:rFonts w:eastAsia="Arial Unicode MS"/>
                <w:b/>
              </w:rPr>
            </w:pPr>
            <w:r w:rsidRPr="00762F09">
              <w:rPr>
                <w:b/>
              </w:rPr>
              <w:t>$000</w:t>
            </w:r>
          </w:p>
        </w:tc>
        <w:tc>
          <w:tcPr>
            <w:tcW w:w="625"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460AB0" w:rsidRDefault="009E1534">
            <w:pPr>
              <w:spacing w:before="100" w:beforeAutospacing="1" w:after="100" w:afterAutospacing="1"/>
              <w:ind w:left="-25"/>
              <w:jc w:val="center"/>
              <w:rPr>
                <w:rFonts w:eastAsia="Arial Unicode MS"/>
                <w:b/>
              </w:rPr>
            </w:pPr>
            <w:r w:rsidRPr="00762F09">
              <w:rPr>
                <w:b/>
              </w:rPr>
              <w:t>FTE</w:t>
            </w:r>
          </w:p>
        </w:tc>
        <w:tc>
          <w:tcPr>
            <w:tcW w:w="1355"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460AB0" w:rsidRDefault="009E1534">
            <w:pPr>
              <w:spacing w:before="100" w:beforeAutospacing="1" w:after="100" w:afterAutospacing="1"/>
              <w:ind w:left="-25"/>
              <w:jc w:val="center"/>
              <w:rPr>
                <w:rFonts w:eastAsia="Arial Unicode MS"/>
                <w:b/>
              </w:rPr>
            </w:pPr>
            <w:r w:rsidRPr="00762F09">
              <w:rPr>
                <w:b/>
              </w:rPr>
              <w:t>$000</w:t>
            </w:r>
          </w:p>
        </w:tc>
        <w:tc>
          <w:tcPr>
            <w:tcW w:w="581" w:type="dxa"/>
            <w:tcBorders>
              <w:top w:val="single" w:sz="4" w:space="0" w:color="auto"/>
              <w:left w:val="nil"/>
              <w:bottom w:val="single" w:sz="4" w:space="0" w:color="auto"/>
              <w:right w:val="single" w:sz="4" w:space="0" w:color="auto"/>
            </w:tcBorders>
            <w:noWrap/>
            <w:tcMar>
              <w:top w:w="25" w:type="dxa"/>
              <w:left w:w="25" w:type="dxa"/>
              <w:bottom w:w="0" w:type="dxa"/>
              <w:right w:w="25" w:type="dxa"/>
            </w:tcMar>
            <w:vAlign w:val="bottom"/>
          </w:tcPr>
          <w:p w:rsidR="00460AB0" w:rsidRDefault="009E1534">
            <w:pPr>
              <w:spacing w:before="100" w:beforeAutospacing="1" w:after="100" w:afterAutospacing="1"/>
              <w:ind w:left="-25"/>
              <w:jc w:val="center"/>
              <w:rPr>
                <w:rFonts w:eastAsia="Arial Unicode MS"/>
                <w:b/>
              </w:rPr>
            </w:pPr>
            <w:r w:rsidRPr="00762F09">
              <w:rPr>
                <w:b/>
              </w:rPr>
              <w:t>FTE</w:t>
            </w:r>
          </w:p>
        </w:tc>
        <w:tc>
          <w:tcPr>
            <w:tcW w:w="1669" w:type="dxa"/>
            <w:tcBorders>
              <w:top w:val="single" w:sz="4" w:space="0" w:color="auto"/>
              <w:left w:val="nil"/>
              <w:bottom w:val="single" w:sz="4" w:space="0" w:color="auto"/>
              <w:right w:val="single" w:sz="4" w:space="0" w:color="auto"/>
            </w:tcBorders>
            <w:noWrap/>
            <w:tcMar>
              <w:top w:w="25" w:type="dxa"/>
              <w:left w:w="25" w:type="dxa"/>
              <w:bottom w:w="0" w:type="dxa"/>
              <w:right w:w="25" w:type="dxa"/>
            </w:tcMar>
            <w:vAlign w:val="bottom"/>
          </w:tcPr>
          <w:p w:rsidR="00460AB0" w:rsidRDefault="009E1534">
            <w:pPr>
              <w:spacing w:before="100" w:beforeAutospacing="1" w:after="100" w:afterAutospacing="1"/>
              <w:ind w:left="-25"/>
              <w:jc w:val="center"/>
              <w:rPr>
                <w:rFonts w:eastAsia="Arial Unicode MS"/>
                <w:b/>
              </w:rPr>
            </w:pPr>
            <w:r w:rsidRPr="00762F09">
              <w:rPr>
                <w:b/>
              </w:rPr>
              <w:t>$000</w:t>
            </w:r>
          </w:p>
        </w:tc>
      </w:tr>
      <w:tr w:rsidR="009E1534" w:rsidRPr="00762F09" w:rsidTr="00730A46">
        <w:trPr>
          <w:cantSplit/>
          <w:trHeight w:val="78"/>
        </w:trPr>
        <w:tc>
          <w:tcPr>
            <w:tcW w:w="1959" w:type="dxa"/>
            <w:vMerge/>
            <w:tcBorders>
              <w:top w:val="single" w:sz="4" w:space="0" w:color="auto"/>
              <w:left w:val="single" w:sz="4" w:space="0" w:color="auto"/>
              <w:bottom w:val="single" w:sz="4" w:space="0" w:color="auto"/>
              <w:right w:val="nil"/>
            </w:tcBorders>
            <w:vAlign w:val="center"/>
          </w:tcPr>
          <w:p w:rsidR="00460AB0" w:rsidRDefault="00460AB0">
            <w:pPr>
              <w:spacing w:before="100" w:beforeAutospacing="1" w:after="100" w:afterAutospacing="1"/>
              <w:ind w:left="-25"/>
              <w:jc w:val="center"/>
              <w:rPr>
                <w:rFonts w:eastAsia="Arial Unicode MS"/>
              </w:rPr>
            </w:pPr>
          </w:p>
        </w:tc>
        <w:tc>
          <w:tcPr>
            <w:tcW w:w="2915" w:type="dxa"/>
            <w:vMerge/>
            <w:tcBorders>
              <w:top w:val="single" w:sz="4" w:space="0" w:color="auto"/>
              <w:left w:val="single" w:sz="4" w:space="0" w:color="auto"/>
              <w:bottom w:val="single" w:sz="4" w:space="0" w:color="auto"/>
              <w:right w:val="single" w:sz="4" w:space="0" w:color="auto"/>
            </w:tcBorders>
            <w:vAlign w:val="center"/>
          </w:tcPr>
          <w:p w:rsidR="00460AB0" w:rsidRDefault="00460AB0">
            <w:pPr>
              <w:spacing w:before="100" w:beforeAutospacing="1" w:after="100" w:afterAutospacing="1"/>
              <w:ind w:left="-25"/>
              <w:rPr>
                <w:rFonts w:eastAsia="Arial Unicode MS"/>
                <w:b/>
              </w:rPr>
            </w:pPr>
          </w:p>
        </w:tc>
        <w:tc>
          <w:tcPr>
            <w:tcW w:w="720" w:type="dxa"/>
            <w:tcBorders>
              <w:top w:val="single" w:sz="4" w:space="0" w:color="auto"/>
              <w:left w:val="nil"/>
              <w:bottom w:val="single" w:sz="4" w:space="0" w:color="auto"/>
              <w:right w:val="nil"/>
            </w:tcBorders>
            <w:shd w:val="clear" w:color="auto" w:fill="FFFFFF"/>
            <w:noWrap/>
            <w:tcMar>
              <w:top w:w="25" w:type="dxa"/>
              <w:left w:w="25" w:type="dxa"/>
              <w:bottom w:w="0" w:type="dxa"/>
              <w:right w:w="25" w:type="dxa"/>
            </w:tcMar>
            <w:vAlign w:val="bottom"/>
          </w:tcPr>
          <w:p w:rsidR="00460AB0" w:rsidRDefault="009E1534" w:rsidP="001F7F5E">
            <w:pPr>
              <w:spacing w:before="100" w:beforeAutospacing="1" w:after="100" w:afterAutospacing="1"/>
              <w:ind w:left="-25"/>
              <w:jc w:val="center"/>
              <w:rPr>
                <w:rFonts w:eastAsia="Arial Unicode MS"/>
                <w:b/>
              </w:rPr>
            </w:pPr>
            <w:r>
              <w:rPr>
                <w:rFonts w:eastAsia="Arial Unicode MS"/>
                <w:b/>
              </w:rPr>
              <w:t>6</w:t>
            </w:r>
            <w:r w:rsidR="001F7F5E">
              <w:rPr>
                <w:rFonts w:eastAsia="Arial Unicode MS"/>
                <w:b/>
              </w:rPr>
              <w:t>8</w:t>
            </w:r>
            <w:r>
              <w:rPr>
                <w:rFonts w:eastAsia="Arial Unicode MS"/>
                <w:b/>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Mar>
              <w:top w:w="25" w:type="dxa"/>
              <w:left w:w="25" w:type="dxa"/>
              <w:bottom w:w="0" w:type="dxa"/>
              <w:right w:w="25" w:type="dxa"/>
            </w:tcMar>
            <w:vAlign w:val="bottom"/>
          </w:tcPr>
          <w:p w:rsidR="00460AB0" w:rsidRDefault="009E1534" w:rsidP="001F7F5E">
            <w:pPr>
              <w:spacing w:before="100" w:beforeAutospacing="1" w:after="100" w:afterAutospacing="1"/>
              <w:ind w:left="-25"/>
              <w:jc w:val="center"/>
              <w:rPr>
                <w:rFonts w:eastAsia="Arial Unicode MS"/>
                <w:b/>
              </w:rPr>
            </w:pPr>
            <w:r w:rsidRPr="00762F09">
              <w:rPr>
                <w:rFonts w:eastAsia="Arial Unicode MS"/>
                <w:b/>
              </w:rPr>
              <w:t>$</w:t>
            </w:r>
            <w:r>
              <w:rPr>
                <w:rFonts w:eastAsia="Arial Unicode MS"/>
                <w:b/>
              </w:rPr>
              <w:t>119,</w:t>
            </w:r>
            <w:r w:rsidR="001F7F5E">
              <w:rPr>
                <w:rFonts w:eastAsia="Arial Unicode MS"/>
                <w:b/>
              </w:rPr>
              <w:t>058</w:t>
            </w:r>
          </w:p>
        </w:tc>
        <w:tc>
          <w:tcPr>
            <w:tcW w:w="631" w:type="dxa"/>
            <w:tcBorders>
              <w:top w:val="single" w:sz="4" w:space="0" w:color="auto"/>
              <w:left w:val="nil"/>
              <w:bottom w:val="single" w:sz="4" w:space="0" w:color="auto"/>
              <w:right w:val="single" w:sz="4" w:space="0" w:color="auto"/>
            </w:tcBorders>
            <w:noWrap/>
            <w:tcMar>
              <w:top w:w="25" w:type="dxa"/>
              <w:left w:w="25" w:type="dxa"/>
              <w:bottom w:w="0" w:type="dxa"/>
              <w:right w:w="25" w:type="dxa"/>
            </w:tcMar>
            <w:vAlign w:val="bottom"/>
          </w:tcPr>
          <w:p w:rsidR="00460AB0" w:rsidRDefault="009E1534" w:rsidP="001F7F5E">
            <w:pPr>
              <w:spacing w:before="100" w:beforeAutospacing="1" w:after="100" w:afterAutospacing="1"/>
              <w:ind w:left="-25"/>
              <w:jc w:val="center"/>
              <w:rPr>
                <w:rFonts w:eastAsia="Arial Unicode MS"/>
                <w:b/>
                <w:highlight w:val="yellow"/>
              </w:rPr>
            </w:pPr>
            <w:r>
              <w:rPr>
                <w:rFonts w:eastAsia="Arial Unicode MS"/>
                <w:b/>
              </w:rPr>
              <w:t>6</w:t>
            </w:r>
            <w:r w:rsidR="001F7F5E">
              <w:rPr>
                <w:rFonts w:eastAsia="Arial Unicode MS"/>
                <w:b/>
              </w:rPr>
              <w:t>8</w:t>
            </w:r>
            <w:r>
              <w:rPr>
                <w:rFonts w:eastAsia="Arial Unicode MS"/>
                <w:b/>
              </w:rPr>
              <w:t>0</w:t>
            </w:r>
          </w:p>
        </w:tc>
        <w:tc>
          <w:tcPr>
            <w:tcW w:w="1170" w:type="dxa"/>
            <w:tcBorders>
              <w:top w:val="single" w:sz="4" w:space="0" w:color="auto"/>
              <w:left w:val="nil"/>
              <w:bottom w:val="single" w:sz="4" w:space="0" w:color="auto"/>
              <w:right w:val="single" w:sz="4" w:space="0" w:color="auto"/>
            </w:tcBorders>
            <w:noWrap/>
            <w:tcMar>
              <w:top w:w="25" w:type="dxa"/>
              <w:left w:w="25" w:type="dxa"/>
              <w:bottom w:w="0" w:type="dxa"/>
              <w:right w:w="25" w:type="dxa"/>
            </w:tcMar>
            <w:vAlign w:val="bottom"/>
          </w:tcPr>
          <w:p w:rsidR="00460AB0" w:rsidRDefault="009E1534" w:rsidP="001F7F5E">
            <w:pPr>
              <w:spacing w:before="100" w:beforeAutospacing="1" w:after="100" w:afterAutospacing="1"/>
              <w:ind w:left="-25"/>
              <w:jc w:val="center"/>
              <w:rPr>
                <w:rFonts w:eastAsia="Arial Unicode MS"/>
                <w:b/>
                <w:highlight w:val="yellow"/>
              </w:rPr>
            </w:pPr>
            <w:r w:rsidRPr="0067754E">
              <w:rPr>
                <w:rFonts w:eastAsia="Arial Unicode MS"/>
                <w:b/>
              </w:rPr>
              <w:t>$</w:t>
            </w:r>
            <w:r>
              <w:rPr>
                <w:rFonts w:eastAsia="Arial Unicode MS"/>
                <w:b/>
              </w:rPr>
              <w:t>119,</w:t>
            </w:r>
            <w:r w:rsidR="001F7F5E">
              <w:rPr>
                <w:rFonts w:eastAsia="Arial Unicode MS"/>
                <w:b/>
              </w:rPr>
              <w:t>058</w:t>
            </w:r>
          </w:p>
        </w:tc>
        <w:tc>
          <w:tcPr>
            <w:tcW w:w="540"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460AB0" w:rsidRDefault="00635503" w:rsidP="00635503">
            <w:pPr>
              <w:spacing w:before="100" w:beforeAutospacing="1" w:after="100" w:afterAutospacing="1"/>
              <w:ind w:left="-25"/>
              <w:jc w:val="center"/>
              <w:rPr>
                <w:rFonts w:eastAsia="Arial Unicode MS"/>
                <w:b/>
              </w:rPr>
            </w:pPr>
            <w:r>
              <w:rPr>
                <w:rFonts w:eastAsia="Arial Unicode MS"/>
                <w:b/>
              </w:rPr>
              <w:t>680</w:t>
            </w:r>
          </w:p>
        </w:tc>
        <w:tc>
          <w:tcPr>
            <w:tcW w:w="1080"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460AB0" w:rsidRDefault="009E1534" w:rsidP="00635503">
            <w:pPr>
              <w:spacing w:before="100" w:beforeAutospacing="1" w:after="100" w:afterAutospacing="1"/>
              <w:ind w:left="-25"/>
              <w:jc w:val="center"/>
              <w:rPr>
                <w:rFonts w:eastAsia="Arial Unicode MS"/>
                <w:b/>
              </w:rPr>
            </w:pPr>
            <w:r>
              <w:rPr>
                <w:rFonts w:eastAsia="Arial Unicode MS"/>
                <w:b/>
              </w:rPr>
              <w:t>$</w:t>
            </w:r>
            <w:r w:rsidR="00635503">
              <w:rPr>
                <w:rFonts w:eastAsia="Arial Unicode MS"/>
                <w:b/>
              </w:rPr>
              <w:t>119,058</w:t>
            </w:r>
          </w:p>
        </w:tc>
        <w:tc>
          <w:tcPr>
            <w:tcW w:w="625"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460AB0" w:rsidRDefault="00635503" w:rsidP="00635503">
            <w:pPr>
              <w:spacing w:before="100" w:beforeAutospacing="1" w:after="100" w:afterAutospacing="1"/>
              <w:ind w:left="-25"/>
              <w:jc w:val="center"/>
              <w:rPr>
                <w:rFonts w:eastAsia="Arial Unicode MS"/>
                <w:b/>
              </w:rPr>
            </w:pPr>
            <w:r>
              <w:rPr>
                <w:rFonts w:eastAsia="Arial Unicode MS"/>
                <w:b/>
              </w:rPr>
              <w:t>37</w:t>
            </w:r>
          </w:p>
        </w:tc>
        <w:tc>
          <w:tcPr>
            <w:tcW w:w="1355"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460AB0" w:rsidRDefault="009E1534" w:rsidP="001F7F5E">
            <w:pPr>
              <w:spacing w:before="100" w:beforeAutospacing="1" w:after="100" w:afterAutospacing="1"/>
              <w:ind w:left="-25"/>
              <w:jc w:val="center"/>
              <w:rPr>
                <w:rFonts w:eastAsia="Arial Unicode MS"/>
                <w:b/>
              </w:rPr>
            </w:pPr>
            <w:r w:rsidRPr="0067754E">
              <w:rPr>
                <w:rFonts w:eastAsia="Arial Unicode MS"/>
                <w:b/>
              </w:rPr>
              <w:t>$</w:t>
            </w:r>
            <w:r w:rsidR="00DB0403">
              <w:rPr>
                <w:rFonts w:eastAsia="Arial Unicode MS"/>
                <w:b/>
              </w:rPr>
              <w:t>10,32</w:t>
            </w:r>
            <w:r w:rsidR="001F7F5E">
              <w:rPr>
                <w:rFonts w:eastAsia="Arial Unicode MS"/>
                <w:b/>
              </w:rPr>
              <w:t>5</w:t>
            </w:r>
          </w:p>
        </w:tc>
        <w:tc>
          <w:tcPr>
            <w:tcW w:w="581" w:type="dxa"/>
            <w:tcBorders>
              <w:top w:val="single" w:sz="4" w:space="0" w:color="auto"/>
              <w:left w:val="nil"/>
              <w:bottom w:val="single" w:sz="4" w:space="0" w:color="auto"/>
              <w:right w:val="single" w:sz="8" w:space="0" w:color="auto"/>
            </w:tcBorders>
            <w:noWrap/>
            <w:tcMar>
              <w:top w:w="25" w:type="dxa"/>
              <w:left w:w="25" w:type="dxa"/>
              <w:bottom w:w="0" w:type="dxa"/>
              <w:right w:w="25" w:type="dxa"/>
            </w:tcMar>
            <w:vAlign w:val="bottom"/>
          </w:tcPr>
          <w:p w:rsidR="00460AB0" w:rsidRDefault="00635503" w:rsidP="00635503">
            <w:pPr>
              <w:spacing w:before="100" w:beforeAutospacing="1" w:after="100" w:afterAutospacing="1"/>
              <w:ind w:left="-25"/>
              <w:jc w:val="center"/>
              <w:rPr>
                <w:rFonts w:eastAsia="Arial Unicode MS"/>
                <w:b/>
              </w:rPr>
            </w:pPr>
            <w:r>
              <w:rPr>
                <w:rFonts w:eastAsia="Arial Unicode MS"/>
                <w:b/>
              </w:rPr>
              <w:t>717</w:t>
            </w:r>
          </w:p>
        </w:tc>
        <w:tc>
          <w:tcPr>
            <w:tcW w:w="1669" w:type="dxa"/>
            <w:tcBorders>
              <w:top w:val="single" w:sz="4" w:space="0" w:color="auto"/>
              <w:left w:val="nil"/>
              <w:bottom w:val="single" w:sz="4" w:space="0" w:color="auto"/>
              <w:right w:val="single" w:sz="4" w:space="0" w:color="auto"/>
            </w:tcBorders>
            <w:noWrap/>
            <w:tcMar>
              <w:top w:w="25" w:type="dxa"/>
              <w:left w:w="25" w:type="dxa"/>
              <w:bottom w:w="0" w:type="dxa"/>
              <w:right w:w="25" w:type="dxa"/>
            </w:tcMar>
            <w:vAlign w:val="bottom"/>
          </w:tcPr>
          <w:p w:rsidR="00460AB0" w:rsidRDefault="009E1534" w:rsidP="001F7F5E">
            <w:pPr>
              <w:spacing w:before="100" w:beforeAutospacing="1" w:after="100" w:afterAutospacing="1"/>
              <w:ind w:left="-25"/>
              <w:jc w:val="center"/>
              <w:rPr>
                <w:rFonts w:eastAsia="Arial Unicode MS"/>
                <w:b/>
              </w:rPr>
            </w:pPr>
            <w:r w:rsidRPr="0067754E">
              <w:rPr>
                <w:rFonts w:eastAsia="Arial Unicode MS"/>
                <w:b/>
              </w:rPr>
              <w:t>$</w:t>
            </w:r>
            <w:r w:rsidR="00635503">
              <w:rPr>
                <w:rFonts w:eastAsia="Arial Unicode MS"/>
                <w:b/>
              </w:rPr>
              <w:t>129,38</w:t>
            </w:r>
            <w:r w:rsidR="001F7F5E">
              <w:rPr>
                <w:rFonts w:eastAsia="Arial Unicode MS"/>
                <w:b/>
              </w:rPr>
              <w:t>2</w:t>
            </w:r>
          </w:p>
        </w:tc>
      </w:tr>
      <w:tr w:rsidR="009E1534" w:rsidRPr="00762F09" w:rsidTr="00730A46">
        <w:trPr>
          <w:trHeight w:val="200"/>
        </w:trPr>
        <w:tc>
          <w:tcPr>
            <w:tcW w:w="1959" w:type="dxa"/>
            <w:tcBorders>
              <w:top w:val="single" w:sz="4" w:space="0" w:color="auto"/>
              <w:left w:val="single" w:sz="4" w:space="0" w:color="auto"/>
              <w:bottom w:val="single" w:sz="4" w:space="0" w:color="auto"/>
              <w:right w:val="single" w:sz="4" w:space="0" w:color="auto"/>
            </w:tcBorders>
            <w:tcMar>
              <w:top w:w="25" w:type="dxa"/>
              <w:left w:w="25" w:type="dxa"/>
              <w:bottom w:w="0" w:type="dxa"/>
              <w:right w:w="25" w:type="dxa"/>
            </w:tcMar>
            <w:vAlign w:val="center"/>
          </w:tcPr>
          <w:p w:rsidR="009E1534" w:rsidRPr="00762F09" w:rsidRDefault="009E1534" w:rsidP="00594479">
            <w:pPr>
              <w:spacing w:before="100" w:beforeAutospacing="1" w:after="100" w:afterAutospacing="1"/>
              <w:ind w:left="-25"/>
              <w:jc w:val="center"/>
            </w:pPr>
            <w:r>
              <w:t>OUTCOME  Measure</w:t>
            </w:r>
          </w:p>
        </w:tc>
        <w:tc>
          <w:tcPr>
            <w:tcW w:w="2915" w:type="dxa"/>
            <w:tcBorders>
              <w:top w:val="single" w:sz="4" w:space="0" w:color="auto"/>
              <w:left w:val="nil"/>
              <w:bottom w:val="single" w:sz="4" w:space="0" w:color="auto"/>
              <w:right w:val="single" w:sz="4" w:space="0" w:color="auto"/>
            </w:tcBorders>
            <w:tcMar>
              <w:top w:w="25" w:type="dxa"/>
              <w:left w:w="25" w:type="dxa"/>
              <w:bottom w:w="0" w:type="dxa"/>
              <w:right w:w="25" w:type="dxa"/>
            </w:tcMar>
            <w:vAlign w:val="bottom"/>
          </w:tcPr>
          <w:p w:rsidR="009E1534" w:rsidRPr="00762F09" w:rsidRDefault="009E1534" w:rsidP="00594479">
            <w:pPr>
              <w:pStyle w:val="font6"/>
              <w:ind w:left="-25"/>
              <w:rPr>
                <w:rFonts w:ascii="Times New Roman" w:hAnsi="Times New Roman" w:cs="Times New Roman"/>
                <w:sz w:val="22"/>
                <w:szCs w:val="22"/>
              </w:rPr>
            </w:pPr>
            <w:r>
              <w:rPr>
                <w:rFonts w:ascii="Times New Roman" w:hAnsi="Times New Roman" w:cs="Times New Roman"/>
                <w:sz w:val="22"/>
                <w:szCs w:val="22"/>
              </w:rPr>
              <w:t xml:space="preserve">Improve public safety by increasing compliance with </w:t>
            </w:r>
            <w:r w:rsidR="00BA0C80">
              <w:rPr>
                <w:rFonts w:ascii="Times New Roman" w:hAnsi="Times New Roman" w:cs="Times New Roman"/>
                <w:sz w:val="22"/>
                <w:szCs w:val="22"/>
              </w:rPr>
              <w:t xml:space="preserve">Federal </w:t>
            </w:r>
            <w:r>
              <w:rPr>
                <w:rFonts w:ascii="Times New Roman" w:hAnsi="Times New Roman" w:cs="Times New Roman"/>
                <w:sz w:val="22"/>
                <w:szCs w:val="22"/>
              </w:rPr>
              <w:t>laws and regulations by firearms industry members</w:t>
            </w:r>
          </w:p>
        </w:tc>
        <w:tc>
          <w:tcPr>
            <w:tcW w:w="1980" w:type="dxa"/>
            <w:gridSpan w:val="2"/>
            <w:tcBorders>
              <w:top w:val="single" w:sz="4" w:space="0" w:color="auto"/>
              <w:left w:val="nil"/>
              <w:bottom w:val="single" w:sz="4" w:space="0" w:color="auto"/>
              <w:right w:val="single" w:sz="4" w:space="0" w:color="auto"/>
            </w:tcBorders>
            <w:noWrap/>
            <w:tcMar>
              <w:top w:w="25" w:type="dxa"/>
              <w:left w:w="25" w:type="dxa"/>
              <w:bottom w:w="0" w:type="dxa"/>
              <w:right w:w="25" w:type="dxa"/>
            </w:tcMar>
            <w:vAlign w:val="center"/>
          </w:tcPr>
          <w:p w:rsidR="009E1534" w:rsidRDefault="009E1534" w:rsidP="00594479">
            <w:pPr>
              <w:spacing w:before="100" w:beforeAutospacing="1" w:after="100" w:afterAutospacing="1"/>
              <w:jc w:val="center"/>
              <w:rPr>
                <w:rFonts w:eastAsia="Arial Unicode MS"/>
                <w:bCs/>
              </w:rPr>
            </w:pPr>
            <w:r>
              <w:t>N/A</w:t>
            </w:r>
          </w:p>
        </w:tc>
        <w:tc>
          <w:tcPr>
            <w:tcW w:w="1801" w:type="dxa"/>
            <w:gridSpan w:val="2"/>
            <w:tcBorders>
              <w:top w:val="single" w:sz="4" w:space="0" w:color="auto"/>
              <w:left w:val="nil"/>
              <w:bottom w:val="single" w:sz="4" w:space="0" w:color="auto"/>
              <w:right w:val="single" w:sz="4" w:space="0" w:color="000000"/>
            </w:tcBorders>
            <w:tcMar>
              <w:top w:w="25" w:type="dxa"/>
              <w:left w:w="25" w:type="dxa"/>
              <w:bottom w:w="0" w:type="dxa"/>
              <w:right w:w="25" w:type="dxa"/>
            </w:tcMar>
            <w:vAlign w:val="center"/>
          </w:tcPr>
          <w:p w:rsidR="009E1534" w:rsidRPr="0067754E" w:rsidDel="00367005" w:rsidRDefault="00BA0C80" w:rsidP="001F7F5E">
            <w:pPr>
              <w:spacing w:before="100" w:beforeAutospacing="1" w:after="100" w:afterAutospacing="1"/>
              <w:jc w:val="center"/>
              <w:rPr>
                <w:rFonts w:eastAsia="Arial Unicode MS"/>
              </w:rPr>
            </w:pPr>
            <w:r>
              <w:t>9</w:t>
            </w:r>
            <w:r w:rsidR="001F7F5E">
              <w:t>8.7</w:t>
            </w:r>
          </w:p>
        </w:tc>
        <w:tc>
          <w:tcPr>
            <w:tcW w:w="1620" w:type="dxa"/>
            <w:gridSpan w:val="2"/>
            <w:tcBorders>
              <w:top w:val="single" w:sz="4" w:space="0" w:color="auto"/>
              <w:left w:val="nil"/>
              <w:bottom w:val="single" w:sz="4" w:space="0" w:color="auto"/>
              <w:right w:val="single" w:sz="4" w:space="0" w:color="auto"/>
            </w:tcBorders>
            <w:noWrap/>
            <w:tcMar>
              <w:top w:w="25" w:type="dxa"/>
              <w:left w:w="25" w:type="dxa"/>
              <w:bottom w:w="0" w:type="dxa"/>
              <w:right w:w="25" w:type="dxa"/>
            </w:tcMar>
            <w:vAlign w:val="center"/>
          </w:tcPr>
          <w:p w:rsidR="009E1534" w:rsidRPr="0067754E" w:rsidRDefault="00120D00" w:rsidP="00FB4170">
            <w:pPr>
              <w:spacing w:before="100" w:beforeAutospacing="1" w:after="100" w:afterAutospacing="1"/>
              <w:jc w:val="center"/>
              <w:rPr>
                <w:rFonts w:eastAsia="Arial Unicode MS"/>
              </w:rPr>
            </w:pPr>
            <w:r>
              <w:t>94</w:t>
            </w:r>
          </w:p>
        </w:tc>
        <w:tc>
          <w:tcPr>
            <w:tcW w:w="1980" w:type="dxa"/>
            <w:gridSpan w:val="2"/>
            <w:tcBorders>
              <w:top w:val="single" w:sz="4" w:space="0" w:color="auto"/>
              <w:left w:val="nil"/>
              <w:bottom w:val="single" w:sz="4" w:space="0" w:color="auto"/>
              <w:right w:val="single" w:sz="4" w:space="0" w:color="auto"/>
            </w:tcBorders>
            <w:tcMar>
              <w:top w:w="25" w:type="dxa"/>
              <w:left w:w="25" w:type="dxa"/>
              <w:bottom w:w="0" w:type="dxa"/>
              <w:right w:w="25" w:type="dxa"/>
            </w:tcMar>
            <w:vAlign w:val="center"/>
          </w:tcPr>
          <w:p w:rsidR="00460AB0" w:rsidRDefault="00FB4170" w:rsidP="00120D00">
            <w:pPr>
              <w:spacing w:before="100" w:beforeAutospacing="1" w:after="100" w:afterAutospacing="1"/>
              <w:jc w:val="center"/>
              <w:rPr>
                <w:rFonts w:eastAsia="Arial Unicode MS"/>
              </w:rPr>
            </w:pPr>
            <w:r>
              <w:rPr>
                <w:rFonts w:eastAsia="Arial Unicode MS"/>
              </w:rPr>
              <w:t>-</w:t>
            </w:r>
            <w:r w:rsidR="00120D00">
              <w:rPr>
                <w:rFonts w:eastAsia="Arial Unicode MS"/>
              </w:rPr>
              <w:t>7</w:t>
            </w:r>
          </w:p>
        </w:tc>
        <w:tc>
          <w:tcPr>
            <w:tcW w:w="2250" w:type="dxa"/>
            <w:gridSpan w:val="2"/>
            <w:tcBorders>
              <w:top w:val="single" w:sz="4" w:space="0" w:color="auto"/>
              <w:left w:val="nil"/>
              <w:bottom w:val="single" w:sz="4" w:space="0" w:color="auto"/>
              <w:right w:val="single" w:sz="4" w:space="0" w:color="auto"/>
            </w:tcBorders>
            <w:tcMar>
              <w:top w:w="25" w:type="dxa"/>
              <w:left w:w="25" w:type="dxa"/>
              <w:bottom w:w="0" w:type="dxa"/>
              <w:right w:w="25" w:type="dxa"/>
            </w:tcMar>
            <w:vAlign w:val="center"/>
          </w:tcPr>
          <w:p w:rsidR="00460AB0" w:rsidRDefault="00FB4170" w:rsidP="00FB4170">
            <w:pPr>
              <w:spacing w:before="100" w:beforeAutospacing="1" w:after="100" w:afterAutospacing="1"/>
              <w:jc w:val="center"/>
              <w:rPr>
                <w:rFonts w:eastAsia="Arial Unicode MS"/>
              </w:rPr>
            </w:pPr>
            <w:r>
              <w:rPr>
                <w:rFonts w:eastAsia="Arial Unicode MS"/>
              </w:rPr>
              <w:t>87</w:t>
            </w:r>
          </w:p>
        </w:tc>
      </w:tr>
    </w:tbl>
    <w:tbl>
      <w:tblPr>
        <w:tblpPr w:leftFromText="180" w:rightFromText="180" w:vertAnchor="text" w:horzAnchor="page" w:tblpX="551" w:tblpY="362"/>
        <w:tblW w:w="14480" w:type="dxa"/>
        <w:tblLayout w:type="fixed"/>
        <w:tblCellMar>
          <w:left w:w="0" w:type="dxa"/>
          <w:right w:w="0" w:type="dxa"/>
        </w:tblCellMar>
        <w:tblLook w:val="0000"/>
      </w:tblPr>
      <w:tblGrid>
        <w:gridCol w:w="1430"/>
        <w:gridCol w:w="2430"/>
        <w:gridCol w:w="900"/>
        <w:gridCol w:w="900"/>
        <w:gridCol w:w="1080"/>
        <w:gridCol w:w="1080"/>
        <w:gridCol w:w="1080"/>
        <w:gridCol w:w="1218"/>
        <w:gridCol w:w="762"/>
        <w:gridCol w:w="900"/>
        <w:gridCol w:w="1260"/>
        <w:gridCol w:w="1440"/>
      </w:tblGrid>
      <w:tr w:rsidR="00730A46" w:rsidRPr="00762F09" w:rsidTr="00730A46">
        <w:trPr>
          <w:cantSplit/>
          <w:trHeight w:val="262"/>
          <w:tblHeader/>
        </w:trPr>
        <w:tc>
          <w:tcPr>
            <w:tcW w:w="14480" w:type="dxa"/>
            <w:gridSpan w:val="12"/>
            <w:tcBorders>
              <w:top w:val="single" w:sz="4" w:space="0" w:color="auto"/>
              <w:left w:val="single" w:sz="8" w:space="0" w:color="auto"/>
              <w:bottom w:val="single" w:sz="4" w:space="0" w:color="000000"/>
              <w:right w:val="single" w:sz="4" w:space="0" w:color="auto"/>
            </w:tcBorders>
            <w:tcMar>
              <w:top w:w="20" w:type="dxa"/>
              <w:left w:w="20" w:type="dxa"/>
              <w:bottom w:w="0" w:type="dxa"/>
              <w:right w:w="20" w:type="dxa"/>
            </w:tcMar>
            <w:vAlign w:val="center"/>
          </w:tcPr>
          <w:p w:rsidR="00730A46" w:rsidRPr="00762F09" w:rsidRDefault="00730A46" w:rsidP="00730A46">
            <w:pPr>
              <w:pStyle w:val="xl27"/>
              <w:tabs>
                <w:tab w:val="left" w:pos="1045"/>
              </w:tabs>
              <w:spacing w:beforeAutospacing="1" w:afterAutospacing="1"/>
              <w:ind w:left="5"/>
              <w:jc w:val="center"/>
              <w:rPr>
                <w:rFonts w:ascii="Times New Roman" w:hAnsi="Times New Roman"/>
                <w:szCs w:val="16"/>
              </w:rPr>
            </w:pPr>
            <w:r w:rsidRPr="00762F09">
              <w:rPr>
                <w:rFonts w:ascii="Times New Roman" w:hAnsi="Times New Roman"/>
                <w:szCs w:val="16"/>
              </w:rPr>
              <w:t>2. PERFORMANCE MEASURE TABLE</w:t>
            </w:r>
            <w:r>
              <w:rPr>
                <w:rFonts w:ascii="Times New Roman" w:hAnsi="Times New Roman"/>
                <w:szCs w:val="16"/>
              </w:rPr>
              <w:t xml:space="preserve"> </w:t>
            </w:r>
          </w:p>
        </w:tc>
      </w:tr>
      <w:tr w:rsidR="00730A46" w:rsidRPr="00762F09" w:rsidTr="00730A46">
        <w:trPr>
          <w:cantSplit/>
          <w:trHeight w:val="262"/>
          <w:tblHeader/>
        </w:trPr>
        <w:tc>
          <w:tcPr>
            <w:tcW w:w="14480" w:type="dxa"/>
            <w:gridSpan w:val="12"/>
            <w:tcBorders>
              <w:top w:val="single" w:sz="4" w:space="0" w:color="auto"/>
              <w:left w:val="single" w:sz="8" w:space="0" w:color="auto"/>
              <w:bottom w:val="single" w:sz="4" w:space="0" w:color="000000"/>
              <w:right w:val="single" w:sz="4" w:space="0" w:color="auto"/>
            </w:tcBorders>
            <w:tcMar>
              <w:top w:w="20" w:type="dxa"/>
              <w:left w:w="20" w:type="dxa"/>
              <w:bottom w:w="0" w:type="dxa"/>
              <w:right w:w="20" w:type="dxa"/>
            </w:tcMar>
            <w:vAlign w:val="center"/>
          </w:tcPr>
          <w:p w:rsidR="00730A46" w:rsidRPr="00762F09" w:rsidRDefault="00730A46" w:rsidP="00730A46">
            <w:pPr>
              <w:pStyle w:val="xl27"/>
              <w:spacing w:beforeAutospacing="1" w:afterAutospacing="1"/>
              <w:rPr>
                <w:rFonts w:ascii="Times New Roman" w:hAnsi="Times New Roman"/>
                <w:szCs w:val="16"/>
              </w:rPr>
            </w:pPr>
            <w:r w:rsidRPr="00762F09">
              <w:rPr>
                <w:rFonts w:ascii="Times New Roman" w:hAnsi="Times New Roman"/>
                <w:szCs w:val="16"/>
              </w:rPr>
              <w:t>Decision Unit:  Firearms</w:t>
            </w:r>
          </w:p>
        </w:tc>
      </w:tr>
      <w:tr w:rsidR="00730A46" w:rsidRPr="00762F09" w:rsidTr="00730A46">
        <w:trPr>
          <w:cantSplit/>
          <w:trHeight w:val="262"/>
          <w:tblHeader/>
        </w:trPr>
        <w:tc>
          <w:tcPr>
            <w:tcW w:w="3860" w:type="dxa"/>
            <w:gridSpan w:val="2"/>
            <w:vMerge w:val="restart"/>
            <w:tcBorders>
              <w:top w:val="single" w:sz="4" w:space="0" w:color="auto"/>
              <w:left w:val="single" w:sz="8" w:space="0" w:color="auto"/>
              <w:bottom w:val="single" w:sz="4" w:space="0" w:color="000000"/>
              <w:right w:val="single" w:sz="4" w:space="0" w:color="000000"/>
            </w:tcBorders>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rPr>
                <w:rFonts w:eastAsia="Arial Unicode MS"/>
                <w:b/>
                <w:szCs w:val="16"/>
              </w:rPr>
            </w:pPr>
            <w:r w:rsidRPr="00762F09">
              <w:rPr>
                <w:b/>
                <w:sz w:val="22"/>
                <w:szCs w:val="16"/>
              </w:rPr>
              <w:t>Performance Report and Performance Plan Targets</w:t>
            </w:r>
          </w:p>
        </w:tc>
        <w:tc>
          <w:tcPr>
            <w:tcW w:w="900"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730A46" w:rsidRPr="00762F09" w:rsidRDefault="00730A46" w:rsidP="00730A46">
            <w:pPr>
              <w:pStyle w:val="Heading1"/>
              <w:spacing w:before="100" w:beforeAutospacing="1" w:after="100" w:afterAutospacing="1"/>
              <w:rPr>
                <w:rFonts w:ascii="Times New Roman" w:hAnsi="Times New Roman"/>
                <w:szCs w:val="16"/>
              </w:rPr>
            </w:pPr>
            <w:r>
              <w:rPr>
                <w:rFonts w:ascii="Times New Roman" w:hAnsi="Times New Roman"/>
                <w:szCs w:val="16"/>
              </w:rPr>
              <w:t>FY 2004</w:t>
            </w:r>
          </w:p>
        </w:tc>
        <w:tc>
          <w:tcPr>
            <w:tcW w:w="9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rPr>
                <w:rFonts w:eastAsia="Arial Unicode MS"/>
                <w:b/>
                <w:szCs w:val="16"/>
              </w:rPr>
            </w:pPr>
            <w:r w:rsidRPr="00762F09">
              <w:rPr>
                <w:b/>
                <w:szCs w:val="16"/>
              </w:rPr>
              <w:t>FY 200</w:t>
            </w:r>
            <w:r>
              <w:rPr>
                <w:b/>
                <w:szCs w:val="16"/>
              </w:rPr>
              <w:t>5</w:t>
            </w:r>
          </w:p>
        </w:tc>
        <w:tc>
          <w:tcPr>
            <w:tcW w:w="108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rPr>
                <w:rFonts w:eastAsia="Arial Unicode MS"/>
                <w:b/>
                <w:szCs w:val="16"/>
              </w:rPr>
            </w:pPr>
            <w:r w:rsidRPr="00762F09">
              <w:rPr>
                <w:b/>
                <w:szCs w:val="16"/>
              </w:rPr>
              <w:t>FY 200</w:t>
            </w:r>
            <w:r>
              <w:rPr>
                <w:b/>
                <w:szCs w:val="16"/>
              </w:rPr>
              <w:t>6</w:t>
            </w:r>
          </w:p>
        </w:tc>
        <w:tc>
          <w:tcPr>
            <w:tcW w:w="10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rPr>
                <w:rFonts w:eastAsia="Arial Unicode MS"/>
                <w:b/>
                <w:szCs w:val="16"/>
              </w:rPr>
            </w:pPr>
            <w:r w:rsidRPr="00762F09">
              <w:rPr>
                <w:b/>
                <w:szCs w:val="16"/>
              </w:rPr>
              <w:t>FY 200</w:t>
            </w:r>
            <w:r>
              <w:rPr>
                <w:b/>
                <w:szCs w:val="16"/>
              </w:rPr>
              <w:t>7</w:t>
            </w:r>
          </w:p>
        </w:tc>
        <w:tc>
          <w:tcPr>
            <w:tcW w:w="108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rPr>
                <w:rFonts w:eastAsia="Arial Unicode MS"/>
                <w:b/>
                <w:szCs w:val="16"/>
              </w:rPr>
            </w:pPr>
            <w:r w:rsidRPr="00762F09">
              <w:rPr>
                <w:b/>
                <w:szCs w:val="16"/>
              </w:rPr>
              <w:t>FY 200</w:t>
            </w:r>
            <w:r>
              <w:rPr>
                <w:b/>
                <w:szCs w:val="16"/>
              </w:rPr>
              <w:t>8</w:t>
            </w:r>
          </w:p>
        </w:tc>
        <w:tc>
          <w:tcPr>
            <w:tcW w:w="1218" w:type="dxa"/>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rPr>
                <w:rFonts w:eastAsia="Arial Unicode MS"/>
                <w:b/>
                <w:szCs w:val="16"/>
              </w:rPr>
            </w:pPr>
            <w:r>
              <w:rPr>
                <w:rFonts w:eastAsia="Arial Unicode MS"/>
                <w:b/>
                <w:szCs w:val="16"/>
              </w:rPr>
              <w:t>FY 2009</w:t>
            </w:r>
          </w:p>
        </w:tc>
        <w:tc>
          <w:tcPr>
            <w:tcW w:w="1662" w:type="dxa"/>
            <w:gridSpan w:val="2"/>
            <w:tcBorders>
              <w:top w:val="single" w:sz="4" w:space="0" w:color="auto"/>
              <w:left w:val="nil"/>
              <w:bottom w:val="single" w:sz="4" w:space="0" w:color="auto"/>
              <w:right w:val="single" w:sz="4" w:space="0" w:color="000000"/>
            </w:tcBorders>
            <w:vAlign w:val="center"/>
          </w:tcPr>
          <w:p w:rsidR="00730A46" w:rsidRPr="00762F09" w:rsidRDefault="00730A46" w:rsidP="00730A46">
            <w:pPr>
              <w:spacing w:before="100" w:beforeAutospacing="1" w:after="100" w:afterAutospacing="1"/>
              <w:jc w:val="center"/>
              <w:rPr>
                <w:rFonts w:eastAsia="Arial Unicode MS"/>
                <w:b/>
                <w:szCs w:val="16"/>
              </w:rPr>
            </w:pPr>
            <w:r>
              <w:rPr>
                <w:rFonts w:eastAsia="Arial Unicode MS"/>
                <w:b/>
                <w:szCs w:val="16"/>
              </w:rPr>
              <w:t>FY 2010</w:t>
            </w:r>
          </w:p>
        </w:tc>
        <w:tc>
          <w:tcPr>
            <w:tcW w:w="12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rPr>
                <w:rFonts w:eastAsia="Arial Unicode MS"/>
                <w:b/>
                <w:szCs w:val="16"/>
              </w:rPr>
            </w:pPr>
            <w:r>
              <w:rPr>
                <w:rFonts w:eastAsia="Arial Unicode MS"/>
                <w:b/>
                <w:szCs w:val="16"/>
              </w:rPr>
              <w:t>FY 2011</w:t>
            </w:r>
          </w:p>
        </w:tc>
        <w:tc>
          <w:tcPr>
            <w:tcW w:w="1440" w:type="dxa"/>
            <w:tcBorders>
              <w:top w:val="single" w:sz="4" w:space="0" w:color="auto"/>
              <w:left w:val="nil"/>
              <w:bottom w:val="single" w:sz="4" w:space="0" w:color="auto"/>
              <w:right w:val="single" w:sz="4" w:space="0" w:color="auto"/>
            </w:tcBorders>
          </w:tcPr>
          <w:p w:rsidR="00730A46" w:rsidRPr="00762F09" w:rsidRDefault="00730A46" w:rsidP="00730A46">
            <w:pPr>
              <w:pStyle w:val="xl27"/>
              <w:spacing w:beforeAutospacing="1" w:afterAutospacing="1"/>
              <w:jc w:val="center"/>
              <w:rPr>
                <w:rFonts w:ascii="Times New Roman" w:hAnsi="Times New Roman"/>
                <w:szCs w:val="16"/>
              </w:rPr>
            </w:pPr>
            <w:r>
              <w:rPr>
                <w:rFonts w:ascii="Times New Roman" w:hAnsi="Times New Roman"/>
                <w:szCs w:val="16"/>
              </w:rPr>
              <w:t>FY 2012</w:t>
            </w:r>
          </w:p>
        </w:tc>
      </w:tr>
      <w:tr w:rsidR="00730A46" w:rsidRPr="00762F09" w:rsidTr="00730A46">
        <w:trPr>
          <w:cantSplit/>
          <w:trHeight w:val="404"/>
          <w:tblHeader/>
        </w:trPr>
        <w:tc>
          <w:tcPr>
            <w:tcW w:w="3860" w:type="dxa"/>
            <w:gridSpan w:val="2"/>
            <w:vMerge/>
            <w:tcBorders>
              <w:top w:val="single" w:sz="4" w:space="0" w:color="auto"/>
              <w:left w:val="single" w:sz="8" w:space="0" w:color="auto"/>
              <w:bottom w:val="single" w:sz="4" w:space="0" w:color="000000"/>
              <w:right w:val="single" w:sz="4" w:space="0" w:color="000000"/>
            </w:tcBorders>
            <w:vAlign w:val="center"/>
          </w:tcPr>
          <w:p w:rsidR="00730A46" w:rsidRPr="00762F09" w:rsidRDefault="00730A46" w:rsidP="00730A46">
            <w:pPr>
              <w:spacing w:before="100" w:beforeAutospacing="1" w:after="100" w:afterAutospacing="1"/>
              <w:rPr>
                <w:rFonts w:eastAsia="Arial Unicode MS"/>
                <w:b/>
                <w:szCs w:val="16"/>
              </w:rPr>
            </w:pP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730A46" w:rsidRPr="00762F09" w:rsidRDefault="00730A46" w:rsidP="00730A46">
            <w:pPr>
              <w:spacing w:before="100" w:beforeAutospacing="1" w:after="100" w:afterAutospacing="1"/>
              <w:jc w:val="center"/>
              <w:rPr>
                <w:rFonts w:eastAsia="Arial Unicode MS"/>
                <w:b/>
                <w:szCs w:val="16"/>
              </w:rPr>
            </w:pPr>
            <w:r w:rsidRPr="00762F09">
              <w:rPr>
                <w:b/>
                <w:szCs w:val="16"/>
              </w:rPr>
              <w:t xml:space="preserve">Actual </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730A46" w:rsidRPr="00762F09" w:rsidRDefault="00730A46" w:rsidP="00730A46">
            <w:pPr>
              <w:spacing w:before="100" w:beforeAutospacing="1" w:after="100" w:afterAutospacing="1"/>
              <w:jc w:val="center"/>
              <w:rPr>
                <w:b/>
                <w:szCs w:val="16"/>
              </w:rPr>
            </w:pPr>
            <w:r w:rsidRPr="00762F09">
              <w:rPr>
                <w:b/>
                <w:szCs w:val="16"/>
              </w:rPr>
              <w:t>Actual</w:t>
            </w:r>
          </w:p>
        </w:tc>
        <w:tc>
          <w:tcPr>
            <w:tcW w:w="10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730A46" w:rsidRPr="00762F09" w:rsidRDefault="00730A46" w:rsidP="00730A46">
            <w:pPr>
              <w:spacing w:before="100" w:beforeAutospacing="1" w:after="100" w:afterAutospacing="1"/>
              <w:jc w:val="center"/>
              <w:rPr>
                <w:rFonts w:eastAsia="Arial Unicode MS"/>
                <w:b/>
                <w:szCs w:val="16"/>
              </w:rPr>
            </w:pPr>
            <w:r w:rsidRPr="00762F09">
              <w:rPr>
                <w:b/>
                <w:szCs w:val="16"/>
              </w:rPr>
              <w:t xml:space="preserve">Actual </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730A46" w:rsidRPr="00762F09" w:rsidRDefault="00730A46" w:rsidP="00730A46">
            <w:pPr>
              <w:spacing w:before="100" w:beforeAutospacing="1" w:after="100" w:afterAutospacing="1"/>
              <w:jc w:val="center"/>
              <w:rPr>
                <w:rFonts w:eastAsia="Arial Unicode MS"/>
                <w:b/>
                <w:szCs w:val="16"/>
              </w:rPr>
            </w:pPr>
            <w:r w:rsidRPr="00762F09">
              <w:rPr>
                <w:b/>
                <w:szCs w:val="16"/>
              </w:rPr>
              <w:t xml:space="preserve">Actual </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730A46" w:rsidRPr="00762F09" w:rsidRDefault="00730A46" w:rsidP="00730A46">
            <w:pPr>
              <w:spacing w:before="100" w:beforeAutospacing="1" w:after="100" w:afterAutospacing="1"/>
              <w:jc w:val="center"/>
              <w:rPr>
                <w:rFonts w:eastAsia="Arial Unicode MS"/>
                <w:b/>
                <w:szCs w:val="16"/>
              </w:rPr>
            </w:pPr>
            <w:r w:rsidRPr="00762F09">
              <w:rPr>
                <w:b/>
                <w:szCs w:val="16"/>
              </w:rPr>
              <w:t xml:space="preserve">Actual </w:t>
            </w:r>
          </w:p>
        </w:tc>
        <w:tc>
          <w:tcPr>
            <w:tcW w:w="1218" w:type="dxa"/>
            <w:tcBorders>
              <w:top w:val="nil"/>
              <w:left w:val="nil"/>
              <w:bottom w:val="single" w:sz="4" w:space="0" w:color="auto"/>
              <w:right w:val="single" w:sz="4" w:space="0" w:color="auto"/>
            </w:tcBorders>
            <w:tcMar>
              <w:top w:w="20" w:type="dxa"/>
              <w:left w:w="20" w:type="dxa"/>
              <w:bottom w:w="0" w:type="dxa"/>
              <w:right w:w="20" w:type="dxa"/>
            </w:tcMar>
            <w:vAlign w:val="bottom"/>
          </w:tcPr>
          <w:p w:rsidR="00730A46" w:rsidRPr="00762F09" w:rsidRDefault="00730A46" w:rsidP="00730A46">
            <w:pPr>
              <w:spacing w:before="100" w:beforeAutospacing="1" w:after="100" w:afterAutospacing="1"/>
              <w:jc w:val="center"/>
              <w:rPr>
                <w:rFonts w:eastAsia="Arial Unicode MS"/>
                <w:b/>
                <w:szCs w:val="16"/>
              </w:rPr>
            </w:pPr>
            <w:r w:rsidRPr="00762F09">
              <w:rPr>
                <w:b/>
                <w:szCs w:val="16"/>
              </w:rPr>
              <w:t>Actual</w:t>
            </w:r>
          </w:p>
        </w:tc>
        <w:tc>
          <w:tcPr>
            <w:tcW w:w="76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730A46" w:rsidRPr="00762F09" w:rsidRDefault="00730A46" w:rsidP="00730A46">
            <w:pPr>
              <w:spacing w:before="100" w:beforeAutospacing="1" w:after="100" w:afterAutospacing="1"/>
              <w:jc w:val="center"/>
              <w:rPr>
                <w:rFonts w:eastAsia="Arial Unicode MS"/>
                <w:b/>
                <w:szCs w:val="16"/>
              </w:rPr>
            </w:pPr>
            <w:r w:rsidRPr="00762F09">
              <w:rPr>
                <w:b/>
                <w:szCs w:val="16"/>
              </w:rPr>
              <w:t>Target</w:t>
            </w:r>
          </w:p>
        </w:tc>
        <w:tc>
          <w:tcPr>
            <w:tcW w:w="900" w:type="dxa"/>
            <w:tcBorders>
              <w:top w:val="single" w:sz="4" w:space="0" w:color="auto"/>
              <w:left w:val="single" w:sz="4" w:space="0" w:color="auto"/>
              <w:bottom w:val="single" w:sz="4" w:space="0" w:color="auto"/>
              <w:right w:val="single" w:sz="4" w:space="0" w:color="auto"/>
            </w:tcBorders>
            <w:vAlign w:val="bottom"/>
          </w:tcPr>
          <w:p w:rsidR="00730A46" w:rsidRPr="00762F09" w:rsidRDefault="00730A46" w:rsidP="00730A46">
            <w:pPr>
              <w:spacing w:before="100" w:beforeAutospacing="1" w:after="100" w:afterAutospacing="1"/>
              <w:jc w:val="center"/>
              <w:rPr>
                <w:rFonts w:eastAsia="Arial Unicode MS"/>
                <w:b/>
                <w:szCs w:val="16"/>
              </w:rPr>
            </w:pPr>
            <w:r w:rsidRPr="00762F09">
              <w:rPr>
                <w:b/>
                <w:szCs w:val="16"/>
              </w:rPr>
              <w:t xml:space="preserve">Actual </w:t>
            </w:r>
          </w:p>
        </w:tc>
        <w:tc>
          <w:tcPr>
            <w:tcW w:w="1260" w:type="dxa"/>
            <w:tcBorders>
              <w:top w:val="nil"/>
              <w:left w:val="single" w:sz="4" w:space="0" w:color="auto"/>
              <w:bottom w:val="single" w:sz="4" w:space="0" w:color="auto"/>
              <w:right w:val="single" w:sz="4" w:space="0" w:color="auto"/>
            </w:tcBorders>
            <w:vAlign w:val="bottom"/>
          </w:tcPr>
          <w:p w:rsidR="00730A46" w:rsidRPr="00762F09" w:rsidRDefault="00730A46" w:rsidP="00730A46">
            <w:pPr>
              <w:pStyle w:val="xl33"/>
              <w:spacing w:beforeAutospacing="1" w:afterAutospacing="1"/>
              <w:rPr>
                <w:rFonts w:ascii="Times New Roman" w:hAnsi="Times New Roman"/>
                <w:szCs w:val="16"/>
              </w:rPr>
            </w:pPr>
            <w:r w:rsidRPr="00762F09">
              <w:rPr>
                <w:rFonts w:ascii="Times New Roman" w:hAnsi="Times New Roman"/>
                <w:szCs w:val="16"/>
              </w:rPr>
              <w:t>Target</w:t>
            </w:r>
          </w:p>
        </w:tc>
        <w:tc>
          <w:tcPr>
            <w:tcW w:w="144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730A46" w:rsidRPr="00762F09" w:rsidRDefault="00730A46" w:rsidP="00730A46">
            <w:pPr>
              <w:pStyle w:val="xl33"/>
              <w:spacing w:beforeAutospacing="1" w:afterAutospacing="1"/>
              <w:rPr>
                <w:rFonts w:ascii="Times New Roman" w:hAnsi="Times New Roman"/>
                <w:szCs w:val="16"/>
              </w:rPr>
            </w:pPr>
            <w:r w:rsidRPr="00762F09">
              <w:rPr>
                <w:rFonts w:ascii="Times New Roman" w:hAnsi="Times New Roman"/>
                <w:szCs w:val="16"/>
              </w:rPr>
              <w:t>Target</w:t>
            </w:r>
          </w:p>
        </w:tc>
      </w:tr>
      <w:tr w:rsidR="00730A46" w:rsidRPr="00762F09" w:rsidTr="00730A46">
        <w:trPr>
          <w:trHeight w:val="438"/>
        </w:trPr>
        <w:tc>
          <w:tcPr>
            <w:tcW w:w="1430" w:type="dxa"/>
            <w:tcBorders>
              <w:top w:val="nil"/>
              <w:left w:val="single" w:sz="8" w:space="0" w:color="auto"/>
              <w:bottom w:val="single" w:sz="4" w:space="0" w:color="auto"/>
              <w:right w:val="nil"/>
            </w:tcBorders>
            <w:tcMar>
              <w:top w:w="20" w:type="dxa"/>
              <w:left w:w="20" w:type="dxa"/>
              <w:bottom w:w="0" w:type="dxa"/>
              <w:right w:w="20" w:type="dxa"/>
            </w:tcMar>
          </w:tcPr>
          <w:p w:rsidR="00730A46" w:rsidRPr="00762F09" w:rsidRDefault="00730A46" w:rsidP="00730A46">
            <w:pPr>
              <w:spacing w:before="100" w:beforeAutospacing="1" w:after="100" w:afterAutospacing="1"/>
              <w:jc w:val="center"/>
              <w:rPr>
                <w:sz w:val="22"/>
                <w:szCs w:val="22"/>
              </w:rPr>
            </w:pPr>
            <w:r w:rsidRPr="00762F09">
              <w:rPr>
                <w:sz w:val="22"/>
                <w:szCs w:val="22"/>
              </w:rPr>
              <w:t>OUTCOME</w:t>
            </w:r>
            <w:r>
              <w:rPr>
                <w:sz w:val="22"/>
                <w:szCs w:val="22"/>
              </w:rPr>
              <w:t xml:space="preserve">  </w:t>
            </w:r>
            <w:r w:rsidRPr="00762F09">
              <w:rPr>
                <w:sz w:val="22"/>
                <w:szCs w:val="22"/>
              </w:rPr>
              <w:t>Measure</w:t>
            </w:r>
          </w:p>
        </w:tc>
        <w:tc>
          <w:tcPr>
            <w:tcW w:w="2430" w:type="dxa"/>
            <w:tcBorders>
              <w:top w:val="nil"/>
              <w:left w:val="single" w:sz="4" w:space="0" w:color="auto"/>
              <w:bottom w:val="single" w:sz="4" w:space="0" w:color="auto"/>
              <w:right w:val="nil"/>
            </w:tcBorders>
            <w:tcMar>
              <w:top w:w="20" w:type="dxa"/>
              <w:left w:w="20" w:type="dxa"/>
              <w:bottom w:w="0" w:type="dxa"/>
              <w:right w:w="20" w:type="dxa"/>
            </w:tcMar>
            <w:vAlign w:val="center"/>
          </w:tcPr>
          <w:p w:rsidR="00730A46" w:rsidRPr="00762F09" w:rsidRDefault="00730A46" w:rsidP="00730A46">
            <w:pPr>
              <w:spacing w:before="100" w:beforeAutospacing="1" w:after="100" w:afterAutospacing="1"/>
              <w:rPr>
                <w:rFonts w:eastAsia="Arial Unicode MS"/>
                <w:sz w:val="22"/>
                <w:szCs w:val="22"/>
              </w:rPr>
            </w:pPr>
            <w:r>
              <w:rPr>
                <w:rFonts w:eastAsia="Arial Unicode MS"/>
                <w:sz w:val="22"/>
                <w:szCs w:val="22"/>
              </w:rPr>
              <w:t xml:space="preserve">Reduce the risk to public safety caused by </w:t>
            </w:r>
            <w:r w:rsidR="00BA0C80">
              <w:rPr>
                <w:rFonts w:eastAsia="Arial Unicode MS"/>
                <w:sz w:val="22"/>
                <w:szCs w:val="22"/>
              </w:rPr>
              <w:t xml:space="preserve">illegal </w:t>
            </w:r>
            <w:r>
              <w:rPr>
                <w:rFonts w:eastAsia="Arial Unicode MS"/>
                <w:sz w:val="22"/>
                <w:szCs w:val="22"/>
              </w:rPr>
              <w:t>firearms trafficking</w:t>
            </w:r>
          </w:p>
        </w:tc>
        <w:tc>
          <w:tcPr>
            <w:tcW w:w="9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t>N/A</w:t>
            </w:r>
          </w:p>
        </w:tc>
        <w:tc>
          <w:tcPr>
            <w:tcW w:w="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t>N/A</w:t>
            </w:r>
          </w:p>
        </w:tc>
        <w:tc>
          <w:tcPr>
            <w:tcW w:w="121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t>N/A</w:t>
            </w:r>
          </w:p>
        </w:tc>
        <w:tc>
          <w:tcPr>
            <w:tcW w:w="76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t>N/A</w:t>
            </w:r>
          </w:p>
        </w:tc>
        <w:tc>
          <w:tcPr>
            <w:tcW w:w="900" w:type="dxa"/>
            <w:tcBorders>
              <w:top w:val="single" w:sz="4" w:space="0" w:color="auto"/>
              <w:left w:val="nil"/>
              <w:bottom w:val="single" w:sz="4" w:space="0" w:color="auto"/>
              <w:right w:val="single" w:sz="4" w:space="0" w:color="auto"/>
            </w:tcBorders>
            <w:shd w:val="clear" w:color="auto" w:fill="B3B3B3"/>
            <w:tcMar>
              <w:top w:w="20" w:type="dxa"/>
              <w:left w:w="20" w:type="dxa"/>
              <w:bottom w:w="0" w:type="dxa"/>
              <w:right w:w="20" w:type="dxa"/>
            </w:tcMar>
            <w:vAlign w:val="center"/>
          </w:tcPr>
          <w:p w:rsidR="00730A46" w:rsidRPr="00FB628E" w:rsidRDefault="00366A78" w:rsidP="00FB4170">
            <w:pPr>
              <w:spacing w:before="100" w:beforeAutospacing="1" w:after="100" w:afterAutospacing="1"/>
              <w:jc w:val="center"/>
            </w:pPr>
            <w:r>
              <w:t>100.4</w:t>
            </w:r>
          </w:p>
        </w:tc>
        <w:tc>
          <w:tcPr>
            <w:tcW w:w="1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30A46" w:rsidRPr="00762F09" w:rsidRDefault="00BF5D36" w:rsidP="00FB4170">
            <w:pPr>
              <w:spacing w:before="100" w:beforeAutospacing="1" w:after="100" w:afterAutospacing="1"/>
              <w:jc w:val="center"/>
              <w:rPr>
                <w:rFonts w:eastAsia="Arial Unicode MS"/>
              </w:rPr>
            </w:pPr>
            <w:r>
              <w:rPr>
                <w:rFonts w:eastAsia="Arial Unicode MS"/>
              </w:rPr>
              <w:t>98</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FB4170" w:rsidP="00A01139">
            <w:pPr>
              <w:spacing w:before="100" w:beforeAutospacing="1" w:after="100" w:afterAutospacing="1"/>
              <w:jc w:val="center"/>
              <w:rPr>
                <w:rFonts w:eastAsia="Arial Unicode MS"/>
              </w:rPr>
            </w:pPr>
            <w:r>
              <w:rPr>
                <w:rFonts w:eastAsia="Arial Unicode MS"/>
              </w:rPr>
              <w:t>9</w:t>
            </w:r>
            <w:r w:rsidR="00A01139">
              <w:rPr>
                <w:rFonts w:eastAsia="Arial Unicode MS"/>
              </w:rPr>
              <w:t>3</w:t>
            </w:r>
          </w:p>
        </w:tc>
      </w:tr>
      <w:tr w:rsidR="00730A46" w:rsidRPr="00762F09" w:rsidTr="00730A46">
        <w:trPr>
          <w:trHeight w:val="438"/>
        </w:trPr>
        <w:tc>
          <w:tcPr>
            <w:tcW w:w="1430" w:type="dxa"/>
            <w:tcBorders>
              <w:top w:val="nil"/>
              <w:left w:val="single" w:sz="8" w:space="0" w:color="auto"/>
              <w:bottom w:val="single" w:sz="4" w:space="0" w:color="auto"/>
              <w:right w:val="nil"/>
            </w:tcBorders>
            <w:tcMar>
              <w:top w:w="20" w:type="dxa"/>
              <w:left w:w="20" w:type="dxa"/>
              <w:bottom w:w="0" w:type="dxa"/>
              <w:right w:w="20" w:type="dxa"/>
            </w:tcMar>
          </w:tcPr>
          <w:p w:rsidR="00730A46" w:rsidRPr="00762F09" w:rsidRDefault="00730A46" w:rsidP="00730A46">
            <w:pPr>
              <w:spacing w:before="100" w:beforeAutospacing="1" w:after="100" w:afterAutospacing="1"/>
              <w:jc w:val="center"/>
              <w:rPr>
                <w:sz w:val="22"/>
                <w:szCs w:val="22"/>
              </w:rPr>
            </w:pPr>
            <w:r w:rsidRPr="00762F09">
              <w:rPr>
                <w:sz w:val="22"/>
                <w:szCs w:val="22"/>
              </w:rPr>
              <w:t>OUTCOME</w:t>
            </w:r>
            <w:r>
              <w:rPr>
                <w:sz w:val="22"/>
                <w:szCs w:val="22"/>
              </w:rPr>
              <w:t xml:space="preserve">  </w:t>
            </w:r>
            <w:r w:rsidRPr="00762F09">
              <w:rPr>
                <w:sz w:val="22"/>
                <w:szCs w:val="22"/>
              </w:rPr>
              <w:t>Measure</w:t>
            </w:r>
          </w:p>
        </w:tc>
        <w:tc>
          <w:tcPr>
            <w:tcW w:w="2430" w:type="dxa"/>
            <w:tcBorders>
              <w:top w:val="nil"/>
              <w:left w:val="single" w:sz="4" w:space="0" w:color="auto"/>
              <w:bottom w:val="single" w:sz="4" w:space="0" w:color="auto"/>
              <w:right w:val="nil"/>
            </w:tcBorders>
            <w:tcMar>
              <w:top w:w="20" w:type="dxa"/>
              <w:left w:w="20" w:type="dxa"/>
              <w:bottom w:w="0" w:type="dxa"/>
              <w:right w:w="20" w:type="dxa"/>
            </w:tcMar>
            <w:vAlign w:val="center"/>
          </w:tcPr>
          <w:p w:rsidR="00730A46" w:rsidRPr="00762F09" w:rsidRDefault="00730A46" w:rsidP="00730A46">
            <w:pPr>
              <w:spacing w:before="100" w:beforeAutospacing="1" w:after="100" w:afterAutospacing="1"/>
              <w:rPr>
                <w:rFonts w:eastAsia="Arial Unicode MS"/>
                <w:sz w:val="22"/>
                <w:szCs w:val="22"/>
              </w:rPr>
            </w:pPr>
            <w:r>
              <w:rPr>
                <w:rFonts w:eastAsia="Arial Unicode MS"/>
                <w:sz w:val="22"/>
                <w:szCs w:val="22"/>
              </w:rPr>
              <w:t>Reduce the risk to public safety caused by criminal possession and use of firearms</w:t>
            </w:r>
          </w:p>
        </w:tc>
        <w:tc>
          <w:tcPr>
            <w:tcW w:w="9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t>N/A</w:t>
            </w:r>
          </w:p>
        </w:tc>
        <w:tc>
          <w:tcPr>
            <w:tcW w:w="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rsidRPr="002306F9">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rsidRPr="002306F9">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rsidRPr="002306F9">
              <w:t>N/A</w:t>
            </w:r>
          </w:p>
        </w:tc>
        <w:tc>
          <w:tcPr>
            <w:tcW w:w="121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rsidRPr="002306F9">
              <w:t>N/A</w:t>
            </w:r>
          </w:p>
        </w:tc>
        <w:tc>
          <w:tcPr>
            <w:tcW w:w="76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rsidRPr="002306F9">
              <w:t>N/A</w:t>
            </w:r>
          </w:p>
        </w:tc>
        <w:tc>
          <w:tcPr>
            <w:tcW w:w="900" w:type="dxa"/>
            <w:tcBorders>
              <w:top w:val="single" w:sz="4" w:space="0" w:color="auto"/>
              <w:left w:val="nil"/>
              <w:bottom w:val="single" w:sz="4" w:space="0" w:color="auto"/>
              <w:right w:val="single" w:sz="4" w:space="0" w:color="auto"/>
            </w:tcBorders>
            <w:shd w:val="clear" w:color="auto" w:fill="B3B3B3"/>
            <w:tcMar>
              <w:top w:w="20" w:type="dxa"/>
              <w:left w:w="20" w:type="dxa"/>
              <w:bottom w:w="0" w:type="dxa"/>
              <w:right w:w="20" w:type="dxa"/>
            </w:tcMar>
            <w:vAlign w:val="center"/>
          </w:tcPr>
          <w:p w:rsidR="00730A46" w:rsidRPr="00FB628E" w:rsidRDefault="00AE635A" w:rsidP="00FB4170">
            <w:pPr>
              <w:spacing w:before="100" w:beforeAutospacing="1" w:after="100" w:afterAutospacing="1"/>
              <w:jc w:val="center"/>
            </w:pPr>
            <w:r>
              <w:t>9</w:t>
            </w:r>
            <w:r w:rsidR="00366A78">
              <w:t>9.</w:t>
            </w:r>
            <w:r>
              <w:t>8</w:t>
            </w:r>
          </w:p>
        </w:tc>
        <w:tc>
          <w:tcPr>
            <w:tcW w:w="1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30A46" w:rsidRPr="00762F09" w:rsidRDefault="00BF5D36" w:rsidP="00FB4170">
            <w:pPr>
              <w:spacing w:before="100" w:beforeAutospacing="1" w:after="100" w:afterAutospacing="1"/>
              <w:jc w:val="center"/>
              <w:rPr>
                <w:rFonts w:eastAsia="Arial Unicode MS"/>
              </w:rPr>
            </w:pPr>
            <w:r>
              <w:rPr>
                <w:rFonts w:eastAsia="Arial Unicode MS"/>
              </w:rPr>
              <w:t>93</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FB4170" w:rsidP="00FB4170">
            <w:pPr>
              <w:spacing w:before="100" w:beforeAutospacing="1" w:after="100" w:afterAutospacing="1"/>
              <w:jc w:val="center"/>
              <w:rPr>
                <w:rFonts w:eastAsia="Arial Unicode MS"/>
              </w:rPr>
            </w:pPr>
            <w:r>
              <w:rPr>
                <w:rFonts w:eastAsia="Arial Unicode MS"/>
              </w:rPr>
              <w:t>85</w:t>
            </w:r>
          </w:p>
        </w:tc>
      </w:tr>
      <w:tr w:rsidR="00730A46" w:rsidRPr="00762F09" w:rsidTr="00730A46">
        <w:trPr>
          <w:trHeight w:val="438"/>
        </w:trPr>
        <w:tc>
          <w:tcPr>
            <w:tcW w:w="1430" w:type="dxa"/>
            <w:tcBorders>
              <w:top w:val="nil"/>
              <w:left w:val="single" w:sz="8" w:space="0" w:color="auto"/>
              <w:bottom w:val="single" w:sz="4" w:space="0" w:color="auto"/>
              <w:right w:val="nil"/>
            </w:tcBorders>
            <w:tcMar>
              <w:top w:w="20" w:type="dxa"/>
              <w:left w:w="20" w:type="dxa"/>
              <w:bottom w:w="0" w:type="dxa"/>
              <w:right w:w="20" w:type="dxa"/>
            </w:tcMar>
          </w:tcPr>
          <w:p w:rsidR="00730A46" w:rsidRPr="00762F09" w:rsidRDefault="00730A46" w:rsidP="00730A46">
            <w:pPr>
              <w:spacing w:before="100" w:beforeAutospacing="1" w:after="100" w:afterAutospacing="1"/>
              <w:jc w:val="center"/>
              <w:rPr>
                <w:sz w:val="22"/>
                <w:szCs w:val="22"/>
              </w:rPr>
            </w:pPr>
            <w:r w:rsidRPr="00762F09">
              <w:rPr>
                <w:sz w:val="22"/>
                <w:szCs w:val="22"/>
              </w:rPr>
              <w:t>OUTCOME</w:t>
            </w:r>
            <w:r>
              <w:rPr>
                <w:sz w:val="22"/>
                <w:szCs w:val="22"/>
              </w:rPr>
              <w:t xml:space="preserve">  </w:t>
            </w:r>
            <w:r w:rsidRPr="00762F09">
              <w:rPr>
                <w:sz w:val="22"/>
                <w:szCs w:val="22"/>
              </w:rPr>
              <w:t>Measure</w:t>
            </w:r>
          </w:p>
        </w:tc>
        <w:tc>
          <w:tcPr>
            <w:tcW w:w="2430" w:type="dxa"/>
            <w:tcBorders>
              <w:top w:val="nil"/>
              <w:left w:val="single" w:sz="4" w:space="0" w:color="auto"/>
              <w:bottom w:val="single" w:sz="4" w:space="0" w:color="auto"/>
              <w:right w:val="nil"/>
            </w:tcBorders>
            <w:tcMar>
              <w:top w:w="20" w:type="dxa"/>
              <w:left w:w="20" w:type="dxa"/>
              <w:bottom w:w="0" w:type="dxa"/>
              <w:right w:w="20" w:type="dxa"/>
            </w:tcMar>
            <w:vAlign w:val="center"/>
          </w:tcPr>
          <w:p w:rsidR="00730A46" w:rsidRPr="00762F09" w:rsidRDefault="00730A46" w:rsidP="00730A46">
            <w:pPr>
              <w:spacing w:before="100" w:beforeAutospacing="1" w:after="100" w:afterAutospacing="1"/>
              <w:rPr>
                <w:rFonts w:eastAsia="Arial Unicode MS"/>
                <w:sz w:val="22"/>
                <w:szCs w:val="22"/>
              </w:rPr>
            </w:pPr>
            <w:r>
              <w:rPr>
                <w:rFonts w:eastAsia="Arial Unicode MS"/>
                <w:sz w:val="22"/>
                <w:szCs w:val="22"/>
              </w:rPr>
              <w:t>Reduce the risk to public safety caused by criminal organizations and gangs</w:t>
            </w:r>
          </w:p>
        </w:tc>
        <w:tc>
          <w:tcPr>
            <w:tcW w:w="9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rsidRPr="00B34450">
              <w:t>N/A</w:t>
            </w:r>
          </w:p>
        </w:tc>
        <w:tc>
          <w:tcPr>
            <w:tcW w:w="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rsidRPr="00B34450">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rsidRPr="00B34450">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rsidRPr="00B34450">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rsidRPr="00B34450">
              <w:t>N/A</w:t>
            </w:r>
          </w:p>
        </w:tc>
        <w:tc>
          <w:tcPr>
            <w:tcW w:w="121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rsidRPr="00B34450">
              <w:t>N/A</w:t>
            </w:r>
          </w:p>
        </w:tc>
        <w:tc>
          <w:tcPr>
            <w:tcW w:w="76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rsidRPr="00B34450">
              <w:t>N/A</w:t>
            </w:r>
          </w:p>
        </w:tc>
        <w:tc>
          <w:tcPr>
            <w:tcW w:w="900" w:type="dxa"/>
            <w:tcBorders>
              <w:top w:val="single" w:sz="4" w:space="0" w:color="auto"/>
              <w:left w:val="nil"/>
              <w:bottom w:val="single" w:sz="4" w:space="0" w:color="auto"/>
              <w:right w:val="single" w:sz="4" w:space="0" w:color="auto"/>
            </w:tcBorders>
            <w:shd w:val="clear" w:color="auto" w:fill="B3B3B3"/>
            <w:tcMar>
              <w:top w:w="20" w:type="dxa"/>
              <w:left w:w="20" w:type="dxa"/>
              <w:bottom w:w="0" w:type="dxa"/>
              <w:right w:w="20" w:type="dxa"/>
            </w:tcMar>
            <w:vAlign w:val="center"/>
          </w:tcPr>
          <w:p w:rsidR="00730A46" w:rsidRPr="00FB628E" w:rsidRDefault="00AE635A" w:rsidP="00FB4170">
            <w:pPr>
              <w:spacing w:before="100" w:beforeAutospacing="1" w:after="100" w:afterAutospacing="1"/>
              <w:jc w:val="center"/>
            </w:pPr>
            <w:r>
              <w:t>95</w:t>
            </w:r>
            <w:r w:rsidR="00366A78">
              <w:t>.8</w:t>
            </w:r>
          </w:p>
        </w:tc>
        <w:tc>
          <w:tcPr>
            <w:tcW w:w="1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30A46" w:rsidRPr="00762F09" w:rsidRDefault="00BF5D36" w:rsidP="00FB4170">
            <w:pPr>
              <w:spacing w:before="100" w:beforeAutospacing="1" w:after="100" w:afterAutospacing="1"/>
              <w:jc w:val="center"/>
              <w:rPr>
                <w:rFonts w:eastAsia="Arial Unicode MS"/>
              </w:rPr>
            </w:pPr>
            <w:r>
              <w:rPr>
                <w:rFonts w:eastAsia="Arial Unicode MS"/>
              </w:rPr>
              <w:t>95</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FB4170" w:rsidP="00FB4170">
            <w:pPr>
              <w:spacing w:before="100" w:beforeAutospacing="1" w:after="100" w:afterAutospacing="1"/>
              <w:jc w:val="center"/>
              <w:rPr>
                <w:rFonts w:eastAsia="Arial Unicode MS"/>
              </w:rPr>
            </w:pPr>
            <w:r>
              <w:rPr>
                <w:rFonts w:eastAsia="Arial Unicode MS"/>
              </w:rPr>
              <w:t>87</w:t>
            </w:r>
          </w:p>
        </w:tc>
      </w:tr>
      <w:tr w:rsidR="00730A46" w:rsidRPr="00762F09" w:rsidTr="00730A46">
        <w:trPr>
          <w:trHeight w:val="438"/>
        </w:trPr>
        <w:tc>
          <w:tcPr>
            <w:tcW w:w="1430" w:type="dxa"/>
            <w:tcBorders>
              <w:top w:val="nil"/>
              <w:left w:val="single" w:sz="8" w:space="0" w:color="auto"/>
              <w:bottom w:val="single" w:sz="4" w:space="0" w:color="auto"/>
              <w:right w:val="nil"/>
            </w:tcBorders>
            <w:tcMar>
              <w:top w:w="20" w:type="dxa"/>
              <w:left w:w="20" w:type="dxa"/>
              <w:bottom w:w="0" w:type="dxa"/>
              <w:right w:w="20" w:type="dxa"/>
            </w:tcMar>
          </w:tcPr>
          <w:p w:rsidR="00730A46" w:rsidRPr="00762F09" w:rsidRDefault="00730A46" w:rsidP="00730A46">
            <w:pPr>
              <w:spacing w:before="100" w:beforeAutospacing="1" w:after="100" w:afterAutospacing="1"/>
              <w:jc w:val="center"/>
              <w:rPr>
                <w:sz w:val="22"/>
                <w:szCs w:val="22"/>
              </w:rPr>
            </w:pPr>
            <w:r w:rsidRPr="00762F09">
              <w:rPr>
                <w:sz w:val="22"/>
                <w:szCs w:val="22"/>
              </w:rPr>
              <w:t>OUTCOME</w:t>
            </w:r>
            <w:r>
              <w:rPr>
                <w:sz w:val="22"/>
                <w:szCs w:val="22"/>
              </w:rPr>
              <w:t xml:space="preserve">  </w:t>
            </w:r>
            <w:r w:rsidRPr="00762F09">
              <w:rPr>
                <w:sz w:val="22"/>
                <w:szCs w:val="22"/>
              </w:rPr>
              <w:t>Measure</w:t>
            </w:r>
          </w:p>
        </w:tc>
        <w:tc>
          <w:tcPr>
            <w:tcW w:w="2430" w:type="dxa"/>
            <w:tcBorders>
              <w:top w:val="nil"/>
              <w:left w:val="single" w:sz="4" w:space="0" w:color="auto"/>
              <w:bottom w:val="single" w:sz="4" w:space="0" w:color="auto"/>
              <w:right w:val="nil"/>
            </w:tcBorders>
            <w:tcMar>
              <w:top w:w="20" w:type="dxa"/>
              <w:left w:w="20" w:type="dxa"/>
              <w:bottom w:w="0" w:type="dxa"/>
              <w:right w:w="20" w:type="dxa"/>
            </w:tcMar>
            <w:vAlign w:val="bottom"/>
          </w:tcPr>
          <w:p w:rsidR="00730A46" w:rsidRPr="00762F09" w:rsidRDefault="00730A46" w:rsidP="00BA0C80">
            <w:pPr>
              <w:spacing w:before="100" w:beforeAutospacing="1" w:after="100" w:afterAutospacing="1"/>
              <w:rPr>
                <w:rFonts w:eastAsia="Arial Unicode MS"/>
                <w:sz w:val="22"/>
                <w:szCs w:val="22"/>
              </w:rPr>
            </w:pPr>
            <w:r>
              <w:rPr>
                <w:sz w:val="22"/>
                <w:szCs w:val="22"/>
              </w:rPr>
              <w:t xml:space="preserve">Improve public safety by increasing compliance with </w:t>
            </w:r>
            <w:r w:rsidR="00BA0C80">
              <w:rPr>
                <w:sz w:val="22"/>
                <w:szCs w:val="22"/>
              </w:rPr>
              <w:t xml:space="preserve">Federal </w:t>
            </w:r>
            <w:r>
              <w:rPr>
                <w:sz w:val="22"/>
                <w:szCs w:val="22"/>
              </w:rPr>
              <w:t>laws and regulations by firearms industry members</w:t>
            </w:r>
          </w:p>
        </w:tc>
        <w:tc>
          <w:tcPr>
            <w:tcW w:w="9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rsidRPr="005F4AEB">
              <w:t>N/A</w:t>
            </w:r>
          </w:p>
        </w:tc>
        <w:tc>
          <w:tcPr>
            <w:tcW w:w="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rsidRPr="005F4AEB">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rsidRPr="005F4AEB">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rsidRPr="005F4AEB">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rsidRPr="005F4AEB">
              <w:t>N/A</w:t>
            </w:r>
          </w:p>
        </w:tc>
        <w:tc>
          <w:tcPr>
            <w:tcW w:w="121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rsidRPr="005F4AEB">
              <w:t>N/A</w:t>
            </w:r>
          </w:p>
        </w:tc>
        <w:tc>
          <w:tcPr>
            <w:tcW w:w="76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730A46" w:rsidP="00730A46">
            <w:pPr>
              <w:spacing w:before="100" w:beforeAutospacing="1" w:after="100" w:afterAutospacing="1"/>
              <w:jc w:val="center"/>
            </w:pPr>
            <w:r w:rsidRPr="005F4AEB">
              <w:t>N/A</w:t>
            </w:r>
          </w:p>
        </w:tc>
        <w:tc>
          <w:tcPr>
            <w:tcW w:w="900" w:type="dxa"/>
            <w:tcBorders>
              <w:top w:val="single" w:sz="4" w:space="0" w:color="auto"/>
              <w:left w:val="nil"/>
              <w:bottom w:val="single" w:sz="4" w:space="0" w:color="auto"/>
              <w:right w:val="single" w:sz="4" w:space="0" w:color="auto"/>
            </w:tcBorders>
            <w:shd w:val="clear" w:color="auto" w:fill="B3B3B3"/>
            <w:tcMar>
              <w:top w:w="20" w:type="dxa"/>
              <w:left w:w="20" w:type="dxa"/>
              <w:bottom w:w="0" w:type="dxa"/>
              <w:right w:w="20" w:type="dxa"/>
            </w:tcMar>
            <w:vAlign w:val="center"/>
          </w:tcPr>
          <w:p w:rsidR="00730A46" w:rsidRPr="00FB628E" w:rsidRDefault="00AE635A" w:rsidP="00366A78">
            <w:pPr>
              <w:spacing w:before="100" w:beforeAutospacing="1" w:after="100" w:afterAutospacing="1"/>
              <w:jc w:val="center"/>
            </w:pPr>
            <w:r>
              <w:t>9</w:t>
            </w:r>
            <w:r w:rsidR="00366A78">
              <w:t>8.7</w:t>
            </w:r>
          </w:p>
        </w:tc>
        <w:tc>
          <w:tcPr>
            <w:tcW w:w="1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30A46" w:rsidRPr="00762F09" w:rsidRDefault="00BF5D36" w:rsidP="00FB4170">
            <w:pPr>
              <w:spacing w:before="100" w:beforeAutospacing="1" w:after="100" w:afterAutospacing="1"/>
              <w:jc w:val="center"/>
              <w:rPr>
                <w:rFonts w:eastAsia="Arial Unicode MS"/>
              </w:rPr>
            </w:pPr>
            <w:r>
              <w:rPr>
                <w:rFonts w:eastAsia="Arial Unicode MS"/>
              </w:rPr>
              <w:t>94</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30A46" w:rsidRPr="00762F09" w:rsidRDefault="00FB4170" w:rsidP="00FB4170">
            <w:pPr>
              <w:spacing w:before="100" w:beforeAutospacing="1" w:after="100" w:afterAutospacing="1"/>
              <w:jc w:val="center"/>
              <w:rPr>
                <w:rFonts w:eastAsia="Arial Unicode MS"/>
              </w:rPr>
            </w:pPr>
            <w:r>
              <w:rPr>
                <w:rFonts w:eastAsia="Arial Unicode MS"/>
              </w:rPr>
              <w:t>87</w:t>
            </w:r>
          </w:p>
        </w:tc>
      </w:tr>
    </w:tbl>
    <w:p w:rsidR="009E1534" w:rsidRDefault="00BE5966">
      <w:r>
        <w:t xml:space="preserve">                                                                                                                                                                                                                                                                                                </w:t>
      </w:r>
    </w:p>
    <w:p w:rsidR="00D0078F" w:rsidRDefault="00D0078F"/>
    <w:p w:rsidR="001B50EE" w:rsidRDefault="001B50EE" w:rsidP="00E52246">
      <w:pPr>
        <w:spacing w:before="100" w:beforeAutospacing="1" w:after="100" w:afterAutospacing="1"/>
        <w:jc w:val="both"/>
        <w:rPr>
          <w:b/>
          <w:bCs/>
        </w:rPr>
        <w:sectPr w:rsidR="001B50EE" w:rsidSect="00F42E1F">
          <w:pgSz w:w="15840" w:h="12240" w:orient="landscape" w:code="1"/>
          <w:pgMar w:top="1440" w:right="1440" w:bottom="1440" w:left="1440" w:header="720" w:footer="720" w:gutter="0"/>
          <w:cols w:space="720"/>
          <w:noEndnote/>
          <w:docGrid w:linePitch="326"/>
        </w:sectPr>
      </w:pPr>
    </w:p>
    <w:p w:rsidR="00FA2AAB" w:rsidRPr="00762F09" w:rsidRDefault="00FA2AAB" w:rsidP="00DC7ED8">
      <w:pPr>
        <w:spacing w:before="100" w:beforeAutospacing="1" w:after="100" w:afterAutospacing="1"/>
        <w:jc w:val="both"/>
        <w:rPr>
          <w:b/>
          <w:bCs/>
        </w:rPr>
      </w:pPr>
      <w:r>
        <w:rPr>
          <w:b/>
          <w:bCs/>
        </w:rPr>
        <w:lastRenderedPageBreak/>
        <w:t xml:space="preserve">3. </w:t>
      </w:r>
      <w:r w:rsidRPr="00762F09">
        <w:rPr>
          <w:b/>
          <w:bCs/>
        </w:rPr>
        <w:t xml:space="preserve">Performance, Resources, and Strategies </w:t>
      </w:r>
    </w:p>
    <w:p w:rsidR="00FA2AAB" w:rsidRPr="00762F09" w:rsidRDefault="00FA2AAB" w:rsidP="005027FD">
      <w:pPr>
        <w:spacing w:before="100" w:beforeAutospacing="1" w:after="100" w:afterAutospacing="1"/>
        <w:rPr>
          <w:bCs/>
        </w:rPr>
      </w:pPr>
      <w:r w:rsidRPr="00762F09">
        <w:rPr>
          <w:bCs/>
        </w:rPr>
        <w:t>ATF’s j</w:t>
      </w:r>
      <w:r w:rsidRPr="00762F09">
        <w:t>urisdiction, skills, and assets</w:t>
      </w:r>
      <w:r w:rsidRPr="00762F09">
        <w:rPr>
          <w:bCs/>
        </w:rPr>
        <w:t xml:space="preserve"> provide a focused, flexible, and balanced approach to reducing violent crime, fighting unlawful firearms use</w:t>
      </w:r>
      <w:r w:rsidR="004637CC">
        <w:rPr>
          <w:bCs/>
        </w:rPr>
        <w:t>,</w:t>
      </w:r>
      <w:r w:rsidRPr="00762F09">
        <w:rPr>
          <w:bCs/>
        </w:rPr>
        <w:t xml:space="preserve"> and </w:t>
      </w:r>
      <w:r w:rsidR="008E5305">
        <w:rPr>
          <w:bCs/>
        </w:rPr>
        <w:t xml:space="preserve">stemming </w:t>
      </w:r>
      <w:r w:rsidRPr="00762F09">
        <w:rPr>
          <w:bCs/>
        </w:rPr>
        <w:t xml:space="preserve">firearms trafficking while protecting the public’s legitimate access to firearms.  ATF </w:t>
      </w:r>
      <w:r w:rsidRPr="00762F09">
        <w:t>specializes in</w:t>
      </w:r>
      <w:r w:rsidRPr="00762F09">
        <w:rPr>
          <w:bCs/>
        </w:rPr>
        <w:t xml:space="preserve"> </w:t>
      </w:r>
      <w:r w:rsidR="008E5305">
        <w:t>investigating</w:t>
      </w:r>
      <w:r w:rsidRPr="00762F09">
        <w:t xml:space="preserve"> sources of illegal crime guns</w:t>
      </w:r>
      <w:r w:rsidR="008E5305">
        <w:t>;</w:t>
      </w:r>
      <w:r w:rsidRPr="00762F09">
        <w:t xml:space="preserve"> the illegal acquisition of firearms</w:t>
      </w:r>
      <w:r w:rsidR="008E5305">
        <w:t>;</w:t>
      </w:r>
      <w:r w:rsidRPr="00762F09">
        <w:t xml:space="preserve"> </w:t>
      </w:r>
      <w:r w:rsidR="008E5305">
        <w:t xml:space="preserve">and the </w:t>
      </w:r>
      <w:r w:rsidRPr="00762F09">
        <w:t>possession, use, and trafficking of firearms at the national and international level.</w:t>
      </w:r>
      <w:r w:rsidRPr="00762F09">
        <w:rPr>
          <w:bCs/>
        </w:rPr>
        <w:t xml:space="preserve">  Through its VCIT</w:t>
      </w:r>
      <w:r>
        <w:rPr>
          <w:bCs/>
        </w:rPr>
        <w:t>s</w:t>
      </w:r>
      <w:r w:rsidRPr="00762F09">
        <w:rPr>
          <w:bCs/>
        </w:rPr>
        <w:t>, ATF dedicates resources to crime gun market areas to further reduce violent crime.  ATF align</w:t>
      </w:r>
      <w:r w:rsidR="008E5305">
        <w:rPr>
          <w:bCs/>
        </w:rPr>
        <w:t>s</w:t>
      </w:r>
      <w:r w:rsidRPr="00762F09">
        <w:rPr>
          <w:bCs/>
        </w:rPr>
        <w:t xml:space="preserve"> assets to maximize performance </w:t>
      </w:r>
      <w:r w:rsidR="00647DCF">
        <w:rPr>
          <w:bCs/>
        </w:rPr>
        <w:t>by</w:t>
      </w:r>
      <w:r w:rsidRPr="00762F09">
        <w:rPr>
          <w:bCs/>
        </w:rPr>
        <w:t xml:space="preserve"> leveraging technical, scientific</w:t>
      </w:r>
      <w:r>
        <w:rPr>
          <w:bCs/>
        </w:rPr>
        <w:t xml:space="preserve"> and</w:t>
      </w:r>
      <w:r w:rsidRPr="00762F09">
        <w:rPr>
          <w:bCs/>
        </w:rPr>
        <w:t xml:space="preserve"> legal expertise, and </w:t>
      </w:r>
      <w:r w:rsidR="004637CC">
        <w:rPr>
          <w:bCs/>
        </w:rPr>
        <w:t xml:space="preserve">sustaining </w:t>
      </w:r>
      <w:r w:rsidRPr="00762F09">
        <w:rPr>
          <w:bCs/>
        </w:rPr>
        <w:t>partnerships with other law enforcement agencies.</w:t>
      </w:r>
    </w:p>
    <w:p w:rsidR="00FA2AAB" w:rsidRPr="00762F09" w:rsidRDefault="00FA2AAB" w:rsidP="005027FD">
      <w:pPr>
        <w:pStyle w:val="BodyText"/>
        <w:numPr>
          <w:ilvl w:val="0"/>
          <w:numId w:val="4"/>
        </w:numPr>
        <w:spacing w:before="100" w:beforeAutospacing="1" w:after="100" w:afterAutospacing="1"/>
        <w:rPr>
          <w:b/>
          <w:bCs/>
          <w:szCs w:val="24"/>
        </w:rPr>
      </w:pPr>
      <w:r w:rsidRPr="00762F09">
        <w:rPr>
          <w:b/>
          <w:bCs/>
          <w:szCs w:val="24"/>
        </w:rPr>
        <w:t>Performance Plan and Report for Outcomes</w:t>
      </w:r>
    </w:p>
    <w:p w:rsidR="00FA2AAB" w:rsidRDefault="00717977" w:rsidP="005027FD">
      <w:pPr>
        <w:pStyle w:val="Header"/>
        <w:tabs>
          <w:tab w:val="clear" w:pos="4320"/>
          <w:tab w:val="clear" w:pos="8640"/>
        </w:tabs>
        <w:spacing w:before="100" w:beforeAutospacing="1" w:after="100" w:afterAutospacing="1"/>
      </w:pPr>
      <w:r>
        <w:t>Confirming</w:t>
      </w:r>
      <w:r w:rsidRPr="00762F09">
        <w:t xml:space="preserve"> </w:t>
      </w:r>
      <w:r w:rsidR="00FA2AAB" w:rsidRPr="00762F09">
        <w:t xml:space="preserve">the integrity of </w:t>
      </w:r>
      <w:r>
        <w:t>FFL</w:t>
      </w:r>
      <w:r w:rsidRPr="00762F09">
        <w:t xml:space="preserve"> </w:t>
      </w:r>
      <w:r w:rsidR="00FA2AAB" w:rsidRPr="00762F09">
        <w:t xml:space="preserve">records is another key element of preventing violent firearms crime and ensuring that investigators have </w:t>
      </w:r>
      <w:r w:rsidR="00647DCF">
        <w:t xml:space="preserve">the </w:t>
      </w:r>
      <w:r w:rsidR="00FA2AAB" w:rsidRPr="00762F09">
        <w:t xml:space="preserve">tools needed to do their jobs.  To </w:t>
      </w:r>
      <w:r>
        <w:t>help</w:t>
      </w:r>
      <w:r w:rsidRPr="00762F09">
        <w:t xml:space="preserve"> </w:t>
      </w:r>
      <w:r w:rsidR="00FA2AAB" w:rsidRPr="00762F09">
        <w:t>all FFLs operate in accordance</w:t>
      </w:r>
      <w:r w:rsidR="00FA2AAB" w:rsidRPr="00762F09">
        <w:rPr>
          <w:b/>
          <w:color w:val="FF6600"/>
        </w:rPr>
        <w:t xml:space="preserve"> </w:t>
      </w:r>
      <w:r w:rsidR="00FA2AAB" w:rsidRPr="00762F09">
        <w:t xml:space="preserve">with the law, ATF </w:t>
      </w:r>
      <w:r w:rsidRPr="00762F09">
        <w:t>focuse</w:t>
      </w:r>
      <w:r>
        <w:t>s</w:t>
      </w:r>
      <w:r w:rsidRPr="00762F09">
        <w:t xml:space="preserve"> </w:t>
      </w:r>
      <w:r w:rsidR="00FA2AAB" w:rsidRPr="00762F09">
        <w:t>on improving compliance procedures</w:t>
      </w:r>
      <w:r>
        <w:t xml:space="preserve"> so that</w:t>
      </w:r>
      <w:r w:rsidR="00FA2AAB" w:rsidRPr="00762F09">
        <w:t xml:space="preserve"> prohibited individuals do not obtain firearms licenses and </w:t>
      </w:r>
      <w:r w:rsidR="004637CC">
        <w:t xml:space="preserve">so that </w:t>
      </w:r>
      <w:r w:rsidR="00FA2AAB" w:rsidRPr="00762F09">
        <w:t>firearms are not diverted from legal to illegal markets.  ATF measure</w:t>
      </w:r>
      <w:r>
        <w:t>s</w:t>
      </w:r>
      <w:r w:rsidR="00FA2AAB" w:rsidRPr="00762F09">
        <w:t xml:space="preserve"> reductions in violations among FFLs to ensure that its regulatory</w:t>
      </w:r>
      <w:r>
        <w:t>, inspection, and education</w:t>
      </w:r>
      <w:r w:rsidR="00FA2AAB" w:rsidRPr="00762F09">
        <w:t xml:space="preserve"> efforts </w:t>
      </w:r>
      <w:r w:rsidRPr="00762F09">
        <w:t>hav</w:t>
      </w:r>
      <w:r>
        <w:t>e</w:t>
      </w:r>
      <w:r w:rsidRPr="00762F09">
        <w:t xml:space="preserve"> </w:t>
      </w:r>
      <w:r w:rsidR="00FA2AAB" w:rsidRPr="00762F09">
        <w:t xml:space="preserve">the desired impact.  </w:t>
      </w:r>
    </w:p>
    <w:p w:rsidR="007A339C" w:rsidRPr="001C775F" w:rsidRDefault="000C13CD" w:rsidP="007A339C">
      <w:pPr>
        <w:rPr>
          <w:szCs w:val="22"/>
        </w:rPr>
      </w:pPr>
      <w:r w:rsidRPr="001C775F">
        <w:rPr>
          <w:szCs w:val="22"/>
        </w:rPr>
        <w:t>ATF has developed a Performance Index to measure ATF’s 10 core functions as well as the strategic goals and strategic objectives.  The Index includes a performance goal statement for each core function to provide comprehensive tracking and measurement of ATF’s performance across the enterprise.  ATF’s outcome-based performance goal statements are shown below:</w:t>
      </w:r>
    </w:p>
    <w:p w:rsidR="007A339C" w:rsidRPr="001C775F" w:rsidRDefault="007A339C" w:rsidP="007A339C">
      <w:pPr>
        <w:rPr>
          <w:szCs w:val="22"/>
        </w:rPr>
      </w:pPr>
    </w:p>
    <w:tbl>
      <w:tblPr>
        <w:tblW w:w="8204" w:type="dxa"/>
        <w:jc w:val="center"/>
        <w:tblInd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4" w:type="dxa"/>
          <w:right w:w="14" w:type="dxa"/>
        </w:tblCellMar>
        <w:tblLook w:val="04A0"/>
      </w:tblPr>
      <w:tblGrid>
        <w:gridCol w:w="2752"/>
        <w:gridCol w:w="5452"/>
      </w:tblGrid>
      <w:tr w:rsidR="007A339C" w:rsidRPr="00716AF8" w:rsidTr="00761D07">
        <w:trPr>
          <w:trHeight w:val="288"/>
          <w:jc w:val="center"/>
        </w:trPr>
        <w:tc>
          <w:tcPr>
            <w:tcW w:w="2752" w:type="dxa"/>
            <w:tcBorders>
              <w:bottom w:val="single" w:sz="8" w:space="0" w:color="000000"/>
            </w:tcBorders>
            <w:tcMar>
              <w:top w:w="43" w:type="dxa"/>
              <w:left w:w="43" w:type="dxa"/>
              <w:bottom w:w="43" w:type="dxa"/>
              <w:right w:w="43" w:type="dxa"/>
            </w:tcMar>
            <w:vAlign w:val="center"/>
          </w:tcPr>
          <w:p w:rsidR="007A339C" w:rsidRPr="001C775F" w:rsidRDefault="000C13CD" w:rsidP="00761D07">
            <w:pPr>
              <w:jc w:val="center"/>
              <w:rPr>
                <w:b/>
                <w:i/>
              </w:rPr>
            </w:pPr>
            <w:r w:rsidRPr="001C775F">
              <w:rPr>
                <w:b/>
                <w:i/>
                <w:szCs w:val="22"/>
              </w:rPr>
              <w:t>Core Function</w:t>
            </w:r>
          </w:p>
        </w:tc>
        <w:tc>
          <w:tcPr>
            <w:tcW w:w="5452" w:type="dxa"/>
            <w:tcBorders>
              <w:bottom w:val="single" w:sz="8" w:space="0" w:color="000000"/>
            </w:tcBorders>
            <w:vAlign w:val="center"/>
          </w:tcPr>
          <w:p w:rsidR="007A339C" w:rsidRPr="001C775F" w:rsidRDefault="000C13CD" w:rsidP="00761D07">
            <w:pPr>
              <w:jc w:val="center"/>
              <w:rPr>
                <w:b/>
                <w:i/>
              </w:rPr>
            </w:pPr>
            <w:r w:rsidRPr="001C775F">
              <w:rPr>
                <w:b/>
                <w:i/>
                <w:szCs w:val="22"/>
              </w:rPr>
              <w:t>Performance Goal Statement</w:t>
            </w:r>
          </w:p>
        </w:tc>
      </w:tr>
      <w:tr w:rsidR="007A339C" w:rsidRPr="00716AF8" w:rsidTr="00761D07">
        <w:trPr>
          <w:trHeight w:val="562"/>
          <w:jc w:val="center"/>
        </w:trPr>
        <w:tc>
          <w:tcPr>
            <w:tcW w:w="2752" w:type="dxa"/>
            <w:shd w:val="clear" w:color="auto" w:fill="F2F2F2"/>
            <w:tcMar>
              <w:top w:w="43" w:type="dxa"/>
              <w:left w:w="43" w:type="dxa"/>
              <w:bottom w:w="43" w:type="dxa"/>
              <w:right w:w="43" w:type="dxa"/>
            </w:tcMar>
            <w:vAlign w:val="center"/>
          </w:tcPr>
          <w:p w:rsidR="007A339C" w:rsidRPr="001C775F" w:rsidRDefault="000C13CD" w:rsidP="00761D07">
            <w:pPr>
              <w:jc w:val="center"/>
              <w:rPr>
                <w:b/>
              </w:rPr>
            </w:pPr>
            <w:r w:rsidRPr="001C775F">
              <w:rPr>
                <w:b/>
                <w:szCs w:val="22"/>
              </w:rPr>
              <w:t>Illegal Firearms Trafficking</w:t>
            </w:r>
          </w:p>
        </w:tc>
        <w:tc>
          <w:tcPr>
            <w:tcW w:w="5452" w:type="dxa"/>
            <w:shd w:val="clear" w:color="auto" w:fill="F2F2F2"/>
            <w:tcMar>
              <w:top w:w="43" w:type="dxa"/>
              <w:left w:w="43" w:type="dxa"/>
              <w:bottom w:w="43" w:type="dxa"/>
              <w:right w:w="43" w:type="dxa"/>
            </w:tcMar>
            <w:vAlign w:val="center"/>
          </w:tcPr>
          <w:p w:rsidR="007A339C" w:rsidRPr="001C775F" w:rsidRDefault="000C13CD" w:rsidP="00761D07">
            <w:pPr>
              <w:jc w:val="center"/>
            </w:pPr>
            <w:r w:rsidRPr="001C775F">
              <w:rPr>
                <w:szCs w:val="22"/>
              </w:rPr>
              <w:t>Reduce the risk to public safety caused by illegal firearms trafficking</w:t>
            </w:r>
          </w:p>
        </w:tc>
      </w:tr>
      <w:tr w:rsidR="007A339C" w:rsidRPr="00716AF8" w:rsidTr="00761D07">
        <w:trPr>
          <w:trHeight w:val="836"/>
          <w:jc w:val="center"/>
        </w:trPr>
        <w:tc>
          <w:tcPr>
            <w:tcW w:w="2752" w:type="dxa"/>
            <w:shd w:val="clear" w:color="auto" w:fill="F2F2F2"/>
            <w:tcMar>
              <w:top w:w="43" w:type="dxa"/>
              <w:left w:w="43" w:type="dxa"/>
              <w:bottom w:w="43" w:type="dxa"/>
              <w:right w:w="43" w:type="dxa"/>
            </w:tcMar>
            <w:vAlign w:val="center"/>
          </w:tcPr>
          <w:p w:rsidR="007A339C" w:rsidRPr="001C775F" w:rsidRDefault="000C13CD" w:rsidP="00761D07">
            <w:pPr>
              <w:jc w:val="center"/>
              <w:rPr>
                <w:b/>
              </w:rPr>
            </w:pPr>
            <w:r w:rsidRPr="001C775F">
              <w:rPr>
                <w:b/>
                <w:szCs w:val="22"/>
              </w:rPr>
              <w:t>Firearms Criminal Possession and Use</w:t>
            </w:r>
          </w:p>
        </w:tc>
        <w:tc>
          <w:tcPr>
            <w:tcW w:w="5452" w:type="dxa"/>
            <w:shd w:val="clear" w:color="auto" w:fill="F2F2F2"/>
            <w:tcMar>
              <w:top w:w="43" w:type="dxa"/>
              <w:left w:w="43" w:type="dxa"/>
              <w:bottom w:w="43" w:type="dxa"/>
              <w:right w:w="43" w:type="dxa"/>
            </w:tcMar>
            <w:vAlign w:val="center"/>
          </w:tcPr>
          <w:p w:rsidR="007A339C" w:rsidRPr="001C775F" w:rsidRDefault="000C13CD" w:rsidP="00761D07">
            <w:pPr>
              <w:jc w:val="center"/>
            </w:pPr>
            <w:r w:rsidRPr="001C775F">
              <w:rPr>
                <w:szCs w:val="22"/>
              </w:rPr>
              <w:t>Reduce the risk to public safety caused by criminal possession and use of firearms</w:t>
            </w:r>
          </w:p>
        </w:tc>
      </w:tr>
      <w:tr w:rsidR="007A339C" w:rsidRPr="00716AF8" w:rsidTr="00761D07">
        <w:trPr>
          <w:trHeight w:val="836"/>
          <w:jc w:val="center"/>
        </w:trPr>
        <w:tc>
          <w:tcPr>
            <w:tcW w:w="2752" w:type="dxa"/>
            <w:shd w:val="clear" w:color="auto" w:fill="F2F2F2"/>
            <w:tcMar>
              <w:top w:w="43" w:type="dxa"/>
              <w:left w:w="43" w:type="dxa"/>
              <w:bottom w:w="43" w:type="dxa"/>
              <w:right w:w="43" w:type="dxa"/>
            </w:tcMar>
            <w:vAlign w:val="center"/>
          </w:tcPr>
          <w:p w:rsidR="007A339C" w:rsidRPr="001C775F" w:rsidRDefault="000C13CD" w:rsidP="00761D07">
            <w:pPr>
              <w:jc w:val="center"/>
              <w:rPr>
                <w:b/>
              </w:rPr>
            </w:pPr>
            <w:r w:rsidRPr="001C775F">
              <w:rPr>
                <w:b/>
                <w:szCs w:val="22"/>
              </w:rPr>
              <w:t>Firearms Industry Operations</w:t>
            </w:r>
          </w:p>
        </w:tc>
        <w:tc>
          <w:tcPr>
            <w:tcW w:w="5452" w:type="dxa"/>
            <w:shd w:val="clear" w:color="auto" w:fill="F2F2F2"/>
            <w:tcMar>
              <w:top w:w="43" w:type="dxa"/>
              <w:left w:w="43" w:type="dxa"/>
              <w:bottom w:w="43" w:type="dxa"/>
              <w:right w:w="43" w:type="dxa"/>
            </w:tcMar>
            <w:vAlign w:val="center"/>
          </w:tcPr>
          <w:p w:rsidR="007A339C" w:rsidRPr="001C775F" w:rsidRDefault="000C13CD" w:rsidP="00761D07">
            <w:pPr>
              <w:jc w:val="center"/>
            </w:pPr>
            <w:r w:rsidRPr="001C775F">
              <w:rPr>
                <w:szCs w:val="22"/>
              </w:rPr>
              <w:t>Improve public safety by increasing compliance with Federal laws and regulations by firearms industry members</w:t>
            </w:r>
          </w:p>
        </w:tc>
      </w:tr>
      <w:tr w:rsidR="007A339C" w:rsidRPr="00716AF8" w:rsidTr="00761D07">
        <w:trPr>
          <w:trHeight w:val="562"/>
          <w:jc w:val="center"/>
        </w:trPr>
        <w:tc>
          <w:tcPr>
            <w:tcW w:w="2752" w:type="dxa"/>
            <w:shd w:val="clear" w:color="auto" w:fill="F2F2F2"/>
            <w:tcMar>
              <w:top w:w="43" w:type="dxa"/>
              <w:left w:w="43" w:type="dxa"/>
              <w:bottom w:w="43" w:type="dxa"/>
              <w:right w:w="43" w:type="dxa"/>
            </w:tcMar>
            <w:vAlign w:val="center"/>
          </w:tcPr>
          <w:p w:rsidR="007A339C" w:rsidRPr="001C775F" w:rsidRDefault="000C13CD" w:rsidP="00761D07">
            <w:pPr>
              <w:jc w:val="center"/>
              <w:rPr>
                <w:b/>
              </w:rPr>
            </w:pPr>
            <w:r w:rsidRPr="001C775F">
              <w:rPr>
                <w:b/>
                <w:szCs w:val="22"/>
              </w:rPr>
              <w:t>Criminal Groups and Gangs</w:t>
            </w:r>
          </w:p>
        </w:tc>
        <w:tc>
          <w:tcPr>
            <w:tcW w:w="5452" w:type="dxa"/>
            <w:shd w:val="clear" w:color="auto" w:fill="F2F2F2"/>
            <w:tcMar>
              <w:top w:w="43" w:type="dxa"/>
              <w:left w:w="43" w:type="dxa"/>
              <w:bottom w:w="43" w:type="dxa"/>
              <w:right w:w="43" w:type="dxa"/>
            </w:tcMar>
            <w:vAlign w:val="center"/>
          </w:tcPr>
          <w:p w:rsidR="007A339C" w:rsidRPr="001C775F" w:rsidRDefault="000C13CD" w:rsidP="00761D07">
            <w:pPr>
              <w:jc w:val="center"/>
            </w:pPr>
            <w:r w:rsidRPr="001C775F">
              <w:rPr>
                <w:szCs w:val="22"/>
              </w:rPr>
              <w:t>Reduce the risk to public safety caused by criminal organizations and gangs</w:t>
            </w:r>
          </w:p>
        </w:tc>
      </w:tr>
      <w:tr w:rsidR="007A339C" w:rsidRPr="00716AF8" w:rsidTr="00761D07">
        <w:trPr>
          <w:trHeight w:val="836"/>
          <w:jc w:val="center"/>
        </w:trPr>
        <w:tc>
          <w:tcPr>
            <w:tcW w:w="2752" w:type="dxa"/>
            <w:shd w:val="clear" w:color="auto" w:fill="F2F2F2"/>
            <w:tcMar>
              <w:top w:w="43" w:type="dxa"/>
              <w:left w:w="43" w:type="dxa"/>
              <w:bottom w:w="43" w:type="dxa"/>
              <w:right w:w="43" w:type="dxa"/>
            </w:tcMar>
            <w:vAlign w:val="center"/>
          </w:tcPr>
          <w:p w:rsidR="007A339C" w:rsidRPr="001C775F" w:rsidRDefault="000C13CD" w:rsidP="00761D07">
            <w:pPr>
              <w:jc w:val="center"/>
              <w:rPr>
                <w:b/>
              </w:rPr>
            </w:pPr>
            <w:r w:rsidRPr="001C775F">
              <w:rPr>
                <w:b/>
                <w:szCs w:val="22"/>
              </w:rPr>
              <w:t>Explosives, Bombs, and Bombings</w:t>
            </w:r>
          </w:p>
        </w:tc>
        <w:tc>
          <w:tcPr>
            <w:tcW w:w="5452" w:type="dxa"/>
            <w:shd w:val="clear" w:color="auto" w:fill="F2F2F2"/>
            <w:tcMar>
              <w:top w:w="43" w:type="dxa"/>
              <w:left w:w="43" w:type="dxa"/>
              <w:bottom w:w="43" w:type="dxa"/>
              <w:right w:w="43" w:type="dxa"/>
            </w:tcMar>
            <w:vAlign w:val="center"/>
          </w:tcPr>
          <w:p w:rsidR="007A339C" w:rsidRPr="001C775F" w:rsidRDefault="000C13CD" w:rsidP="00761D07">
            <w:pPr>
              <w:jc w:val="center"/>
            </w:pPr>
            <w:r w:rsidRPr="001C775F">
              <w:rPr>
                <w:szCs w:val="22"/>
              </w:rPr>
              <w:t>Reduce the risk to public safety caused by bombs and explosives</w:t>
            </w:r>
          </w:p>
        </w:tc>
      </w:tr>
      <w:tr w:rsidR="007A339C" w:rsidRPr="00716AF8" w:rsidTr="00761D07">
        <w:trPr>
          <w:trHeight w:val="836"/>
          <w:jc w:val="center"/>
        </w:trPr>
        <w:tc>
          <w:tcPr>
            <w:tcW w:w="2752" w:type="dxa"/>
            <w:shd w:val="clear" w:color="auto" w:fill="F2F2F2"/>
            <w:tcMar>
              <w:top w:w="43" w:type="dxa"/>
              <w:left w:w="43" w:type="dxa"/>
              <w:bottom w:w="43" w:type="dxa"/>
              <w:right w:w="43" w:type="dxa"/>
            </w:tcMar>
            <w:vAlign w:val="center"/>
          </w:tcPr>
          <w:p w:rsidR="007A339C" w:rsidRPr="001C775F" w:rsidRDefault="000C13CD" w:rsidP="00761D07">
            <w:pPr>
              <w:jc w:val="center"/>
              <w:rPr>
                <w:b/>
              </w:rPr>
            </w:pPr>
            <w:r w:rsidRPr="001C775F">
              <w:rPr>
                <w:b/>
                <w:szCs w:val="22"/>
              </w:rPr>
              <w:t>Explosives Industry Operations</w:t>
            </w:r>
          </w:p>
        </w:tc>
        <w:tc>
          <w:tcPr>
            <w:tcW w:w="5452" w:type="dxa"/>
            <w:shd w:val="clear" w:color="auto" w:fill="F2F2F2"/>
            <w:tcMar>
              <w:top w:w="43" w:type="dxa"/>
              <w:left w:w="43" w:type="dxa"/>
              <w:bottom w:w="43" w:type="dxa"/>
              <w:right w:w="43" w:type="dxa"/>
            </w:tcMar>
            <w:vAlign w:val="center"/>
          </w:tcPr>
          <w:p w:rsidR="007A339C" w:rsidRPr="001C775F" w:rsidRDefault="000C13CD" w:rsidP="00761D07">
            <w:pPr>
              <w:jc w:val="center"/>
            </w:pPr>
            <w:r w:rsidRPr="001C775F">
              <w:rPr>
                <w:szCs w:val="22"/>
              </w:rPr>
              <w:t>Improve public safety by increasing compliance with Federal laws and regulations by explosives industry members</w:t>
            </w:r>
          </w:p>
        </w:tc>
      </w:tr>
      <w:tr w:rsidR="007A339C" w:rsidRPr="00716AF8" w:rsidTr="00761D07">
        <w:trPr>
          <w:trHeight w:val="547"/>
          <w:jc w:val="center"/>
        </w:trPr>
        <w:tc>
          <w:tcPr>
            <w:tcW w:w="2752" w:type="dxa"/>
            <w:shd w:val="clear" w:color="auto" w:fill="F2F2F2"/>
            <w:tcMar>
              <w:top w:w="43" w:type="dxa"/>
              <w:left w:w="43" w:type="dxa"/>
              <w:bottom w:w="43" w:type="dxa"/>
              <w:right w:w="43" w:type="dxa"/>
            </w:tcMar>
            <w:vAlign w:val="center"/>
          </w:tcPr>
          <w:p w:rsidR="007A339C" w:rsidRPr="001C775F" w:rsidRDefault="000C13CD" w:rsidP="00761D07">
            <w:pPr>
              <w:jc w:val="center"/>
              <w:rPr>
                <w:b/>
              </w:rPr>
            </w:pPr>
            <w:r w:rsidRPr="001C775F">
              <w:rPr>
                <w:b/>
                <w:szCs w:val="22"/>
              </w:rPr>
              <w:lastRenderedPageBreak/>
              <w:t>Fire and Arson</w:t>
            </w:r>
          </w:p>
        </w:tc>
        <w:tc>
          <w:tcPr>
            <w:tcW w:w="5452" w:type="dxa"/>
            <w:shd w:val="clear" w:color="auto" w:fill="F2F2F2"/>
            <w:tcMar>
              <w:top w:w="43" w:type="dxa"/>
              <w:left w:w="43" w:type="dxa"/>
              <w:bottom w:w="43" w:type="dxa"/>
              <w:right w:w="43" w:type="dxa"/>
            </w:tcMar>
            <w:vAlign w:val="center"/>
          </w:tcPr>
          <w:p w:rsidR="007A339C" w:rsidRPr="001C775F" w:rsidRDefault="000C13CD" w:rsidP="00761D07">
            <w:pPr>
              <w:jc w:val="center"/>
            </w:pPr>
            <w:r w:rsidRPr="001C775F">
              <w:rPr>
                <w:szCs w:val="22"/>
              </w:rPr>
              <w:t>Reduce the risk to public safety caused by the criminal use of fire</w:t>
            </w:r>
          </w:p>
        </w:tc>
      </w:tr>
      <w:tr w:rsidR="007A339C" w:rsidRPr="00716AF8" w:rsidTr="00761D07">
        <w:trPr>
          <w:trHeight w:val="562"/>
          <w:jc w:val="center"/>
        </w:trPr>
        <w:tc>
          <w:tcPr>
            <w:tcW w:w="2752" w:type="dxa"/>
            <w:shd w:val="clear" w:color="auto" w:fill="F2F2F2"/>
            <w:tcMar>
              <w:top w:w="43" w:type="dxa"/>
              <w:left w:w="43" w:type="dxa"/>
              <w:bottom w:w="43" w:type="dxa"/>
              <w:right w:w="43" w:type="dxa"/>
            </w:tcMar>
            <w:vAlign w:val="center"/>
          </w:tcPr>
          <w:p w:rsidR="007A339C" w:rsidRPr="001C775F" w:rsidRDefault="000C13CD" w:rsidP="00761D07">
            <w:pPr>
              <w:jc w:val="center"/>
              <w:rPr>
                <w:b/>
              </w:rPr>
            </w:pPr>
            <w:r w:rsidRPr="001C775F">
              <w:rPr>
                <w:b/>
                <w:szCs w:val="22"/>
              </w:rPr>
              <w:t>Alcohol and Tobacco</w:t>
            </w:r>
          </w:p>
        </w:tc>
        <w:tc>
          <w:tcPr>
            <w:tcW w:w="5452" w:type="dxa"/>
            <w:shd w:val="clear" w:color="auto" w:fill="F2F2F2"/>
            <w:tcMar>
              <w:top w:w="43" w:type="dxa"/>
              <w:left w:w="43" w:type="dxa"/>
              <w:bottom w:w="43" w:type="dxa"/>
              <w:right w:w="43" w:type="dxa"/>
            </w:tcMar>
            <w:vAlign w:val="center"/>
          </w:tcPr>
          <w:p w:rsidR="007A339C" w:rsidRPr="001C775F" w:rsidRDefault="000C13CD" w:rsidP="00761D07">
            <w:pPr>
              <w:jc w:val="center"/>
            </w:pPr>
            <w:r w:rsidRPr="001C775F">
              <w:rPr>
                <w:szCs w:val="22"/>
              </w:rPr>
              <w:t>Reduce the loss of tax revenues caused by contraband alcohol and tobacco trafficking</w:t>
            </w:r>
          </w:p>
        </w:tc>
      </w:tr>
      <w:tr w:rsidR="007A339C" w:rsidRPr="00716AF8" w:rsidTr="00761D07">
        <w:trPr>
          <w:trHeight w:val="547"/>
          <w:jc w:val="center"/>
        </w:trPr>
        <w:tc>
          <w:tcPr>
            <w:tcW w:w="2752" w:type="dxa"/>
            <w:shd w:val="clear" w:color="auto" w:fill="F2F2F2"/>
            <w:tcMar>
              <w:top w:w="43" w:type="dxa"/>
              <w:left w:w="43" w:type="dxa"/>
              <w:bottom w:w="43" w:type="dxa"/>
              <w:right w:w="43" w:type="dxa"/>
            </w:tcMar>
            <w:vAlign w:val="center"/>
          </w:tcPr>
          <w:p w:rsidR="007A339C" w:rsidRPr="001C775F" w:rsidRDefault="000C13CD" w:rsidP="00761D07">
            <w:pPr>
              <w:jc w:val="center"/>
              <w:rPr>
                <w:b/>
              </w:rPr>
            </w:pPr>
            <w:r w:rsidRPr="001C775F">
              <w:rPr>
                <w:b/>
                <w:szCs w:val="22"/>
              </w:rPr>
              <w:t>Modernization</w:t>
            </w:r>
          </w:p>
        </w:tc>
        <w:tc>
          <w:tcPr>
            <w:tcW w:w="5452" w:type="dxa"/>
            <w:shd w:val="clear" w:color="auto" w:fill="F2F2F2"/>
            <w:tcMar>
              <w:top w:w="43" w:type="dxa"/>
              <w:left w:w="43" w:type="dxa"/>
              <w:bottom w:w="43" w:type="dxa"/>
              <w:right w:w="43" w:type="dxa"/>
            </w:tcMar>
            <w:vAlign w:val="center"/>
          </w:tcPr>
          <w:p w:rsidR="007A339C" w:rsidRPr="001C775F" w:rsidRDefault="000C13CD" w:rsidP="00761D07">
            <w:pPr>
              <w:jc w:val="center"/>
            </w:pPr>
            <w:r w:rsidRPr="001C775F">
              <w:rPr>
                <w:szCs w:val="22"/>
              </w:rPr>
              <w:t>Modernize business processes and systems for improved mission effectiveness and transparency</w:t>
            </w:r>
          </w:p>
        </w:tc>
      </w:tr>
      <w:tr w:rsidR="007A339C" w:rsidRPr="00716AF8" w:rsidTr="00761D07">
        <w:trPr>
          <w:trHeight w:val="562"/>
          <w:jc w:val="center"/>
        </w:trPr>
        <w:tc>
          <w:tcPr>
            <w:tcW w:w="2752" w:type="dxa"/>
            <w:shd w:val="clear" w:color="auto" w:fill="F2F2F2"/>
            <w:tcMar>
              <w:top w:w="43" w:type="dxa"/>
              <w:left w:w="43" w:type="dxa"/>
              <w:bottom w:w="43" w:type="dxa"/>
              <w:right w:w="43" w:type="dxa"/>
            </w:tcMar>
            <w:vAlign w:val="center"/>
          </w:tcPr>
          <w:p w:rsidR="007A339C" w:rsidRPr="001C775F" w:rsidRDefault="000C13CD" w:rsidP="00761D07">
            <w:pPr>
              <w:jc w:val="center"/>
              <w:rPr>
                <w:b/>
              </w:rPr>
            </w:pPr>
            <w:r w:rsidRPr="001C775F">
              <w:rPr>
                <w:b/>
                <w:szCs w:val="22"/>
              </w:rPr>
              <w:t>Workforce</w:t>
            </w:r>
          </w:p>
        </w:tc>
        <w:tc>
          <w:tcPr>
            <w:tcW w:w="5452" w:type="dxa"/>
            <w:shd w:val="clear" w:color="auto" w:fill="F2F2F2"/>
            <w:tcMar>
              <w:top w:w="43" w:type="dxa"/>
              <w:left w:w="43" w:type="dxa"/>
              <w:bottom w:w="43" w:type="dxa"/>
              <w:right w:w="43" w:type="dxa"/>
            </w:tcMar>
            <w:vAlign w:val="center"/>
          </w:tcPr>
          <w:p w:rsidR="007A339C" w:rsidRPr="001C775F" w:rsidRDefault="000C13CD" w:rsidP="00761D07">
            <w:pPr>
              <w:jc w:val="center"/>
            </w:pPr>
            <w:r w:rsidRPr="001C775F">
              <w:rPr>
                <w:szCs w:val="22"/>
              </w:rPr>
              <w:t>Attract, develop, and retain an expert workforce to execute the ATF mission</w:t>
            </w:r>
          </w:p>
        </w:tc>
      </w:tr>
    </w:tbl>
    <w:p w:rsidR="007A339C" w:rsidRPr="001C775F" w:rsidRDefault="007A339C" w:rsidP="007A339C">
      <w:pPr>
        <w:rPr>
          <w:szCs w:val="22"/>
        </w:rPr>
      </w:pPr>
    </w:p>
    <w:p w:rsidR="007A339C" w:rsidRPr="001C775F" w:rsidRDefault="000C13CD" w:rsidP="007A339C">
      <w:pPr>
        <w:rPr>
          <w:szCs w:val="22"/>
        </w:rPr>
      </w:pPr>
      <w:r w:rsidRPr="001C775F">
        <w:rPr>
          <w:szCs w:val="22"/>
        </w:rPr>
        <w:t xml:space="preserve">In the Index, each performance goal statement aligns with specified strategic objectives and their corresponding performance indicators. This structure allows ATF to evaluate performance at each level: enterprise, budget decision unit, core function/performance goal statement, and strategic objective, </w:t>
      </w:r>
      <w:r w:rsidR="004637CC">
        <w:rPr>
          <w:szCs w:val="22"/>
        </w:rPr>
        <w:t xml:space="preserve">and to use </w:t>
      </w:r>
      <w:r w:rsidRPr="001C775F">
        <w:rPr>
          <w:szCs w:val="22"/>
        </w:rPr>
        <w:t>performance indicators to track progress against targets.</w:t>
      </w:r>
    </w:p>
    <w:p w:rsidR="007A339C" w:rsidRPr="001C775F" w:rsidRDefault="007A339C" w:rsidP="007A339C">
      <w:pPr>
        <w:rPr>
          <w:sz w:val="21"/>
          <w:szCs w:val="21"/>
        </w:rPr>
      </w:pPr>
    </w:p>
    <w:p w:rsidR="007A339C" w:rsidRPr="001C775F" w:rsidRDefault="000C13CD" w:rsidP="007A339C">
      <w:pPr>
        <w:rPr>
          <w:szCs w:val="22"/>
        </w:rPr>
      </w:pPr>
      <w:r w:rsidRPr="001C775F">
        <w:rPr>
          <w:szCs w:val="22"/>
        </w:rPr>
        <w:t xml:space="preserve">Applying an index to gauge performance is a widely accepted practice for compiling multiple performance indicators into a single number.  Examples of indices used elsewhere in the Federal government include the Environmental Protection Agency’s UV Index and the FBI’s annual calculation of a crime rate </w:t>
      </w:r>
      <w:r w:rsidR="004637CC">
        <w:rPr>
          <w:szCs w:val="22"/>
        </w:rPr>
        <w:t xml:space="preserve">that results </w:t>
      </w:r>
      <w:r w:rsidRPr="001C775F">
        <w:rPr>
          <w:szCs w:val="22"/>
        </w:rPr>
        <w:t>in the FBI Uniform Crime Report. As used at ATF, the Index number moves up or down and portrays the progress made against pre-established performance goal statements.</w:t>
      </w:r>
    </w:p>
    <w:p w:rsidR="007A339C" w:rsidRPr="001C775F" w:rsidRDefault="007A339C" w:rsidP="007A339C">
      <w:pPr>
        <w:rPr>
          <w:szCs w:val="22"/>
        </w:rPr>
      </w:pPr>
    </w:p>
    <w:p w:rsidR="007A339C" w:rsidRPr="001C775F" w:rsidRDefault="000C13CD" w:rsidP="007A339C">
      <w:pPr>
        <w:rPr>
          <w:szCs w:val="22"/>
        </w:rPr>
      </w:pPr>
      <w:r w:rsidRPr="001C775F">
        <w:rPr>
          <w:szCs w:val="22"/>
        </w:rPr>
        <w:t>The Index measures progress against quantifiable goals or targets.  ATF has established a target for each performance indicator included in the Index based on historic performance and ATF’s current or anticipated operating environment.  Each piece of the Index (performance indicator, strategic objective, performance goal statement, and budget decision unit) has been assigned a weight to show its strength relative to the overall Index.  The weight assigned to each of the performance indicators is based on the indicator’s effectiveness as a measure of its respective performance goal statement.  The weight of each strategic objective is the sum of the weights of the performance indicators that comprise it. The performance goal statements were weighted according to two criteria: impact on its respective budget decision unit mission (e.g., the impact of Illegal Firearms Trafficking on ATF’s Firearms mission), and ATF’s current capabilities in the area of the performance goal statement. Weights are assigned to ATF’s budget decision units (firearms, arson and explosives, and alcohol and tobacco) in accordance with established Congressional reprogramming thresholds among these mission areas.</w:t>
      </w:r>
    </w:p>
    <w:p w:rsidR="007A339C" w:rsidRPr="001C775F" w:rsidRDefault="007A339C" w:rsidP="007A339C">
      <w:pPr>
        <w:rPr>
          <w:szCs w:val="22"/>
        </w:rPr>
      </w:pPr>
    </w:p>
    <w:p w:rsidR="007A339C" w:rsidRPr="001C775F" w:rsidRDefault="000C13CD" w:rsidP="007A339C">
      <w:pPr>
        <w:rPr>
          <w:szCs w:val="22"/>
        </w:rPr>
      </w:pPr>
      <w:r w:rsidRPr="001C775F">
        <w:rPr>
          <w:szCs w:val="22"/>
        </w:rPr>
        <w:t xml:space="preserve">The Index </w:t>
      </w:r>
      <w:r w:rsidR="004637CC">
        <w:rPr>
          <w:szCs w:val="22"/>
        </w:rPr>
        <w:t xml:space="preserve">compiles </w:t>
      </w:r>
      <w:r w:rsidRPr="001C775F">
        <w:rPr>
          <w:szCs w:val="22"/>
        </w:rPr>
        <w:t>mathematical calculations that combine ATF’s actual progress toward targets, and the weight of the performance indicator, strategic objective, performance goal statement, and budget decision unit.  The calculations to determine the value for each level of ATF’s Performance Index is as follows:</w:t>
      </w:r>
    </w:p>
    <w:p w:rsidR="007A339C" w:rsidRPr="001C775F" w:rsidRDefault="007A339C" w:rsidP="007A339C">
      <w:pPr>
        <w:rPr>
          <w:szCs w:val="22"/>
        </w:rPr>
      </w:pPr>
    </w:p>
    <w:tbl>
      <w:tblPr>
        <w:tblW w:w="9288" w:type="dxa"/>
        <w:tblLook w:val="04A0"/>
      </w:tblPr>
      <w:tblGrid>
        <w:gridCol w:w="3258"/>
        <w:gridCol w:w="6030"/>
      </w:tblGrid>
      <w:tr w:rsidR="007A339C" w:rsidRPr="00716AF8" w:rsidTr="00761D07">
        <w:tc>
          <w:tcPr>
            <w:tcW w:w="3258" w:type="dxa"/>
          </w:tcPr>
          <w:p w:rsidR="007A339C" w:rsidRPr="001C775F" w:rsidRDefault="000C13CD" w:rsidP="00761D07">
            <w:r w:rsidRPr="001C775F">
              <w:rPr>
                <w:szCs w:val="22"/>
              </w:rPr>
              <w:t>Per Performance Indicator:</w:t>
            </w:r>
          </w:p>
        </w:tc>
        <w:tc>
          <w:tcPr>
            <w:tcW w:w="6030" w:type="dxa"/>
          </w:tcPr>
          <w:p w:rsidR="007A339C" w:rsidRPr="001C775F" w:rsidRDefault="000C13CD" w:rsidP="00761D07">
            <w:r w:rsidRPr="001C775F">
              <w:rPr>
                <w:szCs w:val="22"/>
              </w:rPr>
              <w:t>Actual ÷ Target x Weight of Performance Indicator</w:t>
            </w:r>
          </w:p>
        </w:tc>
      </w:tr>
      <w:tr w:rsidR="007A339C" w:rsidRPr="00716AF8" w:rsidTr="00761D07">
        <w:tc>
          <w:tcPr>
            <w:tcW w:w="3258" w:type="dxa"/>
          </w:tcPr>
          <w:p w:rsidR="007A339C" w:rsidRPr="001C775F" w:rsidRDefault="000C13CD" w:rsidP="00761D07">
            <w:r w:rsidRPr="001C775F">
              <w:rPr>
                <w:szCs w:val="22"/>
              </w:rPr>
              <w:t>Per Strategic Objective:</w:t>
            </w:r>
          </w:p>
        </w:tc>
        <w:tc>
          <w:tcPr>
            <w:tcW w:w="6030" w:type="dxa"/>
          </w:tcPr>
          <w:p w:rsidR="007A339C" w:rsidRPr="001C775F" w:rsidRDefault="000C13CD" w:rsidP="00761D07">
            <w:r w:rsidRPr="001C775F">
              <w:rPr>
                <w:szCs w:val="22"/>
              </w:rPr>
              <w:t>Sum of Performance Indicator Subtotals</w:t>
            </w:r>
          </w:p>
        </w:tc>
      </w:tr>
      <w:tr w:rsidR="007A339C" w:rsidRPr="00716AF8" w:rsidTr="00761D07">
        <w:tc>
          <w:tcPr>
            <w:tcW w:w="3258" w:type="dxa"/>
          </w:tcPr>
          <w:p w:rsidR="007A339C" w:rsidRPr="001C775F" w:rsidRDefault="000C13CD" w:rsidP="00761D07">
            <w:r w:rsidRPr="001C775F">
              <w:rPr>
                <w:szCs w:val="22"/>
              </w:rPr>
              <w:t>Per Performance Goal Statement:</w:t>
            </w:r>
          </w:p>
        </w:tc>
        <w:tc>
          <w:tcPr>
            <w:tcW w:w="6030" w:type="dxa"/>
          </w:tcPr>
          <w:p w:rsidR="007A339C" w:rsidRPr="001C775F" w:rsidRDefault="000C13CD" w:rsidP="00761D07">
            <w:pPr>
              <w:rPr>
                <w:rFonts w:cs="Arial"/>
                <w:b/>
                <w:bCs/>
                <w:lang w:val="en-GB"/>
              </w:rPr>
            </w:pPr>
            <w:r w:rsidRPr="001C775F">
              <w:rPr>
                <w:szCs w:val="22"/>
              </w:rPr>
              <w:t>Sum of Strategic Objective Totals x Weight of Performance Goal Statement</w:t>
            </w:r>
          </w:p>
        </w:tc>
      </w:tr>
      <w:tr w:rsidR="007A339C" w:rsidRPr="00716AF8" w:rsidTr="00761D07">
        <w:tc>
          <w:tcPr>
            <w:tcW w:w="3258" w:type="dxa"/>
          </w:tcPr>
          <w:p w:rsidR="007A339C" w:rsidRPr="001C775F" w:rsidRDefault="000C13CD" w:rsidP="00761D07">
            <w:r w:rsidRPr="001C775F">
              <w:rPr>
                <w:szCs w:val="22"/>
              </w:rPr>
              <w:t>Per Budget Decision Unit:</w:t>
            </w:r>
          </w:p>
        </w:tc>
        <w:tc>
          <w:tcPr>
            <w:tcW w:w="6030" w:type="dxa"/>
          </w:tcPr>
          <w:p w:rsidR="007A339C" w:rsidRPr="001C775F" w:rsidRDefault="000C13CD" w:rsidP="00761D07">
            <w:r w:rsidRPr="001C775F">
              <w:rPr>
                <w:szCs w:val="22"/>
              </w:rPr>
              <w:t xml:space="preserve">Sum of Performance Goal Statement Subtotals x Weight of </w:t>
            </w:r>
            <w:r w:rsidRPr="001C775F">
              <w:rPr>
                <w:szCs w:val="22"/>
              </w:rPr>
              <w:lastRenderedPageBreak/>
              <w:t>Budget Decision Unit</w:t>
            </w:r>
          </w:p>
        </w:tc>
      </w:tr>
      <w:tr w:rsidR="007A339C" w:rsidRPr="00716AF8" w:rsidTr="00761D07">
        <w:tc>
          <w:tcPr>
            <w:tcW w:w="3258" w:type="dxa"/>
          </w:tcPr>
          <w:p w:rsidR="007A339C" w:rsidRPr="001C775F" w:rsidRDefault="000C13CD" w:rsidP="00761D07">
            <w:r w:rsidRPr="001C775F">
              <w:rPr>
                <w:szCs w:val="22"/>
              </w:rPr>
              <w:lastRenderedPageBreak/>
              <w:t>ATF Performance Index:</w:t>
            </w:r>
          </w:p>
        </w:tc>
        <w:tc>
          <w:tcPr>
            <w:tcW w:w="6030" w:type="dxa"/>
          </w:tcPr>
          <w:p w:rsidR="007A339C" w:rsidRPr="001C775F" w:rsidRDefault="000C13CD" w:rsidP="00761D07">
            <w:r w:rsidRPr="001C775F">
              <w:rPr>
                <w:szCs w:val="22"/>
              </w:rPr>
              <w:t>Sum of All Budget Decision Unit Subtotals</w:t>
            </w:r>
          </w:p>
        </w:tc>
      </w:tr>
    </w:tbl>
    <w:p w:rsidR="007A339C" w:rsidRPr="001C775F" w:rsidRDefault="007A339C" w:rsidP="007A339C">
      <w:pPr>
        <w:rPr>
          <w:szCs w:val="22"/>
        </w:rPr>
      </w:pPr>
    </w:p>
    <w:p w:rsidR="007A339C" w:rsidRPr="001C775F" w:rsidRDefault="000C13CD" w:rsidP="007A339C">
      <w:pPr>
        <w:rPr>
          <w:szCs w:val="22"/>
        </w:rPr>
      </w:pPr>
      <w:r w:rsidRPr="001C775F">
        <w:rPr>
          <w:szCs w:val="22"/>
        </w:rPr>
        <w:t>The calculations at the performance indicator and strategic objective levels are displayed in the example below.</w:t>
      </w:r>
    </w:p>
    <w:p w:rsidR="007A339C" w:rsidRPr="001C775F" w:rsidRDefault="007A339C" w:rsidP="007A339C">
      <w:pPr>
        <w:rPr>
          <w:szCs w:val="22"/>
        </w:rPr>
      </w:pPr>
    </w:p>
    <w:tbl>
      <w:tblPr>
        <w:tblW w:w="9180" w:type="dxa"/>
        <w:jc w:val="center"/>
        <w:tblInd w:w="144" w:type="dxa"/>
        <w:tblLayout w:type="fixed"/>
        <w:tblCellMar>
          <w:left w:w="0" w:type="dxa"/>
          <w:right w:w="0" w:type="dxa"/>
        </w:tblCellMar>
        <w:tblLook w:val="04A0"/>
      </w:tblPr>
      <w:tblGrid>
        <w:gridCol w:w="1890"/>
        <w:gridCol w:w="1080"/>
        <w:gridCol w:w="1260"/>
        <w:gridCol w:w="1440"/>
        <w:gridCol w:w="1530"/>
        <w:gridCol w:w="1980"/>
      </w:tblGrid>
      <w:tr w:rsidR="007A339C" w:rsidRPr="00716AF8" w:rsidTr="00761D07">
        <w:trPr>
          <w:trHeight w:val="160"/>
          <w:jc w:val="center"/>
        </w:trPr>
        <w:tc>
          <w:tcPr>
            <w:tcW w:w="9180" w:type="dxa"/>
            <w:gridSpan w:val="6"/>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7A339C" w:rsidRPr="001C775F" w:rsidRDefault="000C13CD" w:rsidP="00761D07">
            <w:pPr>
              <w:rPr>
                <w:rFonts w:cs="Arial"/>
                <w:b/>
                <w:bCs/>
                <w:lang w:val="en-GB"/>
              </w:rPr>
            </w:pPr>
            <w:r w:rsidRPr="001C775F">
              <w:rPr>
                <w:b/>
                <w:bCs/>
                <w:szCs w:val="22"/>
              </w:rPr>
              <w:t>Example Strategic Objective Calculation</w:t>
            </w:r>
          </w:p>
        </w:tc>
      </w:tr>
      <w:tr w:rsidR="007A339C" w:rsidRPr="00716AF8" w:rsidTr="00761D07">
        <w:trPr>
          <w:trHeight w:val="538"/>
          <w:jc w:val="center"/>
        </w:trPr>
        <w:tc>
          <w:tcPr>
            <w:tcW w:w="189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vAlign w:val="center"/>
          </w:tcPr>
          <w:p w:rsidR="007A339C" w:rsidRPr="001C775F" w:rsidRDefault="000C13CD" w:rsidP="00761D07">
            <w:r w:rsidRPr="001C775F">
              <w:rPr>
                <w:b/>
                <w:bCs/>
                <w:szCs w:val="22"/>
              </w:rPr>
              <w:t>Performance Indicator</w:t>
            </w:r>
          </w:p>
        </w:tc>
        <w:tc>
          <w:tcPr>
            <w:tcW w:w="10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vAlign w:val="center"/>
          </w:tcPr>
          <w:p w:rsidR="007A339C" w:rsidRPr="001C775F" w:rsidRDefault="000C13CD" w:rsidP="00761D07">
            <w:r w:rsidRPr="001C775F">
              <w:rPr>
                <w:b/>
                <w:bCs/>
                <w:szCs w:val="22"/>
              </w:rPr>
              <w:t>Actual</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vAlign w:val="center"/>
          </w:tcPr>
          <w:p w:rsidR="007A339C" w:rsidRPr="001C775F" w:rsidRDefault="000C13CD" w:rsidP="00761D07">
            <w:r w:rsidRPr="001C775F">
              <w:rPr>
                <w:b/>
                <w:bCs/>
                <w:szCs w:val="22"/>
              </w:rPr>
              <w:t>Target</w:t>
            </w:r>
          </w:p>
        </w:tc>
        <w:tc>
          <w:tcPr>
            <w:tcW w:w="144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vAlign w:val="center"/>
          </w:tcPr>
          <w:p w:rsidR="007A339C" w:rsidRPr="001C775F" w:rsidRDefault="000C13CD" w:rsidP="00761D07">
            <w:r w:rsidRPr="001C775F">
              <w:rPr>
                <w:b/>
                <w:bCs/>
                <w:szCs w:val="22"/>
              </w:rPr>
              <w:t>Score</w:t>
            </w:r>
          </w:p>
          <w:p w:rsidR="007A339C" w:rsidRPr="001C775F" w:rsidRDefault="000C13CD" w:rsidP="00761D07">
            <w:r w:rsidRPr="001C775F">
              <w:rPr>
                <w:b/>
                <w:bCs/>
                <w:szCs w:val="22"/>
              </w:rPr>
              <w:t>(Actual / Target)</w:t>
            </w:r>
          </w:p>
        </w:tc>
        <w:tc>
          <w:tcPr>
            <w:tcW w:w="1530" w:type="dxa"/>
            <w:tcBorders>
              <w:top w:val="single" w:sz="8" w:space="0" w:color="auto"/>
              <w:left w:val="single" w:sz="18" w:space="0" w:color="auto"/>
              <w:bottom w:val="single" w:sz="8" w:space="0" w:color="auto"/>
              <w:right w:val="single" w:sz="18" w:space="0" w:color="auto"/>
            </w:tcBorders>
            <w:shd w:val="clear" w:color="auto" w:fill="FFFFFF"/>
            <w:tcMar>
              <w:top w:w="72" w:type="dxa"/>
              <w:left w:w="144" w:type="dxa"/>
              <w:bottom w:w="72" w:type="dxa"/>
              <w:right w:w="144" w:type="dxa"/>
            </w:tcMar>
            <w:vAlign w:val="center"/>
          </w:tcPr>
          <w:p w:rsidR="007A339C" w:rsidRPr="001C775F" w:rsidRDefault="000C13CD" w:rsidP="00761D07">
            <w:r w:rsidRPr="001C775F">
              <w:rPr>
                <w:b/>
                <w:bCs/>
                <w:szCs w:val="22"/>
              </w:rPr>
              <w:t>Weight</w:t>
            </w:r>
          </w:p>
          <w:p w:rsidR="007A339C" w:rsidRPr="001C775F" w:rsidRDefault="000C13CD" w:rsidP="00761D07">
            <w:r w:rsidRPr="001C775F">
              <w:rPr>
                <w:b/>
                <w:bCs/>
                <w:szCs w:val="22"/>
              </w:rPr>
              <w:t>(Percent)</w:t>
            </w:r>
          </w:p>
        </w:tc>
        <w:tc>
          <w:tcPr>
            <w:tcW w:w="19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vAlign w:val="center"/>
          </w:tcPr>
          <w:p w:rsidR="007A339C" w:rsidRPr="001C775F" w:rsidRDefault="000C13CD" w:rsidP="00761D07">
            <w:r w:rsidRPr="001C775F">
              <w:rPr>
                <w:b/>
                <w:bCs/>
                <w:szCs w:val="22"/>
              </w:rPr>
              <w:t>Subtotal</w:t>
            </w:r>
          </w:p>
          <w:p w:rsidR="007A339C" w:rsidRPr="001C775F" w:rsidRDefault="000C13CD" w:rsidP="00761D07">
            <w:r w:rsidRPr="001C775F">
              <w:rPr>
                <w:b/>
                <w:bCs/>
                <w:szCs w:val="22"/>
              </w:rPr>
              <w:t>(Score x Weight)</w:t>
            </w:r>
          </w:p>
        </w:tc>
      </w:tr>
      <w:tr w:rsidR="007A339C" w:rsidRPr="00716AF8" w:rsidTr="00761D07">
        <w:trPr>
          <w:trHeight w:val="124"/>
          <w:jc w:val="center"/>
        </w:trPr>
        <w:tc>
          <w:tcPr>
            <w:tcW w:w="189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7A339C" w:rsidRPr="001C775F" w:rsidRDefault="000C13CD" w:rsidP="00761D07">
            <w:pPr>
              <w:jc w:val="center"/>
            </w:pPr>
            <w:r w:rsidRPr="001C775F">
              <w:rPr>
                <w:szCs w:val="22"/>
              </w:rPr>
              <w:t>A</w:t>
            </w:r>
          </w:p>
        </w:tc>
        <w:tc>
          <w:tcPr>
            <w:tcW w:w="10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7A339C" w:rsidRPr="001C775F" w:rsidRDefault="000C13CD" w:rsidP="00761D07">
            <w:pPr>
              <w:jc w:val="right"/>
            </w:pPr>
            <w:r w:rsidRPr="001C775F">
              <w:rPr>
                <w:szCs w:val="22"/>
              </w:rPr>
              <w:t>65</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rsidR="007A339C" w:rsidRPr="001C775F" w:rsidRDefault="000C13CD" w:rsidP="00761D07">
            <w:pPr>
              <w:jc w:val="right"/>
            </w:pPr>
            <w:r w:rsidRPr="001C775F">
              <w:rPr>
                <w:szCs w:val="22"/>
              </w:rPr>
              <w:t>100</w:t>
            </w:r>
          </w:p>
        </w:tc>
        <w:tc>
          <w:tcPr>
            <w:tcW w:w="144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7A339C" w:rsidRPr="001C775F" w:rsidRDefault="000C13CD" w:rsidP="00761D07">
            <w:pPr>
              <w:jc w:val="right"/>
            </w:pPr>
            <w:r w:rsidRPr="001C775F">
              <w:rPr>
                <w:szCs w:val="22"/>
              </w:rPr>
              <w:t>0.65</w:t>
            </w:r>
          </w:p>
        </w:tc>
        <w:tc>
          <w:tcPr>
            <w:tcW w:w="1530" w:type="dxa"/>
            <w:tcBorders>
              <w:top w:val="single" w:sz="8" w:space="0" w:color="auto"/>
              <w:left w:val="single" w:sz="18" w:space="0" w:color="auto"/>
              <w:bottom w:val="single" w:sz="8" w:space="0" w:color="auto"/>
              <w:right w:val="single" w:sz="18" w:space="0" w:color="auto"/>
            </w:tcBorders>
            <w:shd w:val="clear" w:color="auto" w:fill="FFFFFF"/>
            <w:tcMar>
              <w:top w:w="72" w:type="dxa"/>
              <w:left w:w="144" w:type="dxa"/>
              <w:bottom w:w="72" w:type="dxa"/>
              <w:right w:w="144" w:type="dxa"/>
            </w:tcMar>
          </w:tcPr>
          <w:p w:rsidR="007A339C" w:rsidRPr="001C775F" w:rsidRDefault="000C13CD" w:rsidP="00761D07">
            <w:pPr>
              <w:jc w:val="right"/>
            </w:pPr>
            <w:r w:rsidRPr="001C775F">
              <w:rPr>
                <w:szCs w:val="22"/>
              </w:rPr>
              <w:t>0.15</w:t>
            </w:r>
          </w:p>
        </w:tc>
        <w:tc>
          <w:tcPr>
            <w:tcW w:w="19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7A339C" w:rsidRPr="001C775F" w:rsidRDefault="000C13CD" w:rsidP="00761D07">
            <w:pPr>
              <w:jc w:val="right"/>
            </w:pPr>
            <w:r w:rsidRPr="001C775F">
              <w:rPr>
                <w:szCs w:val="22"/>
              </w:rPr>
              <w:t>0.0975</w:t>
            </w:r>
          </w:p>
        </w:tc>
      </w:tr>
      <w:tr w:rsidR="007A339C" w:rsidRPr="00716AF8" w:rsidTr="00761D07">
        <w:trPr>
          <w:trHeight w:val="124"/>
          <w:jc w:val="center"/>
        </w:trPr>
        <w:tc>
          <w:tcPr>
            <w:tcW w:w="189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7A339C" w:rsidRPr="001C775F" w:rsidRDefault="000C13CD" w:rsidP="00761D07">
            <w:pPr>
              <w:jc w:val="center"/>
            </w:pPr>
            <w:r w:rsidRPr="001C775F">
              <w:rPr>
                <w:szCs w:val="22"/>
              </w:rPr>
              <w:t>B</w:t>
            </w:r>
          </w:p>
        </w:tc>
        <w:tc>
          <w:tcPr>
            <w:tcW w:w="10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7A339C" w:rsidRPr="001C775F" w:rsidRDefault="000C13CD" w:rsidP="00761D07">
            <w:pPr>
              <w:jc w:val="right"/>
            </w:pPr>
            <w:r w:rsidRPr="001C775F">
              <w:rPr>
                <w:szCs w:val="22"/>
              </w:rPr>
              <w:t>180</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rsidR="007A339C" w:rsidRPr="001C775F" w:rsidRDefault="000C13CD" w:rsidP="00761D07">
            <w:pPr>
              <w:jc w:val="right"/>
            </w:pPr>
            <w:r w:rsidRPr="001C775F">
              <w:rPr>
                <w:szCs w:val="22"/>
              </w:rPr>
              <w:t>200</w:t>
            </w:r>
          </w:p>
        </w:tc>
        <w:tc>
          <w:tcPr>
            <w:tcW w:w="144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7A339C" w:rsidRPr="001C775F" w:rsidRDefault="000C13CD" w:rsidP="00761D07">
            <w:pPr>
              <w:jc w:val="right"/>
            </w:pPr>
            <w:r w:rsidRPr="001C775F">
              <w:rPr>
                <w:szCs w:val="22"/>
              </w:rPr>
              <w:t>0.90</w:t>
            </w:r>
          </w:p>
        </w:tc>
        <w:tc>
          <w:tcPr>
            <w:tcW w:w="1530" w:type="dxa"/>
            <w:tcBorders>
              <w:top w:val="single" w:sz="8" w:space="0" w:color="auto"/>
              <w:left w:val="single" w:sz="18" w:space="0" w:color="auto"/>
              <w:bottom w:val="single" w:sz="8" w:space="0" w:color="auto"/>
              <w:right w:val="single" w:sz="18" w:space="0" w:color="auto"/>
            </w:tcBorders>
            <w:shd w:val="clear" w:color="auto" w:fill="FFFFFF"/>
            <w:tcMar>
              <w:top w:w="72" w:type="dxa"/>
              <w:left w:w="144" w:type="dxa"/>
              <w:bottom w:w="72" w:type="dxa"/>
              <w:right w:w="144" w:type="dxa"/>
            </w:tcMar>
          </w:tcPr>
          <w:p w:rsidR="007A339C" w:rsidRPr="001C775F" w:rsidRDefault="000C13CD" w:rsidP="00761D07">
            <w:pPr>
              <w:jc w:val="right"/>
            </w:pPr>
            <w:r w:rsidRPr="001C775F">
              <w:rPr>
                <w:szCs w:val="22"/>
              </w:rPr>
              <w:t>0.75</w:t>
            </w:r>
          </w:p>
        </w:tc>
        <w:tc>
          <w:tcPr>
            <w:tcW w:w="19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7A339C" w:rsidRPr="001C775F" w:rsidRDefault="000C13CD" w:rsidP="00761D07">
            <w:pPr>
              <w:jc w:val="right"/>
            </w:pPr>
            <w:r w:rsidRPr="001C775F">
              <w:rPr>
                <w:szCs w:val="22"/>
              </w:rPr>
              <w:t>0.675</w:t>
            </w:r>
          </w:p>
        </w:tc>
      </w:tr>
      <w:tr w:rsidR="007A339C" w:rsidRPr="00716AF8" w:rsidTr="00761D07">
        <w:trPr>
          <w:trHeight w:val="124"/>
          <w:jc w:val="center"/>
        </w:trPr>
        <w:tc>
          <w:tcPr>
            <w:tcW w:w="189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7A339C" w:rsidRPr="001C775F" w:rsidRDefault="000C13CD" w:rsidP="00761D07">
            <w:pPr>
              <w:jc w:val="center"/>
            </w:pPr>
            <w:r w:rsidRPr="001C775F">
              <w:rPr>
                <w:szCs w:val="22"/>
              </w:rPr>
              <w:t>C</w:t>
            </w:r>
          </w:p>
        </w:tc>
        <w:tc>
          <w:tcPr>
            <w:tcW w:w="10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7A339C" w:rsidRPr="001C775F" w:rsidRDefault="000C13CD" w:rsidP="00761D07">
            <w:pPr>
              <w:jc w:val="right"/>
            </w:pPr>
            <w:r w:rsidRPr="001C775F">
              <w:rPr>
                <w:szCs w:val="22"/>
              </w:rPr>
              <w:t>50</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rsidR="007A339C" w:rsidRPr="001C775F" w:rsidRDefault="000C13CD" w:rsidP="00761D07">
            <w:pPr>
              <w:jc w:val="right"/>
            </w:pPr>
            <w:r w:rsidRPr="001C775F">
              <w:rPr>
                <w:szCs w:val="22"/>
              </w:rPr>
              <w:t>250</w:t>
            </w:r>
          </w:p>
        </w:tc>
        <w:tc>
          <w:tcPr>
            <w:tcW w:w="144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7A339C" w:rsidRPr="001C775F" w:rsidRDefault="000C13CD" w:rsidP="00761D07">
            <w:pPr>
              <w:jc w:val="right"/>
            </w:pPr>
            <w:r w:rsidRPr="001C775F">
              <w:rPr>
                <w:szCs w:val="22"/>
              </w:rPr>
              <w:t>0.20</w:t>
            </w:r>
          </w:p>
        </w:tc>
        <w:tc>
          <w:tcPr>
            <w:tcW w:w="1530" w:type="dxa"/>
            <w:tcBorders>
              <w:top w:val="single" w:sz="8" w:space="0" w:color="auto"/>
              <w:left w:val="single" w:sz="18" w:space="0" w:color="auto"/>
              <w:bottom w:val="single" w:sz="8" w:space="0" w:color="auto"/>
              <w:right w:val="single" w:sz="18" w:space="0" w:color="auto"/>
            </w:tcBorders>
            <w:shd w:val="clear" w:color="auto" w:fill="FFFFFF"/>
            <w:tcMar>
              <w:top w:w="72" w:type="dxa"/>
              <w:left w:w="144" w:type="dxa"/>
              <w:bottom w:w="72" w:type="dxa"/>
              <w:right w:w="144" w:type="dxa"/>
            </w:tcMar>
          </w:tcPr>
          <w:p w:rsidR="007A339C" w:rsidRPr="001C775F" w:rsidRDefault="000C13CD" w:rsidP="00761D07">
            <w:pPr>
              <w:jc w:val="right"/>
            </w:pPr>
            <w:r w:rsidRPr="001C775F">
              <w:rPr>
                <w:szCs w:val="22"/>
              </w:rPr>
              <w:t>0.10</w:t>
            </w:r>
          </w:p>
        </w:tc>
        <w:tc>
          <w:tcPr>
            <w:tcW w:w="19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7A339C" w:rsidRPr="001C775F" w:rsidRDefault="000C13CD" w:rsidP="00761D07">
            <w:pPr>
              <w:jc w:val="right"/>
            </w:pPr>
            <w:r w:rsidRPr="001C775F">
              <w:rPr>
                <w:szCs w:val="22"/>
              </w:rPr>
              <w:t>0.02</w:t>
            </w:r>
          </w:p>
        </w:tc>
      </w:tr>
      <w:tr w:rsidR="007A339C" w:rsidRPr="00716AF8" w:rsidTr="00761D07">
        <w:trPr>
          <w:trHeight w:val="70"/>
          <w:jc w:val="center"/>
        </w:trPr>
        <w:tc>
          <w:tcPr>
            <w:tcW w:w="7200" w:type="dxa"/>
            <w:gridSpan w:val="5"/>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7A339C" w:rsidRPr="001C775F" w:rsidRDefault="000C13CD" w:rsidP="00761D07">
            <w:r w:rsidRPr="001C775F">
              <w:rPr>
                <w:szCs w:val="22"/>
              </w:rPr>
              <w:t xml:space="preserve">Sum of Subtotals = </w:t>
            </w:r>
          </w:p>
        </w:tc>
        <w:tc>
          <w:tcPr>
            <w:tcW w:w="1980" w:type="dxa"/>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7A339C" w:rsidRPr="001C775F" w:rsidRDefault="000C13CD" w:rsidP="00761D07">
            <w:pPr>
              <w:jc w:val="right"/>
            </w:pPr>
            <w:r w:rsidRPr="001C775F">
              <w:rPr>
                <w:szCs w:val="22"/>
              </w:rPr>
              <w:t xml:space="preserve">0.7925 </w:t>
            </w:r>
          </w:p>
        </w:tc>
      </w:tr>
      <w:tr w:rsidR="007A339C" w:rsidRPr="00716AF8" w:rsidTr="00761D07">
        <w:trPr>
          <w:trHeight w:val="3"/>
          <w:jc w:val="center"/>
        </w:trPr>
        <w:tc>
          <w:tcPr>
            <w:tcW w:w="7200" w:type="dxa"/>
            <w:gridSpan w:val="5"/>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7A339C" w:rsidRPr="001C775F" w:rsidRDefault="000C13CD" w:rsidP="00761D07">
            <w:pPr>
              <w:rPr>
                <w:rFonts w:cs="Arial"/>
                <w:b/>
                <w:bCs/>
                <w:lang w:val="en-GB"/>
              </w:rPr>
            </w:pPr>
            <w:r w:rsidRPr="001C775F">
              <w:rPr>
                <w:b/>
                <w:szCs w:val="22"/>
              </w:rPr>
              <w:t xml:space="preserve">Example Strategic Objective Value (Sum x 100) = </w:t>
            </w:r>
          </w:p>
        </w:tc>
        <w:tc>
          <w:tcPr>
            <w:tcW w:w="1980" w:type="dxa"/>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7A339C" w:rsidRPr="001C775F" w:rsidRDefault="000C13CD" w:rsidP="00761D07">
            <w:pPr>
              <w:jc w:val="right"/>
              <w:rPr>
                <w:b/>
              </w:rPr>
            </w:pPr>
            <w:r w:rsidRPr="001C775F">
              <w:rPr>
                <w:b/>
                <w:szCs w:val="22"/>
              </w:rPr>
              <w:t>79.25 %</w:t>
            </w:r>
          </w:p>
        </w:tc>
      </w:tr>
    </w:tbl>
    <w:p w:rsidR="007A339C" w:rsidRPr="001C775F" w:rsidRDefault="007A339C" w:rsidP="007A339C">
      <w:pPr>
        <w:rPr>
          <w:szCs w:val="22"/>
        </w:rPr>
      </w:pPr>
    </w:p>
    <w:p w:rsidR="007A339C" w:rsidRDefault="000C13CD" w:rsidP="007A339C">
      <w:pPr>
        <w:rPr>
          <w:szCs w:val="22"/>
        </w:rPr>
      </w:pPr>
      <w:r w:rsidRPr="001C775F">
        <w:rPr>
          <w:szCs w:val="22"/>
        </w:rPr>
        <w:t>The sum of the strategic objectives respective to each performance goal statement is then multiplied by the weight assigned to the performance goal statement.  The sum of the budget decision unit subtotals establishes the score of the ATF Performance Index.  ATF’s application of the performance index is applicable to each of its decision units.</w:t>
      </w:r>
    </w:p>
    <w:p w:rsidR="005F3FED" w:rsidRDefault="005F3FED" w:rsidP="007A339C">
      <w:pPr>
        <w:rPr>
          <w:szCs w:val="22"/>
        </w:rPr>
      </w:pPr>
    </w:p>
    <w:p w:rsidR="005F3FED" w:rsidRDefault="00A01139" w:rsidP="007A339C">
      <w:pPr>
        <w:rPr>
          <w:szCs w:val="22"/>
        </w:rPr>
      </w:pPr>
      <w:r>
        <w:rPr>
          <w:szCs w:val="22"/>
        </w:rPr>
        <w:t>Below</w:t>
      </w:r>
      <w:r w:rsidR="005F3FED" w:rsidRPr="005F3FED">
        <w:rPr>
          <w:szCs w:val="22"/>
        </w:rPr>
        <w:t xml:space="preserve"> are </w:t>
      </w:r>
      <w:r>
        <w:rPr>
          <w:szCs w:val="22"/>
        </w:rPr>
        <w:t xml:space="preserve">some of </w:t>
      </w:r>
      <w:r w:rsidR="005F3FED" w:rsidRPr="005F3FED">
        <w:rPr>
          <w:szCs w:val="22"/>
        </w:rPr>
        <w:t>the supporting performance indicators for illegal firearms trafficking.</w:t>
      </w:r>
    </w:p>
    <w:p w:rsidR="005F3FED" w:rsidRDefault="005F3FED" w:rsidP="007A339C">
      <w:pPr>
        <w:rPr>
          <w:szCs w:val="22"/>
        </w:rPr>
      </w:pPr>
    </w:p>
    <w:p w:rsidR="007A339C" w:rsidRDefault="004F58FB" w:rsidP="007A339C">
      <w:r w:rsidRPr="004F58FB">
        <w:rPr>
          <w:noProof/>
        </w:rPr>
        <w:drawing>
          <wp:inline distT="0" distB="0" distL="0" distR="0">
            <wp:extent cx="5943600" cy="1907334"/>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5943600" cy="1907334"/>
                    </a:xfrm>
                    <a:prstGeom prst="rect">
                      <a:avLst/>
                    </a:prstGeom>
                    <a:noFill/>
                    <a:ln w="9525">
                      <a:noFill/>
                      <a:miter lim="800000"/>
                      <a:headEnd/>
                      <a:tailEnd/>
                    </a:ln>
                  </pic:spPr>
                </pic:pic>
              </a:graphicData>
            </a:graphic>
          </wp:inline>
        </w:drawing>
      </w:r>
    </w:p>
    <w:p w:rsidR="00CC07A3" w:rsidRDefault="00CC07A3" w:rsidP="00921619">
      <w:pPr>
        <w:pStyle w:val="Header"/>
        <w:rPr>
          <w:b/>
        </w:rPr>
      </w:pPr>
    </w:p>
    <w:p w:rsidR="00FA2AAB" w:rsidRPr="00762F09" w:rsidRDefault="00FA2AAB" w:rsidP="00921619">
      <w:pPr>
        <w:pStyle w:val="Header"/>
        <w:rPr>
          <w:b/>
          <w:bCs/>
        </w:rPr>
      </w:pPr>
      <w:r>
        <w:rPr>
          <w:b/>
        </w:rPr>
        <w:t xml:space="preserve">b. </w:t>
      </w:r>
      <w:r w:rsidR="00647DCF">
        <w:rPr>
          <w:b/>
        </w:rPr>
        <w:t xml:space="preserve">  </w:t>
      </w:r>
      <w:r w:rsidRPr="00762F09">
        <w:rPr>
          <w:b/>
        </w:rPr>
        <w:t>Strategies to Accomplish Outcomes</w:t>
      </w:r>
    </w:p>
    <w:p w:rsidR="00FA2AAB" w:rsidRPr="00762F09" w:rsidRDefault="00FA2AAB" w:rsidP="005027FD">
      <w:pPr>
        <w:spacing w:before="100" w:beforeAutospacing="1" w:after="100" w:afterAutospacing="1"/>
      </w:pPr>
      <w:r w:rsidRPr="00762F09">
        <w:t xml:space="preserve">Violent firearms crime and firearms trafficking continue to plague the Nation and our </w:t>
      </w:r>
      <w:r>
        <w:t xml:space="preserve">international </w:t>
      </w:r>
      <w:r w:rsidRPr="00762F09">
        <w:t xml:space="preserve">neighbors.  As the agency responsible for enforcing </w:t>
      </w:r>
      <w:r w:rsidR="00607E1B">
        <w:t>F</w:t>
      </w:r>
      <w:r w:rsidR="00BE78CA" w:rsidRPr="00762F09">
        <w:t xml:space="preserve">ederal </w:t>
      </w:r>
      <w:r w:rsidRPr="00762F09">
        <w:t xml:space="preserve">firearms laws, ATF leads the fight to reduce violent firearms crime domestically.  To achieve the performance goals outlined for FYs </w:t>
      </w:r>
      <w:r w:rsidR="009D5A17" w:rsidRPr="00762F09">
        <w:t>20</w:t>
      </w:r>
      <w:r w:rsidR="009D5A17">
        <w:t>11</w:t>
      </w:r>
      <w:r w:rsidR="009D5A17" w:rsidRPr="00762F09">
        <w:t xml:space="preserve"> </w:t>
      </w:r>
      <w:r w:rsidRPr="00762F09">
        <w:t xml:space="preserve">and </w:t>
      </w:r>
      <w:r w:rsidR="009D5A17" w:rsidRPr="00762F09">
        <w:t>201</w:t>
      </w:r>
      <w:r w:rsidR="009D5A17">
        <w:t>2</w:t>
      </w:r>
      <w:r w:rsidRPr="00762F09">
        <w:t xml:space="preserve">, as well as the long-term goals into FY </w:t>
      </w:r>
      <w:r w:rsidR="009D5A17" w:rsidRPr="00762F09">
        <w:t>201</w:t>
      </w:r>
      <w:r w:rsidR="009D5A17">
        <w:t>6</w:t>
      </w:r>
      <w:r w:rsidRPr="00762F09">
        <w:t>, ATF</w:t>
      </w:r>
      <w:r w:rsidR="009D5A17">
        <w:t xml:space="preserve">’s strategy is balanced </w:t>
      </w:r>
      <w:r w:rsidRPr="00762F09">
        <w:t xml:space="preserve">between incremental increases in personnel and </w:t>
      </w:r>
      <w:r w:rsidR="00264392" w:rsidRPr="00762F09">
        <w:t>maximiz</w:t>
      </w:r>
      <w:r w:rsidR="00264392">
        <w:t>ing</w:t>
      </w:r>
      <w:r w:rsidR="00264392" w:rsidRPr="00762F09">
        <w:t xml:space="preserve"> </w:t>
      </w:r>
      <w:r w:rsidRPr="00762F09">
        <w:t xml:space="preserve">resources </w:t>
      </w:r>
      <w:r w:rsidR="00264392">
        <w:t xml:space="preserve">by </w:t>
      </w:r>
      <w:r w:rsidRPr="00762F09">
        <w:t xml:space="preserve">leveraging </w:t>
      </w:r>
      <w:r w:rsidRPr="00762F09">
        <w:lastRenderedPageBreak/>
        <w:t>partnerships, technology, and expertise</w:t>
      </w:r>
      <w:r w:rsidRPr="00762F09">
        <w:rPr>
          <w:iCs/>
        </w:rPr>
        <w:t>.</w:t>
      </w:r>
      <w:r w:rsidRPr="00762F09">
        <w:t xml:space="preserve">  ATF </w:t>
      </w:r>
      <w:r w:rsidR="009D5A17">
        <w:t xml:space="preserve">supports </w:t>
      </w:r>
      <w:r w:rsidRPr="00762F09">
        <w:t>the Administration and the Department in various domestic and international initiatives under national counterterrorism strategies and other U.S. government policy measures.</w:t>
      </w:r>
      <w:r w:rsidRPr="00762F09">
        <w:rPr>
          <w:b/>
          <w:color w:val="008000"/>
        </w:rPr>
        <w:t xml:space="preserve">  </w:t>
      </w:r>
      <w:r w:rsidRPr="00762F09">
        <w:t xml:space="preserve">ATF </w:t>
      </w:r>
      <w:r w:rsidR="009D5A17">
        <w:t>pursue</w:t>
      </w:r>
      <w:r w:rsidR="00607E1B" w:rsidRPr="00D70840">
        <w:t>s</w:t>
      </w:r>
      <w:r w:rsidRPr="00762F09">
        <w:t xml:space="preserve"> </w:t>
      </w:r>
      <w:r w:rsidR="009D5A17" w:rsidRPr="00762F09">
        <w:t>creat</w:t>
      </w:r>
      <w:r w:rsidR="009D5A17">
        <w:t>ive and</w:t>
      </w:r>
      <w:r w:rsidR="009D5A17" w:rsidRPr="00762F09">
        <w:t xml:space="preserve"> </w:t>
      </w:r>
      <w:r w:rsidRPr="00762F09">
        <w:t xml:space="preserve">innovative solutions </w:t>
      </w:r>
      <w:r w:rsidR="009D5A17">
        <w:t>to</w:t>
      </w:r>
      <w:r w:rsidRPr="00762F09">
        <w:t xml:space="preserve"> use technology in its strategies to accomplish the Bureau’s goals and meet national and Department</w:t>
      </w:r>
      <w:r w:rsidR="009D5A17">
        <w:t>al</w:t>
      </w:r>
      <w:r w:rsidRPr="00762F09">
        <w:t xml:space="preserve"> priorities.</w:t>
      </w:r>
    </w:p>
    <w:p w:rsidR="00FA2AAB" w:rsidRPr="00762F09" w:rsidRDefault="00FA2AAB" w:rsidP="005027FD">
      <w:pPr>
        <w:pStyle w:val="BodyText"/>
        <w:spacing w:before="100" w:beforeAutospacing="1" w:after="100" w:afterAutospacing="1"/>
      </w:pPr>
      <w:r w:rsidRPr="00762F09">
        <w:rPr>
          <w:szCs w:val="24"/>
        </w:rPr>
        <w:t xml:space="preserve">Through IVRS, ATF addresses firearms violence nationwide.  ATF works closely with other </w:t>
      </w:r>
      <w:r w:rsidR="00264392">
        <w:rPr>
          <w:szCs w:val="24"/>
        </w:rPr>
        <w:t>F</w:t>
      </w:r>
      <w:r w:rsidR="00264392" w:rsidRPr="00762F09">
        <w:rPr>
          <w:szCs w:val="24"/>
        </w:rPr>
        <w:t>ederal</w:t>
      </w:r>
      <w:r w:rsidRPr="00762F09">
        <w:rPr>
          <w:szCs w:val="24"/>
        </w:rPr>
        <w:t xml:space="preserve">, </w:t>
      </w:r>
      <w:r w:rsidR="00264392">
        <w:rPr>
          <w:szCs w:val="24"/>
        </w:rPr>
        <w:t>S</w:t>
      </w:r>
      <w:r w:rsidR="00264392" w:rsidRPr="00762F09">
        <w:rPr>
          <w:szCs w:val="24"/>
        </w:rPr>
        <w:t>tate</w:t>
      </w:r>
      <w:r w:rsidRPr="00762F09">
        <w:rPr>
          <w:szCs w:val="24"/>
        </w:rPr>
        <w:t>, and local agencies to prevent armed</w:t>
      </w:r>
      <w:r w:rsidRPr="00762F09">
        <w:rPr>
          <w:b/>
          <w:szCs w:val="24"/>
        </w:rPr>
        <w:t xml:space="preserve"> </w:t>
      </w:r>
      <w:r w:rsidRPr="00762F09">
        <w:rPr>
          <w:szCs w:val="24"/>
        </w:rPr>
        <w:t>offenders from victimizing the American public, to end</w:t>
      </w:r>
      <w:r w:rsidRPr="00762F09">
        <w:rPr>
          <w:b/>
          <w:color w:val="FF6600"/>
          <w:szCs w:val="24"/>
        </w:rPr>
        <w:t xml:space="preserve"> </w:t>
      </w:r>
      <w:r w:rsidRPr="00762F09">
        <w:rPr>
          <w:szCs w:val="24"/>
        </w:rPr>
        <w:t xml:space="preserve">illegal gun sales, </w:t>
      </w:r>
      <w:r w:rsidR="00264392">
        <w:rPr>
          <w:szCs w:val="24"/>
        </w:rPr>
        <w:t xml:space="preserve">to </w:t>
      </w:r>
      <w:r w:rsidRPr="00762F09">
        <w:rPr>
          <w:szCs w:val="24"/>
        </w:rPr>
        <w:t xml:space="preserve">apprehend illegal possessors, and </w:t>
      </w:r>
      <w:r w:rsidR="00264392">
        <w:rPr>
          <w:szCs w:val="24"/>
        </w:rPr>
        <w:t>to confirm</w:t>
      </w:r>
      <w:r w:rsidR="00264392" w:rsidRPr="00762F09">
        <w:rPr>
          <w:szCs w:val="24"/>
        </w:rPr>
        <w:t xml:space="preserve"> </w:t>
      </w:r>
      <w:r w:rsidRPr="00762F09">
        <w:rPr>
          <w:szCs w:val="24"/>
        </w:rPr>
        <w:t>industry adherence to applicable laws and regulations.</w:t>
      </w:r>
    </w:p>
    <w:p w:rsidR="00FA2AAB" w:rsidRPr="00762F09" w:rsidRDefault="009D5A17" w:rsidP="005027FD">
      <w:pPr>
        <w:pStyle w:val="BodyText"/>
        <w:spacing w:before="100" w:beforeAutospacing="1" w:after="100" w:afterAutospacing="1"/>
      </w:pPr>
      <w:r>
        <w:t xml:space="preserve">ATF continuously evaluates the </w:t>
      </w:r>
      <w:r w:rsidR="00FA2AAB" w:rsidRPr="00762F09">
        <w:t>integrity of the licensee population</w:t>
      </w:r>
      <w:r w:rsidR="00FA2AAB" w:rsidRPr="00762F09">
        <w:rPr>
          <w:b/>
          <w:color w:val="FF6600"/>
        </w:rPr>
        <w:t xml:space="preserve"> </w:t>
      </w:r>
      <w:r>
        <w:t>to</w:t>
      </w:r>
      <w:r w:rsidRPr="00762F09">
        <w:t xml:space="preserve"> </w:t>
      </w:r>
      <w:r w:rsidR="00FA2AAB" w:rsidRPr="00762F09">
        <w:t xml:space="preserve">ensure they </w:t>
      </w:r>
      <w:r w:rsidR="00E45B8F" w:rsidRPr="00762F09">
        <w:t>operat</w:t>
      </w:r>
      <w:r w:rsidR="00E45B8F">
        <w:t>e</w:t>
      </w:r>
      <w:r w:rsidR="00E45B8F" w:rsidRPr="00762F09">
        <w:t xml:space="preserve"> </w:t>
      </w:r>
      <w:r w:rsidR="00FA2AAB" w:rsidRPr="00762F09">
        <w:t xml:space="preserve">within </w:t>
      </w:r>
      <w:r w:rsidR="00E45B8F">
        <w:t xml:space="preserve">the </w:t>
      </w:r>
      <w:r w:rsidR="00FA2AAB" w:rsidRPr="00762F09">
        <w:t xml:space="preserve">law and </w:t>
      </w:r>
      <w:r w:rsidR="00E45B8F">
        <w:t xml:space="preserve">applicable </w:t>
      </w:r>
      <w:r w:rsidR="00FA2AAB" w:rsidRPr="00762F09">
        <w:t>regulation</w:t>
      </w:r>
      <w:r w:rsidR="00E45B8F">
        <w:t>s.</w:t>
      </w:r>
      <w:r w:rsidR="00FA2AAB" w:rsidRPr="00762F09">
        <w:t xml:space="preserve"> ATF </w:t>
      </w:r>
      <w:r w:rsidR="00E45B8F">
        <w:t xml:space="preserve">continually reviews </w:t>
      </w:r>
      <w:r w:rsidR="00FA2AAB" w:rsidRPr="00762F09">
        <w:t>procedures involving the selection of licensees for inspection</w:t>
      </w:r>
      <w:r w:rsidR="00E45B8F">
        <w:t xml:space="preserve"> and</w:t>
      </w:r>
      <w:r w:rsidR="00FA2AAB" w:rsidRPr="00762F09">
        <w:t xml:space="preserve"> license revocation for those who violate the law.</w:t>
      </w:r>
    </w:p>
    <w:p w:rsidR="00AB0B93" w:rsidRDefault="00FA2AAB" w:rsidP="00941C35">
      <w:pPr>
        <w:pStyle w:val="List2"/>
        <w:spacing w:before="100" w:beforeAutospacing="1" w:after="100" w:afterAutospacing="1"/>
        <w:ind w:left="0" w:firstLine="0"/>
      </w:pPr>
      <w:r w:rsidRPr="00762F09">
        <w:t>ATF’s strategic success in reducing violent firearms crime depends upon the effective use of technology.  ATF continues to improve its data quality and data capabilities so that timely and integrated information is available for all ATF employees</w:t>
      </w:r>
      <w:r w:rsidR="00A14317">
        <w:t>,</w:t>
      </w:r>
      <w:r w:rsidRPr="00762F09">
        <w:t xml:space="preserve"> and share</w:t>
      </w:r>
      <w:r w:rsidR="00A14317">
        <w:t>s</w:t>
      </w:r>
      <w:r w:rsidRPr="00762F09">
        <w:t xml:space="preserve"> this information when appropriate and when authorized by law with </w:t>
      </w:r>
      <w:r w:rsidR="00A14317">
        <w:t>the Bureau’s</w:t>
      </w:r>
      <w:r w:rsidR="00A14317" w:rsidRPr="00762F09">
        <w:t xml:space="preserve"> </w:t>
      </w:r>
      <w:r w:rsidR="00A14317">
        <w:t>F</w:t>
      </w:r>
      <w:r w:rsidR="00A14317" w:rsidRPr="00762F09">
        <w:t xml:space="preserve">ederal </w:t>
      </w:r>
      <w:r w:rsidRPr="00762F09">
        <w:t xml:space="preserve">partners, industry members, stakeholders, and the general public.  </w:t>
      </w:r>
    </w:p>
    <w:p w:rsidR="00FA2AAB" w:rsidRDefault="00FA2AAB" w:rsidP="00941C35">
      <w:pPr>
        <w:pStyle w:val="List2"/>
        <w:spacing w:before="100" w:beforeAutospacing="1" w:after="100" w:afterAutospacing="1"/>
        <w:ind w:left="0" w:firstLine="0"/>
        <w:rPr>
          <w:szCs w:val="24"/>
        </w:rPr>
      </w:pPr>
      <w:r w:rsidRPr="00762F09">
        <w:t>ATF plans to integrate all of its firearms enforcement and licensing systems and explosives systems so that information can be cross-referenced and accessed expeditiously</w:t>
      </w:r>
      <w:r w:rsidR="004637CC">
        <w:t xml:space="preserve"> through</w:t>
      </w:r>
      <w:r w:rsidRPr="00762F09">
        <w:t xml:space="preserve"> a National Information Exchange Model (NIEM)-compliant data architecture and the ATF Knowledge Online portal.  Through </w:t>
      </w:r>
      <w:r>
        <w:t>N</w:t>
      </w:r>
      <w:r w:rsidRPr="00762F09">
        <w:t>IBIN, ATF also provides automated ballistic comparison capabilities to hundreds of agencies nationwide.</w:t>
      </w:r>
      <w:r w:rsidRPr="00941C35">
        <w:rPr>
          <w:szCs w:val="24"/>
        </w:rPr>
        <w:t xml:space="preserve"> </w:t>
      </w:r>
      <w:r w:rsidR="0087072B">
        <w:rPr>
          <w:szCs w:val="24"/>
        </w:rPr>
        <w:t xml:space="preserve"> </w:t>
      </w:r>
      <w:r w:rsidR="0087072B" w:rsidRPr="00762F09">
        <w:rPr>
          <w:szCs w:val="24"/>
        </w:rPr>
        <w:t xml:space="preserve">ATF is implementing computer applications that will allow field employees greater access to needed data, provide an electronic interface with the FBI for submission of fingerprints and retrieval of results, and facilitate sharing of domestic intelligence information with the </w:t>
      </w:r>
      <w:r w:rsidR="00380736">
        <w:rPr>
          <w:szCs w:val="24"/>
        </w:rPr>
        <w:t>Department of Homeland Security (</w:t>
      </w:r>
      <w:r w:rsidR="0087072B" w:rsidRPr="00762F09">
        <w:rPr>
          <w:szCs w:val="24"/>
        </w:rPr>
        <w:t>DHS</w:t>
      </w:r>
      <w:r w:rsidR="00380736">
        <w:rPr>
          <w:szCs w:val="24"/>
        </w:rPr>
        <w:t>)</w:t>
      </w:r>
      <w:r w:rsidR="0087072B" w:rsidRPr="00762F09">
        <w:rPr>
          <w:szCs w:val="24"/>
        </w:rPr>
        <w:t>.</w:t>
      </w:r>
    </w:p>
    <w:p w:rsidR="00FA2AAB" w:rsidRPr="00762F09" w:rsidRDefault="00FA2AAB" w:rsidP="00941C35">
      <w:pPr>
        <w:pStyle w:val="List2"/>
        <w:spacing w:before="100" w:beforeAutospacing="1" w:after="100" w:afterAutospacing="1"/>
        <w:ind w:left="0" w:firstLine="0"/>
        <w:rPr>
          <w:szCs w:val="24"/>
        </w:rPr>
      </w:pPr>
      <w:r w:rsidRPr="00762F09">
        <w:rPr>
          <w:szCs w:val="24"/>
        </w:rPr>
        <w:t xml:space="preserve">The Gang Targeting, Enforcement, and Coordination Center (GangTECC) is </w:t>
      </w:r>
      <w:r w:rsidR="00380736">
        <w:rPr>
          <w:szCs w:val="24"/>
        </w:rPr>
        <w:t>an</w:t>
      </w:r>
      <w:r w:rsidR="00380736" w:rsidRPr="00762F09">
        <w:rPr>
          <w:szCs w:val="24"/>
        </w:rPr>
        <w:t xml:space="preserve"> </w:t>
      </w:r>
      <w:r w:rsidRPr="00762F09">
        <w:rPr>
          <w:szCs w:val="24"/>
        </w:rPr>
        <w:t xml:space="preserve">example of </w:t>
      </w:r>
      <w:r w:rsidR="00380736">
        <w:rPr>
          <w:szCs w:val="24"/>
        </w:rPr>
        <w:t>technology and information sharing that is critical to successful law enforcement operations</w:t>
      </w:r>
      <w:r w:rsidRPr="00762F09">
        <w:rPr>
          <w:szCs w:val="24"/>
        </w:rPr>
        <w:t xml:space="preserve">.  This task force develops strategies and facilitates operations across agency lines </w:t>
      </w:r>
      <w:r w:rsidR="00380736">
        <w:rPr>
          <w:szCs w:val="24"/>
        </w:rPr>
        <w:t>to</w:t>
      </w:r>
      <w:r w:rsidRPr="00762F09">
        <w:rPr>
          <w:szCs w:val="24"/>
        </w:rPr>
        <w:t xml:space="preserve"> </w:t>
      </w:r>
      <w:r w:rsidR="00380736" w:rsidRPr="00762F09">
        <w:rPr>
          <w:szCs w:val="24"/>
        </w:rPr>
        <w:t>dismantl</w:t>
      </w:r>
      <w:r w:rsidR="00380736">
        <w:rPr>
          <w:szCs w:val="24"/>
        </w:rPr>
        <w:t>e</w:t>
      </w:r>
      <w:r w:rsidR="00380736" w:rsidRPr="00762F09">
        <w:rPr>
          <w:szCs w:val="24"/>
        </w:rPr>
        <w:t xml:space="preserve"> </w:t>
      </w:r>
      <w:r w:rsidRPr="00762F09">
        <w:rPr>
          <w:szCs w:val="24"/>
        </w:rPr>
        <w:t xml:space="preserve">national and transnational violent gangs.  </w:t>
      </w:r>
      <w:r w:rsidR="00B85372">
        <w:rPr>
          <w:szCs w:val="24"/>
        </w:rPr>
        <w:t xml:space="preserve">For the past four years, </w:t>
      </w:r>
      <w:r w:rsidR="00B85372" w:rsidRPr="007C0CC1">
        <w:rPr>
          <w:szCs w:val="24"/>
        </w:rPr>
        <w:t>a</w:t>
      </w:r>
      <w:r w:rsidR="00514DB2" w:rsidRPr="007C0CC1">
        <w:rPr>
          <w:szCs w:val="24"/>
        </w:rPr>
        <w:t xml:space="preserve">n ATF </w:t>
      </w:r>
      <w:r w:rsidR="00B85372" w:rsidRPr="007C0CC1">
        <w:rPr>
          <w:szCs w:val="24"/>
        </w:rPr>
        <w:t>s</w:t>
      </w:r>
      <w:r w:rsidR="00514DB2" w:rsidRPr="007C0CC1">
        <w:rPr>
          <w:szCs w:val="24"/>
        </w:rPr>
        <w:t xml:space="preserve">pecial </w:t>
      </w:r>
      <w:r w:rsidR="00B85372" w:rsidRPr="007C0CC1">
        <w:rPr>
          <w:szCs w:val="24"/>
        </w:rPr>
        <w:t>a</w:t>
      </w:r>
      <w:r w:rsidR="00514DB2" w:rsidRPr="007C0CC1">
        <w:rPr>
          <w:szCs w:val="24"/>
        </w:rPr>
        <w:t xml:space="preserve">gent </w:t>
      </w:r>
      <w:r w:rsidR="00B85372" w:rsidRPr="007C0CC1">
        <w:rPr>
          <w:szCs w:val="24"/>
        </w:rPr>
        <w:t>served</w:t>
      </w:r>
      <w:r w:rsidR="00514DB2" w:rsidRPr="007C0CC1">
        <w:rPr>
          <w:szCs w:val="24"/>
        </w:rPr>
        <w:t xml:space="preserve"> as the Deputy Director of the Gang</w:t>
      </w:r>
      <w:r w:rsidR="00FE6020" w:rsidRPr="007C0CC1">
        <w:rPr>
          <w:szCs w:val="24"/>
        </w:rPr>
        <w:t xml:space="preserve"> </w:t>
      </w:r>
      <w:r w:rsidR="00514DB2" w:rsidRPr="007C0CC1">
        <w:rPr>
          <w:szCs w:val="24"/>
        </w:rPr>
        <w:t>TECC, which coordinates overlapping investigations conducted by different agencies, encourages sharing of tactical and strategic intelligence among law enforcement agencies, and serves as a coordinating center for multi-jurisdictional gang investigations involving Federal law enforcement agencies.</w:t>
      </w:r>
      <w:r w:rsidRPr="00762F09">
        <w:rPr>
          <w:szCs w:val="24"/>
        </w:rPr>
        <w:t xml:space="preserve"> </w:t>
      </w:r>
      <w:r w:rsidR="00B85372">
        <w:rPr>
          <w:szCs w:val="24"/>
        </w:rPr>
        <w:t xml:space="preserve"> In October 2010, DOJ restructured its GangTECC components to operate within the DEA Special Operations Division. ATF continues its participation with three collocated special agents.</w:t>
      </w:r>
      <w:r w:rsidRPr="00762F09">
        <w:rPr>
          <w:szCs w:val="24"/>
        </w:rPr>
        <w:t xml:space="preserve"> </w:t>
      </w:r>
      <w:r w:rsidR="004C629C">
        <w:rPr>
          <w:szCs w:val="24"/>
        </w:rPr>
        <w:t xml:space="preserve"> ATF also</w:t>
      </w:r>
      <w:r w:rsidR="00993E73">
        <w:rPr>
          <w:szCs w:val="24"/>
        </w:rPr>
        <w:t xml:space="preserve"> participates </w:t>
      </w:r>
      <w:r w:rsidR="00260CBD">
        <w:rPr>
          <w:szCs w:val="24"/>
        </w:rPr>
        <w:t>at</w:t>
      </w:r>
      <w:r w:rsidR="00993E73">
        <w:rPr>
          <w:szCs w:val="24"/>
        </w:rPr>
        <w:t xml:space="preserve"> the National Gang Intelligence Center (NGIC) through the support of two intelligence research specialists.</w:t>
      </w:r>
    </w:p>
    <w:p w:rsidR="00FA2AAB" w:rsidRPr="00762F09" w:rsidRDefault="00D8693F" w:rsidP="005027FD">
      <w:pPr>
        <w:tabs>
          <w:tab w:val="left" w:pos="-1440"/>
        </w:tabs>
        <w:spacing w:before="100" w:beforeAutospacing="1" w:after="100" w:afterAutospacing="1"/>
      </w:pPr>
      <w:r>
        <w:t xml:space="preserve">Significant outreach measures complement </w:t>
      </w:r>
      <w:r w:rsidR="00FA2AAB" w:rsidRPr="00762F09">
        <w:t xml:space="preserve">ATF’s enforcement and industry operations strategies.  </w:t>
      </w:r>
      <w:r>
        <w:t xml:space="preserve">For example, </w:t>
      </w:r>
      <w:r w:rsidR="00FA2AAB" w:rsidRPr="00762F09">
        <w:t xml:space="preserve">ATF presentations to schoolchildren and the general public promote </w:t>
      </w:r>
      <w:r w:rsidR="00FA2AAB" w:rsidRPr="00762F09">
        <w:lastRenderedPageBreak/>
        <w:t xml:space="preserve">public safety and prevent violence.  </w:t>
      </w:r>
      <w:r>
        <w:t xml:space="preserve">Further, </w:t>
      </w:r>
      <w:r w:rsidR="00FA2AAB" w:rsidRPr="00762F09">
        <w:t xml:space="preserve">ATF offers training and other services to employees of </w:t>
      </w:r>
      <w:r>
        <w:t>F</w:t>
      </w:r>
      <w:r w:rsidR="00092A3A" w:rsidRPr="00762F09">
        <w:t>ederal</w:t>
      </w:r>
      <w:r w:rsidR="00FA2AAB" w:rsidRPr="00762F09">
        <w:t xml:space="preserve">, </w:t>
      </w:r>
      <w:r>
        <w:t>S</w:t>
      </w:r>
      <w:r w:rsidR="00092A3A" w:rsidRPr="00762F09">
        <w:t>tate</w:t>
      </w:r>
      <w:r w:rsidR="00FA2AAB" w:rsidRPr="00762F09">
        <w:t>, and local agencies to improve their professional capabilities.</w:t>
      </w:r>
    </w:p>
    <w:p w:rsidR="00FA2AAB" w:rsidRPr="00762F09" w:rsidRDefault="00FA2AAB" w:rsidP="005027FD">
      <w:pPr>
        <w:pStyle w:val="List2"/>
        <w:spacing w:before="100" w:beforeAutospacing="1" w:after="100" w:afterAutospacing="1"/>
        <w:ind w:left="0" w:firstLine="0"/>
        <w:rPr>
          <w:szCs w:val="24"/>
        </w:rPr>
      </w:pPr>
      <w:r w:rsidRPr="00762F09">
        <w:rPr>
          <w:szCs w:val="24"/>
        </w:rPr>
        <w:t xml:space="preserve">ATF participates in numerous multi-agency initiatives, including the </w:t>
      </w:r>
      <w:r w:rsidR="0009194F">
        <w:rPr>
          <w:szCs w:val="24"/>
        </w:rPr>
        <w:t xml:space="preserve">Joint Terrorism Task Force </w:t>
      </w:r>
      <w:r w:rsidRPr="00762F09">
        <w:rPr>
          <w:szCs w:val="24"/>
        </w:rPr>
        <w:t xml:space="preserve">JTTF, </w:t>
      </w:r>
      <w:r w:rsidR="00D8693F">
        <w:rPr>
          <w:szCs w:val="24"/>
        </w:rPr>
        <w:t>and works</w:t>
      </w:r>
      <w:r w:rsidRPr="00762F09">
        <w:rPr>
          <w:szCs w:val="24"/>
        </w:rPr>
        <w:t xml:space="preserve"> within </w:t>
      </w:r>
      <w:r w:rsidR="004A7D98">
        <w:rPr>
          <w:szCs w:val="24"/>
        </w:rPr>
        <w:t>DOJ</w:t>
      </w:r>
      <w:r w:rsidRPr="00762F09">
        <w:rPr>
          <w:szCs w:val="24"/>
        </w:rPr>
        <w:t xml:space="preserve"> to coordinate regional, national, and transnational criminal investigations and prosecutions against major criminal organizations and terrorists at home and abroad.  ATF has representatives assigned at various law enforcement and intelligence agencies such as </w:t>
      </w:r>
      <w:r w:rsidR="00D8693F">
        <w:rPr>
          <w:szCs w:val="24"/>
        </w:rPr>
        <w:t xml:space="preserve">the </w:t>
      </w:r>
      <w:r w:rsidRPr="00762F09">
        <w:rPr>
          <w:szCs w:val="24"/>
        </w:rPr>
        <w:t>Defense Intelligence Agency (DIA), FBI, DHS</w:t>
      </w:r>
      <w:r w:rsidR="0000765D" w:rsidRPr="00762F09">
        <w:rPr>
          <w:szCs w:val="24"/>
        </w:rPr>
        <w:t>, Department</w:t>
      </w:r>
      <w:r w:rsidRPr="00762F09">
        <w:rPr>
          <w:szCs w:val="24"/>
        </w:rPr>
        <w:t xml:space="preserve"> of State</w:t>
      </w:r>
      <w:r w:rsidR="00D74DED">
        <w:rPr>
          <w:szCs w:val="24"/>
        </w:rPr>
        <w:t xml:space="preserve"> and other </w:t>
      </w:r>
      <w:r w:rsidR="004C629C">
        <w:rPr>
          <w:szCs w:val="24"/>
        </w:rPr>
        <w:t xml:space="preserve">government </w:t>
      </w:r>
      <w:r w:rsidR="00D74DED">
        <w:rPr>
          <w:szCs w:val="24"/>
        </w:rPr>
        <w:t>agencies</w:t>
      </w:r>
      <w:r w:rsidR="004C629C">
        <w:rPr>
          <w:szCs w:val="24"/>
        </w:rPr>
        <w:t xml:space="preserve"> (OGAs)</w:t>
      </w:r>
      <w:r w:rsidRPr="00762F09">
        <w:rPr>
          <w:szCs w:val="24"/>
        </w:rPr>
        <w:t>.</w:t>
      </w:r>
    </w:p>
    <w:p w:rsidR="00FA2AAB" w:rsidRDefault="00FA2AAB" w:rsidP="005027FD">
      <w:pPr>
        <w:spacing w:before="100" w:beforeAutospacing="1" w:after="100" w:afterAutospacing="1"/>
      </w:pPr>
      <w:r w:rsidRPr="00762F09">
        <w:t>ATF partners with various law enforcement and prosecutorial entities in conducting innovative regional firearms enforcement</w:t>
      </w:r>
      <w:r w:rsidR="00012260">
        <w:t xml:space="preserve"> cross-training</w:t>
      </w:r>
      <w:r w:rsidRPr="00762F09">
        <w:t xml:space="preserve"> </w:t>
      </w:r>
      <w:r w:rsidR="00012260">
        <w:t>of</w:t>
      </w:r>
      <w:r w:rsidR="00012260" w:rsidRPr="00762F09">
        <w:t xml:space="preserve"> </w:t>
      </w:r>
      <w:r w:rsidRPr="00762F09">
        <w:t xml:space="preserve">agents, officers, and attorneys, </w:t>
      </w:r>
      <w:r w:rsidR="00012260">
        <w:t xml:space="preserve">and also delivers </w:t>
      </w:r>
      <w:r w:rsidR="006C7DF9">
        <w:t>f</w:t>
      </w:r>
      <w:r w:rsidRPr="00762F09">
        <w:t>irearms trafficking and tracing</w:t>
      </w:r>
      <w:r w:rsidR="00012260">
        <w:t xml:space="preserve"> training</w:t>
      </w:r>
      <w:r w:rsidRPr="00762F09">
        <w:t xml:space="preserve"> to enforcement agencies through offices in Mexico, Canada, Colombia</w:t>
      </w:r>
      <w:r w:rsidR="00D70840">
        <w:t>, and El Salvador</w:t>
      </w:r>
      <w:r w:rsidRPr="00762F09">
        <w:t xml:space="preserve">.  ATF </w:t>
      </w:r>
      <w:r w:rsidR="00012260" w:rsidRPr="00762F09">
        <w:t>assign</w:t>
      </w:r>
      <w:r w:rsidR="00012260">
        <w:t>s</w:t>
      </w:r>
      <w:r w:rsidR="00012260" w:rsidRPr="00762F09">
        <w:t xml:space="preserve"> </w:t>
      </w:r>
      <w:r w:rsidRPr="00762F09">
        <w:t xml:space="preserve">liaison officers </w:t>
      </w:r>
      <w:r>
        <w:t>t</w:t>
      </w:r>
      <w:r w:rsidRPr="00762F09">
        <w:t>o INTERPOL in Lyon, France, and to E</w:t>
      </w:r>
      <w:r>
        <w:t>UROPOL</w:t>
      </w:r>
      <w:r w:rsidRPr="00762F09">
        <w:t xml:space="preserve"> at The Hague, The Netherlands.  </w:t>
      </w:r>
      <w:r w:rsidR="00012260">
        <w:t>T</w:t>
      </w:r>
      <w:r w:rsidRPr="00762F09">
        <w:t xml:space="preserve">hese officers facilitate the efficient exchange of information and expertise </w:t>
      </w:r>
      <w:r w:rsidR="00012260">
        <w:t>within</w:t>
      </w:r>
      <w:r w:rsidR="00012260" w:rsidRPr="00762F09">
        <w:t xml:space="preserve"> </w:t>
      </w:r>
      <w:r w:rsidRPr="00762F09">
        <w:t>the</w:t>
      </w:r>
      <w:r w:rsidR="00012260">
        <w:t xml:space="preserve"> </w:t>
      </w:r>
      <w:r w:rsidRPr="00762F09">
        <w:t xml:space="preserve">international law enforcement community.  </w:t>
      </w:r>
    </w:p>
    <w:p w:rsidR="00E05B59" w:rsidRPr="00E05B59" w:rsidRDefault="00E05B59" w:rsidP="005027FD">
      <w:pPr>
        <w:spacing w:before="100" w:beforeAutospacing="1" w:after="100" w:afterAutospacing="1"/>
        <w:rPr>
          <w:b/>
        </w:rPr>
      </w:pPr>
      <w:r w:rsidRPr="00E05B59">
        <w:rPr>
          <w:b/>
        </w:rPr>
        <w:t>Crosscutting Activit</w:t>
      </w:r>
      <w:r>
        <w:rPr>
          <w:b/>
        </w:rPr>
        <w:t>i</w:t>
      </w:r>
      <w:r w:rsidRPr="00E05B59">
        <w:rPr>
          <w:b/>
        </w:rPr>
        <w:t>es</w:t>
      </w:r>
    </w:p>
    <w:p w:rsidR="00E05B59" w:rsidRPr="00762F09" w:rsidRDefault="00E05B59" w:rsidP="00FA786B">
      <w:pPr>
        <w:pStyle w:val="List2"/>
        <w:spacing w:before="100" w:beforeAutospacing="1" w:after="100" w:afterAutospacing="1"/>
        <w:ind w:left="0" w:firstLine="0"/>
      </w:pPr>
      <w:r w:rsidRPr="00762F09">
        <w:rPr>
          <w:szCs w:val="24"/>
        </w:rPr>
        <w:t xml:space="preserve">ATF plays a major role in the prevention and investigation of violent crimes involving </w:t>
      </w:r>
      <w:r>
        <w:rPr>
          <w:szCs w:val="24"/>
        </w:rPr>
        <w:t>firearms, gangs</w:t>
      </w:r>
      <w:r w:rsidR="00E223CC">
        <w:rPr>
          <w:szCs w:val="24"/>
        </w:rPr>
        <w:t>,</w:t>
      </w:r>
      <w:r>
        <w:rPr>
          <w:szCs w:val="24"/>
        </w:rPr>
        <w:t xml:space="preserve"> and organized criminal enterprises</w:t>
      </w:r>
      <w:r w:rsidRPr="00762F09">
        <w:rPr>
          <w:szCs w:val="24"/>
        </w:rPr>
        <w:t>.  ATF participates in multi-agency efforts such as the Organized Crime Drug Enforcement Task Force (OCDETF)</w:t>
      </w:r>
      <w:r w:rsidR="00577AD5">
        <w:rPr>
          <w:szCs w:val="24"/>
        </w:rPr>
        <w:t xml:space="preserve"> and </w:t>
      </w:r>
      <w:r w:rsidR="00380C6E">
        <w:rPr>
          <w:szCs w:val="24"/>
        </w:rPr>
        <w:t>High Intensity Drug Trafficking Area (HIDTA)</w:t>
      </w:r>
      <w:r w:rsidRPr="00762F09">
        <w:rPr>
          <w:szCs w:val="24"/>
        </w:rPr>
        <w:t xml:space="preserve"> </w:t>
      </w:r>
      <w:r w:rsidR="00577AD5">
        <w:rPr>
          <w:szCs w:val="24"/>
        </w:rPr>
        <w:t xml:space="preserve">task forces </w:t>
      </w:r>
      <w:r w:rsidR="00F91A63">
        <w:rPr>
          <w:szCs w:val="24"/>
        </w:rPr>
        <w:t xml:space="preserve">and </w:t>
      </w:r>
      <w:r w:rsidRPr="00762F09">
        <w:rPr>
          <w:szCs w:val="24"/>
        </w:rPr>
        <w:t xml:space="preserve">provides direct investigative expertise </w:t>
      </w:r>
      <w:r w:rsidR="00F91A63">
        <w:rPr>
          <w:szCs w:val="24"/>
        </w:rPr>
        <w:t>in partnership with</w:t>
      </w:r>
      <w:r w:rsidRPr="00762F09">
        <w:rPr>
          <w:szCs w:val="24"/>
        </w:rPr>
        <w:t xml:space="preserve"> </w:t>
      </w:r>
      <w:r w:rsidR="002C3C72">
        <w:rPr>
          <w:szCs w:val="24"/>
        </w:rPr>
        <w:t>S</w:t>
      </w:r>
      <w:r w:rsidR="002C3C72" w:rsidRPr="00762F09">
        <w:rPr>
          <w:szCs w:val="24"/>
        </w:rPr>
        <w:t xml:space="preserve">tate </w:t>
      </w:r>
      <w:r w:rsidRPr="00762F09">
        <w:rPr>
          <w:szCs w:val="24"/>
        </w:rPr>
        <w:t>and local public safety agencies.</w:t>
      </w:r>
      <w:r w:rsidR="00FB14FE">
        <w:rPr>
          <w:szCs w:val="24"/>
        </w:rPr>
        <w:t xml:space="preserve">  International organized crime poses unprecedented threats to U.S. national and economic security </w:t>
      </w:r>
      <w:r w:rsidR="002C3C72">
        <w:rPr>
          <w:szCs w:val="24"/>
        </w:rPr>
        <w:t>through</w:t>
      </w:r>
      <w:r w:rsidR="00FB14FE">
        <w:rPr>
          <w:szCs w:val="24"/>
        </w:rPr>
        <w:t xml:space="preserve"> attempts to exploit the </w:t>
      </w:r>
      <w:r w:rsidR="002C3C72">
        <w:rPr>
          <w:szCs w:val="24"/>
        </w:rPr>
        <w:t xml:space="preserve">Nation’s </w:t>
      </w:r>
      <w:r w:rsidR="00FB14FE">
        <w:rPr>
          <w:szCs w:val="24"/>
        </w:rPr>
        <w:t xml:space="preserve">strategic sectors </w:t>
      </w:r>
      <w:r w:rsidR="002C3C72">
        <w:rPr>
          <w:szCs w:val="24"/>
        </w:rPr>
        <w:t>and by supporting</w:t>
      </w:r>
      <w:r w:rsidR="00FB14FE">
        <w:rPr>
          <w:szCs w:val="24"/>
        </w:rPr>
        <w:t xml:space="preserve"> terrorists and hostile governments, </w:t>
      </w:r>
      <w:r w:rsidR="002C3C72">
        <w:rPr>
          <w:szCs w:val="24"/>
        </w:rPr>
        <w:t xml:space="preserve">and even </w:t>
      </w:r>
      <w:r w:rsidR="00FB14FE">
        <w:rPr>
          <w:szCs w:val="24"/>
        </w:rPr>
        <w:t>manipulating</w:t>
      </w:r>
      <w:r w:rsidR="00FA786B">
        <w:rPr>
          <w:szCs w:val="24"/>
        </w:rPr>
        <w:t xml:space="preserve"> financial markets.</w:t>
      </w:r>
      <w:r w:rsidR="00092A3A">
        <w:rPr>
          <w:szCs w:val="24"/>
        </w:rPr>
        <w:t xml:space="preserve"> </w:t>
      </w:r>
    </w:p>
    <w:p w:rsidR="007E2704" w:rsidRDefault="007E2704" w:rsidP="005027FD">
      <w:pPr>
        <w:pStyle w:val="xl24"/>
        <w:rPr>
          <w:b/>
        </w:rPr>
      </w:pPr>
    </w:p>
    <w:p w:rsidR="00B6650B" w:rsidRDefault="0051787E" w:rsidP="00925127">
      <w:pPr>
        <w:pStyle w:val="xl24"/>
        <w:rPr>
          <w:b/>
          <w:color w:val="FF0000"/>
        </w:rPr>
      </w:pPr>
      <w:r>
        <w:rPr>
          <w:b/>
        </w:rPr>
        <w:br w:type="page"/>
      </w:r>
      <w:r w:rsidR="00FA2AAB" w:rsidRPr="00027DE2">
        <w:rPr>
          <w:b/>
        </w:rPr>
        <w:lastRenderedPageBreak/>
        <w:t>B. Arson and Explosives</w:t>
      </w:r>
      <w:r w:rsidR="00126060">
        <w:rPr>
          <w:b/>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1260"/>
        <w:gridCol w:w="1260"/>
        <w:gridCol w:w="1440"/>
      </w:tblGrid>
      <w:tr w:rsidR="00FA2AAB" w:rsidRPr="00762F09" w:rsidTr="004F2718">
        <w:trPr>
          <w:trHeight w:val="728"/>
        </w:trPr>
        <w:tc>
          <w:tcPr>
            <w:tcW w:w="5400" w:type="dxa"/>
          </w:tcPr>
          <w:p w:rsidR="00FA2AAB" w:rsidRPr="00143009" w:rsidRDefault="00FA2AAB" w:rsidP="00143009">
            <w:pPr>
              <w:spacing w:before="100" w:beforeAutospacing="1" w:after="100" w:afterAutospacing="1"/>
              <w:rPr>
                <w:b/>
                <w:bCs/>
              </w:rPr>
            </w:pPr>
            <w:r w:rsidRPr="00143009">
              <w:rPr>
                <w:b/>
                <w:bCs/>
              </w:rPr>
              <w:t>Arson and Explosives TOTAL</w:t>
            </w:r>
          </w:p>
        </w:tc>
        <w:tc>
          <w:tcPr>
            <w:tcW w:w="1260" w:type="dxa"/>
          </w:tcPr>
          <w:p w:rsidR="00FA2AAB" w:rsidRPr="00143009" w:rsidRDefault="00FA2AAB" w:rsidP="00143009">
            <w:pPr>
              <w:spacing w:before="100" w:beforeAutospacing="1" w:after="100" w:afterAutospacing="1"/>
              <w:jc w:val="center"/>
              <w:rPr>
                <w:b/>
                <w:bCs/>
              </w:rPr>
            </w:pPr>
            <w:smartTag w:uri="urn:schemas-microsoft-com:office:smarttags" w:element="place">
              <w:smartTag w:uri="urn:schemas-microsoft-com:office:smarttags" w:element="City">
                <w:r w:rsidRPr="00143009">
                  <w:rPr>
                    <w:b/>
                    <w:bCs/>
                  </w:rPr>
                  <w:t>Perm</w:t>
                </w:r>
              </w:smartTag>
            </w:smartTag>
            <w:r w:rsidRPr="00143009">
              <w:rPr>
                <w:b/>
                <w:bCs/>
              </w:rPr>
              <w:t xml:space="preserve"> Pos.</w:t>
            </w:r>
          </w:p>
        </w:tc>
        <w:tc>
          <w:tcPr>
            <w:tcW w:w="1260" w:type="dxa"/>
          </w:tcPr>
          <w:p w:rsidR="00FA2AAB" w:rsidRPr="00143009" w:rsidRDefault="00FA2AAB" w:rsidP="00143009">
            <w:pPr>
              <w:spacing w:before="100" w:beforeAutospacing="1" w:after="100" w:afterAutospacing="1"/>
              <w:jc w:val="center"/>
              <w:rPr>
                <w:b/>
                <w:bCs/>
              </w:rPr>
            </w:pPr>
            <w:r w:rsidRPr="00143009">
              <w:rPr>
                <w:b/>
                <w:bCs/>
              </w:rPr>
              <w:t>FTE</w:t>
            </w:r>
          </w:p>
        </w:tc>
        <w:tc>
          <w:tcPr>
            <w:tcW w:w="1440" w:type="dxa"/>
          </w:tcPr>
          <w:p w:rsidR="00FA2AAB" w:rsidRPr="00143009" w:rsidRDefault="00FA2AAB" w:rsidP="00143009">
            <w:pPr>
              <w:spacing w:before="100" w:beforeAutospacing="1" w:after="100" w:afterAutospacing="1"/>
              <w:jc w:val="center"/>
              <w:rPr>
                <w:b/>
                <w:bCs/>
              </w:rPr>
            </w:pPr>
            <w:r w:rsidRPr="00143009">
              <w:rPr>
                <w:b/>
                <w:bCs/>
              </w:rPr>
              <w:t>Amount</w:t>
            </w:r>
            <w:r w:rsidR="007B4241">
              <w:rPr>
                <w:b/>
                <w:bCs/>
              </w:rPr>
              <w:t xml:space="preserve"> </w:t>
            </w:r>
            <w:r w:rsidRPr="00143009">
              <w:rPr>
                <w:b/>
                <w:bCs/>
              </w:rPr>
              <w:t>($000)</w:t>
            </w:r>
          </w:p>
        </w:tc>
      </w:tr>
      <w:tr w:rsidR="00FA2AAB" w:rsidRPr="00762F09" w:rsidTr="004F2718">
        <w:tc>
          <w:tcPr>
            <w:tcW w:w="5400" w:type="dxa"/>
          </w:tcPr>
          <w:p w:rsidR="00FA2AAB" w:rsidRPr="00762F09" w:rsidRDefault="006C7DF9" w:rsidP="006C7DF9">
            <w:pPr>
              <w:spacing w:before="100" w:beforeAutospacing="1" w:after="100" w:afterAutospacing="1"/>
            </w:pPr>
            <w:r w:rsidRPr="00762F09">
              <w:t>20</w:t>
            </w:r>
            <w:r>
              <w:t>10</w:t>
            </w:r>
            <w:r w:rsidRPr="00762F09">
              <w:t xml:space="preserve"> </w:t>
            </w:r>
            <w:r w:rsidR="00FA2AAB" w:rsidRPr="00762F09">
              <w:t xml:space="preserve">Enacted w/Rescissions </w:t>
            </w:r>
          </w:p>
        </w:tc>
        <w:tc>
          <w:tcPr>
            <w:tcW w:w="1260" w:type="dxa"/>
          </w:tcPr>
          <w:p w:rsidR="00FA2AAB" w:rsidRPr="00762F09" w:rsidRDefault="00FA2AAB" w:rsidP="00143009">
            <w:pPr>
              <w:spacing w:before="100" w:beforeAutospacing="1" w:after="100" w:afterAutospacing="1"/>
              <w:jc w:val="right"/>
            </w:pPr>
            <w:r w:rsidRPr="00762F09">
              <w:t>1,3</w:t>
            </w:r>
            <w:r>
              <w:t>21</w:t>
            </w:r>
          </w:p>
        </w:tc>
        <w:tc>
          <w:tcPr>
            <w:tcW w:w="1260" w:type="dxa"/>
          </w:tcPr>
          <w:p w:rsidR="00FA2AAB" w:rsidRPr="00143009" w:rsidRDefault="00FA2AAB" w:rsidP="006C7DF9">
            <w:pPr>
              <w:spacing w:before="100" w:beforeAutospacing="1" w:after="100" w:afterAutospacing="1"/>
              <w:jc w:val="right"/>
              <w:rPr>
                <w:bCs/>
              </w:rPr>
            </w:pPr>
            <w:r w:rsidRPr="00143009">
              <w:rPr>
                <w:bCs/>
              </w:rPr>
              <w:t>1,</w:t>
            </w:r>
            <w:r w:rsidR="006C7DF9" w:rsidRPr="00143009">
              <w:rPr>
                <w:bCs/>
              </w:rPr>
              <w:t>32</w:t>
            </w:r>
            <w:r w:rsidR="006C7DF9">
              <w:rPr>
                <w:bCs/>
              </w:rPr>
              <w:t>1</w:t>
            </w:r>
          </w:p>
        </w:tc>
        <w:tc>
          <w:tcPr>
            <w:tcW w:w="1440" w:type="dxa"/>
          </w:tcPr>
          <w:p w:rsidR="00FA2AAB" w:rsidRPr="00762F09" w:rsidRDefault="006C7DF9" w:rsidP="0071293D">
            <w:pPr>
              <w:spacing w:before="100" w:beforeAutospacing="1" w:after="100" w:afterAutospacing="1"/>
              <w:jc w:val="right"/>
            </w:pPr>
            <w:r>
              <w:t>289,841</w:t>
            </w:r>
          </w:p>
        </w:tc>
      </w:tr>
      <w:tr w:rsidR="00FA2AAB" w:rsidRPr="00762F09" w:rsidTr="004F2718">
        <w:tc>
          <w:tcPr>
            <w:tcW w:w="5400" w:type="dxa"/>
          </w:tcPr>
          <w:p w:rsidR="00FA2AAB" w:rsidRPr="00762F09" w:rsidRDefault="006C7DF9" w:rsidP="006C7DF9">
            <w:pPr>
              <w:spacing w:before="100" w:beforeAutospacing="1" w:after="100" w:afterAutospacing="1"/>
              <w:ind w:right="-468"/>
            </w:pPr>
            <w:r w:rsidRPr="00762F09">
              <w:t>20</w:t>
            </w:r>
            <w:r>
              <w:t>10</w:t>
            </w:r>
            <w:r w:rsidRPr="00762F09">
              <w:t xml:space="preserve"> </w:t>
            </w:r>
            <w:r w:rsidR="00FA2AAB" w:rsidRPr="00762F09">
              <w:t>Supplementals</w:t>
            </w:r>
          </w:p>
        </w:tc>
        <w:tc>
          <w:tcPr>
            <w:tcW w:w="1260" w:type="dxa"/>
          </w:tcPr>
          <w:p w:rsidR="00FA2AAB" w:rsidRPr="00762F09" w:rsidRDefault="00FA2AAB" w:rsidP="00143009">
            <w:pPr>
              <w:spacing w:before="100" w:beforeAutospacing="1" w:after="100" w:afterAutospacing="1"/>
              <w:jc w:val="right"/>
            </w:pPr>
            <w:r w:rsidRPr="00762F09">
              <w:t>0</w:t>
            </w:r>
          </w:p>
        </w:tc>
        <w:tc>
          <w:tcPr>
            <w:tcW w:w="1260" w:type="dxa"/>
          </w:tcPr>
          <w:p w:rsidR="00FA2AAB" w:rsidRPr="00762F09" w:rsidRDefault="00FA2AAB" w:rsidP="00143009">
            <w:pPr>
              <w:spacing w:before="100" w:beforeAutospacing="1" w:after="100" w:afterAutospacing="1"/>
              <w:jc w:val="right"/>
            </w:pPr>
            <w:r w:rsidRPr="00762F09">
              <w:t>0</w:t>
            </w:r>
          </w:p>
        </w:tc>
        <w:tc>
          <w:tcPr>
            <w:tcW w:w="1440" w:type="dxa"/>
          </w:tcPr>
          <w:p w:rsidR="00FA2AAB" w:rsidRPr="00762F09" w:rsidRDefault="006C7DF9" w:rsidP="00143009">
            <w:pPr>
              <w:spacing w:before="100" w:beforeAutospacing="1" w:after="100" w:afterAutospacing="1"/>
              <w:jc w:val="right"/>
            </w:pPr>
            <w:r>
              <w:t>0</w:t>
            </w:r>
          </w:p>
        </w:tc>
      </w:tr>
      <w:tr w:rsidR="00FA2AAB" w:rsidRPr="00762F09" w:rsidTr="004F2718">
        <w:tc>
          <w:tcPr>
            <w:tcW w:w="5400" w:type="dxa"/>
          </w:tcPr>
          <w:p w:rsidR="00FA2AAB" w:rsidRPr="00762F09" w:rsidRDefault="006C7DF9" w:rsidP="006C7DF9">
            <w:pPr>
              <w:spacing w:before="100" w:beforeAutospacing="1" w:after="100" w:afterAutospacing="1"/>
              <w:ind w:right="-468"/>
            </w:pPr>
            <w:r w:rsidRPr="00762F09">
              <w:t>20</w:t>
            </w:r>
            <w:r>
              <w:t>10</w:t>
            </w:r>
            <w:r w:rsidRPr="00762F09">
              <w:t xml:space="preserve"> </w:t>
            </w:r>
            <w:r w:rsidR="00FA2AAB" w:rsidRPr="00762F09">
              <w:t>Enacted w/Rescissions and Supplementals</w:t>
            </w:r>
          </w:p>
        </w:tc>
        <w:tc>
          <w:tcPr>
            <w:tcW w:w="1260" w:type="dxa"/>
          </w:tcPr>
          <w:p w:rsidR="00FA2AAB" w:rsidRPr="00762F09" w:rsidRDefault="00FA2AAB" w:rsidP="00143009">
            <w:pPr>
              <w:spacing w:before="100" w:beforeAutospacing="1" w:after="100" w:afterAutospacing="1"/>
              <w:jc w:val="right"/>
            </w:pPr>
            <w:r w:rsidRPr="00762F09">
              <w:t>1,3</w:t>
            </w:r>
            <w:r>
              <w:t>21</w:t>
            </w:r>
          </w:p>
        </w:tc>
        <w:tc>
          <w:tcPr>
            <w:tcW w:w="1260" w:type="dxa"/>
          </w:tcPr>
          <w:p w:rsidR="00FA2AAB" w:rsidRPr="00762F09" w:rsidRDefault="00FA2AAB" w:rsidP="008A3AFF">
            <w:pPr>
              <w:spacing w:before="100" w:beforeAutospacing="1" w:after="100" w:afterAutospacing="1"/>
              <w:jc w:val="right"/>
            </w:pPr>
            <w:r w:rsidRPr="00762F09">
              <w:t>1,</w:t>
            </w:r>
            <w:r w:rsidR="008A3AFF" w:rsidRPr="00762F09">
              <w:t>3</w:t>
            </w:r>
            <w:r w:rsidR="008A3AFF">
              <w:t>21</w:t>
            </w:r>
          </w:p>
        </w:tc>
        <w:tc>
          <w:tcPr>
            <w:tcW w:w="1440" w:type="dxa"/>
          </w:tcPr>
          <w:p w:rsidR="00FA2AAB" w:rsidRPr="00762F09" w:rsidRDefault="000C56F3" w:rsidP="000C56F3">
            <w:pPr>
              <w:spacing w:before="100" w:beforeAutospacing="1" w:after="100" w:afterAutospacing="1"/>
              <w:jc w:val="right"/>
            </w:pPr>
            <w:r>
              <w:t>289,841</w:t>
            </w:r>
          </w:p>
        </w:tc>
      </w:tr>
      <w:tr w:rsidR="00FA2AAB" w:rsidRPr="00762F09" w:rsidTr="004F2718">
        <w:tc>
          <w:tcPr>
            <w:tcW w:w="5400" w:type="dxa"/>
          </w:tcPr>
          <w:p w:rsidR="00FA2AAB" w:rsidRPr="00762F09" w:rsidRDefault="006C7DF9" w:rsidP="008A3AFF">
            <w:pPr>
              <w:spacing w:before="100" w:beforeAutospacing="1" w:after="100" w:afterAutospacing="1"/>
              <w:ind w:right="-468"/>
            </w:pPr>
            <w:r w:rsidRPr="00762F09">
              <w:t>20</w:t>
            </w:r>
            <w:r>
              <w:t xml:space="preserve">11 </w:t>
            </w:r>
            <w:r w:rsidR="008A3AFF">
              <w:t>CR</w:t>
            </w:r>
          </w:p>
        </w:tc>
        <w:tc>
          <w:tcPr>
            <w:tcW w:w="1260" w:type="dxa"/>
          </w:tcPr>
          <w:p w:rsidR="00FA2AAB" w:rsidRPr="00762F09" w:rsidRDefault="00FA2AAB" w:rsidP="008A3AFF">
            <w:pPr>
              <w:spacing w:before="100" w:beforeAutospacing="1" w:after="100" w:afterAutospacing="1"/>
              <w:jc w:val="right"/>
            </w:pPr>
            <w:r w:rsidRPr="00762F09">
              <w:t>1,</w:t>
            </w:r>
            <w:r w:rsidR="008A3AFF">
              <w:t>321</w:t>
            </w:r>
          </w:p>
        </w:tc>
        <w:tc>
          <w:tcPr>
            <w:tcW w:w="1260" w:type="dxa"/>
          </w:tcPr>
          <w:p w:rsidR="00FA2AAB" w:rsidRPr="00762F09" w:rsidRDefault="00FA2AAB" w:rsidP="00C73D63">
            <w:pPr>
              <w:spacing w:before="100" w:beforeAutospacing="1" w:after="100" w:afterAutospacing="1"/>
              <w:jc w:val="right"/>
            </w:pPr>
            <w:r w:rsidRPr="00762F09">
              <w:t>1,</w:t>
            </w:r>
            <w:r w:rsidR="00C73D63">
              <w:t>321</w:t>
            </w:r>
          </w:p>
        </w:tc>
        <w:tc>
          <w:tcPr>
            <w:tcW w:w="1440" w:type="dxa"/>
          </w:tcPr>
          <w:p w:rsidR="00FA2AAB" w:rsidRPr="00762F09" w:rsidRDefault="008A3AFF" w:rsidP="00C73D63">
            <w:pPr>
              <w:spacing w:before="100" w:beforeAutospacing="1" w:after="100" w:afterAutospacing="1"/>
              <w:jc w:val="right"/>
            </w:pPr>
            <w:r>
              <w:t>289,841</w:t>
            </w:r>
          </w:p>
        </w:tc>
      </w:tr>
      <w:tr w:rsidR="00FA2AAB" w:rsidRPr="00762F09" w:rsidTr="004F2718">
        <w:tc>
          <w:tcPr>
            <w:tcW w:w="5400" w:type="dxa"/>
          </w:tcPr>
          <w:p w:rsidR="00FA2AAB" w:rsidRPr="00762F09" w:rsidRDefault="00FA2AAB" w:rsidP="00143009">
            <w:pPr>
              <w:spacing w:before="100" w:beforeAutospacing="1" w:after="100" w:afterAutospacing="1"/>
              <w:ind w:right="-468"/>
            </w:pPr>
            <w:r w:rsidRPr="00762F09">
              <w:t>Adjustments to Base and Technical Adjustments</w:t>
            </w:r>
          </w:p>
        </w:tc>
        <w:tc>
          <w:tcPr>
            <w:tcW w:w="1260" w:type="dxa"/>
          </w:tcPr>
          <w:p w:rsidR="00FA2AAB" w:rsidRPr="0071293D" w:rsidRDefault="00C73D63" w:rsidP="00C73D63">
            <w:pPr>
              <w:spacing w:before="100" w:beforeAutospacing="1" w:after="100" w:afterAutospacing="1"/>
              <w:jc w:val="right"/>
            </w:pPr>
            <w:r>
              <w:t>(81)</w:t>
            </w:r>
          </w:p>
        </w:tc>
        <w:tc>
          <w:tcPr>
            <w:tcW w:w="1260" w:type="dxa"/>
          </w:tcPr>
          <w:p w:rsidR="00FA2AAB" w:rsidRPr="0071293D" w:rsidRDefault="00C73D63" w:rsidP="008A3AFF">
            <w:pPr>
              <w:spacing w:before="100" w:beforeAutospacing="1" w:after="100" w:afterAutospacing="1"/>
              <w:jc w:val="right"/>
            </w:pPr>
            <w:r>
              <w:t>(</w:t>
            </w:r>
            <w:r w:rsidR="008A3AFF">
              <w:t>81</w:t>
            </w:r>
            <w:r>
              <w:t>)</w:t>
            </w:r>
          </w:p>
        </w:tc>
        <w:tc>
          <w:tcPr>
            <w:tcW w:w="1440" w:type="dxa"/>
          </w:tcPr>
          <w:p w:rsidR="00FA2AAB" w:rsidRPr="0071293D" w:rsidRDefault="00C73D63" w:rsidP="008A3AFF">
            <w:pPr>
              <w:spacing w:before="100" w:beforeAutospacing="1" w:after="100" w:afterAutospacing="1"/>
              <w:jc w:val="right"/>
            </w:pPr>
            <w:r>
              <w:t>(</w:t>
            </w:r>
            <w:r w:rsidR="008A3AFF">
              <w:t>22,555</w:t>
            </w:r>
            <w:r>
              <w:t>)</w:t>
            </w:r>
          </w:p>
        </w:tc>
      </w:tr>
      <w:tr w:rsidR="00FA2AAB" w:rsidRPr="00762F09" w:rsidTr="004F2718">
        <w:tc>
          <w:tcPr>
            <w:tcW w:w="5400" w:type="dxa"/>
          </w:tcPr>
          <w:p w:rsidR="00FA2AAB" w:rsidRPr="00762F09" w:rsidRDefault="006C7DF9" w:rsidP="006C7DF9">
            <w:pPr>
              <w:spacing w:before="100" w:beforeAutospacing="1" w:after="100" w:afterAutospacing="1"/>
            </w:pPr>
            <w:r w:rsidRPr="00762F09">
              <w:t>201</w:t>
            </w:r>
            <w:r>
              <w:t>2</w:t>
            </w:r>
            <w:r w:rsidRPr="00762F09">
              <w:t xml:space="preserve"> </w:t>
            </w:r>
            <w:r w:rsidR="00FA2AAB" w:rsidRPr="00762F09">
              <w:t>Current Services</w:t>
            </w:r>
          </w:p>
        </w:tc>
        <w:tc>
          <w:tcPr>
            <w:tcW w:w="1260" w:type="dxa"/>
          </w:tcPr>
          <w:p w:rsidR="00FA2AAB" w:rsidRPr="0071293D" w:rsidRDefault="00FA2AAB" w:rsidP="008A3AFF">
            <w:pPr>
              <w:spacing w:before="100" w:beforeAutospacing="1" w:after="100" w:afterAutospacing="1"/>
              <w:jc w:val="right"/>
            </w:pPr>
            <w:r w:rsidRPr="0071293D">
              <w:t>1,</w:t>
            </w:r>
            <w:r w:rsidR="008A3AFF">
              <w:t>240</w:t>
            </w:r>
          </w:p>
        </w:tc>
        <w:tc>
          <w:tcPr>
            <w:tcW w:w="1260" w:type="dxa"/>
          </w:tcPr>
          <w:p w:rsidR="00FA2AAB" w:rsidRPr="0071293D" w:rsidRDefault="00FA2AAB" w:rsidP="008A3AFF">
            <w:pPr>
              <w:spacing w:before="100" w:beforeAutospacing="1" w:after="100" w:afterAutospacing="1"/>
              <w:jc w:val="right"/>
            </w:pPr>
            <w:r w:rsidRPr="0071293D">
              <w:t>1,</w:t>
            </w:r>
            <w:r w:rsidR="008A3AFF">
              <w:t>240</w:t>
            </w:r>
          </w:p>
        </w:tc>
        <w:tc>
          <w:tcPr>
            <w:tcW w:w="1440" w:type="dxa"/>
          </w:tcPr>
          <w:p w:rsidR="00FA2AAB" w:rsidRPr="0071293D" w:rsidRDefault="008A3AFF" w:rsidP="00C73D63">
            <w:pPr>
              <w:spacing w:before="100" w:beforeAutospacing="1" w:after="100" w:afterAutospacing="1"/>
              <w:jc w:val="right"/>
            </w:pPr>
            <w:r>
              <w:t>267,286</w:t>
            </w:r>
          </w:p>
        </w:tc>
      </w:tr>
      <w:tr w:rsidR="00FA2AAB" w:rsidRPr="00762F09" w:rsidTr="004F2718">
        <w:tc>
          <w:tcPr>
            <w:tcW w:w="5400" w:type="dxa"/>
          </w:tcPr>
          <w:p w:rsidR="00FA2AAB" w:rsidRPr="00762F09" w:rsidRDefault="006C7DF9" w:rsidP="00C73D63">
            <w:pPr>
              <w:spacing w:before="100" w:beforeAutospacing="1" w:after="100" w:afterAutospacing="1"/>
            </w:pPr>
            <w:r w:rsidRPr="00762F09">
              <w:t>201</w:t>
            </w:r>
            <w:r>
              <w:t>2</w:t>
            </w:r>
            <w:r w:rsidRPr="00762F09">
              <w:t xml:space="preserve"> </w:t>
            </w:r>
            <w:r w:rsidR="00C73D63">
              <w:t>Program Increases</w:t>
            </w:r>
          </w:p>
        </w:tc>
        <w:tc>
          <w:tcPr>
            <w:tcW w:w="1260" w:type="dxa"/>
          </w:tcPr>
          <w:p w:rsidR="00FA2AAB" w:rsidRPr="0071293D" w:rsidRDefault="008A3AFF" w:rsidP="00C73D63">
            <w:pPr>
              <w:spacing w:before="100" w:beforeAutospacing="1" w:after="100" w:afterAutospacing="1"/>
              <w:jc w:val="right"/>
            </w:pPr>
            <w:r>
              <w:t>2</w:t>
            </w:r>
          </w:p>
        </w:tc>
        <w:tc>
          <w:tcPr>
            <w:tcW w:w="1260" w:type="dxa"/>
          </w:tcPr>
          <w:p w:rsidR="00FA2AAB" w:rsidRPr="0071293D" w:rsidRDefault="008A3AFF" w:rsidP="00C73D63">
            <w:pPr>
              <w:spacing w:before="100" w:beforeAutospacing="1" w:after="100" w:afterAutospacing="1"/>
              <w:jc w:val="right"/>
            </w:pPr>
            <w:r>
              <w:t>1</w:t>
            </w:r>
          </w:p>
        </w:tc>
        <w:tc>
          <w:tcPr>
            <w:tcW w:w="1440" w:type="dxa"/>
          </w:tcPr>
          <w:p w:rsidR="00FA2AAB" w:rsidRPr="0071293D" w:rsidRDefault="008A3AFF" w:rsidP="00C73D63">
            <w:pPr>
              <w:spacing w:before="100" w:beforeAutospacing="1" w:after="100" w:afterAutospacing="1"/>
              <w:jc w:val="right"/>
            </w:pPr>
            <w:r>
              <w:t>349</w:t>
            </w:r>
          </w:p>
        </w:tc>
      </w:tr>
      <w:tr w:rsidR="00676C34" w:rsidRPr="00762F09" w:rsidTr="004F2718">
        <w:tc>
          <w:tcPr>
            <w:tcW w:w="5400" w:type="dxa"/>
          </w:tcPr>
          <w:p w:rsidR="00676C34" w:rsidRPr="00762F09" w:rsidRDefault="006C7DF9" w:rsidP="006C7DF9">
            <w:pPr>
              <w:spacing w:before="100" w:beforeAutospacing="1" w:after="100" w:afterAutospacing="1"/>
            </w:pPr>
            <w:r>
              <w:t xml:space="preserve">2012 </w:t>
            </w:r>
            <w:r w:rsidR="00C73D63">
              <w:t xml:space="preserve">Program </w:t>
            </w:r>
            <w:r w:rsidR="00676C34">
              <w:t>Offsets</w:t>
            </w:r>
          </w:p>
        </w:tc>
        <w:tc>
          <w:tcPr>
            <w:tcW w:w="1260" w:type="dxa"/>
          </w:tcPr>
          <w:p w:rsidR="00676C34" w:rsidRPr="0071293D" w:rsidRDefault="000C56F3" w:rsidP="0048571E">
            <w:pPr>
              <w:spacing w:before="100" w:beforeAutospacing="1" w:after="100" w:afterAutospacing="1"/>
              <w:jc w:val="right"/>
            </w:pPr>
            <w:r>
              <w:t>0</w:t>
            </w:r>
          </w:p>
        </w:tc>
        <w:tc>
          <w:tcPr>
            <w:tcW w:w="1260" w:type="dxa"/>
          </w:tcPr>
          <w:p w:rsidR="00676C34" w:rsidRPr="0071293D" w:rsidRDefault="000C56F3" w:rsidP="0048571E">
            <w:pPr>
              <w:spacing w:before="100" w:beforeAutospacing="1" w:after="100" w:afterAutospacing="1"/>
              <w:jc w:val="right"/>
            </w:pPr>
            <w:r>
              <w:t>0</w:t>
            </w:r>
          </w:p>
        </w:tc>
        <w:tc>
          <w:tcPr>
            <w:tcW w:w="1440" w:type="dxa"/>
          </w:tcPr>
          <w:p w:rsidR="00676C34" w:rsidRDefault="00C73D63" w:rsidP="008A3AFF">
            <w:pPr>
              <w:spacing w:before="100" w:beforeAutospacing="1" w:after="100" w:afterAutospacing="1"/>
              <w:jc w:val="right"/>
            </w:pPr>
            <w:r>
              <w:t>(</w:t>
            </w:r>
            <w:r w:rsidR="008A3AFF">
              <w:t>3,757</w:t>
            </w:r>
            <w:r>
              <w:t>)</w:t>
            </w:r>
          </w:p>
        </w:tc>
      </w:tr>
      <w:tr w:rsidR="00FA2AAB" w:rsidRPr="00762F09" w:rsidTr="004F2718">
        <w:tc>
          <w:tcPr>
            <w:tcW w:w="5400" w:type="dxa"/>
          </w:tcPr>
          <w:p w:rsidR="00FA2AAB" w:rsidRPr="00762F09" w:rsidRDefault="006C7DF9" w:rsidP="006C7DF9">
            <w:pPr>
              <w:spacing w:before="100" w:beforeAutospacing="1" w:after="100" w:afterAutospacing="1"/>
            </w:pPr>
            <w:r w:rsidRPr="00762F09">
              <w:t>201</w:t>
            </w:r>
            <w:r>
              <w:t>2</w:t>
            </w:r>
            <w:r w:rsidRPr="00762F09">
              <w:t xml:space="preserve"> </w:t>
            </w:r>
            <w:r w:rsidR="00FA2AAB" w:rsidRPr="00762F09">
              <w:t>Request</w:t>
            </w:r>
          </w:p>
        </w:tc>
        <w:tc>
          <w:tcPr>
            <w:tcW w:w="1260" w:type="dxa"/>
          </w:tcPr>
          <w:p w:rsidR="00FA2AAB" w:rsidRPr="0071293D" w:rsidRDefault="00FA2AAB" w:rsidP="008A3AFF">
            <w:pPr>
              <w:spacing w:before="100" w:beforeAutospacing="1" w:after="100" w:afterAutospacing="1"/>
              <w:jc w:val="right"/>
            </w:pPr>
            <w:r w:rsidRPr="0071293D">
              <w:t>1,</w:t>
            </w:r>
            <w:r w:rsidR="008A3AFF">
              <w:t>242</w:t>
            </w:r>
          </w:p>
        </w:tc>
        <w:tc>
          <w:tcPr>
            <w:tcW w:w="1260" w:type="dxa"/>
          </w:tcPr>
          <w:p w:rsidR="00FA2AAB" w:rsidRPr="0071293D" w:rsidRDefault="00FA2AAB" w:rsidP="008A3AFF">
            <w:pPr>
              <w:spacing w:before="100" w:beforeAutospacing="1" w:after="100" w:afterAutospacing="1"/>
              <w:jc w:val="right"/>
            </w:pPr>
            <w:r w:rsidRPr="0071293D">
              <w:t>1,</w:t>
            </w:r>
            <w:r w:rsidR="008A3AFF">
              <w:t>241</w:t>
            </w:r>
          </w:p>
        </w:tc>
        <w:tc>
          <w:tcPr>
            <w:tcW w:w="1440" w:type="dxa"/>
          </w:tcPr>
          <w:p w:rsidR="00FA2AAB" w:rsidRPr="0071293D" w:rsidRDefault="008A3AFF" w:rsidP="00C73D63">
            <w:pPr>
              <w:spacing w:before="100" w:beforeAutospacing="1" w:after="100" w:afterAutospacing="1"/>
              <w:jc w:val="right"/>
            </w:pPr>
            <w:r>
              <w:t>263,878</w:t>
            </w:r>
          </w:p>
        </w:tc>
      </w:tr>
      <w:tr w:rsidR="00FA2AAB" w:rsidRPr="00762F09" w:rsidTr="004F2718">
        <w:tc>
          <w:tcPr>
            <w:tcW w:w="5400" w:type="dxa"/>
            <w:shd w:val="clear" w:color="auto" w:fill="E0E0E0"/>
          </w:tcPr>
          <w:p w:rsidR="00FA2AAB" w:rsidRPr="00143009" w:rsidRDefault="00FA2AAB" w:rsidP="006C7DF9">
            <w:pPr>
              <w:spacing w:before="100" w:beforeAutospacing="1" w:after="100" w:afterAutospacing="1"/>
              <w:rPr>
                <w:b/>
                <w:bCs/>
              </w:rPr>
            </w:pPr>
            <w:r w:rsidRPr="00143009">
              <w:rPr>
                <w:b/>
                <w:bCs/>
              </w:rPr>
              <w:t xml:space="preserve">Total Change </w:t>
            </w:r>
            <w:r w:rsidR="006C7DF9" w:rsidRPr="00143009">
              <w:rPr>
                <w:b/>
                <w:bCs/>
              </w:rPr>
              <w:t>201</w:t>
            </w:r>
            <w:r w:rsidR="006C7DF9">
              <w:rPr>
                <w:b/>
                <w:bCs/>
              </w:rPr>
              <w:t>1</w:t>
            </w:r>
            <w:r w:rsidRPr="00143009">
              <w:rPr>
                <w:b/>
                <w:bCs/>
              </w:rPr>
              <w:t>-</w:t>
            </w:r>
            <w:r w:rsidR="006C7DF9" w:rsidRPr="00143009">
              <w:rPr>
                <w:b/>
                <w:bCs/>
              </w:rPr>
              <w:t>201</w:t>
            </w:r>
            <w:r w:rsidR="006C7DF9">
              <w:rPr>
                <w:b/>
                <w:bCs/>
              </w:rPr>
              <w:t>2</w:t>
            </w:r>
          </w:p>
        </w:tc>
        <w:tc>
          <w:tcPr>
            <w:tcW w:w="1260" w:type="dxa"/>
            <w:shd w:val="clear" w:color="auto" w:fill="E0E0E0"/>
          </w:tcPr>
          <w:p w:rsidR="00FA2AAB" w:rsidRPr="0071293D" w:rsidRDefault="00C73D63" w:rsidP="008A3AFF">
            <w:pPr>
              <w:spacing w:before="100" w:beforeAutospacing="1" w:after="100" w:afterAutospacing="1"/>
              <w:jc w:val="right"/>
              <w:rPr>
                <w:b/>
              </w:rPr>
            </w:pPr>
            <w:r>
              <w:rPr>
                <w:b/>
              </w:rPr>
              <w:t>(</w:t>
            </w:r>
            <w:r w:rsidR="008A3AFF">
              <w:rPr>
                <w:b/>
              </w:rPr>
              <w:t>79</w:t>
            </w:r>
            <w:r>
              <w:rPr>
                <w:b/>
              </w:rPr>
              <w:t>)</w:t>
            </w:r>
          </w:p>
        </w:tc>
        <w:tc>
          <w:tcPr>
            <w:tcW w:w="1260" w:type="dxa"/>
            <w:shd w:val="clear" w:color="auto" w:fill="E0E0E0"/>
          </w:tcPr>
          <w:p w:rsidR="00FA2AAB" w:rsidRPr="0071293D" w:rsidRDefault="00C73D63" w:rsidP="008A3AFF">
            <w:pPr>
              <w:spacing w:before="100" w:beforeAutospacing="1" w:after="100" w:afterAutospacing="1"/>
              <w:jc w:val="right"/>
              <w:rPr>
                <w:b/>
              </w:rPr>
            </w:pPr>
            <w:r>
              <w:rPr>
                <w:b/>
              </w:rPr>
              <w:t>(</w:t>
            </w:r>
            <w:r w:rsidR="008A3AFF">
              <w:rPr>
                <w:b/>
              </w:rPr>
              <w:t>80</w:t>
            </w:r>
            <w:r>
              <w:rPr>
                <w:b/>
              </w:rPr>
              <w:t>)</w:t>
            </w:r>
          </w:p>
        </w:tc>
        <w:tc>
          <w:tcPr>
            <w:tcW w:w="1440" w:type="dxa"/>
            <w:shd w:val="clear" w:color="auto" w:fill="E0E0E0"/>
          </w:tcPr>
          <w:p w:rsidR="00FA2AAB" w:rsidRPr="0071293D" w:rsidRDefault="00C73D63" w:rsidP="008A3AFF">
            <w:pPr>
              <w:spacing w:before="100" w:beforeAutospacing="1" w:after="100" w:afterAutospacing="1"/>
              <w:jc w:val="right"/>
              <w:rPr>
                <w:b/>
              </w:rPr>
            </w:pPr>
            <w:r>
              <w:rPr>
                <w:b/>
              </w:rPr>
              <w:t>(</w:t>
            </w:r>
            <w:r w:rsidR="008A3AFF">
              <w:rPr>
                <w:b/>
              </w:rPr>
              <w:t>25,963</w:t>
            </w:r>
            <w:r>
              <w:rPr>
                <w:b/>
              </w:rPr>
              <w:t>)</w:t>
            </w:r>
          </w:p>
        </w:tc>
      </w:tr>
    </w:tbl>
    <w:tbl>
      <w:tblPr>
        <w:tblpPr w:leftFromText="180" w:rightFromText="180" w:vertAnchor="text" w:horzAnchor="margin" w:tblpX="90" w:tblpY="42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350"/>
        <w:gridCol w:w="1260"/>
        <w:gridCol w:w="1440"/>
      </w:tblGrid>
      <w:tr w:rsidR="0034360E" w:rsidRPr="00762F09" w:rsidTr="004F2718">
        <w:tc>
          <w:tcPr>
            <w:tcW w:w="5418" w:type="dxa"/>
          </w:tcPr>
          <w:p w:rsidR="0034360E" w:rsidRPr="006C5146" w:rsidRDefault="0034360E" w:rsidP="004F2718">
            <w:pPr>
              <w:spacing w:before="100" w:beforeAutospacing="1" w:after="100" w:afterAutospacing="1"/>
              <w:rPr>
                <w:b/>
                <w:bCs/>
              </w:rPr>
            </w:pPr>
            <w:r>
              <w:rPr>
                <w:b/>
                <w:bCs/>
              </w:rPr>
              <w:t>Arson &amp; Explosives</w:t>
            </w:r>
            <w:r w:rsidRPr="006C5146">
              <w:rPr>
                <w:b/>
                <w:bCs/>
              </w:rPr>
              <w:t xml:space="preserve"> – Information Technology Breakout (of Decision Unit Total)</w:t>
            </w:r>
          </w:p>
        </w:tc>
        <w:tc>
          <w:tcPr>
            <w:tcW w:w="1350" w:type="dxa"/>
            <w:vAlign w:val="bottom"/>
          </w:tcPr>
          <w:p w:rsidR="0034360E" w:rsidRPr="006C5146" w:rsidRDefault="0034360E" w:rsidP="004F2718">
            <w:pPr>
              <w:spacing w:before="100" w:beforeAutospacing="1" w:after="100" w:afterAutospacing="1"/>
              <w:jc w:val="center"/>
              <w:rPr>
                <w:b/>
                <w:bCs/>
              </w:rPr>
            </w:pPr>
            <w:r w:rsidRPr="006C5146">
              <w:rPr>
                <w:b/>
                <w:bCs/>
              </w:rPr>
              <w:t>Perm Pos.</w:t>
            </w:r>
          </w:p>
        </w:tc>
        <w:tc>
          <w:tcPr>
            <w:tcW w:w="1260" w:type="dxa"/>
            <w:vAlign w:val="bottom"/>
          </w:tcPr>
          <w:p w:rsidR="0034360E" w:rsidRPr="006C5146" w:rsidRDefault="0034360E" w:rsidP="004F2718">
            <w:pPr>
              <w:spacing w:before="100" w:beforeAutospacing="1" w:after="100" w:afterAutospacing="1"/>
              <w:jc w:val="center"/>
              <w:rPr>
                <w:b/>
                <w:bCs/>
              </w:rPr>
            </w:pPr>
            <w:r w:rsidRPr="006C5146">
              <w:rPr>
                <w:b/>
                <w:bCs/>
              </w:rPr>
              <w:t>FTE</w:t>
            </w:r>
          </w:p>
        </w:tc>
        <w:tc>
          <w:tcPr>
            <w:tcW w:w="1440" w:type="dxa"/>
            <w:vAlign w:val="bottom"/>
          </w:tcPr>
          <w:p w:rsidR="0034360E" w:rsidRPr="006C5146" w:rsidRDefault="0034360E" w:rsidP="004F2718">
            <w:pPr>
              <w:spacing w:before="100" w:beforeAutospacing="1" w:after="100" w:afterAutospacing="1"/>
              <w:jc w:val="center"/>
              <w:rPr>
                <w:b/>
                <w:bCs/>
              </w:rPr>
            </w:pPr>
            <w:r w:rsidRPr="006C5146">
              <w:rPr>
                <w:b/>
                <w:bCs/>
              </w:rPr>
              <w:t>Amount</w:t>
            </w:r>
            <w:r w:rsidR="00105EF8">
              <w:rPr>
                <w:b/>
                <w:bCs/>
              </w:rPr>
              <w:t xml:space="preserve"> </w:t>
            </w:r>
            <w:r w:rsidRPr="006C5146">
              <w:rPr>
                <w:b/>
                <w:bCs/>
              </w:rPr>
              <w:t>($000)</w:t>
            </w:r>
          </w:p>
        </w:tc>
      </w:tr>
      <w:tr w:rsidR="0034360E" w:rsidRPr="00762F09" w:rsidTr="004F2718">
        <w:tc>
          <w:tcPr>
            <w:tcW w:w="5418" w:type="dxa"/>
          </w:tcPr>
          <w:p w:rsidR="0034360E" w:rsidRPr="00762F09" w:rsidRDefault="0034360E" w:rsidP="004F2718">
            <w:pPr>
              <w:spacing w:before="100" w:beforeAutospacing="1" w:after="100" w:afterAutospacing="1"/>
            </w:pPr>
            <w:r w:rsidRPr="00762F09">
              <w:t>20</w:t>
            </w:r>
            <w:r>
              <w:t>10</w:t>
            </w:r>
            <w:r w:rsidRPr="00762F09">
              <w:t xml:space="preserve"> Enacted w/Rescissions </w:t>
            </w:r>
          </w:p>
        </w:tc>
        <w:tc>
          <w:tcPr>
            <w:tcW w:w="1350" w:type="dxa"/>
          </w:tcPr>
          <w:p w:rsidR="0034360E" w:rsidRPr="00762F09" w:rsidRDefault="00112064" w:rsidP="004F2718">
            <w:pPr>
              <w:spacing w:before="100" w:beforeAutospacing="1" w:after="100" w:afterAutospacing="1"/>
              <w:jc w:val="right"/>
            </w:pPr>
            <w:r>
              <w:t>24</w:t>
            </w:r>
          </w:p>
        </w:tc>
        <w:tc>
          <w:tcPr>
            <w:tcW w:w="1260" w:type="dxa"/>
          </w:tcPr>
          <w:p w:rsidR="0034360E" w:rsidRPr="006C5146" w:rsidRDefault="00112064" w:rsidP="004F2718">
            <w:pPr>
              <w:spacing w:before="100" w:beforeAutospacing="1" w:after="100" w:afterAutospacing="1"/>
              <w:jc w:val="right"/>
              <w:rPr>
                <w:bCs/>
              </w:rPr>
            </w:pPr>
            <w:r>
              <w:rPr>
                <w:bCs/>
              </w:rPr>
              <w:t>24</w:t>
            </w:r>
          </w:p>
        </w:tc>
        <w:tc>
          <w:tcPr>
            <w:tcW w:w="1440" w:type="dxa"/>
          </w:tcPr>
          <w:p w:rsidR="0034360E" w:rsidRPr="00762F09" w:rsidRDefault="00112064" w:rsidP="004F2718">
            <w:pPr>
              <w:spacing w:before="100" w:beforeAutospacing="1" w:after="100" w:afterAutospacing="1"/>
              <w:jc w:val="right"/>
            </w:pPr>
            <w:r>
              <w:t>28,114</w:t>
            </w:r>
          </w:p>
        </w:tc>
      </w:tr>
      <w:tr w:rsidR="0034360E" w:rsidRPr="00762F09" w:rsidTr="004F2718">
        <w:tc>
          <w:tcPr>
            <w:tcW w:w="5418" w:type="dxa"/>
          </w:tcPr>
          <w:p w:rsidR="0034360E" w:rsidRPr="00762F09" w:rsidRDefault="0034360E" w:rsidP="004F2718">
            <w:pPr>
              <w:spacing w:before="100" w:beforeAutospacing="1" w:after="100" w:afterAutospacing="1"/>
              <w:ind w:right="-468"/>
            </w:pPr>
            <w:r w:rsidRPr="00762F09">
              <w:t>20</w:t>
            </w:r>
            <w:r>
              <w:t>10</w:t>
            </w:r>
            <w:r w:rsidRPr="00762F09">
              <w:t xml:space="preserve"> Supplemental</w:t>
            </w:r>
          </w:p>
        </w:tc>
        <w:tc>
          <w:tcPr>
            <w:tcW w:w="1350" w:type="dxa"/>
          </w:tcPr>
          <w:p w:rsidR="0034360E" w:rsidRPr="00762F09" w:rsidRDefault="00112064" w:rsidP="004F2718">
            <w:pPr>
              <w:spacing w:before="100" w:beforeAutospacing="1" w:after="100" w:afterAutospacing="1"/>
              <w:jc w:val="right"/>
            </w:pPr>
            <w:r>
              <w:t>0</w:t>
            </w:r>
          </w:p>
        </w:tc>
        <w:tc>
          <w:tcPr>
            <w:tcW w:w="1260" w:type="dxa"/>
          </w:tcPr>
          <w:p w:rsidR="0034360E" w:rsidRPr="00762F09" w:rsidRDefault="00112064" w:rsidP="004F2718">
            <w:pPr>
              <w:spacing w:before="100" w:beforeAutospacing="1" w:after="100" w:afterAutospacing="1"/>
              <w:jc w:val="right"/>
            </w:pPr>
            <w:r>
              <w:t>0</w:t>
            </w:r>
          </w:p>
        </w:tc>
        <w:tc>
          <w:tcPr>
            <w:tcW w:w="1440" w:type="dxa"/>
          </w:tcPr>
          <w:p w:rsidR="0034360E" w:rsidRPr="00762F09" w:rsidRDefault="00112064" w:rsidP="004F2718">
            <w:pPr>
              <w:spacing w:before="100" w:beforeAutospacing="1" w:after="100" w:afterAutospacing="1"/>
              <w:jc w:val="right"/>
            </w:pPr>
            <w:r>
              <w:t>0</w:t>
            </w:r>
          </w:p>
        </w:tc>
      </w:tr>
      <w:tr w:rsidR="0034360E" w:rsidRPr="00762F09" w:rsidTr="004F2718">
        <w:tc>
          <w:tcPr>
            <w:tcW w:w="5418" w:type="dxa"/>
          </w:tcPr>
          <w:p w:rsidR="0034360E" w:rsidRPr="00762F09" w:rsidRDefault="0034360E" w:rsidP="004F2718">
            <w:pPr>
              <w:spacing w:before="100" w:beforeAutospacing="1" w:after="100" w:afterAutospacing="1"/>
              <w:ind w:right="-468"/>
            </w:pPr>
            <w:r w:rsidRPr="00762F09">
              <w:t>20</w:t>
            </w:r>
            <w:r>
              <w:t>10</w:t>
            </w:r>
            <w:r w:rsidRPr="00762F09">
              <w:t xml:space="preserve"> Enacted w/Rescissions and Supplemental</w:t>
            </w:r>
          </w:p>
        </w:tc>
        <w:tc>
          <w:tcPr>
            <w:tcW w:w="1350" w:type="dxa"/>
          </w:tcPr>
          <w:p w:rsidR="0034360E" w:rsidRPr="00762F09" w:rsidRDefault="00112064" w:rsidP="004F2718">
            <w:pPr>
              <w:spacing w:before="100" w:beforeAutospacing="1" w:after="100" w:afterAutospacing="1"/>
              <w:jc w:val="right"/>
            </w:pPr>
            <w:r>
              <w:t>24</w:t>
            </w:r>
          </w:p>
        </w:tc>
        <w:tc>
          <w:tcPr>
            <w:tcW w:w="1260" w:type="dxa"/>
          </w:tcPr>
          <w:p w:rsidR="0034360E" w:rsidRPr="00762F09" w:rsidRDefault="00112064" w:rsidP="004F2718">
            <w:pPr>
              <w:spacing w:before="100" w:beforeAutospacing="1" w:after="100" w:afterAutospacing="1"/>
              <w:jc w:val="right"/>
            </w:pPr>
            <w:r>
              <w:t>24</w:t>
            </w:r>
          </w:p>
        </w:tc>
        <w:tc>
          <w:tcPr>
            <w:tcW w:w="1440" w:type="dxa"/>
          </w:tcPr>
          <w:p w:rsidR="0034360E" w:rsidRPr="00762F09" w:rsidRDefault="00112064" w:rsidP="004F2718">
            <w:pPr>
              <w:spacing w:before="100" w:beforeAutospacing="1" w:after="100" w:afterAutospacing="1"/>
              <w:jc w:val="right"/>
            </w:pPr>
            <w:r>
              <w:t>28,114</w:t>
            </w:r>
          </w:p>
        </w:tc>
      </w:tr>
      <w:tr w:rsidR="0034360E" w:rsidRPr="00762F09" w:rsidTr="004F2718">
        <w:tc>
          <w:tcPr>
            <w:tcW w:w="5418" w:type="dxa"/>
          </w:tcPr>
          <w:p w:rsidR="0034360E" w:rsidRPr="00762F09" w:rsidRDefault="0034360E" w:rsidP="008C2DDF">
            <w:pPr>
              <w:spacing w:before="100" w:beforeAutospacing="1" w:after="100" w:afterAutospacing="1"/>
              <w:ind w:right="-468"/>
            </w:pPr>
            <w:r w:rsidRPr="00762F09">
              <w:t>20</w:t>
            </w:r>
            <w:r>
              <w:t>11</w:t>
            </w:r>
            <w:r w:rsidRPr="00762F09">
              <w:t xml:space="preserve"> </w:t>
            </w:r>
            <w:r w:rsidR="008C2DDF">
              <w:t>CR</w:t>
            </w:r>
          </w:p>
        </w:tc>
        <w:tc>
          <w:tcPr>
            <w:tcW w:w="1350" w:type="dxa"/>
          </w:tcPr>
          <w:p w:rsidR="0034360E" w:rsidRPr="00762F09" w:rsidRDefault="00112064" w:rsidP="00207AFF">
            <w:pPr>
              <w:spacing w:before="100" w:beforeAutospacing="1" w:after="100" w:afterAutospacing="1"/>
              <w:jc w:val="right"/>
            </w:pPr>
            <w:r>
              <w:t>2</w:t>
            </w:r>
            <w:r w:rsidR="00207AFF">
              <w:t>4</w:t>
            </w:r>
          </w:p>
        </w:tc>
        <w:tc>
          <w:tcPr>
            <w:tcW w:w="1260" w:type="dxa"/>
          </w:tcPr>
          <w:p w:rsidR="0034360E" w:rsidRPr="00762F09" w:rsidRDefault="00112064" w:rsidP="00207AFF">
            <w:pPr>
              <w:spacing w:before="100" w:beforeAutospacing="1" w:after="100" w:afterAutospacing="1"/>
              <w:jc w:val="right"/>
            </w:pPr>
            <w:r>
              <w:t>2</w:t>
            </w:r>
            <w:r w:rsidR="00207AFF">
              <w:t>4</w:t>
            </w:r>
          </w:p>
        </w:tc>
        <w:tc>
          <w:tcPr>
            <w:tcW w:w="1440" w:type="dxa"/>
          </w:tcPr>
          <w:p w:rsidR="0034360E" w:rsidRPr="00762F09" w:rsidRDefault="00112064" w:rsidP="00D94C6D">
            <w:pPr>
              <w:spacing w:before="100" w:beforeAutospacing="1" w:after="100" w:afterAutospacing="1"/>
              <w:jc w:val="right"/>
            </w:pPr>
            <w:r>
              <w:t>2</w:t>
            </w:r>
            <w:r w:rsidR="00D94C6D">
              <w:t>7</w:t>
            </w:r>
            <w:r>
              <w:t>,</w:t>
            </w:r>
            <w:r w:rsidR="00D94C6D">
              <w:t>744</w:t>
            </w:r>
          </w:p>
        </w:tc>
      </w:tr>
      <w:tr w:rsidR="0034360E" w:rsidRPr="00762F09" w:rsidTr="004F2718">
        <w:tc>
          <w:tcPr>
            <w:tcW w:w="5418" w:type="dxa"/>
          </w:tcPr>
          <w:p w:rsidR="0034360E" w:rsidRPr="00762F09" w:rsidRDefault="0034360E" w:rsidP="004F2718">
            <w:pPr>
              <w:spacing w:before="100" w:beforeAutospacing="1" w:after="100" w:afterAutospacing="1"/>
              <w:ind w:right="-468"/>
            </w:pPr>
            <w:r w:rsidRPr="00762F09">
              <w:t>Adjustments to Base and Technical Adjustments</w:t>
            </w:r>
          </w:p>
        </w:tc>
        <w:tc>
          <w:tcPr>
            <w:tcW w:w="1350" w:type="dxa"/>
          </w:tcPr>
          <w:p w:rsidR="0034360E" w:rsidRPr="000749A2" w:rsidRDefault="008A3AFF" w:rsidP="00207AFF">
            <w:pPr>
              <w:spacing w:before="100" w:beforeAutospacing="1" w:after="100" w:afterAutospacing="1"/>
              <w:jc w:val="right"/>
            </w:pPr>
            <w:r>
              <w:t>0</w:t>
            </w:r>
          </w:p>
        </w:tc>
        <w:tc>
          <w:tcPr>
            <w:tcW w:w="1260" w:type="dxa"/>
          </w:tcPr>
          <w:p w:rsidR="0034360E" w:rsidRPr="000749A2" w:rsidRDefault="008A3AFF" w:rsidP="00207AFF">
            <w:pPr>
              <w:spacing w:before="100" w:beforeAutospacing="1" w:after="100" w:afterAutospacing="1"/>
              <w:jc w:val="right"/>
            </w:pPr>
            <w:r>
              <w:t>0</w:t>
            </w:r>
          </w:p>
        </w:tc>
        <w:tc>
          <w:tcPr>
            <w:tcW w:w="1440" w:type="dxa"/>
          </w:tcPr>
          <w:p w:rsidR="0034360E" w:rsidRPr="000749A2" w:rsidRDefault="008A3AFF" w:rsidP="00D94C6D">
            <w:pPr>
              <w:spacing w:before="100" w:beforeAutospacing="1" w:after="100" w:afterAutospacing="1"/>
              <w:jc w:val="right"/>
            </w:pPr>
            <w:r>
              <w:t>270</w:t>
            </w:r>
          </w:p>
        </w:tc>
      </w:tr>
      <w:tr w:rsidR="0034360E" w:rsidRPr="00762F09" w:rsidTr="004F2718">
        <w:tc>
          <w:tcPr>
            <w:tcW w:w="5418" w:type="dxa"/>
          </w:tcPr>
          <w:p w:rsidR="0034360E" w:rsidRPr="00762F09" w:rsidRDefault="0034360E" w:rsidP="004F2718">
            <w:pPr>
              <w:spacing w:before="100" w:beforeAutospacing="1" w:after="100" w:afterAutospacing="1"/>
            </w:pPr>
            <w:r w:rsidRPr="00762F09">
              <w:t>201</w:t>
            </w:r>
            <w:r>
              <w:t>2</w:t>
            </w:r>
            <w:r w:rsidRPr="00762F09">
              <w:t xml:space="preserve"> Current Services</w:t>
            </w:r>
          </w:p>
        </w:tc>
        <w:tc>
          <w:tcPr>
            <w:tcW w:w="1350" w:type="dxa"/>
          </w:tcPr>
          <w:p w:rsidR="0034360E" w:rsidRPr="000749A2" w:rsidRDefault="008A3AFF" w:rsidP="008A3AFF">
            <w:pPr>
              <w:spacing w:before="100" w:beforeAutospacing="1" w:after="100" w:afterAutospacing="1"/>
              <w:jc w:val="right"/>
            </w:pPr>
            <w:r>
              <w:t>24</w:t>
            </w:r>
          </w:p>
        </w:tc>
        <w:tc>
          <w:tcPr>
            <w:tcW w:w="1260" w:type="dxa"/>
          </w:tcPr>
          <w:p w:rsidR="0034360E" w:rsidRPr="000749A2" w:rsidRDefault="008A3AFF" w:rsidP="008A3AFF">
            <w:pPr>
              <w:spacing w:before="100" w:beforeAutospacing="1" w:after="100" w:afterAutospacing="1"/>
              <w:jc w:val="right"/>
            </w:pPr>
            <w:r>
              <w:t>24</w:t>
            </w:r>
          </w:p>
        </w:tc>
        <w:tc>
          <w:tcPr>
            <w:tcW w:w="1440" w:type="dxa"/>
          </w:tcPr>
          <w:p w:rsidR="0034360E" w:rsidRPr="000749A2" w:rsidRDefault="008A3AFF" w:rsidP="00D94C6D">
            <w:pPr>
              <w:spacing w:before="100" w:beforeAutospacing="1" w:after="100" w:afterAutospacing="1"/>
              <w:jc w:val="right"/>
            </w:pPr>
            <w:r>
              <w:t>28,014</w:t>
            </w:r>
          </w:p>
        </w:tc>
      </w:tr>
      <w:tr w:rsidR="0034360E" w:rsidRPr="00762F09" w:rsidTr="004F2718">
        <w:tc>
          <w:tcPr>
            <w:tcW w:w="5418" w:type="dxa"/>
          </w:tcPr>
          <w:p w:rsidR="0034360E" w:rsidRPr="00762F09" w:rsidRDefault="0034360E" w:rsidP="00C73D63">
            <w:pPr>
              <w:spacing w:before="100" w:beforeAutospacing="1" w:after="100" w:afterAutospacing="1"/>
            </w:pPr>
            <w:r w:rsidRPr="00762F09">
              <w:t>201</w:t>
            </w:r>
            <w:r>
              <w:t>2</w:t>
            </w:r>
            <w:r w:rsidRPr="00762F09">
              <w:t xml:space="preserve"> </w:t>
            </w:r>
            <w:r w:rsidR="00C73D63">
              <w:t>Program Increases</w:t>
            </w:r>
          </w:p>
        </w:tc>
        <w:tc>
          <w:tcPr>
            <w:tcW w:w="1350" w:type="dxa"/>
          </w:tcPr>
          <w:p w:rsidR="0034360E" w:rsidRPr="000749A2" w:rsidRDefault="00112064" w:rsidP="004F2718">
            <w:pPr>
              <w:spacing w:before="100" w:beforeAutospacing="1" w:after="100" w:afterAutospacing="1"/>
              <w:jc w:val="right"/>
            </w:pPr>
            <w:r>
              <w:t>0</w:t>
            </w:r>
          </w:p>
        </w:tc>
        <w:tc>
          <w:tcPr>
            <w:tcW w:w="1260" w:type="dxa"/>
          </w:tcPr>
          <w:p w:rsidR="0034360E" w:rsidRPr="000749A2" w:rsidRDefault="00112064" w:rsidP="004F2718">
            <w:pPr>
              <w:spacing w:before="100" w:beforeAutospacing="1" w:after="100" w:afterAutospacing="1"/>
              <w:jc w:val="right"/>
            </w:pPr>
            <w:r>
              <w:t>0</w:t>
            </w:r>
          </w:p>
        </w:tc>
        <w:tc>
          <w:tcPr>
            <w:tcW w:w="1440" w:type="dxa"/>
          </w:tcPr>
          <w:p w:rsidR="0034360E" w:rsidRPr="000749A2" w:rsidRDefault="00112064" w:rsidP="004F2718">
            <w:pPr>
              <w:spacing w:before="100" w:beforeAutospacing="1" w:after="100" w:afterAutospacing="1"/>
              <w:jc w:val="right"/>
            </w:pPr>
            <w:r>
              <w:t>0</w:t>
            </w:r>
          </w:p>
        </w:tc>
      </w:tr>
      <w:tr w:rsidR="00C73D63" w:rsidRPr="00762F09" w:rsidTr="004F2718">
        <w:tc>
          <w:tcPr>
            <w:tcW w:w="5418" w:type="dxa"/>
          </w:tcPr>
          <w:p w:rsidR="00C73D63" w:rsidRPr="00762F09" w:rsidRDefault="00C73D63" w:rsidP="00C73D63">
            <w:pPr>
              <w:spacing w:before="100" w:beforeAutospacing="1" w:after="100" w:afterAutospacing="1"/>
            </w:pPr>
            <w:r>
              <w:t>2012 Program Offsets</w:t>
            </w:r>
          </w:p>
        </w:tc>
        <w:tc>
          <w:tcPr>
            <w:tcW w:w="1350" w:type="dxa"/>
          </w:tcPr>
          <w:p w:rsidR="00C73D63" w:rsidRDefault="00207AFF" w:rsidP="004F2718">
            <w:pPr>
              <w:spacing w:before="100" w:beforeAutospacing="1" w:after="100" w:afterAutospacing="1"/>
              <w:jc w:val="right"/>
            </w:pPr>
            <w:r>
              <w:t>0</w:t>
            </w:r>
          </w:p>
        </w:tc>
        <w:tc>
          <w:tcPr>
            <w:tcW w:w="1260" w:type="dxa"/>
          </w:tcPr>
          <w:p w:rsidR="00C73D63" w:rsidRDefault="00207AFF" w:rsidP="004F2718">
            <w:pPr>
              <w:spacing w:before="100" w:beforeAutospacing="1" w:after="100" w:afterAutospacing="1"/>
              <w:jc w:val="right"/>
            </w:pPr>
            <w:r>
              <w:t>0</w:t>
            </w:r>
          </w:p>
        </w:tc>
        <w:tc>
          <w:tcPr>
            <w:tcW w:w="1440" w:type="dxa"/>
          </w:tcPr>
          <w:p w:rsidR="00C73D63" w:rsidRDefault="00207AFF" w:rsidP="004F2718">
            <w:pPr>
              <w:spacing w:before="100" w:beforeAutospacing="1" w:after="100" w:afterAutospacing="1"/>
              <w:jc w:val="right"/>
            </w:pPr>
            <w:r>
              <w:t>(86)</w:t>
            </w:r>
          </w:p>
        </w:tc>
      </w:tr>
      <w:tr w:rsidR="0034360E" w:rsidRPr="00762F09" w:rsidTr="004F2718">
        <w:tc>
          <w:tcPr>
            <w:tcW w:w="5418" w:type="dxa"/>
          </w:tcPr>
          <w:p w:rsidR="0034360E" w:rsidRPr="00762F09" w:rsidRDefault="0034360E" w:rsidP="004F2718">
            <w:pPr>
              <w:spacing w:before="100" w:beforeAutospacing="1" w:after="100" w:afterAutospacing="1"/>
            </w:pPr>
            <w:r w:rsidRPr="00762F09">
              <w:t>201</w:t>
            </w:r>
            <w:r>
              <w:t>2</w:t>
            </w:r>
            <w:r w:rsidRPr="00762F09">
              <w:t xml:space="preserve"> Request</w:t>
            </w:r>
          </w:p>
        </w:tc>
        <w:tc>
          <w:tcPr>
            <w:tcW w:w="1350" w:type="dxa"/>
          </w:tcPr>
          <w:p w:rsidR="0034360E" w:rsidRPr="000749A2" w:rsidRDefault="008A3AFF" w:rsidP="008A3AFF">
            <w:pPr>
              <w:spacing w:before="100" w:beforeAutospacing="1" w:after="100" w:afterAutospacing="1"/>
              <w:jc w:val="right"/>
            </w:pPr>
            <w:r>
              <w:t>24</w:t>
            </w:r>
          </w:p>
        </w:tc>
        <w:tc>
          <w:tcPr>
            <w:tcW w:w="1260" w:type="dxa"/>
          </w:tcPr>
          <w:p w:rsidR="0034360E" w:rsidRPr="000749A2" w:rsidRDefault="008A3AFF" w:rsidP="008A3AFF">
            <w:pPr>
              <w:spacing w:before="100" w:beforeAutospacing="1" w:after="100" w:afterAutospacing="1"/>
              <w:jc w:val="right"/>
            </w:pPr>
            <w:r>
              <w:t>24</w:t>
            </w:r>
          </w:p>
        </w:tc>
        <w:tc>
          <w:tcPr>
            <w:tcW w:w="1440" w:type="dxa"/>
          </w:tcPr>
          <w:p w:rsidR="0034360E" w:rsidRPr="000749A2" w:rsidRDefault="008A3AFF" w:rsidP="00D94C6D">
            <w:pPr>
              <w:spacing w:before="100" w:beforeAutospacing="1" w:after="100" w:afterAutospacing="1"/>
              <w:jc w:val="right"/>
            </w:pPr>
            <w:r>
              <w:t>27,928</w:t>
            </w:r>
          </w:p>
        </w:tc>
      </w:tr>
      <w:tr w:rsidR="0034360E" w:rsidRPr="00762F09" w:rsidTr="004F2718">
        <w:tc>
          <w:tcPr>
            <w:tcW w:w="5418" w:type="dxa"/>
            <w:shd w:val="clear" w:color="auto" w:fill="E0E0E0"/>
          </w:tcPr>
          <w:p w:rsidR="0034360E" w:rsidRPr="006C5146" w:rsidRDefault="0034360E" w:rsidP="004F2718">
            <w:pPr>
              <w:spacing w:before="100" w:beforeAutospacing="1" w:after="100" w:afterAutospacing="1"/>
              <w:rPr>
                <w:b/>
                <w:bCs/>
              </w:rPr>
            </w:pPr>
            <w:r w:rsidRPr="006C5146">
              <w:rPr>
                <w:b/>
                <w:bCs/>
              </w:rPr>
              <w:t>Total Change 201</w:t>
            </w:r>
            <w:r>
              <w:rPr>
                <w:b/>
                <w:bCs/>
              </w:rPr>
              <w:t>1</w:t>
            </w:r>
            <w:r w:rsidRPr="006C5146">
              <w:rPr>
                <w:b/>
                <w:bCs/>
              </w:rPr>
              <w:t>-201</w:t>
            </w:r>
            <w:r>
              <w:rPr>
                <w:b/>
                <w:bCs/>
              </w:rPr>
              <w:t>2</w:t>
            </w:r>
          </w:p>
        </w:tc>
        <w:tc>
          <w:tcPr>
            <w:tcW w:w="1350" w:type="dxa"/>
            <w:shd w:val="clear" w:color="auto" w:fill="E0E0E0"/>
          </w:tcPr>
          <w:p w:rsidR="0034360E" w:rsidRPr="006C5146" w:rsidRDefault="00112064" w:rsidP="004F2718">
            <w:pPr>
              <w:spacing w:before="100" w:beforeAutospacing="1" w:after="100" w:afterAutospacing="1"/>
              <w:jc w:val="right"/>
              <w:rPr>
                <w:b/>
              </w:rPr>
            </w:pPr>
            <w:r>
              <w:rPr>
                <w:b/>
              </w:rPr>
              <w:t>0</w:t>
            </w:r>
          </w:p>
        </w:tc>
        <w:tc>
          <w:tcPr>
            <w:tcW w:w="1260" w:type="dxa"/>
            <w:shd w:val="clear" w:color="auto" w:fill="E0E0E0"/>
          </w:tcPr>
          <w:p w:rsidR="0034360E" w:rsidRPr="006C5146" w:rsidRDefault="00112064" w:rsidP="004F2718">
            <w:pPr>
              <w:spacing w:before="100" w:beforeAutospacing="1" w:after="100" w:afterAutospacing="1"/>
              <w:jc w:val="right"/>
              <w:rPr>
                <w:b/>
              </w:rPr>
            </w:pPr>
            <w:r>
              <w:rPr>
                <w:b/>
              </w:rPr>
              <w:t>0</w:t>
            </w:r>
          </w:p>
        </w:tc>
        <w:tc>
          <w:tcPr>
            <w:tcW w:w="1440" w:type="dxa"/>
            <w:shd w:val="clear" w:color="auto" w:fill="E0E0E0"/>
          </w:tcPr>
          <w:p w:rsidR="0034360E" w:rsidRPr="006C5146" w:rsidRDefault="008A3AFF" w:rsidP="007A5885">
            <w:pPr>
              <w:spacing w:before="100" w:beforeAutospacing="1" w:after="100" w:afterAutospacing="1"/>
              <w:jc w:val="right"/>
              <w:rPr>
                <w:b/>
              </w:rPr>
            </w:pPr>
            <w:r>
              <w:rPr>
                <w:b/>
              </w:rPr>
              <w:t>184</w:t>
            </w:r>
          </w:p>
        </w:tc>
      </w:tr>
    </w:tbl>
    <w:p w:rsidR="0034360E" w:rsidRDefault="0034360E" w:rsidP="00DC7ED8">
      <w:pPr>
        <w:spacing w:before="100" w:beforeAutospacing="1" w:after="100" w:afterAutospacing="1"/>
        <w:rPr>
          <w:b/>
          <w:bCs/>
        </w:rPr>
      </w:pPr>
    </w:p>
    <w:p w:rsidR="00FA2AAB" w:rsidRPr="00762F09" w:rsidRDefault="00FA2AAB" w:rsidP="00DC7ED8">
      <w:pPr>
        <w:spacing w:before="100" w:beforeAutospacing="1" w:after="100" w:afterAutospacing="1"/>
        <w:rPr>
          <w:bCs/>
        </w:rPr>
      </w:pPr>
      <w:r>
        <w:rPr>
          <w:b/>
          <w:bCs/>
        </w:rPr>
        <w:t xml:space="preserve">1.  </w:t>
      </w:r>
      <w:r w:rsidRPr="00762F09">
        <w:rPr>
          <w:b/>
          <w:bCs/>
        </w:rPr>
        <w:t>Program Description</w:t>
      </w:r>
      <w:r w:rsidRPr="00762F09">
        <w:rPr>
          <w:b/>
          <w:bCs/>
        </w:rPr>
        <w:tab/>
      </w:r>
    </w:p>
    <w:p w:rsidR="00FA2AAB" w:rsidRPr="00762F09" w:rsidRDefault="00C979C0" w:rsidP="005027FD">
      <w:pPr>
        <w:spacing w:before="100" w:beforeAutospacing="1" w:after="100" w:afterAutospacing="1"/>
        <w:rPr>
          <w:u w:color="FF6600"/>
        </w:rPr>
      </w:pPr>
      <w:r w:rsidRPr="00762F09">
        <w:rPr>
          <w:u w:color="FF6600"/>
        </w:rPr>
        <w:t>ATF has unique expertise in the investigation and forensic analysis of fire, arson, and explosives incidents arising from criminal or terrorists acts, and it</w:t>
      </w:r>
      <w:r w:rsidRPr="00762F09">
        <w:rPr>
          <w:b/>
          <w:color w:val="FF0000"/>
          <w:u w:color="FF6600"/>
        </w:rPr>
        <w:t xml:space="preserve"> </w:t>
      </w:r>
      <w:r w:rsidRPr="00762F09">
        <w:rPr>
          <w:u w:color="FF6600"/>
        </w:rPr>
        <w:t xml:space="preserve">shares its technical and scientific expertise and state-of-the-art resources with </w:t>
      </w:r>
      <w:r w:rsidR="00F7187E">
        <w:rPr>
          <w:u w:color="FF6600"/>
        </w:rPr>
        <w:t>F</w:t>
      </w:r>
      <w:r w:rsidR="00F7187E" w:rsidRPr="00762F09">
        <w:rPr>
          <w:u w:color="FF6600"/>
        </w:rPr>
        <w:t>ederal</w:t>
      </w:r>
      <w:r w:rsidRPr="00762F09">
        <w:rPr>
          <w:u w:color="FF6600"/>
        </w:rPr>
        <w:t xml:space="preserve">, </w:t>
      </w:r>
      <w:r w:rsidR="00F7187E">
        <w:rPr>
          <w:u w:color="FF6600"/>
        </w:rPr>
        <w:t>S</w:t>
      </w:r>
      <w:r w:rsidR="00F7187E" w:rsidRPr="00762F09">
        <w:rPr>
          <w:u w:color="FF6600"/>
        </w:rPr>
        <w:t>tate</w:t>
      </w:r>
      <w:r w:rsidRPr="00762F09">
        <w:rPr>
          <w:u w:color="FF6600"/>
        </w:rPr>
        <w:t>, local, tribal,</w:t>
      </w:r>
      <w:r w:rsidRPr="00762F09">
        <w:rPr>
          <w:b/>
          <w:color w:val="008000"/>
          <w:u w:color="FF6600"/>
        </w:rPr>
        <w:t xml:space="preserve"> </w:t>
      </w:r>
      <w:r w:rsidRPr="00762F09">
        <w:rPr>
          <w:u w:color="FF6600"/>
        </w:rPr>
        <w:t>and international law enforcement partners and fire service agencies.</w:t>
      </w:r>
      <w:r>
        <w:rPr>
          <w:u w:color="FF6600"/>
        </w:rPr>
        <w:t xml:space="preserve">  </w:t>
      </w:r>
      <w:r w:rsidR="00FA2AAB" w:rsidRPr="00762F09">
        <w:t xml:space="preserve">ATF is the primary </w:t>
      </w:r>
      <w:r>
        <w:t>f</w:t>
      </w:r>
      <w:r w:rsidRPr="00762F09">
        <w:t xml:space="preserve">ederal </w:t>
      </w:r>
      <w:r w:rsidR="00FA2AAB" w:rsidRPr="00762F09">
        <w:t xml:space="preserve">agency responsible for administering and enforcing the regulatory and criminal provisions of </w:t>
      </w:r>
      <w:r w:rsidR="00F7187E">
        <w:t>F</w:t>
      </w:r>
      <w:r w:rsidR="00F7187E" w:rsidRPr="00762F09">
        <w:t xml:space="preserve">ederal </w:t>
      </w:r>
      <w:r w:rsidR="00FA2AAB" w:rsidRPr="00762F09">
        <w:t xml:space="preserve">laws pertaining to destructive devices, explosives, bombs, and arson.  </w:t>
      </w:r>
      <w:r w:rsidR="00FA2AAB" w:rsidRPr="00762F09">
        <w:rPr>
          <w:rFonts w:eastAsia="Arial Unicode MS"/>
        </w:rPr>
        <w:t xml:space="preserve">One of ATF’s greatest strengths is its dual regulatory and criminal enforcement mission.  </w:t>
      </w:r>
    </w:p>
    <w:p w:rsidR="00FA2AAB" w:rsidRDefault="00C979C0" w:rsidP="005027FD">
      <w:pPr>
        <w:spacing w:before="100" w:beforeAutospacing="1" w:after="100" w:afterAutospacing="1"/>
      </w:pPr>
      <w:r w:rsidRPr="00762F09">
        <w:t xml:space="preserve">ATF </w:t>
      </w:r>
      <w:r w:rsidR="00F7187E">
        <w:t>guides and instructs</w:t>
      </w:r>
      <w:r w:rsidRPr="00762F09">
        <w:t xml:space="preserve"> public safety officials, explosives industry members, and </w:t>
      </w:r>
      <w:r w:rsidR="00F7187E">
        <w:t>S</w:t>
      </w:r>
      <w:r w:rsidR="00F7187E" w:rsidRPr="00762F09">
        <w:t xml:space="preserve">tate </w:t>
      </w:r>
      <w:r w:rsidRPr="00762F09">
        <w:t>governments on all aspects of explosives law, including the Safe Explosives Act</w:t>
      </w:r>
      <w:r>
        <w:t xml:space="preserve"> (SEA)</w:t>
      </w:r>
      <w:r w:rsidRPr="00762F09">
        <w:t xml:space="preserve">, to make regulation less burdensome and to promote compliance with </w:t>
      </w:r>
      <w:r w:rsidR="00F7187E">
        <w:t>F</w:t>
      </w:r>
      <w:r w:rsidR="00F7187E" w:rsidRPr="00762F09">
        <w:t xml:space="preserve">ederal </w:t>
      </w:r>
      <w:r w:rsidRPr="00762F09">
        <w:t>law.</w:t>
      </w:r>
      <w:r>
        <w:t xml:space="preserve">  </w:t>
      </w:r>
      <w:r w:rsidR="00FA2AAB" w:rsidRPr="00762F09">
        <w:t xml:space="preserve">ATF’s mission </w:t>
      </w:r>
      <w:r w:rsidR="00F7187E">
        <w:t xml:space="preserve">extends to ensuring </w:t>
      </w:r>
      <w:r w:rsidR="00FA2AAB" w:rsidRPr="00762F09">
        <w:t xml:space="preserve">that only qualified and legitimate applicants enter the explosives industry </w:t>
      </w:r>
      <w:r w:rsidR="00FA2AAB" w:rsidRPr="00762F09">
        <w:lastRenderedPageBreak/>
        <w:t xml:space="preserve">and that licensees </w:t>
      </w:r>
      <w:r w:rsidR="000816FC">
        <w:t>keep</w:t>
      </w:r>
      <w:r w:rsidR="000816FC" w:rsidRPr="00762F09">
        <w:t xml:space="preserve"> </w:t>
      </w:r>
      <w:r w:rsidR="00FA2AAB" w:rsidRPr="00762F09">
        <w:t xml:space="preserve">proper </w:t>
      </w:r>
      <w:r w:rsidR="000816FC">
        <w:t>records</w:t>
      </w:r>
      <w:r w:rsidR="000816FC" w:rsidRPr="00762F09">
        <w:t xml:space="preserve"> </w:t>
      </w:r>
      <w:r w:rsidR="00FA2AAB" w:rsidRPr="00762F09">
        <w:t xml:space="preserve">and </w:t>
      </w:r>
      <w:r w:rsidR="000816FC">
        <w:t xml:space="preserve">use sound </w:t>
      </w:r>
      <w:r w:rsidR="00FA2AAB" w:rsidRPr="00762F09">
        <w:t xml:space="preserve">business practices to help prevent theft, explosives incidents, </w:t>
      </w:r>
      <w:r w:rsidR="000816FC">
        <w:t>or the diversion</w:t>
      </w:r>
      <w:r w:rsidR="00FA2AAB" w:rsidRPr="00762F09">
        <w:t xml:space="preserve"> of explosives </w:t>
      </w:r>
      <w:r w:rsidR="000816FC">
        <w:t>to</w:t>
      </w:r>
      <w:r w:rsidR="000816FC" w:rsidRPr="00762F09">
        <w:t xml:space="preserve"> </w:t>
      </w:r>
      <w:r w:rsidR="00FA2AAB" w:rsidRPr="00762F09">
        <w:t xml:space="preserve">criminal or terrorist purposes.  </w:t>
      </w:r>
    </w:p>
    <w:p w:rsidR="00FA2AAB" w:rsidRDefault="00A711E9" w:rsidP="005027FD">
      <w:pPr>
        <w:pStyle w:val="BodyText"/>
        <w:spacing w:before="100" w:beforeAutospacing="1" w:after="100" w:afterAutospacing="1"/>
        <w:rPr>
          <w:color w:val="000000"/>
        </w:rPr>
      </w:pPr>
      <w:r>
        <w:rPr>
          <w:color w:val="000000"/>
        </w:rPr>
        <w:t xml:space="preserve">With its long history of </w:t>
      </w:r>
      <w:r w:rsidR="002A6CA3" w:rsidRPr="00762F09">
        <w:rPr>
          <w:color w:val="000000"/>
        </w:rPr>
        <w:t>investigati</w:t>
      </w:r>
      <w:r w:rsidR="002A6CA3">
        <w:rPr>
          <w:color w:val="000000"/>
        </w:rPr>
        <w:t>ng</w:t>
      </w:r>
      <w:r w:rsidR="002A6CA3" w:rsidRPr="00762F09">
        <w:rPr>
          <w:color w:val="000000"/>
        </w:rPr>
        <w:t xml:space="preserve"> </w:t>
      </w:r>
      <w:r w:rsidR="00C879A6">
        <w:rPr>
          <w:color w:val="000000"/>
        </w:rPr>
        <w:t xml:space="preserve">fires and </w:t>
      </w:r>
      <w:r w:rsidR="00FA2AAB" w:rsidRPr="00762F09">
        <w:rPr>
          <w:color w:val="000000"/>
        </w:rPr>
        <w:t>criminal bombings</w:t>
      </w:r>
      <w:r w:rsidR="00C879A6">
        <w:rPr>
          <w:color w:val="000000"/>
        </w:rPr>
        <w:t>,</w:t>
      </w:r>
      <w:r w:rsidR="00FA2AAB" w:rsidRPr="00762F09">
        <w:rPr>
          <w:color w:val="000000"/>
        </w:rPr>
        <w:t xml:space="preserve"> ATF has the training, experience, and ability to detect, prevent, protect against, and respond to </w:t>
      </w:r>
      <w:r w:rsidR="00C879A6">
        <w:rPr>
          <w:color w:val="000000"/>
        </w:rPr>
        <w:t>such</w:t>
      </w:r>
      <w:r w:rsidR="00FA2AAB" w:rsidRPr="00762F09">
        <w:rPr>
          <w:color w:val="000000"/>
        </w:rPr>
        <w:t xml:space="preserve"> incidents.</w:t>
      </w:r>
    </w:p>
    <w:p w:rsidR="002A6CA3" w:rsidRDefault="002A6CA3" w:rsidP="00D961A9">
      <w:pPr>
        <w:numPr>
          <w:ilvl w:val="0"/>
          <w:numId w:val="7"/>
        </w:numPr>
        <w:pBdr>
          <w:top w:val="double" w:sz="6" w:space="1" w:color="auto"/>
          <w:left w:val="double" w:sz="6" w:space="4" w:color="auto"/>
          <w:bottom w:val="double" w:sz="6" w:space="1" w:color="auto"/>
          <w:right w:val="double" w:sz="6" w:space="4" w:color="auto"/>
        </w:pBdr>
        <w:ind w:left="720" w:hanging="405"/>
      </w:pPr>
      <w:r w:rsidRPr="001C0FEC">
        <w:t>Since 1978, ATF has investigated more than 25,000 bombings and attempted bombings, more than 1,000 accidental explosions</w:t>
      </w:r>
      <w:r w:rsidR="00E223CC">
        <w:t>,</w:t>
      </w:r>
      <w:r w:rsidRPr="001C0FEC">
        <w:t xml:space="preserve"> and more than 21,000 incidents involving recovered explosives or explosive devices.  The majority of these criminal bombings involved the use of improvised explosives devices.</w:t>
      </w:r>
    </w:p>
    <w:p w:rsidR="00D961A9" w:rsidRDefault="002A6CA3" w:rsidP="00D961A9">
      <w:pPr>
        <w:numPr>
          <w:ilvl w:val="0"/>
          <w:numId w:val="7"/>
        </w:numPr>
        <w:pBdr>
          <w:top w:val="double" w:sz="6" w:space="1" w:color="auto"/>
          <w:left w:val="double" w:sz="6" w:space="4" w:color="auto"/>
          <w:bottom w:val="double" w:sz="6" w:space="1" w:color="auto"/>
          <w:right w:val="double" w:sz="6" w:space="4" w:color="auto"/>
        </w:pBdr>
        <w:ind w:left="720" w:hanging="405"/>
      </w:pPr>
      <w:r w:rsidRPr="001C0FEC">
        <w:t>Between 1992 and 2008, 98.5 percent of the 26,919 bombing incidents in the U.S. were determined to be criminal acts.</w:t>
      </w:r>
    </w:p>
    <w:p w:rsidR="00265EC1" w:rsidRDefault="00265EC1"/>
    <w:p w:rsidR="00D961A9" w:rsidRDefault="00D961A9"/>
    <w:p w:rsidR="002A6CA3" w:rsidRPr="001C0FEC" w:rsidRDefault="002A6CA3" w:rsidP="00D961A9">
      <w:pPr>
        <w:numPr>
          <w:ilvl w:val="0"/>
          <w:numId w:val="7"/>
        </w:numPr>
        <w:pBdr>
          <w:top w:val="double" w:sz="6" w:space="1" w:color="auto"/>
          <w:left w:val="double" w:sz="6" w:space="4" w:color="auto"/>
          <w:bottom w:val="double" w:sz="6" w:space="1" w:color="auto"/>
          <w:right w:val="double" w:sz="6" w:space="4" w:color="auto"/>
        </w:pBdr>
        <w:tabs>
          <w:tab w:val="num" w:pos="720"/>
        </w:tabs>
        <w:ind w:left="720" w:hanging="405"/>
      </w:pPr>
      <w:r w:rsidRPr="001C0FEC">
        <w:t>Using a broad definition of terrorism (to include hate groups, animal rights, and reproductive rights motivations)</w:t>
      </w:r>
      <w:r w:rsidR="00E223CC">
        <w:t>,</w:t>
      </w:r>
      <w:r w:rsidRPr="001C0FEC">
        <w:t xml:space="preserve"> 405 incidents or 1.5</w:t>
      </w:r>
      <w:r w:rsidR="007B4241" w:rsidRPr="007B4241">
        <w:t>%</w:t>
      </w:r>
      <w:r w:rsidR="00714B34">
        <w:rPr>
          <w:color w:val="5F497A" w:themeColor="accent4" w:themeShade="BF"/>
        </w:rPr>
        <w:t xml:space="preserve"> </w:t>
      </w:r>
      <w:r w:rsidRPr="001C0FEC">
        <w:t>of the total, were identified as terrorist related.</w:t>
      </w:r>
    </w:p>
    <w:p w:rsidR="002A6CA3" w:rsidRPr="001C0FEC" w:rsidRDefault="002A6CA3" w:rsidP="00D961A9">
      <w:pPr>
        <w:numPr>
          <w:ilvl w:val="0"/>
          <w:numId w:val="7"/>
        </w:numPr>
        <w:pBdr>
          <w:top w:val="double" w:sz="6" w:space="1" w:color="auto"/>
          <w:left w:val="double" w:sz="6" w:space="4" w:color="auto"/>
          <w:bottom w:val="double" w:sz="6" w:space="1" w:color="auto"/>
          <w:right w:val="double" w:sz="6" w:space="4" w:color="auto"/>
        </w:pBdr>
        <w:tabs>
          <w:tab w:val="num" w:pos="720"/>
        </w:tabs>
        <w:ind w:left="720" w:hanging="405"/>
      </w:pPr>
      <w:r w:rsidRPr="001C0FEC">
        <w:t xml:space="preserve">Since 1978, </w:t>
      </w:r>
      <w:r>
        <w:t>ATF’s</w:t>
      </w:r>
      <w:r w:rsidRPr="001C0FEC">
        <w:t xml:space="preserve"> </w:t>
      </w:r>
      <w:r>
        <w:t>National Response Team (</w:t>
      </w:r>
      <w:r w:rsidRPr="001C0FEC">
        <w:t>NRT</w:t>
      </w:r>
      <w:r>
        <w:t>)</w:t>
      </w:r>
      <w:r w:rsidRPr="001C0FEC">
        <w:t xml:space="preserve"> has responded to more than </w:t>
      </w:r>
      <w:r w:rsidR="00C879A6">
        <w:t>700</w:t>
      </w:r>
      <w:r w:rsidRPr="001C0FEC">
        <w:t xml:space="preserve"> significant incidents throughout the U.S., including the Oklahoma City Bombing</w:t>
      </w:r>
      <w:r w:rsidR="00E223CC">
        <w:t>,</w:t>
      </w:r>
      <w:r w:rsidRPr="001C0FEC">
        <w:t xml:space="preserve"> the 1993 World Trade Center bombing</w:t>
      </w:r>
      <w:r w:rsidR="00E223CC">
        <w:t>,</w:t>
      </w:r>
      <w:r w:rsidRPr="001C0FEC">
        <w:t xml:space="preserve"> and the September 11</w:t>
      </w:r>
      <w:r>
        <w:t>, 2001 attack on the Pentagon.</w:t>
      </w:r>
    </w:p>
    <w:p w:rsidR="00FA2AAB" w:rsidRDefault="00C879A6" w:rsidP="005027FD">
      <w:pPr>
        <w:pStyle w:val="BodyText"/>
        <w:spacing w:before="100" w:beforeAutospacing="1" w:after="100" w:afterAutospacing="1"/>
      </w:pPr>
      <w:r>
        <w:t xml:space="preserve">Whether investigating fires at houses of worship, large fires in commercial facilities, </w:t>
      </w:r>
      <w:r w:rsidR="00153F90">
        <w:t>a fire involving multiple fatalities, serial arsons, or fire incidental to acts of terrorism, ATF provides</w:t>
      </w:r>
      <w:r>
        <w:t xml:space="preserve"> one of the most highly proficient and respected response capabilities in the world. </w:t>
      </w:r>
      <w:r w:rsidR="00FA2AAB" w:rsidRPr="00762F09">
        <w:t xml:space="preserve">  </w:t>
      </w:r>
    </w:p>
    <w:p w:rsidR="00FA2AAB" w:rsidRPr="00762F09" w:rsidRDefault="00FA2AAB" w:rsidP="005027FD">
      <w:pPr>
        <w:pStyle w:val="Heading3"/>
        <w:keepNext w:val="0"/>
        <w:spacing w:before="100" w:beforeAutospacing="1" w:after="100" w:afterAutospacing="1"/>
        <w:rPr>
          <w:rFonts w:ascii="Times New Roman" w:hAnsi="Times New Roman" w:cs="Times New Roman"/>
          <w:i/>
          <w:u w:val="none"/>
        </w:rPr>
      </w:pPr>
      <w:bookmarkStart w:id="17" w:name="_Toc215989281"/>
      <w:bookmarkStart w:id="18" w:name="_Toc216172456"/>
      <w:bookmarkStart w:id="19" w:name="_Toc224026875"/>
      <w:r w:rsidRPr="00762F09">
        <w:rPr>
          <w:rFonts w:ascii="Times New Roman" w:hAnsi="Times New Roman" w:cs="Times New Roman"/>
          <w:i/>
          <w:u w:val="none"/>
        </w:rPr>
        <w:t>Participation in Joint Terrorism Task Forces (JTTFs)</w:t>
      </w:r>
      <w:bookmarkEnd w:id="17"/>
      <w:bookmarkEnd w:id="18"/>
      <w:bookmarkEnd w:id="19"/>
    </w:p>
    <w:p w:rsidR="00FA2AAB" w:rsidRDefault="00FA2AAB" w:rsidP="00C510D8">
      <w:pPr>
        <w:pStyle w:val="BodyText"/>
      </w:pPr>
      <w:r w:rsidRPr="00762F09">
        <w:t xml:space="preserve">ATF fully supports </w:t>
      </w:r>
      <w:r w:rsidRPr="00762F09">
        <w:rPr>
          <w:color w:val="000000"/>
        </w:rPr>
        <w:t>G</w:t>
      </w:r>
      <w:r w:rsidRPr="00762F09">
        <w:t>overnment anti-terrorism efforts</w:t>
      </w:r>
      <w:r w:rsidR="002A6CA3">
        <w:t>,</w:t>
      </w:r>
      <w:r w:rsidRPr="00762F09">
        <w:t xml:space="preserve"> </w:t>
      </w:r>
      <w:r w:rsidR="002A6CA3">
        <w:t xml:space="preserve">especially </w:t>
      </w:r>
      <w:r w:rsidRPr="00762F09">
        <w:t>the FBI-led JTTFs.  Currently, AT</w:t>
      </w:r>
      <w:r w:rsidRPr="008C2518">
        <w:t xml:space="preserve">F participates in </w:t>
      </w:r>
      <w:r w:rsidR="003A4395" w:rsidRPr="00BA0135">
        <w:t>95</w:t>
      </w:r>
      <w:r w:rsidR="003A4395">
        <w:rPr>
          <w:color w:val="5F497A" w:themeColor="accent4" w:themeShade="BF"/>
        </w:rPr>
        <w:t xml:space="preserve"> </w:t>
      </w:r>
      <w:r w:rsidRPr="008C2518">
        <w:t>of the 106 JTTFs</w:t>
      </w:r>
      <w:r>
        <w:t>,</w:t>
      </w:r>
      <w:r w:rsidRPr="008C2518">
        <w:t xml:space="preserve"> </w:t>
      </w:r>
      <w:r>
        <w:t>and</w:t>
      </w:r>
      <w:r w:rsidRPr="008C2518">
        <w:t xml:space="preserve"> </w:t>
      </w:r>
      <w:r w:rsidR="002A6CA3">
        <w:t xml:space="preserve">assigns </w:t>
      </w:r>
      <w:r w:rsidRPr="008C2518">
        <w:t xml:space="preserve">one </w:t>
      </w:r>
      <w:r>
        <w:t xml:space="preserve">ATF </w:t>
      </w:r>
      <w:r w:rsidRPr="008C2518">
        <w:t>agent to the National JTTF at the National Counter-</w:t>
      </w:r>
      <w:r w:rsidR="00E223CC">
        <w:t>T</w:t>
      </w:r>
      <w:r w:rsidRPr="008C2518">
        <w:t xml:space="preserve">errorism Center.  </w:t>
      </w:r>
      <w:r>
        <w:t xml:space="preserve">In working with the JTTF, </w:t>
      </w:r>
      <w:r w:rsidRPr="008C2518">
        <w:t xml:space="preserve">ATF </w:t>
      </w:r>
      <w:r w:rsidR="002A6CA3" w:rsidRPr="008C2518">
        <w:t>play</w:t>
      </w:r>
      <w:r w:rsidR="002A6CA3">
        <w:t>s</w:t>
      </w:r>
      <w:r w:rsidR="002A6CA3" w:rsidRPr="008C2518">
        <w:t xml:space="preserve"> </w:t>
      </w:r>
      <w:r w:rsidRPr="008C2518">
        <w:t>an important part in terrorism cases that involve firearms smuggling, bombs, illeg</w:t>
      </w:r>
      <w:r w:rsidRPr="00762F09">
        <w:t>al explosive possession, and tobacco diversion.</w:t>
      </w:r>
    </w:p>
    <w:p w:rsidR="00C510D8" w:rsidRDefault="00C510D8" w:rsidP="00C510D8">
      <w:pPr>
        <w:pStyle w:val="BodyText"/>
      </w:pPr>
    </w:p>
    <w:p w:rsidR="00FA2AAB" w:rsidRPr="00762F09" w:rsidRDefault="00FA2AAB" w:rsidP="00C510D8">
      <w:pPr>
        <w:pStyle w:val="Heading3"/>
        <w:keepNext w:val="0"/>
        <w:rPr>
          <w:rFonts w:ascii="Times New Roman" w:hAnsi="Times New Roman" w:cs="Times New Roman"/>
          <w:i/>
          <w:u w:val="none"/>
        </w:rPr>
      </w:pPr>
      <w:bookmarkStart w:id="20" w:name="_Toc215989282"/>
      <w:bookmarkStart w:id="21" w:name="_Toc216172457"/>
      <w:bookmarkStart w:id="22" w:name="_Toc224026876"/>
      <w:r w:rsidRPr="00762F09">
        <w:rPr>
          <w:rFonts w:ascii="Times New Roman" w:hAnsi="Times New Roman" w:cs="Times New Roman"/>
          <w:i/>
          <w:u w:val="none"/>
        </w:rPr>
        <w:t>Combined Explosives Exploitation Cells (CEXC)</w:t>
      </w:r>
      <w:bookmarkEnd w:id="20"/>
      <w:bookmarkEnd w:id="21"/>
      <w:bookmarkEnd w:id="22"/>
    </w:p>
    <w:p w:rsidR="00BA0135" w:rsidRDefault="00FA2AAB" w:rsidP="005027FD">
      <w:pPr>
        <w:pStyle w:val="BodyText"/>
        <w:spacing w:before="100" w:beforeAutospacing="1" w:after="100" w:afterAutospacing="1"/>
      </w:pPr>
      <w:r w:rsidRPr="00762F09">
        <w:t>Since 2005, ATF has deployed personnel to Iraq to support CEXC</w:t>
      </w:r>
      <w:r w:rsidR="008445B7">
        <w:t>,</w:t>
      </w:r>
      <w:r w:rsidRPr="00762F09">
        <w:t xml:space="preserve"> a </w:t>
      </w:r>
      <w:r w:rsidR="008445B7">
        <w:t>DOD</w:t>
      </w:r>
      <w:r w:rsidR="004A7D98" w:rsidRPr="00762F09">
        <w:t xml:space="preserve"> </w:t>
      </w:r>
      <w:r w:rsidRPr="00762F09">
        <w:t>program that provides immediate, in-theater technical and operational analysis of</w:t>
      </w:r>
      <w:r w:rsidRPr="00762F09">
        <w:rPr>
          <w:rStyle w:val="Strong"/>
          <w:b w:val="0"/>
        </w:rPr>
        <w:t xml:space="preserve"> </w:t>
      </w:r>
      <w:r w:rsidR="008445B7">
        <w:rPr>
          <w:rStyle w:val="Strong"/>
          <w:b w:val="0"/>
        </w:rPr>
        <w:t>Improvised Explosive Devices (</w:t>
      </w:r>
      <w:r w:rsidRPr="00762F09">
        <w:rPr>
          <w:rStyle w:val="Strong"/>
          <w:b w:val="0"/>
        </w:rPr>
        <w:t>IEDs</w:t>
      </w:r>
      <w:r w:rsidR="008445B7">
        <w:rPr>
          <w:rStyle w:val="Strong"/>
          <w:b w:val="0"/>
        </w:rPr>
        <w:t>)</w:t>
      </w:r>
      <w:r w:rsidRPr="00762F09">
        <w:t xml:space="preserve"> used by insurgents.  ATF explosives experts provide onsite investigative assistance to process post-blast incidents directed at U.S. and allied forces.</w:t>
      </w:r>
      <w:r w:rsidR="00C979C0">
        <w:t xml:space="preserve">  </w:t>
      </w:r>
    </w:p>
    <w:p w:rsidR="00395C48" w:rsidRDefault="00395C48" w:rsidP="005027FD">
      <w:pPr>
        <w:pStyle w:val="BodyText"/>
        <w:spacing w:before="100" w:beforeAutospacing="1" w:after="100" w:afterAutospacing="1"/>
      </w:pPr>
    </w:p>
    <w:p w:rsidR="00395C48" w:rsidRDefault="00395C48" w:rsidP="005027FD">
      <w:pPr>
        <w:pStyle w:val="BodyText"/>
        <w:spacing w:before="100" w:beforeAutospacing="1" w:after="100" w:afterAutospacing="1"/>
      </w:pPr>
    </w:p>
    <w:p w:rsidR="008445B7" w:rsidRPr="001C0FEC" w:rsidRDefault="008445B7" w:rsidP="008445B7">
      <w:pPr>
        <w:numPr>
          <w:ilvl w:val="0"/>
          <w:numId w:val="7"/>
        </w:numPr>
        <w:pBdr>
          <w:top w:val="double" w:sz="6" w:space="1" w:color="auto"/>
          <w:left w:val="double" w:sz="6" w:space="4" w:color="auto"/>
          <w:bottom w:val="double" w:sz="6" w:space="1" w:color="auto"/>
          <w:right w:val="double" w:sz="6" w:space="4" w:color="auto"/>
        </w:pBdr>
        <w:tabs>
          <w:tab w:val="num" w:pos="720"/>
        </w:tabs>
        <w:ind w:left="720" w:hanging="405"/>
      </w:pPr>
      <w:r w:rsidRPr="001C0FEC">
        <w:lastRenderedPageBreak/>
        <w:t xml:space="preserve">ATF has provided pre- and post-blast investigative training to </w:t>
      </w:r>
      <w:r w:rsidRPr="00C12F67">
        <w:t xml:space="preserve">more than 3,000 military and </w:t>
      </w:r>
      <w:r>
        <w:t>Department of Defense</w:t>
      </w:r>
      <w:r w:rsidRPr="00C12F67">
        <w:t xml:space="preserve"> civilian personnel,</w:t>
      </w:r>
      <w:r w:rsidRPr="001C0FEC">
        <w:t xml:space="preserve"> domestically and in Iraq, Afghanistan</w:t>
      </w:r>
      <w:r>
        <w:t>,</w:t>
      </w:r>
      <w:r w:rsidRPr="001C0FEC">
        <w:t xml:space="preserve"> and other overseas posts of duty.</w:t>
      </w:r>
    </w:p>
    <w:p w:rsidR="008445B7" w:rsidRPr="001C0FEC" w:rsidRDefault="008445B7" w:rsidP="008445B7">
      <w:pPr>
        <w:numPr>
          <w:ilvl w:val="0"/>
          <w:numId w:val="7"/>
        </w:numPr>
        <w:pBdr>
          <w:top w:val="double" w:sz="6" w:space="1" w:color="auto"/>
          <w:left w:val="double" w:sz="6" w:space="4" w:color="auto"/>
          <w:bottom w:val="double" w:sz="6" w:space="1" w:color="auto"/>
          <w:right w:val="double" w:sz="6" w:space="4" w:color="auto"/>
        </w:pBdr>
        <w:tabs>
          <w:tab w:val="num" w:pos="720"/>
        </w:tabs>
        <w:ind w:left="720" w:hanging="405"/>
      </w:pPr>
      <w:r w:rsidRPr="001C0FEC">
        <w:t>ATF agents are the only law enforcement personnel assigned to the Joint Improvised Explosives Devices Defeat Organization (JIEDDO), both at Ft. Irwin, California</w:t>
      </w:r>
      <w:r>
        <w:t>,</w:t>
      </w:r>
      <w:r w:rsidRPr="001C0FEC">
        <w:t xml:space="preserve"> and </w:t>
      </w:r>
      <w:r>
        <w:t>at</w:t>
      </w:r>
      <w:r w:rsidRPr="001C0FEC">
        <w:t xml:space="preserve"> Crystal City, Virginia</w:t>
      </w:r>
      <w:r>
        <w:t>,</w:t>
      </w:r>
      <w:r w:rsidRPr="001C0FEC">
        <w:t xml:space="preserve"> to support the training of military personnel prior to </w:t>
      </w:r>
      <w:r w:rsidR="00E223CC">
        <w:t xml:space="preserve">their </w:t>
      </w:r>
      <w:r w:rsidRPr="001C0FEC">
        <w:t>deploying to a combat zone.</w:t>
      </w:r>
    </w:p>
    <w:p w:rsidR="008445B7" w:rsidRPr="00762F09" w:rsidRDefault="008445B7" w:rsidP="008445B7">
      <w:pPr>
        <w:numPr>
          <w:ilvl w:val="0"/>
          <w:numId w:val="7"/>
        </w:numPr>
        <w:pBdr>
          <w:top w:val="double" w:sz="6" w:space="1" w:color="auto"/>
          <w:left w:val="double" w:sz="6" w:space="4" w:color="auto"/>
          <w:bottom w:val="double" w:sz="6" w:space="1" w:color="auto"/>
          <w:right w:val="double" w:sz="6" w:space="4" w:color="auto"/>
        </w:pBdr>
        <w:tabs>
          <w:tab w:val="num" w:pos="720"/>
        </w:tabs>
        <w:ind w:left="720" w:hanging="405"/>
      </w:pPr>
      <w:r w:rsidRPr="001C0FEC">
        <w:t>At the request of the Department of Defense and State/local law-enforcement agencies, ATF has developed the only comprehensive “Homemade Explosives” training course, covering the identification, processing, and disposal of the dangerous chemicals used to manufacture IEDs.</w:t>
      </w:r>
    </w:p>
    <w:p w:rsidR="00FA2AAB" w:rsidRPr="00762F09" w:rsidRDefault="00FA2AAB" w:rsidP="005027FD">
      <w:pPr>
        <w:pStyle w:val="Heading3"/>
        <w:keepNext w:val="0"/>
        <w:spacing w:before="100" w:beforeAutospacing="1" w:after="100" w:afterAutospacing="1"/>
        <w:rPr>
          <w:rFonts w:ascii="Times New Roman" w:hAnsi="Times New Roman" w:cs="Times New Roman"/>
          <w:i/>
          <w:u w:val="none"/>
        </w:rPr>
      </w:pPr>
      <w:bookmarkStart w:id="23" w:name="_Toc215989283"/>
      <w:bookmarkStart w:id="24" w:name="_Toc216172458"/>
      <w:bookmarkStart w:id="25" w:name="_Toc224026877"/>
      <w:r w:rsidRPr="00762F09">
        <w:rPr>
          <w:rFonts w:ascii="Times New Roman" w:hAnsi="Times New Roman" w:cs="Times New Roman"/>
          <w:i/>
          <w:u w:val="none"/>
        </w:rPr>
        <w:t>Terrorist Explosive Device Analytical Center (TEDAC</w:t>
      </w:r>
      <w:bookmarkEnd w:id="23"/>
      <w:bookmarkEnd w:id="24"/>
      <w:r w:rsidRPr="00762F09">
        <w:rPr>
          <w:rFonts w:ascii="Times New Roman" w:hAnsi="Times New Roman" w:cs="Times New Roman"/>
          <w:i/>
          <w:u w:val="none"/>
        </w:rPr>
        <w:t>)</w:t>
      </w:r>
      <w:bookmarkEnd w:id="25"/>
    </w:p>
    <w:p w:rsidR="00FA2AAB" w:rsidRPr="00762F09" w:rsidRDefault="00FA2AAB" w:rsidP="005027FD">
      <w:pPr>
        <w:pStyle w:val="BodyText"/>
        <w:spacing w:before="100" w:beforeAutospacing="1" w:after="100" w:afterAutospacing="1"/>
      </w:pPr>
      <w:r w:rsidRPr="00762F09">
        <w:t xml:space="preserve">An ATF special agent serves as the deputy director of the </w:t>
      </w:r>
      <w:r w:rsidRPr="00762F09">
        <w:rPr>
          <w:rStyle w:val="Strong"/>
          <w:b w:val="0"/>
        </w:rPr>
        <w:t xml:space="preserve">TEDAC.  </w:t>
      </w:r>
      <w:r w:rsidR="007148F1">
        <w:rPr>
          <w:rStyle w:val="Strong"/>
          <w:b w:val="0"/>
        </w:rPr>
        <w:t xml:space="preserve">Jointly, ATF and the FBI </w:t>
      </w:r>
      <w:r w:rsidRPr="00762F09">
        <w:t xml:space="preserve">coordinate and manage the </w:t>
      </w:r>
      <w:r w:rsidR="007148F1">
        <w:t xml:space="preserve">TEDAC providing </w:t>
      </w:r>
      <w:r w:rsidRPr="00762F09">
        <w:t>technical and forensic analysis of evidence recovered from IEDs of interest to the U.S. Government (principally derived from CEXC activities in the Iraq and Afghanistan conflicts)</w:t>
      </w:r>
      <w:r>
        <w:t>.</w:t>
      </w:r>
      <w:r w:rsidRPr="00762F09">
        <w:t xml:space="preserve">  The TEDAC combines law enforcement, military, and intelligence assets to classify the operation, </w:t>
      </w:r>
      <w:r>
        <w:t>bomb components</w:t>
      </w:r>
      <w:r w:rsidRPr="00762F09">
        <w:t>, and deployment of IEDs.  These efforts help prevent IED detonations, protect our armed forces, and identify those who manufacture and place these devices</w:t>
      </w:r>
      <w:r w:rsidRPr="008C2518">
        <w:t xml:space="preserve">.  </w:t>
      </w:r>
    </w:p>
    <w:p w:rsidR="00FA2AAB" w:rsidRPr="00762F09" w:rsidRDefault="00FA2AAB" w:rsidP="005027FD">
      <w:pPr>
        <w:pStyle w:val="Heading3"/>
        <w:spacing w:before="100" w:beforeAutospacing="1" w:after="100" w:afterAutospacing="1"/>
        <w:rPr>
          <w:rFonts w:ascii="Times New Roman" w:hAnsi="Times New Roman" w:cs="Times New Roman"/>
          <w:i/>
          <w:u w:val="none"/>
        </w:rPr>
      </w:pPr>
      <w:bookmarkStart w:id="26" w:name="_Toc215989276"/>
      <w:bookmarkStart w:id="27" w:name="_Toc216172459"/>
      <w:bookmarkStart w:id="28" w:name="_Toc224026878"/>
      <w:r w:rsidRPr="00762F09">
        <w:rPr>
          <w:rFonts w:ascii="Times New Roman" w:hAnsi="Times New Roman" w:cs="Times New Roman"/>
          <w:i/>
          <w:u w:val="none"/>
        </w:rPr>
        <w:t>Arson Task Forces</w:t>
      </w:r>
      <w:bookmarkEnd w:id="26"/>
      <w:bookmarkEnd w:id="27"/>
      <w:bookmarkEnd w:id="28"/>
    </w:p>
    <w:p w:rsidR="00FA2AAB" w:rsidRPr="00762F09" w:rsidRDefault="004323C5" w:rsidP="005027FD">
      <w:pPr>
        <w:pStyle w:val="BodyText"/>
        <w:spacing w:before="100" w:beforeAutospacing="1" w:after="100" w:afterAutospacing="1"/>
      </w:pPr>
      <w:r>
        <w:t xml:space="preserve">In January 1977, ATF formed its first arson task force in the Philadelphia metropolitan area.  Since then, ATF has led or participated in formal and informal task forces in major cities </w:t>
      </w:r>
      <w:r w:rsidR="00E223CC">
        <w:t xml:space="preserve">that have </w:t>
      </w:r>
      <w:r>
        <w:t>significant arson problem</w:t>
      </w:r>
      <w:r w:rsidR="00E223CC">
        <w:t>s</w:t>
      </w:r>
      <w:r>
        <w:t xml:space="preserve">. Each task force is configured based on the available resources and specific needs of the particular city.  In addition to ATF special agents, including certified fire investigators and ATF auditors, task forces typically include local fire officials, arson investigators, and police. </w:t>
      </w:r>
      <w:r w:rsidR="00FA2AAB" w:rsidRPr="00762F09">
        <w:t xml:space="preserve"> </w:t>
      </w:r>
    </w:p>
    <w:p w:rsidR="00FA2AAB" w:rsidRPr="00762F09" w:rsidRDefault="00FA2AAB" w:rsidP="005027FD">
      <w:pPr>
        <w:pStyle w:val="Heading3"/>
        <w:keepNext w:val="0"/>
        <w:spacing w:before="100" w:beforeAutospacing="1" w:after="100" w:afterAutospacing="1"/>
        <w:rPr>
          <w:rFonts w:ascii="Times New Roman" w:hAnsi="Times New Roman" w:cs="Times New Roman"/>
          <w:i/>
          <w:u w:val="none"/>
        </w:rPr>
      </w:pPr>
      <w:bookmarkStart w:id="29" w:name="_Toc215989277"/>
      <w:bookmarkStart w:id="30" w:name="_Toc216172460"/>
      <w:bookmarkStart w:id="31" w:name="_Toc224026879"/>
      <w:r w:rsidRPr="00762F09">
        <w:rPr>
          <w:rFonts w:ascii="Times New Roman" w:hAnsi="Times New Roman" w:cs="Times New Roman"/>
          <w:i/>
          <w:u w:val="none"/>
        </w:rPr>
        <w:t>Fires and Bombings at Houses of Worship</w:t>
      </w:r>
      <w:bookmarkEnd w:id="29"/>
      <w:bookmarkEnd w:id="30"/>
      <w:bookmarkEnd w:id="31"/>
    </w:p>
    <w:p w:rsidR="00AF03C7" w:rsidRDefault="00AF03C7" w:rsidP="005027FD">
      <w:pPr>
        <w:pStyle w:val="BodyText"/>
        <w:spacing w:before="100" w:beforeAutospacing="1" w:after="100" w:afterAutospacing="1"/>
      </w:pPr>
      <w:r>
        <w:t xml:space="preserve">ATF was designated to investigate the origins and causes of </w:t>
      </w:r>
      <w:r w:rsidR="00C34432" w:rsidRPr="00C34432">
        <w:rPr>
          <w:u w:val="single"/>
        </w:rPr>
        <w:t>all</w:t>
      </w:r>
      <w:r>
        <w:t xml:space="preserve"> fire and/or bombing incidents at houses of worship.  Although the N</w:t>
      </w:r>
      <w:r w:rsidR="006558B9">
        <w:t>ational Church Arson Task Force (N</w:t>
      </w:r>
      <w:r>
        <w:t>CATF</w:t>
      </w:r>
      <w:r w:rsidR="006558B9">
        <w:t>)</w:t>
      </w:r>
      <w:r>
        <w:t xml:space="preserve"> ceased to meet as a functioning body after the fourth year report to the President in Fiscal Year 2000, ATF is accountable to the Department of Justice and Congress for tracking and reporting all church fire or bombing investigations</w:t>
      </w:r>
      <w:r w:rsidR="00E223CC">
        <w:t xml:space="preserve"> relative to</w:t>
      </w:r>
      <w:r>
        <w:t xml:space="preserve"> any Federal or State civil rights violations (hate crimes) against any of these institutions, and continues to monitor and assist in investigations of house of worship incidents.  For example, ATF’s arson and explosives National Response Team was requested to assist in the investigation of 16 fires that occurred in Texas churches in January and February of 2010.  ATF led a multi-agency task force to investigate the fires, which quickly led to the identification and arrests of two suspects. </w:t>
      </w:r>
    </w:p>
    <w:p w:rsidR="00FA2AAB" w:rsidRPr="00762F09" w:rsidRDefault="00FA2AAB" w:rsidP="005027FD">
      <w:pPr>
        <w:pStyle w:val="Heading3"/>
        <w:spacing w:before="100" w:beforeAutospacing="1" w:after="100" w:afterAutospacing="1"/>
        <w:rPr>
          <w:rFonts w:ascii="Times New Roman" w:hAnsi="Times New Roman" w:cs="Times New Roman"/>
          <w:i/>
          <w:u w:val="none"/>
        </w:rPr>
      </w:pPr>
      <w:bookmarkStart w:id="32" w:name="_Toc215989163"/>
      <w:bookmarkStart w:id="33" w:name="_Toc216172461"/>
      <w:bookmarkStart w:id="34" w:name="_Toc224026880"/>
      <w:r w:rsidRPr="00762F09">
        <w:rPr>
          <w:rFonts w:ascii="Times New Roman" w:hAnsi="Times New Roman" w:cs="Times New Roman"/>
          <w:i/>
          <w:u w:val="none"/>
        </w:rPr>
        <w:lastRenderedPageBreak/>
        <w:t>National and International Response Teams</w:t>
      </w:r>
      <w:bookmarkEnd w:id="32"/>
      <w:bookmarkEnd w:id="33"/>
      <w:bookmarkEnd w:id="34"/>
      <w:r w:rsidRPr="00762F09">
        <w:rPr>
          <w:rFonts w:ascii="Times New Roman" w:hAnsi="Times New Roman" w:cs="Times New Roman"/>
          <w:i/>
          <w:u w:val="none"/>
        </w:rPr>
        <w:t xml:space="preserve"> </w:t>
      </w:r>
    </w:p>
    <w:p w:rsidR="00DD29B8" w:rsidRDefault="00CB49CA" w:rsidP="005027FD">
      <w:pPr>
        <w:pStyle w:val="BodyText"/>
        <w:spacing w:before="100" w:beforeAutospacing="1" w:after="100" w:afterAutospacing="1"/>
      </w:pPr>
      <w:r>
        <w:t xml:space="preserve">As an integral part of ATF’s overall violent crime reduction strategy, ATF provides vital resources to local communities to investigate explosives and fire incidents.  ATF’s arson and explosives National Response Team (NRT) was formed in 1978 to help meet the needs of those who are responding to and investigating complex incidents.  The NRT was designed to bring together all of ATF’s expertise and experience to work alongside State and local officials in reconstructing the scene, identifying the seat of the blast or origin of the fire, conducting interviews, sifting through debris to obtain evidence related to the explosion and/or fire, participating in the ensuing investigation, and providing expert court testimony. </w:t>
      </w:r>
    </w:p>
    <w:p w:rsidR="00CB49CA" w:rsidRDefault="00CB49CA" w:rsidP="005027FD">
      <w:pPr>
        <w:pStyle w:val="BodyText"/>
        <w:spacing w:before="100" w:beforeAutospacing="1" w:after="100" w:afterAutospacing="1"/>
      </w:pPr>
      <w:r>
        <w:t>The NRT consists of three regional response units</w:t>
      </w:r>
      <w:r w:rsidR="0063036C">
        <w:t xml:space="preserve">. </w:t>
      </w:r>
      <w:r>
        <w:t xml:space="preserve"> Each</w:t>
      </w:r>
      <w:r w:rsidR="0063036C">
        <w:t xml:space="preserve"> </w:t>
      </w:r>
      <w:r>
        <w:t>unit is comprised of veteran special agents having postblast and fire origin and cause expertise, including certified explosives</w:t>
      </w:r>
      <w:r w:rsidR="00335007">
        <w:t>,,</w:t>
      </w:r>
      <w:r w:rsidR="0063036C">
        <w:t xml:space="preserve"> specialists, certified fire investigators, forensic chemists, explosives enforcement officers, fire protection engineers, and accelerant–and explosives-</w:t>
      </w:r>
      <w:r w:rsidR="00DB36CB">
        <w:t>detection</w:t>
      </w:r>
      <w:r w:rsidR="0063036C">
        <w:t xml:space="preserve"> canines.  Further complementing the team’s efforts are intelligence, forensic audit, technical, and legal support.  NRT members are trained in all levels of personal protective equipment, up to and including Level A protection, and HAZMAT certified.  A fleet of fully equipped response vehicles provides logistical support.</w:t>
      </w:r>
    </w:p>
    <w:p w:rsidR="0063036C" w:rsidRDefault="0063036C" w:rsidP="005027FD">
      <w:pPr>
        <w:pStyle w:val="BodyText"/>
        <w:spacing w:before="100" w:beforeAutospacing="1" w:after="100" w:afterAutospacing="1"/>
      </w:pPr>
      <w:r>
        <w:t xml:space="preserve">Since its inception, NRT has responded to more than 700 fire and explosion incidents, including incidents such as 1993 World Trade Center (in which an EEO found and identified the critical evidence critical to solving the case), the Oklahoma City Federal Building bombing, </w:t>
      </w:r>
      <w:r w:rsidR="00B2194C">
        <w:t>and the September 11, 2001, attack on the Pentagon.</w:t>
      </w:r>
    </w:p>
    <w:p w:rsidR="00B2194C" w:rsidRDefault="00B2194C" w:rsidP="005027FD">
      <w:pPr>
        <w:pStyle w:val="BodyText"/>
        <w:spacing w:before="100" w:beforeAutospacing="1" w:after="100" w:afterAutospacing="1"/>
      </w:pPr>
      <w:r>
        <w:t xml:space="preserve">Because evidence in fire scenes can deteriorate quickly, a rapid response and investigation often means the difference </w:t>
      </w:r>
      <w:r w:rsidR="00E8722E">
        <w:t xml:space="preserve">between identifying and prosecuting suspects and leaving violent offenders on the streets. A recently </w:t>
      </w:r>
      <w:r w:rsidR="008E4501">
        <w:t xml:space="preserve">completed Office of Inspector General (OIG) audit </w:t>
      </w:r>
      <w:r w:rsidR="00882E63">
        <w:t xml:space="preserve">of the NRT found that 46 of 49 State and local agencies interviewed said that they either could not have </w:t>
      </w:r>
      <w:r w:rsidR="00330F2C">
        <w:t xml:space="preserve">  </w:t>
      </w:r>
      <w:r w:rsidR="00882E63">
        <w:t xml:space="preserve">completed their investigations without the NRT, or that without NRT assistance it would have taken more time and strained the agencies’ resources.  For example, in 2009, a fire destroyed the Gallery Furniture Store and Warehouse in Houston, Texas.  The NRT investigated over 120 leads and conducted over </w:t>
      </w:r>
      <w:r w:rsidR="00330F2C">
        <w:t xml:space="preserve">50 interviews before arresting a former employee who had lost his job several years </w:t>
      </w:r>
      <w:r w:rsidR="00DB36CB">
        <w:t>previous</w:t>
      </w:r>
      <w:r w:rsidR="00330F2C">
        <w:t xml:space="preserve"> for loan-sharking and destruction of employees’ property.</w:t>
      </w:r>
      <w:r w:rsidR="00882E63">
        <w:t xml:space="preserve"> </w:t>
      </w:r>
    </w:p>
    <w:p w:rsidR="00FA2AAB" w:rsidRPr="00DD29B8" w:rsidRDefault="00FA2AAB" w:rsidP="00DD29B8">
      <w:pPr>
        <w:pStyle w:val="Heading3"/>
        <w:spacing w:before="100" w:beforeAutospacing="1" w:after="100" w:afterAutospacing="1"/>
        <w:rPr>
          <w:rFonts w:ascii="Times New Roman" w:hAnsi="Times New Roman" w:cs="Times New Roman"/>
          <w:i/>
          <w:u w:val="none"/>
        </w:rPr>
      </w:pPr>
      <w:bookmarkStart w:id="35" w:name="_Toc215989164"/>
      <w:bookmarkStart w:id="36" w:name="_Toc216172462"/>
      <w:bookmarkStart w:id="37" w:name="_Toc216248489"/>
      <w:bookmarkStart w:id="38" w:name="_Toc224026881"/>
      <w:r w:rsidRPr="00DD29B8">
        <w:rPr>
          <w:rFonts w:ascii="Times New Roman" w:hAnsi="Times New Roman" w:cs="Times New Roman"/>
          <w:i/>
          <w:u w:val="none"/>
        </w:rPr>
        <w:t>Explosives Industry Regulation</w:t>
      </w:r>
      <w:bookmarkEnd w:id="35"/>
      <w:bookmarkEnd w:id="36"/>
      <w:bookmarkEnd w:id="37"/>
      <w:bookmarkEnd w:id="38"/>
    </w:p>
    <w:p w:rsidR="00AE5CC2" w:rsidRDefault="00AE5CC2" w:rsidP="005027FD">
      <w:pPr>
        <w:pStyle w:val="BodyText"/>
        <w:spacing w:before="100" w:beforeAutospacing="1" w:after="100" w:afterAutospacing="1"/>
      </w:pPr>
      <w:r w:rsidRPr="00762F09">
        <w:t xml:space="preserve">Federal law requires that any manufacturer, importer, or dealer of explosives must have a </w:t>
      </w:r>
      <w:r w:rsidR="00DB36CB">
        <w:t>F</w:t>
      </w:r>
      <w:r w:rsidRPr="00762F09">
        <w:t xml:space="preserve">ederal explosives license, and anyone who acquires for use or transports explosives must hold a Federal explosives permit or license.  </w:t>
      </w:r>
      <w:r w:rsidR="00FA2AAB" w:rsidRPr="00762F09">
        <w:t xml:space="preserve">ATF is the only </w:t>
      </w:r>
      <w:r w:rsidR="00DB36CB">
        <w:t>F</w:t>
      </w:r>
      <w:r w:rsidRPr="00762F09">
        <w:t xml:space="preserve">ederal </w:t>
      </w:r>
      <w:r w:rsidR="00FA2AAB" w:rsidRPr="00762F09">
        <w:t xml:space="preserve">law enforcement agency that regulates the explosives industry.  ATF’s criminal and regulatory programs are a key means by which the U.S. Government enforces </w:t>
      </w:r>
      <w:r w:rsidR="00E40A82">
        <w:t>F</w:t>
      </w:r>
      <w:r w:rsidRPr="00762F09">
        <w:t xml:space="preserve">ederal </w:t>
      </w:r>
      <w:r w:rsidR="00FA2AAB" w:rsidRPr="00762F09">
        <w:t xml:space="preserve">explosives laws and prevents criminals and terrorists from obtaining explosives for use in bombings.  </w:t>
      </w:r>
    </w:p>
    <w:p w:rsidR="00E40A82" w:rsidRDefault="00AE5CC2" w:rsidP="005027FD">
      <w:pPr>
        <w:pStyle w:val="BodyText"/>
        <w:spacing w:before="100" w:beforeAutospacing="1" w:after="100" w:afterAutospacing="1"/>
      </w:pPr>
      <w:r w:rsidRPr="00762F09">
        <w:t xml:space="preserve">ATF’s IOIs conduct compliance inspections of the </w:t>
      </w:r>
      <w:r w:rsidR="00C34432" w:rsidRPr="00B21A59">
        <w:t>nearly 11,000 explosives licensees</w:t>
      </w:r>
      <w:r w:rsidRPr="00762F09">
        <w:t xml:space="preserve"> and permittees nationwide to </w:t>
      </w:r>
      <w:r>
        <w:t xml:space="preserve">detect, investigate and </w:t>
      </w:r>
      <w:r w:rsidRPr="00762F09">
        <w:t>prevent diversion</w:t>
      </w:r>
      <w:r w:rsidR="00DB36CB">
        <w:t>,</w:t>
      </w:r>
      <w:r w:rsidRPr="00762F09">
        <w:t xml:space="preserve"> and promote the safe and secure storage of explosives.</w:t>
      </w:r>
      <w:r>
        <w:t xml:space="preserve">  </w:t>
      </w:r>
      <w:r w:rsidR="00FA2AAB" w:rsidRPr="00762F09">
        <w:t xml:space="preserve">The </w:t>
      </w:r>
      <w:r w:rsidR="00B12186" w:rsidRPr="00F91A63">
        <w:t>Federal Explosives Licensing Center (</w:t>
      </w:r>
      <w:r w:rsidR="00FA2AAB" w:rsidRPr="00F91A63">
        <w:t>FELC</w:t>
      </w:r>
      <w:r w:rsidR="00B12186" w:rsidRPr="00F91A63">
        <w:t>)</w:t>
      </w:r>
      <w:r w:rsidR="00FA2AAB" w:rsidRPr="00F91A63">
        <w:t xml:space="preserve"> screens</w:t>
      </w:r>
      <w:r w:rsidR="00FA2AAB" w:rsidRPr="00762F09">
        <w:t xml:space="preserve"> license </w:t>
      </w:r>
      <w:r w:rsidR="00FA2AAB" w:rsidRPr="00762F09">
        <w:lastRenderedPageBreak/>
        <w:t xml:space="preserve">and permit applicants, in conjunction with the FBI, to ensure applicants’ eligibility to lawfully receive and use explosives.  It further screens employees of such licensees and permittees to ensure prohibited persons do not have access to explosives.  ATF established standards </w:t>
      </w:r>
      <w:r w:rsidR="00647DCF">
        <w:t xml:space="preserve">applicable to all licensees and </w:t>
      </w:r>
      <w:r w:rsidR="00A524A1">
        <w:t>permittees</w:t>
      </w:r>
      <w:r w:rsidR="00647DCF">
        <w:t xml:space="preserve"> </w:t>
      </w:r>
      <w:r w:rsidR="00FA2AAB" w:rsidRPr="00762F09">
        <w:t>for the storage of explosives materials and related record keeping requirements</w:t>
      </w:r>
      <w:r w:rsidR="00647DCF">
        <w:t>, which helps</w:t>
      </w:r>
      <w:r w:rsidR="00FA2AAB" w:rsidRPr="00762F09">
        <w:t xml:space="preserve"> to ensure </w:t>
      </w:r>
      <w:r w:rsidR="00647DCF">
        <w:t>that explosives are properly accounted for and tracked.</w:t>
      </w:r>
    </w:p>
    <w:p w:rsidR="00E40A82" w:rsidRPr="00F91A63" w:rsidRDefault="00E40A82" w:rsidP="00C431B3">
      <w:pPr>
        <w:numPr>
          <w:ilvl w:val="0"/>
          <w:numId w:val="7"/>
        </w:numPr>
        <w:pBdr>
          <w:top w:val="double" w:sz="6" w:space="1" w:color="auto"/>
          <w:left w:val="double" w:sz="6" w:space="5" w:color="auto"/>
          <w:right w:val="double" w:sz="6" w:space="4" w:color="auto"/>
        </w:pBdr>
        <w:tabs>
          <w:tab w:val="clear" w:pos="360"/>
          <w:tab w:val="num" w:pos="450"/>
          <w:tab w:val="num" w:pos="720"/>
        </w:tabs>
        <w:ind w:left="720"/>
      </w:pPr>
      <w:r w:rsidRPr="00F91A63">
        <w:t xml:space="preserve">In FY </w:t>
      </w:r>
      <w:r w:rsidR="00B21A59" w:rsidRPr="00F91A63">
        <w:t>20</w:t>
      </w:r>
      <w:r w:rsidR="00B21A59">
        <w:t>10</w:t>
      </w:r>
      <w:r w:rsidRPr="00F91A63">
        <w:t>, ATF:</w:t>
      </w:r>
    </w:p>
    <w:p w:rsidR="00E40A82" w:rsidRPr="00F91A63" w:rsidRDefault="00E40A82" w:rsidP="00E40A82">
      <w:pPr>
        <w:numPr>
          <w:ilvl w:val="0"/>
          <w:numId w:val="39"/>
        </w:numPr>
        <w:pBdr>
          <w:left w:val="double" w:sz="6" w:space="24" w:color="auto"/>
          <w:bottom w:val="double" w:sz="6" w:space="1" w:color="auto"/>
          <w:right w:val="double" w:sz="6" w:space="4" w:color="auto"/>
        </w:pBdr>
      </w:pPr>
      <w:r w:rsidRPr="00F91A63">
        <w:t xml:space="preserve">Conducted </w:t>
      </w:r>
      <w:r w:rsidR="00B21A59">
        <w:t>4,317</w:t>
      </w:r>
      <w:r w:rsidRPr="00F91A63">
        <w:t xml:space="preserve"> </w:t>
      </w:r>
      <w:r w:rsidR="009513D8" w:rsidRPr="00F91A63">
        <w:t>explosives licensee</w:t>
      </w:r>
      <w:r w:rsidRPr="00F91A63">
        <w:t xml:space="preserve"> and permittee </w:t>
      </w:r>
      <w:r w:rsidR="009513D8" w:rsidRPr="00F91A63">
        <w:t>compliance inspections</w:t>
      </w:r>
      <w:r w:rsidRPr="00F91A63">
        <w:t xml:space="preserve"> that identified and corrected 1,</w:t>
      </w:r>
      <w:r w:rsidR="00B21A59">
        <w:t>620</w:t>
      </w:r>
      <w:r w:rsidR="00B21A59" w:rsidRPr="00F91A63">
        <w:t xml:space="preserve"> </w:t>
      </w:r>
      <w:r w:rsidRPr="00F91A63">
        <w:t>public safety violations.</w:t>
      </w:r>
    </w:p>
    <w:p w:rsidR="00E40A82" w:rsidRPr="00F91A63" w:rsidRDefault="00E40A82" w:rsidP="00E40A82">
      <w:pPr>
        <w:numPr>
          <w:ilvl w:val="0"/>
          <w:numId w:val="39"/>
        </w:numPr>
        <w:pBdr>
          <w:left w:val="double" w:sz="6" w:space="24" w:color="auto"/>
          <w:bottom w:val="double" w:sz="6" w:space="1" w:color="auto"/>
          <w:right w:val="double" w:sz="6" w:space="4" w:color="auto"/>
        </w:pBdr>
      </w:pPr>
      <w:r w:rsidRPr="00F91A63">
        <w:t xml:space="preserve">Completed </w:t>
      </w:r>
      <w:r w:rsidR="00D44DE5" w:rsidRPr="00F91A63">
        <w:t>1,</w:t>
      </w:r>
      <w:r w:rsidR="00B21A59" w:rsidRPr="00F91A63">
        <w:t>1</w:t>
      </w:r>
      <w:r w:rsidR="00B21A59">
        <w:t>76</w:t>
      </w:r>
      <w:r w:rsidR="00B21A59" w:rsidRPr="00F91A63">
        <w:t xml:space="preserve"> </w:t>
      </w:r>
      <w:r w:rsidRPr="00F91A63">
        <w:t xml:space="preserve">FEL </w:t>
      </w:r>
      <w:r w:rsidR="00D44DE5" w:rsidRPr="00F91A63">
        <w:t>a</w:t>
      </w:r>
      <w:r w:rsidRPr="00F91A63">
        <w:t xml:space="preserve">pplicant </w:t>
      </w:r>
      <w:r w:rsidR="00D44DE5" w:rsidRPr="00F91A63">
        <w:t>i</w:t>
      </w:r>
      <w:r w:rsidRPr="00F91A63">
        <w:t>nspections</w:t>
      </w:r>
    </w:p>
    <w:p w:rsidR="00E40A82" w:rsidRPr="00F91A63" w:rsidRDefault="00E40A82" w:rsidP="00E40A82">
      <w:pPr>
        <w:numPr>
          <w:ilvl w:val="0"/>
          <w:numId w:val="39"/>
        </w:numPr>
        <w:pBdr>
          <w:left w:val="double" w:sz="6" w:space="24" w:color="auto"/>
          <w:bottom w:val="double" w:sz="6" w:space="1" w:color="auto"/>
          <w:right w:val="double" w:sz="6" w:space="4" w:color="auto"/>
        </w:pBdr>
      </w:pPr>
      <w:r w:rsidRPr="00F91A63">
        <w:t xml:space="preserve">Processed </w:t>
      </w:r>
      <w:r w:rsidR="000A4DE1">
        <w:t>2,711</w:t>
      </w:r>
      <w:r w:rsidR="007532EF" w:rsidRPr="00F91A63">
        <w:t xml:space="preserve"> </w:t>
      </w:r>
      <w:r w:rsidRPr="00F91A63">
        <w:t xml:space="preserve">FEL </w:t>
      </w:r>
      <w:r w:rsidR="00D44DE5" w:rsidRPr="00F91A63">
        <w:t>a</w:t>
      </w:r>
      <w:r w:rsidRPr="00F91A63">
        <w:t>pplications (New &amp; Renewal)</w:t>
      </w:r>
    </w:p>
    <w:p w:rsidR="00E40A82" w:rsidRPr="00F91A63" w:rsidRDefault="00E40A82" w:rsidP="00E40A82">
      <w:pPr>
        <w:numPr>
          <w:ilvl w:val="0"/>
          <w:numId w:val="39"/>
        </w:numPr>
        <w:pBdr>
          <w:left w:val="double" w:sz="6" w:space="24" w:color="auto"/>
          <w:bottom w:val="double" w:sz="6" w:space="1" w:color="auto"/>
          <w:right w:val="double" w:sz="6" w:space="4" w:color="auto"/>
        </w:pBdr>
      </w:pPr>
      <w:r w:rsidRPr="00F91A63">
        <w:t xml:space="preserve">Completed </w:t>
      </w:r>
      <w:r w:rsidR="000A4DE1">
        <w:t>56,113</w:t>
      </w:r>
      <w:r w:rsidR="007532EF" w:rsidRPr="00F91A63">
        <w:t xml:space="preserve"> </w:t>
      </w:r>
      <w:r w:rsidRPr="00F91A63">
        <w:t>Explosives Employee/Possessor Background Checks</w:t>
      </w:r>
    </w:p>
    <w:p w:rsidR="00E40A82" w:rsidRPr="00F91A63" w:rsidRDefault="00E40A82" w:rsidP="00E40A82">
      <w:pPr>
        <w:numPr>
          <w:ilvl w:val="0"/>
          <w:numId w:val="39"/>
        </w:numPr>
        <w:pBdr>
          <w:left w:val="double" w:sz="6" w:space="24" w:color="auto"/>
          <w:bottom w:val="double" w:sz="6" w:space="1" w:color="auto"/>
          <w:right w:val="double" w:sz="6" w:space="4" w:color="auto"/>
        </w:pBdr>
      </w:pPr>
      <w:r w:rsidRPr="00F91A63">
        <w:t xml:space="preserve">Completed </w:t>
      </w:r>
      <w:r w:rsidR="000A4DE1">
        <w:t>9,197</w:t>
      </w:r>
      <w:r w:rsidR="007532EF" w:rsidRPr="00F91A63">
        <w:t xml:space="preserve"> </w:t>
      </w:r>
      <w:r w:rsidRPr="00F91A63">
        <w:t>Explosives Responsible Persons Background Checks</w:t>
      </w:r>
    </w:p>
    <w:p w:rsidR="00FA2AAB" w:rsidRDefault="00FA2AAB" w:rsidP="005027FD">
      <w:pPr>
        <w:pStyle w:val="BodyText"/>
        <w:spacing w:before="100" w:beforeAutospacing="1" w:after="100" w:afterAutospacing="1"/>
      </w:pPr>
      <w:r w:rsidRPr="00762F09">
        <w:t xml:space="preserve">The amount of </w:t>
      </w:r>
      <w:r w:rsidR="00AE5CC2" w:rsidRPr="00762F09">
        <w:t xml:space="preserve">time </w:t>
      </w:r>
      <w:r>
        <w:t>IOI</w:t>
      </w:r>
      <w:r w:rsidRPr="00762F09">
        <w:t xml:space="preserve">s </w:t>
      </w:r>
      <w:r w:rsidR="00AE5CC2">
        <w:t xml:space="preserve">must </w:t>
      </w:r>
      <w:r w:rsidRPr="00762F09">
        <w:t>dedicate to explosives application and compliance inspection work has increased since the enactment of the SEA of 2002.  The initial requirement to inspect 100 percent of the licensees and permittees within their three-year license</w:t>
      </w:r>
      <w:r>
        <w:t>/permit</w:t>
      </w:r>
      <w:r w:rsidRPr="00762F09">
        <w:t xml:space="preserve"> cycle has resulted in between 25 percent and 41 percent of available IOI resources being devoted to SEA work in any given year.</w:t>
      </w:r>
    </w:p>
    <w:p w:rsidR="00FA2AAB" w:rsidRPr="00762F09" w:rsidRDefault="00FA2AAB" w:rsidP="005027FD">
      <w:pPr>
        <w:pStyle w:val="Heading2"/>
        <w:keepNext w:val="0"/>
        <w:spacing w:before="100" w:beforeAutospacing="1" w:after="100" w:afterAutospacing="1"/>
        <w:rPr>
          <w:rFonts w:ascii="Times New Roman" w:hAnsi="Times New Roman" w:cs="Times New Roman"/>
          <w:sz w:val="24"/>
          <w:szCs w:val="24"/>
        </w:rPr>
      </w:pPr>
      <w:bookmarkStart w:id="39" w:name="_Toc215989165"/>
      <w:bookmarkStart w:id="40" w:name="_Toc216172463"/>
      <w:bookmarkStart w:id="41" w:name="_Toc216248490"/>
      <w:bookmarkStart w:id="42" w:name="_Toc224026882"/>
      <w:r>
        <w:rPr>
          <w:rFonts w:ascii="Times New Roman" w:hAnsi="Times New Roman" w:cs="Times New Roman"/>
          <w:sz w:val="24"/>
          <w:szCs w:val="24"/>
        </w:rPr>
        <w:t>U.S.</w:t>
      </w:r>
      <w:r w:rsidRPr="00762F09">
        <w:rPr>
          <w:rFonts w:ascii="Times New Roman" w:hAnsi="Times New Roman" w:cs="Times New Roman"/>
          <w:sz w:val="24"/>
          <w:szCs w:val="24"/>
        </w:rPr>
        <w:t xml:space="preserve"> Bomb Data Center</w:t>
      </w:r>
      <w:bookmarkEnd w:id="39"/>
      <w:bookmarkEnd w:id="40"/>
      <w:bookmarkEnd w:id="41"/>
      <w:r w:rsidRPr="00762F09">
        <w:rPr>
          <w:rFonts w:ascii="Times New Roman" w:hAnsi="Times New Roman" w:cs="Times New Roman"/>
          <w:sz w:val="24"/>
          <w:szCs w:val="24"/>
        </w:rPr>
        <w:t xml:space="preserve"> (USBDC)</w:t>
      </w:r>
      <w:bookmarkEnd w:id="42"/>
    </w:p>
    <w:p w:rsidR="00FA2AAB" w:rsidRDefault="00FA2AAB" w:rsidP="005F4643">
      <w:pPr>
        <w:pStyle w:val="BodyText"/>
      </w:pPr>
      <w:bookmarkStart w:id="43" w:name="_Toc215989166"/>
      <w:r w:rsidRPr="00762F09">
        <w:t xml:space="preserve">ATF has been collecting, storing, and analyzing data on explosives and arson incidents since 1976.  ATF, through the U.S. Department of the Treasury, was mandated by Congress pursuant to Public Law 104-208, the 1997 Omnibus Consolidated Appropriations Act, to establish a national repository for incidents involving arson and the criminal misuse of explosives.  This authority, as contained in 18 U.S.C. </w:t>
      </w:r>
      <w:r>
        <w:t xml:space="preserve">§ </w:t>
      </w:r>
      <w:r w:rsidRPr="00762F09">
        <w:t>846(b) and delegated to ATF by the Secretary of the Treasury, was moved with ATF to the authority of the Attorney General by the Homeland Security Act of 2002.</w:t>
      </w:r>
    </w:p>
    <w:p w:rsidR="0051314A" w:rsidRDefault="0051314A" w:rsidP="005F4643">
      <w:pPr>
        <w:pStyle w:val="BodyText"/>
      </w:pPr>
    </w:p>
    <w:p w:rsidR="00FA2AAB" w:rsidRDefault="00FA2AAB" w:rsidP="005F4643">
      <w:pPr>
        <w:pStyle w:val="BodyText"/>
      </w:pPr>
      <w:r w:rsidRPr="00762F09">
        <w:t>The USBDC collect</w:t>
      </w:r>
      <w:r w:rsidR="007C5345">
        <w:t>s</w:t>
      </w:r>
      <w:r w:rsidRPr="00762F09">
        <w:t>, analyze</w:t>
      </w:r>
      <w:r w:rsidR="007C5345">
        <w:t>s</w:t>
      </w:r>
      <w:r w:rsidRPr="00762F09">
        <w:t>, and disseminate</w:t>
      </w:r>
      <w:r w:rsidR="007C5345">
        <w:t>s</w:t>
      </w:r>
      <w:r w:rsidRPr="00762F09">
        <w:t xml:space="preserve"> timely information and relevant tactical and statistical intelligence within ATF</w:t>
      </w:r>
      <w:r w:rsidR="00DB36CB">
        <w:t xml:space="preserve">, and </w:t>
      </w:r>
      <w:r w:rsidRPr="00762F09">
        <w:t xml:space="preserve">to external </w:t>
      </w:r>
      <w:r w:rsidR="007C5345">
        <w:t>Federal, S</w:t>
      </w:r>
      <w:r w:rsidR="00AE5CC2" w:rsidRPr="00762F09">
        <w:t>tate</w:t>
      </w:r>
      <w:r w:rsidRPr="00762F09">
        <w:t>, local, tribal, military</w:t>
      </w:r>
      <w:r w:rsidR="007C5345">
        <w:t>,</w:t>
      </w:r>
      <w:r w:rsidRPr="00762F09">
        <w:t xml:space="preserve"> and international partners.  The USBDC provides statistical analyses of current trends and patterns to </w:t>
      </w:r>
      <w:r w:rsidR="007C5345">
        <w:t>help</w:t>
      </w:r>
      <w:r w:rsidR="007C5345" w:rsidRPr="00762F09">
        <w:t xml:space="preserve"> </w:t>
      </w:r>
      <w:r w:rsidRPr="00762F09">
        <w:t>prevent criminal misuse of explosives.</w:t>
      </w:r>
    </w:p>
    <w:p w:rsidR="006943D0" w:rsidRDefault="006943D0" w:rsidP="005F4643">
      <w:pPr>
        <w:pStyle w:val="BodyText"/>
      </w:pPr>
    </w:p>
    <w:p w:rsidR="00CA581C" w:rsidRPr="001C0FEC" w:rsidRDefault="00CA581C" w:rsidP="00EA5FB0">
      <w:pPr>
        <w:pStyle w:val="ListParagraph"/>
        <w:numPr>
          <w:ilvl w:val="0"/>
          <w:numId w:val="39"/>
        </w:numPr>
        <w:pBdr>
          <w:top w:val="double" w:sz="6" w:space="1" w:color="auto"/>
          <w:left w:val="double" w:sz="6" w:space="4" w:color="auto"/>
          <w:bottom w:val="double" w:sz="6" w:space="1" w:color="auto"/>
          <w:right w:val="double" w:sz="6" w:space="4" w:color="auto"/>
        </w:pBdr>
        <w:tabs>
          <w:tab w:val="clear" w:pos="1080"/>
          <w:tab w:val="num" w:pos="990"/>
        </w:tabs>
        <w:ind w:left="994" w:hanging="274"/>
      </w:pPr>
      <w:r w:rsidRPr="001C0FEC">
        <w:t xml:space="preserve">The U.S. produces or imports approximately </w:t>
      </w:r>
      <w:r w:rsidR="00797FD4">
        <w:t>five</w:t>
      </w:r>
      <w:r w:rsidRPr="001C0FEC">
        <w:t xml:space="preserve"> billion pounds of explosive materials annually.</w:t>
      </w:r>
    </w:p>
    <w:p w:rsidR="00CA581C" w:rsidRPr="001C0FEC" w:rsidRDefault="00CA581C" w:rsidP="00EA5FB0">
      <w:pPr>
        <w:pStyle w:val="ListParagraph"/>
        <w:numPr>
          <w:ilvl w:val="1"/>
          <w:numId w:val="39"/>
        </w:numPr>
        <w:pBdr>
          <w:top w:val="double" w:sz="6" w:space="1" w:color="auto"/>
          <w:left w:val="double" w:sz="6" w:space="4" w:color="auto"/>
          <w:bottom w:val="double" w:sz="6" w:space="1" w:color="auto"/>
          <w:right w:val="double" w:sz="6" w:space="4" w:color="auto"/>
        </w:pBdr>
        <w:tabs>
          <w:tab w:val="clear" w:pos="2160"/>
          <w:tab w:val="num" w:pos="990"/>
        </w:tabs>
        <w:ind w:left="990" w:hanging="270"/>
      </w:pPr>
      <w:r w:rsidRPr="001C0FEC">
        <w:t>Each year, eight billion pounds of ammonium nitrate are produced, of which half is used for explosives.</w:t>
      </w:r>
    </w:p>
    <w:p w:rsidR="00CA581C" w:rsidRDefault="00CA581C" w:rsidP="00EA5FB0">
      <w:pPr>
        <w:pStyle w:val="ListParagraph"/>
        <w:numPr>
          <w:ilvl w:val="1"/>
          <w:numId w:val="39"/>
        </w:numPr>
        <w:pBdr>
          <w:top w:val="double" w:sz="6" w:space="1" w:color="auto"/>
          <w:left w:val="double" w:sz="6" w:space="4" w:color="auto"/>
          <w:bottom w:val="double" w:sz="6" w:space="1" w:color="auto"/>
          <w:right w:val="double" w:sz="6" w:space="4" w:color="auto"/>
        </w:pBdr>
        <w:tabs>
          <w:tab w:val="clear" w:pos="2160"/>
          <w:tab w:val="num" w:pos="990"/>
        </w:tabs>
        <w:ind w:hanging="1440"/>
      </w:pPr>
      <w:r w:rsidRPr="001C0FEC">
        <w:t>Illegal use of these materials threatens the Nation’s public safety.</w:t>
      </w:r>
    </w:p>
    <w:p w:rsidR="00FA2AAB" w:rsidRPr="00762F09" w:rsidRDefault="00743E6E" w:rsidP="005027FD">
      <w:pPr>
        <w:pStyle w:val="BodyText"/>
        <w:spacing w:before="100" w:beforeAutospacing="1" w:after="100" w:afterAutospacing="1"/>
      </w:pPr>
      <w:r>
        <w:t>The USBDC is the sole repository for arson and explosives related incident data</w:t>
      </w:r>
      <w:r w:rsidR="00CA581C">
        <w:t>, and</w:t>
      </w:r>
      <w:r w:rsidR="00FA2AAB" w:rsidRPr="00762F09">
        <w:t xml:space="preserve"> contains information on more than </w:t>
      </w:r>
      <w:r w:rsidR="008D5977">
        <w:t>210,000</w:t>
      </w:r>
      <w:r w:rsidR="00FA2AAB" w:rsidRPr="00762F09">
        <w:t xml:space="preserve"> arson and explosives incidents investigated by ATF and other </w:t>
      </w:r>
      <w:r w:rsidR="00CA581C">
        <w:t>F</w:t>
      </w:r>
      <w:r w:rsidR="00CA581C" w:rsidRPr="00762F09">
        <w:t>ederal</w:t>
      </w:r>
      <w:r w:rsidR="00FA2AAB" w:rsidRPr="00762F09">
        <w:t xml:space="preserve">, </w:t>
      </w:r>
      <w:r w:rsidR="00CA581C">
        <w:t>S</w:t>
      </w:r>
      <w:r w:rsidR="00CA581C" w:rsidRPr="00762F09">
        <w:t>tate</w:t>
      </w:r>
      <w:r w:rsidR="00FA2AAB" w:rsidRPr="00762F09">
        <w:t xml:space="preserve">, and local law enforcement and fire investigation agencies.  The USBDC’s Bomb </w:t>
      </w:r>
      <w:r w:rsidR="00FA2AAB" w:rsidRPr="00762F09">
        <w:lastRenderedPageBreak/>
        <w:t>Arson Tracking System (BATS) is the explosives and arson investigator’s link to the USBDC and all the information there</w:t>
      </w:r>
      <w:r w:rsidR="00CA581C">
        <w:t>in</w:t>
      </w:r>
      <w:r w:rsidR="00FA2AAB" w:rsidRPr="00762F09">
        <w:t>.  Investigators use BATS to perform trend analysis and compare incidents for similarities in motives, device components, suspects, and crime methodologies for possible investigative leads nationwide.  Images of arson scenes, improvised explosive devices</w:t>
      </w:r>
      <w:r w:rsidR="00DB36CB">
        <w:t>,</w:t>
      </w:r>
      <w:r w:rsidR="00FA2AAB" w:rsidRPr="00762F09">
        <w:t xml:space="preserve"> and crime scenes can be shared through the BATS secure web connection.</w:t>
      </w:r>
    </w:p>
    <w:p w:rsidR="00FA2AAB" w:rsidRPr="00762F09" w:rsidRDefault="00FA2AAB" w:rsidP="005027FD">
      <w:pPr>
        <w:pStyle w:val="BodyText"/>
        <w:spacing w:before="100" w:beforeAutospacing="1" w:after="100" w:afterAutospacing="1"/>
      </w:pPr>
      <w:r w:rsidRPr="00762F09">
        <w:t>Investigators capture details of bomb and arson cases, including the area of origin or device placement, casualties, dollar losses, fire descriptors, collateral crimes, device components</w:t>
      </w:r>
      <w:r w:rsidR="00CA581C">
        <w:t>,</w:t>
      </w:r>
      <w:r w:rsidRPr="00762F09">
        <w:t xml:space="preserve"> and descriptions of how the device was delivered.  BATS also </w:t>
      </w:r>
      <w:r w:rsidR="00CA581C">
        <w:t xml:space="preserve">functions </w:t>
      </w:r>
      <w:r w:rsidRPr="00762F09">
        <w:t xml:space="preserve">as a case management system, allowing </w:t>
      </w:r>
      <w:r w:rsidR="00CA581C">
        <w:t>investigators</w:t>
      </w:r>
      <w:r w:rsidR="00CA581C" w:rsidRPr="00762F09">
        <w:t xml:space="preserve"> </w:t>
      </w:r>
      <w:r w:rsidRPr="00762F09">
        <w:t xml:space="preserve">to build </w:t>
      </w:r>
      <w:r w:rsidR="00CA581C">
        <w:t>cases</w:t>
      </w:r>
      <w:r w:rsidRPr="00762F09">
        <w:t xml:space="preserve"> in</w:t>
      </w:r>
      <w:r w:rsidR="00CA581C">
        <w:t xml:space="preserve"> the</w:t>
      </w:r>
      <w:r w:rsidRPr="00762F09">
        <w:t xml:space="preserve"> BATS</w:t>
      </w:r>
      <w:r w:rsidR="00CA581C">
        <w:t xml:space="preserve"> application</w:t>
      </w:r>
      <w:r w:rsidRPr="00762F09">
        <w:t xml:space="preserve"> while maintaining critical operational security.</w:t>
      </w:r>
    </w:p>
    <w:p w:rsidR="00FA2AAB" w:rsidRDefault="00FA2AAB" w:rsidP="005027FD">
      <w:pPr>
        <w:pStyle w:val="BodyText"/>
        <w:spacing w:before="100" w:beforeAutospacing="1" w:after="100" w:afterAutospacing="1"/>
      </w:pPr>
      <w:r w:rsidRPr="00762F09">
        <w:t xml:space="preserve">The USBDC provides explosives tracing services to authorized law enforcement agencies in the </w:t>
      </w:r>
      <w:smartTag w:uri="urn:schemas-microsoft-com:office:smarttags" w:element="place">
        <w:smartTag w:uri="urn:schemas-microsoft-com:office:smarttags" w:element="country-region">
          <w:r>
            <w:t>U.S.</w:t>
          </w:r>
        </w:smartTag>
      </w:smartTag>
      <w:r w:rsidRPr="00762F09">
        <w:t xml:space="preserve"> and in foreign countries.  Tracing is the systematic tracking of explosives from manufacturer to purchaser (or possessor) to aid law enforcement officials in identifying suspects involved in criminal violations, establishing stolen status, and proving ownership.  Explosives manufacturers, importers, wholesalers, and retail dealers in the </w:t>
      </w:r>
      <w:r>
        <w:t>U.S.</w:t>
      </w:r>
      <w:r w:rsidRPr="00762F09">
        <w:t xml:space="preserve"> and foreign countries cooperate in tracing by providing, on request, specific information from their records of manufacture, importation, or sale.  Because of its licensing authority, ATF is the only </w:t>
      </w:r>
      <w:r w:rsidR="00697316">
        <w:t>F</w:t>
      </w:r>
      <w:r w:rsidR="00697316" w:rsidRPr="00762F09">
        <w:t xml:space="preserve">ederal </w:t>
      </w:r>
      <w:r w:rsidRPr="00762F09">
        <w:t>agency authorized access to these records.</w:t>
      </w:r>
    </w:p>
    <w:p w:rsidR="00260CBD" w:rsidRDefault="00260CBD" w:rsidP="005027FD">
      <w:pPr>
        <w:pStyle w:val="BodyText"/>
        <w:spacing w:before="100" w:beforeAutospacing="1" w:after="100" w:afterAutospacing="1"/>
      </w:pPr>
      <w:r>
        <w:t>ATF serves as the Secretary for the International Bomb Data Center Working Group (IBDCWG) and the co-representative for the Americas.   ATF also serves as the Administrator for the IBDCWG Portal (developed and maintained by the USBDC).  Significant AT</w:t>
      </w:r>
      <w:r w:rsidR="00925127">
        <w:t>F partners at the USBDC include</w:t>
      </w:r>
      <w:r>
        <w:t xml:space="preserve"> the U.S. Secret Service, the U.S. Capitol Police and the D</w:t>
      </w:r>
      <w:r w:rsidR="00DB36CB">
        <w:t>o</w:t>
      </w:r>
      <w:r>
        <w:t>D NAVEOD Tech staff.</w:t>
      </w:r>
    </w:p>
    <w:p w:rsidR="00FA2AAB" w:rsidRPr="00762F09" w:rsidRDefault="00FA2AAB" w:rsidP="005027FD">
      <w:pPr>
        <w:pStyle w:val="Heading2"/>
        <w:keepNext w:val="0"/>
        <w:spacing w:before="100" w:beforeAutospacing="1" w:after="100" w:afterAutospacing="1"/>
        <w:rPr>
          <w:rFonts w:ascii="Times New Roman" w:hAnsi="Times New Roman" w:cs="Times New Roman"/>
          <w:sz w:val="24"/>
          <w:szCs w:val="24"/>
        </w:rPr>
      </w:pPr>
      <w:bookmarkStart w:id="44" w:name="_Toc224026883"/>
      <w:r w:rsidRPr="00762F09">
        <w:rPr>
          <w:rFonts w:ascii="Times New Roman" w:hAnsi="Times New Roman" w:cs="Times New Roman"/>
          <w:sz w:val="24"/>
          <w:szCs w:val="24"/>
        </w:rPr>
        <w:t>ATF National Center for Explosives Training and Research (NCETR)</w:t>
      </w:r>
      <w:bookmarkEnd w:id="43"/>
      <w:bookmarkEnd w:id="44"/>
    </w:p>
    <w:p w:rsidR="00FA2AAB" w:rsidRPr="00762F09" w:rsidRDefault="00FA2AAB" w:rsidP="005027FD">
      <w:pPr>
        <w:pStyle w:val="BodyText"/>
        <w:spacing w:before="100" w:beforeAutospacing="1" w:after="100" w:afterAutospacing="1"/>
      </w:pPr>
      <w:r w:rsidRPr="00762F09">
        <w:t>Established as a result of the 2002 Homeland Security Act, NCETR deliver</w:t>
      </w:r>
      <w:r w:rsidR="00BE402B">
        <w:t>s</w:t>
      </w:r>
      <w:r w:rsidRPr="00762F09">
        <w:t xml:space="preserve"> basic and advanced courses on </w:t>
      </w:r>
      <w:r w:rsidR="00BE402B">
        <w:t>various</w:t>
      </w:r>
      <w:r w:rsidRPr="00762F09">
        <w:t xml:space="preserve"> explosives topics to ATF personnel, law enforcement partners, the U.S. military, and other </w:t>
      </w:r>
      <w:r w:rsidR="00BE402B">
        <w:t>F</w:t>
      </w:r>
      <w:r w:rsidR="00BE402B" w:rsidRPr="00762F09">
        <w:t xml:space="preserve">ederal </w:t>
      </w:r>
      <w:r w:rsidRPr="00762F09">
        <w:t xml:space="preserve">agencies.  </w:t>
      </w:r>
      <w:r w:rsidR="00647DCF">
        <w:t>In 2010</w:t>
      </w:r>
      <w:r w:rsidR="00D6075D">
        <w:t>,</w:t>
      </w:r>
      <w:r w:rsidR="00647DCF">
        <w:t xml:space="preserve"> the NCETR move</w:t>
      </w:r>
      <w:r w:rsidR="0009194F">
        <w:t>d</w:t>
      </w:r>
      <w:r w:rsidR="00647DCF">
        <w:t xml:space="preserve"> from its original site at Ft. A.P. Hill in Bowling Green, Virginia</w:t>
      </w:r>
      <w:r w:rsidR="00DB36CB">
        <w:t>,</w:t>
      </w:r>
      <w:r w:rsidR="00647DCF">
        <w:t xml:space="preserve"> to a permanent location at the Redstone Arsenal in Huntsville, Alabama</w:t>
      </w:r>
      <w:r w:rsidR="00A524A1">
        <w:t>.</w:t>
      </w:r>
      <w:r w:rsidRPr="00762F09">
        <w:t xml:space="preserve"> </w:t>
      </w:r>
      <w:r w:rsidR="00647DCF">
        <w:t xml:space="preserve"> T</w:t>
      </w:r>
      <w:r w:rsidRPr="00762F09">
        <w:t xml:space="preserve">he NCETR </w:t>
      </w:r>
      <w:r w:rsidR="00BE402B" w:rsidRPr="00762F09">
        <w:t>consolidat</w:t>
      </w:r>
      <w:r w:rsidR="00BE402B">
        <w:t>es</w:t>
      </w:r>
      <w:r w:rsidR="00BE402B" w:rsidRPr="00762F09">
        <w:t xml:space="preserve"> </w:t>
      </w:r>
      <w:r w:rsidRPr="00762F09">
        <w:t xml:space="preserve">ATF explosives expertise and research, </w:t>
      </w:r>
      <w:r w:rsidR="00BE402B">
        <w:t xml:space="preserve">thereby </w:t>
      </w:r>
      <w:r w:rsidRPr="00762F09">
        <w:t>developing and enhancing technical knowledge</w:t>
      </w:r>
      <w:r w:rsidR="00BE402B">
        <w:t xml:space="preserve"> and</w:t>
      </w:r>
      <w:r w:rsidRPr="00762F09">
        <w:t xml:space="preserve"> building partnerships for the dissemination of this knowledge across </w:t>
      </w:r>
      <w:r w:rsidR="00BE402B">
        <w:t>F</w:t>
      </w:r>
      <w:r w:rsidR="00BE402B" w:rsidRPr="00762F09">
        <w:t>ederal</w:t>
      </w:r>
      <w:r w:rsidRPr="00762F09">
        <w:t xml:space="preserve">, </w:t>
      </w:r>
      <w:r w:rsidR="00BE402B">
        <w:t>S</w:t>
      </w:r>
      <w:r w:rsidR="00BE402B" w:rsidRPr="00762F09">
        <w:t>tate</w:t>
      </w:r>
      <w:r w:rsidRPr="00762F09">
        <w:t xml:space="preserve">, </w:t>
      </w:r>
      <w:r w:rsidR="00DB36CB">
        <w:t xml:space="preserve">and </w:t>
      </w:r>
      <w:r w:rsidRPr="00762F09">
        <w:t>local law enforcement agencies.</w:t>
      </w:r>
    </w:p>
    <w:p w:rsidR="00FA2AAB" w:rsidRPr="00D6075D" w:rsidRDefault="00FA2AAB" w:rsidP="005027FD">
      <w:pPr>
        <w:pStyle w:val="BodyText"/>
        <w:spacing w:before="100" w:beforeAutospacing="1" w:after="100" w:afterAutospacing="1"/>
      </w:pPr>
      <w:r w:rsidRPr="00D6075D">
        <w:t xml:space="preserve">Congress appropriated funds to construct </w:t>
      </w:r>
      <w:r w:rsidR="00647DCF" w:rsidRPr="00D6075D">
        <w:t>the</w:t>
      </w:r>
      <w:r w:rsidRPr="00D6075D">
        <w:t xml:space="preserve"> permanent </w:t>
      </w:r>
      <w:r w:rsidR="00647DCF" w:rsidRPr="00D6075D">
        <w:t xml:space="preserve">NCETR </w:t>
      </w:r>
      <w:r w:rsidRPr="00D6075D">
        <w:t xml:space="preserve">facility </w:t>
      </w:r>
      <w:r w:rsidR="004C237E" w:rsidRPr="00D6075D">
        <w:t xml:space="preserve">consisting of 81,000 square feet of space </w:t>
      </w:r>
      <w:r w:rsidRPr="00D6075D">
        <w:t xml:space="preserve">at Redstone Arsenal in Huntsville, Alabama.  This facility, </w:t>
      </w:r>
      <w:r w:rsidR="005A788E">
        <w:t>completed</w:t>
      </w:r>
      <w:r w:rsidRPr="00D6075D">
        <w:t xml:space="preserve"> in 201</w:t>
      </w:r>
      <w:r w:rsidR="005A788E">
        <w:t>1</w:t>
      </w:r>
      <w:r w:rsidRPr="00D6075D">
        <w:t>, will consist of eight classrooms</w:t>
      </w:r>
      <w:r w:rsidR="00DB36CB">
        <w:t>;</w:t>
      </w:r>
      <w:r w:rsidRPr="00D6075D">
        <w:t xml:space="preserve"> </w:t>
      </w:r>
      <w:r w:rsidR="00B80B5B" w:rsidRPr="00D6075D">
        <w:t xml:space="preserve">three </w:t>
      </w:r>
      <w:r w:rsidRPr="00D6075D">
        <w:t>laboratories</w:t>
      </w:r>
      <w:r w:rsidR="00DB36CB">
        <w:t>;</w:t>
      </w:r>
      <w:r w:rsidRPr="00D6075D">
        <w:t xml:space="preserve"> a conference facility</w:t>
      </w:r>
      <w:r w:rsidR="00DB36CB">
        <w:t>;</w:t>
      </w:r>
      <w:r w:rsidRPr="00D6075D">
        <w:t xml:space="preserve"> and office space for ATF personnel and for partners from the </w:t>
      </w:r>
      <w:r w:rsidR="00BE402B" w:rsidRPr="00D6075D">
        <w:t>Federal</w:t>
      </w:r>
      <w:r w:rsidRPr="00D6075D">
        <w:t xml:space="preserve">, </w:t>
      </w:r>
      <w:r w:rsidR="00BE402B" w:rsidRPr="00D6075D">
        <w:t>State</w:t>
      </w:r>
      <w:r w:rsidRPr="00D6075D">
        <w:t>, local, and international law enforcement and explosives communities.  Th</w:t>
      </w:r>
      <w:r w:rsidR="00B80B5B" w:rsidRPr="00D6075D">
        <w:t>e first of the explosives range sites (consisting of two ranges)</w:t>
      </w:r>
      <w:r w:rsidRPr="00D6075D">
        <w:t xml:space="preserve"> </w:t>
      </w:r>
      <w:r w:rsidR="00735B97" w:rsidRPr="00D6075D">
        <w:t xml:space="preserve">is </w:t>
      </w:r>
      <w:r w:rsidRPr="00D6075D">
        <w:t>available for training/research activity.  The facility provide</w:t>
      </w:r>
      <w:r w:rsidR="00AE5CC2" w:rsidRPr="00D6075D">
        <w:t>s</w:t>
      </w:r>
      <w:r w:rsidRPr="00D6075D">
        <w:t xml:space="preserve"> explosives training for ATF personnel and for law enforcement and other first responders </w:t>
      </w:r>
      <w:r w:rsidR="00BE402B" w:rsidRPr="00D6075D">
        <w:t xml:space="preserve">throughout </w:t>
      </w:r>
      <w:r w:rsidRPr="00D6075D">
        <w:t xml:space="preserve">the explosives community.  </w:t>
      </w:r>
    </w:p>
    <w:p w:rsidR="00FA2AAB" w:rsidRDefault="00FA2AAB" w:rsidP="00C061D2">
      <w:pPr>
        <w:pStyle w:val="xl24"/>
      </w:pPr>
      <w:r w:rsidRPr="00762F09">
        <w:lastRenderedPageBreak/>
        <w:t xml:space="preserve">NCETR will be a center for </w:t>
      </w:r>
      <w:r w:rsidR="00F94F22">
        <w:t xml:space="preserve">managing </w:t>
      </w:r>
      <w:r w:rsidRPr="00762F09">
        <w:t xml:space="preserve">ATF’s explosives training and information sharing programs and initiatives.  The demand for </w:t>
      </w:r>
      <w:r>
        <w:t xml:space="preserve">explosives investigation </w:t>
      </w:r>
      <w:r w:rsidRPr="00762F09">
        <w:t xml:space="preserve">training and other support from ATF explosives experts continues to increase.  </w:t>
      </w:r>
      <w:r>
        <w:t>T</w:t>
      </w:r>
      <w:r w:rsidRPr="00762F09">
        <w:t xml:space="preserve">he Advanced Explosives Destruction Techniques (AEDT) course currently has a backlog of over 900 </w:t>
      </w:r>
      <w:r w:rsidR="00BE402B">
        <w:t>S</w:t>
      </w:r>
      <w:r w:rsidR="00BE402B" w:rsidRPr="00762F09">
        <w:t xml:space="preserve">tate </w:t>
      </w:r>
      <w:r w:rsidRPr="00762F09">
        <w:t>and local law enforcement personnel seeking this training.</w:t>
      </w:r>
      <w:r>
        <w:t xml:space="preserve">  </w:t>
      </w:r>
    </w:p>
    <w:p w:rsidR="00BE402B" w:rsidRPr="001C0FEC" w:rsidRDefault="00BE402B" w:rsidP="00BE402B">
      <w:pPr>
        <w:numPr>
          <w:ilvl w:val="0"/>
          <w:numId w:val="7"/>
        </w:numPr>
        <w:pBdr>
          <w:top w:val="double" w:sz="6" w:space="1" w:color="auto"/>
          <w:left w:val="double" w:sz="6" w:space="4" w:color="auto"/>
          <w:bottom w:val="double" w:sz="6" w:space="1" w:color="auto"/>
          <w:right w:val="double" w:sz="6" w:space="4" w:color="auto"/>
        </w:pBdr>
        <w:tabs>
          <w:tab w:val="num" w:pos="720"/>
        </w:tabs>
        <w:ind w:left="720" w:hanging="405"/>
      </w:pPr>
      <w:r w:rsidRPr="001C0FEC">
        <w:t xml:space="preserve">ATF </w:t>
      </w:r>
      <w:r w:rsidR="0009194F">
        <w:t>played</w:t>
      </w:r>
      <w:r w:rsidRPr="001C0FEC">
        <w:t xml:space="preserve"> a lead role in developing an explosives range for use by the students attending the International Law Enforcement Academy in Gaborone, Botswana.  This enable</w:t>
      </w:r>
      <w:r w:rsidR="0009194F">
        <w:t>d</w:t>
      </w:r>
      <w:r w:rsidRPr="001C0FEC">
        <w:t xml:space="preserve"> ATF to provide essential explosives training prior to the 2010 World Cup in South Africa</w:t>
      </w:r>
      <w:r>
        <w:t>.</w:t>
      </w:r>
    </w:p>
    <w:p w:rsidR="00FA2AAB" w:rsidRPr="00762F09" w:rsidRDefault="00FA2AAB" w:rsidP="005027FD">
      <w:pPr>
        <w:pStyle w:val="BodyText"/>
        <w:spacing w:before="100" w:beforeAutospacing="1" w:after="100" w:afterAutospacing="1"/>
        <w:rPr>
          <w:color w:val="000000"/>
        </w:rPr>
      </w:pPr>
      <w:r w:rsidRPr="00762F09">
        <w:rPr>
          <w:color w:val="000000"/>
        </w:rPr>
        <w:t>NCETR will have onsite access to the data and information-sharing resources of the USBDC.  Integrating ATF’s explosives training, research, and information-sharing functions at NCETR improve</w:t>
      </w:r>
      <w:r w:rsidR="00BE402B">
        <w:rPr>
          <w:color w:val="000000"/>
        </w:rPr>
        <w:t>s</w:t>
      </w:r>
      <w:r w:rsidRPr="00762F09">
        <w:rPr>
          <w:color w:val="000000"/>
        </w:rPr>
        <w:t xml:space="preserve"> efficiencies within ATF and enhance</w:t>
      </w:r>
      <w:r w:rsidR="00BE402B">
        <w:rPr>
          <w:color w:val="000000"/>
        </w:rPr>
        <w:t>s</w:t>
      </w:r>
      <w:r w:rsidRPr="00762F09">
        <w:rPr>
          <w:color w:val="000000"/>
        </w:rPr>
        <w:t xml:space="preserve"> its efforts in each explosives discipline.  The new facility will improve cooperation and information sharing across agency boundaries.</w:t>
      </w:r>
    </w:p>
    <w:p w:rsidR="00FA2AAB" w:rsidRPr="00762F09" w:rsidRDefault="00FA2AAB" w:rsidP="005027FD">
      <w:pPr>
        <w:pStyle w:val="Heading2"/>
        <w:keepNext w:val="0"/>
        <w:spacing w:before="100" w:beforeAutospacing="1" w:after="100" w:afterAutospacing="1"/>
        <w:rPr>
          <w:rFonts w:ascii="Times New Roman" w:hAnsi="Times New Roman" w:cs="Times New Roman"/>
          <w:sz w:val="24"/>
          <w:szCs w:val="24"/>
        </w:rPr>
      </w:pPr>
      <w:bookmarkStart w:id="45" w:name="_Toc216167695"/>
      <w:bookmarkStart w:id="46" w:name="_Toc215989167"/>
      <w:bookmarkStart w:id="47" w:name="_Toc216172465"/>
      <w:bookmarkStart w:id="48" w:name="_Toc216248492"/>
      <w:bookmarkStart w:id="49" w:name="_Toc224026884"/>
      <w:bookmarkEnd w:id="45"/>
      <w:r w:rsidRPr="00762F09">
        <w:rPr>
          <w:rFonts w:ascii="Times New Roman" w:hAnsi="Times New Roman" w:cs="Times New Roman"/>
          <w:sz w:val="24"/>
          <w:szCs w:val="24"/>
        </w:rPr>
        <w:t>Arson and Explosives Detection Canine Training</w:t>
      </w:r>
      <w:bookmarkEnd w:id="46"/>
      <w:bookmarkEnd w:id="47"/>
      <w:bookmarkEnd w:id="48"/>
      <w:bookmarkEnd w:id="49"/>
    </w:p>
    <w:p w:rsidR="00FA2AAB" w:rsidRDefault="00FA2AAB" w:rsidP="005027FD">
      <w:pPr>
        <w:pStyle w:val="BodyText"/>
        <w:spacing w:before="100" w:beforeAutospacing="1" w:after="100" w:afterAutospacing="1"/>
        <w:rPr>
          <w:color w:val="000000"/>
        </w:rPr>
      </w:pPr>
      <w:r w:rsidRPr="00762F09">
        <w:t xml:space="preserve">ATF’s world-recognized canine training program produces extremely reliable, mobile, and accurate explosives and accelerant detection canines that assist law enforcement and fire investigators worldwide.  The Accelerant Detection Canine Program places accelerant detection canines with State and local agencies to support their arson investigation activities.  The Explosives Detection Canine Program (EDCP) </w:t>
      </w:r>
      <w:r>
        <w:t xml:space="preserve">incorporates research and development of ATF’s Laboratory </w:t>
      </w:r>
      <w:r w:rsidR="00AE375D">
        <w:t xml:space="preserve">Services </w:t>
      </w:r>
      <w:r>
        <w:t xml:space="preserve">and </w:t>
      </w:r>
      <w:r w:rsidRPr="00762F09">
        <w:t>trains explosives detection canines for use overseas and domestically in the war against terrorism.  ATF works with agencies that have received ATF-certified explosives detection and accelerant detection canines and supports those who are without canine services in their communities.</w:t>
      </w:r>
      <w:r>
        <w:t xml:space="preserve">  </w:t>
      </w:r>
      <w:r w:rsidRPr="00762F09">
        <w:rPr>
          <w:color w:val="000000"/>
        </w:rPr>
        <w:t>Congress has recognized the odor recognition proficiency standard used by ATF as a benchmark for effective canine explosives detection.</w:t>
      </w:r>
    </w:p>
    <w:p w:rsidR="009854F1" w:rsidRDefault="009854F1" w:rsidP="009854F1">
      <w:pPr>
        <w:numPr>
          <w:ilvl w:val="0"/>
          <w:numId w:val="7"/>
        </w:numPr>
        <w:pBdr>
          <w:top w:val="double" w:sz="6" w:space="1" w:color="auto"/>
          <w:left w:val="double" w:sz="6" w:space="4" w:color="auto"/>
          <w:bottom w:val="double" w:sz="6" w:space="1" w:color="auto"/>
          <w:right w:val="double" w:sz="6" w:space="4" w:color="auto"/>
        </w:pBdr>
        <w:tabs>
          <w:tab w:val="num" w:pos="720"/>
        </w:tabs>
        <w:ind w:left="720" w:hanging="405"/>
      </w:pPr>
      <w:r w:rsidRPr="001C0FEC">
        <w:t xml:space="preserve">ATF has trained </w:t>
      </w:r>
      <w:r w:rsidR="002A5160">
        <w:t>approximately 400</w:t>
      </w:r>
      <w:r w:rsidR="002A5160" w:rsidRPr="001C0FEC">
        <w:t xml:space="preserve"> </w:t>
      </w:r>
      <w:r w:rsidRPr="001C0FEC">
        <w:t>explosive detection canines for foreign partners</w:t>
      </w:r>
      <w:r>
        <w:t>.</w:t>
      </w:r>
    </w:p>
    <w:p w:rsidR="009854F1" w:rsidRDefault="009854F1" w:rsidP="009854F1">
      <w:pPr>
        <w:numPr>
          <w:ilvl w:val="0"/>
          <w:numId w:val="7"/>
        </w:numPr>
        <w:pBdr>
          <w:top w:val="double" w:sz="6" w:space="1" w:color="auto"/>
          <w:left w:val="double" w:sz="6" w:space="4" w:color="auto"/>
          <w:bottom w:val="double" w:sz="6" w:space="1" w:color="auto"/>
          <w:right w:val="double" w:sz="6" w:space="4" w:color="auto"/>
        </w:pBdr>
        <w:tabs>
          <w:tab w:val="num" w:pos="720"/>
        </w:tabs>
        <w:ind w:left="720" w:hanging="405"/>
      </w:pPr>
      <w:r w:rsidRPr="001C0FEC">
        <w:t>ATF is working with the Department of Defense to train more than 300 military working canines to detect odors associated with “homemade explosives.”  This effort is of critical importance to combating the IED t</w:t>
      </w:r>
      <w:r>
        <w:t>hreat in Iraq and Afghanistan.</w:t>
      </w:r>
    </w:p>
    <w:p w:rsidR="009854F1" w:rsidRPr="001C0FEC" w:rsidRDefault="009854F1" w:rsidP="009854F1">
      <w:pPr>
        <w:numPr>
          <w:ilvl w:val="0"/>
          <w:numId w:val="7"/>
        </w:numPr>
        <w:pBdr>
          <w:top w:val="double" w:sz="6" w:space="1" w:color="auto"/>
          <w:left w:val="double" w:sz="6" w:space="4" w:color="auto"/>
          <w:bottom w:val="double" w:sz="6" w:space="1" w:color="auto"/>
          <w:right w:val="double" w:sz="6" w:space="4" w:color="auto"/>
        </w:pBdr>
        <w:tabs>
          <w:tab w:val="num" w:pos="720"/>
        </w:tabs>
        <w:ind w:left="720" w:hanging="405"/>
      </w:pPr>
      <w:r w:rsidRPr="001C0FEC">
        <w:t>ATF has trained/tested 691 canine teams in the National Odor Recognition Test nationwide.</w:t>
      </w:r>
    </w:p>
    <w:p w:rsidR="00FA2AAB" w:rsidRDefault="00FA2AAB" w:rsidP="006B523F">
      <w:pPr>
        <w:pStyle w:val="BodyText"/>
        <w:spacing w:before="100" w:beforeAutospacing="1" w:after="100" w:afterAutospacing="1"/>
        <w:rPr>
          <w:color w:val="000000"/>
        </w:rPr>
      </w:pPr>
      <w:r w:rsidRPr="00762F09">
        <w:rPr>
          <w:color w:val="000000"/>
        </w:rPr>
        <w:t xml:space="preserve">There are </w:t>
      </w:r>
      <w:r w:rsidR="002A5160" w:rsidRPr="00762F09">
        <w:rPr>
          <w:color w:val="000000"/>
        </w:rPr>
        <w:t>3</w:t>
      </w:r>
      <w:r w:rsidR="002A5160">
        <w:rPr>
          <w:color w:val="000000"/>
        </w:rPr>
        <w:t>5</w:t>
      </w:r>
      <w:r w:rsidR="002A5160" w:rsidRPr="00762F09">
        <w:rPr>
          <w:color w:val="000000"/>
        </w:rPr>
        <w:t xml:space="preserve"> </w:t>
      </w:r>
      <w:r w:rsidRPr="00762F09">
        <w:rPr>
          <w:color w:val="000000"/>
        </w:rPr>
        <w:t xml:space="preserve">ATF-trained explosives detection canine teams with ATF special agent canine handlers.  In addition, there are currently </w:t>
      </w:r>
      <w:r w:rsidR="002A5160" w:rsidRPr="00762F09">
        <w:rPr>
          <w:color w:val="000000"/>
        </w:rPr>
        <w:t>11</w:t>
      </w:r>
      <w:r w:rsidR="002A5160">
        <w:rPr>
          <w:color w:val="000000"/>
        </w:rPr>
        <w:t>5</w:t>
      </w:r>
      <w:r w:rsidR="002A5160" w:rsidRPr="00762F09">
        <w:rPr>
          <w:color w:val="000000"/>
        </w:rPr>
        <w:t xml:space="preserve"> </w:t>
      </w:r>
      <w:r w:rsidRPr="00762F09">
        <w:rPr>
          <w:color w:val="000000"/>
        </w:rPr>
        <w:t xml:space="preserve">ATF-trained explosives detection canine teams deployed throughout the </w:t>
      </w:r>
      <w:r>
        <w:rPr>
          <w:color w:val="000000"/>
        </w:rPr>
        <w:t>U.S.</w:t>
      </w:r>
      <w:r w:rsidRPr="00762F09">
        <w:rPr>
          <w:color w:val="000000"/>
        </w:rPr>
        <w:t xml:space="preserve"> with other </w:t>
      </w:r>
      <w:r w:rsidR="009854F1">
        <w:rPr>
          <w:color w:val="000000"/>
        </w:rPr>
        <w:t>F</w:t>
      </w:r>
      <w:r w:rsidR="009854F1" w:rsidRPr="00762F09">
        <w:rPr>
          <w:color w:val="000000"/>
        </w:rPr>
        <w:t>ederal</w:t>
      </w:r>
      <w:r w:rsidRPr="00762F09">
        <w:rPr>
          <w:color w:val="000000"/>
        </w:rPr>
        <w:t xml:space="preserve">, </w:t>
      </w:r>
      <w:r w:rsidR="009854F1">
        <w:rPr>
          <w:color w:val="000000"/>
        </w:rPr>
        <w:t>S</w:t>
      </w:r>
      <w:r w:rsidR="009854F1" w:rsidRPr="00762F09">
        <w:rPr>
          <w:color w:val="000000"/>
        </w:rPr>
        <w:t xml:space="preserve">tate </w:t>
      </w:r>
      <w:r w:rsidRPr="00762F09">
        <w:rPr>
          <w:color w:val="000000"/>
        </w:rPr>
        <w:t xml:space="preserve">and local agencies, as well as in 21 foreign countries.  In addition, there are </w:t>
      </w:r>
      <w:r w:rsidR="002A5160" w:rsidRPr="00762F09">
        <w:rPr>
          <w:color w:val="000000"/>
        </w:rPr>
        <w:t>7</w:t>
      </w:r>
      <w:r w:rsidR="002A5160">
        <w:rPr>
          <w:color w:val="000000"/>
        </w:rPr>
        <w:t>2</w:t>
      </w:r>
      <w:r w:rsidR="002A5160" w:rsidRPr="00762F09">
        <w:rPr>
          <w:color w:val="000000"/>
        </w:rPr>
        <w:t xml:space="preserve"> </w:t>
      </w:r>
      <w:r w:rsidRPr="00762F09">
        <w:rPr>
          <w:color w:val="000000"/>
        </w:rPr>
        <w:t xml:space="preserve">ATF-trained accelerant detection canine teams currently active in the </w:t>
      </w:r>
      <w:r>
        <w:rPr>
          <w:color w:val="000000"/>
        </w:rPr>
        <w:t>U.S.</w:t>
      </w:r>
      <w:r w:rsidRPr="00762F09">
        <w:rPr>
          <w:color w:val="000000"/>
        </w:rPr>
        <w:t xml:space="preserve"> and one in Canada.  Since 1991, ATF has trained </w:t>
      </w:r>
      <w:r w:rsidR="002A5160">
        <w:rPr>
          <w:color w:val="000000"/>
        </w:rPr>
        <w:t>909</w:t>
      </w:r>
      <w:r w:rsidR="002A5160" w:rsidRPr="00762F09">
        <w:rPr>
          <w:color w:val="000000"/>
        </w:rPr>
        <w:t xml:space="preserve"> </w:t>
      </w:r>
      <w:r w:rsidRPr="00762F09">
        <w:rPr>
          <w:color w:val="000000"/>
        </w:rPr>
        <w:t>explosives detection canines and 127 accelerant detection canines.</w:t>
      </w:r>
      <w:r>
        <w:rPr>
          <w:color w:val="000000"/>
        </w:rPr>
        <w:t xml:space="preserve">  </w:t>
      </w:r>
      <w:r w:rsidRPr="00762F09">
        <w:rPr>
          <w:color w:val="000000"/>
        </w:rPr>
        <w:t xml:space="preserve">ATF is also at the forefront of combating terrorism through such innovative programs as training other </w:t>
      </w:r>
      <w:r w:rsidR="009854F1">
        <w:rPr>
          <w:color w:val="000000"/>
        </w:rPr>
        <w:t>Fe</w:t>
      </w:r>
      <w:r w:rsidR="009854F1" w:rsidRPr="00762F09">
        <w:rPr>
          <w:color w:val="000000"/>
        </w:rPr>
        <w:t>deral</w:t>
      </w:r>
      <w:r w:rsidRPr="00762F09">
        <w:rPr>
          <w:color w:val="000000"/>
        </w:rPr>
        <w:t xml:space="preserve">, </w:t>
      </w:r>
      <w:r w:rsidR="009854F1">
        <w:rPr>
          <w:color w:val="000000"/>
        </w:rPr>
        <w:t>S</w:t>
      </w:r>
      <w:r w:rsidR="009854F1" w:rsidRPr="00762F09">
        <w:rPr>
          <w:color w:val="000000"/>
        </w:rPr>
        <w:t>tate</w:t>
      </w:r>
      <w:r w:rsidRPr="00762F09">
        <w:rPr>
          <w:color w:val="000000"/>
        </w:rPr>
        <w:t>, local</w:t>
      </w:r>
      <w:r w:rsidR="009854F1">
        <w:rPr>
          <w:color w:val="000000"/>
        </w:rPr>
        <w:t>,</w:t>
      </w:r>
      <w:r w:rsidRPr="00762F09">
        <w:rPr>
          <w:color w:val="000000"/>
        </w:rPr>
        <w:t xml:space="preserve"> and international law enforcement explosives detection canines in peroxide explosives</w:t>
      </w:r>
      <w:r>
        <w:rPr>
          <w:color w:val="000000"/>
        </w:rPr>
        <w:t>.</w:t>
      </w:r>
    </w:p>
    <w:p w:rsidR="00FA2AAB" w:rsidRPr="00762F09" w:rsidRDefault="00FA2AAB" w:rsidP="005027FD">
      <w:pPr>
        <w:spacing w:before="100" w:beforeAutospacing="1" w:after="100" w:afterAutospacing="1"/>
        <w:outlineLvl w:val="0"/>
        <w:rPr>
          <w:b/>
          <w:i/>
        </w:rPr>
      </w:pPr>
      <w:bookmarkStart w:id="50" w:name="_Toc224026885"/>
      <w:r w:rsidRPr="00762F09">
        <w:rPr>
          <w:b/>
          <w:i/>
        </w:rPr>
        <w:lastRenderedPageBreak/>
        <w:t>Arson and Explosives Enforcement Programs</w:t>
      </w:r>
      <w:bookmarkEnd w:id="50"/>
    </w:p>
    <w:p w:rsidR="00FA2AAB" w:rsidRPr="00762F09" w:rsidRDefault="00FA2AAB" w:rsidP="005027FD">
      <w:pPr>
        <w:spacing w:before="100" w:beforeAutospacing="1" w:after="100" w:afterAutospacing="1"/>
      </w:pPr>
      <w:r w:rsidRPr="00762F09">
        <w:t>ATF specialists are trained in investigating post-blast scenes in response to criminal and terrorist explosives incidents.  These</w:t>
      </w:r>
      <w:r w:rsidRPr="00762F09">
        <w:rPr>
          <w:b/>
          <w:color w:val="FF6600"/>
        </w:rPr>
        <w:t xml:space="preserve"> </w:t>
      </w:r>
      <w:r>
        <w:t>agents</w:t>
      </w:r>
      <w:r w:rsidRPr="00762F09">
        <w:t xml:space="preserve"> investigate bombings, explosions, and potential acts of arson motivated by profit, ideology or other criminal intent.  The agents train </w:t>
      </w:r>
      <w:r w:rsidR="003019AD">
        <w:t>f</w:t>
      </w:r>
      <w:r w:rsidR="003019AD" w:rsidRPr="00762F09">
        <w:t>ederal</w:t>
      </w:r>
      <w:r w:rsidRPr="00762F09">
        <w:t xml:space="preserve">, </w:t>
      </w:r>
      <w:r w:rsidR="003019AD">
        <w:t>s</w:t>
      </w:r>
      <w:r w:rsidR="003019AD" w:rsidRPr="00762F09">
        <w:t>tate</w:t>
      </w:r>
      <w:r w:rsidRPr="00762F09">
        <w:t>, local, and international law enforcement agencies on how to investigate and</w:t>
      </w:r>
      <w:r w:rsidRPr="00762F09">
        <w:rPr>
          <w:b/>
        </w:rPr>
        <w:t xml:space="preserve"> </w:t>
      </w:r>
      <w:r w:rsidRPr="00762F09">
        <w:t xml:space="preserve">solve such crimes.  ATF is recognized for its expertise in fire and explosives investigations, in conducting research to help investigators reconstruct fire and explosives incidents, and in conducting financial </w:t>
      </w:r>
      <w:r w:rsidR="00735B97">
        <w:t>investigations</w:t>
      </w:r>
      <w:r w:rsidR="00735B97" w:rsidRPr="00762F09">
        <w:t xml:space="preserve"> </w:t>
      </w:r>
      <w:r w:rsidRPr="00762F09">
        <w:t xml:space="preserve">to identify illegal arson for profit schemes.  ATF also investigates incidents of explosives stolen from licensees, a particular concern considering the threats of terrorism against </w:t>
      </w:r>
      <w:smartTag w:uri="urn:schemas-microsoft-com:office:smarttags" w:element="place">
        <w:smartTag w:uri="urn:schemas-microsoft-com:office:smarttags" w:element="country-region">
          <w:r w:rsidRPr="00762F09">
            <w:t>U.S.</w:t>
          </w:r>
        </w:smartTag>
      </w:smartTag>
      <w:r w:rsidRPr="00762F09">
        <w:t xml:space="preserve"> citizens.</w:t>
      </w:r>
    </w:p>
    <w:p w:rsidR="00FA2AAB" w:rsidRPr="00762F09" w:rsidRDefault="00FA2AAB" w:rsidP="005027FD">
      <w:pPr>
        <w:spacing w:before="100" w:beforeAutospacing="1" w:after="100" w:afterAutospacing="1"/>
        <w:rPr>
          <w:b/>
          <w:i/>
        </w:rPr>
      </w:pPr>
      <w:r w:rsidRPr="00762F09">
        <w:rPr>
          <w:b/>
          <w:i/>
        </w:rPr>
        <w:t>Certified Fire Investigators (CFI)</w:t>
      </w:r>
    </w:p>
    <w:p w:rsidR="00FA2AAB" w:rsidRDefault="00FA2AAB" w:rsidP="005027FD">
      <w:pPr>
        <w:spacing w:before="100" w:beforeAutospacing="1" w:after="100" w:afterAutospacing="1"/>
      </w:pPr>
      <w:r w:rsidRPr="00762F09">
        <w:t xml:space="preserve">ATF’s CFIs are </w:t>
      </w:r>
      <w:r>
        <w:t>agents</w:t>
      </w:r>
      <w:r w:rsidRPr="00762F09">
        <w:t xml:space="preserve"> who have completed an extensive two-year training program in advanced fire scene examination with an emphasis on the modern principles of fire dynamics.  They conduct fire scene examinations and render origin and cause determinations on behalf of ATF, provide expert testimony on fire scene determinations, and provide technical support and analysis to assist other </w:t>
      </w:r>
      <w:r>
        <w:t>agents</w:t>
      </w:r>
      <w:r w:rsidRPr="00762F09">
        <w:t xml:space="preserve"> and prosecutors with court preparation, presentation of evidence, and technical interpretation of fire-related information.  The agents lend technical guidance in support of field arson investigative activities</w:t>
      </w:r>
      <w:r w:rsidR="00F94F22">
        <w:t>;</w:t>
      </w:r>
      <w:r w:rsidRPr="00762F09">
        <w:t xml:space="preserve"> conduct arson-related training for ATF </w:t>
      </w:r>
      <w:r>
        <w:t>agents</w:t>
      </w:r>
      <w:r w:rsidRPr="00762F09">
        <w:t xml:space="preserve"> and other </w:t>
      </w:r>
      <w:r w:rsidR="00647DCF">
        <w:t>F</w:t>
      </w:r>
      <w:r w:rsidR="003019AD" w:rsidRPr="00762F09">
        <w:t>ederal</w:t>
      </w:r>
      <w:r w:rsidRPr="00762F09">
        <w:t xml:space="preserve">, </w:t>
      </w:r>
      <w:r w:rsidR="00647DCF">
        <w:t>S</w:t>
      </w:r>
      <w:r w:rsidR="003019AD" w:rsidRPr="00762F09">
        <w:t>tate</w:t>
      </w:r>
      <w:r w:rsidRPr="00762F09">
        <w:t>, and local fire investigators</w:t>
      </w:r>
      <w:r w:rsidR="00F94F22">
        <w:t>;</w:t>
      </w:r>
      <w:r w:rsidRPr="00762F09">
        <w:t xml:space="preserve"> and conduct research to identify trends and patterns in fire incidents.  The CFIs are supported in their investigations by the ATF Fire Research Laboratory, which has the unique capability to re-create fire scenarios, both large and small, in its fire testing facility.</w:t>
      </w:r>
    </w:p>
    <w:p w:rsidR="00FA2AAB" w:rsidRPr="00762F09" w:rsidRDefault="00FA2AAB" w:rsidP="005027FD">
      <w:pPr>
        <w:spacing w:before="100" w:beforeAutospacing="1" w:after="100" w:afterAutospacing="1"/>
        <w:rPr>
          <w:b/>
          <w:i/>
        </w:rPr>
      </w:pPr>
      <w:r w:rsidRPr="00762F09">
        <w:rPr>
          <w:b/>
          <w:i/>
        </w:rPr>
        <w:t>Certified Explosives Specialists (CES)</w:t>
      </w:r>
    </w:p>
    <w:p w:rsidR="00FA2AAB" w:rsidRDefault="00FA2AAB" w:rsidP="005027FD">
      <w:pPr>
        <w:spacing w:before="100" w:beforeAutospacing="1" w:after="100" w:afterAutospacing="1"/>
      </w:pPr>
      <w:r w:rsidRPr="00762F09">
        <w:t xml:space="preserve">ATF’s CESs </w:t>
      </w:r>
      <w:r w:rsidR="0058649F">
        <w:t>conduct</w:t>
      </w:r>
      <w:r w:rsidRPr="00762F09">
        <w:t xml:space="preserve"> expert explosives crime scene examinations</w:t>
      </w:r>
      <w:r w:rsidR="00F94F22">
        <w:t>;</w:t>
      </w:r>
      <w:r w:rsidRPr="00762F09">
        <w:t xml:space="preserve"> lend expertise in support of security measures at special events</w:t>
      </w:r>
      <w:r w:rsidR="00F94F22">
        <w:t>;</w:t>
      </w:r>
      <w:r w:rsidRPr="00762F09">
        <w:t xml:space="preserve"> and assist ATF’s law enforcement counterparts at the </w:t>
      </w:r>
      <w:r w:rsidR="0058649F">
        <w:t>F</w:t>
      </w:r>
      <w:r w:rsidR="0058649F" w:rsidRPr="00762F09">
        <w:t>ederal</w:t>
      </w:r>
      <w:r w:rsidRPr="00762F09">
        <w:t xml:space="preserve">, </w:t>
      </w:r>
      <w:r w:rsidR="0058649F">
        <w:t>S</w:t>
      </w:r>
      <w:r w:rsidR="0058649F" w:rsidRPr="00762F09">
        <w:t>tate</w:t>
      </w:r>
      <w:r w:rsidRPr="00762F09">
        <w:t xml:space="preserve">, local, and international levels in </w:t>
      </w:r>
      <w:r w:rsidR="0058649F" w:rsidRPr="00762F09">
        <w:t>investigat</w:t>
      </w:r>
      <w:r w:rsidR="0058649F">
        <w:t>ions of</w:t>
      </w:r>
      <w:r w:rsidR="0058649F" w:rsidRPr="00762F09">
        <w:t xml:space="preserve"> </w:t>
      </w:r>
      <w:r w:rsidRPr="00762F09">
        <w:t>explosives-related incidents.  ATF’s CESs acquired expertise in post-blast analysis through years of experience in the field.  Their training consists of a multiphase program</w:t>
      </w:r>
      <w:r w:rsidR="00F94F22">
        <w:t xml:space="preserve"> that</w:t>
      </w:r>
      <w:r w:rsidR="009077D6" w:rsidRPr="00081B48">
        <w:t xml:space="preserve"> </w:t>
      </w:r>
      <w:r w:rsidR="00F94F22">
        <w:t xml:space="preserve">includes </w:t>
      </w:r>
      <w:r w:rsidR="009077D6" w:rsidRPr="00081B48">
        <w:t>a two-year candidacy,</w:t>
      </w:r>
      <w:r w:rsidRPr="00762F09">
        <w:t xml:space="preserve"> </w:t>
      </w:r>
      <w:r w:rsidR="00F94F22">
        <w:t xml:space="preserve">ensuring </w:t>
      </w:r>
      <w:r w:rsidRPr="00762F09">
        <w:t>their continued proficiency in all aspects of explosives handling, instruction, identification, demonstration, and destruction, as well as training in the chemistry of pyrotechnics, hazardous materials incident response operations, advanced explosives destruction techniques, and advanced IEDs.</w:t>
      </w:r>
    </w:p>
    <w:p w:rsidR="00FA2AAB" w:rsidRPr="00762F09" w:rsidRDefault="00FA2AAB" w:rsidP="005027FD">
      <w:pPr>
        <w:spacing w:before="100" w:beforeAutospacing="1" w:after="100" w:afterAutospacing="1"/>
        <w:rPr>
          <w:b/>
          <w:i/>
        </w:rPr>
      </w:pPr>
      <w:r w:rsidRPr="00762F09">
        <w:rPr>
          <w:b/>
          <w:i/>
        </w:rPr>
        <w:t>Explosives Enforcement Officers (EEO)</w:t>
      </w:r>
    </w:p>
    <w:p w:rsidR="00FA2AAB" w:rsidRPr="0012290C" w:rsidRDefault="00FA2AAB" w:rsidP="005027FD">
      <w:pPr>
        <w:spacing w:before="100" w:beforeAutospacing="1" w:after="100" w:afterAutospacing="1"/>
      </w:pPr>
      <w:r w:rsidRPr="0012290C">
        <w:t>EEOs are ATF’s explosives technology experts</w:t>
      </w:r>
      <w:r w:rsidR="00330F2C">
        <w:t>.</w:t>
      </w:r>
      <w:r w:rsidR="00634B09" w:rsidRPr="0012290C">
        <w:t xml:space="preserve"> </w:t>
      </w:r>
      <w:r w:rsidR="00330F2C">
        <w:t>T</w:t>
      </w:r>
      <w:r w:rsidR="003223F4" w:rsidRPr="0012290C">
        <w:t xml:space="preserve">hey have extensive knowledge of explosives and </w:t>
      </w:r>
      <w:r w:rsidRPr="0012290C">
        <w:t xml:space="preserve">experience in explosives and bomb disposal.  They render explosive devices safe and/or disassemble explosive and incendiary devices, </w:t>
      </w:r>
      <w:r w:rsidRPr="0012290C">
        <w:rPr>
          <w:u w:color="FF0000"/>
        </w:rPr>
        <w:t>prepare destructive device determinations</w:t>
      </w:r>
      <w:r w:rsidR="00634B09" w:rsidRPr="0012290C">
        <w:rPr>
          <w:u w:color="FF0000"/>
        </w:rPr>
        <w:t>,</w:t>
      </w:r>
      <w:r w:rsidRPr="0012290C">
        <w:t xml:space="preserve"> and give expert testimony in support of such determinations in </w:t>
      </w:r>
      <w:r w:rsidR="00634B09" w:rsidRPr="0012290C">
        <w:t xml:space="preserve">Federal </w:t>
      </w:r>
      <w:r w:rsidRPr="0012290C">
        <w:t xml:space="preserve">and </w:t>
      </w:r>
      <w:r w:rsidR="00634B09" w:rsidRPr="0012290C">
        <w:t xml:space="preserve">State </w:t>
      </w:r>
      <w:r w:rsidRPr="0012290C">
        <w:t xml:space="preserve">criminal court proceedings.  EEOs provide expert analysis and onsite investigative technical assistance at bomb scenes and where explosions of an undetermined nature have occurred.  Determining what constitutes an explosive, incendiary, or destructive device under </w:t>
      </w:r>
      <w:r w:rsidR="00634B09" w:rsidRPr="0012290C">
        <w:t xml:space="preserve">Federal </w:t>
      </w:r>
      <w:r w:rsidRPr="0012290C">
        <w:t xml:space="preserve">explosives laws and the </w:t>
      </w:r>
      <w:r w:rsidR="00634B09" w:rsidRPr="0012290C">
        <w:lastRenderedPageBreak/>
        <w:t>NFA</w:t>
      </w:r>
      <w:r w:rsidRPr="0012290C">
        <w:t xml:space="preserve"> involves highly technical examinations and analysis.  EEOs also provide assistance and training in all aspects of explosives handling, usage, and destruction; threat vulnerability assessments; and all other explosives-related matters for ATF, </w:t>
      </w:r>
      <w:r w:rsidR="00634B09" w:rsidRPr="0012290C">
        <w:t>Federal</w:t>
      </w:r>
      <w:r w:rsidRPr="0012290C">
        <w:t xml:space="preserve">, </w:t>
      </w:r>
      <w:r w:rsidR="00634B09" w:rsidRPr="0012290C">
        <w:t>State</w:t>
      </w:r>
      <w:r w:rsidRPr="0012290C">
        <w:t>, local and international law enforcement agencies.</w:t>
      </w:r>
    </w:p>
    <w:p w:rsidR="00FA2AAB" w:rsidRPr="00762F09" w:rsidRDefault="00FA2AAB" w:rsidP="005027FD">
      <w:pPr>
        <w:pStyle w:val="BodyText"/>
        <w:keepNext/>
        <w:spacing w:before="100" w:beforeAutospacing="1" w:after="100" w:afterAutospacing="1"/>
        <w:rPr>
          <w:b/>
          <w:i/>
          <w:szCs w:val="24"/>
        </w:rPr>
      </w:pPr>
      <w:r w:rsidRPr="00762F09">
        <w:rPr>
          <w:b/>
          <w:i/>
          <w:szCs w:val="24"/>
        </w:rPr>
        <w:t>ATF Laboratories</w:t>
      </w:r>
    </w:p>
    <w:p w:rsidR="00FA2AAB" w:rsidRPr="00762F09" w:rsidRDefault="00FA2AAB" w:rsidP="005027FD">
      <w:pPr>
        <w:pStyle w:val="BodyText"/>
        <w:spacing w:before="100" w:beforeAutospacing="1" w:after="100" w:afterAutospacing="1"/>
        <w:rPr>
          <w:szCs w:val="24"/>
        </w:rPr>
      </w:pPr>
      <w:r w:rsidRPr="00762F09">
        <w:rPr>
          <w:szCs w:val="24"/>
        </w:rPr>
        <w:t xml:space="preserve">ATF’s Laboratory Services </w:t>
      </w:r>
      <w:r w:rsidR="00F94F22">
        <w:rPr>
          <w:szCs w:val="24"/>
        </w:rPr>
        <w:t xml:space="preserve">include </w:t>
      </w:r>
      <w:r w:rsidRPr="00762F09">
        <w:rPr>
          <w:szCs w:val="24"/>
        </w:rPr>
        <w:t xml:space="preserve">analytical examination of evidence and </w:t>
      </w:r>
      <w:r w:rsidR="00AE375D">
        <w:rPr>
          <w:szCs w:val="24"/>
        </w:rPr>
        <w:t>scientific validation for many ATF programs</w:t>
      </w:r>
      <w:r w:rsidRPr="00762F09">
        <w:rPr>
          <w:szCs w:val="24"/>
        </w:rPr>
        <w:t xml:space="preserve">.  Our examiners support the NRT, </w:t>
      </w:r>
      <w:r w:rsidR="00634B09">
        <w:rPr>
          <w:szCs w:val="24"/>
        </w:rPr>
        <w:t>facilitate</w:t>
      </w:r>
      <w:r w:rsidRPr="00762F09">
        <w:rPr>
          <w:szCs w:val="24"/>
        </w:rPr>
        <w:t xml:space="preserve"> training exercises in all mission related functions, and provide expert witness testimony.  </w:t>
      </w:r>
      <w:r w:rsidR="00634B09">
        <w:rPr>
          <w:szCs w:val="24"/>
        </w:rPr>
        <w:t xml:space="preserve">ATF’s </w:t>
      </w:r>
      <w:r w:rsidRPr="00762F09">
        <w:rPr>
          <w:szCs w:val="24"/>
        </w:rPr>
        <w:t xml:space="preserve">Laboratory Services </w:t>
      </w:r>
      <w:r w:rsidR="00634B09">
        <w:rPr>
          <w:szCs w:val="24"/>
        </w:rPr>
        <w:t xml:space="preserve">personnel collectively </w:t>
      </w:r>
      <w:r w:rsidRPr="00762F09">
        <w:rPr>
          <w:szCs w:val="24"/>
        </w:rPr>
        <w:t xml:space="preserve">average over 1,000 days out of the laboratory providing </w:t>
      </w:r>
      <w:r w:rsidR="00634B09" w:rsidRPr="00762F09">
        <w:rPr>
          <w:szCs w:val="24"/>
        </w:rPr>
        <w:t>th</w:t>
      </w:r>
      <w:r w:rsidR="00634B09">
        <w:rPr>
          <w:szCs w:val="24"/>
        </w:rPr>
        <w:t>ese</w:t>
      </w:r>
      <w:r w:rsidR="00634B09" w:rsidRPr="00762F09">
        <w:rPr>
          <w:szCs w:val="24"/>
        </w:rPr>
        <w:t xml:space="preserve"> </w:t>
      </w:r>
      <w:r w:rsidRPr="00762F09">
        <w:rPr>
          <w:szCs w:val="24"/>
        </w:rPr>
        <w:t>service</w:t>
      </w:r>
      <w:r w:rsidR="00634B09">
        <w:rPr>
          <w:szCs w:val="24"/>
        </w:rPr>
        <w:t>s</w:t>
      </w:r>
      <w:r w:rsidRPr="00762F09">
        <w:rPr>
          <w:szCs w:val="24"/>
        </w:rPr>
        <w:t xml:space="preserve">.  Laboratory Services </w:t>
      </w:r>
      <w:r w:rsidR="00634B09">
        <w:rPr>
          <w:szCs w:val="24"/>
        </w:rPr>
        <w:t>has</w:t>
      </w:r>
      <w:r w:rsidRPr="00762F09">
        <w:rPr>
          <w:szCs w:val="24"/>
        </w:rPr>
        <w:t xml:space="preserve"> four organizational groups: the Forensic Science Laboratory (FSL) in </w:t>
      </w:r>
      <w:r w:rsidR="00F94F22">
        <w:rPr>
          <w:szCs w:val="24"/>
        </w:rPr>
        <w:t xml:space="preserve">the </w:t>
      </w:r>
      <w:r w:rsidRPr="00762F09">
        <w:rPr>
          <w:szCs w:val="24"/>
        </w:rPr>
        <w:t>Atlanta, San Francisco, and Washington</w:t>
      </w:r>
      <w:r>
        <w:rPr>
          <w:szCs w:val="24"/>
        </w:rPr>
        <w:t xml:space="preserve"> metropolitan area</w:t>
      </w:r>
      <w:r w:rsidR="00F94F22">
        <w:rPr>
          <w:szCs w:val="24"/>
        </w:rPr>
        <w:t>s</w:t>
      </w:r>
      <w:r w:rsidRPr="00762F09">
        <w:rPr>
          <w:szCs w:val="24"/>
        </w:rPr>
        <w:t xml:space="preserve"> and the Fire Research Laboratory (FRL).  The National Laboratory Center houses the FSL in Washington </w:t>
      </w:r>
      <w:r>
        <w:rPr>
          <w:szCs w:val="24"/>
        </w:rPr>
        <w:t xml:space="preserve">metropolitan area </w:t>
      </w:r>
      <w:r w:rsidRPr="00762F09">
        <w:rPr>
          <w:szCs w:val="24"/>
        </w:rPr>
        <w:t>and the FRL</w:t>
      </w:r>
      <w:r w:rsidR="00634B09">
        <w:rPr>
          <w:szCs w:val="24"/>
        </w:rPr>
        <w:t>,</w:t>
      </w:r>
      <w:r w:rsidRPr="00762F09">
        <w:rPr>
          <w:szCs w:val="24"/>
        </w:rPr>
        <w:t xml:space="preserve"> and serves as the administrative center for Laboratory Services.  Laboratory staff is composed of more than 100 biologists, chemists, scientists, engineers, fingerprint specialists, firearm and tool mark examiners, document examiners</w:t>
      </w:r>
      <w:r w:rsidR="00634B09">
        <w:rPr>
          <w:szCs w:val="24"/>
        </w:rPr>
        <w:t>,</w:t>
      </w:r>
      <w:r w:rsidRPr="00762F09">
        <w:rPr>
          <w:szCs w:val="24"/>
        </w:rPr>
        <w:t xml:space="preserve"> and administrative support personnel.  </w:t>
      </w:r>
      <w:r w:rsidR="00AE375D">
        <w:rPr>
          <w:szCs w:val="24"/>
        </w:rPr>
        <w:t>These examiners have hundreds of years of combined experience in the examination of fire, explosive, tobacco</w:t>
      </w:r>
      <w:r w:rsidR="00F94F22">
        <w:rPr>
          <w:szCs w:val="24"/>
        </w:rPr>
        <w:t>,</w:t>
      </w:r>
      <w:r w:rsidR="00AE375D">
        <w:rPr>
          <w:szCs w:val="24"/>
        </w:rPr>
        <w:t xml:space="preserve"> and firearms cases.  </w:t>
      </w:r>
      <w:r w:rsidRPr="00762F09">
        <w:rPr>
          <w:szCs w:val="24"/>
        </w:rPr>
        <w:t>ATF Laboratory personnel hold leadership positions in numerous professional scientific organizations and are considered among the most highly qualified specialists in their individual fields.</w:t>
      </w:r>
    </w:p>
    <w:p w:rsidR="00FA2AAB" w:rsidRPr="00762F09" w:rsidRDefault="00FA2AAB" w:rsidP="005027FD">
      <w:pPr>
        <w:pStyle w:val="BodyText"/>
        <w:spacing w:before="100" w:beforeAutospacing="1" w:after="100" w:afterAutospacing="1"/>
        <w:rPr>
          <w:szCs w:val="24"/>
        </w:rPr>
      </w:pPr>
      <w:r w:rsidRPr="00762F09">
        <w:rPr>
          <w:szCs w:val="24"/>
        </w:rPr>
        <w:t>All of the ATF Laboratories are accredited by the American Society of Crime Laboratory Directors – Laboratory Accreditation Board (ASCLD-LAB</w:t>
      </w:r>
      <w:r w:rsidR="00723A3F" w:rsidRPr="00762F09">
        <w:rPr>
          <w:szCs w:val="24"/>
        </w:rPr>
        <w:t>)</w:t>
      </w:r>
      <w:r w:rsidR="00723A3F">
        <w:rPr>
          <w:szCs w:val="24"/>
        </w:rPr>
        <w:t>,</w:t>
      </w:r>
      <w:r w:rsidR="00723A3F" w:rsidRPr="00762F09">
        <w:rPr>
          <w:szCs w:val="24"/>
        </w:rPr>
        <w:t> </w:t>
      </w:r>
      <w:r w:rsidRPr="00762F09">
        <w:rPr>
          <w:szCs w:val="24"/>
        </w:rPr>
        <w:t xml:space="preserve">a voluntary program in which crime laboratories participate to demonstrate that their management, operations, personnel, procedures, equipment, physical plant, security, and safety meet the industry standards.  ASCLD-LAB accreditation must be renewed every five years.  </w:t>
      </w:r>
      <w:r w:rsidR="00723A3F">
        <w:rPr>
          <w:szCs w:val="24"/>
        </w:rPr>
        <w:t xml:space="preserve">In 1984, </w:t>
      </w:r>
      <w:r w:rsidRPr="00762F09">
        <w:rPr>
          <w:szCs w:val="24"/>
        </w:rPr>
        <w:t xml:space="preserve">ATF </w:t>
      </w:r>
      <w:r w:rsidR="00723A3F">
        <w:rPr>
          <w:szCs w:val="24"/>
        </w:rPr>
        <w:t xml:space="preserve">became </w:t>
      </w:r>
      <w:r w:rsidRPr="00762F09">
        <w:rPr>
          <w:szCs w:val="24"/>
        </w:rPr>
        <w:t xml:space="preserve">the first Federal agency to be accredited by ASCLD-LAB.  The ATF Laboratories recently added </w:t>
      </w:r>
      <w:r w:rsidR="00723A3F">
        <w:rPr>
          <w:szCs w:val="24"/>
        </w:rPr>
        <w:t>DNA and tobacco analysis</w:t>
      </w:r>
      <w:r w:rsidRPr="00762F09">
        <w:rPr>
          <w:szCs w:val="24"/>
        </w:rPr>
        <w:t xml:space="preserve"> in support of ATF investigations.  DNA analysis has added significant capability for linking a suspect to a crime.  Tobacco analysis was developed to support Bureau needs for analysis of counterfeit and contraband tobacco products and tax stamps.</w:t>
      </w:r>
    </w:p>
    <w:p w:rsidR="00EA5FB0" w:rsidRPr="00762F09" w:rsidRDefault="00FA2AAB" w:rsidP="005027FD">
      <w:pPr>
        <w:spacing w:before="100" w:beforeAutospacing="1" w:after="100" w:afterAutospacing="1"/>
      </w:pPr>
      <w:r w:rsidRPr="00762F09">
        <w:t>A critical component of ATF’s fire investigation mission is ATF’s FRL, a one-of-a-kind fire testing facility able to replicate fire scenarios under controlled conditions.  This facility support</w:t>
      </w:r>
      <w:r w:rsidR="00723A3F">
        <w:t>s</w:t>
      </w:r>
      <w:r w:rsidRPr="00762F09">
        <w:t xml:space="preserve"> ATF’s arson investigative requirements </w:t>
      </w:r>
      <w:r w:rsidR="00723A3F">
        <w:t>and functions as</w:t>
      </w:r>
      <w:r w:rsidRPr="00762F09">
        <w:t xml:space="preserve"> a unique and innovative resource for law enforcement, fire services, public safety agencies, industry, and academia.  </w:t>
      </w:r>
      <w:r w:rsidR="00723A3F">
        <w:t>FRL</w:t>
      </w:r>
      <w:r w:rsidR="00723A3F" w:rsidRPr="00762F09">
        <w:t xml:space="preserve"> </w:t>
      </w:r>
      <w:r w:rsidRPr="00762F09">
        <w:t xml:space="preserve">scientists use the most advanced scientific, technical, educational, and training methods to </w:t>
      </w:r>
      <w:r w:rsidR="00723A3F">
        <w:t>distinguish</w:t>
      </w:r>
      <w:r w:rsidR="00723A3F" w:rsidRPr="00762F09">
        <w:t xml:space="preserve"> </w:t>
      </w:r>
      <w:r w:rsidRPr="00762F09">
        <w:t xml:space="preserve">ATF and its partners </w:t>
      </w:r>
      <w:r w:rsidR="00723A3F">
        <w:t xml:space="preserve">as </w:t>
      </w:r>
      <w:r w:rsidRPr="00762F09">
        <w:t>leaders in fire investigation science.</w:t>
      </w:r>
    </w:p>
    <w:p w:rsidR="00FA2AAB" w:rsidRPr="00762F09" w:rsidRDefault="00735B97" w:rsidP="005027FD">
      <w:pPr>
        <w:spacing w:before="100" w:beforeAutospacing="1" w:after="100" w:afterAutospacing="1"/>
        <w:rPr>
          <w:b/>
          <w:i/>
        </w:rPr>
      </w:pPr>
      <w:r>
        <w:rPr>
          <w:b/>
          <w:i/>
        </w:rPr>
        <w:t>Financial Investigations</w:t>
      </w:r>
    </w:p>
    <w:p w:rsidR="00FA2AAB" w:rsidRPr="00762F09" w:rsidRDefault="00735B97" w:rsidP="005027FD">
      <w:pPr>
        <w:spacing w:before="100" w:beforeAutospacing="1" w:after="100" w:afterAutospacing="1"/>
      </w:pPr>
      <w:r w:rsidRPr="00762F09">
        <w:t>ATF’s auditors are certified by the National Association of States Board of Accountancy</w:t>
      </w:r>
      <w:r>
        <w:t xml:space="preserve"> </w:t>
      </w:r>
      <w:r w:rsidR="00FA2AAB" w:rsidRPr="00762F09">
        <w:t xml:space="preserve">and provide financial investigative, forensic accounting, and financial expert witness support of criminal and regulatory investigations </w:t>
      </w:r>
      <w:r w:rsidR="00723A3F">
        <w:t>into</w:t>
      </w:r>
      <w:r w:rsidR="00FA2AAB" w:rsidRPr="00762F09">
        <w:t xml:space="preserve"> arson-for-profit, the use of explosives and bombings in the furtherance of financial frauds, threats to public safety, and alcohol and tobacco diversion </w:t>
      </w:r>
      <w:r w:rsidR="00FA2AAB" w:rsidRPr="00762F09">
        <w:lastRenderedPageBreak/>
        <w:t xml:space="preserve">investigations.  Forensic auditors provide pretrial depositions and expert witness testimony for </w:t>
      </w:r>
      <w:r w:rsidR="001E61E6">
        <w:t>F</w:t>
      </w:r>
      <w:r w:rsidR="001E61E6" w:rsidRPr="00762F09">
        <w:t>ederal</w:t>
      </w:r>
      <w:r w:rsidR="00FA2AAB" w:rsidRPr="00762F09">
        <w:t xml:space="preserve">, </w:t>
      </w:r>
      <w:r w:rsidR="001E61E6">
        <w:t>S</w:t>
      </w:r>
      <w:r w:rsidR="001E61E6" w:rsidRPr="00762F09">
        <w:t>tate</w:t>
      </w:r>
      <w:r w:rsidR="00FA2AAB" w:rsidRPr="00762F09">
        <w:t>, local governments and insurance companies.</w:t>
      </w:r>
    </w:p>
    <w:p w:rsidR="00FA2AAB" w:rsidRDefault="00FA2AAB" w:rsidP="00DC7ED8">
      <w:pPr>
        <w:autoSpaceDE w:val="0"/>
        <w:autoSpaceDN w:val="0"/>
        <w:adjustRightInd w:val="0"/>
        <w:spacing w:before="100" w:beforeAutospacing="1" w:after="100" w:afterAutospacing="1"/>
        <w:rPr>
          <w:b/>
        </w:rPr>
      </w:pPr>
      <w:r w:rsidRPr="00762F09">
        <w:t xml:space="preserve">ATF’s forensic auditors provide comprehensive accounting, fraud detection, and financial investigative services for a </w:t>
      </w:r>
      <w:r w:rsidR="005879C3">
        <w:t>full</w:t>
      </w:r>
      <w:r w:rsidR="005879C3" w:rsidRPr="00762F09">
        <w:t xml:space="preserve"> </w:t>
      </w:r>
      <w:r w:rsidRPr="00762F09">
        <w:t>range of ATF programs.  ATF forensic auditors hold advanced licenses and certifications in accounting, auditing</w:t>
      </w:r>
      <w:r w:rsidR="005879C3">
        <w:t>,</w:t>
      </w:r>
      <w:r w:rsidRPr="00762F09">
        <w:t xml:space="preserve"> and fraud detection.  </w:t>
      </w:r>
      <w:r w:rsidR="005879C3">
        <w:t>F</w:t>
      </w:r>
      <w:r w:rsidRPr="00762F09">
        <w:t>orensic auditors support counter-terrorism, alcohol and tobacco diversion, firearms</w:t>
      </w:r>
      <w:r w:rsidR="00F94F22">
        <w:t>,</w:t>
      </w:r>
      <w:r w:rsidRPr="00762F09">
        <w:t xml:space="preserve"> and narcotics trafficking cases, </w:t>
      </w:r>
      <w:r w:rsidR="005879C3">
        <w:t xml:space="preserve">as well as investigations into </w:t>
      </w:r>
      <w:r w:rsidRPr="00762F09">
        <w:t xml:space="preserve">gang and other organized </w:t>
      </w:r>
      <w:r w:rsidR="00262BEA" w:rsidRPr="00762F09">
        <w:t>crim</w:t>
      </w:r>
      <w:r w:rsidR="00262BEA">
        <w:t>inal</w:t>
      </w:r>
      <w:r w:rsidR="00262BEA" w:rsidRPr="00762F09">
        <w:t xml:space="preserve"> </w:t>
      </w:r>
      <w:r w:rsidRPr="00762F09">
        <w:t xml:space="preserve">enterprises.  Regardless of the type of case, at the conclusion of the financial investigation, the forensic auditor provides a written report and, if needed, expert testimony.  </w:t>
      </w:r>
      <w:bookmarkStart w:id="51" w:name="_Toc224026886"/>
    </w:p>
    <w:p w:rsidR="00FA2AAB" w:rsidRPr="00762F09" w:rsidRDefault="00FA2AAB" w:rsidP="005027FD">
      <w:pPr>
        <w:spacing w:before="100" w:beforeAutospacing="1" w:after="100" w:afterAutospacing="1"/>
        <w:outlineLvl w:val="0"/>
        <w:rPr>
          <w:b/>
          <w:i/>
        </w:rPr>
      </w:pPr>
      <w:r w:rsidRPr="00762F09">
        <w:rPr>
          <w:b/>
          <w:i/>
        </w:rPr>
        <w:t>Outreach Activities</w:t>
      </w:r>
      <w:bookmarkEnd w:id="51"/>
      <w:r w:rsidRPr="00762F09">
        <w:rPr>
          <w:b/>
          <w:i/>
        </w:rPr>
        <w:t xml:space="preserve"> </w:t>
      </w:r>
    </w:p>
    <w:p w:rsidR="00FA2AAB" w:rsidRDefault="00FA2AAB" w:rsidP="005027FD">
      <w:pPr>
        <w:pStyle w:val="BodyText"/>
        <w:spacing w:before="100" w:beforeAutospacing="1" w:after="100" w:afterAutospacing="1"/>
        <w:rPr>
          <w:szCs w:val="24"/>
        </w:rPr>
      </w:pPr>
      <w:r w:rsidRPr="00865B9E">
        <w:rPr>
          <w:szCs w:val="24"/>
        </w:rPr>
        <w:t xml:space="preserve">ATF </w:t>
      </w:r>
      <w:r w:rsidR="005879C3" w:rsidRPr="00865B9E">
        <w:rPr>
          <w:szCs w:val="24"/>
        </w:rPr>
        <w:t>provides</w:t>
      </w:r>
      <w:r w:rsidR="006C7DF9" w:rsidRPr="00865B9E">
        <w:rPr>
          <w:szCs w:val="24"/>
        </w:rPr>
        <w:t xml:space="preserve"> </w:t>
      </w:r>
      <w:r w:rsidRPr="00865B9E">
        <w:rPr>
          <w:szCs w:val="24"/>
        </w:rPr>
        <w:t xml:space="preserve">services such as NRT responses, guidance, and advice to arson </w:t>
      </w:r>
      <w:r w:rsidR="003223F4" w:rsidRPr="00865B9E">
        <w:rPr>
          <w:szCs w:val="24"/>
        </w:rPr>
        <w:t xml:space="preserve">and explosives </w:t>
      </w:r>
      <w:r w:rsidRPr="00865B9E">
        <w:rPr>
          <w:szCs w:val="24"/>
        </w:rPr>
        <w:t xml:space="preserve">programs customers and </w:t>
      </w:r>
      <w:r w:rsidR="003223F4" w:rsidRPr="00865B9E">
        <w:rPr>
          <w:szCs w:val="24"/>
        </w:rPr>
        <w:t xml:space="preserve">to </w:t>
      </w:r>
      <w:r w:rsidRPr="00865B9E">
        <w:rPr>
          <w:szCs w:val="24"/>
        </w:rPr>
        <w:t xml:space="preserve">explosives industry members.  </w:t>
      </w:r>
    </w:p>
    <w:p w:rsidR="00A623FD" w:rsidRDefault="00330F2C" w:rsidP="005027FD">
      <w:pPr>
        <w:pStyle w:val="BodyText"/>
        <w:spacing w:before="100" w:beforeAutospacing="1" w:after="100" w:afterAutospacing="1"/>
        <w:rPr>
          <w:szCs w:val="24"/>
        </w:rPr>
      </w:pPr>
      <w:r>
        <w:rPr>
          <w:szCs w:val="24"/>
        </w:rPr>
        <w:t xml:space="preserve">Since its first pilot delivery in July 2007, the ATF Arson Training Branch has delivered the R-206 Fire/Arson Origin and Cause offering to more than </w:t>
      </w:r>
      <w:r w:rsidR="00DF5046">
        <w:rPr>
          <w:szCs w:val="24"/>
        </w:rPr>
        <w:t>1</w:t>
      </w:r>
      <w:r w:rsidR="00F94F22">
        <w:rPr>
          <w:szCs w:val="24"/>
        </w:rPr>
        <w:t>,</w:t>
      </w:r>
      <w:r w:rsidR="00DF5046">
        <w:rPr>
          <w:szCs w:val="24"/>
        </w:rPr>
        <w:t xml:space="preserve">000 </w:t>
      </w:r>
      <w:r w:rsidR="00F94F22">
        <w:rPr>
          <w:szCs w:val="24"/>
        </w:rPr>
        <w:t>S</w:t>
      </w:r>
      <w:r w:rsidR="00DF5046">
        <w:rPr>
          <w:szCs w:val="24"/>
        </w:rPr>
        <w:t>tate and local fire investigators representing both fire service and law enforcement org</w:t>
      </w:r>
      <w:r w:rsidR="00A623FD">
        <w:rPr>
          <w:szCs w:val="24"/>
        </w:rPr>
        <w:t>anizations at the U.S. Fire Administration’s (USFA) National Fire Academy (NFA). The effect of this offering on the fire investigations community has been profound, as evidenced by the student evaluations, student comments</w:t>
      </w:r>
      <w:r w:rsidR="00F94F22">
        <w:rPr>
          <w:szCs w:val="24"/>
        </w:rPr>
        <w:t>,</w:t>
      </w:r>
      <w:r w:rsidR="00A623FD">
        <w:rPr>
          <w:szCs w:val="24"/>
        </w:rPr>
        <w:t xml:space="preserve"> and the reputation this program has earned within the fire and law enforcement communities.</w:t>
      </w:r>
    </w:p>
    <w:p w:rsidR="00330F2C" w:rsidRPr="00865B9E" w:rsidRDefault="00A623FD" w:rsidP="005027FD">
      <w:pPr>
        <w:pStyle w:val="BodyText"/>
        <w:spacing w:before="100" w:beforeAutospacing="1" w:after="100" w:afterAutospacing="1"/>
        <w:rPr>
          <w:szCs w:val="24"/>
        </w:rPr>
      </w:pPr>
      <w:r>
        <w:rPr>
          <w:szCs w:val="24"/>
        </w:rPr>
        <w:t xml:space="preserve">The ATF partnership with the USFA is like no other within the Bureau.  Through this partnership, ATF has developed a cutting-edge program that offers the best science-based technical fire investigation training available </w:t>
      </w:r>
      <w:r w:rsidR="008565F4">
        <w:rPr>
          <w:szCs w:val="24"/>
        </w:rPr>
        <w:t xml:space="preserve">to </w:t>
      </w:r>
      <w:r w:rsidR="00F94F22">
        <w:rPr>
          <w:szCs w:val="24"/>
        </w:rPr>
        <w:t>S</w:t>
      </w:r>
      <w:r w:rsidR="008565F4">
        <w:rPr>
          <w:szCs w:val="24"/>
        </w:rPr>
        <w:t>tate and local fire investigators. ATF has recently entered into the fourth year of the cooperative effort with the United States Fire Administration.</w:t>
      </w:r>
      <w:r w:rsidR="00DF5046">
        <w:rPr>
          <w:szCs w:val="24"/>
        </w:rPr>
        <w:t xml:space="preserve"> </w:t>
      </w:r>
    </w:p>
    <w:p w:rsidR="0086342E" w:rsidRPr="001C0FEC" w:rsidRDefault="0086342E" w:rsidP="0086342E">
      <w:pPr>
        <w:numPr>
          <w:ilvl w:val="0"/>
          <w:numId w:val="7"/>
        </w:numPr>
        <w:pBdr>
          <w:top w:val="double" w:sz="6" w:space="1" w:color="auto"/>
          <w:left w:val="double" w:sz="6" w:space="4" w:color="auto"/>
          <w:bottom w:val="double" w:sz="6" w:space="1" w:color="auto"/>
          <w:right w:val="double" w:sz="6" w:space="4" w:color="auto"/>
        </w:pBdr>
        <w:tabs>
          <w:tab w:val="num" w:pos="720"/>
        </w:tabs>
        <w:ind w:left="720" w:hanging="405"/>
      </w:pPr>
      <w:r w:rsidRPr="001C0FEC">
        <w:t>In 2008, ATF led efforts to provide explosives training for police forces in Pakistan.  Within weeks, ATF-trained Pakistani officers were called upon to apply their new skills in conducting the investigation of the large-scale terrorist bombing of the Marriott hotel in Islamabad.</w:t>
      </w:r>
    </w:p>
    <w:p w:rsidR="0086342E" w:rsidRDefault="0086342E" w:rsidP="0086342E">
      <w:pPr>
        <w:spacing w:before="100" w:beforeAutospacing="1" w:after="100" w:afterAutospacing="1"/>
      </w:pPr>
      <w:r w:rsidRPr="00762F09">
        <w:t>ATF communicates with the fire and explosives investigation community through arson and explosives advisory groups, the National Bomb Squad Commander Advisory Board (NBSCAB) and the International Bomb Data Center Working Group (IBDCWG</w:t>
      </w:r>
      <w:r w:rsidR="004C629C">
        <w:t>)</w:t>
      </w:r>
      <w:r w:rsidRPr="00762F09">
        <w:t xml:space="preserve"> meetings.  Each week, the USBDC provides information on ATF’s arson and explosives investigative activity.  The advisory reports are distributed to other </w:t>
      </w:r>
      <w:r>
        <w:t>F</w:t>
      </w:r>
      <w:r w:rsidRPr="00762F09">
        <w:t xml:space="preserve">ederal, </w:t>
      </w:r>
      <w:r>
        <w:t>S</w:t>
      </w:r>
      <w:r w:rsidRPr="00762F09">
        <w:t>tate, and local law enforcement agencies.  The USBDC also publishes explosives theft advisory reports and periodic advisories highlighting specific or emerging threats to public safety or the bomb technician community.</w:t>
      </w:r>
      <w:r w:rsidRPr="0086342E">
        <w:t xml:space="preserve"> </w:t>
      </w:r>
    </w:p>
    <w:p w:rsidR="00460AB0" w:rsidRDefault="0086342E" w:rsidP="00872B22">
      <w:pPr>
        <w:spacing w:before="100" w:beforeAutospacing="1" w:after="100" w:afterAutospacing="1"/>
        <w:rPr>
          <w:color w:val="FF0000"/>
        </w:rPr>
        <w:sectPr w:rsidR="00460AB0" w:rsidSect="00CE102B">
          <w:pgSz w:w="12240" w:h="15840" w:code="1"/>
          <w:pgMar w:top="1440" w:right="1440" w:bottom="1440" w:left="1440" w:header="720" w:footer="720" w:gutter="0"/>
          <w:cols w:space="720"/>
          <w:noEndnote/>
          <w:docGrid w:linePitch="326"/>
        </w:sectPr>
      </w:pPr>
      <w:r w:rsidRPr="00762F09">
        <w:t>ATF scientists are leaders in the development, standardization, and use of scientific techniques to examine evidence from fire and explosives investigations.  This leadership extends to scientific working groups and professional organizations, both nationally and</w:t>
      </w:r>
      <w:r w:rsidRPr="0086342E">
        <w:t xml:space="preserve"> </w:t>
      </w:r>
      <w:r w:rsidRPr="00762F09">
        <w:t>internationally.</w:t>
      </w:r>
    </w:p>
    <w:p w:rsidR="00FA2AAB" w:rsidRPr="00762F09" w:rsidRDefault="00FA2AAB" w:rsidP="005027FD">
      <w:pPr>
        <w:spacing w:before="100" w:beforeAutospacing="1" w:after="100" w:afterAutospacing="1"/>
      </w:pPr>
    </w:p>
    <w:tbl>
      <w:tblPr>
        <w:tblpPr w:leftFromText="180" w:rightFromText="180" w:vertAnchor="text" w:horzAnchor="page" w:tblpX="656" w:tblpY="-24"/>
        <w:tblW w:w="5544" w:type="pct"/>
        <w:tblLayout w:type="fixed"/>
        <w:tblCellMar>
          <w:left w:w="0" w:type="dxa"/>
          <w:right w:w="0" w:type="dxa"/>
        </w:tblCellMar>
        <w:tblLook w:val="0000"/>
      </w:tblPr>
      <w:tblGrid>
        <w:gridCol w:w="4681"/>
        <w:gridCol w:w="709"/>
        <w:gridCol w:w="1060"/>
        <w:gridCol w:w="714"/>
        <w:gridCol w:w="1077"/>
        <w:gridCol w:w="714"/>
        <w:gridCol w:w="1077"/>
        <w:gridCol w:w="735"/>
        <w:gridCol w:w="1484"/>
        <w:gridCol w:w="723"/>
        <w:gridCol w:w="1429"/>
      </w:tblGrid>
      <w:tr w:rsidR="009E3D9C" w:rsidRPr="00762F09" w:rsidTr="00E52246">
        <w:trPr>
          <w:trHeight w:val="505"/>
        </w:trPr>
        <w:tc>
          <w:tcPr>
            <w:tcW w:w="5000" w:type="pct"/>
            <w:gridSpan w:val="11"/>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bottom"/>
          </w:tcPr>
          <w:p w:rsidR="009E3D9C" w:rsidRPr="00B92B25" w:rsidRDefault="009E3D9C" w:rsidP="00E52246">
            <w:pPr>
              <w:spacing w:before="100" w:beforeAutospacing="1" w:after="100" w:afterAutospacing="1"/>
              <w:jc w:val="center"/>
              <w:rPr>
                <w:b/>
                <w:color w:val="FF0000"/>
              </w:rPr>
            </w:pPr>
            <w:r w:rsidRPr="00762F09">
              <w:rPr>
                <w:b/>
                <w:sz w:val="28"/>
                <w:szCs w:val="28"/>
              </w:rPr>
              <w:br w:type="page"/>
            </w:r>
            <w:r w:rsidR="006558B9" w:rsidRPr="006558B9">
              <w:rPr>
                <w:b/>
              </w:rPr>
              <w:t>2.</w:t>
            </w:r>
            <w:r w:rsidR="006558B9">
              <w:rPr>
                <w:b/>
                <w:sz w:val="28"/>
                <w:szCs w:val="28"/>
              </w:rPr>
              <w:t xml:space="preserve"> </w:t>
            </w:r>
            <w:r w:rsidRPr="00762F09">
              <w:rPr>
                <w:b/>
              </w:rPr>
              <w:t>PERFORMANCE AND RESOURCES TABLE</w:t>
            </w:r>
          </w:p>
        </w:tc>
      </w:tr>
      <w:tr w:rsidR="009E3D9C" w:rsidRPr="00762F09" w:rsidTr="00E52246">
        <w:trPr>
          <w:trHeight w:val="227"/>
        </w:trPr>
        <w:tc>
          <w:tcPr>
            <w:tcW w:w="5000" w:type="pct"/>
            <w:gridSpan w:val="11"/>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bottom"/>
          </w:tcPr>
          <w:p w:rsidR="009E3D9C" w:rsidRPr="00762F09" w:rsidRDefault="009E3D9C" w:rsidP="00E52246">
            <w:pPr>
              <w:spacing w:before="100" w:beforeAutospacing="1" w:after="100" w:afterAutospacing="1"/>
              <w:rPr>
                <w:b/>
              </w:rPr>
            </w:pPr>
            <w:r w:rsidRPr="00762F09">
              <w:rPr>
                <w:b/>
              </w:rPr>
              <w:t>Decision Unit: Arson &amp; Explosives</w:t>
            </w:r>
          </w:p>
        </w:tc>
      </w:tr>
      <w:tr w:rsidR="009E3D9C" w:rsidRPr="00762F09" w:rsidTr="00E52246">
        <w:trPr>
          <w:trHeight w:val="227"/>
        </w:trPr>
        <w:tc>
          <w:tcPr>
            <w:tcW w:w="5000" w:type="pct"/>
            <w:gridSpan w:val="11"/>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bottom"/>
          </w:tcPr>
          <w:p w:rsidR="009E3D9C" w:rsidRPr="00762F09" w:rsidRDefault="009E3D9C" w:rsidP="00E52246">
            <w:pPr>
              <w:spacing w:before="100" w:beforeAutospacing="1" w:after="100" w:afterAutospacing="1"/>
              <w:rPr>
                <w:b/>
              </w:rPr>
            </w:pPr>
            <w:r w:rsidRPr="00762F09">
              <w:rPr>
                <w:b/>
              </w:rPr>
              <w:t>DOJ Strategic Goal/Objective: Goal 1, Objective 1.2; Goal 2, Objective 2.2</w:t>
            </w:r>
          </w:p>
        </w:tc>
      </w:tr>
      <w:tr w:rsidR="009E3D9C" w:rsidRPr="00762F09" w:rsidTr="00E52246">
        <w:trPr>
          <w:trHeight w:val="370"/>
        </w:trPr>
        <w:tc>
          <w:tcPr>
            <w:tcW w:w="1625" w:type="pct"/>
            <w:tcBorders>
              <w:top w:val="single" w:sz="8" w:space="0" w:color="auto"/>
              <w:left w:val="single" w:sz="8" w:space="0" w:color="auto"/>
              <w:bottom w:val="single" w:sz="4" w:space="0" w:color="auto"/>
              <w:right w:val="single" w:sz="4" w:space="0" w:color="000000"/>
            </w:tcBorders>
            <w:tcMar>
              <w:top w:w="15" w:type="dxa"/>
              <w:left w:w="15" w:type="dxa"/>
              <w:bottom w:w="0" w:type="dxa"/>
              <w:right w:w="15" w:type="dxa"/>
            </w:tcMar>
            <w:vAlign w:val="bottom"/>
          </w:tcPr>
          <w:p w:rsidR="009E3D9C" w:rsidRPr="00762F09" w:rsidRDefault="009E3D9C" w:rsidP="00E52246">
            <w:pPr>
              <w:spacing w:before="100" w:beforeAutospacing="1" w:after="100" w:afterAutospacing="1"/>
              <w:rPr>
                <w:rFonts w:eastAsia="Arial Unicode MS"/>
                <w:b/>
              </w:rPr>
            </w:pPr>
            <w:r w:rsidRPr="00762F09">
              <w:rPr>
                <w:b/>
              </w:rPr>
              <w:t>RESOURCES</w:t>
            </w:r>
          </w:p>
        </w:tc>
        <w:tc>
          <w:tcPr>
            <w:tcW w:w="614" w:type="pct"/>
            <w:gridSpan w:val="2"/>
            <w:tcBorders>
              <w:top w:val="single" w:sz="8" w:space="0" w:color="auto"/>
              <w:left w:val="nil"/>
              <w:bottom w:val="single" w:sz="4" w:space="0" w:color="auto"/>
              <w:right w:val="single" w:sz="4" w:space="0" w:color="000000"/>
            </w:tcBorders>
            <w:tcMar>
              <w:top w:w="15" w:type="dxa"/>
              <w:left w:w="15" w:type="dxa"/>
              <w:bottom w:w="0" w:type="dxa"/>
              <w:right w:w="15" w:type="dxa"/>
            </w:tcMar>
            <w:vAlign w:val="center"/>
          </w:tcPr>
          <w:p w:rsidR="009E3D9C" w:rsidRPr="00762F09" w:rsidRDefault="009E3D9C" w:rsidP="00E52246">
            <w:pPr>
              <w:spacing w:before="100" w:beforeAutospacing="1" w:after="100" w:afterAutospacing="1"/>
              <w:jc w:val="center"/>
              <w:rPr>
                <w:rFonts w:eastAsia="Arial Unicode MS"/>
                <w:b/>
              </w:rPr>
            </w:pPr>
            <w:r w:rsidRPr="00762F09">
              <w:rPr>
                <w:b/>
              </w:rPr>
              <w:t>Final Target</w:t>
            </w:r>
          </w:p>
        </w:tc>
        <w:tc>
          <w:tcPr>
            <w:tcW w:w="622" w:type="pct"/>
            <w:gridSpan w:val="2"/>
            <w:tcBorders>
              <w:top w:val="single" w:sz="8" w:space="0" w:color="auto"/>
              <w:left w:val="nil"/>
              <w:bottom w:val="single" w:sz="4" w:space="0" w:color="auto"/>
              <w:right w:val="single" w:sz="4" w:space="0" w:color="000000"/>
            </w:tcBorders>
            <w:tcMar>
              <w:top w:w="15" w:type="dxa"/>
              <w:left w:w="15" w:type="dxa"/>
              <w:bottom w:w="0" w:type="dxa"/>
              <w:right w:w="15" w:type="dxa"/>
            </w:tcMar>
            <w:vAlign w:val="center"/>
          </w:tcPr>
          <w:p w:rsidR="009E3D9C" w:rsidRPr="0029373C" w:rsidRDefault="009E3D9C" w:rsidP="00E52246">
            <w:pPr>
              <w:spacing w:before="100" w:beforeAutospacing="1" w:after="100" w:afterAutospacing="1"/>
              <w:jc w:val="center"/>
              <w:rPr>
                <w:b/>
              </w:rPr>
            </w:pPr>
            <w:r w:rsidRPr="00762F09">
              <w:rPr>
                <w:b/>
              </w:rPr>
              <w:t>Actual</w:t>
            </w:r>
          </w:p>
        </w:tc>
        <w:tc>
          <w:tcPr>
            <w:tcW w:w="622" w:type="pct"/>
            <w:gridSpan w:val="2"/>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9E3D9C" w:rsidRPr="00762F09" w:rsidRDefault="009E3D9C" w:rsidP="00E52246">
            <w:pPr>
              <w:spacing w:before="100" w:beforeAutospacing="1" w:after="100" w:afterAutospacing="1"/>
              <w:jc w:val="center"/>
              <w:rPr>
                <w:rFonts w:eastAsia="Arial Unicode MS"/>
                <w:b/>
              </w:rPr>
            </w:pPr>
            <w:r w:rsidRPr="00762F09">
              <w:rPr>
                <w:rFonts w:eastAsia="Arial Unicode MS"/>
                <w:b/>
              </w:rPr>
              <w:t xml:space="preserve">Projected </w:t>
            </w:r>
          </w:p>
        </w:tc>
        <w:tc>
          <w:tcPr>
            <w:tcW w:w="770" w:type="pct"/>
            <w:gridSpan w:val="2"/>
            <w:tcBorders>
              <w:top w:val="single" w:sz="4" w:space="0" w:color="auto"/>
              <w:left w:val="single" w:sz="4" w:space="0" w:color="auto"/>
              <w:bottom w:val="single" w:sz="4" w:space="0" w:color="auto"/>
              <w:right w:val="single" w:sz="4" w:space="0" w:color="auto"/>
            </w:tcBorders>
            <w:vAlign w:val="center"/>
          </w:tcPr>
          <w:p w:rsidR="009E3D9C" w:rsidRPr="00762F09" w:rsidRDefault="009E3D9C" w:rsidP="00E52246">
            <w:pPr>
              <w:spacing w:before="100" w:beforeAutospacing="1" w:after="100" w:afterAutospacing="1"/>
              <w:ind w:left="360" w:hanging="360"/>
              <w:jc w:val="center"/>
              <w:rPr>
                <w:b/>
              </w:rPr>
            </w:pPr>
            <w:r w:rsidRPr="00762F09">
              <w:rPr>
                <w:b/>
              </w:rPr>
              <w:t>Changes</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9E3D9C" w:rsidRPr="00762F09" w:rsidRDefault="009E3D9C" w:rsidP="00E52246">
            <w:pPr>
              <w:spacing w:before="100" w:beforeAutospacing="1" w:after="100" w:afterAutospacing="1"/>
              <w:jc w:val="center"/>
              <w:rPr>
                <w:b/>
              </w:rPr>
            </w:pPr>
            <w:r w:rsidRPr="00762F09">
              <w:rPr>
                <w:b/>
              </w:rPr>
              <w:t>Requested (Total)</w:t>
            </w:r>
          </w:p>
        </w:tc>
      </w:tr>
      <w:tr w:rsidR="009E3D9C" w:rsidRPr="00762F09" w:rsidTr="00E52246">
        <w:trPr>
          <w:trHeight w:val="515"/>
        </w:trPr>
        <w:tc>
          <w:tcPr>
            <w:tcW w:w="1625" w:type="pct"/>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9E3D9C" w:rsidRPr="00762F09" w:rsidRDefault="009E3D9C" w:rsidP="00E52246">
            <w:pPr>
              <w:tabs>
                <w:tab w:val="left" w:pos="15480"/>
              </w:tabs>
              <w:spacing w:before="100" w:beforeAutospacing="1" w:after="100" w:afterAutospacing="1"/>
              <w:ind w:left="360"/>
              <w:rPr>
                <w:rFonts w:eastAsia="Arial Unicode MS"/>
              </w:rPr>
            </w:pPr>
            <w:r w:rsidRPr="00762F09">
              <w:t> </w:t>
            </w:r>
          </w:p>
        </w:tc>
        <w:tc>
          <w:tcPr>
            <w:tcW w:w="614" w:type="pct"/>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9E3D9C" w:rsidRPr="00762F09" w:rsidRDefault="009E3D9C" w:rsidP="00E52246">
            <w:pPr>
              <w:spacing w:before="100" w:beforeAutospacing="1" w:after="100" w:afterAutospacing="1"/>
              <w:jc w:val="center"/>
              <w:rPr>
                <w:b/>
              </w:rPr>
            </w:pPr>
            <w:r>
              <w:rPr>
                <w:b/>
              </w:rPr>
              <w:t>FY 2010</w:t>
            </w:r>
          </w:p>
        </w:tc>
        <w:tc>
          <w:tcPr>
            <w:tcW w:w="622"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E3D9C" w:rsidRPr="00762F09" w:rsidRDefault="009E3D9C" w:rsidP="00E52246">
            <w:pPr>
              <w:spacing w:before="100" w:beforeAutospacing="1" w:after="100" w:afterAutospacing="1"/>
              <w:jc w:val="center"/>
              <w:rPr>
                <w:rFonts w:eastAsia="Arial Unicode MS"/>
                <w:b/>
              </w:rPr>
            </w:pPr>
            <w:r w:rsidRPr="00762F09">
              <w:rPr>
                <w:b/>
              </w:rPr>
              <w:t>FY 20</w:t>
            </w:r>
            <w:r>
              <w:rPr>
                <w:b/>
              </w:rPr>
              <w:t>10</w:t>
            </w:r>
          </w:p>
        </w:tc>
        <w:tc>
          <w:tcPr>
            <w:tcW w:w="622"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E3D9C" w:rsidRPr="00DD66BD" w:rsidRDefault="009E3D9C" w:rsidP="00635503">
            <w:pPr>
              <w:spacing w:before="100" w:beforeAutospacing="1" w:after="100" w:afterAutospacing="1"/>
              <w:jc w:val="center"/>
              <w:rPr>
                <w:b/>
              </w:rPr>
            </w:pPr>
            <w:r>
              <w:rPr>
                <w:b/>
              </w:rPr>
              <w:t xml:space="preserve">FY 2011 </w:t>
            </w:r>
            <w:r w:rsidR="00635503">
              <w:rPr>
                <w:b/>
              </w:rPr>
              <w:t>CR</w:t>
            </w:r>
          </w:p>
        </w:tc>
        <w:tc>
          <w:tcPr>
            <w:tcW w:w="770" w:type="pct"/>
            <w:gridSpan w:val="2"/>
            <w:tcBorders>
              <w:top w:val="single" w:sz="4" w:space="0" w:color="auto"/>
              <w:left w:val="nil"/>
              <w:bottom w:val="single" w:sz="8" w:space="0" w:color="auto"/>
              <w:right w:val="single" w:sz="4" w:space="0" w:color="000000"/>
            </w:tcBorders>
            <w:tcMar>
              <w:top w:w="15" w:type="dxa"/>
              <w:left w:w="15" w:type="dxa"/>
              <w:bottom w:w="0" w:type="dxa"/>
              <w:right w:w="15" w:type="dxa"/>
            </w:tcMar>
            <w:vAlign w:val="center"/>
          </w:tcPr>
          <w:p w:rsidR="009E3D9C" w:rsidRPr="00762F09" w:rsidRDefault="009E3D9C" w:rsidP="00E52246">
            <w:pPr>
              <w:spacing w:before="100" w:beforeAutospacing="1" w:after="100" w:afterAutospacing="1"/>
              <w:jc w:val="center"/>
              <w:rPr>
                <w:rFonts w:eastAsia="Arial Unicode MS"/>
                <w:b/>
              </w:rPr>
            </w:pPr>
            <w:r w:rsidRPr="00762F09">
              <w:rPr>
                <w:rFonts w:eastAsia="Arial Unicode MS"/>
                <w:b/>
              </w:rPr>
              <w:t>Current S</w:t>
            </w:r>
            <w:r>
              <w:rPr>
                <w:rFonts w:eastAsia="Arial Unicode MS"/>
                <w:b/>
              </w:rPr>
              <w:t>ervices Adjustments and FY 2012</w:t>
            </w:r>
            <w:r w:rsidRPr="00762F09">
              <w:rPr>
                <w:rFonts w:eastAsia="Arial Unicode MS"/>
                <w:b/>
              </w:rPr>
              <w:t xml:space="preserve"> Program Change</w:t>
            </w:r>
          </w:p>
        </w:tc>
        <w:tc>
          <w:tcPr>
            <w:tcW w:w="747"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E3D9C" w:rsidRPr="00762F09" w:rsidRDefault="009E3D9C" w:rsidP="00E52246">
            <w:pPr>
              <w:spacing w:before="100" w:beforeAutospacing="1" w:after="100" w:afterAutospacing="1"/>
              <w:jc w:val="center"/>
              <w:rPr>
                <w:rFonts w:eastAsia="Arial Unicode MS"/>
                <w:b/>
              </w:rPr>
            </w:pPr>
            <w:r>
              <w:rPr>
                <w:b/>
              </w:rPr>
              <w:t>FY 2012</w:t>
            </w:r>
            <w:r w:rsidRPr="00762F09">
              <w:rPr>
                <w:b/>
              </w:rPr>
              <w:t xml:space="preserve"> Request</w:t>
            </w:r>
          </w:p>
        </w:tc>
      </w:tr>
      <w:tr w:rsidR="009E3D9C" w:rsidRPr="00762F09" w:rsidTr="006D2CB5">
        <w:trPr>
          <w:trHeight w:val="227"/>
        </w:trPr>
        <w:tc>
          <w:tcPr>
            <w:tcW w:w="1625" w:type="pct"/>
            <w:vMerge w:val="restart"/>
            <w:tcBorders>
              <w:top w:val="single" w:sz="4" w:space="0" w:color="auto"/>
              <w:left w:val="single" w:sz="8" w:space="0" w:color="auto"/>
              <w:bottom w:val="single" w:sz="4" w:space="0" w:color="000000"/>
              <w:right w:val="single" w:sz="4" w:space="0" w:color="000000"/>
            </w:tcBorders>
            <w:tcMar>
              <w:top w:w="15" w:type="dxa"/>
              <w:left w:w="15" w:type="dxa"/>
              <w:bottom w:w="0" w:type="dxa"/>
              <w:right w:w="15" w:type="dxa"/>
            </w:tcMar>
          </w:tcPr>
          <w:p w:rsidR="009E3D9C" w:rsidRPr="00A13F4F" w:rsidRDefault="009E3D9C" w:rsidP="00E52246">
            <w:pPr>
              <w:spacing w:before="100" w:beforeAutospacing="1" w:after="100" w:afterAutospacing="1"/>
              <w:rPr>
                <w:rFonts w:eastAsia="Arial Unicode MS"/>
                <w:b/>
                <w:color w:val="FF0000"/>
              </w:rPr>
            </w:pPr>
            <w:r w:rsidRPr="00762F09">
              <w:rPr>
                <w:b/>
              </w:rPr>
              <w:t>Total Costs and FTE</w:t>
            </w:r>
          </w:p>
        </w:tc>
        <w:tc>
          <w:tcPr>
            <w:tcW w:w="246" w:type="pct"/>
            <w:tcBorders>
              <w:top w:val="nil"/>
              <w:left w:val="nil"/>
              <w:bottom w:val="single" w:sz="4" w:space="0" w:color="auto"/>
              <w:right w:val="single" w:sz="4" w:space="0" w:color="auto"/>
            </w:tcBorders>
            <w:tcMar>
              <w:top w:w="15" w:type="dxa"/>
              <w:left w:w="15" w:type="dxa"/>
              <w:bottom w:w="0" w:type="dxa"/>
              <w:right w:w="15" w:type="dxa"/>
            </w:tcMar>
            <w:vAlign w:val="bottom"/>
          </w:tcPr>
          <w:p w:rsidR="009E3D9C" w:rsidRPr="00762F09" w:rsidRDefault="009E3D9C" w:rsidP="00E52246">
            <w:pPr>
              <w:pStyle w:val="Heading4"/>
              <w:spacing w:before="100" w:beforeAutospacing="1" w:after="100" w:afterAutospacing="1"/>
              <w:rPr>
                <w:rFonts w:eastAsia="Arial Unicode MS"/>
                <w:szCs w:val="24"/>
              </w:rPr>
            </w:pPr>
            <w:r w:rsidRPr="00762F09">
              <w:rPr>
                <w:szCs w:val="24"/>
              </w:rPr>
              <w:t>FTE</w:t>
            </w:r>
          </w:p>
        </w:tc>
        <w:tc>
          <w:tcPr>
            <w:tcW w:w="368" w:type="pct"/>
            <w:tcBorders>
              <w:top w:val="nil"/>
              <w:left w:val="nil"/>
              <w:bottom w:val="single" w:sz="4" w:space="0" w:color="auto"/>
              <w:right w:val="single" w:sz="4" w:space="0" w:color="auto"/>
            </w:tcBorders>
            <w:tcMar>
              <w:top w:w="15" w:type="dxa"/>
              <w:left w:w="15" w:type="dxa"/>
              <w:bottom w:w="0" w:type="dxa"/>
              <w:right w:w="15" w:type="dxa"/>
            </w:tcMar>
            <w:vAlign w:val="bottom"/>
          </w:tcPr>
          <w:p w:rsidR="009E3D9C" w:rsidRPr="00762F09" w:rsidRDefault="009E3D9C" w:rsidP="00E52246">
            <w:pPr>
              <w:spacing w:before="100" w:beforeAutospacing="1" w:after="100" w:afterAutospacing="1"/>
              <w:jc w:val="center"/>
              <w:rPr>
                <w:rFonts w:eastAsia="Arial Unicode MS"/>
                <w:b/>
              </w:rPr>
            </w:pPr>
            <w:r w:rsidRPr="00762F09">
              <w:rPr>
                <w:b/>
              </w:rPr>
              <w:t>$000</w:t>
            </w:r>
          </w:p>
        </w:tc>
        <w:tc>
          <w:tcPr>
            <w:tcW w:w="2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E3D9C" w:rsidRPr="00762F09" w:rsidRDefault="009E3D9C" w:rsidP="00E52246">
            <w:pPr>
              <w:pStyle w:val="Heading4"/>
              <w:spacing w:before="100" w:beforeAutospacing="1" w:after="100" w:afterAutospacing="1"/>
              <w:rPr>
                <w:rFonts w:eastAsia="Arial Unicode MS"/>
                <w:szCs w:val="24"/>
              </w:rPr>
            </w:pPr>
            <w:r w:rsidRPr="00762F09">
              <w:rPr>
                <w:szCs w:val="24"/>
              </w:rPr>
              <w:t>FTE</w:t>
            </w:r>
          </w:p>
        </w:tc>
        <w:tc>
          <w:tcPr>
            <w:tcW w:w="374"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E3D9C" w:rsidRPr="00762F09" w:rsidRDefault="009E3D9C" w:rsidP="00E52246">
            <w:pPr>
              <w:spacing w:before="100" w:beforeAutospacing="1" w:after="100" w:afterAutospacing="1"/>
              <w:jc w:val="center"/>
              <w:rPr>
                <w:rFonts w:eastAsia="Arial Unicode MS"/>
                <w:b/>
              </w:rPr>
            </w:pPr>
            <w:r w:rsidRPr="00762F09">
              <w:rPr>
                <w:b/>
              </w:rPr>
              <w:t>$000</w:t>
            </w:r>
          </w:p>
        </w:tc>
        <w:tc>
          <w:tcPr>
            <w:tcW w:w="2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E3D9C" w:rsidRPr="00762F09" w:rsidRDefault="009E3D9C" w:rsidP="00E52246">
            <w:pPr>
              <w:spacing w:before="100" w:beforeAutospacing="1" w:after="100" w:afterAutospacing="1"/>
              <w:jc w:val="center"/>
              <w:rPr>
                <w:rFonts w:eastAsia="Arial Unicode MS"/>
                <w:b/>
              </w:rPr>
            </w:pPr>
            <w:r w:rsidRPr="00762F09">
              <w:rPr>
                <w:b/>
              </w:rPr>
              <w:t>FTE</w:t>
            </w:r>
          </w:p>
        </w:tc>
        <w:tc>
          <w:tcPr>
            <w:tcW w:w="374" w:type="pct"/>
            <w:tcBorders>
              <w:top w:val="nil"/>
              <w:left w:val="nil"/>
              <w:bottom w:val="single" w:sz="4" w:space="0" w:color="auto"/>
              <w:right w:val="single" w:sz="4" w:space="0" w:color="auto"/>
            </w:tcBorders>
            <w:tcMar>
              <w:top w:w="15" w:type="dxa"/>
              <w:left w:w="15" w:type="dxa"/>
              <w:bottom w:w="0" w:type="dxa"/>
              <w:right w:w="15" w:type="dxa"/>
            </w:tcMar>
            <w:vAlign w:val="bottom"/>
          </w:tcPr>
          <w:p w:rsidR="009E3D9C" w:rsidRPr="00762F09" w:rsidRDefault="009E3D9C" w:rsidP="00E52246">
            <w:pPr>
              <w:spacing w:before="100" w:beforeAutospacing="1" w:after="100" w:afterAutospacing="1"/>
              <w:jc w:val="center"/>
              <w:rPr>
                <w:rFonts w:eastAsia="Arial Unicode MS"/>
                <w:b/>
              </w:rPr>
            </w:pPr>
            <w:r w:rsidRPr="00762F09">
              <w:rPr>
                <w:b/>
              </w:rPr>
              <w:t>$000</w:t>
            </w:r>
          </w:p>
        </w:tc>
        <w:tc>
          <w:tcPr>
            <w:tcW w:w="25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3D9C" w:rsidRPr="00762F09" w:rsidRDefault="009E3D9C" w:rsidP="00E52246">
            <w:pPr>
              <w:spacing w:before="100" w:beforeAutospacing="1" w:after="100" w:afterAutospacing="1"/>
              <w:jc w:val="center"/>
              <w:rPr>
                <w:rFonts w:eastAsia="Arial Unicode MS"/>
                <w:b/>
              </w:rPr>
            </w:pPr>
            <w:r w:rsidRPr="00762F09">
              <w:rPr>
                <w:b/>
              </w:rPr>
              <w:t>FTE</w:t>
            </w:r>
          </w:p>
        </w:tc>
        <w:tc>
          <w:tcPr>
            <w:tcW w:w="515" w:type="pct"/>
            <w:tcBorders>
              <w:top w:val="nil"/>
              <w:left w:val="nil"/>
              <w:bottom w:val="single" w:sz="4" w:space="0" w:color="auto"/>
              <w:right w:val="single" w:sz="4" w:space="0" w:color="auto"/>
            </w:tcBorders>
            <w:tcMar>
              <w:top w:w="15" w:type="dxa"/>
              <w:left w:w="15" w:type="dxa"/>
              <w:bottom w:w="0" w:type="dxa"/>
              <w:right w:w="15" w:type="dxa"/>
            </w:tcMar>
            <w:vAlign w:val="bottom"/>
          </w:tcPr>
          <w:p w:rsidR="009E3D9C" w:rsidRPr="00762F09" w:rsidRDefault="009E3D9C" w:rsidP="00E52246">
            <w:pPr>
              <w:spacing w:before="100" w:beforeAutospacing="1" w:after="100" w:afterAutospacing="1"/>
              <w:jc w:val="center"/>
              <w:rPr>
                <w:rFonts w:eastAsia="Arial Unicode MS"/>
                <w:b/>
              </w:rPr>
            </w:pPr>
            <w:r w:rsidRPr="00762F09">
              <w:rPr>
                <w:b/>
              </w:rPr>
              <w:t>$000</w:t>
            </w:r>
          </w:p>
        </w:tc>
        <w:tc>
          <w:tcPr>
            <w:tcW w:w="25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3D9C" w:rsidRPr="00762F09" w:rsidRDefault="009E3D9C" w:rsidP="00E52246">
            <w:pPr>
              <w:spacing w:before="100" w:beforeAutospacing="1" w:after="100" w:afterAutospacing="1"/>
              <w:jc w:val="center"/>
              <w:rPr>
                <w:rFonts w:eastAsia="Arial Unicode MS"/>
                <w:b/>
              </w:rPr>
            </w:pPr>
            <w:r w:rsidRPr="00762F09">
              <w:rPr>
                <w:rFonts w:eastAsia="Arial Unicode MS"/>
                <w:b/>
              </w:rPr>
              <w:t>FTE</w:t>
            </w:r>
          </w:p>
        </w:tc>
        <w:tc>
          <w:tcPr>
            <w:tcW w:w="496" w:type="pct"/>
            <w:tcBorders>
              <w:top w:val="nil"/>
              <w:left w:val="nil"/>
              <w:bottom w:val="single" w:sz="4" w:space="0" w:color="auto"/>
              <w:right w:val="single" w:sz="4" w:space="0" w:color="auto"/>
            </w:tcBorders>
            <w:vAlign w:val="bottom"/>
          </w:tcPr>
          <w:p w:rsidR="009E3D9C" w:rsidRPr="00762F09" w:rsidRDefault="009E3D9C" w:rsidP="00E52246">
            <w:pPr>
              <w:spacing w:before="100" w:beforeAutospacing="1" w:after="100" w:afterAutospacing="1"/>
              <w:jc w:val="center"/>
              <w:rPr>
                <w:rFonts w:eastAsia="Arial Unicode MS"/>
                <w:b/>
              </w:rPr>
            </w:pPr>
            <w:r w:rsidRPr="00762F09">
              <w:rPr>
                <w:rFonts w:eastAsia="Arial Unicode MS"/>
                <w:b/>
              </w:rPr>
              <w:t>$000</w:t>
            </w:r>
          </w:p>
        </w:tc>
      </w:tr>
      <w:tr w:rsidR="009E3D9C" w:rsidRPr="00762F09" w:rsidTr="006D2CB5">
        <w:trPr>
          <w:trHeight w:val="227"/>
        </w:trPr>
        <w:tc>
          <w:tcPr>
            <w:tcW w:w="1625" w:type="pct"/>
            <w:vMerge/>
            <w:tcBorders>
              <w:top w:val="single" w:sz="4" w:space="0" w:color="auto"/>
              <w:left w:val="single" w:sz="8" w:space="0" w:color="auto"/>
              <w:bottom w:val="single" w:sz="4" w:space="0" w:color="auto"/>
              <w:right w:val="single" w:sz="4" w:space="0" w:color="000000"/>
            </w:tcBorders>
            <w:vAlign w:val="center"/>
          </w:tcPr>
          <w:p w:rsidR="009E3D9C" w:rsidRPr="00762F09" w:rsidRDefault="009E3D9C" w:rsidP="00E52246">
            <w:pPr>
              <w:spacing w:before="100" w:beforeAutospacing="1" w:after="100" w:afterAutospacing="1"/>
              <w:rPr>
                <w:rFonts w:eastAsia="Arial Unicode MS"/>
                <w:b/>
              </w:rPr>
            </w:pPr>
          </w:p>
        </w:tc>
        <w:tc>
          <w:tcPr>
            <w:tcW w:w="246" w:type="pct"/>
            <w:tcBorders>
              <w:top w:val="nil"/>
              <w:left w:val="nil"/>
              <w:bottom w:val="single" w:sz="4" w:space="0" w:color="auto"/>
              <w:right w:val="nil"/>
            </w:tcBorders>
            <w:noWrap/>
            <w:tcMar>
              <w:top w:w="15" w:type="dxa"/>
              <w:left w:w="15" w:type="dxa"/>
              <w:bottom w:w="0" w:type="dxa"/>
              <w:right w:w="15" w:type="dxa"/>
            </w:tcMar>
            <w:vAlign w:val="bottom"/>
          </w:tcPr>
          <w:p w:rsidR="009E3D9C" w:rsidRPr="00762F09" w:rsidRDefault="009E3D9C" w:rsidP="00E52246">
            <w:pPr>
              <w:spacing w:before="100" w:beforeAutospacing="1" w:after="100" w:afterAutospacing="1"/>
              <w:ind w:left="-25"/>
              <w:jc w:val="center"/>
              <w:rPr>
                <w:rFonts w:eastAsia="Arial Unicode MS"/>
                <w:b/>
              </w:rPr>
            </w:pPr>
            <w:r w:rsidRPr="00762F09">
              <w:rPr>
                <w:rFonts w:eastAsia="Arial Unicode MS"/>
                <w:b/>
              </w:rPr>
              <w:t>1,3</w:t>
            </w:r>
            <w:r>
              <w:rPr>
                <w:rFonts w:eastAsia="Arial Unicode MS"/>
                <w:b/>
              </w:rPr>
              <w:t>21</w:t>
            </w:r>
          </w:p>
        </w:tc>
        <w:tc>
          <w:tcPr>
            <w:tcW w:w="36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E3D9C" w:rsidRPr="00762F09" w:rsidRDefault="009E3D9C" w:rsidP="00E52246">
            <w:pPr>
              <w:spacing w:before="100" w:beforeAutospacing="1" w:after="100" w:afterAutospacing="1"/>
              <w:ind w:left="-25"/>
              <w:jc w:val="center"/>
              <w:rPr>
                <w:rFonts w:eastAsia="Arial Unicode MS"/>
                <w:b/>
              </w:rPr>
            </w:pPr>
            <w:r>
              <w:rPr>
                <w:rFonts w:eastAsia="Arial Unicode MS"/>
                <w:b/>
              </w:rPr>
              <w:t>$289,841</w:t>
            </w:r>
          </w:p>
        </w:tc>
        <w:tc>
          <w:tcPr>
            <w:tcW w:w="248" w:type="pct"/>
            <w:tcBorders>
              <w:top w:val="nil"/>
              <w:left w:val="nil"/>
              <w:bottom w:val="single" w:sz="4" w:space="0" w:color="auto"/>
              <w:right w:val="nil"/>
            </w:tcBorders>
            <w:noWrap/>
            <w:tcMar>
              <w:top w:w="15" w:type="dxa"/>
              <w:left w:w="15" w:type="dxa"/>
              <w:bottom w:w="0" w:type="dxa"/>
              <w:right w:w="15" w:type="dxa"/>
            </w:tcMar>
            <w:vAlign w:val="bottom"/>
          </w:tcPr>
          <w:p w:rsidR="009E3D9C" w:rsidRPr="006D63ED" w:rsidRDefault="009E3D9C" w:rsidP="00E52246">
            <w:pPr>
              <w:spacing w:before="100" w:beforeAutospacing="1" w:after="100" w:afterAutospacing="1"/>
              <w:ind w:left="-25"/>
              <w:jc w:val="center"/>
              <w:rPr>
                <w:rFonts w:eastAsia="Arial Unicode MS"/>
                <w:b/>
                <w:highlight w:val="yellow"/>
              </w:rPr>
            </w:pPr>
            <w:r w:rsidRPr="00705006">
              <w:rPr>
                <w:rFonts w:eastAsia="Arial Unicode MS"/>
                <w:b/>
              </w:rPr>
              <w:t>1,32</w:t>
            </w:r>
            <w:r>
              <w:rPr>
                <w:rFonts w:eastAsia="Arial Unicode MS"/>
                <w:b/>
              </w:rPr>
              <w:t>1</w:t>
            </w:r>
          </w:p>
        </w:tc>
        <w:tc>
          <w:tcPr>
            <w:tcW w:w="3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E3D9C" w:rsidRPr="006D63ED" w:rsidRDefault="009E3D9C" w:rsidP="00E52246">
            <w:pPr>
              <w:spacing w:before="100" w:beforeAutospacing="1" w:after="100" w:afterAutospacing="1"/>
              <w:ind w:left="-25"/>
              <w:jc w:val="center"/>
              <w:rPr>
                <w:rFonts w:eastAsia="Arial Unicode MS"/>
                <w:b/>
                <w:highlight w:val="yellow"/>
              </w:rPr>
            </w:pPr>
            <w:r w:rsidRPr="00705006">
              <w:rPr>
                <w:rFonts w:eastAsia="Arial Unicode MS"/>
                <w:b/>
              </w:rPr>
              <w:t>$</w:t>
            </w:r>
            <w:r>
              <w:rPr>
                <w:rFonts w:eastAsia="Arial Unicode MS"/>
                <w:b/>
              </w:rPr>
              <w:t>289,841</w:t>
            </w:r>
          </w:p>
        </w:tc>
        <w:tc>
          <w:tcPr>
            <w:tcW w:w="24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3D9C" w:rsidRPr="00762F09" w:rsidRDefault="009E3D9C" w:rsidP="0064481D">
            <w:pPr>
              <w:spacing w:before="100" w:beforeAutospacing="1" w:after="100" w:afterAutospacing="1"/>
              <w:jc w:val="center"/>
              <w:rPr>
                <w:rFonts w:eastAsia="Arial Unicode MS"/>
                <w:b/>
              </w:rPr>
            </w:pPr>
            <w:r>
              <w:rPr>
                <w:rFonts w:eastAsia="Arial Unicode MS"/>
                <w:b/>
              </w:rPr>
              <w:t>1,</w:t>
            </w:r>
            <w:r w:rsidR="0064481D">
              <w:rPr>
                <w:rFonts w:eastAsia="Arial Unicode MS"/>
                <w:b/>
              </w:rPr>
              <w:t>321</w:t>
            </w:r>
          </w:p>
        </w:tc>
        <w:tc>
          <w:tcPr>
            <w:tcW w:w="37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3D9C" w:rsidRPr="00762F09" w:rsidRDefault="009E3D9C" w:rsidP="00772A05">
            <w:pPr>
              <w:spacing w:before="100" w:beforeAutospacing="1" w:after="100" w:afterAutospacing="1"/>
              <w:jc w:val="center"/>
              <w:rPr>
                <w:rFonts w:eastAsia="Arial Unicode MS"/>
                <w:b/>
              </w:rPr>
            </w:pPr>
            <w:r w:rsidRPr="00762F09">
              <w:rPr>
                <w:rFonts w:eastAsia="Arial Unicode MS"/>
                <w:b/>
              </w:rPr>
              <w:t>$</w:t>
            </w:r>
            <w:r w:rsidR="00635503">
              <w:rPr>
                <w:rFonts w:eastAsia="Arial Unicode MS"/>
                <w:b/>
              </w:rPr>
              <w:t>289,</w:t>
            </w:r>
            <w:r w:rsidR="00772A05">
              <w:rPr>
                <w:rFonts w:eastAsia="Arial Unicode MS"/>
                <w:b/>
              </w:rPr>
              <w:t>842</w:t>
            </w:r>
          </w:p>
        </w:tc>
        <w:tc>
          <w:tcPr>
            <w:tcW w:w="25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3D9C" w:rsidRPr="00705006" w:rsidRDefault="0064481D" w:rsidP="00DB0403">
            <w:pPr>
              <w:spacing w:before="100" w:beforeAutospacing="1" w:after="100" w:afterAutospacing="1"/>
              <w:jc w:val="center"/>
              <w:rPr>
                <w:rFonts w:eastAsia="Arial Unicode MS"/>
                <w:b/>
              </w:rPr>
            </w:pPr>
            <w:r>
              <w:rPr>
                <w:rFonts w:eastAsia="Arial Unicode MS"/>
                <w:b/>
              </w:rPr>
              <w:t>(</w:t>
            </w:r>
            <w:r w:rsidR="00635503">
              <w:rPr>
                <w:rFonts w:eastAsia="Arial Unicode MS"/>
                <w:b/>
              </w:rPr>
              <w:t>8</w:t>
            </w:r>
            <w:r w:rsidR="00DB0403">
              <w:rPr>
                <w:rFonts w:eastAsia="Arial Unicode MS"/>
                <w:b/>
              </w:rPr>
              <w:t>0</w:t>
            </w:r>
            <w:r>
              <w:rPr>
                <w:rFonts w:eastAsia="Arial Unicode MS"/>
                <w:b/>
              </w:rPr>
              <w:t>)</w:t>
            </w:r>
          </w:p>
        </w:tc>
        <w:tc>
          <w:tcPr>
            <w:tcW w:w="51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3D9C" w:rsidRPr="00705006" w:rsidRDefault="0064481D" w:rsidP="00366A78">
            <w:pPr>
              <w:spacing w:before="100" w:beforeAutospacing="1" w:after="100" w:afterAutospacing="1"/>
              <w:jc w:val="center"/>
              <w:rPr>
                <w:rFonts w:eastAsia="Arial Unicode MS"/>
                <w:b/>
              </w:rPr>
            </w:pPr>
            <w:r>
              <w:rPr>
                <w:rFonts w:eastAsia="Arial Unicode MS"/>
                <w:b/>
              </w:rPr>
              <w:t>($</w:t>
            </w:r>
            <w:r w:rsidR="00635503">
              <w:rPr>
                <w:rFonts w:eastAsia="Arial Unicode MS"/>
                <w:b/>
              </w:rPr>
              <w:t>2</w:t>
            </w:r>
            <w:r w:rsidR="00366A78">
              <w:rPr>
                <w:rFonts w:eastAsia="Arial Unicode MS"/>
                <w:b/>
              </w:rPr>
              <w:t>2</w:t>
            </w:r>
            <w:r w:rsidR="00635503">
              <w:rPr>
                <w:rFonts w:eastAsia="Arial Unicode MS"/>
                <w:b/>
              </w:rPr>
              <w:t>,</w:t>
            </w:r>
            <w:r w:rsidR="00DB0403">
              <w:rPr>
                <w:rFonts w:eastAsia="Arial Unicode MS"/>
                <w:b/>
              </w:rPr>
              <w:t>962</w:t>
            </w:r>
            <w:r>
              <w:rPr>
                <w:rFonts w:eastAsia="Arial Unicode MS"/>
                <w:b/>
              </w:rPr>
              <w:t>)</w:t>
            </w:r>
          </w:p>
        </w:tc>
        <w:tc>
          <w:tcPr>
            <w:tcW w:w="25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E3D9C" w:rsidRPr="00705006" w:rsidRDefault="006D2CB5" w:rsidP="00635503">
            <w:pPr>
              <w:spacing w:before="100" w:beforeAutospacing="1" w:after="100" w:afterAutospacing="1"/>
              <w:jc w:val="center"/>
              <w:rPr>
                <w:rFonts w:eastAsia="Arial Unicode MS"/>
                <w:b/>
              </w:rPr>
            </w:pPr>
            <w:r>
              <w:rPr>
                <w:rFonts w:eastAsia="Arial Unicode MS"/>
                <w:b/>
              </w:rPr>
              <w:t>1,</w:t>
            </w:r>
            <w:r w:rsidR="00635503">
              <w:rPr>
                <w:rFonts w:eastAsia="Arial Unicode MS"/>
                <w:b/>
              </w:rPr>
              <w:t>241</w:t>
            </w:r>
          </w:p>
        </w:tc>
        <w:tc>
          <w:tcPr>
            <w:tcW w:w="496" w:type="pct"/>
            <w:tcBorders>
              <w:top w:val="single" w:sz="4" w:space="0" w:color="auto"/>
              <w:left w:val="single" w:sz="4" w:space="0" w:color="auto"/>
              <w:bottom w:val="single" w:sz="4" w:space="0" w:color="auto"/>
              <w:right w:val="single" w:sz="4" w:space="0" w:color="auto"/>
            </w:tcBorders>
            <w:vAlign w:val="bottom"/>
          </w:tcPr>
          <w:p w:rsidR="009E3D9C" w:rsidRPr="00705006" w:rsidRDefault="009E3D9C" w:rsidP="00635503">
            <w:pPr>
              <w:spacing w:before="100" w:beforeAutospacing="1" w:after="100" w:afterAutospacing="1"/>
              <w:jc w:val="center"/>
              <w:rPr>
                <w:rFonts w:eastAsia="Arial Unicode MS"/>
                <w:b/>
              </w:rPr>
            </w:pPr>
            <w:r w:rsidRPr="00705006">
              <w:rPr>
                <w:rFonts w:eastAsia="Arial Unicode MS"/>
                <w:b/>
              </w:rPr>
              <w:t>$</w:t>
            </w:r>
            <w:r w:rsidR="00635503">
              <w:rPr>
                <w:rFonts w:eastAsia="Arial Unicode MS"/>
                <w:b/>
              </w:rPr>
              <w:t>263,878</w:t>
            </w:r>
          </w:p>
        </w:tc>
      </w:tr>
    </w:tbl>
    <w:tbl>
      <w:tblPr>
        <w:tblpPr w:leftFromText="180" w:rightFromText="180" w:vertAnchor="text" w:horzAnchor="margin" w:tblpXSpec="center" w:tblpY="80"/>
        <w:tblW w:w="5548" w:type="pct"/>
        <w:tblLayout w:type="fixed"/>
        <w:tblCellMar>
          <w:left w:w="0" w:type="dxa"/>
          <w:right w:w="0" w:type="dxa"/>
        </w:tblCellMar>
        <w:tblLook w:val="0000"/>
      </w:tblPr>
      <w:tblGrid>
        <w:gridCol w:w="2159"/>
        <w:gridCol w:w="2521"/>
        <w:gridCol w:w="709"/>
        <w:gridCol w:w="193"/>
        <w:gridCol w:w="824"/>
        <w:gridCol w:w="758"/>
        <w:gridCol w:w="37"/>
        <w:gridCol w:w="1005"/>
        <w:gridCol w:w="749"/>
        <w:gridCol w:w="49"/>
        <w:gridCol w:w="1002"/>
        <w:gridCol w:w="760"/>
        <w:gridCol w:w="35"/>
        <w:gridCol w:w="1458"/>
        <w:gridCol w:w="608"/>
        <w:gridCol w:w="107"/>
        <w:gridCol w:w="1429"/>
      </w:tblGrid>
      <w:tr w:rsidR="00AE635A" w:rsidRPr="00762F09" w:rsidTr="00D9443A">
        <w:trPr>
          <w:trHeight w:val="227"/>
        </w:trPr>
        <w:tc>
          <w:tcPr>
            <w:tcW w:w="749" w:type="pct"/>
            <w:vMerge w:val="restart"/>
            <w:tcBorders>
              <w:top w:val="single" w:sz="4" w:space="0" w:color="auto"/>
              <w:left w:val="single" w:sz="4" w:space="0" w:color="auto"/>
              <w:bottom w:val="nil"/>
              <w:right w:val="nil"/>
            </w:tcBorders>
            <w:tcMar>
              <w:top w:w="15" w:type="dxa"/>
              <w:left w:w="15" w:type="dxa"/>
              <w:bottom w:w="0" w:type="dxa"/>
              <w:right w:w="15" w:type="dxa"/>
            </w:tcMar>
            <w:vAlign w:val="center"/>
          </w:tcPr>
          <w:p w:rsidR="00AE635A" w:rsidRPr="00762F09" w:rsidRDefault="00AE635A" w:rsidP="00AE635A">
            <w:pPr>
              <w:spacing w:before="100" w:beforeAutospacing="1" w:after="100" w:afterAutospacing="1"/>
              <w:rPr>
                <w:rFonts w:eastAsia="Arial Unicode MS"/>
                <w:b/>
              </w:rPr>
            </w:pPr>
            <w:r w:rsidRPr="00762F09">
              <w:rPr>
                <w:b/>
              </w:rPr>
              <w:t>Program Activity</w:t>
            </w:r>
          </w:p>
        </w:tc>
        <w:tc>
          <w:tcPr>
            <w:tcW w:w="87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E635A" w:rsidRPr="00A13F4F" w:rsidRDefault="00AE635A" w:rsidP="00AE635A">
            <w:pPr>
              <w:spacing w:before="100" w:beforeAutospacing="1" w:after="100" w:afterAutospacing="1"/>
              <w:rPr>
                <w:rFonts w:eastAsia="Arial Unicode MS"/>
                <w:b/>
                <w:color w:val="FF0000"/>
              </w:rPr>
            </w:pPr>
            <w:r w:rsidRPr="00762F09">
              <w:rPr>
                <w:b/>
              </w:rPr>
              <w:t>Criminal investigations</w:t>
            </w:r>
          </w:p>
        </w:tc>
        <w:tc>
          <w:tcPr>
            <w:tcW w:w="246"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E635A" w:rsidRPr="00762F09" w:rsidRDefault="00AE635A" w:rsidP="00AE635A">
            <w:pPr>
              <w:pStyle w:val="Heading4"/>
              <w:spacing w:before="100" w:beforeAutospacing="1" w:after="100" w:afterAutospacing="1"/>
              <w:rPr>
                <w:rFonts w:eastAsia="Arial Unicode MS"/>
                <w:szCs w:val="24"/>
              </w:rPr>
            </w:pPr>
            <w:r w:rsidRPr="00762F09">
              <w:rPr>
                <w:szCs w:val="24"/>
              </w:rPr>
              <w:t>FTE</w:t>
            </w:r>
          </w:p>
        </w:tc>
        <w:tc>
          <w:tcPr>
            <w:tcW w:w="35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E635A" w:rsidRPr="00762F09" w:rsidRDefault="00AE635A" w:rsidP="00AE635A">
            <w:pPr>
              <w:spacing w:before="100" w:beforeAutospacing="1" w:after="100" w:afterAutospacing="1"/>
              <w:jc w:val="center"/>
              <w:rPr>
                <w:rFonts w:eastAsia="Arial Unicode MS"/>
                <w:b/>
              </w:rPr>
            </w:pPr>
            <w:r w:rsidRPr="00762F09">
              <w:rPr>
                <w:b/>
              </w:rPr>
              <w:t>$000</w:t>
            </w:r>
          </w:p>
        </w:tc>
        <w:tc>
          <w:tcPr>
            <w:tcW w:w="26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E635A" w:rsidRPr="00762F09" w:rsidRDefault="00AE635A" w:rsidP="00AE635A">
            <w:pPr>
              <w:pStyle w:val="Heading4"/>
              <w:spacing w:before="100" w:beforeAutospacing="1" w:after="100" w:afterAutospacing="1"/>
              <w:rPr>
                <w:rFonts w:eastAsia="Arial Unicode MS"/>
                <w:szCs w:val="24"/>
              </w:rPr>
            </w:pPr>
            <w:r w:rsidRPr="00762F09">
              <w:rPr>
                <w:szCs w:val="24"/>
              </w:rPr>
              <w:t>FTE</w:t>
            </w:r>
          </w:p>
        </w:tc>
        <w:tc>
          <w:tcPr>
            <w:tcW w:w="362"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E635A" w:rsidRPr="00762F09" w:rsidRDefault="00AE635A" w:rsidP="00AE635A">
            <w:pPr>
              <w:spacing w:before="100" w:beforeAutospacing="1" w:after="100" w:afterAutospacing="1"/>
              <w:jc w:val="center"/>
              <w:rPr>
                <w:rFonts w:eastAsia="Arial Unicode MS"/>
                <w:b/>
              </w:rPr>
            </w:pPr>
            <w:r w:rsidRPr="00762F09">
              <w:rPr>
                <w:b/>
              </w:rPr>
              <w:t>$000</w:t>
            </w:r>
          </w:p>
        </w:tc>
        <w:tc>
          <w:tcPr>
            <w:tcW w:w="2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E635A" w:rsidRPr="00762F09" w:rsidRDefault="00AE635A" w:rsidP="00AE635A">
            <w:pPr>
              <w:spacing w:before="100" w:beforeAutospacing="1" w:after="100" w:afterAutospacing="1"/>
              <w:jc w:val="center"/>
              <w:rPr>
                <w:rFonts w:eastAsia="Arial Unicode MS"/>
                <w:b/>
              </w:rPr>
            </w:pPr>
            <w:r w:rsidRPr="00762F09">
              <w:rPr>
                <w:b/>
              </w:rPr>
              <w:t>FTE</w:t>
            </w:r>
          </w:p>
        </w:tc>
        <w:tc>
          <w:tcPr>
            <w:tcW w:w="365"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E635A" w:rsidRPr="00762F09" w:rsidRDefault="00AE635A" w:rsidP="00AE635A">
            <w:pPr>
              <w:spacing w:before="100" w:beforeAutospacing="1" w:after="100" w:afterAutospacing="1"/>
              <w:jc w:val="center"/>
              <w:rPr>
                <w:rFonts w:eastAsia="Arial Unicode MS"/>
                <w:b/>
              </w:rPr>
            </w:pPr>
            <w:r w:rsidRPr="00762F09">
              <w:rPr>
                <w:b/>
              </w:rPr>
              <w:t>$000</w:t>
            </w:r>
          </w:p>
        </w:tc>
        <w:tc>
          <w:tcPr>
            <w:tcW w:w="26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E635A" w:rsidRPr="00762F09" w:rsidRDefault="00AE635A" w:rsidP="00AE635A">
            <w:pPr>
              <w:spacing w:before="100" w:beforeAutospacing="1" w:after="100" w:afterAutospacing="1"/>
              <w:jc w:val="center"/>
              <w:rPr>
                <w:rFonts w:eastAsia="Arial Unicode MS"/>
                <w:b/>
              </w:rPr>
            </w:pPr>
            <w:r w:rsidRPr="00762F09">
              <w:rPr>
                <w:b/>
              </w:rPr>
              <w:t>FTE</w:t>
            </w:r>
          </w:p>
        </w:tc>
        <w:tc>
          <w:tcPr>
            <w:tcW w:w="518"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E635A" w:rsidRPr="00762F09" w:rsidRDefault="00AE635A" w:rsidP="00AE635A">
            <w:pPr>
              <w:spacing w:before="100" w:beforeAutospacing="1" w:after="100" w:afterAutospacing="1"/>
              <w:jc w:val="center"/>
              <w:rPr>
                <w:rFonts w:eastAsia="Arial Unicode MS"/>
                <w:b/>
              </w:rPr>
            </w:pPr>
            <w:r w:rsidRPr="00762F09">
              <w:rPr>
                <w:b/>
              </w:rPr>
              <w:t>$000</w:t>
            </w:r>
          </w:p>
        </w:tc>
        <w:tc>
          <w:tcPr>
            <w:tcW w:w="2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E635A" w:rsidRPr="00762F09" w:rsidRDefault="00AE635A" w:rsidP="00AE635A">
            <w:pPr>
              <w:spacing w:before="100" w:beforeAutospacing="1" w:after="100" w:afterAutospacing="1"/>
              <w:jc w:val="center"/>
              <w:rPr>
                <w:rFonts w:eastAsia="Arial Unicode MS"/>
                <w:b/>
              </w:rPr>
            </w:pPr>
            <w:r w:rsidRPr="00762F09">
              <w:rPr>
                <w:rFonts w:eastAsia="Arial Unicode MS"/>
                <w:b/>
              </w:rPr>
              <w:t>FTE</w:t>
            </w:r>
          </w:p>
        </w:tc>
        <w:tc>
          <w:tcPr>
            <w:tcW w:w="533" w:type="pct"/>
            <w:gridSpan w:val="2"/>
            <w:tcBorders>
              <w:top w:val="single" w:sz="4" w:space="0" w:color="auto"/>
              <w:left w:val="single" w:sz="4" w:space="0" w:color="auto"/>
              <w:bottom w:val="single" w:sz="4" w:space="0" w:color="auto"/>
              <w:right w:val="single" w:sz="4" w:space="0" w:color="auto"/>
            </w:tcBorders>
            <w:vAlign w:val="bottom"/>
          </w:tcPr>
          <w:p w:rsidR="00AE635A" w:rsidRPr="00762F09" w:rsidRDefault="00AE635A" w:rsidP="00AE635A">
            <w:pPr>
              <w:spacing w:before="100" w:beforeAutospacing="1" w:after="100" w:afterAutospacing="1"/>
              <w:jc w:val="center"/>
              <w:rPr>
                <w:rFonts w:eastAsia="Arial Unicode MS"/>
                <w:b/>
              </w:rPr>
            </w:pPr>
            <w:r w:rsidRPr="00762F09">
              <w:rPr>
                <w:rFonts w:eastAsia="Arial Unicode MS"/>
                <w:b/>
              </w:rPr>
              <w:t>$000</w:t>
            </w:r>
          </w:p>
        </w:tc>
      </w:tr>
      <w:tr w:rsidR="00AE635A" w:rsidRPr="00762F09" w:rsidTr="00D9443A">
        <w:trPr>
          <w:trHeight w:val="294"/>
        </w:trPr>
        <w:tc>
          <w:tcPr>
            <w:tcW w:w="749" w:type="pct"/>
            <w:vMerge/>
            <w:tcBorders>
              <w:top w:val="nil"/>
              <w:left w:val="single" w:sz="4" w:space="0" w:color="auto"/>
              <w:bottom w:val="single" w:sz="4" w:space="0" w:color="auto"/>
              <w:right w:val="nil"/>
            </w:tcBorders>
            <w:vAlign w:val="center"/>
          </w:tcPr>
          <w:p w:rsidR="00AE635A" w:rsidRPr="00762F09" w:rsidRDefault="00AE635A" w:rsidP="00AE635A">
            <w:pPr>
              <w:spacing w:before="100" w:beforeAutospacing="1" w:after="100" w:afterAutospacing="1"/>
              <w:rPr>
                <w:rFonts w:eastAsia="Arial Unicode MS"/>
                <w:b/>
              </w:rPr>
            </w:pPr>
          </w:p>
        </w:tc>
        <w:tc>
          <w:tcPr>
            <w:tcW w:w="875" w:type="pct"/>
            <w:vMerge/>
            <w:tcBorders>
              <w:top w:val="nil"/>
              <w:left w:val="single" w:sz="4" w:space="0" w:color="auto"/>
              <w:bottom w:val="single" w:sz="4" w:space="0" w:color="auto"/>
              <w:right w:val="single" w:sz="4" w:space="0" w:color="auto"/>
            </w:tcBorders>
            <w:vAlign w:val="center"/>
          </w:tcPr>
          <w:p w:rsidR="00AE635A" w:rsidRPr="00762F09" w:rsidRDefault="00AE635A" w:rsidP="00AE635A">
            <w:pPr>
              <w:spacing w:before="100" w:beforeAutospacing="1" w:after="100" w:afterAutospacing="1"/>
              <w:rPr>
                <w:rFonts w:eastAsia="Arial Unicode MS"/>
                <w:b/>
              </w:rPr>
            </w:pPr>
          </w:p>
        </w:tc>
        <w:tc>
          <w:tcPr>
            <w:tcW w:w="246" w:type="pct"/>
            <w:tcBorders>
              <w:top w:val="nil"/>
              <w:left w:val="nil"/>
              <w:bottom w:val="single" w:sz="4" w:space="0" w:color="auto"/>
              <w:right w:val="nil"/>
            </w:tcBorders>
            <w:noWrap/>
            <w:tcMar>
              <w:top w:w="15" w:type="dxa"/>
              <w:left w:w="15" w:type="dxa"/>
              <w:bottom w:w="0" w:type="dxa"/>
              <w:right w:w="15" w:type="dxa"/>
            </w:tcMar>
            <w:vAlign w:val="bottom"/>
          </w:tcPr>
          <w:p w:rsidR="00AE635A" w:rsidRPr="00762F09" w:rsidRDefault="00AE635A" w:rsidP="00AE635A">
            <w:pPr>
              <w:spacing w:before="100" w:beforeAutospacing="1" w:after="100" w:afterAutospacing="1"/>
              <w:jc w:val="center"/>
              <w:rPr>
                <w:rFonts w:eastAsia="Arial Unicode MS"/>
                <w:b/>
              </w:rPr>
            </w:pPr>
            <w:r>
              <w:rPr>
                <w:rFonts w:eastAsia="Arial Unicode MS"/>
                <w:b/>
              </w:rPr>
              <w:t>938</w:t>
            </w:r>
          </w:p>
        </w:tc>
        <w:tc>
          <w:tcPr>
            <w:tcW w:w="353"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E635A" w:rsidRPr="00762F09" w:rsidRDefault="00AE635A" w:rsidP="00366A78">
            <w:pPr>
              <w:spacing w:before="100" w:beforeAutospacing="1" w:after="100" w:afterAutospacing="1"/>
              <w:jc w:val="center"/>
              <w:rPr>
                <w:rFonts w:eastAsia="Arial Unicode MS"/>
                <w:b/>
              </w:rPr>
            </w:pPr>
            <w:r w:rsidRPr="00762F09">
              <w:rPr>
                <w:rFonts w:eastAsia="Arial Unicode MS"/>
                <w:b/>
              </w:rPr>
              <w:t>$</w:t>
            </w:r>
            <w:r>
              <w:rPr>
                <w:rFonts w:eastAsia="Arial Unicode MS"/>
                <w:b/>
              </w:rPr>
              <w:t>219,4</w:t>
            </w:r>
            <w:r w:rsidR="00366A78">
              <w:rPr>
                <w:rFonts w:eastAsia="Arial Unicode MS"/>
                <w:b/>
              </w:rPr>
              <w:t>26</w:t>
            </w:r>
          </w:p>
        </w:tc>
        <w:tc>
          <w:tcPr>
            <w:tcW w:w="263" w:type="pct"/>
            <w:tcBorders>
              <w:top w:val="nil"/>
              <w:left w:val="nil"/>
              <w:bottom w:val="single" w:sz="4" w:space="0" w:color="auto"/>
              <w:right w:val="nil"/>
            </w:tcBorders>
            <w:noWrap/>
            <w:tcMar>
              <w:top w:w="15" w:type="dxa"/>
              <w:left w:w="15" w:type="dxa"/>
              <w:bottom w:w="0" w:type="dxa"/>
              <w:right w:w="15" w:type="dxa"/>
            </w:tcMar>
            <w:vAlign w:val="bottom"/>
          </w:tcPr>
          <w:p w:rsidR="00AE635A" w:rsidRPr="006D63ED" w:rsidRDefault="00AE635A" w:rsidP="00AE635A">
            <w:pPr>
              <w:spacing w:before="100" w:beforeAutospacing="1" w:after="100" w:afterAutospacing="1"/>
              <w:jc w:val="center"/>
              <w:rPr>
                <w:rFonts w:eastAsia="Arial Unicode MS"/>
                <w:b/>
                <w:highlight w:val="yellow"/>
              </w:rPr>
            </w:pPr>
            <w:r>
              <w:rPr>
                <w:rFonts w:eastAsia="Arial Unicode MS"/>
                <w:b/>
              </w:rPr>
              <w:t>938</w:t>
            </w:r>
          </w:p>
        </w:tc>
        <w:tc>
          <w:tcPr>
            <w:tcW w:w="362"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E635A" w:rsidRPr="006D63ED" w:rsidRDefault="00AE635A" w:rsidP="00366A78">
            <w:pPr>
              <w:spacing w:before="100" w:beforeAutospacing="1" w:after="100" w:afterAutospacing="1"/>
              <w:jc w:val="center"/>
              <w:rPr>
                <w:rFonts w:eastAsia="Arial Unicode MS"/>
                <w:b/>
                <w:highlight w:val="yellow"/>
              </w:rPr>
            </w:pPr>
            <w:r w:rsidRPr="00705006">
              <w:rPr>
                <w:rFonts w:eastAsia="Arial Unicode MS"/>
                <w:b/>
              </w:rPr>
              <w:t>$</w:t>
            </w:r>
            <w:r>
              <w:rPr>
                <w:rFonts w:eastAsia="Arial Unicode MS"/>
                <w:b/>
              </w:rPr>
              <w:t>219,4</w:t>
            </w:r>
            <w:r w:rsidR="00366A78">
              <w:rPr>
                <w:rFonts w:eastAsia="Arial Unicode MS"/>
                <w:b/>
              </w:rPr>
              <w:t>26</w:t>
            </w:r>
          </w:p>
        </w:tc>
        <w:tc>
          <w:tcPr>
            <w:tcW w:w="2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E635A" w:rsidRPr="00762F09" w:rsidRDefault="00F4114F" w:rsidP="00F4114F">
            <w:pPr>
              <w:spacing w:before="100" w:beforeAutospacing="1" w:after="100" w:afterAutospacing="1"/>
              <w:jc w:val="center"/>
              <w:rPr>
                <w:rFonts w:eastAsia="Arial Unicode MS"/>
                <w:b/>
              </w:rPr>
            </w:pPr>
            <w:r>
              <w:rPr>
                <w:rFonts w:eastAsia="Arial Unicode MS"/>
                <w:b/>
              </w:rPr>
              <w:t>938</w:t>
            </w:r>
          </w:p>
        </w:tc>
        <w:tc>
          <w:tcPr>
            <w:tcW w:w="365"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AE635A" w:rsidRPr="00762F09" w:rsidRDefault="00AE635A" w:rsidP="00635503">
            <w:pPr>
              <w:spacing w:before="100" w:beforeAutospacing="1" w:after="100" w:afterAutospacing="1"/>
              <w:jc w:val="center"/>
              <w:rPr>
                <w:rFonts w:eastAsia="Arial Unicode MS"/>
                <w:b/>
              </w:rPr>
            </w:pPr>
            <w:r w:rsidRPr="00762F09">
              <w:rPr>
                <w:rFonts w:eastAsia="Arial Unicode MS"/>
                <w:b/>
              </w:rPr>
              <w:t>$</w:t>
            </w:r>
            <w:r w:rsidR="00635503">
              <w:rPr>
                <w:rFonts w:eastAsia="Arial Unicode MS"/>
                <w:b/>
              </w:rPr>
              <w:t>219,426</w:t>
            </w:r>
          </w:p>
        </w:tc>
        <w:tc>
          <w:tcPr>
            <w:tcW w:w="26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E635A" w:rsidRPr="00E37F6B" w:rsidRDefault="00F4114F" w:rsidP="00460AB0">
            <w:pPr>
              <w:spacing w:before="100" w:beforeAutospacing="1" w:after="100" w:afterAutospacing="1"/>
              <w:jc w:val="center"/>
              <w:rPr>
                <w:rFonts w:eastAsia="Arial Unicode MS"/>
                <w:b/>
                <w:highlight w:val="yellow"/>
              </w:rPr>
            </w:pPr>
            <w:r>
              <w:rPr>
                <w:rFonts w:eastAsia="Arial Unicode MS"/>
                <w:b/>
              </w:rPr>
              <w:t>(</w:t>
            </w:r>
            <w:r w:rsidR="00635503">
              <w:rPr>
                <w:rFonts w:eastAsia="Arial Unicode MS"/>
                <w:b/>
              </w:rPr>
              <w:t>5</w:t>
            </w:r>
            <w:r w:rsidR="00460AB0">
              <w:rPr>
                <w:rFonts w:eastAsia="Arial Unicode MS"/>
                <w:b/>
              </w:rPr>
              <w:t>7</w:t>
            </w:r>
            <w:r>
              <w:rPr>
                <w:rFonts w:eastAsia="Arial Unicode MS"/>
                <w:b/>
              </w:rPr>
              <w:t>)</w:t>
            </w:r>
          </w:p>
        </w:tc>
        <w:tc>
          <w:tcPr>
            <w:tcW w:w="518"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AE635A" w:rsidRPr="00E37F6B" w:rsidRDefault="00F4114F" w:rsidP="00DB0403">
            <w:pPr>
              <w:spacing w:before="100" w:beforeAutospacing="1" w:after="100" w:afterAutospacing="1"/>
              <w:jc w:val="center"/>
              <w:rPr>
                <w:rFonts w:eastAsia="Arial Unicode MS"/>
                <w:b/>
                <w:highlight w:val="yellow"/>
              </w:rPr>
            </w:pPr>
            <w:r>
              <w:rPr>
                <w:rFonts w:eastAsia="Arial Unicode MS"/>
                <w:b/>
              </w:rPr>
              <w:t>(</w:t>
            </w:r>
            <w:r w:rsidR="00AE635A">
              <w:rPr>
                <w:rFonts w:eastAsia="Arial Unicode MS"/>
                <w:b/>
              </w:rPr>
              <w:t>$</w:t>
            </w:r>
            <w:r w:rsidR="00DB0403">
              <w:rPr>
                <w:rFonts w:eastAsia="Arial Unicode MS"/>
                <w:b/>
              </w:rPr>
              <w:t>20,058</w:t>
            </w:r>
            <w:r>
              <w:rPr>
                <w:rFonts w:eastAsia="Arial Unicode MS"/>
                <w:b/>
              </w:rPr>
              <w:t>)</w:t>
            </w:r>
          </w:p>
        </w:tc>
        <w:tc>
          <w:tcPr>
            <w:tcW w:w="2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E635A" w:rsidRPr="00705006" w:rsidRDefault="00635503" w:rsidP="00635503">
            <w:pPr>
              <w:spacing w:before="100" w:beforeAutospacing="1" w:after="100" w:afterAutospacing="1"/>
              <w:jc w:val="center"/>
              <w:rPr>
                <w:rFonts w:eastAsia="Arial Unicode MS"/>
                <w:b/>
              </w:rPr>
            </w:pPr>
            <w:r>
              <w:rPr>
                <w:rFonts w:eastAsia="Arial Unicode MS"/>
                <w:b/>
              </w:rPr>
              <w:t>881</w:t>
            </w:r>
          </w:p>
        </w:tc>
        <w:tc>
          <w:tcPr>
            <w:tcW w:w="533" w:type="pct"/>
            <w:gridSpan w:val="2"/>
            <w:tcBorders>
              <w:top w:val="single" w:sz="4" w:space="0" w:color="auto"/>
              <w:left w:val="nil"/>
              <w:bottom w:val="single" w:sz="4" w:space="0" w:color="auto"/>
              <w:right w:val="single" w:sz="4" w:space="0" w:color="auto"/>
            </w:tcBorders>
            <w:vAlign w:val="bottom"/>
          </w:tcPr>
          <w:p w:rsidR="00AE635A" w:rsidRPr="00705006" w:rsidRDefault="00AE635A" w:rsidP="00635503">
            <w:pPr>
              <w:spacing w:before="100" w:beforeAutospacing="1" w:after="100" w:afterAutospacing="1"/>
              <w:jc w:val="center"/>
              <w:rPr>
                <w:rFonts w:eastAsia="Arial Unicode MS"/>
                <w:b/>
              </w:rPr>
            </w:pPr>
            <w:r w:rsidRPr="00705006">
              <w:rPr>
                <w:rFonts w:eastAsia="Arial Unicode MS"/>
                <w:b/>
              </w:rPr>
              <w:t>$</w:t>
            </w:r>
            <w:r w:rsidR="00635503">
              <w:rPr>
                <w:rFonts w:eastAsia="Arial Unicode MS"/>
                <w:b/>
              </w:rPr>
              <w:t>199,368</w:t>
            </w:r>
          </w:p>
        </w:tc>
      </w:tr>
      <w:tr w:rsidR="00AE635A" w:rsidRPr="00762F09" w:rsidTr="00D9443A">
        <w:trPr>
          <w:trHeight w:val="938"/>
        </w:trPr>
        <w:tc>
          <w:tcPr>
            <w:tcW w:w="749" w:type="pct"/>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AE635A" w:rsidRPr="00762F09" w:rsidRDefault="00AE635A" w:rsidP="00AE635A">
            <w:pPr>
              <w:spacing w:before="100" w:beforeAutospacing="1" w:after="100" w:afterAutospacing="1"/>
              <w:rPr>
                <w:rFonts w:eastAsia="Arial Unicode MS"/>
              </w:rPr>
            </w:pPr>
            <w:r>
              <w:rPr>
                <w:rFonts w:eastAsia="Arial Unicode MS"/>
              </w:rPr>
              <w:t>OUTCOME  Measure</w:t>
            </w:r>
          </w:p>
        </w:tc>
        <w:tc>
          <w:tcPr>
            <w:tcW w:w="875" w:type="pct"/>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AE635A" w:rsidRPr="00762F09" w:rsidRDefault="00AE635A" w:rsidP="00AE635A">
            <w:pPr>
              <w:spacing w:before="100" w:beforeAutospacing="1" w:after="100" w:afterAutospacing="1"/>
              <w:rPr>
                <w:rStyle w:val="explanation"/>
                <w:sz w:val="22"/>
                <w:szCs w:val="22"/>
              </w:rPr>
            </w:pPr>
            <w:r>
              <w:rPr>
                <w:rStyle w:val="explanation"/>
                <w:sz w:val="22"/>
                <w:szCs w:val="22"/>
              </w:rPr>
              <w:t>Reduce the risk to public safety caused by bomb and explosives</w:t>
            </w:r>
          </w:p>
        </w:tc>
        <w:tc>
          <w:tcPr>
            <w:tcW w:w="599" w:type="pct"/>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E635A" w:rsidRDefault="00AE635A" w:rsidP="00AE635A">
            <w:pPr>
              <w:spacing w:before="100" w:beforeAutospacing="1" w:after="100" w:afterAutospacing="1"/>
              <w:jc w:val="center"/>
              <w:rPr>
                <w:rFonts w:eastAsia="Arial Unicode MS"/>
              </w:rPr>
            </w:pPr>
            <w:r>
              <w:rPr>
                <w:rFonts w:eastAsia="Arial Unicode MS"/>
              </w:rPr>
              <w:t>N/A</w:t>
            </w:r>
          </w:p>
        </w:tc>
        <w:tc>
          <w:tcPr>
            <w:tcW w:w="625" w:type="pct"/>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AE635A" w:rsidRPr="00705006" w:rsidDel="00CA1169" w:rsidRDefault="00366A78" w:rsidP="00FB4170">
            <w:pPr>
              <w:spacing w:before="100" w:beforeAutospacing="1" w:after="100" w:afterAutospacing="1"/>
              <w:jc w:val="center"/>
              <w:rPr>
                <w:rFonts w:eastAsia="Arial Unicode MS"/>
              </w:rPr>
            </w:pPr>
            <w:r>
              <w:rPr>
                <w:rFonts w:eastAsia="Arial Unicode MS"/>
              </w:rPr>
              <w:t>92.8</w:t>
            </w:r>
          </w:p>
        </w:tc>
        <w:tc>
          <w:tcPr>
            <w:tcW w:w="625" w:type="pct"/>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AE635A" w:rsidRPr="00705006" w:rsidDel="00CA1169" w:rsidRDefault="000603C2" w:rsidP="00FB4170">
            <w:pPr>
              <w:spacing w:before="100" w:beforeAutospacing="1" w:after="100" w:afterAutospacing="1"/>
              <w:jc w:val="center"/>
              <w:rPr>
                <w:rFonts w:eastAsia="Arial Unicode MS"/>
              </w:rPr>
            </w:pPr>
            <w:r>
              <w:rPr>
                <w:rFonts w:eastAsia="Arial Unicode MS"/>
              </w:rPr>
              <w:t>88</w:t>
            </w:r>
          </w:p>
        </w:tc>
        <w:tc>
          <w:tcPr>
            <w:tcW w:w="782" w:type="pct"/>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AE635A" w:rsidRPr="00705006" w:rsidDel="00CA1169" w:rsidRDefault="00144F94" w:rsidP="00144F94">
            <w:pPr>
              <w:spacing w:before="100" w:beforeAutospacing="1" w:after="100" w:afterAutospacing="1"/>
              <w:jc w:val="center"/>
              <w:rPr>
                <w:rFonts w:eastAsia="Arial Unicode MS"/>
              </w:rPr>
            </w:pPr>
            <w:r>
              <w:rPr>
                <w:rFonts w:eastAsia="Arial Unicode MS"/>
              </w:rPr>
              <w:t>-</w:t>
            </w:r>
            <w:r w:rsidR="000603C2">
              <w:rPr>
                <w:rFonts w:eastAsia="Arial Unicode MS"/>
              </w:rPr>
              <w:t>12</w:t>
            </w:r>
          </w:p>
        </w:tc>
        <w:tc>
          <w:tcPr>
            <w:tcW w:w="744"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E635A" w:rsidRPr="00705006" w:rsidDel="00CA1169" w:rsidRDefault="00144F94" w:rsidP="00144F94">
            <w:pPr>
              <w:spacing w:before="100" w:beforeAutospacing="1" w:after="100" w:afterAutospacing="1"/>
              <w:jc w:val="center"/>
              <w:rPr>
                <w:rFonts w:eastAsia="Arial Unicode MS"/>
              </w:rPr>
            </w:pPr>
            <w:r>
              <w:rPr>
                <w:rFonts w:eastAsia="Arial Unicode MS"/>
              </w:rPr>
              <w:t>76</w:t>
            </w:r>
          </w:p>
        </w:tc>
      </w:tr>
      <w:tr w:rsidR="00AE635A" w:rsidRPr="00762F09" w:rsidTr="00D9443A">
        <w:trPr>
          <w:trHeight w:val="938"/>
        </w:trPr>
        <w:tc>
          <w:tcPr>
            <w:tcW w:w="749" w:type="pct"/>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AE635A" w:rsidRPr="00762F09" w:rsidRDefault="00AE635A" w:rsidP="00AE635A">
            <w:pPr>
              <w:spacing w:before="100" w:beforeAutospacing="1" w:after="100" w:afterAutospacing="1"/>
              <w:rPr>
                <w:rFonts w:eastAsia="Arial Unicode MS"/>
              </w:rPr>
            </w:pPr>
            <w:r>
              <w:rPr>
                <w:rFonts w:eastAsia="Arial Unicode MS"/>
              </w:rPr>
              <w:t>OUTCOME  Measure</w:t>
            </w:r>
          </w:p>
        </w:tc>
        <w:tc>
          <w:tcPr>
            <w:tcW w:w="875" w:type="pct"/>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AE635A" w:rsidRPr="00762F09" w:rsidRDefault="00AE635A" w:rsidP="00AE635A">
            <w:pPr>
              <w:spacing w:before="100" w:beforeAutospacing="1" w:after="100" w:afterAutospacing="1"/>
              <w:rPr>
                <w:rStyle w:val="explanation"/>
                <w:sz w:val="22"/>
                <w:szCs w:val="22"/>
              </w:rPr>
            </w:pPr>
            <w:r>
              <w:rPr>
                <w:rStyle w:val="explanation"/>
                <w:sz w:val="22"/>
                <w:szCs w:val="22"/>
              </w:rPr>
              <w:t>Reduce the risk to public safety caused by criminal use of fire</w:t>
            </w:r>
          </w:p>
        </w:tc>
        <w:tc>
          <w:tcPr>
            <w:tcW w:w="599" w:type="pct"/>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E635A" w:rsidRDefault="00AE635A" w:rsidP="00AE635A">
            <w:pPr>
              <w:spacing w:before="100" w:beforeAutospacing="1" w:after="100" w:afterAutospacing="1"/>
              <w:jc w:val="center"/>
              <w:rPr>
                <w:rFonts w:eastAsia="Arial Unicode MS"/>
              </w:rPr>
            </w:pPr>
            <w:r w:rsidRPr="007B1195">
              <w:rPr>
                <w:rFonts w:eastAsia="Arial Unicode MS"/>
              </w:rPr>
              <w:t>N/A</w:t>
            </w:r>
          </w:p>
        </w:tc>
        <w:tc>
          <w:tcPr>
            <w:tcW w:w="625" w:type="pct"/>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AE635A" w:rsidRPr="00705006" w:rsidDel="00CA1169" w:rsidRDefault="00366A78" w:rsidP="00FB4170">
            <w:pPr>
              <w:spacing w:before="100" w:beforeAutospacing="1" w:after="100" w:afterAutospacing="1"/>
              <w:jc w:val="center"/>
              <w:rPr>
                <w:rFonts w:eastAsia="Arial Unicode MS"/>
              </w:rPr>
            </w:pPr>
            <w:r>
              <w:rPr>
                <w:rFonts w:eastAsia="Arial Unicode MS"/>
              </w:rPr>
              <w:t>99.9</w:t>
            </w:r>
          </w:p>
        </w:tc>
        <w:tc>
          <w:tcPr>
            <w:tcW w:w="625" w:type="pct"/>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AE635A" w:rsidRPr="00705006" w:rsidDel="00CA1169" w:rsidRDefault="000603C2" w:rsidP="00FB4170">
            <w:pPr>
              <w:spacing w:before="100" w:beforeAutospacing="1" w:after="100" w:afterAutospacing="1"/>
              <w:jc w:val="center"/>
              <w:rPr>
                <w:rFonts w:eastAsia="Arial Unicode MS"/>
              </w:rPr>
            </w:pPr>
            <w:r>
              <w:rPr>
                <w:rFonts w:eastAsia="Arial Unicode MS"/>
              </w:rPr>
              <w:t>92</w:t>
            </w:r>
          </w:p>
        </w:tc>
        <w:tc>
          <w:tcPr>
            <w:tcW w:w="782" w:type="pct"/>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AE635A" w:rsidRPr="00705006" w:rsidDel="00CA1169" w:rsidRDefault="00144F94" w:rsidP="00144F94">
            <w:pPr>
              <w:spacing w:before="100" w:beforeAutospacing="1" w:after="100" w:afterAutospacing="1"/>
              <w:jc w:val="center"/>
              <w:rPr>
                <w:rFonts w:eastAsia="Arial Unicode MS"/>
              </w:rPr>
            </w:pPr>
            <w:r>
              <w:rPr>
                <w:rFonts w:eastAsia="Arial Unicode MS"/>
              </w:rPr>
              <w:t>-</w:t>
            </w:r>
            <w:r w:rsidR="000603C2">
              <w:rPr>
                <w:rFonts w:eastAsia="Arial Unicode MS"/>
              </w:rPr>
              <w:t>9</w:t>
            </w:r>
          </w:p>
        </w:tc>
        <w:tc>
          <w:tcPr>
            <w:tcW w:w="744"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E635A" w:rsidRPr="00705006" w:rsidDel="00CA1169" w:rsidRDefault="00144F94" w:rsidP="00144F94">
            <w:pPr>
              <w:spacing w:before="100" w:beforeAutospacing="1" w:after="100" w:afterAutospacing="1"/>
              <w:jc w:val="center"/>
              <w:rPr>
                <w:rFonts w:eastAsia="Arial Unicode MS"/>
              </w:rPr>
            </w:pPr>
            <w:r>
              <w:rPr>
                <w:rFonts w:eastAsia="Arial Unicode MS"/>
              </w:rPr>
              <w:t>83</w:t>
            </w:r>
          </w:p>
        </w:tc>
      </w:tr>
      <w:tr w:rsidR="00AE635A" w:rsidRPr="00762F09" w:rsidTr="00D944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442"/>
        </w:trPr>
        <w:tc>
          <w:tcPr>
            <w:tcW w:w="749" w:type="pct"/>
            <w:vMerge w:val="restart"/>
            <w:tcMar>
              <w:top w:w="15" w:type="dxa"/>
              <w:left w:w="15" w:type="dxa"/>
              <w:bottom w:w="0" w:type="dxa"/>
              <w:right w:w="15" w:type="dxa"/>
            </w:tcMar>
            <w:vAlign w:val="center"/>
          </w:tcPr>
          <w:p w:rsidR="00AE635A" w:rsidRPr="00762F09" w:rsidRDefault="00AE635A" w:rsidP="00AE635A">
            <w:pPr>
              <w:spacing w:before="100" w:beforeAutospacing="1" w:after="100" w:afterAutospacing="1"/>
              <w:rPr>
                <w:rFonts w:eastAsia="Arial Unicode MS"/>
                <w:b/>
              </w:rPr>
            </w:pPr>
            <w:r w:rsidRPr="00762F09">
              <w:rPr>
                <w:b/>
                <w:sz w:val="22"/>
                <w:szCs w:val="22"/>
              </w:rPr>
              <w:t>Program Activity</w:t>
            </w:r>
          </w:p>
        </w:tc>
        <w:tc>
          <w:tcPr>
            <w:tcW w:w="875" w:type="pct"/>
            <w:vMerge w:val="restart"/>
            <w:tcMar>
              <w:top w:w="15" w:type="dxa"/>
              <w:left w:w="15" w:type="dxa"/>
              <w:bottom w:w="0" w:type="dxa"/>
              <w:right w:w="15" w:type="dxa"/>
            </w:tcMar>
            <w:vAlign w:val="center"/>
          </w:tcPr>
          <w:p w:rsidR="00AE635A" w:rsidRPr="00A13F4F" w:rsidRDefault="00AE635A" w:rsidP="00AE635A">
            <w:pPr>
              <w:spacing w:before="100" w:beforeAutospacing="1" w:after="100" w:afterAutospacing="1"/>
              <w:jc w:val="center"/>
              <w:rPr>
                <w:rFonts w:eastAsia="Arial Unicode MS"/>
                <w:b/>
                <w:color w:val="FF0000"/>
              </w:rPr>
            </w:pPr>
            <w:r w:rsidRPr="00762F09">
              <w:rPr>
                <w:b/>
                <w:sz w:val="22"/>
                <w:szCs w:val="22"/>
              </w:rPr>
              <w:t>Regulatory complianc</w:t>
            </w:r>
            <w:r>
              <w:rPr>
                <w:b/>
                <w:sz w:val="22"/>
                <w:szCs w:val="22"/>
              </w:rPr>
              <w:t>e</w:t>
            </w:r>
          </w:p>
        </w:tc>
        <w:tc>
          <w:tcPr>
            <w:tcW w:w="313" w:type="pct"/>
            <w:gridSpan w:val="2"/>
            <w:noWrap/>
            <w:tcMar>
              <w:top w:w="15" w:type="dxa"/>
              <w:left w:w="15" w:type="dxa"/>
              <w:bottom w:w="0" w:type="dxa"/>
              <w:right w:w="15" w:type="dxa"/>
            </w:tcMar>
            <w:vAlign w:val="bottom"/>
          </w:tcPr>
          <w:p w:rsidR="00AE635A" w:rsidRPr="00762F09" w:rsidRDefault="00AE635A" w:rsidP="00AE635A">
            <w:pPr>
              <w:pStyle w:val="Heading4"/>
              <w:spacing w:before="100" w:beforeAutospacing="1" w:after="100" w:afterAutospacing="1"/>
              <w:rPr>
                <w:rFonts w:eastAsia="Arial Unicode MS"/>
                <w:szCs w:val="22"/>
              </w:rPr>
            </w:pPr>
            <w:r w:rsidRPr="00762F09">
              <w:rPr>
                <w:sz w:val="22"/>
                <w:szCs w:val="22"/>
              </w:rPr>
              <w:t>FTE</w:t>
            </w:r>
          </w:p>
        </w:tc>
        <w:tc>
          <w:tcPr>
            <w:tcW w:w="286" w:type="pct"/>
            <w:noWrap/>
            <w:tcMar>
              <w:top w:w="15" w:type="dxa"/>
              <w:left w:w="15" w:type="dxa"/>
              <w:bottom w:w="0" w:type="dxa"/>
              <w:right w:w="15" w:type="dxa"/>
            </w:tcMar>
            <w:vAlign w:val="bottom"/>
          </w:tcPr>
          <w:p w:rsidR="00AE635A" w:rsidRPr="00762F09" w:rsidRDefault="00AE635A" w:rsidP="00AE635A">
            <w:pPr>
              <w:spacing w:before="100" w:beforeAutospacing="1" w:after="100" w:afterAutospacing="1"/>
              <w:jc w:val="center"/>
              <w:rPr>
                <w:rFonts w:eastAsia="Arial Unicode MS"/>
                <w:b/>
              </w:rPr>
            </w:pPr>
            <w:r w:rsidRPr="00762F09">
              <w:rPr>
                <w:b/>
                <w:sz w:val="22"/>
                <w:szCs w:val="22"/>
              </w:rPr>
              <w:t>$000</w:t>
            </w:r>
          </w:p>
        </w:tc>
        <w:tc>
          <w:tcPr>
            <w:tcW w:w="276" w:type="pct"/>
            <w:gridSpan w:val="2"/>
            <w:noWrap/>
            <w:tcMar>
              <w:top w:w="15" w:type="dxa"/>
              <w:left w:w="15" w:type="dxa"/>
              <w:bottom w:w="0" w:type="dxa"/>
              <w:right w:w="15" w:type="dxa"/>
            </w:tcMar>
            <w:vAlign w:val="bottom"/>
          </w:tcPr>
          <w:p w:rsidR="00AE635A" w:rsidRPr="00762F09" w:rsidRDefault="00AE635A" w:rsidP="00AE635A">
            <w:pPr>
              <w:pStyle w:val="Heading4"/>
              <w:spacing w:before="100" w:beforeAutospacing="1" w:after="100" w:afterAutospacing="1"/>
              <w:rPr>
                <w:rFonts w:eastAsia="Arial Unicode MS"/>
                <w:szCs w:val="22"/>
              </w:rPr>
            </w:pPr>
            <w:r w:rsidRPr="00762F09">
              <w:rPr>
                <w:sz w:val="22"/>
                <w:szCs w:val="22"/>
              </w:rPr>
              <w:t>FTE</w:t>
            </w:r>
          </w:p>
        </w:tc>
        <w:tc>
          <w:tcPr>
            <w:tcW w:w="349" w:type="pct"/>
            <w:noWrap/>
            <w:tcMar>
              <w:top w:w="15" w:type="dxa"/>
              <w:left w:w="15" w:type="dxa"/>
              <w:bottom w:w="0" w:type="dxa"/>
              <w:right w:w="15" w:type="dxa"/>
            </w:tcMar>
            <w:vAlign w:val="bottom"/>
          </w:tcPr>
          <w:p w:rsidR="00AE635A" w:rsidRPr="00762F09" w:rsidRDefault="00AE635A" w:rsidP="00AE635A">
            <w:pPr>
              <w:spacing w:before="100" w:beforeAutospacing="1" w:after="100" w:afterAutospacing="1"/>
              <w:jc w:val="center"/>
              <w:rPr>
                <w:rFonts w:eastAsia="Arial Unicode MS"/>
                <w:b/>
              </w:rPr>
            </w:pPr>
            <w:r w:rsidRPr="00762F09">
              <w:rPr>
                <w:b/>
                <w:sz w:val="22"/>
                <w:szCs w:val="22"/>
              </w:rPr>
              <w:t>$000</w:t>
            </w:r>
          </w:p>
        </w:tc>
        <w:tc>
          <w:tcPr>
            <w:tcW w:w="277" w:type="pct"/>
            <w:gridSpan w:val="2"/>
            <w:noWrap/>
            <w:tcMar>
              <w:top w:w="15" w:type="dxa"/>
              <w:left w:w="15" w:type="dxa"/>
              <w:bottom w:w="0" w:type="dxa"/>
              <w:right w:w="15" w:type="dxa"/>
            </w:tcMar>
            <w:vAlign w:val="bottom"/>
          </w:tcPr>
          <w:p w:rsidR="00AE635A" w:rsidRPr="00762F09" w:rsidRDefault="00AE635A" w:rsidP="00AE635A">
            <w:pPr>
              <w:spacing w:before="100" w:beforeAutospacing="1" w:after="100" w:afterAutospacing="1"/>
              <w:jc w:val="center"/>
              <w:rPr>
                <w:rFonts w:eastAsia="Arial Unicode MS"/>
                <w:b/>
              </w:rPr>
            </w:pPr>
            <w:r w:rsidRPr="00762F09">
              <w:rPr>
                <w:b/>
                <w:sz w:val="22"/>
                <w:szCs w:val="22"/>
              </w:rPr>
              <w:t>FTE</w:t>
            </w:r>
          </w:p>
        </w:tc>
        <w:tc>
          <w:tcPr>
            <w:tcW w:w="348" w:type="pct"/>
            <w:noWrap/>
            <w:tcMar>
              <w:top w:w="15" w:type="dxa"/>
              <w:left w:w="15" w:type="dxa"/>
              <w:bottom w:w="0" w:type="dxa"/>
              <w:right w:w="15" w:type="dxa"/>
            </w:tcMar>
            <w:vAlign w:val="bottom"/>
          </w:tcPr>
          <w:p w:rsidR="00AE635A" w:rsidRPr="00762F09" w:rsidRDefault="00AE635A" w:rsidP="00AE635A">
            <w:pPr>
              <w:spacing w:before="100" w:beforeAutospacing="1" w:after="100" w:afterAutospacing="1"/>
              <w:jc w:val="center"/>
              <w:rPr>
                <w:rFonts w:eastAsia="Arial Unicode MS"/>
                <w:b/>
              </w:rPr>
            </w:pPr>
            <w:r w:rsidRPr="00762F09">
              <w:rPr>
                <w:b/>
                <w:sz w:val="22"/>
                <w:szCs w:val="22"/>
              </w:rPr>
              <w:t>$000</w:t>
            </w:r>
          </w:p>
        </w:tc>
        <w:tc>
          <w:tcPr>
            <w:tcW w:w="276" w:type="pct"/>
            <w:gridSpan w:val="2"/>
            <w:noWrap/>
            <w:tcMar>
              <w:top w:w="15" w:type="dxa"/>
              <w:left w:w="15" w:type="dxa"/>
              <w:bottom w:w="0" w:type="dxa"/>
              <w:right w:w="15" w:type="dxa"/>
            </w:tcMar>
            <w:vAlign w:val="bottom"/>
          </w:tcPr>
          <w:p w:rsidR="00AE635A" w:rsidRPr="00762F09" w:rsidRDefault="00AE635A" w:rsidP="00AE635A">
            <w:pPr>
              <w:spacing w:before="100" w:beforeAutospacing="1" w:after="100" w:afterAutospacing="1"/>
              <w:jc w:val="center"/>
              <w:rPr>
                <w:rFonts w:eastAsia="Arial Unicode MS"/>
                <w:b/>
              </w:rPr>
            </w:pPr>
            <w:r w:rsidRPr="00762F09">
              <w:rPr>
                <w:b/>
                <w:sz w:val="22"/>
                <w:szCs w:val="22"/>
              </w:rPr>
              <w:t>FTE</w:t>
            </w:r>
          </w:p>
        </w:tc>
        <w:tc>
          <w:tcPr>
            <w:tcW w:w="506" w:type="pct"/>
            <w:noWrap/>
            <w:tcMar>
              <w:top w:w="15" w:type="dxa"/>
              <w:left w:w="15" w:type="dxa"/>
              <w:bottom w:w="0" w:type="dxa"/>
              <w:right w:w="15" w:type="dxa"/>
            </w:tcMar>
            <w:vAlign w:val="bottom"/>
          </w:tcPr>
          <w:p w:rsidR="00AE635A" w:rsidRPr="00762F09" w:rsidRDefault="00AE635A" w:rsidP="00AE635A">
            <w:pPr>
              <w:spacing w:before="100" w:beforeAutospacing="1" w:after="100" w:afterAutospacing="1"/>
              <w:jc w:val="center"/>
              <w:rPr>
                <w:rFonts w:eastAsia="Arial Unicode MS"/>
                <w:b/>
              </w:rPr>
            </w:pPr>
            <w:r w:rsidRPr="00762F09">
              <w:rPr>
                <w:b/>
                <w:sz w:val="22"/>
                <w:szCs w:val="22"/>
              </w:rPr>
              <w:t>$000</w:t>
            </w:r>
          </w:p>
        </w:tc>
        <w:tc>
          <w:tcPr>
            <w:tcW w:w="248" w:type="pct"/>
            <w:gridSpan w:val="2"/>
            <w:noWrap/>
            <w:tcMar>
              <w:top w:w="15" w:type="dxa"/>
              <w:left w:w="15" w:type="dxa"/>
              <w:bottom w:w="0" w:type="dxa"/>
              <w:right w:w="15" w:type="dxa"/>
            </w:tcMar>
            <w:vAlign w:val="bottom"/>
          </w:tcPr>
          <w:p w:rsidR="00AE635A" w:rsidRPr="00762F09" w:rsidRDefault="00AE635A" w:rsidP="00AE635A">
            <w:pPr>
              <w:spacing w:before="100" w:beforeAutospacing="1" w:after="100" w:afterAutospacing="1"/>
              <w:jc w:val="center"/>
              <w:rPr>
                <w:rFonts w:eastAsia="Arial Unicode MS"/>
                <w:b/>
              </w:rPr>
            </w:pPr>
            <w:r w:rsidRPr="00762F09">
              <w:rPr>
                <w:b/>
                <w:sz w:val="22"/>
                <w:szCs w:val="22"/>
              </w:rPr>
              <w:t>FTE</w:t>
            </w:r>
          </w:p>
        </w:tc>
        <w:tc>
          <w:tcPr>
            <w:tcW w:w="496" w:type="pct"/>
            <w:noWrap/>
            <w:tcMar>
              <w:top w:w="15" w:type="dxa"/>
              <w:left w:w="15" w:type="dxa"/>
              <w:bottom w:w="0" w:type="dxa"/>
              <w:right w:w="15" w:type="dxa"/>
            </w:tcMar>
            <w:vAlign w:val="bottom"/>
          </w:tcPr>
          <w:p w:rsidR="00AE635A" w:rsidRPr="00762F09" w:rsidRDefault="00AE635A" w:rsidP="00AE635A">
            <w:pPr>
              <w:spacing w:before="100" w:beforeAutospacing="1" w:after="100" w:afterAutospacing="1"/>
              <w:jc w:val="center"/>
              <w:rPr>
                <w:rFonts w:eastAsia="Arial Unicode MS"/>
                <w:b/>
              </w:rPr>
            </w:pPr>
            <w:r w:rsidRPr="00762F09">
              <w:rPr>
                <w:b/>
                <w:sz w:val="22"/>
                <w:szCs w:val="22"/>
              </w:rPr>
              <w:t>$000</w:t>
            </w:r>
          </w:p>
        </w:tc>
      </w:tr>
      <w:tr w:rsidR="00AE635A" w:rsidRPr="00762F09" w:rsidTr="00D944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45"/>
        </w:trPr>
        <w:tc>
          <w:tcPr>
            <w:tcW w:w="749" w:type="pct"/>
            <w:vMerge/>
            <w:tcBorders>
              <w:bottom w:val="single" w:sz="4" w:space="0" w:color="auto"/>
            </w:tcBorders>
            <w:vAlign w:val="center"/>
          </w:tcPr>
          <w:p w:rsidR="00AE635A" w:rsidRPr="00762F09" w:rsidRDefault="00AE635A" w:rsidP="00AE635A">
            <w:pPr>
              <w:spacing w:before="100" w:beforeAutospacing="1" w:after="100" w:afterAutospacing="1"/>
              <w:rPr>
                <w:rFonts w:eastAsia="Arial Unicode MS"/>
                <w:b/>
              </w:rPr>
            </w:pPr>
          </w:p>
        </w:tc>
        <w:tc>
          <w:tcPr>
            <w:tcW w:w="875" w:type="pct"/>
            <w:vMerge/>
            <w:tcBorders>
              <w:bottom w:val="single" w:sz="4" w:space="0" w:color="auto"/>
            </w:tcBorders>
            <w:vAlign w:val="center"/>
          </w:tcPr>
          <w:p w:rsidR="00AE635A" w:rsidRPr="00762F09" w:rsidRDefault="00AE635A" w:rsidP="00AE635A">
            <w:pPr>
              <w:spacing w:before="100" w:beforeAutospacing="1" w:after="100" w:afterAutospacing="1"/>
              <w:rPr>
                <w:rFonts w:eastAsia="Arial Unicode MS"/>
                <w:b/>
              </w:rPr>
            </w:pPr>
          </w:p>
        </w:tc>
        <w:tc>
          <w:tcPr>
            <w:tcW w:w="313" w:type="pct"/>
            <w:gridSpan w:val="2"/>
            <w:tcBorders>
              <w:bottom w:val="single" w:sz="4" w:space="0" w:color="auto"/>
            </w:tcBorders>
            <w:noWrap/>
            <w:tcMar>
              <w:top w:w="15" w:type="dxa"/>
              <w:left w:w="15" w:type="dxa"/>
              <w:bottom w:w="0" w:type="dxa"/>
              <w:right w:w="15" w:type="dxa"/>
            </w:tcMar>
            <w:vAlign w:val="bottom"/>
          </w:tcPr>
          <w:p w:rsidR="00AE635A" w:rsidRPr="00762F09" w:rsidRDefault="00AE635A" w:rsidP="00AE635A">
            <w:pPr>
              <w:spacing w:before="100" w:beforeAutospacing="1" w:after="100" w:afterAutospacing="1"/>
              <w:jc w:val="center"/>
              <w:rPr>
                <w:rFonts w:eastAsia="Arial Unicode MS"/>
                <w:b/>
              </w:rPr>
            </w:pPr>
            <w:r>
              <w:rPr>
                <w:rFonts w:eastAsia="Arial Unicode MS"/>
                <w:b/>
                <w:sz w:val="22"/>
                <w:szCs w:val="22"/>
              </w:rPr>
              <w:t>383</w:t>
            </w:r>
          </w:p>
        </w:tc>
        <w:tc>
          <w:tcPr>
            <w:tcW w:w="286" w:type="pct"/>
            <w:tcBorders>
              <w:bottom w:val="single" w:sz="4" w:space="0" w:color="auto"/>
            </w:tcBorders>
            <w:noWrap/>
            <w:tcMar>
              <w:top w:w="15" w:type="dxa"/>
              <w:left w:w="15" w:type="dxa"/>
              <w:bottom w:w="0" w:type="dxa"/>
              <w:right w:w="15" w:type="dxa"/>
            </w:tcMar>
            <w:vAlign w:val="bottom"/>
          </w:tcPr>
          <w:p w:rsidR="00AE635A" w:rsidRPr="00762F09" w:rsidRDefault="00AE635A" w:rsidP="00366A78">
            <w:pPr>
              <w:spacing w:before="100" w:beforeAutospacing="1" w:after="100" w:afterAutospacing="1"/>
              <w:jc w:val="center"/>
              <w:rPr>
                <w:rFonts w:eastAsia="Arial Unicode MS"/>
                <w:b/>
              </w:rPr>
            </w:pPr>
            <w:r>
              <w:rPr>
                <w:rFonts w:eastAsia="Arial Unicode MS"/>
                <w:b/>
                <w:sz w:val="22"/>
                <w:szCs w:val="22"/>
              </w:rPr>
              <w:t>$70,4</w:t>
            </w:r>
            <w:r w:rsidR="00366A78">
              <w:rPr>
                <w:rFonts w:eastAsia="Arial Unicode MS"/>
                <w:b/>
                <w:sz w:val="22"/>
                <w:szCs w:val="22"/>
              </w:rPr>
              <w:t>15</w:t>
            </w:r>
          </w:p>
        </w:tc>
        <w:tc>
          <w:tcPr>
            <w:tcW w:w="276" w:type="pct"/>
            <w:gridSpan w:val="2"/>
            <w:tcBorders>
              <w:bottom w:val="single" w:sz="4" w:space="0" w:color="auto"/>
            </w:tcBorders>
            <w:noWrap/>
            <w:tcMar>
              <w:top w:w="15" w:type="dxa"/>
              <w:left w:w="15" w:type="dxa"/>
              <w:bottom w:w="0" w:type="dxa"/>
              <w:right w:w="15" w:type="dxa"/>
            </w:tcMar>
            <w:vAlign w:val="bottom"/>
          </w:tcPr>
          <w:p w:rsidR="00AE635A" w:rsidRPr="00705006" w:rsidRDefault="00AE635A" w:rsidP="00AE635A">
            <w:pPr>
              <w:spacing w:before="100" w:beforeAutospacing="1" w:after="100" w:afterAutospacing="1"/>
              <w:jc w:val="center"/>
              <w:rPr>
                <w:rFonts w:eastAsia="Arial Unicode MS"/>
                <w:b/>
              </w:rPr>
            </w:pPr>
            <w:r w:rsidRPr="00705006">
              <w:rPr>
                <w:rFonts w:eastAsia="Arial Unicode MS"/>
                <w:b/>
                <w:sz w:val="22"/>
                <w:szCs w:val="22"/>
              </w:rPr>
              <w:t>3</w:t>
            </w:r>
            <w:r>
              <w:rPr>
                <w:rFonts w:eastAsia="Arial Unicode MS"/>
                <w:b/>
                <w:sz w:val="22"/>
                <w:szCs w:val="22"/>
              </w:rPr>
              <w:t>83</w:t>
            </w:r>
          </w:p>
        </w:tc>
        <w:tc>
          <w:tcPr>
            <w:tcW w:w="349" w:type="pct"/>
            <w:tcBorders>
              <w:bottom w:val="single" w:sz="4" w:space="0" w:color="auto"/>
            </w:tcBorders>
            <w:noWrap/>
            <w:tcMar>
              <w:top w:w="15" w:type="dxa"/>
              <w:left w:w="15" w:type="dxa"/>
              <w:bottom w:w="0" w:type="dxa"/>
              <w:right w:w="15" w:type="dxa"/>
            </w:tcMar>
            <w:vAlign w:val="bottom"/>
          </w:tcPr>
          <w:p w:rsidR="00AE635A" w:rsidRPr="00705006" w:rsidRDefault="00AE635A" w:rsidP="00366A78">
            <w:pPr>
              <w:spacing w:before="100" w:beforeAutospacing="1" w:after="100" w:afterAutospacing="1"/>
              <w:jc w:val="center"/>
              <w:rPr>
                <w:rFonts w:eastAsia="Arial Unicode MS"/>
                <w:b/>
              </w:rPr>
            </w:pPr>
            <w:r w:rsidRPr="00705006">
              <w:rPr>
                <w:rFonts w:eastAsia="Arial Unicode MS"/>
                <w:b/>
                <w:sz w:val="22"/>
                <w:szCs w:val="22"/>
              </w:rPr>
              <w:t>$</w:t>
            </w:r>
            <w:r>
              <w:rPr>
                <w:rFonts w:eastAsia="Arial Unicode MS"/>
                <w:b/>
                <w:sz w:val="22"/>
                <w:szCs w:val="22"/>
              </w:rPr>
              <w:t>70,4</w:t>
            </w:r>
            <w:r w:rsidR="00366A78">
              <w:rPr>
                <w:rFonts w:eastAsia="Arial Unicode MS"/>
                <w:b/>
                <w:sz w:val="22"/>
                <w:szCs w:val="22"/>
              </w:rPr>
              <w:t>15</w:t>
            </w:r>
          </w:p>
        </w:tc>
        <w:tc>
          <w:tcPr>
            <w:tcW w:w="277" w:type="pct"/>
            <w:gridSpan w:val="2"/>
            <w:tcBorders>
              <w:bottom w:val="single" w:sz="4" w:space="0" w:color="auto"/>
            </w:tcBorders>
            <w:noWrap/>
            <w:tcMar>
              <w:top w:w="15" w:type="dxa"/>
              <w:left w:w="15" w:type="dxa"/>
              <w:bottom w:w="0" w:type="dxa"/>
              <w:right w:w="15" w:type="dxa"/>
            </w:tcMar>
            <w:vAlign w:val="bottom"/>
          </w:tcPr>
          <w:p w:rsidR="00AE635A" w:rsidRPr="00762F09" w:rsidRDefault="00AE635A" w:rsidP="006802EC">
            <w:pPr>
              <w:spacing w:before="100" w:beforeAutospacing="1" w:after="100" w:afterAutospacing="1"/>
              <w:jc w:val="center"/>
              <w:rPr>
                <w:rFonts w:eastAsia="Arial Unicode MS"/>
                <w:b/>
              </w:rPr>
            </w:pPr>
            <w:r>
              <w:rPr>
                <w:rFonts w:eastAsia="Arial Unicode MS"/>
                <w:b/>
                <w:sz w:val="22"/>
                <w:szCs w:val="22"/>
              </w:rPr>
              <w:t>3</w:t>
            </w:r>
            <w:r w:rsidR="006802EC">
              <w:rPr>
                <w:rFonts w:eastAsia="Arial Unicode MS"/>
                <w:b/>
                <w:sz w:val="22"/>
                <w:szCs w:val="22"/>
              </w:rPr>
              <w:t>83</w:t>
            </w:r>
          </w:p>
        </w:tc>
        <w:tc>
          <w:tcPr>
            <w:tcW w:w="348" w:type="pct"/>
            <w:tcBorders>
              <w:bottom w:val="single" w:sz="4" w:space="0" w:color="auto"/>
            </w:tcBorders>
            <w:noWrap/>
            <w:tcMar>
              <w:top w:w="15" w:type="dxa"/>
              <w:left w:w="15" w:type="dxa"/>
              <w:bottom w:w="0" w:type="dxa"/>
              <w:right w:w="15" w:type="dxa"/>
            </w:tcMar>
            <w:vAlign w:val="bottom"/>
          </w:tcPr>
          <w:p w:rsidR="00AE635A" w:rsidRPr="00762F09" w:rsidRDefault="00AE635A" w:rsidP="00635503">
            <w:pPr>
              <w:spacing w:before="100" w:beforeAutospacing="1" w:after="100" w:afterAutospacing="1"/>
              <w:jc w:val="center"/>
              <w:rPr>
                <w:rFonts w:eastAsia="Arial Unicode MS"/>
                <w:b/>
              </w:rPr>
            </w:pPr>
            <w:r>
              <w:rPr>
                <w:rFonts w:eastAsia="Arial Unicode MS"/>
                <w:b/>
                <w:sz w:val="22"/>
                <w:szCs w:val="22"/>
              </w:rPr>
              <w:t>$</w:t>
            </w:r>
            <w:r w:rsidR="00635503">
              <w:rPr>
                <w:rFonts w:eastAsia="Arial Unicode MS"/>
                <w:b/>
                <w:sz w:val="22"/>
                <w:szCs w:val="22"/>
              </w:rPr>
              <w:t>70,415</w:t>
            </w:r>
          </w:p>
        </w:tc>
        <w:tc>
          <w:tcPr>
            <w:tcW w:w="276" w:type="pct"/>
            <w:gridSpan w:val="2"/>
            <w:tcBorders>
              <w:bottom w:val="single" w:sz="4" w:space="0" w:color="auto"/>
            </w:tcBorders>
            <w:noWrap/>
            <w:tcMar>
              <w:top w:w="15" w:type="dxa"/>
              <w:left w:w="15" w:type="dxa"/>
              <w:bottom w:w="0" w:type="dxa"/>
              <w:right w:w="15" w:type="dxa"/>
            </w:tcMar>
            <w:vAlign w:val="bottom"/>
          </w:tcPr>
          <w:p w:rsidR="00AE635A" w:rsidRPr="00705006" w:rsidRDefault="006802EC" w:rsidP="006802EC">
            <w:pPr>
              <w:spacing w:before="100" w:beforeAutospacing="1" w:after="100" w:afterAutospacing="1"/>
              <w:jc w:val="center"/>
              <w:rPr>
                <w:rFonts w:eastAsia="Arial Unicode MS"/>
                <w:b/>
              </w:rPr>
            </w:pPr>
            <w:r>
              <w:rPr>
                <w:rFonts w:eastAsia="Arial Unicode MS"/>
                <w:b/>
                <w:sz w:val="22"/>
                <w:szCs w:val="22"/>
              </w:rPr>
              <w:t>(23)</w:t>
            </w:r>
          </w:p>
        </w:tc>
        <w:tc>
          <w:tcPr>
            <w:tcW w:w="506" w:type="pct"/>
            <w:tcBorders>
              <w:bottom w:val="single" w:sz="4" w:space="0" w:color="auto"/>
            </w:tcBorders>
            <w:noWrap/>
            <w:tcMar>
              <w:top w:w="15" w:type="dxa"/>
              <w:left w:w="15" w:type="dxa"/>
              <w:bottom w:w="0" w:type="dxa"/>
              <w:right w:w="15" w:type="dxa"/>
            </w:tcMar>
            <w:vAlign w:val="bottom"/>
          </w:tcPr>
          <w:p w:rsidR="00AE635A" w:rsidRPr="00705006" w:rsidRDefault="006802EC" w:rsidP="00DB0403">
            <w:pPr>
              <w:spacing w:before="100" w:beforeAutospacing="1" w:after="100" w:afterAutospacing="1"/>
              <w:jc w:val="center"/>
              <w:rPr>
                <w:rFonts w:eastAsia="Arial Unicode MS"/>
                <w:b/>
              </w:rPr>
            </w:pPr>
            <w:r>
              <w:rPr>
                <w:rFonts w:eastAsia="Arial Unicode MS"/>
                <w:b/>
                <w:sz w:val="22"/>
                <w:szCs w:val="22"/>
              </w:rPr>
              <w:t>(</w:t>
            </w:r>
            <w:r w:rsidR="00AE635A" w:rsidRPr="00705006">
              <w:rPr>
                <w:rFonts w:eastAsia="Arial Unicode MS"/>
                <w:b/>
                <w:sz w:val="22"/>
                <w:szCs w:val="22"/>
              </w:rPr>
              <w:t>$</w:t>
            </w:r>
            <w:r w:rsidR="00635503">
              <w:rPr>
                <w:rFonts w:eastAsia="Arial Unicode MS"/>
                <w:b/>
                <w:sz w:val="22"/>
                <w:szCs w:val="22"/>
              </w:rPr>
              <w:t>5,9</w:t>
            </w:r>
            <w:r w:rsidR="00DB0403">
              <w:rPr>
                <w:rFonts w:eastAsia="Arial Unicode MS"/>
                <w:b/>
                <w:sz w:val="22"/>
                <w:szCs w:val="22"/>
              </w:rPr>
              <w:t>04</w:t>
            </w:r>
            <w:r>
              <w:rPr>
                <w:rFonts w:eastAsia="Arial Unicode MS"/>
                <w:b/>
                <w:sz w:val="22"/>
                <w:szCs w:val="22"/>
              </w:rPr>
              <w:t>)</w:t>
            </w:r>
          </w:p>
        </w:tc>
        <w:tc>
          <w:tcPr>
            <w:tcW w:w="248" w:type="pct"/>
            <w:gridSpan w:val="2"/>
            <w:tcBorders>
              <w:bottom w:val="single" w:sz="4" w:space="0" w:color="auto"/>
            </w:tcBorders>
            <w:noWrap/>
            <w:tcMar>
              <w:top w:w="15" w:type="dxa"/>
              <w:left w:w="15" w:type="dxa"/>
              <w:bottom w:w="0" w:type="dxa"/>
              <w:right w:w="15" w:type="dxa"/>
            </w:tcMar>
            <w:vAlign w:val="bottom"/>
          </w:tcPr>
          <w:p w:rsidR="00AE635A" w:rsidRPr="00705006" w:rsidRDefault="00311C9A" w:rsidP="00AE635A">
            <w:pPr>
              <w:spacing w:before="100" w:beforeAutospacing="1" w:after="100" w:afterAutospacing="1"/>
              <w:jc w:val="center"/>
              <w:rPr>
                <w:rFonts w:eastAsia="Arial Unicode MS"/>
                <w:b/>
              </w:rPr>
            </w:pPr>
            <w:r>
              <w:rPr>
                <w:rFonts w:eastAsia="Arial Unicode MS"/>
                <w:b/>
                <w:sz w:val="22"/>
                <w:szCs w:val="22"/>
              </w:rPr>
              <w:t>360</w:t>
            </w:r>
          </w:p>
        </w:tc>
        <w:tc>
          <w:tcPr>
            <w:tcW w:w="496" w:type="pct"/>
            <w:tcBorders>
              <w:bottom w:val="single" w:sz="4" w:space="0" w:color="auto"/>
            </w:tcBorders>
            <w:noWrap/>
            <w:tcMar>
              <w:top w:w="15" w:type="dxa"/>
              <w:left w:w="15" w:type="dxa"/>
              <w:bottom w:w="0" w:type="dxa"/>
              <w:right w:w="15" w:type="dxa"/>
            </w:tcMar>
            <w:vAlign w:val="bottom"/>
          </w:tcPr>
          <w:p w:rsidR="00AE635A" w:rsidRPr="00705006" w:rsidRDefault="00AE635A" w:rsidP="00635503">
            <w:pPr>
              <w:spacing w:before="100" w:beforeAutospacing="1" w:after="100" w:afterAutospacing="1"/>
              <w:jc w:val="center"/>
              <w:rPr>
                <w:rFonts w:eastAsia="Arial Unicode MS"/>
                <w:b/>
              </w:rPr>
            </w:pPr>
            <w:r w:rsidRPr="00705006">
              <w:rPr>
                <w:rFonts w:eastAsia="Arial Unicode MS"/>
                <w:b/>
                <w:sz w:val="22"/>
                <w:szCs w:val="22"/>
              </w:rPr>
              <w:t>$</w:t>
            </w:r>
            <w:r w:rsidR="00635503">
              <w:rPr>
                <w:rFonts w:eastAsia="Arial Unicode MS"/>
                <w:b/>
                <w:sz w:val="22"/>
                <w:szCs w:val="22"/>
              </w:rPr>
              <w:t>64,510</w:t>
            </w:r>
          </w:p>
        </w:tc>
      </w:tr>
      <w:tr w:rsidR="00AE635A" w:rsidRPr="00762F09" w:rsidTr="00D944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5"/>
        </w:trPr>
        <w:tc>
          <w:tcPr>
            <w:tcW w:w="749" w:type="pct"/>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rsidR="00AE635A" w:rsidRPr="00762F09" w:rsidRDefault="00AE635A" w:rsidP="00AE635A">
            <w:pPr>
              <w:spacing w:before="100" w:beforeAutospacing="1" w:after="100" w:afterAutospacing="1"/>
              <w:rPr>
                <w:rFonts w:eastAsia="Arial Unicode MS"/>
                <w:sz w:val="22"/>
                <w:szCs w:val="22"/>
              </w:rPr>
            </w:pPr>
            <w:r>
              <w:rPr>
                <w:rFonts w:eastAsia="Arial Unicode MS"/>
                <w:sz w:val="22"/>
                <w:szCs w:val="22"/>
              </w:rPr>
              <w:t>OUTCOME  Measure</w:t>
            </w:r>
          </w:p>
        </w:tc>
        <w:tc>
          <w:tcPr>
            <w:tcW w:w="875" w:type="pct"/>
            <w:tcBorders>
              <w:top w:val="single" w:sz="4" w:space="0" w:color="auto"/>
              <w:bottom w:val="single" w:sz="4" w:space="0" w:color="auto"/>
            </w:tcBorders>
            <w:shd w:val="clear" w:color="auto" w:fill="auto"/>
            <w:tcMar>
              <w:top w:w="15" w:type="dxa"/>
              <w:left w:w="15" w:type="dxa"/>
              <w:bottom w:w="0" w:type="dxa"/>
              <w:right w:w="15" w:type="dxa"/>
            </w:tcMar>
            <w:vAlign w:val="center"/>
          </w:tcPr>
          <w:p w:rsidR="00AE635A" w:rsidRPr="003E7F90" w:rsidRDefault="00AE635A" w:rsidP="00AE635A">
            <w:pPr>
              <w:spacing w:before="100" w:beforeAutospacing="1" w:after="100" w:afterAutospacing="1"/>
              <w:rPr>
                <w:sz w:val="20"/>
                <w:szCs w:val="20"/>
              </w:rPr>
            </w:pPr>
            <w:r w:rsidRPr="003E7F90">
              <w:rPr>
                <w:sz w:val="20"/>
                <w:szCs w:val="20"/>
              </w:rPr>
              <w:t xml:space="preserve">Improve public safety by increasing compliance with </w:t>
            </w:r>
            <w:r>
              <w:rPr>
                <w:sz w:val="20"/>
                <w:szCs w:val="20"/>
              </w:rPr>
              <w:t>F</w:t>
            </w:r>
            <w:r w:rsidRPr="003E7F90">
              <w:rPr>
                <w:sz w:val="20"/>
                <w:szCs w:val="20"/>
              </w:rPr>
              <w:t>ederal laws and regulations by explosives industry members</w:t>
            </w:r>
          </w:p>
        </w:tc>
        <w:tc>
          <w:tcPr>
            <w:tcW w:w="599" w:type="pct"/>
            <w:gridSpan w:val="3"/>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AE635A" w:rsidRPr="00762F09" w:rsidRDefault="00AE635A" w:rsidP="00AE635A">
            <w:pPr>
              <w:spacing w:before="100" w:beforeAutospacing="1" w:after="100" w:afterAutospacing="1"/>
              <w:jc w:val="center"/>
              <w:rPr>
                <w:sz w:val="22"/>
                <w:szCs w:val="22"/>
              </w:rPr>
            </w:pPr>
            <w:r>
              <w:rPr>
                <w:rFonts w:eastAsia="Arial Unicode MS"/>
              </w:rPr>
              <w:t>N/A</w:t>
            </w:r>
          </w:p>
        </w:tc>
        <w:tc>
          <w:tcPr>
            <w:tcW w:w="625" w:type="pct"/>
            <w:gridSpan w:val="3"/>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AE635A" w:rsidRPr="00762F09" w:rsidRDefault="00366A78" w:rsidP="00144F94">
            <w:pPr>
              <w:spacing w:before="100" w:beforeAutospacing="1" w:after="100" w:afterAutospacing="1"/>
              <w:jc w:val="center"/>
              <w:rPr>
                <w:sz w:val="22"/>
                <w:szCs w:val="22"/>
              </w:rPr>
            </w:pPr>
            <w:r>
              <w:rPr>
                <w:rFonts w:eastAsia="Arial Unicode MS"/>
              </w:rPr>
              <w:t>93.5</w:t>
            </w:r>
          </w:p>
        </w:tc>
        <w:tc>
          <w:tcPr>
            <w:tcW w:w="625" w:type="pct"/>
            <w:gridSpan w:val="3"/>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AE635A" w:rsidRDefault="000603C2" w:rsidP="00144F94">
            <w:pPr>
              <w:spacing w:before="100" w:beforeAutospacing="1" w:after="100" w:afterAutospacing="1"/>
              <w:jc w:val="center"/>
              <w:rPr>
                <w:sz w:val="22"/>
                <w:szCs w:val="22"/>
              </w:rPr>
            </w:pPr>
            <w:r>
              <w:rPr>
                <w:sz w:val="22"/>
                <w:szCs w:val="22"/>
              </w:rPr>
              <w:t>97</w:t>
            </w:r>
          </w:p>
        </w:tc>
        <w:tc>
          <w:tcPr>
            <w:tcW w:w="782" w:type="pct"/>
            <w:gridSpan w:val="3"/>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AE635A" w:rsidRPr="00762F09" w:rsidRDefault="00144F94" w:rsidP="00144F94">
            <w:pPr>
              <w:spacing w:before="100" w:beforeAutospacing="1" w:after="100" w:afterAutospacing="1"/>
              <w:jc w:val="center"/>
              <w:rPr>
                <w:sz w:val="22"/>
                <w:szCs w:val="22"/>
              </w:rPr>
            </w:pPr>
            <w:r>
              <w:rPr>
                <w:sz w:val="22"/>
                <w:szCs w:val="22"/>
              </w:rPr>
              <w:t>-</w:t>
            </w:r>
            <w:r w:rsidR="000603C2">
              <w:rPr>
                <w:sz w:val="22"/>
                <w:szCs w:val="22"/>
              </w:rPr>
              <w:t>6</w:t>
            </w:r>
          </w:p>
        </w:tc>
        <w:tc>
          <w:tcPr>
            <w:tcW w:w="744" w:type="pct"/>
            <w:gridSpan w:val="3"/>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E635A" w:rsidRPr="00762F09" w:rsidRDefault="00144F94" w:rsidP="00144F94">
            <w:pPr>
              <w:spacing w:before="100" w:beforeAutospacing="1" w:after="100" w:afterAutospacing="1"/>
              <w:jc w:val="center"/>
              <w:rPr>
                <w:sz w:val="22"/>
                <w:szCs w:val="22"/>
              </w:rPr>
            </w:pPr>
            <w:r>
              <w:rPr>
                <w:sz w:val="22"/>
                <w:szCs w:val="22"/>
              </w:rPr>
              <w:t>91</w:t>
            </w:r>
          </w:p>
        </w:tc>
      </w:tr>
    </w:tbl>
    <w:p w:rsidR="00FA2AAB" w:rsidRDefault="00FA2AAB" w:rsidP="00391939"/>
    <w:tbl>
      <w:tblPr>
        <w:tblW w:w="14400" w:type="dxa"/>
        <w:tblInd w:w="-700" w:type="dxa"/>
        <w:tblLayout w:type="fixed"/>
        <w:tblCellMar>
          <w:left w:w="0" w:type="dxa"/>
          <w:right w:w="0" w:type="dxa"/>
        </w:tblCellMar>
        <w:tblLook w:val="0000"/>
      </w:tblPr>
      <w:tblGrid>
        <w:gridCol w:w="1440"/>
        <w:gridCol w:w="204"/>
        <w:gridCol w:w="3478"/>
        <w:gridCol w:w="919"/>
        <w:gridCol w:w="918"/>
        <w:gridCol w:w="918"/>
        <w:gridCol w:w="918"/>
        <w:gridCol w:w="918"/>
        <w:gridCol w:w="907"/>
        <w:gridCol w:w="900"/>
        <w:gridCol w:w="720"/>
        <w:gridCol w:w="1080"/>
        <w:gridCol w:w="1080"/>
      </w:tblGrid>
      <w:tr w:rsidR="001C6439" w:rsidRPr="00762F09" w:rsidTr="00044B3F">
        <w:trPr>
          <w:trHeight w:val="330"/>
        </w:trPr>
        <w:tc>
          <w:tcPr>
            <w:tcW w:w="1644" w:type="dxa"/>
            <w:gridSpan w:val="2"/>
            <w:tcBorders>
              <w:top w:val="single" w:sz="4" w:space="0" w:color="auto"/>
              <w:left w:val="single" w:sz="4" w:space="0" w:color="auto"/>
              <w:bottom w:val="single" w:sz="4" w:space="0" w:color="auto"/>
            </w:tcBorders>
            <w:tcMar>
              <w:top w:w="20" w:type="dxa"/>
              <w:left w:w="20" w:type="dxa"/>
              <w:bottom w:w="0" w:type="dxa"/>
              <w:right w:w="20" w:type="dxa"/>
            </w:tcMar>
            <w:vAlign w:val="center"/>
          </w:tcPr>
          <w:p w:rsidR="001C6439" w:rsidRPr="00762F09" w:rsidRDefault="001C6439" w:rsidP="00044B3F">
            <w:pPr>
              <w:spacing w:before="100" w:beforeAutospacing="1" w:after="100" w:afterAutospacing="1"/>
            </w:pPr>
            <w:r>
              <w:lastRenderedPageBreak/>
              <w:br w:type="page"/>
            </w:r>
          </w:p>
        </w:tc>
        <w:tc>
          <w:tcPr>
            <w:tcW w:w="3478" w:type="dxa"/>
            <w:tcBorders>
              <w:top w:val="single" w:sz="4" w:space="0" w:color="auto"/>
              <w:bottom w:val="single" w:sz="4" w:space="0" w:color="auto"/>
            </w:tcBorders>
            <w:tcMar>
              <w:top w:w="20" w:type="dxa"/>
              <w:left w:w="20" w:type="dxa"/>
              <w:bottom w:w="0" w:type="dxa"/>
              <w:right w:w="20" w:type="dxa"/>
            </w:tcMar>
            <w:vAlign w:val="center"/>
          </w:tcPr>
          <w:p w:rsidR="001C6439" w:rsidRPr="00762F09" w:rsidRDefault="001C6439" w:rsidP="00044B3F">
            <w:pPr>
              <w:pStyle w:val="xl27"/>
              <w:spacing w:beforeAutospacing="1" w:afterAutospacing="1"/>
              <w:jc w:val="center"/>
              <w:rPr>
                <w:rFonts w:ascii="Times New Roman" w:hAnsi="Times New Roman"/>
                <w:bCs/>
                <w:szCs w:val="16"/>
              </w:rPr>
            </w:pPr>
          </w:p>
        </w:tc>
        <w:tc>
          <w:tcPr>
            <w:tcW w:w="9278" w:type="dxa"/>
            <w:gridSpan w:val="10"/>
            <w:tcBorders>
              <w:top w:val="single" w:sz="4" w:space="0" w:color="auto"/>
              <w:left w:val="nil"/>
              <w:bottom w:val="single" w:sz="4" w:space="0" w:color="auto"/>
              <w:right w:val="single" w:sz="4" w:space="0" w:color="auto"/>
            </w:tcBorders>
            <w:vAlign w:val="center"/>
          </w:tcPr>
          <w:p w:rsidR="001C6439" w:rsidRPr="00762F09" w:rsidRDefault="001C6439" w:rsidP="00044B3F">
            <w:pPr>
              <w:spacing w:before="100" w:beforeAutospacing="1" w:after="100" w:afterAutospacing="1"/>
              <w:rPr>
                <w:rFonts w:eastAsia="Arial Unicode MS"/>
                <w:b/>
                <w:color w:val="FF0000"/>
                <w:sz w:val="28"/>
                <w:szCs w:val="28"/>
              </w:rPr>
            </w:pPr>
            <w:r w:rsidRPr="00762F09">
              <w:rPr>
                <w:rFonts w:eastAsia="Arial Unicode MS"/>
                <w:b/>
                <w:szCs w:val="16"/>
              </w:rPr>
              <w:t xml:space="preserve">Performance Measure Table  </w:t>
            </w:r>
          </w:p>
        </w:tc>
      </w:tr>
      <w:tr w:rsidR="001C6439" w:rsidRPr="00762F09" w:rsidTr="00044B3F">
        <w:trPr>
          <w:trHeight w:val="348"/>
        </w:trPr>
        <w:tc>
          <w:tcPr>
            <w:tcW w:w="14400" w:type="dxa"/>
            <w:gridSpan w:val="1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1C6439" w:rsidRPr="00762F09" w:rsidRDefault="001C6439" w:rsidP="00044B3F">
            <w:pPr>
              <w:spacing w:before="100" w:beforeAutospacing="1" w:after="100" w:afterAutospacing="1"/>
              <w:rPr>
                <w:rFonts w:eastAsia="Arial Unicode MS"/>
                <w:b/>
                <w:szCs w:val="16"/>
              </w:rPr>
            </w:pPr>
            <w:r w:rsidRPr="00762F09">
              <w:rPr>
                <w:rFonts w:eastAsia="Arial Unicode MS"/>
                <w:b/>
                <w:szCs w:val="16"/>
              </w:rPr>
              <w:t>Decision Unit: Arson &amp; Explosives</w:t>
            </w:r>
          </w:p>
        </w:tc>
      </w:tr>
      <w:tr w:rsidR="001C6439" w:rsidRPr="00762F09" w:rsidTr="00044B3F">
        <w:trPr>
          <w:trHeight w:val="357"/>
        </w:trPr>
        <w:tc>
          <w:tcPr>
            <w:tcW w:w="5122" w:type="dxa"/>
            <w:gridSpan w:val="3"/>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1C6439" w:rsidRPr="00762F09" w:rsidRDefault="001C6439" w:rsidP="00044B3F">
            <w:pPr>
              <w:pStyle w:val="xl27"/>
              <w:spacing w:beforeAutospacing="1" w:afterAutospacing="1"/>
              <w:jc w:val="center"/>
              <w:rPr>
                <w:rFonts w:ascii="Times New Roman" w:hAnsi="Times New Roman"/>
                <w:bCs/>
                <w:szCs w:val="22"/>
              </w:rPr>
            </w:pPr>
            <w:r w:rsidRPr="00762F09">
              <w:rPr>
                <w:rFonts w:ascii="Times New Roman" w:hAnsi="Times New Roman"/>
                <w:sz w:val="22"/>
                <w:szCs w:val="22"/>
              </w:rPr>
              <w:t>Performance Report and Performance Plan Targets</w:t>
            </w:r>
          </w:p>
        </w:tc>
        <w:tc>
          <w:tcPr>
            <w:tcW w:w="9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C6439" w:rsidRPr="00762F09" w:rsidRDefault="001C6439" w:rsidP="00044B3F">
            <w:pPr>
              <w:spacing w:before="100" w:beforeAutospacing="1" w:after="100" w:afterAutospacing="1"/>
              <w:jc w:val="center"/>
              <w:rPr>
                <w:b/>
                <w:szCs w:val="16"/>
              </w:rPr>
            </w:pPr>
            <w:r>
              <w:rPr>
                <w:b/>
                <w:szCs w:val="16"/>
              </w:rPr>
              <w:t>FY 2004</w:t>
            </w:r>
          </w:p>
        </w:tc>
        <w:tc>
          <w:tcPr>
            <w:tcW w:w="9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C6439" w:rsidRPr="00762F09" w:rsidRDefault="001C6439" w:rsidP="00044B3F">
            <w:pPr>
              <w:spacing w:before="100" w:beforeAutospacing="1" w:after="100" w:afterAutospacing="1"/>
              <w:jc w:val="center"/>
              <w:rPr>
                <w:b/>
                <w:szCs w:val="16"/>
              </w:rPr>
            </w:pPr>
            <w:r>
              <w:rPr>
                <w:b/>
                <w:szCs w:val="16"/>
              </w:rPr>
              <w:t>FY 2005</w:t>
            </w:r>
          </w:p>
        </w:tc>
        <w:tc>
          <w:tcPr>
            <w:tcW w:w="91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C6439" w:rsidRPr="00762F09" w:rsidRDefault="001C6439" w:rsidP="00044B3F">
            <w:pPr>
              <w:spacing w:before="100" w:beforeAutospacing="1" w:after="100" w:afterAutospacing="1"/>
              <w:jc w:val="center"/>
              <w:rPr>
                <w:b/>
                <w:szCs w:val="16"/>
              </w:rPr>
            </w:pPr>
            <w:r>
              <w:rPr>
                <w:b/>
                <w:szCs w:val="16"/>
              </w:rPr>
              <w:t>FY 2006</w:t>
            </w:r>
          </w:p>
        </w:tc>
        <w:tc>
          <w:tcPr>
            <w:tcW w:w="91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C6439" w:rsidRPr="00762F09" w:rsidRDefault="001C6439" w:rsidP="00044B3F">
            <w:pPr>
              <w:spacing w:before="100" w:beforeAutospacing="1" w:after="100" w:afterAutospacing="1"/>
              <w:jc w:val="center"/>
              <w:rPr>
                <w:b/>
                <w:szCs w:val="16"/>
              </w:rPr>
            </w:pPr>
            <w:r>
              <w:rPr>
                <w:b/>
                <w:szCs w:val="16"/>
              </w:rPr>
              <w:t>FY 2007</w:t>
            </w:r>
          </w:p>
        </w:tc>
        <w:tc>
          <w:tcPr>
            <w:tcW w:w="91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C6439" w:rsidRPr="00762F09" w:rsidRDefault="001C6439" w:rsidP="00044B3F">
            <w:pPr>
              <w:spacing w:before="100" w:beforeAutospacing="1" w:after="100" w:afterAutospacing="1"/>
              <w:jc w:val="center"/>
              <w:rPr>
                <w:rFonts w:eastAsia="Arial Unicode MS"/>
                <w:b/>
                <w:szCs w:val="16"/>
              </w:rPr>
            </w:pPr>
            <w:r>
              <w:rPr>
                <w:rFonts w:eastAsia="Arial Unicode MS"/>
                <w:b/>
                <w:szCs w:val="16"/>
              </w:rPr>
              <w:t>FY 2008</w:t>
            </w:r>
          </w:p>
        </w:tc>
        <w:tc>
          <w:tcPr>
            <w:tcW w:w="90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C6439" w:rsidRPr="00762F09" w:rsidRDefault="001C6439" w:rsidP="00044B3F">
            <w:pPr>
              <w:spacing w:before="100" w:beforeAutospacing="1" w:after="100" w:afterAutospacing="1"/>
              <w:jc w:val="center"/>
              <w:rPr>
                <w:rFonts w:eastAsia="Arial Unicode MS"/>
                <w:b/>
                <w:szCs w:val="16"/>
              </w:rPr>
            </w:pPr>
            <w:r>
              <w:rPr>
                <w:rFonts w:eastAsia="Arial Unicode MS"/>
                <w:b/>
                <w:szCs w:val="16"/>
              </w:rPr>
              <w:t>FY 2009</w:t>
            </w:r>
          </w:p>
        </w:tc>
        <w:tc>
          <w:tcPr>
            <w:tcW w:w="162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C6439" w:rsidRPr="00762F09" w:rsidRDefault="001C6439" w:rsidP="00044B3F">
            <w:pPr>
              <w:spacing w:before="100" w:beforeAutospacing="1" w:after="100" w:afterAutospacing="1"/>
              <w:jc w:val="center"/>
              <w:rPr>
                <w:rFonts w:eastAsia="Arial Unicode MS"/>
                <w:b/>
                <w:szCs w:val="16"/>
              </w:rPr>
            </w:pPr>
            <w:r>
              <w:rPr>
                <w:rFonts w:eastAsia="Arial Unicode MS"/>
                <w:b/>
                <w:szCs w:val="16"/>
              </w:rPr>
              <w:t>FY 2010</w:t>
            </w:r>
          </w:p>
        </w:tc>
        <w:tc>
          <w:tcPr>
            <w:tcW w:w="10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C6439" w:rsidRPr="00762F09" w:rsidRDefault="001C6439" w:rsidP="00044B3F">
            <w:pPr>
              <w:spacing w:before="100" w:beforeAutospacing="1" w:after="100" w:afterAutospacing="1"/>
              <w:jc w:val="center"/>
              <w:rPr>
                <w:rFonts w:eastAsia="Arial Unicode MS"/>
                <w:b/>
                <w:szCs w:val="16"/>
              </w:rPr>
            </w:pPr>
            <w:r>
              <w:rPr>
                <w:rFonts w:eastAsia="Arial Unicode MS"/>
                <w:b/>
                <w:szCs w:val="16"/>
              </w:rPr>
              <w:t>FY 2011</w:t>
            </w:r>
          </w:p>
        </w:tc>
        <w:tc>
          <w:tcPr>
            <w:tcW w:w="10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C6439" w:rsidRPr="00762F09" w:rsidRDefault="001C6439" w:rsidP="00044B3F">
            <w:pPr>
              <w:spacing w:before="100" w:beforeAutospacing="1" w:after="100" w:afterAutospacing="1"/>
              <w:jc w:val="center"/>
              <w:rPr>
                <w:rFonts w:eastAsia="Arial Unicode MS"/>
                <w:b/>
                <w:szCs w:val="16"/>
              </w:rPr>
            </w:pPr>
            <w:r>
              <w:rPr>
                <w:rFonts w:eastAsia="Arial Unicode MS"/>
                <w:b/>
                <w:szCs w:val="16"/>
              </w:rPr>
              <w:t>FY 2012</w:t>
            </w:r>
          </w:p>
        </w:tc>
      </w:tr>
      <w:tr w:rsidR="001C6439" w:rsidRPr="00762F09" w:rsidTr="00044B3F">
        <w:trPr>
          <w:trHeight w:val="285"/>
        </w:trPr>
        <w:tc>
          <w:tcPr>
            <w:tcW w:w="5122" w:type="dxa"/>
            <w:gridSpan w:val="3"/>
            <w:vMerge/>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1C6439" w:rsidRPr="00762F09" w:rsidRDefault="001C6439" w:rsidP="00044B3F">
            <w:pPr>
              <w:pStyle w:val="xl27"/>
              <w:spacing w:beforeAutospacing="1" w:afterAutospacing="1"/>
              <w:rPr>
                <w:rFonts w:ascii="Times New Roman" w:hAnsi="Times New Roman"/>
                <w:sz w:val="20"/>
              </w:rPr>
            </w:pPr>
          </w:p>
        </w:tc>
        <w:tc>
          <w:tcPr>
            <w:tcW w:w="9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1C6439" w:rsidRPr="00762F09" w:rsidRDefault="001C6439" w:rsidP="00044B3F">
            <w:pPr>
              <w:spacing w:before="100" w:beforeAutospacing="1" w:after="100" w:afterAutospacing="1"/>
              <w:jc w:val="center"/>
              <w:rPr>
                <w:b/>
                <w:szCs w:val="16"/>
              </w:rPr>
            </w:pPr>
            <w:r w:rsidRPr="00762F09">
              <w:rPr>
                <w:b/>
                <w:szCs w:val="16"/>
              </w:rPr>
              <w:t>Actual</w:t>
            </w:r>
          </w:p>
        </w:tc>
        <w:tc>
          <w:tcPr>
            <w:tcW w:w="9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1C6439" w:rsidRPr="00762F09" w:rsidRDefault="001C6439" w:rsidP="00044B3F">
            <w:pPr>
              <w:spacing w:before="100" w:beforeAutospacing="1" w:after="100" w:afterAutospacing="1"/>
              <w:jc w:val="center"/>
              <w:rPr>
                <w:b/>
                <w:szCs w:val="16"/>
              </w:rPr>
            </w:pPr>
            <w:r w:rsidRPr="00762F09">
              <w:rPr>
                <w:b/>
                <w:szCs w:val="16"/>
              </w:rPr>
              <w:t>Actual</w:t>
            </w:r>
          </w:p>
        </w:tc>
        <w:tc>
          <w:tcPr>
            <w:tcW w:w="91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C6439" w:rsidRPr="00762F09" w:rsidRDefault="001C6439" w:rsidP="00044B3F">
            <w:pPr>
              <w:spacing w:before="100" w:beforeAutospacing="1" w:after="100" w:afterAutospacing="1"/>
              <w:jc w:val="center"/>
              <w:rPr>
                <w:b/>
                <w:szCs w:val="16"/>
              </w:rPr>
            </w:pPr>
            <w:r w:rsidRPr="00762F09">
              <w:rPr>
                <w:b/>
                <w:szCs w:val="16"/>
              </w:rPr>
              <w:t>Actual</w:t>
            </w:r>
          </w:p>
        </w:tc>
        <w:tc>
          <w:tcPr>
            <w:tcW w:w="91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C6439" w:rsidRPr="00762F09" w:rsidRDefault="001C6439" w:rsidP="00044B3F">
            <w:pPr>
              <w:spacing w:before="100" w:beforeAutospacing="1" w:after="100" w:afterAutospacing="1"/>
              <w:jc w:val="center"/>
              <w:rPr>
                <w:b/>
                <w:szCs w:val="16"/>
              </w:rPr>
            </w:pPr>
            <w:r w:rsidRPr="00762F09">
              <w:rPr>
                <w:b/>
                <w:szCs w:val="16"/>
              </w:rPr>
              <w:t>Actual</w:t>
            </w:r>
          </w:p>
        </w:tc>
        <w:tc>
          <w:tcPr>
            <w:tcW w:w="91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C6439" w:rsidRPr="00762F09" w:rsidRDefault="001C6439" w:rsidP="00044B3F">
            <w:pPr>
              <w:spacing w:before="100" w:beforeAutospacing="1" w:after="100" w:afterAutospacing="1"/>
              <w:jc w:val="center"/>
              <w:rPr>
                <w:b/>
                <w:szCs w:val="16"/>
              </w:rPr>
            </w:pPr>
            <w:r w:rsidRPr="00762F09">
              <w:rPr>
                <w:b/>
                <w:szCs w:val="16"/>
              </w:rPr>
              <w:t>Actual</w:t>
            </w:r>
          </w:p>
        </w:tc>
        <w:tc>
          <w:tcPr>
            <w:tcW w:w="90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C6439" w:rsidRPr="00762F09" w:rsidRDefault="001C6439" w:rsidP="00044B3F">
            <w:pPr>
              <w:spacing w:before="100" w:beforeAutospacing="1" w:after="100" w:afterAutospacing="1"/>
              <w:jc w:val="center"/>
              <w:rPr>
                <w:rFonts w:eastAsia="Arial Unicode MS"/>
                <w:b/>
                <w:szCs w:val="16"/>
              </w:rPr>
            </w:pPr>
            <w:r w:rsidRPr="00762F09">
              <w:rPr>
                <w:rFonts w:eastAsia="Arial Unicode MS"/>
                <w:b/>
                <w:szCs w:val="16"/>
              </w:rPr>
              <w:t>Actual</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1C6439" w:rsidRPr="00762F09" w:rsidRDefault="001C6439" w:rsidP="00044B3F">
            <w:pPr>
              <w:spacing w:before="100" w:beforeAutospacing="1" w:after="100" w:afterAutospacing="1"/>
              <w:jc w:val="center"/>
              <w:rPr>
                <w:rFonts w:eastAsia="Arial Unicode MS"/>
                <w:b/>
                <w:szCs w:val="16"/>
              </w:rPr>
            </w:pPr>
            <w:r w:rsidRPr="00762F09">
              <w:rPr>
                <w:rFonts w:eastAsia="Arial Unicode MS"/>
                <w:b/>
                <w:szCs w:val="16"/>
              </w:rPr>
              <w:t>Target</w:t>
            </w:r>
          </w:p>
        </w:tc>
        <w:tc>
          <w:tcPr>
            <w:tcW w:w="7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1C6439" w:rsidRPr="00762F09" w:rsidRDefault="001C6439" w:rsidP="00044B3F">
            <w:pPr>
              <w:spacing w:before="100" w:beforeAutospacing="1" w:after="100" w:afterAutospacing="1"/>
              <w:jc w:val="center"/>
              <w:rPr>
                <w:rFonts w:eastAsia="Arial Unicode MS"/>
                <w:b/>
                <w:szCs w:val="16"/>
              </w:rPr>
            </w:pPr>
            <w:r w:rsidRPr="00762F09">
              <w:rPr>
                <w:b/>
                <w:bCs/>
                <w:szCs w:val="16"/>
              </w:rPr>
              <w:t xml:space="preserve">Actual </w:t>
            </w:r>
          </w:p>
        </w:tc>
        <w:tc>
          <w:tcPr>
            <w:tcW w:w="10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1C6439" w:rsidRPr="00762F09" w:rsidRDefault="001C6439" w:rsidP="00044B3F">
            <w:pPr>
              <w:spacing w:before="100" w:beforeAutospacing="1" w:after="100" w:afterAutospacing="1"/>
              <w:jc w:val="center"/>
              <w:rPr>
                <w:rFonts w:eastAsia="Arial Unicode MS"/>
                <w:b/>
                <w:szCs w:val="16"/>
              </w:rPr>
            </w:pPr>
            <w:r w:rsidRPr="00762F09">
              <w:rPr>
                <w:rFonts w:eastAsia="Arial Unicode MS"/>
                <w:b/>
                <w:szCs w:val="16"/>
              </w:rPr>
              <w:t>Target</w:t>
            </w:r>
          </w:p>
        </w:tc>
        <w:tc>
          <w:tcPr>
            <w:tcW w:w="10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C6439" w:rsidRPr="00762F09" w:rsidRDefault="001C6439" w:rsidP="00044B3F">
            <w:pPr>
              <w:spacing w:before="100" w:beforeAutospacing="1" w:after="100" w:afterAutospacing="1"/>
              <w:jc w:val="center"/>
              <w:rPr>
                <w:rFonts w:eastAsia="Arial Unicode MS"/>
                <w:b/>
                <w:szCs w:val="16"/>
              </w:rPr>
            </w:pPr>
            <w:r w:rsidRPr="00762F09">
              <w:rPr>
                <w:rFonts w:eastAsia="Arial Unicode MS"/>
                <w:b/>
                <w:szCs w:val="16"/>
              </w:rPr>
              <w:t>Target</w:t>
            </w:r>
          </w:p>
        </w:tc>
      </w:tr>
      <w:tr w:rsidR="001C6439" w:rsidRPr="00762F09" w:rsidTr="00044B3F">
        <w:trPr>
          <w:trHeight w:val="834"/>
        </w:trPr>
        <w:tc>
          <w:tcPr>
            <w:tcW w:w="1440" w:type="dxa"/>
            <w:tcBorders>
              <w:top w:val="single" w:sz="4" w:space="0" w:color="auto"/>
              <w:left w:val="single" w:sz="4" w:space="0" w:color="auto"/>
              <w:bottom w:val="single" w:sz="4" w:space="0" w:color="auto"/>
              <w:right w:val="nil"/>
            </w:tcBorders>
            <w:shd w:val="clear" w:color="auto" w:fill="auto"/>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bCs/>
                <w:sz w:val="22"/>
                <w:szCs w:val="22"/>
              </w:rPr>
            </w:pPr>
            <w:r w:rsidRPr="00B07C76">
              <w:rPr>
                <w:rFonts w:eastAsia="Arial Unicode MS"/>
                <w:sz w:val="22"/>
                <w:szCs w:val="22"/>
              </w:rPr>
              <w:t>OUTCOME  Measure</w:t>
            </w:r>
          </w:p>
        </w:tc>
        <w:tc>
          <w:tcPr>
            <w:tcW w:w="3682"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1C6439" w:rsidRPr="00B07C76" w:rsidRDefault="001C6439" w:rsidP="00044B3F">
            <w:pPr>
              <w:spacing w:before="100" w:beforeAutospacing="1" w:after="100" w:afterAutospacing="1"/>
              <w:rPr>
                <w:bCs/>
                <w:szCs w:val="16"/>
              </w:rPr>
            </w:pPr>
            <w:r w:rsidRPr="00B07C76">
              <w:rPr>
                <w:rStyle w:val="explanation"/>
                <w:sz w:val="22"/>
                <w:szCs w:val="22"/>
              </w:rPr>
              <w:t>Reduce the risk to public safety caused by bomb and explosives</w:t>
            </w:r>
          </w:p>
        </w:tc>
        <w:tc>
          <w:tcPr>
            <w:tcW w:w="919"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szCs w:val="16"/>
              </w:rPr>
            </w:pPr>
            <w:r w:rsidRPr="00B07C76">
              <w:rPr>
                <w:rFonts w:eastAsia="Arial Unicode MS"/>
              </w:rPr>
              <w:t>N/A</w:t>
            </w:r>
          </w:p>
        </w:tc>
        <w:tc>
          <w:tcPr>
            <w:tcW w:w="9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szCs w:val="16"/>
              </w:rPr>
            </w:pPr>
            <w:r w:rsidRPr="00B07C76">
              <w:rPr>
                <w:rFonts w:eastAsia="Arial Unicode MS"/>
              </w:rPr>
              <w:t>N/A</w:t>
            </w:r>
          </w:p>
        </w:tc>
        <w:tc>
          <w:tcPr>
            <w:tcW w:w="918"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szCs w:val="16"/>
              </w:rPr>
            </w:pPr>
            <w:r w:rsidRPr="00B07C76">
              <w:rPr>
                <w:rFonts w:eastAsia="Arial Unicode MS"/>
              </w:rPr>
              <w:t>N/A</w:t>
            </w:r>
          </w:p>
        </w:tc>
        <w:tc>
          <w:tcPr>
            <w:tcW w:w="918"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rFonts w:eastAsia="Arial Unicode MS"/>
                <w:szCs w:val="16"/>
              </w:rPr>
            </w:pPr>
            <w:r w:rsidRPr="00B07C76">
              <w:rPr>
                <w:rFonts w:eastAsia="Arial Unicode MS"/>
              </w:rPr>
              <w:t>N/A</w:t>
            </w:r>
          </w:p>
        </w:tc>
        <w:tc>
          <w:tcPr>
            <w:tcW w:w="918"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rFonts w:eastAsia="Arial Unicode MS"/>
                <w:szCs w:val="16"/>
              </w:rPr>
            </w:pPr>
            <w:r w:rsidRPr="00B07C76">
              <w:rPr>
                <w:rFonts w:eastAsia="Arial Unicode MS"/>
              </w:rPr>
              <w:t>N/A</w:t>
            </w:r>
          </w:p>
        </w:tc>
        <w:tc>
          <w:tcPr>
            <w:tcW w:w="90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rFonts w:eastAsia="Arial Unicode MS"/>
                <w:szCs w:val="16"/>
              </w:rPr>
            </w:pPr>
            <w:r w:rsidRPr="00B07C76">
              <w:rPr>
                <w:rFonts w:eastAsia="Arial Unicode MS"/>
              </w:rPr>
              <w:t>N/A</w:t>
            </w:r>
          </w:p>
        </w:tc>
        <w:tc>
          <w:tcPr>
            <w:tcW w:w="90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rFonts w:eastAsia="Arial Unicode MS"/>
                <w:szCs w:val="16"/>
              </w:rPr>
            </w:pPr>
            <w:r w:rsidRPr="00B07C76">
              <w:rPr>
                <w:rFonts w:eastAsia="Arial Unicode MS"/>
              </w:rPr>
              <w:t>N/A</w:t>
            </w:r>
          </w:p>
        </w:tc>
        <w:tc>
          <w:tcPr>
            <w:tcW w:w="720" w:type="dxa"/>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0" w:type="dxa"/>
              <w:right w:w="20" w:type="dxa"/>
            </w:tcMar>
            <w:vAlign w:val="center"/>
          </w:tcPr>
          <w:p w:rsidR="001C6439" w:rsidRPr="00B07C76" w:rsidRDefault="00366A78" w:rsidP="00144F94">
            <w:pPr>
              <w:spacing w:before="100" w:beforeAutospacing="1" w:after="100" w:afterAutospacing="1"/>
              <w:jc w:val="center"/>
              <w:rPr>
                <w:rFonts w:eastAsia="Arial Unicode MS"/>
                <w:szCs w:val="16"/>
              </w:rPr>
            </w:pPr>
            <w:r>
              <w:rPr>
                <w:rFonts w:eastAsia="Arial Unicode MS"/>
              </w:rPr>
              <w:t>92.8</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BF5D36" w:rsidP="00144F94">
            <w:pPr>
              <w:spacing w:before="100" w:beforeAutospacing="1" w:after="100" w:afterAutospacing="1"/>
              <w:jc w:val="center"/>
              <w:rPr>
                <w:rFonts w:eastAsia="Arial Unicode MS"/>
                <w:sz w:val="20"/>
                <w:szCs w:val="20"/>
              </w:rPr>
            </w:pPr>
            <w:r>
              <w:rPr>
                <w:rFonts w:eastAsia="Arial Unicode MS"/>
                <w:sz w:val="20"/>
                <w:szCs w:val="20"/>
              </w:rPr>
              <w:t>88</w:t>
            </w:r>
          </w:p>
        </w:tc>
        <w:tc>
          <w:tcPr>
            <w:tcW w:w="108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144F94" w:rsidP="00144F94">
            <w:pPr>
              <w:spacing w:before="100" w:beforeAutospacing="1" w:after="100" w:afterAutospacing="1"/>
              <w:jc w:val="center"/>
              <w:rPr>
                <w:rFonts w:eastAsia="Arial Unicode MS"/>
                <w:sz w:val="20"/>
                <w:szCs w:val="20"/>
              </w:rPr>
            </w:pPr>
            <w:r>
              <w:rPr>
                <w:rFonts w:eastAsia="Arial Unicode MS"/>
                <w:sz w:val="20"/>
                <w:szCs w:val="20"/>
              </w:rPr>
              <w:t>76</w:t>
            </w:r>
          </w:p>
        </w:tc>
      </w:tr>
      <w:tr w:rsidR="001C6439" w:rsidRPr="00762F09" w:rsidTr="00044B3F">
        <w:trPr>
          <w:trHeight w:val="834"/>
        </w:trPr>
        <w:tc>
          <w:tcPr>
            <w:tcW w:w="1440" w:type="dxa"/>
            <w:tcBorders>
              <w:top w:val="single" w:sz="4" w:space="0" w:color="auto"/>
              <w:left w:val="single" w:sz="4" w:space="0" w:color="auto"/>
              <w:bottom w:val="single" w:sz="4" w:space="0" w:color="auto"/>
              <w:right w:val="nil"/>
            </w:tcBorders>
            <w:shd w:val="clear" w:color="auto" w:fill="auto"/>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bCs/>
                <w:sz w:val="22"/>
                <w:szCs w:val="22"/>
              </w:rPr>
            </w:pPr>
            <w:r w:rsidRPr="00B07C76">
              <w:rPr>
                <w:rFonts w:eastAsia="Arial Unicode MS"/>
                <w:sz w:val="22"/>
                <w:szCs w:val="22"/>
              </w:rPr>
              <w:t>OUTCOME  Measure</w:t>
            </w:r>
          </w:p>
        </w:tc>
        <w:tc>
          <w:tcPr>
            <w:tcW w:w="3682"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1C6439" w:rsidRPr="00B07C76" w:rsidRDefault="001C6439" w:rsidP="00044B3F">
            <w:pPr>
              <w:spacing w:before="100" w:beforeAutospacing="1" w:after="100" w:afterAutospacing="1"/>
              <w:rPr>
                <w:bCs/>
                <w:szCs w:val="16"/>
              </w:rPr>
            </w:pPr>
            <w:r w:rsidRPr="00B07C76">
              <w:rPr>
                <w:rStyle w:val="explanation"/>
                <w:sz w:val="22"/>
                <w:szCs w:val="22"/>
              </w:rPr>
              <w:t>Reduce the risk to public safety caused by criminal use of fire</w:t>
            </w:r>
          </w:p>
        </w:tc>
        <w:tc>
          <w:tcPr>
            <w:tcW w:w="919"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szCs w:val="16"/>
              </w:rPr>
            </w:pPr>
            <w:r w:rsidRPr="00B07C76">
              <w:rPr>
                <w:rFonts w:eastAsia="Arial Unicode MS"/>
              </w:rPr>
              <w:t>N/A</w:t>
            </w:r>
          </w:p>
        </w:tc>
        <w:tc>
          <w:tcPr>
            <w:tcW w:w="9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szCs w:val="16"/>
              </w:rPr>
            </w:pPr>
            <w:r w:rsidRPr="00B07C76">
              <w:rPr>
                <w:rFonts w:eastAsia="Arial Unicode MS"/>
              </w:rPr>
              <w:t>N/A</w:t>
            </w:r>
          </w:p>
        </w:tc>
        <w:tc>
          <w:tcPr>
            <w:tcW w:w="918"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szCs w:val="16"/>
              </w:rPr>
            </w:pPr>
            <w:r w:rsidRPr="00B07C76">
              <w:rPr>
                <w:rFonts w:eastAsia="Arial Unicode MS"/>
              </w:rPr>
              <w:t>N/A</w:t>
            </w:r>
          </w:p>
        </w:tc>
        <w:tc>
          <w:tcPr>
            <w:tcW w:w="918"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rFonts w:eastAsia="Arial Unicode MS"/>
                <w:szCs w:val="16"/>
              </w:rPr>
            </w:pPr>
            <w:r w:rsidRPr="00B07C76">
              <w:rPr>
                <w:rFonts w:eastAsia="Arial Unicode MS"/>
              </w:rPr>
              <w:t>N/A</w:t>
            </w:r>
          </w:p>
        </w:tc>
        <w:tc>
          <w:tcPr>
            <w:tcW w:w="918"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rFonts w:eastAsia="Arial Unicode MS"/>
                <w:szCs w:val="16"/>
              </w:rPr>
            </w:pPr>
            <w:r w:rsidRPr="00B07C76">
              <w:rPr>
                <w:rFonts w:eastAsia="Arial Unicode MS"/>
              </w:rPr>
              <w:t>N/A</w:t>
            </w:r>
          </w:p>
        </w:tc>
        <w:tc>
          <w:tcPr>
            <w:tcW w:w="90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rFonts w:eastAsia="Arial Unicode MS"/>
                <w:szCs w:val="16"/>
              </w:rPr>
            </w:pPr>
            <w:r w:rsidRPr="00B07C76">
              <w:rPr>
                <w:rFonts w:eastAsia="Arial Unicode MS"/>
              </w:rPr>
              <w:t>N/A</w:t>
            </w:r>
          </w:p>
        </w:tc>
        <w:tc>
          <w:tcPr>
            <w:tcW w:w="90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rFonts w:eastAsia="Arial Unicode MS"/>
                <w:szCs w:val="16"/>
              </w:rPr>
            </w:pPr>
            <w:r w:rsidRPr="00B07C76">
              <w:rPr>
                <w:rFonts w:eastAsia="Arial Unicode MS"/>
              </w:rPr>
              <w:t>N/A</w:t>
            </w:r>
          </w:p>
        </w:tc>
        <w:tc>
          <w:tcPr>
            <w:tcW w:w="720" w:type="dxa"/>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0" w:type="dxa"/>
              <w:right w:w="20" w:type="dxa"/>
            </w:tcMar>
            <w:vAlign w:val="center"/>
          </w:tcPr>
          <w:p w:rsidR="001C6439" w:rsidRPr="00B07C76" w:rsidRDefault="00366A78" w:rsidP="00144F94">
            <w:pPr>
              <w:spacing w:before="100" w:beforeAutospacing="1" w:after="100" w:afterAutospacing="1"/>
              <w:jc w:val="center"/>
              <w:rPr>
                <w:rFonts w:eastAsia="Arial Unicode MS"/>
                <w:szCs w:val="16"/>
              </w:rPr>
            </w:pPr>
            <w:r>
              <w:rPr>
                <w:rFonts w:eastAsia="Arial Unicode MS"/>
              </w:rPr>
              <w:t>99.9</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BF5D36" w:rsidP="00144F94">
            <w:pPr>
              <w:spacing w:before="100" w:beforeAutospacing="1" w:after="100" w:afterAutospacing="1"/>
              <w:jc w:val="center"/>
              <w:rPr>
                <w:rFonts w:eastAsia="Arial Unicode MS"/>
                <w:sz w:val="20"/>
                <w:szCs w:val="20"/>
              </w:rPr>
            </w:pPr>
            <w:r>
              <w:rPr>
                <w:rFonts w:eastAsia="Arial Unicode MS"/>
                <w:sz w:val="20"/>
                <w:szCs w:val="20"/>
              </w:rPr>
              <w:t>92</w:t>
            </w:r>
          </w:p>
        </w:tc>
        <w:tc>
          <w:tcPr>
            <w:tcW w:w="108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144F94" w:rsidP="00144F94">
            <w:pPr>
              <w:spacing w:before="100" w:beforeAutospacing="1" w:after="100" w:afterAutospacing="1"/>
              <w:jc w:val="center"/>
              <w:rPr>
                <w:rFonts w:eastAsia="Arial Unicode MS"/>
                <w:sz w:val="20"/>
                <w:szCs w:val="20"/>
              </w:rPr>
            </w:pPr>
            <w:r>
              <w:rPr>
                <w:rFonts w:eastAsia="Arial Unicode MS"/>
                <w:sz w:val="20"/>
                <w:szCs w:val="20"/>
              </w:rPr>
              <w:t>83</w:t>
            </w:r>
          </w:p>
        </w:tc>
      </w:tr>
      <w:tr w:rsidR="001C6439" w:rsidRPr="00762F09" w:rsidTr="00044B3F">
        <w:trPr>
          <w:trHeight w:val="834"/>
        </w:trPr>
        <w:tc>
          <w:tcPr>
            <w:tcW w:w="1440" w:type="dxa"/>
            <w:tcBorders>
              <w:top w:val="single" w:sz="4" w:space="0" w:color="auto"/>
              <w:left w:val="single" w:sz="4" w:space="0" w:color="auto"/>
              <w:bottom w:val="single" w:sz="4" w:space="0" w:color="auto"/>
              <w:right w:val="nil"/>
            </w:tcBorders>
            <w:shd w:val="clear" w:color="auto" w:fill="auto"/>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bCs/>
                <w:sz w:val="22"/>
                <w:szCs w:val="22"/>
              </w:rPr>
            </w:pPr>
            <w:r w:rsidRPr="00B07C76">
              <w:rPr>
                <w:rFonts w:eastAsia="Arial Unicode MS"/>
                <w:sz w:val="22"/>
                <w:szCs w:val="22"/>
              </w:rPr>
              <w:t>OUTCOME  Measure</w:t>
            </w:r>
          </w:p>
        </w:tc>
        <w:tc>
          <w:tcPr>
            <w:tcW w:w="3682"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1C6439" w:rsidRPr="00B07C76" w:rsidRDefault="001C6439" w:rsidP="009B3ABA">
            <w:pPr>
              <w:spacing w:before="100" w:beforeAutospacing="1" w:after="100" w:afterAutospacing="1"/>
              <w:rPr>
                <w:bCs/>
                <w:szCs w:val="16"/>
              </w:rPr>
            </w:pPr>
            <w:r w:rsidRPr="00B07C76">
              <w:rPr>
                <w:sz w:val="22"/>
                <w:szCs w:val="22"/>
              </w:rPr>
              <w:t xml:space="preserve">Improve public safety by increasing compliance with </w:t>
            </w:r>
            <w:r w:rsidR="009B3ABA">
              <w:rPr>
                <w:sz w:val="22"/>
                <w:szCs w:val="22"/>
              </w:rPr>
              <w:t>F</w:t>
            </w:r>
            <w:r w:rsidR="009B3ABA" w:rsidRPr="00B07C76">
              <w:rPr>
                <w:sz w:val="22"/>
                <w:szCs w:val="22"/>
              </w:rPr>
              <w:t xml:space="preserve">ederal </w:t>
            </w:r>
            <w:r w:rsidRPr="00B07C76">
              <w:rPr>
                <w:sz w:val="22"/>
                <w:szCs w:val="22"/>
              </w:rPr>
              <w:t>laws and regulations by explosives industry members</w:t>
            </w:r>
          </w:p>
        </w:tc>
        <w:tc>
          <w:tcPr>
            <w:tcW w:w="919"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szCs w:val="16"/>
              </w:rPr>
            </w:pPr>
            <w:r w:rsidRPr="00B07C76">
              <w:rPr>
                <w:rFonts w:eastAsia="Arial Unicode MS"/>
              </w:rPr>
              <w:t>N/A</w:t>
            </w:r>
          </w:p>
        </w:tc>
        <w:tc>
          <w:tcPr>
            <w:tcW w:w="9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szCs w:val="16"/>
              </w:rPr>
            </w:pPr>
            <w:r w:rsidRPr="00B07C76">
              <w:rPr>
                <w:rFonts w:eastAsia="Arial Unicode MS"/>
              </w:rPr>
              <w:t>N/A</w:t>
            </w:r>
          </w:p>
        </w:tc>
        <w:tc>
          <w:tcPr>
            <w:tcW w:w="918"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szCs w:val="16"/>
              </w:rPr>
            </w:pPr>
            <w:r w:rsidRPr="00B07C76">
              <w:rPr>
                <w:rFonts w:eastAsia="Arial Unicode MS"/>
              </w:rPr>
              <w:t>N/A</w:t>
            </w:r>
          </w:p>
        </w:tc>
        <w:tc>
          <w:tcPr>
            <w:tcW w:w="918"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rFonts w:eastAsia="Arial Unicode MS"/>
                <w:szCs w:val="16"/>
              </w:rPr>
            </w:pPr>
            <w:r w:rsidRPr="00B07C76">
              <w:rPr>
                <w:rFonts w:eastAsia="Arial Unicode MS"/>
              </w:rPr>
              <w:t>N/A</w:t>
            </w:r>
          </w:p>
        </w:tc>
        <w:tc>
          <w:tcPr>
            <w:tcW w:w="918"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rFonts w:eastAsia="Arial Unicode MS"/>
                <w:szCs w:val="16"/>
              </w:rPr>
            </w:pPr>
            <w:r w:rsidRPr="00B07C76">
              <w:rPr>
                <w:rFonts w:eastAsia="Arial Unicode MS"/>
              </w:rPr>
              <w:t>N/A</w:t>
            </w:r>
          </w:p>
        </w:tc>
        <w:tc>
          <w:tcPr>
            <w:tcW w:w="90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rFonts w:eastAsia="Arial Unicode MS"/>
                <w:szCs w:val="16"/>
              </w:rPr>
            </w:pPr>
            <w:r w:rsidRPr="00B07C76">
              <w:rPr>
                <w:rFonts w:eastAsia="Arial Unicode MS"/>
              </w:rPr>
              <w:t>N/A</w:t>
            </w:r>
          </w:p>
        </w:tc>
        <w:tc>
          <w:tcPr>
            <w:tcW w:w="90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C6439" w:rsidRPr="00B07C76" w:rsidRDefault="001C6439" w:rsidP="00044B3F">
            <w:pPr>
              <w:spacing w:before="100" w:beforeAutospacing="1" w:after="100" w:afterAutospacing="1"/>
              <w:jc w:val="center"/>
              <w:rPr>
                <w:rFonts w:eastAsia="Arial Unicode MS"/>
                <w:szCs w:val="16"/>
              </w:rPr>
            </w:pPr>
            <w:r w:rsidRPr="00B07C76">
              <w:rPr>
                <w:rFonts w:eastAsia="Arial Unicode MS"/>
              </w:rPr>
              <w:t>N/A</w:t>
            </w:r>
          </w:p>
        </w:tc>
        <w:tc>
          <w:tcPr>
            <w:tcW w:w="720" w:type="dxa"/>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0" w:type="dxa"/>
              <w:right w:w="20" w:type="dxa"/>
            </w:tcMar>
            <w:vAlign w:val="center"/>
          </w:tcPr>
          <w:p w:rsidR="001C6439" w:rsidRPr="00B07C76" w:rsidRDefault="00366A78" w:rsidP="00144F94">
            <w:pPr>
              <w:spacing w:before="100" w:beforeAutospacing="1" w:after="100" w:afterAutospacing="1"/>
              <w:jc w:val="center"/>
              <w:rPr>
                <w:rFonts w:eastAsia="Arial Unicode MS"/>
                <w:szCs w:val="16"/>
              </w:rPr>
            </w:pPr>
            <w:r>
              <w:rPr>
                <w:rFonts w:eastAsia="Arial Unicode MS"/>
              </w:rPr>
              <w:t>93.5</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BF5D36" w:rsidP="00144F94">
            <w:pPr>
              <w:spacing w:before="100" w:beforeAutospacing="1" w:after="100" w:afterAutospacing="1"/>
              <w:jc w:val="center"/>
              <w:rPr>
                <w:rFonts w:eastAsia="Arial Unicode MS"/>
                <w:sz w:val="20"/>
                <w:szCs w:val="20"/>
              </w:rPr>
            </w:pPr>
            <w:r>
              <w:rPr>
                <w:rFonts w:eastAsia="Arial Unicode MS"/>
                <w:sz w:val="20"/>
                <w:szCs w:val="20"/>
              </w:rPr>
              <w:t>97</w:t>
            </w:r>
          </w:p>
        </w:tc>
        <w:tc>
          <w:tcPr>
            <w:tcW w:w="108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C6439" w:rsidRPr="00B07C76" w:rsidRDefault="00144F94" w:rsidP="00144F94">
            <w:pPr>
              <w:spacing w:before="100" w:beforeAutospacing="1" w:after="100" w:afterAutospacing="1"/>
              <w:jc w:val="center"/>
              <w:rPr>
                <w:rFonts w:eastAsia="Arial Unicode MS"/>
                <w:sz w:val="20"/>
                <w:szCs w:val="20"/>
              </w:rPr>
            </w:pPr>
            <w:r>
              <w:rPr>
                <w:rFonts w:eastAsia="Arial Unicode MS"/>
                <w:sz w:val="20"/>
                <w:szCs w:val="20"/>
              </w:rPr>
              <w:t>91</w:t>
            </w:r>
          </w:p>
        </w:tc>
      </w:tr>
    </w:tbl>
    <w:p w:rsidR="00237537" w:rsidRDefault="00237537" w:rsidP="00237537">
      <w:pPr>
        <w:rPr>
          <w:b/>
          <w:sz w:val="18"/>
          <w:szCs w:val="18"/>
        </w:rPr>
      </w:pPr>
    </w:p>
    <w:p w:rsidR="007E12D8" w:rsidRDefault="00237537" w:rsidP="004F58FB">
      <w:pPr>
        <w:rPr>
          <w:color w:val="000000"/>
          <w:sz w:val="16"/>
          <w:szCs w:val="16"/>
        </w:rPr>
      </w:pPr>
      <w:r>
        <w:rPr>
          <w:b/>
          <w:sz w:val="18"/>
          <w:szCs w:val="18"/>
        </w:rPr>
        <w:t>Footnote</w:t>
      </w:r>
      <w:r w:rsidR="000450ED">
        <w:rPr>
          <w:b/>
          <w:sz w:val="18"/>
          <w:szCs w:val="18"/>
        </w:rPr>
        <w:t xml:space="preserve">: </w:t>
      </w:r>
      <w:r w:rsidR="000450ED">
        <w:rPr>
          <w:sz w:val="18"/>
          <w:szCs w:val="18"/>
        </w:rPr>
        <w:t xml:space="preserve"> </w:t>
      </w:r>
      <w:r w:rsidR="000450ED" w:rsidRPr="00C43091">
        <w:rPr>
          <w:color w:val="000000"/>
          <w:sz w:val="16"/>
          <w:szCs w:val="16"/>
        </w:rPr>
        <w:t>ATF has established a benchmark for its performance index using FY 2010 actual performance data and resource levels.  The benchmark level is expressed as a performance index target of “100” in the FY 2011 Congressional Budget Request.  From this benchmark, ATF has determined the FY 2012 performance targets by estimating expected performance with the requested level of resources in the FY 2012 Congressional Budget Request.  ATF’s FY 2012 performance targets represent the Bureau’s capability (relative to the FY 2010 benchmark level and within the resources requested) to impact strategic risk areas (Performance Goals/Outcome).  Using the underlying benchmarked proxy index indicators as a starting point, ATF is able to project anticipated mission performance, with results displayed at the performance goal index levels (</w:t>
      </w:r>
      <w:proofErr w:type="spellStart"/>
      <w:r w:rsidR="000450ED" w:rsidRPr="00C43091">
        <w:rPr>
          <w:color w:val="000000"/>
          <w:sz w:val="16"/>
          <w:szCs w:val="16"/>
        </w:rPr>
        <w:t>Actuals</w:t>
      </w:r>
      <w:proofErr w:type="spellEnd"/>
      <w:r w:rsidR="000450ED" w:rsidRPr="00C43091">
        <w:rPr>
          <w:color w:val="000000"/>
          <w:sz w:val="16"/>
          <w:szCs w:val="16"/>
        </w:rPr>
        <w:t>).  Please refer to section 3.a. for a discussion of the Performance Plan and Report of Outcomes.</w:t>
      </w:r>
      <w:r w:rsidR="003C5F3C">
        <w:rPr>
          <w:color w:val="000000"/>
          <w:sz w:val="16"/>
          <w:szCs w:val="16"/>
        </w:rPr>
        <w:t xml:space="preserve">  </w:t>
      </w:r>
    </w:p>
    <w:p w:rsidR="007E12D8" w:rsidRDefault="007E12D8" w:rsidP="004F58FB">
      <w:pPr>
        <w:rPr>
          <w:color w:val="000000"/>
          <w:sz w:val="16"/>
          <w:szCs w:val="16"/>
        </w:rPr>
      </w:pPr>
    </w:p>
    <w:p w:rsidR="00327018" w:rsidRPr="00327018" w:rsidRDefault="00327018" w:rsidP="00327018">
      <w:pPr>
        <w:rPr>
          <w:color w:val="000000"/>
          <w:sz w:val="16"/>
          <w:szCs w:val="16"/>
        </w:rPr>
      </w:pPr>
      <w:r w:rsidRPr="00327018">
        <w:rPr>
          <w:color w:val="000000"/>
          <w:sz w:val="16"/>
          <w:szCs w:val="16"/>
        </w:rPr>
        <w:t xml:space="preserve">Targets may change based on FY 2011 resource availability but ATF will ensure that performance measures reflect the goals and objectives for FY 2012. </w:t>
      </w:r>
    </w:p>
    <w:p w:rsidR="00C43091" w:rsidRDefault="00C43091" w:rsidP="00C43091">
      <w:pPr>
        <w:rPr>
          <w:sz w:val="16"/>
          <w:szCs w:val="16"/>
        </w:rPr>
      </w:pPr>
    </w:p>
    <w:p w:rsidR="00FA2AAB" w:rsidRPr="003F17DB" w:rsidRDefault="00FA2AAB" w:rsidP="003F17DB">
      <w:pPr>
        <w:rPr>
          <w:rFonts w:eastAsia="Arial Unicode MS"/>
          <w:sz w:val="22"/>
          <w:szCs w:val="22"/>
        </w:rPr>
        <w:sectPr w:rsidR="00FA2AAB" w:rsidRPr="003F17DB" w:rsidSect="00391939">
          <w:pgSz w:w="15840" w:h="12240" w:orient="landscape" w:code="1"/>
          <w:pgMar w:top="1440" w:right="1440" w:bottom="1440" w:left="1440" w:header="720" w:footer="720" w:gutter="0"/>
          <w:cols w:space="720"/>
          <w:noEndnote/>
          <w:docGrid w:linePitch="272"/>
        </w:sectPr>
      </w:pPr>
    </w:p>
    <w:p w:rsidR="00FA2AAB" w:rsidRPr="00762F09" w:rsidRDefault="00FA2AAB" w:rsidP="00797FD4">
      <w:pPr>
        <w:spacing w:before="100" w:beforeAutospacing="1" w:after="100" w:afterAutospacing="1"/>
        <w:ind w:right="-18"/>
        <w:rPr>
          <w:b/>
          <w:bCs/>
        </w:rPr>
      </w:pPr>
      <w:r w:rsidRPr="00762F09">
        <w:rPr>
          <w:b/>
          <w:bCs/>
        </w:rPr>
        <w:lastRenderedPageBreak/>
        <w:t>3.    Performance, Resources, and Strategies</w:t>
      </w:r>
    </w:p>
    <w:p w:rsidR="00FA2AAB" w:rsidRPr="00762F09" w:rsidRDefault="00FA2AAB" w:rsidP="005027FD">
      <w:pPr>
        <w:numPr>
          <w:ilvl w:val="0"/>
          <w:numId w:val="5"/>
        </w:numPr>
        <w:spacing w:before="100" w:beforeAutospacing="1" w:after="100" w:afterAutospacing="1"/>
        <w:ind w:right="-18"/>
        <w:rPr>
          <w:b/>
          <w:bCs/>
        </w:rPr>
      </w:pPr>
      <w:r w:rsidRPr="00762F09">
        <w:rPr>
          <w:b/>
          <w:bCs/>
        </w:rPr>
        <w:t>Performance Plan and Report for Outcomes</w:t>
      </w:r>
    </w:p>
    <w:p w:rsidR="00E11DC1" w:rsidRDefault="00FA2AAB" w:rsidP="005027FD">
      <w:pPr>
        <w:spacing w:before="100" w:beforeAutospacing="1" w:after="100" w:afterAutospacing="1"/>
      </w:pPr>
      <w:r w:rsidRPr="00762F09">
        <w:t xml:space="preserve">The arson and explosives decision unit contributes to </w:t>
      </w:r>
      <w:r w:rsidR="00D23FAC">
        <w:t>DOJ</w:t>
      </w:r>
      <w:r w:rsidRPr="00762F09">
        <w:t>’s Strategic Goal 1</w:t>
      </w:r>
      <w:r w:rsidR="006C7DF9">
        <w:t xml:space="preserve"> - </w:t>
      </w:r>
      <w:r w:rsidR="00D23FAC">
        <w:t>Preventing Terrorism and Promoting the Nation’s Security</w:t>
      </w:r>
      <w:r w:rsidRPr="00762F09">
        <w:t xml:space="preserve"> and </w:t>
      </w:r>
      <w:r w:rsidR="00E11DC1">
        <w:t xml:space="preserve">Strategic Goal </w:t>
      </w:r>
      <w:r w:rsidRPr="00762F09">
        <w:t>2</w:t>
      </w:r>
      <w:r w:rsidR="006C7DF9">
        <w:t xml:space="preserve"> - </w:t>
      </w:r>
      <w:r w:rsidR="00E11DC1">
        <w:t>Preventing Crime, Enforcing Federal Laws, and Representing the Rights and Interests of the American People</w:t>
      </w:r>
      <w:r w:rsidRPr="00762F09">
        <w:t>.</w:t>
      </w:r>
    </w:p>
    <w:p w:rsidR="00FA2AAB" w:rsidRPr="00762F09" w:rsidRDefault="00FA2AAB" w:rsidP="005027FD">
      <w:pPr>
        <w:spacing w:before="100" w:beforeAutospacing="1" w:after="100" w:afterAutospacing="1"/>
      </w:pPr>
      <w:r w:rsidRPr="00762F09">
        <w:t xml:space="preserve">This unit complements ATF’s firearms decision unit </w:t>
      </w:r>
      <w:r w:rsidR="00E11DC1">
        <w:t xml:space="preserve">by effectively applying </w:t>
      </w:r>
      <w:r w:rsidRPr="00762F09">
        <w:t xml:space="preserve">advanced investigative techniques, vigorous </w:t>
      </w:r>
      <w:r w:rsidR="00E11DC1" w:rsidRPr="00762F09">
        <w:t>prosecuti</w:t>
      </w:r>
      <w:r w:rsidR="00E11DC1">
        <w:t>ng</w:t>
      </w:r>
      <w:r w:rsidR="00E11DC1" w:rsidRPr="00762F09">
        <w:t xml:space="preserve"> </w:t>
      </w:r>
      <w:r w:rsidRPr="00762F09">
        <w:t xml:space="preserve">criminals, </w:t>
      </w:r>
      <w:r w:rsidR="00E11DC1">
        <w:t xml:space="preserve">and consistently </w:t>
      </w:r>
      <w:r w:rsidRPr="00762F09">
        <w:t xml:space="preserve">training and </w:t>
      </w:r>
      <w:r w:rsidR="00E11DC1">
        <w:t xml:space="preserve">promulgating </w:t>
      </w:r>
      <w:r w:rsidRPr="00762F09">
        <w:t xml:space="preserve">prevention strategies through law enforcement, industry regulation, industry outreach, technology, and </w:t>
      </w:r>
      <w:r w:rsidR="00F94F22">
        <w:t xml:space="preserve">mitigation of </w:t>
      </w:r>
      <w:r w:rsidRPr="00762F09">
        <w:t>public safety</w:t>
      </w:r>
      <w:r w:rsidRPr="00762F09">
        <w:rPr>
          <w:b/>
          <w:bCs/>
        </w:rPr>
        <w:t xml:space="preserve"> </w:t>
      </w:r>
      <w:r w:rsidRPr="00762F09">
        <w:t xml:space="preserve">risks relative to regulated commodities.  </w:t>
      </w:r>
    </w:p>
    <w:p w:rsidR="00FA2AAB" w:rsidRPr="00865B9E" w:rsidRDefault="00FA2AAB" w:rsidP="005027FD">
      <w:pPr>
        <w:pStyle w:val="Header"/>
        <w:tabs>
          <w:tab w:val="left" w:pos="720"/>
        </w:tabs>
        <w:spacing w:before="100" w:beforeAutospacing="1" w:after="100" w:afterAutospacing="1"/>
      </w:pPr>
      <w:r w:rsidRPr="00865B9E">
        <w:t xml:space="preserve">ATF uses its investigative jurisdiction, skills, and assets to </w:t>
      </w:r>
      <w:r w:rsidR="003223F4" w:rsidRPr="00865B9E">
        <w:t xml:space="preserve">combat </w:t>
      </w:r>
      <w:r w:rsidRPr="00865B9E">
        <w:t>explosives and arson-related</w:t>
      </w:r>
      <w:r w:rsidRPr="00865B9E">
        <w:rPr>
          <w:b/>
        </w:rPr>
        <w:t xml:space="preserve"> </w:t>
      </w:r>
      <w:r w:rsidRPr="00865B9E">
        <w:t>violence and terrorist acts.  The explosives regulatory enforcement program safeguards the American</w:t>
      </w:r>
      <w:r w:rsidRPr="00865B9E">
        <w:rPr>
          <w:b/>
        </w:rPr>
        <w:t xml:space="preserve"> </w:t>
      </w:r>
      <w:r w:rsidRPr="00865B9E">
        <w:t xml:space="preserve">public from explosives incidents caused by improperly stored materials.  The program also minimizes criminals’ access </w:t>
      </w:r>
      <w:r w:rsidR="006365B3" w:rsidRPr="00865B9E">
        <w:t xml:space="preserve">to </w:t>
      </w:r>
      <w:r w:rsidRPr="00865B9E">
        <w:t>and use of explosive materials by heightening accountability</w:t>
      </w:r>
      <w:r w:rsidR="006365B3" w:rsidRPr="00865B9E">
        <w:t xml:space="preserve"> for</w:t>
      </w:r>
      <w:r w:rsidRPr="00865B9E">
        <w:t xml:space="preserve"> and increasing the traceability of materials without posing undue burden on the explosives industry.</w:t>
      </w:r>
    </w:p>
    <w:p w:rsidR="00FA2AAB" w:rsidRPr="00762F09" w:rsidRDefault="00FA2AAB" w:rsidP="005027FD">
      <w:pPr>
        <w:pStyle w:val="Header"/>
        <w:tabs>
          <w:tab w:val="left" w:pos="720"/>
        </w:tabs>
        <w:spacing w:before="100" w:beforeAutospacing="1" w:after="100" w:afterAutospacing="1"/>
        <w:ind w:right="864"/>
      </w:pPr>
      <w:r w:rsidRPr="00762F09">
        <w:t>Internationally, ATF contributes to national counterterrorism strategies and supports the Administration’s and Department’s national priorities to combat terrorism at home and international</w:t>
      </w:r>
      <w:r w:rsidR="00647DCF">
        <w:t>ly</w:t>
      </w:r>
      <w:r w:rsidRPr="00762F09">
        <w:t xml:space="preserve"> by actively fostering working partnerships with friendly nations and U.S. allies.  ATF shares intelligence and other assets in the war against global terrorism</w:t>
      </w:r>
      <w:r w:rsidR="00CC4749">
        <w:t xml:space="preserve"> throughout the </w:t>
      </w:r>
      <w:r w:rsidR="00F4778B">
        <w:t>DOJ</w:t>
      </w:r>
      <w:r w:rsidR="00CC4749">
        <w:t xml:space="preserve"> and other </w:t>
      </w:r>
      <w:r w:rsidR="00F94F22">
        <w:t>F</w:t>
      </w:r>
      <w:r w:rsidR="00CC4749">
        <w:t>ederal agencies</w:t>
      </w:r>
      <w:r w:rsidRPr="00762F09">
        <w:t>.</w:t>
      </w:r>
    </w:p>
    <w:p w:rsidR="00FA2AAB" w:rsidRPr="00762F09" w:rsidRDefault="00FA2AAB" w:rsidP="005027FD">
      <w:pPr>
        <w:pStyle w:val="BodyText"/>
        <w:spacing w:before="100" w:beforeAutospacing="1" w:after="100" w:afterAutospacing="1"/>
        <w:rPr>
          <w:b/>
          <w:bCs/>
          <w:szCs w:val="24"/>
        </w:rPr>
      </w:pPr>
      <w:r w:rsidRPr="00762F09">
        <w:rPr>
          <w:b/>
          <w:bCs/>
          <w:szCs w:val="24"/>
        </w:rPr>
        <w:t>b. Strategies to Accomplish Outcomes</w:t>
      </w:r>
    </w:p>
    <w:p w:rsidR="00FA2AAB" w:rsidRPr="00762F09" w:rsidRDefault="00FA2AAB" w:rsidP="005027FD">
      <w:pPr>
        <w:spacing w:before="100" w:beforeAutospacing="1" w:after="100" w:afterAutospacing="1"/>
      </w:pPr>
      <w:r w:rsidRPr="00762F09">
        <w:t xml:space="preserve">ATF </w:t>
      </w:r>
      <w:r w:rsidR="00867131">
        <w:t>concentrates</w:t>
      </w:r>
      <w:r w:rsidRPr="00762F09">
        <w:t xml:space="preserve"> resources and specialized expertise to achieve effective post-incident response and prevent the criminal use of explosives.  ATF </w:t>
      </w:r>
      <w:r w:rsidR="00867131">
        <w:t>commits</w:t>
      </w:r>
      <w:r w:rsidRPr="00762F09">
        <w:t xml:space="preserve"> to </w:t>
      </w:r>
      <w:r w:rsidR="00867131">
        <w:t>an effective explosives inspection program that</w:t>
      </w:r>
      <w:r w:rsidRPr="00762F09">
        <w:t xml:space="preserve"> provides for public safety and security from the unauthorized use of explosive materials.</w:t>
      </w:r>
    </w:p>
    <w:p w:rsidR="00FA2AAB" w:rsidRPr="00762F09" w:rsidRDefault="00FA2AAB" w:rsidP="005027FD">
      <w:pPr>
        <w:autoSpaceDE w:val="0"/>
        <w:autoSpaceDN w:val="0"/>
        <w:adjustRightInd w:val="0"/>
        <w:spacing w:before="100" w:beforeAutospacing="1" w:after="100" w:afterAutospacing="1"/>
        <w:rPr>
          <w:bCs/>
        </w:rPr>
      </w:pPr>
      <w:r w:rsidRPr="00762F09">
        <w:t xml:space="preserve">Educating the industry on ATF policies and regulations, product storage safety, and theft prevention, as well as inspecting industry members, remain important elements in securing public safety.  </w:t>
      </w:r>
      <w:r w:rsidRPr="00762F09">
        <w:rPr>
          <w:bCs/>
        </w:rPr>
        <w:t>Specifically, continued liaison efforts with explosives industry members, explosives licensees and permittees, the precursor chemical industry, and public safety agencies will help mitigate the possibility of terrorists obtaining explosives through the legal explosives industry.</w:t>
      </w:r>
    </w:p>
    <w:p w:rsidR="00FA2AAB" w:rsidRPr="005E671B" w:rsidRDefault="00FA2AAB" w:rsidP="005027FD">
      <w:pPr>
        <w:pStyle w:val="xl19"/>
        <w:tabs>
          <w:tab w:val="left" w:pos="3420"/>
          <w:tab w:val="right" w:pos="8640"/>
        </w:tabs>
        <w:spacing w:before="100" w:beforeAutospacing="1" w:after="100" w:afterAutospacing="1"/>
      </w:pPr>
      <w:r w:rsidRPr="00762F09">
        <w:t xml:space="preserve">In response to long-term national counterterrorism strategies, ATF </w:t>
      </w:r>
      <w:r w:rsidR="00CC4749">
        <w:t>has</w:t>
      </w:r>
      <w:r w:rsidRPr="00762F09">
        <w:t xml:space="preserve"> set up a strategic global presence t</w:t>
      </w:r>
      <w:r w:rsidRPr="00762F09">
        <w:rPr>
          <w:bCs/>
        </w:rPr>
        <w:t xml:space="preserve">o safeguard and support U.S. interests and policies internationally. </w:t>
      </w:r>
      <w:r w:rsidRPr="00762F09">
        <w:t xml:space="preserve"> </w:t>
      </w:r>
      <w:r w:rsidR="00867131">
        <w:t xml:space="preserve">In addition, through its presence at the U.S. Embassy in Iraq and in foreign offices throughout the Western Hemisphere, </w:t>
      </w:r>
      <w:r w:rsidRPr="00762F09">
        <w:t xml:space="preserve">ATF </w:t>
      </w:r>
      <w:r w:rsidR="00867131">
        <w:t xml:space="preserve">participates </w:t>
      </w:r>
      <w:r w:rsidR="00A71473">
        <w:t xml:space="preserve">in </w:t>
      </w:r>
      <w:r w:rsidRPr="00762F09">
        <w:t xml:space="preserve">an early warning </w:t>
      </w:r>
      <w:r w:rsidR="00A71473">
        <w:t xml:space="preserve">system and shares intelligence with </w:t>
      </w:r>
      <w:r w:rsidR="00A71473">
        <w:lastRenderedPageBreak/>
        <w:t xml:space="preserve">INTERPOL and EUROPOL regarding </w:t>
      </w:r>
      <w:r w:rsidRPr="00762F09">
        <w:t>terrorist organizations that may seek to use o</w:t>
      </w:r>
      <w:r w:rsidRPr="005E671B">
        <w:t>r to traffic in firearms, other conventional weapons, or explosives.</w:t>
      </w:r>
    </w:p>
    <w:p w:rsidR="00FA2AAB" w:rsidRPr="005E671B" w:rsidRDefault="00FA2AAB" w:rsidP="005027FD">
      <w:pPr>
        <w:pStyle w:val="Heading1"/>
        <w:spacing w:before="100" w:beforeAutospacing="1" w:after="100" w:afterAutospacing="1"/>
        <w:jc w:val="left"/>
        <w:rPr>
          <w:rFonts w:ascii="Times New Roman" w:hAnsi="Times New Roman"/>
          <w:szCs w:val="24"/>
        </w:rPr>
      </w:pPr>
      <w:bookmarkStart w:id="52" w:name="_Toc224026887"/>
      <w:r w:rsidRPr="005E671B">
        <w:rPr>
          <w:rFonts w:ascii="Times New Roman" w:hAnsi="Times New Roman"/>
          <w:szCs w:val="24"/>
        </w:rPr>
        <w:t>Crosscutting Activities</w:t>
      </w:r>
      <w:bookmarkEnd w:id="52"/>
      <w:r w:rsidRPr="005E671B">
        <w:rPr>
          <w:rFonts w:ascii="Times New Roman" w:hAnsi="Times New Roman"/>
          <w:szCs w:val="24"/>
        </w:rPr>
        <w:t xml:space="preserve"> </w:t>
      </w:r>
    </w:p>
    <w:p w:rsidR="00FA2AAB" w:rsidRPr="00762F09" w:rsidRDefault="00FA2AAB" w:rsidP="005027FD">
      <w:pPr>
        <w:pStyle w:val="List2"/>
        <w:spacing w:before="100" w:beforeAutospacing="1" w:after="100" w:afterAutospacing="1"/>
        <w:ind w:left="0" w:firstLine="0"/>
        <w:rPr>
          <w:szCs w:val="24"/>
        </w:rPr>
      </w:pPr>
      <w:r w:rsidRPr="00762F09">
        <w:rPr>
          <w:szCs w:val="24"/>
        </w:rPr>
        <w:t xml:space="preserve">ATF </w:t>
      </w:r>
      <w:r w:rsidR="00450975">
        <w:rPr>
          <w:szCs w:val="24"/>
        </w:rPr>
        <w:t xml:space="preserve">not only </w:t>
      </w:r>
      <w:r w:rsidRPr="00762F09">
        <w:rPr>
          <w:szCs w:val="24"/>
        </w:rPr>
        <w:t>participates in multi-agency efforts such as the JTTF, High Intensity Drug Trafficking Area (HIDTA), High Intensity Financial Crime Areas (HIFCA)</w:t>
      </w:r>
      <w:r w:rsidR="00F94F22">
        <w:rPr>
          <w:szCs w:val="24"/>
        </w:rPr>
        <w:t>,</w:t>
      </w:r>
      <w:r w:rsidRPr="00762F09">
        <w:rPr>
          <w:szCs w:val="24"/>
        </w:rPr>
        <w:t xml:space="preserve"> the Organized Crime Drug Enforcement Task Force (OCDETF)</w:t>
      </w:r>
      <w:r w:rsidR="00CC4749">
        <w:rPr>
          <w:szCs w:val="24"/>
        </w:rPr>
        <w:t xml:space="preserve">, Combined Explosives Exploitation Cells (CEXC), </w:t>
      </w:r>
      <w:r w:rsidR="00B53540" w:rsidRPr="00865B9E">
        <w:rPr>
          <w:szCs w:val="24"/>
        </w:rPr>
        <w:t>and the</w:t>
      </w:r>
      <w:r w:rsidR="00B53540">
        <w:rPr>
          <w:color w:val="5F497A" w:themeColor="accent4" w:themeShade="BF"/>
          <w:szCs w:val="24"/>
        </w:rPr>
        <w:t xml:space="preserve"> </w:t>
      </w:r>
      <w:r w:rsidR="00CC4749">
        <w:rPr>
          <w:szCs w:val="24"/>
        </w:rPr>
        <w:t xml:space="preserve">Terrorist </w:t>
      </w:r>
      <w:r w:rsidR="00F440B6">
        <w:rPr>
          <w:szCs w:val="24"/>
        </w:rPr>
        <w:t xml:space="preserve">Explosives Devices Analytical Center </w:t>
      </w:r>
      <w:r w:rsidR="00CC4749">
        <w:rPr>
          <w:szCs w:val="24"/>
        </w:rPr>
        <w:t>(TEDAC)</w:t>
      </w:r>
      <w:r w:rsidR="00450975">
        <w:rPr>
          <w:szCs w:val="24"/>
        </w:rPr>
        <w:t>,</w:t>
      </w:r>
      <w:r w:rsidRPr="00762F09">
        <w:rPr>
          <w:szCs w:val="24"/>
        </w:rPr>
        <w:t xml:space="preserve"> </w:t>
      </w:r>
      <w:r w:rsidR="00450975">
        <w:rPr>
          <w:szCs w:val="24"/>
        </w:rPr>
        <w:t xml:space="preserve">but </w:t>
      </w:r>
      <w:r w:rsidR="00B53540" w:rsidRPr="00B53540">
        <w:rPr>
          <w:color w:val="5F497A" w:themeColor="accent4" w:themeShade="BF"/>
          <w:szCs w:val="24"/>
        </w:rPr>
        <w:t>i</w:t>
      </w:r>
      <w:r w:rsidR="00B53540">
        <w:rPr>
          <w:szCs w:val="24"/>
        </w:rPr>
        <w:t xml:space="preserve">t </w:t>
      </w:r>
      <w:r w:rsidR="00450975">
        <w:rPr>
          <w:szCs w:val="24"/>
        </w:rPr>
        <w:t>also</w:t>
      </w:r>
      <w:r w:rsidR="00450975" w:rsidRPr="00762F09">
        <w:rPr>
          <w:szCs w:val="24"/>
        </w:rPr>
        <w:t xml:space="preserve"> </w:t>
      </w:r>
      <w:r w:rsidRPr="00762F09">
        <w:rPr>
          <w:szCs w:val="24"/>
        </w:rPr>
        <w:t>provides direct investigative expertise to State and local public safety agencies.</w:t>
      </w:r>
    </w:p>
    <w:p w:rsidR="00FA2AAB" w:rsidRPr="00762F09" w:rsidRDefault="00FA2AAB" w:rsidP="005027FD">
      <w:pPr>
        <w:pStyle w:val="List2"/>
        <w:spacing w:before="100" w:beforeAutospacing="1" w:after="100" w:afterAutospacing="1"/>
        <w:ind w:left="0" w:firstLine="0"/>
        <w:rPr>
          <w:szCs w:val="24"/>
        </w:rPr>
      </w:pPr>
      <w:r w:rsidRPr="00762F09">
        <w:rPr>
          <w:szCs w:val="24"/>
        </w:rPr>
        <w:t xml:space="preserve">The Bomb and Arson Tracking System (BATS) provides valuable investigative information and intelligence to share with ATF’s </w:t>
      </w:r>
      <w:r w:rsidR="00905B7C">
        <w:rPr>
          <w:szCs w:val="24"/>
        </w:rPr>
        <w:t>F</w:t>
      </w:r>
      <w:r w:rsidR="00CC4749" w:rsidRPr="00762F09">
        <w:rPr>
          <w:szCs w:val="24"/>
        </w:rPr>
        <w:t>ederal</w:t>
      </w:r>
      <w:r w:rsidRPr="00762F09">
        <w:rPr>
          <w:szCs w:val="24"/>
        </w:rPr>
        <w:t xml:space="preserve">, </w:t>
      </w:r>
      <w:r w:rsidR="00905B7C">
        <w:rPr>
          <w:szCs w:val="24"/>
        </w:rPr>
        <w:t>S</w:t>
      </w:r>
      <w:r w:rsidR="00CC4749" w:rsidRPr="00762F09">
        <w:rPr>
          <w:szCs w:val="24"/>
        </w:rPr>
        <w:t>tate</w:t>
      </w:r>
      <w:r w:rsidRPr="00762F09">
        <w:rPr>
          <w:szCs w:val="24"/>
        </w:rPr>
        <w:t>, local, and international law enforcement partners such as the National Gang Intelligence Center (NGIC), Regional Information Sharing System (RISS), International Organized Crime (IOC)</w:t>
      </w:r>
      <w:r w:rsidR="00925127">
        <w:rPr>
          <w:szCs w:val="24"/>
        </w:rPr>
        <w:t xml:space="preserve"> Coordination Center</w:t>
      </w:r>
      <w:r w:rsidRPr="00762F09">
        <w:rPr>
          <w:szCs w:val="24"/>
        </w:rPr>
        <w:t xml:space="preserve">, and the OCDETF Fusion Center.  </w:t>
      </w:r>
      <w:r w:rsidR="00450975">
        <w:rPr>
          <w:szCs w:val="24"/>
        </w:rPr>
        <w:t>Further</w:t>
      </w:r>
      <w:r w:rsidRPr="00762F09">
        <w:rPr>
          <w:szCs w:val="24"/>
        </w:rPr>
        <w:t xml:space="preserve">, ATF </w:t>
      </w:r>
      <w:r w:rsidR="00450975">
        <w:rPr>
          <w:szCs w:val="24"/>
        </w:rPr>
        <w:t>assigns</w:t>
      </w:r>
      <w:r w:rsidR="00450975" w:rsidRPr="00762F09">
        <w:rPr>
          <w:szCs w:val="24"/>
        </w:rPr>
        <w:t xml:space="preserve"> </w:t>
      </w:r>
      <w:r w:rsidRPr="00762F09">
        <w:rPr>
          <w:szCs w:val="24"/>
        </w:rPr>
        <w:t xml:space="preserve">representatives </w:t>
      </w:r>
      <w:r w:rsidR="00450975">
        <w:rPr>
          <w:szCs w:val="24"/>
        </w:rPr>
        <w:t>to</w:t>
      </w:r>
      <w:r w:rsidRPr="00762F09">
        <w:rPr>
          <w:szCs w:val="24"/>
        </w:rPr>
        <w:t xml:space="preserve"> various law enforcement and intelligence agencies such as </w:t>
      </w:r>
      <w:r w:rsidR="006558B9">
        <w:rPr>
          <w:szCs w:val="24"/>
        </w:rPr>
        <w:t xml:space="preserve">the </w:t>
      </w:r>
      <w:r w:rsidRPr="00762F09">
        <w:rPr>
          <w:szCs w:val="24"/>
        </w:rPr>
        <w:t xml:space="preserve">Defense Intelligence Agency (DIA), FBI, Department of Homeland Security (DHS), </w:t>
      </w:r>
      <w:r w:rsidR="006558B9">
        <w:rPr>
          <w:szCs w:val="24"/>
        </w:rPr>
        <w:t xml:space="preserve">the </w:t>
      </w:r>
      <w:r w:rsidRPr="00762F09">
        <w:rPr>
          <w:szCs w:val="24"/>
        </w:rPr>
        <w:t>Department of State</w:t>
      </w:r>
      <w:r w:rsidR="006558B9">
        <w:rPr>
          <w:szCs w:val="24"/>
        </w:rPr>
        <w:t xml:space="preserve"> and other </w:t>
      </w:r>
      <w:r w:rsidR="003A0D3A">
        <w:rPr>
          <w:szCs w:val="24"/>
        </w:rPr>
        <w:t xml:space="preserve">government </w:t>
      </w:r>
      <w:r w:rsidR="006558B9">
        <w:rPr>
          <w:szCs w:val="24"/>
        </w:rPr>
        <w:t>agencies</w:t>
      </w:r>
      <w:r w:rsidR="003A0D3A">
        <w:rPr>
          <w:szCs w:val="24"/>
        </w:rPr>
        <w:t xml:space="preserve"> (OGAs)</w:t>
      </w:r>
      <w:r w:rsidRPr="00762F09">
        <w:rPr>
          <w:szCs w:val="24"/>
        </w:rPr>
        <w:t>.</w:t>
      </w:r>
    </w:p>
    <w:p w:rsidR="00FA2AAB" w:rsidRPr="00762F09" w:rsidRDefault="00FA2AAB" w:rsidP="005027FD">
      <w:pPr>
        <w:pStyle w:val="List2"/>
        <w:spacing w:before="100" w:beforeAutospacing="1" w:after="100" w:afterAutospacing="1"/>
        <w:ind w:left="0" w:right="864" w:firstLine="0"/>
        <w:rPr>
          <w:szCs w:val="24"/>
        </w:rPr>
      </w:pPr>
      <w:r w:rsidRPr="00762F09">
        <w:rPr>
          <w:szCs w:val="24"/>
        </w:rPr>
        <w:t xml:space="preserve">ATF </w:t>
      </w:r>
      <w:r w:rsidR="00450975">
        <w:rPr>
          <w:szCs w:val="24"/>
        </w:rPr>
        <w:t>amplifies</w:t>
      </w:r>
      <w:r w:rsidRPr="00762F09">
        <w:rPr>
          <w:szCs w:val="24"/>
        </w:rPr>
        <w:t xml:space="preserve"> interdepartmental initiatives to combat terrorism </w:t>
      </w:r>
      <w:r w:rsidR="00450975">
        <w:rPr>
          <w:szCs w:val="24"/>
        </w:rPr>
        <w:t>by fulfilling</w:t>
      </w:r>
      <w:r w:rsidRPr="00762F09">
        <w:rPr>
          <w:szCs w:val="24"/>
        </w:rPr>
        <w:t xml:space="preserve"> its responsibilities under the National Implementation Plan for the War on Terror, </w:t>
      </w:r>
      <w:r w:rsidR="00450975">
        <w:rPr>
          <w:szCs w:val="24"/>
        </w:rPr>
        <w:t xml:space="preserve">by </w:t>
      </w:r>
      <w:r w:rsidRPr="00762F09">
        <w:rPr>
          <w:szCs w:val="24"/>
        </w:rPr>
        <w:t>support</w:t>
      </w:r>
      <w:r w:rsidR="00450975">
        <w:rPr>
          <w:szCs w:val="24"/>
        </w:rPr>
        <w:t>ing</w:t>
      </w:r>
      <w:r w:rsidRPr="00762F09">
        <w:rPr>
          <w:szCs w:val="24"/>
        </w:rPr>
        <w:t xml:space="preserve"> the implementation plan for Homeland Security Presidential Directive 19 (Combating Terrorist Use of Explosives in the </w:t>
      </w:r>
      <w:r>
        <w:rPr>
          <w:szCs w:val="24"/>
        </w:rPr>
        <w:t>U.S.</w:t>
      </w:r>
      <w:r w:rsidRPr="00762F09">
        <w:rPr>
          <w:szCs w:val="24"/>
        </w:rPr>
        <w:t>), and by taking part in task forces such as the CEXC and TEDAC, and by using resources such as BATS, Dfuze and its explosives canine program.</w:t>
      </w:r>
    </w:p>
    <w:p w:rsidR="00FA2AAB" w:rsidRDefault="00FA2AAB" w:rsidP="005009F3">
      <w:pPr>
        <w:spacing w:before="100" w:beforeAutospacing="1" w:after="100" w:afterAutospacing="1"/>
        <w:rPr>
          <w:b/>
        </w:rPr>
      </w:pPr>
      <w:r>
        <w:rPr>
          <w:b/>
          <w:bCs/>
        </w:rPr>
        <w:br w:type="page"/>
      </w:r>
      <w:r w:rsidRPr="00762F09">
        <w:rPr>
          <w:b/>
        </w:rPr>
        <w:lastRenderedPageBreak/>
        <w:t xml:space="preserve">C.  Alcohol and Tobacco </w:t>
      </w:r>
      <w:r w:rsidR="00B06DC3">
        <w:rPr>
          <w:b/>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1260"/>
        <w:gridCol w:w="1080"/>
        <w:gridCol w:w="1980"/>
      </w:tblGrid>
      <w:tr w:rsidR="00FA2AAB" w:rsidRPr="00762F09" w:rsidTr="00143009">
        <w:tc>
          <w:tcPr>
            <w:tcW w:w="5040" w:type="dxa"/>
          </w:tcPr>
          <w:p w:rsidR="00FA2AAB" w:rsidRPr="00143009" w:rsidRDefault="00FA2AAB" w:rsidP="00143009">
            <w:pPr>
              <w:spacing w:before="100" w:beforeAutospacing="1" w:after="100" w:afterAutospacing="1"/>
              <w:rPr>
                <w:b/>
                <w:bCs/>
              </w:rPr>
            </w:pPr>
            <w:r w:rsidRPr="00143009">
              <w:rPr>
                <w:b/>
                <w:bCs/>
              </w:rPr>
              <w:t>Alcohol and Tobacco  TOTAL</w:t>
            </w:r>
          </w:p>
        </w:tc>
        <w:tc>
          <w:tcPr>
            <w:tcW w:w="1260" w:type="dxa"/>
          </w:tcPr>
          <w:p w:rsidR="00FA2AAB" w:rsidRPr="00143009" w:rsidRDefault="00FA2AAB" w:rsidP="00143009">
            <w:pPr>
              <w:spacing w:before="100" w:beforeAutospacing="1" w:after="100" w:afterAutospacing="1"/>
              <w:jc w:val="center"/>
              <w:rPr>
                <w:b/>
                <w:bCs/>
              </w:rPr>
            </w:pPr>
            <w:smartTag w:uri="urn:schemas-microsoft-com:office:smarttags" w:element="place">
              <w:smartTag w:uri="urn:schemas-microsoft-com:office:smarttags" w:element="City">
                <w:r w:rsidRPr="00143009">
                  <w:rPr>
                    <w:b/>
                    <w:bCs/>
                  </w:rPr>
                  <w:t>Perm</w:t>
                </w:r>
              </w:smartTag>
            </w:smartTag>
            <w:r w:rsidRPr="00143009">
              <w:rPr>
                <w:b/>
                <w:bCs/>
              </w:rPr>
              <w:t xml:space="preserve"> Pos.</w:t>
            </w:r>
          </w:p>
        </w:tc>
        <w:tc>
          <w:tcPr>
            <w:tcW w:w="1080" w:type="dxa"/>
          </w:tcPr>
          <w:p w:rsidR="00FA2AAB" w:rsidRPr="00143009" w:rsidRDefault="00FA2AAB" w:rsidP="00143009">
            <w:pPr>
              <w:spacing w:before="100" w:beforeAutospacing="1" w:after="100" w:afterAutospacing="1"/>
              <w:jc w:val="center"/>
              <w:rPr>
                <w:b/>
                <w:bCs/>
              </w:rPr>
            </w:pPr>
            <w:r w:rsidRPr="00143009">
              <w:rPr>
                <w:b/>
                <w:bCs/>
              </w:rPr>
              <w:t>FTE</w:t>
            </w:r>
          </w:p>
        </w:tc>
        <w:tc>
          <w:tcPr>
            <w:tcW w:w="1980" w:type="dxa"/>
          </w:tcPr>
          <w:p w:rsidR="00FA2AAB" w:rsidRPr="00143009" w:rsidRDefault="00FA2AAB" w:rsidP="00143009">
            <w:pPr>
              <w:spacing w:before="100" w:beforeAutospacing="1" w:after="100" w:afterAutospacing="1"/>
              <w:jc w:val="center"/>
              <w:rPr>
                <w:b/>
                <w:bCs/>
              </w:rPr>
            </w:pPr>
            <w:r w:rsidRPr="00143009">
              <w:rPr>
                <w:b/>
                <w:bCs/>
              </w:rPr>
              <w:t>Amount</w:t>
            </w:r>
          </w:p>
        </w:tc>
      </w:tr>
      <w:tr w:rsidR="00FA2AAB" w:rsidRPr="00762F09" w:rsidTr="00143009">
        <w:tc>
          <w:tcPr>
            <w:tcW w:w="5040" w:type="dxa"/>
          </w:tcPr>
          <w:p w:rsidR="00FA2AAB" w:rsidRPr="00762F09" w:rsidRDefault="006C7DF9" w:rsidP="006C7DF9">
            <w:pPr>
              <w:spacing w:before="100" w:beforeAutospacing="1" w:after="100" w:afterAutospacing="1"/>
            </w:pPr>
            <w:r w:rsidRPr="00762F09">
              <w:t>20</w:t>
            </w:r>
            <w:r>
              <w:t>10</w:t>
            </w:r>
            <w:r w:rsidRPr="00762F09">
              <w:t xml:space="preserve"> </w:t>
            </w:r>
            <w:r w:rsidR="00FA2AAB" w:rsidRPr="00762F09">
              <w:t>Enacted w/Rescissions</w:t>
            </w:r>
          </w:p>
        </w:tc>
        <w:tc>
          <w:tcPr>
            <w:tcW w:w="1260" w:type="dxa"/>
          </w:tcPr>
          <w:p w:rsidR="00FA2AAB" w:rsidRPr="00762F09" w:rsidRDefault="00FA2AAB" w:rsidP="00143009">
            <w:pPr>
              <w:spacing w:before="100" w:beforeAutospacing="1" w:after="100" w:afterAutospacing="1"/>
              <w:jc w:val="right"/>
            </w:pPr>
            <w:r w:rsidRPr="00762F09">
              <w:t>93</w:t>
            </w:r>
          </w:p>
        </w:tc>
        <w:tc>
          <w:tcPr>
            <w:tcW w:w="1080" w:type="dxa"/>
          </w:tcPr>
          <w:p w:rsidR="00FA2AAB" w:rsidRPr="00143009" w:rsidRDefault="00FA2AAB" w:rsidP="00143009">
            <w:pPr>
              <w:spacing w:before="100" w:beforeAutospacing="1" w:after="100" w:afterAutospacing="1"/>
              <w:jc w:val="right"/>
              <w:rPr>
                <w:bCs/>
              </w:rPr>
            </w:pPr>
            <w:r w:rsidRPr="00143009">
              <w:rPr>
                <w:bCs/>
              </w:rPr>
              <w:t>90</w:t>
            </w:r>
          </w:p>
        </w:tc>
        <w:tc>
          <w:tcPr>
            <w:tcW w:w="1980" w:type="dxa"/>
          </w:tcPr>
          <w:p w:rsidR="00FA2AAB" w:rsidRPr="00762F09" w:rsidRDefault="006C7DF9" w:rsidP="00143009">
            <w:pPr>
              <w:spacing w:before="100" w:beforeAutospacing="1" w:after="100" w:afterAutospacing="1"/>
              <w:jc w:val="right"/>
            </w:pPr>
            <w:r>
              <w:t>22,295</w:t>
            </w:r>
          </w:p>
        </w:tc>
      </w:tr>
      <w:tr w:rsidR="00FA2AAB" w:rsidRPr="00762F09" w:rsidTr="00143009">
        <w:tc>
          <w:tcPr>
            <w:tcW w:w="5040" w:type="dxa"/>
          </w:tcPr>
          <w:p w:rsidR="00FA2AAB" w:rsidRPr="00762F09" w:rsidRDefault="006C7DF9" w:rsidP="006C7DF9">
            <w:pPr>
              <w:spacing w:before="100" w:beforeAutospacing="1" w:after="100" w:afterAutospacing="1"/>
              <w:ind w:right="-468"/>
            </w:pPr>
            <w:r w:rsidRPr="00762F09">
              <w:t>20</w:t>
            </w:r>
            <w:r>
              <w:t>10</w:t>
            </w:r>
            <w:r w:rsidRPr="00762F09">
              <w:t xml:space="preserve"> </w:t>
            </w:r>
            <w:r w:rsidR="00FA2AAB" w:rsidRPr="00762F09">
              <w:t>Supplementals</w:t>
            </w:r>
          </w:p>
        </w:tc>
        <w:tc>
          <w:tcPr>
            <w:tcW w:w="1260" w:type="dxa"/>
          </w:tcPr>
          <w:p w:rsidR="00FA2AAB" w:rsidRPr="00762F09" w:rsidRDefault="00FA2AAB" w:rsidP="00143009">
            <w:pPr>
              <w:spacing w:before="100" w:beforeAutospacing="1" w:after="100" w:afterAutospacing="1"/>
              <w:jc w:val="right"/>
            </w:pPr>
            <w:r w:rsidRPr="00762F09">
              <w:t>0</w:t>
            </w:r>
          </w:p>
        </w:tc>
        <w:tc>
          <w:tcPr>
            <w:tcW w:w="1080" w:type="dxa"/>
          </w:tcPr>
          <w:p w:rsidR="00FA2AAB" w:rsidRPr="00762F09" w:rsidRDefault="00FA2AAB" w:rsidP="00143009">
            <w:pPr>
              <w:spacing w:before="100" w:beforeAutospacing="1" w:after="100" w:afterAutospacing="1"/>
              <w:jc w:val="right"/>
            </w:pPr>
            <w:r w:rsidRPr="00762F09">
              <w:t>0</w:t>
            </w:r>
          </w:p>
        </w:tc>
        <w:tc>
          <w:tcPr>
            <w:tcW w:w="1980" w:type="dxa"/>
          </w:tcPr>
          <w:p w:rsidR="00FA2AAB" w:rsidRPr="00762F09" w:rsidRDefault="006C7DF9" w:rsidP="00143009">
            <w:pPr>
              <w:spacing w:before="100" w:beforeAutospacing="1" w:after="100" w:afterAutospacing="1"/>
              <w:jc w:val="right"/>
            </w:pPr>
            <w:r>
              <w:t>0</w:t>
            </w:r>
          </w:p>
        </w:tc>
      </w:tr>
      <w:tr w:rsidR="00FA2AAB" w:rsidRPr="00762F09" w:rsidTr="00143009">
        <w:tc>
          <w:tcPr>
            <w:tcW w:w="5040" w:type="dxa"/>
          </w:tcPr>
          <w:p w:rsidR="00FA2AAB" w:rsidRPr="00762F09" w:rsidRDefault="006C7DF9" w:rsidP="006C7DF9">
            <w:pPr>
              <w:spacing w:before="100" w:beforeAutospacing="1" w:after="100" w:afterAutospacing="1"/>
              <w:ind w:right="-468"/>
            </w:pPr>
            <w:r w:rsidRPr="00762F09">
              <w:t>20</w:t>
            </w:r>
            <w:r>
              <w:t>10</w:t>
            </w:r>
            <w:r w:rsidRPr="00762F09">
              <w:t xml:space="preserve"> </w:t>
            </w:r>
            <w:r w:rsidR="00FA2AAB" w:rsidRPr="00762F09">
              <w:t>Enacted w/Rescissions and Supplementals</w:t>
            </w:r>
          </w:p>
        </w:tc>
        <w:tc>
          <w:tcPr>
            <w:tcW w:w="1260" w:type="dxa"/>
          </w:tcPr>
          <w:p w:rsidR="00FA2AAB" w:rsidRPr="00762F09" w:rsidRDefault="00FA2AAB" w:rsidP="00143009">
            <w:pPr>
              <w:spacing w:before="100" w:beforeAutospacing="1" w:after="100" w:afterAutospacing="1"/>
              <w:jc w:val="right"/>
            </w:pPr>
            <w:r w:rsidRPr="00762F09">
              <w:t>93</w:t>
            </w:r>
          </w:p>
        </w:tc>
        <w:tc>
          <w:tcPr>
            <w:tcW w:w="1080" w:type="dxa"/>
          </w:tcPr>
          <w:p w:rsidR="00FA2AAB" w:rsidRPr="00762F09" w:rsidRDefault="00FA2AAB" w:rsidP="00143009">
            <w:pPr>
              <w:spacing w:before="100" w:beforeAutospacing="1" w:after="100" w:afterAutospacing="1"/>
              <w:jc w:val="right"/>
            </w:pPr>
            <w:r w:rsidRPr="00762F09">
              <w:t>90</w:t>
            </w:r>
          </w:p>
        </w:tc>
        <w:tc>
          <w:tcPr>
            <w:tcW w:w="1980" w:type="dxa"/>
          </w:tcPr>
          <w:p w:rsidR="00FA2AAB" w:rsidRPr="00762F09" w:rsidRDefault="00B24AFF" w:rsidP="00B24AFF">
            <w:pPr>
              <w:spacing w:before="100" w:beforeAutospacing="1" w:after="100" w:afterAutospacing="1"/>
              <w:jc w:val="right"/>
            </w:pPr>
            <w:r>
              <w:t>22,295</w:t>
            </w:r>
          </w:p>
        </w:tc>
      </w:tr>
      <w:tr w:rsidR="00FA2AAB" w:rsidRPr="00762F09" w:rsidTr="00143009">
        <w:tc>
          <w:tcPr>
            <w:tcW w:w="5040" w:type="dxa"/>
          </w:tcPr>
          <w:p w:rsidR="00FA2AAB" w:rsidRPr="00762F09" w:rsidRDefault="006C7DF9" w:rsidP="008C2DDF">
            <w:pPr>
              <w:spacing w:before="100" w:beforeAutospacing="1" w:after="100" w:afterAutospacing="1"/>
              <w:ind w:right="-468"/>
            </w:pPr>
            <w:r w:rsidRPr="00762F09">
              <w:t>20</w:t>
            </w:r>
            <w:r>
              <w:t xml:space="preserve">11 </w:t>
            </w:r>
            <w:r w:rsidR="008C2DDF">
              <w:t>CR</w:t>
            </w:r>
          </w:p>
        </w:tc>
        <w:tc>
          <w:tcPr>
            <w:tcW w:w="1260" w:type="dxa"/>
          </w:tcPr>
          <w:p w:rsidR="00FA2AAB" w:rsidRPr="00762F09" w:rsidRDefault="00FA2AAB" w:rsidP="00F129F7">
            <w:pPr>
              <w:spacing w:before="100" w:beforeAutospacing="1" w:after="100" w:afterAutospacing="1"/>
              <w:jc w:val="right"/>
            </w:pPr>
            <w:r w:rsidRPr="00762F09">
              <w:t>9</w:t>
            </w:r>
            <w:r w:rsidR="00F129F7">
              <w:t>3</w:t>
            </w:r>
          </w:p>
        </w:tc>
        <w:tc>
          <w:tcPr>
            <w:tcW w:w="1080" w:type="dxa"/>
          </w:tcPr>
          <w:p w:rsidR="00FA2AAB" w:rsidRPr="00762F09" w:rsidRDefault="00F129F7" w:rsidP="00F129F7">
            <w:pPr>
              <w:spacing w:before="100" w:beforeAutospacing="1" w:after="100" w:afterAutospacing="1"/>
              <w:jc w:val="right"/>
            </w:pPr>
            <w:r>
              <w:t>90</w:t>
            </w:r>
          </w:p>
        </w:tc>
        <w:tc>
          <w:tcPr>
            <w:tcW w:w="1980" w:type="dxa"/>
          </w:tcPr>
          <w:p w:rsidR="00FA2AAB" w:rsidRPr="00762F09" w:rsidRDefault="00A25AB4" w:rsidP="00A25AB4">
            <w:pPr>
              <w:spacing w:before="100" w:beforeAutospacing="1" w:after="100" w:afterAutospacing="1"/>
              <w:jc w:val="right"/>
            </w:pPr>
            <w:r>
              <w:t>22</w:t>
            </w:r>
            <w:r w:rsidR="00B24AFF">
              <w:t>,</w:t>
            </w:r>
            <w:r w:rsidR="008C2DDF">
              <w:t>295</w:t>
            </w:r>
          </w:p>
        </w:tc>
      </w:tr>
      <w:tr w:rsidR="00FA2AAB" w:rsidRPr="00762F09" w:rsidTr="00143009">
        <w:tc>
          <w:tcPr>
            <w:tcW w:w="5040" w:type="dxa"/>
          </w:tcPr>
          <w:p w:rsidR="00FA2AAB" w:rsidRPr="00762F09" w:rsidRDefault="00FA2AAB" w:rsidP="00143009">
            <w:pPr>
              <w:spacing w:before="100" w:beforeAutospacing="1" w:after="100" w:afterAutospacing="1"/>
              <w:ind w:right="-468"/>
            </w:pPr>
            <w:r w:rsidRPr="00762F09">
              <w:t>Adjustments to Base and Technical Adjustments</w:t>
            </w:r>
          </w:p>
        </w:tc>
        <w:tc>
          <w:tcPr>
            <w:tcW w:w="1260" w:type="dxa"/>
          </w:tcPr>
          <w:p w:rsidR="00FA2AAB" w:rsidRPr="00477A23" w:rsidRDefault="00FA2AAB" w:rsidP="00143009">
            <w:pPr>
              <w:spacing w:before="100" w:beforeAutospacing="1" w:after="100" w:afterAutospacing="1"/>
              <w:jc w:val="right"/>
            </w:pPr>
            <w:r w:rsidRPr="00477A23">
              <w:t>0</w:t>
            </w:r>
          </w:p>
        </w:tc>
        <w:tc>
          <w:tcPr>
            <w:tcW w:w="1080" w:type="dxa"/>
          </w:tcPr>
          <w:p w:rsidR="00FA2AAB" w:rsidRPr="00477A23" w:rsidRDefault="00FA2AAB" w:rsidP="00143009">
            <w:pPr>
              <w:spacing w:before="100" w:beforeAutospacing="1" w:after="100" w:afterAutospacing="1"/>
              <w:jc w:val="right"/>
            </w:pPr>
            <w:r w:rsidRPr="00477A23">
              <w:t>0</w:t>
            </w:r>
          </w:p>
        </w:tc>
        <w:tc>
          <w:tcPr>
            <w:tcW w:w="1980" w:type="dxa"/>
          </w:tcPr>
          <w:p w:rsidR="00FA2AAB" w:rsidRPr="00477A23" w:rsidRDefault="008C2DDF" w:rsidP="0009194F">
            <w:pPr>
              <w:spacing w:before="100" w:beforeAutospacing="1" w:after="100" w:afterAutospacing="1"/>
              <w:jc w:val="right"/>
            </w:pPr>
            <w:r>
              <w:t>1,946</w:t>
            </w:r>
          </w:p>
        </w:tc>
      </w:tr>
      <w:tr w:rsidR="00FA2AAB" w:rsidRPr="00762F09" w:rsidTr="00143009">
        <w:tc>
          <w:tcPr>
            <w:tcW w:w="5040" w:type="dxa"/>
          </w:tcPr>
          <w:p w:rsidR="00FA2AAB" w:rsidRPr="00762F09" w:rsidRDefault="006C7DF9" w:rsidP="006C7DF9">
            <w:pPr>
              <w:spacing w:before="100" w:beforeAutospacing="1" w:after="100" w:afterAutospacing="1"/>
            </w:pPr>
            <w:r w:rsidRPr="00762F09">
              <w:t>201</w:t>
            </w:r>
            <w:r>
              <w:t>2</w:t>
            </w:r>
            <w:r w:rsidRPr="00762F09">
              <w:t xml:space="preserve"> </w:t>
            </w:r>
            <w:r w:rsidR="00FA2AAB" w:rsidRPr="00762F09">
              <w:t>Current Services</w:t>
            </w:r>
          </w:p>
        </w:tc>
        <w:tc>
          <w:tcPr>
            <w:tcW w:w="1260" w:type="dxa"/>
          </w:tcPr>
          <w:p w:rsidR="00FA2AAB" w:rsidRPr="00477A23" w:rsidRDefault="00FA2AAB" w:rsidP="00F129F7">
            <w:pPr>
              <w:spacing w:before="100" w:beforeAutospacing="1" w:after="100" w:afterAutospacing="1"/>
              <w:jc w:val="right"/>
            </w:pPr>
            <w:r w:rsidRPr="00477A23">
              <w:t>9</w:t>
            </w:r>
            <w:r w:rsidR="00F129F7">
              <w:t>3</w:t>
            </w:r>
          </w:p>
        </w:tc>
        <w:tc>
          <w:tcPr>
            <w:tcW w:w="1080" w:type="dxa"/>
          </w:tcPr>
          <w:p w:rsidR="00FA2AAB" w:rsidRPr="00477A23" w:rsidRDefault="00F129F7" w:rsidP="00F129F7">
            <w:pPr>
              <w:spacing w:before="100" w:beforeAutospacing="1" w:after="100" w:afterAutospacing="1"/>
              <w:jc w:val="right"/>
            </w:pPr>
            <w:r>
              <w:t>90</w:t>
            </w:r>
          </w:p>
        </w:tc>
        <w:tc>
          <w:tcPr>
            <w:tcW w:w="1980" w:type="dxa"/>
          </w:tcPr>
          <w:p w:rsidR="00FA2AAB" w:rsidRPr="00477A23" w:rsidRDefault="008C2DDF" w:rsidP="00F129F7">
            <w:pPr>
              <w:spacing w:before="100" w:beforeAutospacing="1" w:after="100" w:afterAutospacing="1"/>
              <w:jc w:val="right"/>
            </w:pPr>
            <w:r>
              <w:t>24,241</w:t>
            </w:r>
          </w:p>
        </w:tc>
      </w:tr>
      <w:tr w:rsidR="00FA2AAB" w:rsidRPr="00762F09" w:rsidTr="00143009">
        <w:tc>
          <w:tcPr>
            <w:tcW w:w="5040" w:type="dxa"/>
          </w:tcPr>
          <w:p w:rsidR="00FA2AAB" w:rsidRPr="00762F09" w:rsidRDefault="006C7DF9" w:rsidP="00426BDA">
            <w:pPr>
              <w:spacing w:before="100" w:beforeAutospacing="1" w:after="100" w:afterAutospacing="1"/>
            </w:pPr>
            <w:r w:rsidRPr="00762F09">
              <w:t>201</w:t>
            </w:r>
            <w:r>
              <w:t xml:space="preserve">2 </w:t>
            </w:r>
            <w:r w:rsidR="00426BDA">
              <w:t>Program Increases</w:t>
            </w:r>
          </w:p>
        </w:tc>
        <w:tc>
          <w:tcPr>
            <w:tcW w:w="1260" w:type="dxa"/>
          </w:tcPr>
          <w:p w:rsidR="00FA2AAB" w:rsidRPr="00477A23" w:rsidRDefault="008C2DDF" w:rsidP="00F129F7">
            <w:pPr>
              <w:spacing w:before="100" w:beforeAutospacing="1" w:after="100" w:afterAutospacing="1"/>
              <w:jc w:val="right"/>
            </w:pPr>
            <w:r>
              <w:t>0</w:t>
            </w:r>
          </w:p>
        </w:tc>
        <w:tc>
          <w:tcPr>
            <w:tcW w:w="1080" w:type="dxa"/>
          </w:tcPr>
          <w:p w:rsidR="00FA2AAB" w:rsidRPr="00477A23" w:rsidRDefault="0048571E" w:rsidP="00143009">
            <w:pPr>
              <w:spacing w:before="100" w:beforeAutospacing="1" w:after="100" w:afterAutospacing="1"/>
              <w:jc w:val="right"/>
            </w:pPr>
            <w:r>
              <w:t>0</w:t>
            </w:r>
          </w:p>
        </w:tc>
        <w:tc>
          <w:tcPr>
            <w:tcW w:w="1980" w:type="dxa"/>
          </w:tcPr>
          <w:p w:rsidR="00FA2AAB" w:rsidRPr="00477A23" w:rsidRDefault="00772A05" w:rsidP="00772A05">
            <w:pPr>
              <w:spacing w:before="100" w:beforeAutospacing="1" w:after="100" w:afterAutospacing="1"/>
              <w:jc w:val="right"/>
            </w:pPr>
            <w:r>
              <w:t>31</w:t>
            </w:r>
          </w:p>
        </w:tc>
      </w:tr>
      <w:tr w:rsidR="00676C34" w:rsidRPr="00762F09" w:rsidTr="00143009">
        <w:tc>
          <w:tcPr>
            <w:tcW w:w="5040" w:type="dxa"/>
          </w:tcPr>
          <w:p w:rsidR="00676C34" w:rsidRPr="00762F09" w:rsidRDefault="006C7DF9" w:rsidP="006C7DF9">
            <w:pPr>
              <w:spacing w:before="100" w:beforeAutospacing="1" w:after="100" w:afterAutospacing="1"/>
            </w:pPr>
            <w:r>
              <w:t xml:space="preserve">2012 </w:t>
            </w:r>
            <w:r w:rsidR="00426BDA">
              <w:t xml:space="preserve">Program </w:t>
            </w:r>
            <w:r w:rsidR="00676C34">
              <w:t>Offsets</w:t>
            </w:r>
          </w:p>
        </w:tc>
        <w:tc>
          <w:tcPr>
            <w:tcW w:w="1260" w:type="dxa"/>
          </w:tcPr>
          <w:p w:rsidR="00676C34" w:rsidRDefault="00B24AFF" w:rsidP="00143009">
            <w:pPr>
              <w:spacing w:before="100" w:beforeAutospacing="1" w:after="100" w:afterAutospacing="1"/>
              <w:jc w:val="right"/>
            </w:pPr>
            <w:r>
              <w:t>0</w:t>
            </w:r>
          </w:p>
        </w:tc>
        <w:tc>
          <w:tcPr>
            <w:tcW w:w="1080" w:type="dxa"/>
          </w:tcPr>
          <w:p w:rsidR="00676C34" w:rsidRDefault="00B24AFF" w:rsidP="00143009">
            <w:pPr>
              <w:spacing w:before="100" w:beforeAutospacing="1" w:after="100" w:afterAutospacing="1"/>
              <w:jc w:val="right"/>
            </w:pPr>
            <w:r>
              <w:t>0</w:t>
            </w:r>
          </w:p>
        </w:tc>
        <w:tc>
          <w:tcPr>
            <w:tcW w:w="1980" w:type="dxa"/>
          </w:tcPr>
          <w:p w:rsidR="00676C34" w:rsidRDefault="005D2E68" w:rsidP="008C2DDF">
            <w:pPr>
              <w:spacing w:before="100" w:beforeAutospacing="1" w:after="100" w:afterAutospacing="1"/>
              <w:jc w:val="right"/>
            </w:pPr>
            <w:r>
              <w:t>(</w:t>
            </w:r>
            <w:r w:rsidR="008C2DDF">
              <w:t>1,327</w:t>
            </w:r>
            <w:r>
              <w:t>)</w:t>
            </w:r>
          </w:p>
        </w:tc>
      </w:tr>
      <w:tr w:rsidR="00FA2AAB" w:rsidRPr="00762F09" w:rsidTr="00143009">
        <w:tc>
          <w:tcPr>
            <w:tcW w:w="5040" w:type="dxa"/>
          </w:tcPr>
          <w:p w:rsidR="00FA2AAB" w:rsidRPr="00762F09" w:rsidRDefault="006C7DF9" w:rsidP="006C7DF9">
            <w:pPr>
              <w:spacing w:before="100" w:beforeAutospacing="1" w:after="100" w:afterAutospacing="1"/>
            </w:pPr>
            <w:r w:rsidRPr="00762F09">
              <w:t>201</w:t>
            </w:r>
            <w:r>
              <w:t>2</w:t>
            </w:r>
            <w:r w:rsidRPr="00762F09">
              <w:t xml:space="preserve"> </w:t>
            </w:r>
            <w:r w:rsidR="00FA2AAB" w:rsidRPr="00762F09">
              <w:t>Request</w:t>
            </w:r>
          </w:p>
        </w:tc>
        <w:tc>
          <w:tcPr>
            <w:tcW w:w="1260" w:type="dxa"/>
          </w:tcPr>
          <w:p w:rsidR="00FA2AAB" w:rsidRPr="00477A23" w:rsidRDefault="008C2DDF" w:rsidP="008C2DDF">
            <w:pPr>
              <w:spacing w:before="100" w:beforeAutospacing="1" w:after="100" w:afterAutospacing="1"/>
              <w:jc w:val="right"/>
            </w:pPr>
            <w:r>
              <w:t>93</w:t>
            </w:r>
          </w:p>
        </w:tc>
        <w:tc>
          <w:tcPr>
            <w:tcW w:w="1080" w:type="dxa"/>
          </w:tcPr>
          <w:p w:rsidR="00FA2AAB" w:rsidRPr="00477A23" w:rsidRDefault="00F129F7" w:rsidP="00F129F7">
            <w:pPr>
              <w:spacing w:before="100" w:beforeAutospacing="1" w:after="100" w:afterAutospacing="1"/>
              <w:jc w:val="right"/>
            </w:pPr>
            <w:r>
              <w:t>90</w:t>
            </w:r>
          </w:p>
        </w:tc>
        <w:tc>
          <w:tcPr>
            <w:tcW w:w="1980" w:type="dxa"/>
          </w:tcPr>
          <w:p w:rsidR="00FA2AAB" w:rsidRPr="00477A23" w:rsidRDefault="008C2DDF" w:rsidP="00772A05">
            <w:pPr>
              <w:spacing w:before="100" w:beforeAutospacing="1" w:after="100" w:afterAutospacing="1"/>
              <w:jc w:val="right"/>
            </w:pPr>
            <w:r>
              <w:t>22,</w:t>
            </w:r>
            <w:r w:rsidR="00772A05">
              <w:t>945</w:t>
            </w:r>
          </w:p>
        </w:tc>
      </w:tr>
      <w:tr w:rsidR="00FA2AAB" w:rsidRPr="00762F09" w:rsidTr="00143009">
        <w:tc>
          <w:tcPr>
            <w:tcW w:w="5040" w:type="dxa"/>
            <w:shd w:val="clear" w:color="auto" w:fill="E0E0E0"/>
          </w:tcPr>
          <w:p w:rsidR="00FA2AAB" w:rsidRPr="00143009" w:rsidRDefault="00FA2AAB" w:rsidP="006C7DF9">
            <w:pPr>
              <w:spacing w:before="100" w:beforeAutospacing="1" w:after="100" w:afterAutospacing="1"/>
              <w:rPr>
                <w:b/>
                <w:bCs/>
              </w:rPr>
            </w:pPr>
            <w:r w:rsidRPr="00143009">
              <w:rPr>
                <w:b/>
                <w:bCs/>
              </w:rPr>
              <w:t xml:space="preserve">Total Change </w:t>
            </w:r>
            <w:r w:rsidR="006C7DF9" w:rsidRPr="00143009">
              <w:rPr>
                <w:b/>
                <w:bCs/>
              </w:rPr>
              <w:t>201</w:t>
            </w:r>
            <w:r w:rsidR="006C7DF9">
              <w:rPr>
                <w:b/>
                <w:bCs/>
              </w:rPr>
              <w:t>1</w:t>
            </w:r>
            <w:r w:rsidRPr="00143009">
              <w:rPr>
                <w:b/>
                <w:bCs/>
              </w:rPr>
              <w:t>-</w:t>
            </w:r>
            <w:r w:rsidR="006C7DF9" w:rsidRPr="00143009">
              <w:rPr>
                <w:b/>
                <w:bCs/>
              </w:rPr>
              <w:t>201</w:t>
            </w:r>
            <w:r w:rsidR="006C7DF9">
              <w:rPr>
                <w:b/>
                <w:bCs/>
              </w:rPr>
              <w:t>2</w:t>
            </w:r>
          </w:p>
        </w:tc>
        <w:tc>
          <w:tcPr>
            <w:tcW w:w="1260" w:type="dxa"/>
            <w:shd w:val="clear" w:color="auto" w:fill="E0E0E0"/>
          </w:tcPr>
          <w:p w:rsidR="00FA2AAB" w:rsidRPr="00477A23" w:rsidRDefault="008C2DDF" w:rsidP="00F129F7">
            <w:pPr>
              <w:spacing w:before="100" w:beforeAutospacing="1" w:after="100" w:afterAutospacing="1"/>
              <w:jc w:val="right"/>
              <w:rPr>
                <w:b/>
              </w:rPr>
            </w:pPr>
            <w:r>
              <w:rPr>
                <w:b/>
              </w:rPr>
              <w:t>0</w:t>
            </w:r>
          </w:p>
        </w:tc>
        <w:tc>
          <w:tcPr>
            <w:tcW w:w="1080" w:type="dxa"/>
            <w:shd w:val="clear" w:color="auto" w:fill="E0E0E0"/>
          </w:tcPr>
          <w:p w:rsidR="00FA2AAB" w:rsidRPr="00477A23" w:rsidRDefault="0048571E" w:rsidP="00143009">
            <w:pPr>
              <w:spacing w:before="100" w:beforeAutospacing="1" w:after="100" w:afterAutospacing="1"/>
              <w:jc w:val="right"/>
              <w:rPr>
                <w:b/>
              </w:rPr>
            </w:pPr>
            <w:r>
              <w:rPr>
                <w:b/>
              </w:rPr>
              <w:t>0</w:t>
            </w:r>
          </w:p>
        </w:tc>
        <w:tc>
          <w:tcPr>
            <w:tcW w:w="1980" w:type="dxa"/>
            <w:shd w:val="clear" w:color="auto" w:fill="E0E0E0"/>
          </w:tcPr>
          <w:p w:rsidR="00FA2AAB" w:rsidRPr="00477A23" w:rsidRDefault="008C2DDF" w:rsidP="00F129F7">
            <w:pPr>
              <w:spacing w:before="100" w:beforeAutospacing="1" w:after="100" w:afterAutospacing="1"/>
              <w:jc w:val="right"/>
              <w:rPr>
                <w:b/>
              </w:rPr>
            </w:pPr>
            <w:r>
              <w:rPr>
                <w:b/>
              </w:rPr>
              <w:t>649</w:t>
            </w:r>
          </w:p>
        </w:tc>
      </w:tr>
    </w:tbl>
    <w:tbl>
      <w:tblPr>
        <w:tblpPr w:leftFromText="180" w:rightFromText="180" w:vertAnchor="text" w:horzAnchor="margin" w:tblpX="108" w:tblpY="42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12"/>
        <w:gridCol w:w="1440"/>
        <w:gridCol w:w="1260"/>
        <w:gridCol w:w="1440"/>
      </w:tblGrid>
      <w:tr w:rsidR="0034360E" w:rsidRPr="00762F09" w:rsidTr="00A524A1">
        <w:tc>
          <w:tcPr>
            <w:tcW w:w="5112" w:type="dxa"/>
          </w:tcPr>
          <w:p w:rsidR="0034360E" w:rsidRPr="006C5146" w:rsidRDefault="0034360E" w:rsidP="0034360E">
            <w:pPr>
              <w:spacing w:before="100" w:beforeAutospacing="1" w:after="100" w:afterAutospacing="1"/>
              <w:rPr>
                <w:b/>
                <w:bCs/>
              </w:rPr>
            </w:pPr>
            <w:r>
              <w:rPr>
                <w:b/>
                <w:bCs/>
              </w:rPr>
              <w:t xml:space="preserve">Alcohol &amp; Tobacco </w:t>
            </w:r>
            <w:r w:rsidRPr="006C5146">
              <w:rPr>
                <w:b/>
                <w:bCs/>
              </w:rPr>
              <w:t xml:space="preserve"> – Information Technology Breakout (of Decision Unit Total)</w:t>
            </w:r>
          </w:p>
        </w:tc>
        <w:tc>
          <w:tcPr>
            <w:tcW w:w="1440" w:type="dxa"/>
            <w:vAlign w:val="bottom"/>
          </w:tcPr>
          <w:p w:rsidR="0034360E" w:rsidRPr="006C5146" w:rsidRDefault="0034360E" w:rsidP="00A524A1">
            <w:pPr>
              <w:spacing w:before="100" w:beforeAutospacing="1" w:after="100" w:afterAutospacing="1"/>
              <w:jc w:val="center"/>
              <w:rPr>
                <w:b/>
                <w:bCs/>
              </w:rPr>
            </w:pPr>
            <w:smartTag w:uri="urn:schemas-microsoft-com:office:smarttags" w:element="place">
              <w:smartTag w:uri="urn:schemas-microsoft-com:office:smarttags" w:element="City">
                <w:r w:rsidRPr="006C5146">
                  <w:rPr>
                    <w:b/>
                    <w:bCs/>
                  </w:rPr>
                  <w:t>Perm</w:t>
                </w:r>
              </w:smartTag>
            </w:smartTag>
            <w:r w:rsidRPr="006C5146">
              <w:rPr>
                <w:b/>
                <w:bCs/>
              </w:rPr>
              <w:t xml:space="preserve"> Pos.</w:t>
            </w:r>
          </w:p>
        </w:tc>
        <w:tc>
          <w:tcPr>
            <w:tcW w:w="1260" w:type="dxa"/>
            <w:vAlign w:val="bottom"/>
          </w:tcPr>
          <w:p w:rsidR="0034360E" w:rsidRPr="006C5146" w:rsidRDefault="0034360E" w:rsidP="00A524A1">
            <w:pPr>
              <w:spacing w:before="100" w:beforeAutospacing="1" w:after="100" w:afterAutospacing="1"/>
              <w:jc w:val="center"/>
              <w:rPr>
                <w:b/>
                <w:bCs/>
              </w:rPr>
            </w:pPr>
            <w:r w:rsidRPr="006C5146">
              <w:rPr>
                <w:b/>
                <w:bCs/>
              </w:rPr>
              <w:t>FTE</w:t>
            </w:r>
          </w:p>
        </w:tc>
        <w:tc>
          <w:tcPr>
            <w:tcW w:w="1440" w:type="dxa"/>
            <w:vAlign w:val="bottom"/>
          </w:tcPr>
          <w:p w:rsidR="0034360E" w:rsidRPr="006C5146" w:rsidRDefault="0034360E" w:rsidP="00A524A1">
            <w:pPr>
              <w:spacing w:before="100" w:beforeAutospacing="1" w:after="100" w:afterAutospacing="1"/>
              <w:jc w:val="center"/>
              <w:rPr>
                <w:b/>
                <w:bCs/>
              </w:rPr>
            </w:pPr>
            <w:r w:rsidRPr="006C5146">
              <w:rPr>
                <w:b/>
                <w:bCs/>
              </w:rPr>
              <w:t>Amount</w:t>
            </w:r>
            <w:r w:rsidR="00A524A1">
              <w:rPr>
                <w:b/>
                <w:bCs/>
              </w:rPr>
              <w:t xml:space="preserve"> </w:t>
            </w:r>
            <w:r w:rsidRPr="006C5146">
              <w:rPr>
                <w:b/>
                <w:bCs/>
              </w:rPr>
              <w:t>($000)</w:t>
            </w:r>
          </w:p>
        </w:tc>
      </w:tr>
      <w:tr w:rsidR="0034360E" w:rsidRPr="00762F09" w:rsidTr="00EC0DFE">
        <w:tc>
          <w:tcPr>
            <w:tcW w:w="5112" w:type="dxa"/>
          </w:tcPr>
          <w:p w:rsidR="0034360E" w:rsidRPr="00762F09" w:rsidRDefault="0034360E" w:rsidP="00EC0DFE">
            <w:pPr>
              <w:spacing w:before="100" w:beforeAutospacing="1" w:after="100" w:afterAutospacing="1"/>
            </w:pPr>
            <w:r w:rsidRPr="00762F09">
              <w:t>20</w:t>
            </w:r>
            <w:r>
              <w:t>10</w:t>
            </w:r>
            <w:r w:rsidRPr="00762F09">
              <w:t xml:space="preserve"> Enacted w/Rescissions </w:t>
            </w:r>
          </w:p>
        </w:tc>
        <w:tc>
          <w:tcPr>
            <w:tcW w:w="1440" w:type="dxa"/>
          </w:tcPr>
          <w:p w:rsidR="0034360E" w:rsidRPr="00762F09" w:rsidRDefault="00B24AFF" w:rsidP="00EC0DFE">
            <w:pPr>
              <w:spacing w:before="100" w:beforeAutospacing="1" w:after="100" w:afterAutospacing="1"/>
              <w:jc w:val="right"/>
            </w:pPr>
            <w:r>
              <w:t>1</w:t>
            </w:r>
          </w:p>
        </w:tc>
        <w:tc>
          <w:tcPr>
            <w:tcW w:w="1260" w:type="dxa"/>
          </w:tcPr>
          <w:p w:rsidR="0034360E" w:rsidRPr="006C5146" w:rsidRDefault="00B24AFF" w:rsidP="00EC0DFE">
            <w:pPr>
              <w:spacing w:before="100" w:beforeAutospacing="1" w:after="100" w:afterAutospacing="1"/>
              <w:jc w:val="right"/>
              <w:rPr>
                <w:bCs/>
              </w:rPr>
            </w:pPr>
            <w:r>
              <w:rPr>
                <w:bCs/>
              </w:rPr>
              <w:t>1</w:t>
            </w:r>
          </w:p>
        </w:tc>
        <w:tc>
          <w:tcPr>
            <w:tcW w:w="1440" w:type="dxa"/>
          </w:tcPr>
          <w:p w:rsidR="0034360E" w:rsidRPr="00762F09" w:rsidRDefault="00B24AFF" w:rsidP="00EC0DFE">
            <w:pPr>
              <w:spacing w:before="100" w:beforeAutospacing="1" w:after="100" w:afterAutospacing="1"/>
              <w:jc w:val="right"/>
            </w:pPr>
            <w:r>
              <w:t>2,080</w:t>
            </w:r>
          </w:p>
        </w:tc>
      </w:tr>
      <w:tr w:rsidR="0034360E" w:rsidRPr="00762F09" w:rsidTr="00EC0DFE">
        <w:tc>
          <w:tcPr>
            <w:tcW w:w="5112" w:type="dxa"/>
          </w:tcPr>
          <w:p w:rsidR="0034360E" w:rsidRPr="00762F09" w:rsidRDefault="0034360E" w:rsidP="00EC0DFE">
            <w:pPr>
              <w:spacing w:before="100" w:beforeAutospacing="1" w:after="100" w:afterAutospacing="1"/>
              <w:ind w:right="-468"/>
            </w:pPr>
            <w:r w:rsidRPr="00762F09">
              <w:t>20</w:t>
            </w:r>
            <w:r>
              <w:t>10</w:t>
            </w:r>
            <w:r w:rsidRPr="00762F09">
              <w:t xml:space="preserve"> Supplemental</w:t>
            </w:r>
          </w:p>
        </w:tc>
        <w:tc>
          <w:tcPr>
            <w:tcW w:w="1440" w:type="dxa"/>
          </w:tcPr>
          <w:p w:rsidR="0034360E" w:rsidRPr="00762F09" w:rsidRDefault="00B24AFF" w:rsidP="00EC0DFE">
            <w:pPr>
              <w:spacing w:before="100" w:beforeAutospacing="1" w:after="100" w:afterAutospacing="1"/>
              <w:jc w:val="right"/>
            </w:pPr>
            <w:r>
              <w:t>0</w:t>
            </w:r>
          </w:p>
        </w:tc>
        <w:tc>
          <w:tcPr>
            <w:tcW w:w="1260" w:type="dxa"/>
          </w:tcPr>
          <w:p w:rsidR="0034360E" w:rsidRPr="00762F09" w:rsidRDefault="00B24AFF" w:rsidP="00EC0DFE">
            <w:pPr>
              <w:spacing w:before="100" w:beforeAutospacing="1" w:after="100" w:afterAutospacing="1"/>
              <w:jc w:val="right"/>
            </w:pPr>
            <w:r>
              <w:t>0</w:t>
            </w:r>
          </w:p>
        </w:tc>
        <w:tc>
          <w:tcPr>
            <w:tcW w:w="1440" w:type="dxa"/>
          </w:tcPr>
          <w:p w:rsidR="0034360E" w:rsidRPr="00762F09" w:rsidRDefault="00B24AFF" w:rsidP="00EC0DFE">
            <w:pPr>
              <w:spacing w:before="100" w:beforeAutospacing="1" w:after="100" w:afterAutospacing="1"/>
              <w:jc w:val="right"/>
            </w:pPr>
            <w:r>
              <w:t>0</w:t>
            </w:r>
          </w:p>
        </w:tc>
      </w:tr>
      <w:tr w:rsidR="0034360E" w:rsidRPr="00762F09" w:rsidTr="00EC0DFE">
        <w:tc>
          <w:tcPr>
            <w:tcW w:w="5112" w:type="dxa"/>
          </w:tcPr>
          <w:p w:rsidR="0034360E" w:rsidRPr="00762F09" w:rsidRDefault="0034360E" w:rsidP="00EC0DFE">
            <w:pPr>
              <w:spacing w:before="100" w:beforeAutospacing="1" w:after="100" w:afterAutospacing="1"/>
              <w:ind w:right="-468"/>
            </w:pPr>
            <w:r w:rsidRPr="00762F09">
              <w:t>20</w:t>
            </w:r>
            <w:r>
              <w:t>10</w:t>
            </w:r>
            <w:r w:rsidRPr="00762F09">
              <w:t xml:space="preserve"> Enacted w/Rescissions and Supplemental</w:t>
            </w:r>
          </w:p>
        </w:tc>
        <w:tc>
          <w:tcPr>
            <w:tcW w:w="1440" w:type="dxa"/>
          </w:tcPr>
          <w:p w:rsidR="0034360E" w:rsidRPr="00762F09" w:rsidRDefault="00B24AFF" w:rsidP="00EC0DFE">
            <w:pPr>
              <w:spacing w:before="100" w:beforeAutospacing="1" w:after="100" w:afterAutospacing="1"/>
              <w:jc w:val="right"/>
            </w:pPr>
            <w:r>
              <w:t>1</w:t>
            </w:r>
          </w:p>
        </w:tc>
        <w:tc>
          <w:tcPr>
            <w:tcW w:w="1260" w:type="dxa"/>
          </w:tcPr>
          <w:p w:rsidR="0034360E" w:rsidRPr="00762F09" w:rsidRDefault="00B24AFF" w:rsidP="00EC0DFE">
            <w:pPr>
              <w:spacing w:before="100" w:beforeAutospacing="1" w:after="100" w:afterAutospacing="1"/>
              <w:jc w:val="right"/>
            </w:pPr>
            <w:r>
              <w:t>1</w:t>
            </w:r>
          </w:p>
        </w:tc>
        <w:tc>
          <w:tcPr>
            <w:tcW w:w="1440" w:type="dxa"/>
          </w:tcPr>
          <w:p w:rsidR="0034360E" w:rsidRPr="00762F09" w:rsidRDefault="00B24AFF" w:rsidP="00EC0DFE">
            <w:pPr>
              <w:spacing w:before="100" w:beforeAutospacing="1" w:after="100" w:afterAutospacing="1"/>
              <w:jc w:val="right"/>
            </w:pPr>
            <w:r>
              <w:t>2,080</w:t>
            </w:r>
          </w:p>
        </w:tc>
      </w:tr>
      <w:tr w:rsidR="0034360E" w:rsidRPr="00762F09" w:rsidTr="00EC0DFE">
        <w:tc>
          <w:tcPr>
            <w:tcW w:w="5112" w:type="dxa"/>
          </w:tcPr>
          <w:p w:rsidR="0034360E" w:rsidRPr="00762F09" w:rsidRDefault="0034360E" w:rsidP="008C2DDF">
            <w:pPr>
              <w:spacing w:before="100" w:beforeAutospacing="1" w:after="100" w:afterAutospacing="1"/>
              <w:ind w:right="-468"/>
            </w:pPr>
            <w:r w:rsidRPr="00762F09">
              <w:t>20</w:t>
            </w:r>
            <w:r>
              <w:t>11</w:t>
            </w:r>
            <w:r w:rsidRPr="00762F09">
              <w:t xml:space="preserve"> </w:t>
            </w:r>
            <w:r w:rsidR="008C2DDF">
              <w:t>CR</w:t>
            </w:r>
          </w:p>
        </w:tc>
        <w:tc>
          <w:tcPr>
            <w:tcW w:w="1440" w:type="dxa"/>
          </w:tcPr>
          <w:p w:rsidR="0034360E" w:rsidRPr="00762F09" w:rsidRDefault="00B24AFF" w:rsidP="00EC0DFE">
            <w:pPr>
              <w:spacing w:before="100" w:beforeAutospacing="1" w:after="100" w:afterAutospacing="1"/>
              <w:jc w:val="right"/>
            </w:pPr>
            <w:r>
              <w:t>1</w:t>
            </w:r>
          </w:p>
        </w:tc>
        <w:tc>
          <w:tcPr>
            <w:tcW w:w="1260" w:type="dxa"/>
          </w:tcPr>
          <w:p w:rsidR="0034360E" w:rsidRPr="00762F09" w:rsidRDefault="00B24AFF" w:rsidP="00EC0DFE">
            <w:pPr>
              <w:spacing w:before="100" w:beforeAutospacing="1" w:after="100" w:afterAutospacing="1"/>
              <w:jc w:val="right"/>
            </w:pPr>
            <w:r>
              <w:t>1</w:t>
            </w:r>
          </w:p>
        </w:tc>
        <w:tc>
          <w:tcPr>
            <w:tcW w:w="1440" w:type="dxa"/>
          </w:tcPr>
          <w:p w:rsidR="0034360E" w:rsidRPr="00762F09" w:rsidRDefault="00B24AFF" w:rsidP="00207AFF">
            <w:pPr>
              <w:spacing w:before="100" w:beforeAutospacing="1" w:after="100" w:afterAutospacing="1"/>
              <w:jc w:val="right"/>
            </w:pPr>
            <w:r>
              <w:t>2,</w:t>
            </w:r>
            <w:r w:rsidR="00207AFF">
              <w:t>090</w:t>
            </w:r>
          </w:p>
        </w:tc>
      </w:tr>
      <w:tr w:rsidR="0034360E" w:rsidRPr="00762F09" w:rsidTr="00EC0DFE">
        <w:tc>
          <w:tcPr>
            <w:tcW w:w="5112" w:type="dxa"/>
          </w:tcPr>
          <w:p w:rsidR="0034360E" w:rsidRPr="00762F09" w:rsidRDefault="0034360E" w:rsidP="00EC0DFE">
            <w:pPr>
              <w:spacing w:before="100" w:beforeAutospacing="1" w:after="100" w:afterAutospacing="1"/>
              <w:ind w:right="-468"/>
            </w:pPr>
            <w:r w:rsidRPr="00762F09">
              <w:t>Adjustments to Base and Technical Adjustments</w:t>
            </w:r>
          </w:p>
        </w:tc>
        <w:tc>
          <w:tcPr>
            <w:tcW w:w="1440" w:type="dxa"/>
          </w:tcPr>
          <w:p w:rsidR="0034360E" w:rsidRPr="000749A2" w:rsidRDefault="00B24AFF" w:rsidP="00EC0DFE">
            <w:pPr>
              <w:spacing w:before="100" w:beforeAutospacing="1" w:after="100" w:afterAutospacing="1"/>
              <w:jc w:val="right"/>
            </w:pPr>
            <w:r>
              <w:t>0</w:t>
            </w:r>
          </w:p>
        </w:tc>
        <w:tc>
          <w:tcPr>
            <w:tcW w:w="1260" w:type="dxa"/>
          </w:tcPr>
          <w:p w:rsidR="0034360E" w:rsidRPr="000749A2" w:rsidRDefault="00B24AFF" w:rsidP="00EC0DFE">
            <w:pPr>
              <w:spacing w:before="100" w:beforeAutospacing="1" w:after="100" w:afterAutospacing="1"/>
              <w:jc w:val="right"/>
            </w:pPr>
            <w:r>
              <w:t>0</w:t>
            </w:r>
          </w:p>
        </w:tc>
        <w:tc>
          <w:tcPr>
            <w:tcW w:w="1440" w:type="dxa"/>
          </w:tcPr>
          <w:p w:rsidR="0034360E" w:rsidRPr="000749A2" w:rsidRDefault="008C2DDF" w:rsidP="00207AFF">
            <w:pPr>
              <w:spacing w:before="100" w:beforeAutospacing="1" w:after="100" w:afterAutospacing="1"/>
              <w:jc w:val="right"/>
            </w:pPr>
            <w:r>
              <w:t>23</w:t>
            </w:r>
          </w:p>
        </w:tc>
      </w:tr>
      <w:tr w:rsidR="0034360E" w:rsidRPr="00762F09" w:rsidTr="00EC0DFE">
        <w:tc>
          <w:tcPr>
            <w:tcW w:w="5112" w:type="dxa"/>
          </w:tcPr>
          <w:p w:rsidR="0034360E" w:rsidRPr="00762F09" w:rsidRDefault="0034360E" w:rsidP="00EC0DFE">
            <w:pPr>
              <w:spacing w:before="100" w:beforeAutospacing="1" w:after="100" w:afterAutospacing="1"/>
            </w:pPr>
            <w:r w:rsidRPr="00762F09">
              <w:t>201</w:t>
            </w:r>
            <w:r>
              <w:t>2</w:t>
            </w:r>
            <w:r w:rsidRPr="00762F09">
              <w:t xml:space="preserve"> Current Services</w:t>
            </w:r>
          </w:p>
        </w:tc>
        <w:tc>
          <w:tcPr>
            <w:tcW w:w="1440" w:type="dxa"/>
          </w:tcPr>
          <w:p w:rsidR="0034360E" w:rsidRPr="000749A2" w:rsidRDefault="00B24AFF" w:rsidP="00EC0DFE">
            <w:pPr>
              <w:spacing w:before="100" w:beforeAutospacing="1" w:after="100" w:afterAutospacing="1"/>
              <w:jc w:val="right"/>
            </w:pPr>
            <w:r>
              <w:t>1</w:t>
            </w:r>
          </w:p>
        </w:tc>
        <w:tc>
          <w:tcPr>
            <w:tcW w:w="1260" w:type="dxa"/>
          </w:tcPr>
          <w:p w:rsidR="0034360E" w:rsidRPr="000749A2" w:rsidRDefault="00B24AFF" w:rsidP="00EC0DFE">
            <w:pPr>
              <w:spacing w:before="100" w:beforeAutospacing="1" w:after="100" w:afterAutospacing="1"/>
              <w:jc w:val="right"/>
            </w:pPr>
            <w:r>
              <w:t>1</w:t>
            </w:r>
          </w:p>
        </w:tc>
        <w:tc>
          <w:tcPr>
            <w:tcW w:w="1440" w:type="dxa"/>
          </w:tcPr>
          <w:p w:rsidR="0034360E" w:rsidRPr="000749A2" w:rsidRDefault="00207AFF" w:rsidP="008C2DDF">
            <w:pPr>
              <w:spacing w:before="100" w:beforeAutospacing="1" w:after="100" w:afterAutospacing="1"/>
              <w:jc w:val="right"/>
            </w:pPr>
            <w:r>
              <w:t>2</w:t>
            </w:r>
            <w:r w:rsidR="00B24AFF">
              <w:t>,</w:t>
            </w:r>
            <w:r w:rsidR="008C2DDF">
              <w:t>113</w:t>
            </w:r>
          </w:p>
        </w:tc>
      </w:tr>
      <w:tr w:rsidR="0034360E" w:rsidRPr="00762F09" w:rsidTr="00EC0DFE">
        <w:tc>
          <w:tcPr>
            <w:tcW w:w="5112" w:type="dxa"/>
          </w:tcPr>
          <w:p w:rsidR="0034360E" w:rsidRPr="00762F09" w:rsidRDefault="0034360E" w:rsidP="00426BDA">
            <w:pPr>
              <w:spacing w:before="100" w:beforeAutospacing="1" w:after="100" w:afterAutospacing="1"/>
            </w:pPr>
            <w:r w:rsidRPr="00762F09">
              <w:t>201</w:t>
            </w:r>
            <w:r>
              <w:t>2</w:t>
            </w:r>
            <w:r w:rsidRPr="00762F09">
              <w:t xml:space="preserve"> </w:t>
            </w:r>
            <w:r w:rsidR="00426BDA">
              <w:t>Program Increases</w:t>
            </w:r>
          </w:p>
        </w:tc>
        <w:tc>
          <w:tcPr>
            <w:tcW w:w="1440" w:type="dxa"/>
          </w:tcPr>
          <w:p w:rsidR="0034360E" w:rsidRPr="000749A2" w:rsidRDefault="00B24AFF" w:rsidP="00EC0DFE">
            <w:pPr>
              <w:spacing w:before="100" w:beforeAutospacing="1" w:after="100" w:afterAutospacing="1"/>
              <w:jc w:val="right"/>
            </w:pPr>
            <w:r>
              <w:t>0</w:t>
            </w:r>
          </w:p>
        </w:tc>
        <w:tc>
          <w:tcPr>
            <w:tcW w:w="1260" w:type="dxa"/>
          </w:tcPr>
          <w:p w:rsidR="0034360E" w:rsidRPr="000749A2" w:rsidRDefault="00B24AFF" w:rsidP="00EC0DFE">
            <w:pPr>
              <w:spacing w:before="100" w:beforeAutospacing="1" w:after="100" w:afterAutospacing="1"/>
              <w:jc w:val="right"/>
            </w:pPr>
            <w:r>
              <w:t>0</w:t>
            </w:r>
          </w:p>
        </w:tc>
        <w:tc>
          <w:tcPr>
            <w:tcW w:w="1440" w:type="dxa"/>
          </w:tcPr>
          <w:p w:rsidR="0034360E" w:rsidRPr="000749A2" w:rsidRDefault="000559AF" w:rsidP="00EC0DFE">
            <w:pPr>
              <w:spacing w:before="100" w:beforeAutospacing="1" w:after="100" w:afterAutospacing="1"/>
              <w:jc w:val="right"/>
            </w:pPr>
            <w:r>
              <w:t>0</w:t>
            </w:r>
          </w:p>
        </w:tc>
      </w:tr>
      <w:tr w:rsidR="00426BDA" w:rsidRPr="00762F09" w:rsidTr="00EC0DFE">
        <w:tc>
          <w:tcPr>
            <w:tcW w:w="5112" w:type="dxa"/>
          </w:tcPr>
          <w:p w:rsidR="00426BDA" w:rsidRPr="00762F09" w:rsidRDefault="00426BDA" w:rsidP="00426BDA">
            <w:pPr>
              <w:spacing w:before="100" w:beforeAutospacing="1" w:after="100" w:afterAutospacing="1"/>
            </w:pPr>
            <w:r>
              <w:t>2012 Program Offsets</w:t>
            </w:r>
          </w:p>
        </w:tc>
        <w:tc>
          <w:tcPr>
            <w:tcW w:w="1440" w:type="dxa"/>
          </w:tcPr>
          <w:p w:rsidR="00426BDA" w:rsidRDefault="00207AFF" w:rsidP="00EC0DFE">
            <w:pPr>
              <w:spacing w:before="100" w:beforeAutospacing="1" w:after="100" w:afterAutospacing="1"/>
              <w:jc w:val="right"/>
            </w:pPr>
            <w:r>
              <w:t>0</w:t>
            </w:r>
          </w:p>
        </w:tc>
        <w:tc>
          <w:tcPr>
            <w:tcW w:w="1260" w:type="dxa"/>
          </w:tcPr>
          <w:p w:rsidR="00426BDA" w:rsidRDefault="00207AFF" w:rsidP="00EC0DFE">
            <w:pPr>
              <w:spacing w:before="100" w:beforeAutospacing="1" w:after="100" w:afterAutospacing="1"/>
              <w:jc w:val="right"/>
            </w:pPr>
            <w:r>
              <w:t>0</w:t>
            </w:r>
          </w:p>
        </w:tc>
        <w:tc>
          <w:tcPr>
            <w:tcW w:w="1440" w:type="dxa"/>
          </w:tcPr>
          <w:p w:rsidR="00426BDA" w:rsidRDefault="0090733B" w:rsidP="0090733B">
            <w:pPr>
              <w:spacing w:before="100" w:beforeAutospacing="1" w:after="100" w:afterAutospacing="1"/>
              <w:jc w:val="right"/>
            </w:pPr>
            <w:r>
              <w:t>(7)</w:t>
            </w:r>
          </w:p>
        </w:tc>
      </w:tr>
      <w:tr w:rsidR="0034360E" w:rsidRPr="00762F09" w:rsidTr="00EC0DFE">
        <w:tc>
          <w:tcPr>
            <w:tcW w:w="5112" w:type="dxa"/>
          </w:tcPr>
          <w:p w:rsidR="0034360E" w:rsidRPr="00762F09" w:rsidRDefault="0034360E" w:rsidP="00EC0DFE">
            <w:pPr>
              <w:spacing w:before="100" w:beforeAutospacing="1" w:after="100" w:afterAutospacing="1"/>
            </w:pPr>
            <w:r w:rsidRPr="00762F09">
              <w:t>201</w:t>
            </w:r>
            <w:r>
              <w:t>2</w:t>
            </w:r>
            <w:r w:rsidRPr="00762F09">
              <w:t xml:space="preserve"> Request</w:t>
            </w:r>
          </w:p>
        </w:tc>
        <w:tc>
          <w:tcPr>
            <w:tcW w:w="1440" w:type="dxa"/>
          </w:tcPr>
          <w:p w:rsidR="0034360E" w:rsidRPr="000749A2" w:rsidRDefault="000559AF" w:rsidP="00EC0DFE">
            <w:pPr>
              <w:spacing w:before="100" w:beforeAutospacing="1" w:after="100" w:afterAutospacing="1"/>
              <w:jc w:val="right"/>
            </w:pPr>
            <w:r>
              <w:t>1</w:t>
            </w:r>
          </w:p>
        </w:tc>
        <w:tc>
          <w:tcPr>
            <w:tcW w:w="1260" w:type="dxa"/>
          </w:tcPr>
          <w:p w:rsidR="0034360E" w:rsidRPr="000749A2" w:rsidRDefault="000559AF" w:rsidP="00EC0DFE">
            <w:pPr>
              <w:spacing w:before="100" w:beforeAutospacing="1" w:after="100" w:afterAutospacing="1"/>
              <w:jc w:val="right"/>
            </w:pPr>
            <w:r>
              <w:t>1</w:t>
            </w:r>
          </w:p>
        </w:tc>
        <w:tc>
          <w:tcPr>
            <w:tcW w:w="1440" w:type="dxa"/>
          </w:tcPr>
          <w:p w:rsidR="0034360E" w:rsidRPr="000749A2" w:rsidRDefault="0090733B" w:rsidP="00BD28B0">
            <w:pPr>
              <w:spacing w:before="100" w:beforeAutospacing="1" w:after="100" w:afterAutospacing="1"/>
              <w:jc w:val="right"/>
            </w:pPr>
            <w:r>
              <w:t>2,</w:t>
            </w:r>
            <w:r w:rsidR="00BD28B0">
              <w:t>106</w:t>
            </w:r>
          </w:p>
        </w:tc>
      </w:tr>
      <w:tr w:rsidR="0034360E" w:rsidRPr="00762F09" w:rsidTr="00EC0DFE">
        <w:tc>
          <w:tcPr>
            <w:tcW w:w="5112" w:type="dxa"/>
            <w:shd w:val="clear" w:color="auto" w:fill="E0E0E0"/>
          </w:tcPr>
          <w:p w:rsidR="0034360E" w:rsidRPr="006C5146" w:rsidRDefault="0034360E" w:rsidP="00EC0DFE">
            <w:pPr>
              <w:spacing w:before="100" w:beforeAutospacing="1" w:after="100" w:afterAutospacing="1"/>
              <w:rPr>
                <w:b/>
                <w:bCs/>
              </w:rPr>
            </w:pPr>
            <w:r w:rsidRPr="006C5146">
              <w:rPr>
                <w:b/>
                <w:bCs/>
              </w:rPr>
              <w:t>Total Change 201</w:t>
            </w:r>
            <w:r>
              <w:rPr>
                <w:b/>
                <w:bCs/>
              </w:rPr>
              <w:t>1</w:t>
            </w:r>
            <w:r w:rsidRPr="006C5146">
              <w:rPr>
                <w:b/>
                <w:bCs/>
              </w:rPr>
              <w:t>-201</w:t>
            </w:r>
            <w:r>
              <w:rPr>
                <w:b/>
                <w:bCs/>
              </w:rPr>
              <w:t>2</w:t>
            </w:r>
          </w:p>
        </w:tc>
        <w:tc>
          <w:tcPr>
            <w:tcW w:w="1440" w:type="dxa"/>
            <w:shd w:val="clear" w:color="auto" w:fill="E0E0E0"/>
          </w:tcPr>
          <w:p w:rsidR="0034360E" w:rsidRPr="006C5146" w:rsidRDefault="000559AF" w:rsidP="00EC0DFE">
            <w:pPr>
              <w:spacing w:before="100" w:beforeAutospacing="1" w:after="100" w:afterAutospacing="1"/>
              <w:jc w:val="right"/>
              <w:rPr>
                <w:b/>
              </w:rPr>
            </w:pPr>
            <w:r>
              <w:rPr>
                <w:b/>
              </w:rPr>
              <w:t>0</w:t>
            </w:r>
          </w:p>
        </w:tc>
        <w:tc>
          <w:tcPr>
            <w:tcW w:w="1260" w:type="dxa"/>
            <w:shd w:val="clear" w:color="auto" w:fill="E0E0E0"/>
          </w:tcPr>
          <w:p w:rsidR="0034360E" w:rsidRPr="006C5146" w:rsidRDefault="000559AF" w:rsidP="00EC0DFE">
            <w:pPr>
              <w:spacing w:before="100" w:beforeAutospacing="1" w:after="100" w:afterAutospacing="1"/>
              <w:jc w:val="right"/>
              <w:rPr>
                <w:b/>
              </w:rPr>
            </w:pPr>
            <w:r>
              <w:rPr>
                <w:b/>
              </w:rPr>
              <w:t>0</w:t>
            </w:r>
          </w:p>
        </w:tc>
        <w:tc>
          <w:tcPr>
            <w:tcW w:w="1440" w:type="dxa"/>
            <w:shd w:val="clear" w:color="auto" w:fill="E0E0E0"/>
          </w:tcPr>
          <w:p w:rsidR="0034360E" w:rsidRPr="006C5146" w:rsidRDefault="00BD28B0" w:rsidP="0090733B">
            <w:pPr>
              <w:spacing w:before="100" w:beforeAutospacing="1" w:after="100" w:afterAutospacing="1"/>
              <w:jc w:val="right"/>
              <w:rPr>
                <w:b/>
              </w:rPr>
            </w:pPr>
            <w:r>
              <w:rPr>
                <w:b/>
              </w:rPr>
              <w:t>16</w:t>
            </w:r>
          </w:p>
        </w:tc>
      </w:tr>
    </w:tbl>
    <w:p w:rsidR="0034360E" w:rsidRDefault="0034360E" w:rsidP="005027FD">
      <w:pPr>
        <w:spacing w:before="100" w:beforeAutospacing="1" w:after="100" w:afterAutospacing="1"/>
        <w:rPr>
          <w:b/>
          <w:bCs/>
        </w:rPr>
      </w:pPr>
    </w:p>
    <w:p w:rsidR="00AC4803" w:rsidRPr="00366A78" w:rsidRDefault="00AC4803" w:rsidP="00366A78">
      <w:pPr>
        <w:pStyle w:val="BodyText"/>
        <w:numPr>
          <w:ilvl w:val="0"/>
          <w:numId w:val="54"/>
        </w:numPr>
        <w:spacing w:before="100" w:beforeAutospacing="1" w:after="100" w:afterAutospacing="1"/>
        <w:ind w:left="360"/>
        <w:rPr>
          <w:bCs/>
        </w:rPr>
      </w:pPr>
      <w:r w:rsidRPr="00366A78">
        <w:rPr>
          <w:b/>
          <w:bCs/>
        </w:rPr>
        <w:t>Program Description</w:t>
      </w:r>
    </w:p>
    <w:p w:rsidR="00AC4803" w:rsidRDefault="00AC4803" w:rsidP="007725A2">
      <w:pPr>
        <w:pStyle w:val="BodyText"/>
        <w:spacing w:before="100" w:beforeAutospacing="1" w:after="100" w:afterAutospacing="1"/>
        <w:rPr>
          <w:bCs/>
        </w:rPr>
      </w:pPr>
      <w:r>
        <w:rPr>
          <w:bCs/>
        </w:rPr>
        <w:t>Illegal diversion of tobacco products deprives governments of due revenue (tax losses are estimated in the billions of dollars) and enables organized criminal enterprises (including terrorist organizations) to gain substantial profits.  Unlike the trafficking of illegal drugs that are readily identifiable as contraband, the diversion of tobacco and alcohol products attracts less scrutiny and has a reduced risk of apprehension while still offering high potential profits.  In addition, immense profits and relatively low penalties attract organized crime and fundraisers for terrorist groups.</w:t>
      </w:r>
    </w:p>
    <w:p w:rsidR="00AC4803" w:rsidRDefault="00AC4803" w:rsidP="007725A2">
      <w:pPr>
        <w:pStyle w:val="BodyText"/>
        <w:spacing w:before="100" w:beforeAutospacing="1" w:after="100" w:afterAutospacing="1"/>
        <w:rPr>
          <w:bCs/>
        </w:rPr>
      </w:pPr>
      <w:r>
        <w:rPr>
          <w:bCs/>
        </w:rPr>
        <w:t>Criminals have long exploited the differences among Federal and State excise tax rates on alcohol and cigarettes by illegally producing, distributing, and smuggling alcohol and cigarettes into domestic and international high tax jurisdictions, activities collectively referred to as diversion.</w:t>
      </w:r>
    </w:p>
    <w:p w:rsidR="007F248C" w:rsidRDefault="00AC4803" w:rsidP="007725A2">
      <w:pPr>
        <w:pStyle w:val="BodyText"/>
        <w:spacing w:before="100" w:beforeAutospacing="1" w:after="100" w:afterAutospacing="1"/>
        <w:rPr>
          <w:bCs/>
        </w:rPr>
      </w:pPr>
      <w:r>
        <w:rPr>
          <w:bCs/>
        </w:rPr>
        <w:t xml:space="preserve">Alcohol diversion raises images of prohibition-era moonshiners and bootleggers.  While moonshiners still exist, more recent and complex alcohol diversion includes the diversion of </w:t>
      </w:r>
      <w:r>
        <w:rPr>
          <w:bCs/>
        </w:rPr>
        <w:lastRenderedPageBreak/>
        <w:t>distilled spirits from the U.S. to the former Soviet countries and to European Union countries.  In many of these cases, distilled spirits are mislabeled as industrial products to perpetrate the fraud.  In some instances, alleged</w:t>
      </w:r>
      <w:r w:rsidR="007F248C">
        <w:rPr>
          <w:bCs/>
        </w:rPr>
        <w:t xml:space="preserve"> industrial alcohol is diverted for beverage purposes.</w:t>
      </w:r>
    </w:p>
    <w:p w:rsidR="00F676C6" w:rsidRDefault="007F248C" w:rsidP="007725A2">
      <w:pPr>
        <w:pStyle w:val="BodyText"/>
        <w:spacing w:before="100" w:beforeAutospacing="1" w:after="100" w:afterAutospacing="1"/>
        <w:rPr>
          <w:bCs/>
        </w:rPr>
      </w:pPr>
      <w:r>
        <w:rPr>
          <w:bCs/>
        </w:rPr>
        <w:t xml:space="preserve">ATF’s primary jurisdiction relating to tobacco is the Contraband Cigarette Trafficking Act (CCTA), which makes it unlawful for any person to ship, transport, receive, possess, sell, distribute, or purchase more than 10,000 cigarettes that bear no evidence of State tax payment for the State in which the cigarettes are found (if a State tax stamp is required).  The CCTA was enacted to support State and local law enforcement agencies in </w:t>
      </w:r>
      <w:r w:rsidR="00F94F22">
        <w:rPr>
          <w:bCs/>
        </w:rPr>
        <w:t>efforts</w:t>
      </w:r>
      <w:r>
        <w:rPr>
          <w:bCs/>
        </w:rPr>
        <w:t xml:space="preserve"> to stop structured and organized criminal groups that derive significant financial gain through the transportation of contraband tobacco from no- or low-tax locales to high-tax locales.  This is accomplished by working with other Federal law enforcement and revenue agencies, State and local law enforcement and revenue agencies, and international law enforcement and revenue agencies.  Because of the diversity of the individuals and crimes involved in the tobacco black market, ATF often charges defendants with violations other than CCTA violations, ranging from conspiracy to Federal charges of </w:t>
      </w:r>
      <w:r w:rsidR="00F94F22">
        <w:rPr>
          <w:bCs/>
        </w:rPr>
        <w:t>m</w:t>
      </w:r>
      <w:r>
        <w:rPr>
          <w:bCs/>
        </w:rPr>
        <w:t>urder-for-</w:t>
      </w:r>
      <w:r w:rsidR="00F94F22">
        <w:rPr>
          <w:bCs/>
        </w:rPr>
        <w:t>h</w:t>
      </w:r>
      <w:r>
        <w:rPr>
          <w:bCs/>
        </w:rPr>
        <w:t>ire.  Throu</w:t>
      </w:r>
      <w:r w:rsidR="00F676C6">
        <w:rPr>
          <w:bCs/>
        </w:rPr>
        <w:t>gh the successful prosecution and plea agreements in these complex cases involving interstate commerce, States have recovered millions of dollars in excise tax revenues.</w:t>
      </w:r>
    </w:p>
    <w:p w:rsidR="00304602" w:rsidRDefault="00F676C6" w:rsidP="007725A2">
      <w:pPr>
        <w:pStyle w:val="BodyText"/>
        <w:spacing w:before="100" w:beforeAutospacing="1" w:after="100" w:afterAutospacing="1"/>
        <w:rPr>
          <w:bCs/>
        </w:rPr>
      </w:pPr>
      <w:r>
        <w:rPr>
          <w:bCs/>
        </w:rPr>
        <w:t xml:space="preserve">Organized criminal groups, including those with ties to terrorist organizations, have increasingly engaged in the illegal trafficking in tobacco products, particularly counterfeit and lawfully manufactured cigarettes.  The proliferation of large volume trafficking across international borders and interstate commerce, without payment of tax, provides funding and material support to terrorist organizations and other organized criminal enterprises.  ATF has conducted two tobacco diversion investigations, </w:t>
      </w:r>
      <w:r w:rsidR="00F94F22">
        <w:rPr>
          <w:bCs/>
        </w:rPr>
        <w:t>that</w:t>
      </w:r>
      <w:r>
        <w:rPr>
          <w:bCs/>
        </w:rPr>
        <w:t xml:space="preserve"> resulted in convictions for Material Support to a Terrorist Organization.  The first, and most significant, was an investigation conducted in Charlotte, North Carolina</w:t>
      </w:r>
      <w:r w:rsidR="00F94F22">
        <w:rPr>
          <w:bCs/>
        </w:rPr>
        <w:t>,</w:t>
      </w:r>
      <w:r>
        <w:rPr>
          <w:bCs/>
        </w:rPr>
        <w:t xml:space="preserve"> called Operation Smoke Screen.  ATF partnered with the FBI and a number of other agencies in this investigation, where 20 individuals were convicted of Racketeering, and two of the 20 were convicted of Material Support.  This was the first time in the U.S. anyone had been tried and convicted of the Material Support charge.  Mohammed Hammoud was sentenced to 150 years in the summer of 2002.  The</w:t>
      </w:r>
      <w:r w:rsidR="00304602">
        <w:rPr>
          <w:bCs/>
        </w:rPr>
        <w:t xml:space="preserve"> organization that Hammoud was tied to laundered millions of dollars through their operation.</w:t>
      </w:r>
    </w:p>
    <w:p w:rsidR="00C34432" w:rsidRDefault="00C34432" w:rsidP="007725A2">
      <w:pPr>
        <w:pStyle w:val="BodyText"/>
        <w:spacing w:before="100" w:beforeAutospacing="1" w:after="100" w:afterAutospacing="1"/>
        <w:rPr>
          <w:bCs/>
        </w:rPr>
      </w:pPr>
      <w:r w:rsidRPr="00C34432">
        <w:rPr>
          <w:bCs/>
        </w:rPr>
        <w:t xml:space="preserve">Recently, ATF has seen a </w:t>
      </w:r>
      <w:r w:rsidR="00475F12">
        <w:rPr>
          <w:bCs/>
        </w:rPr>
        <w:t xml:space="preserve">sharp increase in the involvement of organized criminal groups in the diversion of tobacco products.  These groups are increasing their involvement due to the huge profits tobacco diversion generates for their criminal organizations.  The profits gained through tobacco diversion are then filtered back into their criminal organizations to fund other criminal activities, including other types of fraud and violent crime.  These criminal organizations affect the core of national and financial security and the quality of life of </w:t>
      </w:r>
      <w:r w:rsidR="00B71026">
        <w:rPr>
          <w:bCs/>
        </w:rPr>
        <w:t>the nation’s</w:t>
      </w:r>
      <w:r w:rsidR="00475F12">
        <w:rPr>
          <w:bCs/>
        </w:rPr>
        <w:t xml:space="preserve"> citizens.  The following are examples of the type of investigations that ATF is conducting:</w:t>
      </w:r>
    </w:p>
    <w:p w:rsidR="00C34432" w:rsidRDefault="00475F12" w:rsidP="002A20D5">
      <w:pPr>
        <w:pStyle w:val="BodyText"/>
        <w:numPr>
          <w:ilvl w:val="0"/>
          <w:numId w:val="51"/>
        </w:numPr>
        <w:rPr>
          <w:bCs/>
        </w:rPr>
      </w:pPr>
      <w:r>
        <w:rPr>
          <w:bCs/>
        </w:rPr>
        <w:t xml:space="preserve">As a result of a </w:t>
      </w:r>
      <w:r w:rsidR="002A20D5">
        <w:rPr>
          <w:bCs/>
        </w:rPr>
        <w:t>nine</w:t>
      </w:r>
      <w:r>
        <w:rPr>
          <w:bCs/>
        </w:rPr>
        <w:t xml:space="preserve">-month investigation involving the illegal trafficking of cigarettes from Virginia to New York, ATF charged 11 individuals with violations of Federal law, including </w:t>
      </w:r>
      <w:r w:rsidR="00BB3F7E">
        <w:rPr>
          <w:bCs/>
        </w:rPr>
        <w:t>contraband cigarette trafficking, narcotics trafficking, and murder</w:t>
      </w:r>
      <w:r w:rsidR="00F94F22">
        <w:rPr>
          <w:bCs/>
        </w:rPr>
        <w:t>-</w:t>
      </w:r>
      <w:r w:rsidR="00BB3F7E">
        <w:rPr>
          <w:bCs/>
        </w:rPr>
        <w:t>for</w:t>
      </w:r>
      <w:r w:rsidR="00F94F22">
        <w:rPr>
          <w:bCs/>
        </w:rPr>
        <w:t>-</w:t>
      </w:r>
      <w:r w:rsidR="00BB3F7E">
        <w:rPr>
          <w:bCs/>
        </w:rPr>
        <w:t xml:space="preserve">hire.  During this investigation, these individuals illegally trafficked more than $2million worth of contraband cigarettes into the state of New York. Undercover agents purchased 1 </w:t>
      </w:r>
      <w:r w:rsidR="00BB3F7E">
        <w:rPr>
          <w:bCs/>
        </w:rPr>
        <w:lastRenderedPageBreak/>
        <w:t>kilogram of cocaine and placed an order for several more.  The investigation revealed an extensive network of people working in this illegal tobacco trafficking scheme on Long Island, New York.  It was determined that this organization was also involved in money laundering and bank fraud.  As a result of the intense competition involved in this illegal activity, some members of this organization solicited the undercover agents to kill or severely beat a rival tobacco trafficker in order to send a message to other illegal tobacco traffickers in the Long Island area.  ATF conducted this investigation in partnership with the Fairfax County Police Department.</w:t>
      </w:r>
    </w:p>
    <w:p w:rsidR="00AC4803" w:rsidRDefault="00AC4803" w:rsidP="00AC4803">
      <w:pPr>
        <w:pStyle w:val="BodyText"/>
        <w:ind w:left="720"/>
        <w:rPr>
          <w:bCs/>
        </w:rPr>
      </w:pPr>
    </w:p>
    <w:p w:rsidR="00C34432" w:rsidRDefault="00E82528" w:rsidP="00AC4803">
      <w:pPr>
        <w:pStyle w:val="BodyText"/>
        <w:numPr>
          <w:ilvl w:val="0"/>
          <w:numId w:val="51"/>
        </w:numPr>
        <w:rPr>
          <w:bCs/>
        </w:rPr>
      </w:pPr>
      <w:r>
        <w:rPr>
          <w:bCs/>
        </w:rPr>
        <w:t xml:space="preserve">In culmination of a 14-month investigation, ATF, working with the Stafford County Sheriff’s Office and the Fairfax County Police Department, charged 22 individuals with contraband cigarette trafficking, murder for hire, narcotics trafficking, and firearms violations. These individuals trafficked more than $8 million worth of contraband cigarettes purchased in Virginia to New York.  During the investigation, undercover agents traded contraband cigarettes for 39 firearms, 6 ounces of crack cocaine, more than 32,000 ecstasy pills, ketamine (animal tranquilizer), and more than 275,000 counterfeit State tax stamps.  In addition, the undercover agents were solicited to murder two individuals who were suspected by the organization of informing on and stealing from the organization.  </w:t>
      </w:r>
    </w:p>
    <w:p w:rsidR="00AC4803" w:rsidRDefault="00AC4803" w:rsidP="00AC4803">
      <w:pPr>
        <w:pStyle w:val="BodyText"/>
        <w:ind w:left="720"/>
        <w:rPr>
          <w:bCs/>
        </w:rPr>
      </w:pPr>
    </w:p>
    <w:p w:rsidR="00C34432" w:rsidRDefault="002A5328" w:rsidP="007725A2">
      <w:pPr>
        <w:pStyle w:val="BodyText"/>
        <w:numPr>
          <w:ilvl w:val="0"/>
          <w:numId w:val="51"/>
        </w:numPr>
        <w:rPr>
          <w:bCs/>
        </w:rPr>
      </w:pPr>
      <w:r>
        <w:rPr>
          <w:bCs/>
        </w:rPr>
        <w:t xml:space="preserve">As a result of the investigation, information was developed that a Central American import/export owner was diverted tobacco products through his business and ultimately smuggling them into the United States and avoiding paying Federal and State taxes.  The information was provided to foreign customs officials, who then executed search warrants on three different warehouses.  The custom officials discovered over $17 million worth of contraband cigarettes that were bond for the United States.  Had these cigarettes been smuggled into the United States it would have resulted in a $9.5 million Federal exercise tax loss.  ATF is currently investigating an illegal </w:t>
      </w:r>
      <w:r w:rsidR="0027342E">
        <w:rPr>
          <w:bCs/>
        </w:rPr>
        <w:t>i</w:t>
      </w:r>
      <w:r>
        <w:rPr>
          <w:bCs/>
        </w:rPr>
        <w:t xml:space="preserve">nternet cigarette trafficker who in the past </w:t>
      </w:r>
      <w:r w:rsidR="0027342E">
        <w:rPr>
          <w:bCs/>
        </w:rPr>
        <w:t>five</w:t>
      </w:r>
      <w:r>
        <w:rPr>
          <w:bCs/>
        </w:rPr>
        <w:t xml:space="preserve"> years has gained over $100 million of profit through his illegal diversion scheme.  The investigation produced information that led to the serving of search warrants at the sixth largest tobacco manufacturer in the United States for being complicit in the illegal scheme.  </w:t>
      </w:r>
    </w:p>
    <w:p w:rsidR="007725A2" w:rsidRDefault="007725A2" w:rsidP="007725A2">
      <w:pPr>
        <w:pStyle w:val="ListParagraph"/>
        <w:rPr>
          <w:bCs/>
        </w:rPr>
      </w:pPr>
    </w:p>
    <w:p w:rsidR="007725A2" w:rsidRDefault="00273F9D" w:rsidP="007725A2">
      <w:pPr>
        <w:pStyle w:val="ListParagraph"/>
        <w:rPr>
          <w:bCs/>
        </w:rPr>
      </w:pPr>
      <w:r w:rsidRPr="00273F9D">
        <w:rPr>
          <w:noProof/>
        </w:rPr>
        <w:pict>
          <v:shape id="_x0000_s1055" type="#_x0000_t202" style="position:absolute;left:0;text-align:left;margin-left:31.1pt;margin-top:-3.5pt;width:467.25pt;height:51pt;z-index:251659264;mso-width-relative:margin;mso-height-relative:margin">
            <v:textbox style="mso-next-textbox:#_x0000_s1055">
              <w:txbxContent>
                <w:p w:rsidR="00104151" w:rsidRDefault="00104151" w:rsidP="002A20D5">
                  <w:pPr>
                    <w:pStyle w:val="ListParagraph"/>
                    <w:numPr>
                      <w:ilvl w:val="0"/>
                      <w:numId w:val="40"/>
                    </w:numPr>
                    <w:ind w:left="360" w:hanging="270"/>
                  </w:pPr>
                  <w:r w:rsidRPr="00E938F1">
                    <w:t xml:space="preserve">During </w:t>
                  </w:r>
                  <w:r w:rsidRPr="00CB25B2">
                    <w:t>FY 2010, ATF opened approximately 1</w:t>
                  </w:r>
                  <w:r>
                    <w:t>,</w:t>
                  </w:r>
                  <w:r w:rsidRPr="00CB25B2">
                    <w:t xml:space="preserve">117 investigations into the diversion of alcohol and tobacco products, recommending the prosecution of approximately 250 defendants and seizing approximately $72 million in </w:t>
                  </w:r>
                  <w:r>
                    <w:t>valued assets.</w:t>
                  </w:r>
                </w:p>
                <w:p w:rsidR="00104151" w:rsidRDefault="00104151" w:rsidP="0076413D"/>
              </w:txbxContent>
            </v:textbox>
          </v:shape>
        </w:pict>
      </w:r>
    </w:p>
    <w:p w:rsidR="007725A2" w:rsidRDefault="007725A2" w:rsidP="007725A2">
      <w:pPr>
        <w:pStyle w:val="ListParagraph"/>
        <w:rPr>
          <w:bCs/>
        </w:rPr>
      </w:pPr>
    </w:p>
    <w:p w:rsidR="007725A2" w:rsidRDefault="007725A2" w:rsidP="007725A2">
      <w:pPr>
        <w:pStyle w:val="ListParagraph"/>
        <w:rPr>
          <w:bCs/>
        </w:rPr>
      </w:pPr>
    </w:p>
    <w:p w:rsidR="007725A2" w:rsidRDefault="007725A2" w:rsidP="007725A2">
      <w:pPr>
        <w:pStyle w:val="ListParagraph"/>
        <w:rPr>
          <w:bCs/>
        </w:rPr>
      </w:pPr>
    </w:p>
    <w:p w:rsidR="00C34432" w:rsidRDefault="000B201B" w:rsidP="00C34432">
      <w:r>
        <w:t xml:space="preserve">In addition to investigations related to the CCTA, ATF plays a vital role in implementing and overseeing the Prevent All Cigarette Trafficking Act of 2009 (PACT Act), signed by President Obama in March 2010.  At its core, the new law provides investigative tools to Federal and State law enforcement agencies to identify and investigate individuals </w:t>
      </w:r>
      <w:r w:rsidR="0027342E">
        <w:t>who</w:t>
      </w:r>
      <w:r>
        <w:t xml:space="preserve"> engage in the sale and shipment of contraband tobacco products directly to the consumer in non</w:t>
      </w:r>
      <w:r w:rsidR="0027342E">
        <w:t>–</w:t>
      </w:r>
      <w:r>
        <w:t>face</w:t>
      </w:r>
      <w:r w:rsidR="0027342E">
        <w:t>-</w:t>
      </w:r>
      <w:r>
        <w:t>to</w:t>
      </w:r>
      <w:r w:rsidR="0027342E">
        <w:t>-</w:t>
      </w:r>
      <w:r>
        <w:t>face transactions.  One of ATF’s roles in overseeing and implementing the PACT Act is the development of the Delivery Seller Noncompliant List.  The continually updated list consists of individuals who engaging in non</w:t>
      </w:r>
      <w:r w:rsidR="0027342E">
        <w:t>-</w:t>
      </w:r>
      <w:r>
        <w:t>face</w:t>
      </w:r>
      <w:r w:rsidR="0027342E">
        <w:t>-</w:t>
      </w:r>
      <w:r>
        <w:t>to</w:t>
      </w:r>
      <w:r w:rsidR="0027342E">
        <w:t>-</w:t>
      </w:r>
      <w:r>
        <w:t xml:space="preserve">face tobacco transactions and have been found to be in violation of the PACT Act.  The list is distributed to the State governments and to common </w:t>
      </w:r>
      <w:r>
        <w:lastRenderedPageBreak/>
        <w:t>carriers.  The PACT Act prohibits common carriers from delivering packages from the individuals on the list. Creation and maintenance of the Delivery Seller Noncompliant List by ATF is critical in the enforcement of the PACT Act.</w:t>
      </w:r>
    </w:p>
    <w:p w:rsidR="00797FD4" w:rsidRDefault="00797FD4">
      <w:pPr>
        <w:rPr>
          <w:szCs w:val="20"/>
        </w:rPr>
        <w:sectPr w:rsidR="00797FD4" w:rsidSect="00797FD4">
          <w:headerReference w:type="default" r:id="rId26"/>
          <w:footerReference w:type="default" r:id="rId27"/>
          <w:pgSz w:w="12240" w:h="15840" w:code="1"/>
          <w:pgMar w:top="1440" w:right="1440" w:bottom="1440" w:left="1440" w:header="720" w:footer="720" w:gutter="0"/>
          <w:cols w:space="720"/>
          <w:docGrid w:linePitch="360"/>
        </w:sectPr>
      </w:pPr>
    </w:p>
    <w:p w:rsidR="00366A78" w:rsidRDefault="00366A78">
      <w:pPr>
        <w:rPr>
          <w:szCs w:val="20"/>
        </w:rPr>
      </w:pPr>
    </w:p>
    <w:tbl>
      <w:tblPr>
        <w:tblW w:w="14718" w:type="dxa"/>
        <w:tblInd w:w="-658" w:type="dxa"/>
        <w:tblLayout w:type="fixed"/>
        <w:tblCellMar>
          <w:left w:w="0" w:type="dxa"/>
          <w:right w:w="0" w:type="dxa"/>
        </w:tblCellMar>
        <w:tblLook w:val="0000"/>
      </w:tblPr>
      <w:tblGrid>
        <w:gridCol w:w="1915"/>
        <w:gridCol w:w="2710"/>
        <w:gridCol w:w="774"/>
        <w:gridCol w:w="1398"/>
        <w:gridCol w:w="538"/>
        <w:gridCol w:w="1205"/>
        <w:gridCol w:w="538"/>
        <w:gridCol w:w="1398"/>
        <w:gridCol w:w="581"/>
        <w:gridCol w:w="1355"/>
        <w:gridCol w:w="774"/>
        <w:gridCol w:w="1532"/>
      </w:tblGrid>
      <w:tr w:rsidR="006C143F" w:rsidRPr="00762F09" w:rsidTr="00FD5C2A">
        <w:trPr>
          <w:trHeight w:val="318"/>
        </w:trPr>
        <w:tc>
          <w:tcPr>
            <w:tcW w:w="14718" w:type="dxa"/>
            <w:gridSpan w:val="12"/>
            <w:tcBorders>
              <w:top w:val="single" w:sz="8" w:space="0" w:color="auto"/>
              <w:left w:val="single" w:sz="8" w:space="0" w:color="auto"/>
              <w:bottom w:val="single" w:sz="4" w:space="0" w:color="auto"/>
              <w:right w:val="single" w:sz="8" w:space="0" w:color="000000"/>
            </w:tcBorders>
            <w:tcMar>
              <w:top w:w="20" w:type="dxa"/>
              <w:left w:w="20" w:type="dxa"/>
              <w:bottom w:w="0" w:type="dxa"/>
              <w:right w:w="20" w:type="dxa"/>
            </w:tcMar>
            <w:vAlign w:val="bottom"/>
          </w:tcPr>
          <w:p w:rsidR="006C143F" w:rsidRPr="00762F09" w:rsidRDefault="006C143F" w:rsidP="00460AB0">
            <w:pPr>
              <w:spacing w:before="100" w:beforeAutospacing="1" w:after="100" w:afterAutospacing="1"/>
              <w:jc w:val="center"/>
              <w:rPr>
                <w:b/>
                <w:bCs/>
                <w:szCs w:val="16"/>
              </w:rPr>
            </w:pPr>
            <w:r w:rsidRPr="00762F09">
              <w:br w:type="page"/>
            </w:r>
            <w:r w:rsidRPr="00762F09">
              <w:rPr>
                <w:b/>
                <w:bCs/>
                <w:szCs w:val="16"/>
              </w:rPr>
              <w:t>2. PERFORMANCE AND RESOURCES TABLE</w:t>
            </w:r>
            <w:r>
              <w:rPr>
                <w:b/>
                <w:bCs/>
                <w:szCs w:val="16"/>
              </w:rPr>
              <w:t xml:space="preserve"> </w:t>
            </w:r>
          </w:p>
        </w:tc>
      </w:tr>
      <w:tr w:rsidR="006C143F" w:rsidRPr="00762F09" w:rsidTr="00FD5C2A">
        <w:trPr>
          <w:trHeight w:val="318"/>
        </w:trPr>
        <w:tc>
          <w:tcPr>
            <w:tcW w:w="14718" w:type="dxa"/>
            <w:gridSpan w:val="12"/>
            <w:tcBorders>
              <w:top w:val="single" w:sz="8" w:space="0" w:color="auto"/>
              <w:left w:val="single" w:sz="8" w:space="0" w:color="auto"/>
              <w:bottom w:val="single" w:sz="4" w:space="0" w:color="auto"/>
              <w:right w:val="single" w:sz="8" w:space="0" w:color="000000"/>
            </w:tcBorders>
            <w:tcMar>
              <w:top w:w="20" w:type="dxa"/>
              <w:left w:w="20" w:type="dxa"/>
              <w:bottom w:w="0" w:type="dxa"/>
              <w:right w:w="20" w:type="dxa"/>
            </w:tcMar>
            <w:vAlign w:val="bottom"/>
          </w:tcPr>
          <w:p w:rsidR="006C143F" w:rsidRPr="00B95767" w:rsidRDefault="006C143F" w:rsidP="00FD5C2A">
            <w:pPr>
              <w:spacing w:before="100" w:beforeAutospacing="1" w:after="100" w:afterAutospacing="1"/>
              <w:rPr>
                <w:b/>
                <w:bCs/>
              </w:rPr>
            </w:pPr>
            <w:r w:rsidRPr="00B95767">
              <w:rPr>
                <w:b/>
                <w:bCs/>
                <w:sz w:val="22"/>
                <w:szCs w:val="22"/>
              </w:rPr>
              <w:t>Decision Unit: Alcohol and Tobacco</w:t>
            </w:r>
          </w:p>
        </w:tc>
      </w:tr>
      <w:tr w:rsidR="006C143F" w:rsidRPr="00762F09" w:rsidTr="00FD5C2A">
        <w:trPr>
          <w:trHeight w:val="318"/>
        </w:trPr>
        <w:tc>
          <w:tcPr>
            <w:tcW w:w="14718" w:type="dxa"/>
            <w:gridSpan w:val="12"/>
            <w:tcBorders>
              <w:top w:val="single" w:sz="8" w:space="0" w:color="auto"/>
              <w:left w:val="single" w:sz="8" w:space="0" w:color="auto"/>
              <w:bottom w:val="single" w:sz="4" w:space="0" w:color="auto"/>
              <w:right w:val="single" w:sz="8" w:space="0" w:color="000000"/>
            </w:tcBorders>
            <w:tcMar>
              <w:top w:w="20" w:type="dxa"/>
              <w:left w:w="20" w:type="dxa"/>
              <w:bottom w:w="0" w:type="dxa"/>
              <w:right w:w="20" w:type="dxa"/>
            </w:tcMar>
            <w:vAlign w:val="bottom"/>
          </w:tcPr>
          <w:p w:rsidR="006C143F" w:rsidRPr="00B95767" w:rsidRDefault="006C143F" w:rsidP="00FD5C2A">
            <w:pPr>
              <w:spacing w:before="100" w:beforeAutospacing="1" w:after="100" w:afterAutospacing="1"/>
              <w:rPr>
                <w:b/>
                <w:bCs/>
              </w:rPr>
            </w:pPr>
            <w:r w:rsidRPr="00B95767">
              <w:rPr>
                <w:b/>
                <w:bCs/>
                <w:sz w:val="22"/>
                <w:szCs w:val="22"/>
              </w:rPr>
              <w:t>DOJ Strategic Goal/Objective: Goal 2, Objective 2.2</w:t>
            </w:r>
          </w:p>
        </w:tc>
      </w:tr>
      <w:tr w:rsidR="006C143F" w:rsidRPr="00762F09" w:rsidTr="00FD5C2A">
        <w:trPr>
          <w:trHeight w:val="318"/>
        </w:trPr>
        <w:tc>
          <w:tcPr>
            <w:tcW w:w="4625" w:type="dxa"/>
            <w:gridSpan w:val="2"/>
            <w:tcBorders>
              <w:top w:val="single" w:sz="8" w:space="0" w:color="auto"/>
              <w:left w:val="single" w:sz="8" w:space="0" w:color="auto"/>
              <w:bottom w:val="single" w:sz="4" w:space="0" w:color="auto"/>
              <w:right w:val="single" w:sz="4" w:space="0" w:color="000000"/>
            </w:tcBorders>
            <w:tcMar>
              <w:top w:w="20" w:type="dxa"/>
              <w:left w:w="20" w:type="dxa"/>
              <w:bottom w:w="0" w:type="dxa"/>
              <w:right w:w="20" w:type="dxa"/>
            </w:tcMar>
            <w:vAlign w:val="bottom"/>
          </w:tcPr>
          <w:p w:rsidR="006C143F" w:rsidRPr="00B95767" w:rsidRDefault="006C143F" w:rsidP="00FD5C2A">
            <w:pPr>
              <w:spacing w:before="100" w:beforeAutospacing="1" w:after="100" w:afterAutospacing="1"/>
              <w:rPr>
                <w:rFonts w:eastAsia="Arial Unicode MS"/>
                <w:b/>
                <w:bCs/>
                <w:sz w:val="20"/>
                <w:szCs w:val="20"/>
              </w:rPr>
            </w:pPr>
            <w:r w:rsidRPr="00B95767">
              <w:rPr>
                <w:b/>
                <w:bCs/>
                <w:sz w:val="20"/>
                <w:szCs w:val="20"/>
              </w:rPr>
              <w:t>RESOURCES</w:t>
            </w:r>
          </w:p>
        </w:tc>
        <w:tc>
          <w:tcPr>
            <w:tcW w:w="2172" w:type="dxa"/>
            <w:gridSpan w:val="2"/>
            <w:tcBorders>
              <w:top w:val="single" w:sz="8" w:space="0" w:color="auto"/>
              <w:left w:val="nil"/>
              <w:bottom w:val="single" w:sz="4" w:space="0" w:color="auto"/>
              <w:right w:val="single" w:sz="4" w:space="0" w:color="000000"/>
            </w:tcBorders>
            <w:tcMar>
              <w:top w:w="20" w:type="dxa"/>
              <w:left w:w="20" w:type="dxa"/>
              <w:bottom w:w="0" w:type="dxa"/>
              <w:right w:w="20" w:type="dxa"/>
            </w:tcMar>
            <w:vAlign w:val="center"/>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Final Target</w:t>
            </w:r>
          </w:p>
        </w:tc>
        <w:tc>
          <w:tcPr>
            <w:tcW w:w="1743" w:type="dxa"/>
            <w:gridSpan w:val="2"/>
            <w:tcBorders>
              <w:top w:val="single" w:sz="8" w:space="0" w:color="auto"/>
              <w:left w:val="nil"/>
              <w:bottom w:val="single" w:sz="4" w:space="0" w:color="auto"/>
              <w:right w:val="single" w:sz="4" w:space="0" w:color="000000"/>
            </w:tcBorders>
            <w:tcMar>
              <w:top w:w="20" w:type="dxa"/>
              <w:left w:w="20" w:type="dxa"/>
              <w:bottom w:w="0" w:type="dxa"/>
              <w:right w:w="20" w:type="dxa"/>
            </w:tcMar>
            <w:vAlign w:val="center"/>
          </w:tcPr>
          <w:p w:rsidR="006C143F" w:rsidRPr="00B95767" w:rsidRDefault="006C143F" w:rsidP="00FD5C2A">
            <w:pPr>
              <w:spacing w:before="100" w:beforeAutospacing="1" w:after="100" w:afterAutospacing="1"/>
              <w:jc w:val="center"/>
              <w:rPr>
                <w:rFonts w:eastAsia="Arial Unicode MS"/>
                <w:b/>
                <w:bCs/>
                <w:sz w:val="20"/>
                <w:szCs w:val="20"/>
              </w:rPr>
            </w:pPr>
            <w:r w:rsidRPr="00B95767">
              <w:rPr>
                <w:b/>
                <w:sz w:val="20"/>
                <w:szCs w:val="20"/>
              </w:rPr>
              <w:t>Actual</w:t>
            </w:r>
            <w:r w:rsidRPr="00B95767">
              <w:rPr>
                <w:b/>
                <w:bCs/>
                <w:sz w:val="20"/>
                <w:szCs w:val="20"/>
              </w:rPr>
              <w:t xml:space="preserve"> </w:t>
            </w:r>
          </w:p>
        </w:tc>
        <w:tc>
          <w:tcPr>
            <w:tcW w:w="1936" w:type="dxa"/>
            <w:gridSpan w:val="2"/>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6C143F" w:rsidRPr="00B95767" w:rsidRDefault="006C143F" w:rsidP="00FD5C2A">
            <w:pPr>
              <w:spacing w:before="100" w:beforeAutospacing="1" w:after="100" w:afterAutospacing="1"/>
              <w:jc w:val="center"/>
              <w:rPr>
                <w:rFonts w:eastAsia="Arial Unicode MS"/>
                <w:b/>
                <w:bCs/>
                <w:sz w:val="20"/>
                <w:szCs w:val="20"/>
              </w:rPr>
            </w:pPr>
            <w:r w:rsidRPr="00B95767">
              <w:rPr>
                <w:rFonts w:eastAsia="Arial Unicode MS"/>
                <w:b/>
                <w:bCs/>
                <w:sz w:val="20"/>
                <w:szCs w:val="20"/>
              </w:rPr>
              <w:t xml:space="preserve">Projected </w:t>
            </w:r>
          </w:p>
        </w:tc>
        <w:tc>
          <w:tcPr>
            <w:tcW w:w="1936" w:type="dxa"/>
            <w:gridSpan w:val="2"/>
            <w:tcBorders>
              <w:top w:val="single" w:sz="8" w:space="0" w:color="auto"/>
              <w:left w:val="single" w:sz="8" w:space="0" w:color="auto"/>
              <w:bottom w:val="single" w:sz="4" w:space="0" w:color="auto"/>
              <w:right w:val="single" w:sz="8" w:space="0" w:color="auto"/>
            </w:tcBorders>
            <w:vAlign w:val="center"/>
          </w:tcPr>
          <w:p w:rsidR="006C143F" w:rsidRPr="00B95767" w:rsidRDefault="006C143F" w:rsidP="00FD5C2A">
            <w:pPr>
              <w:spacing w:before="100" w:beforeAutospacing="1" w:after="100" w:afterAutospacing="1"/>
              <w:jc w:val="center"/>
              <w:rPr>
                <w:b/>
                <w:bCs/>
                <w:sz w:val="20"/>
                <w:szCs w:val="20"/>
              </w:rPr>
            </w:pPr>
            <w:r w:rsidRPr="00B95767">
              <w:rPr>
                <w:b/>
                <w:bCs/>
                <w:sz w:val="20"/>
                <w:szCs w:val="20"/>
              </w:rPr>
              <w:t>Changes</w:t>
            </w:r>
          </w:p>
        </w:tc>
        <w:tc>
          <w:tcPr>
            <w:tcW w:w="2306" w:type="dxa"/>
            <w:gridSpan w:val="2"/>
            <w:tcBorders>
              <w:top w:val="single" w:sz="8" w:space="0" w:color="auto"/>
              <w:left w:val="single" w:sz="8" w:space="0" w:color="auto"/>
              <w:bottom w:val="single" w:sz="4" w:space="0" w:color="auto"/>
              <w:right w:val="single" w:sz="8" w:space="0" w:color="000000"/>
            </w:tcBorders>
            <w:tcMar>
              <w:top w:w="20" w:type="dxa"/>
              <w:left w:w="20" w:type="dxa"/>
              <w:bottom w:w="0" w:type="dxa"/>
              <w:right w:w="20" w:type="dxa"/>
            </w:tcMar>
            <w:vAlign w:val="center"/>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Requested (Total)</w:t>
            </w:r>
          </w:p>
        </w:tc>
      </w:tr>
      <w:tr w:rsidR="006C143F" w:rsidRPr="00762F09" w:rsidTr="00FD5C2A">
        <w:trPr>
          <w:trHeight w:val="777"/>
        </w:trPr>
        <w:tc>
          <w:tcPr>
            <w:tcW w:w="4625" w:type="dxa"/>
            <w:gridSpan w:val="2"/>
            <w:tcBorders>
              <w:top w:val="single" w:sz="4" w:space="0" w:color="auto"/>
              <w:left w:val="single" w:sz="8" w:space="0" w:color="auto"/>
              <w:bottom w:val="single" w:sz="4" w:space="0" w:color="auto"/>
              <w:right w:val="single" w:sz="4" w:space="0" w:color="000000"/>
            </w:tcBorders>
            <w:noWrap/>
            <w:tcMar>
              <w:top w:w="20" w:type="dxa"/>
              <w:left w:w="20" w:type="dxa"/>
              <w:bottom w:w="0" w:type="dxa"/>
              <w:right w:w="20" w:type="dxa"/>
            </w:tcMar>
            <w:vAlign w:val="bottom"/>
          </w:tcPr>
          <w:p w:rsidR="006C143F" w:rsidRPr="00B95767" w:rsidRDefault="006C143F" w:rsidP="00FD5C2A">
            <w:pPr>
              <w:spacing w:before="100" w:beforeAutospacing="1" w:after="100" w:afterAutospacing="1"/>
              <w:rPr>
                <w:rFonts w:eastAsia="Arial Unicode MS"/>
                <w:sz w:val="20"/>
                <w:szCs w:val="20"/>
              </w:rPr>
            </w:pPr>
          </w:p>
        </w:tc>
        <w:tc>
          <w:tcPr>
            <w:tcW w:w="2172" w:type="dxa"/>
            <w:gridSpan w:val="2"/>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rsidR="006C143F" w:rsidRPr="00B95767" w:rsidRDefault="006C143F" w:rsidP="00FD5C2A">
            <w:pPr>
              <w:spacing w:before="100" w:beforeAutospacing="1" w:after="100" w:afterAutospacing="1"/>
              <w:jc w:val="center"/>
              <w:rPr>
                <w:b/>
                <w:sz w:val="20"/>
                <w:szCs w:val="20"/>
              </w:rPr>
            </w:pPr>
            <w:r>
              <w:rPr>
                <w:b/>
                <w:sz w:val="20"/>
                <w:szCs w:val="20"/>
              </w:rPr>
              <w:t>FY 2010</w:t>
            </w:r>
          </w:p>
        </w:tc>
        <w:tc>
          <w:tcPr>
            <w:tcW w:w="1743"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6C143F" w:rsidRPr="00B95767" w:rsidRDefault="006C143F" w:rsidP="00FD5C2A">
            <w:pPr>
              <w:spacing w:before="100" w:beforeAutospacing="1" w:after="100" w:afterAutospacing="1"/>
              <w:jc w:val="center"/>
              <w:rPr>
                <w:rFonts w:eastAsia="Arial Unicode MS"/>
                <w:b/>
                <w:sz w:val="20"/>
                <w:szCs w:val="20"/>
              </w:rPr>
            </w:pPr>
            <w:r w:rsidRPr="00B95767">
              <w:rPr>
                <w:b/>
                <w:sz w:val="20"/>
                <w:szCs w:val="20"/>
              </w:rPr>
              <w:t>FY 20</w:t>
            </w:r>
            <w:r>
              <w:rPr>
                <w:b/>
                <w:sz w:val="20"/>
                <w:szCs w:val="20"/>
              </w:rPr>
              <w:t>10</w:t>
            </w:r>
          </w:p>
        </w:tc>
        <w:tc>
          <w:tcPr>
            <w:tcW w:w="1936"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6C143F" w:rsidRPr="001A0FCD" w:rsidRDefault="006C143F" w:rsidP="00635503">
            <w:pPr>
              <w:spacing w:before="100" w:beforeAutospacing="1" w:after="100" w:afterAutospacing="1"/>
              <w:jc w:val="center"/>
              <w:rPr>
                <w:rFonts w:eastAsia="Arial Unicode MS"/>
                <w:b/>
                <w:sz w:val="20"/>
                <w:szCs w:val="20"/>
              </w:rPr>
            </w:pPr>
            <w:r>
              <w:rPr>
                <w:b/>
                <w:sz w:val="20"/>
                <w:szCs w:val="20"/>
              </w:rPr>
              <w:t xml:space="preserve">FY 2011 </w:t>
            </w:r>
            <w:r w:rsidR="00635503">
              <w:rPr>
                <w:b/>
                <w:sz w:val="20"/>
                <w:szCs w:val="20"/>
              </w:rPr>
              <w:t>CR</w:t>
            </w:r>
          </w:p>
        </w:tc>
        <w:tc>
          <w:tcPr>
            <w:tcW w:w="1936"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6C143F" w:rsidRPr="00B95767" w:rsidRDefault="006C143F" w:rsidP="00FD5C2A">
            <w:pPr>
              <w:spacing w:before="100" w:beforeAutospacing="1" w:after="100" w:afterAutospacing="1"/>
              <w:jc w:val="center"/>
              <w:rPr>
                <w:rFonts w:eastAsia="Arial Unicode MS"/>
                <w:b/>
                <w:sz w:val="20"/>
                <w:szCs w:val="20"/>
              </w:rPr>
            </w:pPr>
            <w:r w:rsidRPr="00B95767">
              <w:rPr>
                <w:rFonts w:eastAsia="Arial Unicode MS"/>
                <w:b/>
                <w:sz w:val="20"/>
                <w:szCs w:val="20"/>
              </w:rPr>
              <w:t>Current S</w:t>
            </w:r>
            <w:r>
              <w:rPr>
                <w:rFonts w:eastAsia="Arial Unicode MS"/>
                <w:b/>
                <w:sz w:val="20"/>
                <w:szCs w:val="20"/>
              </w:rPr>
              <w:t>ervices Adj and FY 2012</w:t>
            </w:r>
            <w:r w:rsidRPr="00B95767">
              <w:rPr>
                <w:rFonts w:eastAsia="Arial Unicode MS"/>
                <w:b/>
                <w:sz w:val="20"/>
                <w:szCs w:val="20"/>
              </w:rPr>
              <w:t xml:space="preserve"> Program Change</w:t>
            </w:r>
          </w:p>
        </w:tc>
        <w:tc>
          <w:tcPr>
            <w:tcW w:w="2306"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center"/>
          </w:tcPr>
          <w:p w:rsidR="006C143F" w:rsidRPr="00B95767" w:rsidRDefault="006C143F" w:rsidP="00FD5C2A">
            <w:pPr>
              <w:spacing w:before="100" w:beforeAutospacing="1" w:after="100" w:afterAutospacing="1"/>
              <w:jc w:val="center"/>
              <w:rPr>
                <w:rFonts w:eastAsia="Arial Unicode MS"/>
                <w:b/>
                <w:sz w:val="20"/>
                <w:szCs w:val="20"/>
              </w:rPr>
            </w:pPr>
            <w:r>
              <w:rPr>
                <w:b/>
                <w:sz w:val="20"/>
                <w:szCs w:val="20"/>
              </w:rPr>
              <w:t>FY 2012</w:t>
            </w:r>
            <w:r w:rsidRPr="00B95767">
              <w:rPr>
                <w:b/>
                <w:sz w:val="20"/>
                <w:szCs w:val="20"/>
              </w:rPr>
              <w:t xml:space="preserve"> Request</w:t>
            </w:r>
          </w:p>
        </w:tc>
      </w:tr>
      <w:tr w:rsidR="006C143F" w:rsidRPr="00762F09" w:rsidTr="00FD5C2A">
        <w:trPr>
          <w:cantSplit/>
          <w:trHeight w:val="318"/>
        </w:trPr>
        <w:tc>
          <w:tcPr>
            <w:tcW w:w="4625" w:type="dxa"/>
            <w:gridSpan w:val="2"/>
            <w:vMerge w:val="restart"/>
            <w:tcBorders>
              <w:top w:val="single" w:sz="4" w:space="0" w:color="auto"/>
              <w:left w:val="single" w:sz="8" w:space="0" w:color="auto"/>
              <w:bottom w:val="single" w:sz="4" w:space="0" w:color="000000"/>
              <w:right w:val="single" w:sz="4" w:space="0" w:color="000000"/>
            </w:tcBorders>
            <w:tcMar>
              <w:top w:w="20" w:type="dxa"/>
              <w:left w:w="20" w:type="dxa"/>
              <w:bottom w:w="0" w:type="dxa"/>
              <w:right w:w="20" w:type="dxa"/>
            </w:tcMar>
          </w:tcPr>
          <w:p w:rsidR="006C143F" w:rsidRPr="00A13F4F" w:rsidRDefault="006C143F" w:rsidP="00FD5C2A">
            <w:pPr>
              <w:spacing w:before="100" w:beforeAutospacing="1" w:after="100" w:afterAutospacing="1"/>
              <w:ind w:left="-20"/>
              <w:rPr>
                <w:rFonts w:eastAsia="Arial Unicode MS"/>
                <w:b/>
                <w:bCs/>
                <w:color w:val="FF0000"/>
                <w:sz w:val="20"/>
                <w:szCs w:val="20"/>
              </w:rPr>
            </w:pPr>
            <w:r w:rsidRPr="00B95767">
              <w:rPr>
                <w:b/>
                <w:bCs/>
                <w:sz w:val="20"/>
                <w:szCs w:val="20"/>
              </w:rPr>
              <w:t>Total Costs and F</w:t>
            </w:r>
            <w:r w:rsidRPr="005E671B">
              <w:rPr>
                <w:b/>
                <w:bCs/>
                <w:sz w:val="20"/>
                <w:szCs w:val="20"/>
              </w:rPr>
              <w:t xml:space="preserve">TE                                                  </w:t>
            </w:r>
            <w:r w:rsidRPr="00A13F4F">
              <w:rPr>
                <w:b/>
                <w:bCs/>
                <w:color w:val="FF0000"/>
                <w:sz w:val="20"/>
                <w:szCs w:val="20"/>
              </w:rPr>
              <w:t xml:space="preserve">                                                                                                                                </w:t>
            </w:r>
          </w:p>
        </w:tc>
        <w:tc>
          <w:tcPr>
            <w:tcW w:w="774" w:type="dxa"/>
            <w:tcBorders>
              <w:top w:val="nil"/>
              <w:left w:val="nil"/>
              <w:bottom w:val="single" w:sz="4" w:space="0" w:color="auto"/>
              <w:right w:val="single" w:sz="4" w:space="0" w:color="auto"/>
            </w:tcBorders>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FTE</w:t>
            </w:r>
          </w:p>
        </w:tc>
        <w:tc>
          <w:tcPr>
            <w:tcW w:w="1398" w:type="dxa"/>
            <w:tcBorders>
              <w:top w:val="nil"/>
              <w:left w:val="nil"/>
              <w:bottom w:val="single" w:sz="4" w:space="0" w:color="auto"/>
              <w:right w:val="single" w:sz="4" w:space="0" w:color="auto"/>
            </w:tcBorders>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$000</w:t>
            </w:r>
          </w:p>
        </w:tc>
        <w:tc>
          <w:tcPr>
            <w:tcW w:w="5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FTE</w:t>
            </w:r>
          </w:p>
        </w:tc>
        <w:tc>
          <w:tcPr>
            <w:tcW w:w="120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$000</w:t>
            </w:r>
          </w:p>
        </w:tc>
        <w:tc>
          <w:tcPr>
            <w:tcW w:w="53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FTE</w:t>
            </w:r>
          </w:p>
        </w:tc>
        <w:tc>
          <w:tcPr>
            <w:tcW w:w="1398" w:type="dxa"/>
            <w:tcBorders>
              <w:top w:val="nil"/>
              <w:left w:val="nil"/>
              <w:bottom w:val="single" w:sz="4" w:space="0" w:color="auto"/>
              <w:right w:val="single" w:sz="4" w:space="0" w:color="auto"/>
            </w:tcBorders>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$000</w:t>
            </w:r>
          </w:p>
        </w:tc>
        <w:tc>
          <w:tcPr>
            <w:tcW w:w="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FTE</w:t>
            </w:r>
          </w:p>
        </w:tc>
        <w:tc>
          <w:tcPr>
            <w:tcW w:w="1355" w:type="dxa"/>
            <w:tcBorders>
              <w:top w:val="nil"/>
              <w:left w:val="nil"/>
              <w:bottom w:val="single" w:sz="4" w:space="0" w:color="auto"/>
              <w:right w:val="single" w:sz="4" w:space="0" w:color="auto"/>
            </w:tcBorders>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$000</w:t>
            </w:r>
          </w:p>
        </w:tc>
        <w:tc>
          <w:tcPr>
            <w:tcW w:w="77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FTE</w:t>
            </w:r>
          </w:p>
        </w:tc>
        <w:tc>
          <w:tcPr>
            <w:tcW w:w="1532" w:type="dxa"/>
            <w:tcBorders>
              <w:top w:val="nil"/>
              <w:left w:val="nil"/>
              <w:bottom w:val="single" w:sz="4" w:space="0" w:color="auto"/>
              <w:right w:val="single" w:sz="8" w:space="0" w:color="auto"/>
            </w:tcBorders>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sz w:val="20"/>
                <w:szCs w:val="20"/>
              </w:rPr>
            </w:pPr>
            <w:r w:rsidRPr="00B95767">
              <w:rPr>
                <w:rFonts w:eastAsia="Arial Unicode MS"/>
                <w:b/>
                <w:sz w:val="20"/>
                <w:szCs w:val="20"/>
              </w:rPr>
              <w:t>$000</w:t>
            </w:r>
          </w:p>
        </w:tc>
      </w:tr>
      <w:tr w:rsidR="006C143F" w:rsidRPr="00762F09" w:rsidTr="00FD5C2A">
        <w:trPr>
          <w:cantSplit/>
          <w:trHeight w:val="318"/>
        </w:trPr>
        <w:tc>
          <w:tcPr>
            <w:tcW w:w="4625" w:type="dxa"/>
            <w:gridSpan w:val="2"/>
            <w:vMerge/>
            <w:tcBorders>
              <w:top w:val="single" w:sz="4" w:space="0" w:color="auto"/>
              <w:left w:val="single" w:sz="8" w:space="0" w:color="auto"/>
              <w:bottom w:val="single" w:sz="4" w:space="0" w:color="000000"/>
              <w:right w:val="single" w:sz="4" w:space="0" w:color="000000"/>
            </w:tcBorders>
            <w:vAlign w:val="center"/>
          </w:tcPr>
          <w:p w:rsidR="006C143F" w:rsidRPr="00B95767" w:rsidRDefault="006C143F" w:rsidP="00FD5C2A">
            <w:pPr>
              <w:spacing w:before="100" w:beforeAutospacing="1" w:after="100" w:afterAutospacing="1"/>
              <w:rPr>
                <w:rFonts w:eastAsia="Arial Unicode MS"/>
                <w:b/>
                <w:bCs/>
                <w:sz w:val="20"/>
                <w:szCs w:val="20"/>
              </w:rPr>
            </w:pPr>
          </w:p>
        </w:tc>
        <w:tc>
          <w:tcPr>
            <w:tcW w:w="774" w:type="dxa"/>
            <w:tcBorders>
              <w:top w:val="nil"/>
              <w:left w:val="nil"/>
              <w:bottom w:val="single" w:sz="4" w:space="0" w:color="auto"/>
              <w:right w:val="nil"/>
            </w:tcBorders>
            <w:noWrap/>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rFonts w:eastAsia="Arial Unicode MS"/>
                <w:b/>
                <w:bCs/>
                <w:sz w:val="20"/>
                <w:szCs w:val="20"/>
              </w:rPr>
              <w:t>90</w:t>
            </w:r>
          </w:p>
        </w:tc>
        <w:tc>
          <w:tcPr>
            <w:tcW w:w="139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Pr>
                <w:rFonts w:eastAsia="Arial Unicode MS"/>
                <w:b/>
                <w:bCs/>
                <w:sz w:val="20"/>
                <w:szCs w:val="20"/>
              </w:rPr>
              <w:t>$22,295</w:t>
            </w:r>
          </w:p>
        </w:tc>
        <w:tc>
          <w:tcPr>
            <w:tcW w:w="538"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6C143F" w:rsidRPr="00A0222C" w:rsidRDefault="006C143F" w:rsidP="00FD5C2A">
            <w:pPr>
              <w:spacing w:before="100" w:beforeAutospacing="1" w:after="100" w:afterAutospacing="1"/>
              <w:jc w:val="center"/>
              <w:rPr>
                <w:rFonts w:eastAsia="Arial Unicode MS"/>
                <w:b/>
                <w:bCs/>
                <w:sz w:val="20"/>
                <w:szCs w:val="20"/>
              </w:rPr>
            </w:pPr>
            <w:r w:rsidRPr="00A0222C">
              <w:rPr>
                <w:rFonts w:eastAsia="Arial Unicode MS"/>
                <w:b/>
                <w:bCs/>
                <w:sz w:val="20"/>
                <w:szCs w:val="20"/>
              </w:rPr>
              <w:t>90</w:t>
            </w:r>
          </w:p>
        </w:tc>
        <w:tc>
          <w:tcPr>
            <w:tcW w:w="12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C143F" w:rsidRPr="00A0222C" w:rsidRDefault="006C143F" w:rsidP="00FD5C2A">
            <w:pPr>
              <w:spacing w:before="100" w:beforeAutospacing="1" w:after="100" w:afterAutospacing="1"/>
              <w:jc w:val="center"/>
              <w:rPr>
                <w:rFonts w:eastAsia="Arial Unicode MS"/>
                <w:b/>
                <w:bCs/>
                <w:sz w:val="20"/>
                <w:szCs w:val="20"/>
              </w:rPr>
            </w:pPr>
            <w:r w:rsidRPr="00A0222C">
              <w:rPr>
                <w:rFonts w:eastAsia="Arial Unicode MS"/>
                <w:b/>
                <w:bCs/>
                <w:sz w:val="20"/>
                <w:szCs w:val="20"/>
              </w:rPr>
              <w:t>$</w:t>
            </w:r>
            <w:r>
              <w:rPr>
                <w:rFonts w:eastAsia="Arial Unicode MS"/>
                <w:b/>
                <w:bCs/>
                <w:sz w:val="20"/>
                <w:szCs w:val="20"/>
              </w:rPr>
              <w:t>22,295</w:t>
            </w:r>
          </w:p>
        </w:tc>
        <w:tc>
          <w:tcPr>
            <w:tcW w:w="53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rFonts w:eastAsia="Arial Unicode MS"/>
                <w:b/>
                <w:bCs/>
                <w:sz w:val="20"/>
                <w:szCs w:val="20"/>
              </w:rPr>
              <w:t>90</w:t>
            </w:r>
          </w:p>
        </w:tc>
        <w:tc>
          <w:tcPr>
            <w:tcW w:w="139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C143F" w:rsidRPr="00B95767" w:rsidRDefault="006C143F" w:rsidP="00635503">
            <w:pPr>
              <w:spacing w:before="100" w:beforeAutospacing="1" w:after="100" w:afterAutospacing="1"/>
              <w:jc w:val="center"/>
              <w:rPr>
                <w:rFonts w:eastAsia="Arial Unicode MS"/>
                <w:b/>
                <w:bCs/>
                <w:sz w:val="20"/>
                <w:szCs w:val="20"/>
              </w:rPr>
            </w:pPr>
            <w:r w:rsidRPr="00B95767">
              <w:rPr>
                <w:rFonts w:eastAsia="Arial Unicode MS"/>
                <w:b/>
                <w:bCs/>
                <w:sz w:val="20"/>
                <w:szCs w:val="20"/>
              </w:rPr>
              <w:t>$</w:t>
            </w:r>
            <w:r w:rsidR="00635503">
              <w:rPr>
                <w:rFonts w:eastAsia="Arial Unicode MS"/>
                <w:b/>
                <w:bCs/>
                <w:sz w:val="20"/>
                <w:szCs w:val="20"/>
              </w:rPr>
              <w:t>22</w:t>
            </w:r>
            <w:r>
              <w:rPr>
                <w:rFonts w:eastAsia="Arial Unicode MS"/>
                <w:b/>
                <w:bCs/>
                <w:sz w:val="20"/>
                <w:szCs w:val="20"/>
              </w:rPr>
              <w:t>,</w:t>
            </w:r>
            <w:r w:rsidR="00635503">
              <w:rPr>
                <w:rFonts w:eastAsia="Arial Unicode MS"/>
                <w:b/>
                <w:bCs/>
                <w:sz w:val="20"/>
                <w:szCs w:val="20"/>
              </w:rPr>
              <w:t>295</w:t>
            </w:r>
          </w:p>
        </w:tc>
        <w:tc>
          <w:tcPr>
            <w:tcW w:w="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C143F" w:rsidRPr="00A0222C" w:rsidRDefault="005D2E68" w:rsidP="00FD5C2A">
            <w:pPr>
              <w:spacing w:before="100" w:beforeAutospacing="1" w:after="100" w:afterAutospacing="1"/>
              <w:jc w:val="center"/>
              <w:rPr>
                <w:rFonts w:eastAsia="Arial Unicode MS"/>
                <w:b/>
                <w:bCs/>
                <w:sz w:val="20"/>
                <w:szCs w:val="20"/>
              </w:rPr>
            </w:pPr>
            <w:r>
              <w:rPr>
                <w:rFonts w:eastAsia="Arial Unicode MS"/>
                <w:b/>
                <w:bCs/>
                <w:sz w:val="20"/>
                <w:szCs w:val="20"/>
              </w:rPr>
              <w:t>0</w:t>
            </w:r>
          </w:p>
        </w:tc>
        <w:tc>
          <w:tcPr>
            <w:tcW w:w="13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C143F" w:rsidRPr="00A0222C" w:rsidRDefault="005D2E68" w:rsidP="00735773">
            <w:pPr>
              <w:spacing w:before="100" w:beforeAutospacing="1" w:after="100" w:afterAutospacing="1"/>
              <w:jc w:val="center"/>
              <w:rPr>
                <w:rFonts w:eastAsia="Arial Unicode MS"/>
                <w:b/>
                <w:bCs/>
                <w:sz w:val="20"/>
                <w:szCs w:val="20"/>
              </w:rPr>
            </w:pPr>
            <w:r>
              <w:rPr>
                <w:rFonts w:eastAsia="Arial Unicode MS"/>
                <w:b/>
                <w:bCs/>
                <w:sz w:val="20"/>
                <w:szCs w:val="20"/>
              </w:rPr>
              <w:t>$</w:t>
            </w:r>
            <w:r w:rsidR="003E4275">
              <w:rPr>
                <w:rFonts w:eastAsia="Arial Unicode MS"/>
                <w:b/>
                <w:bCs/>
                <w:sz w:val="20"/>
                <w:szCs w:val="20"/>
              </w:rPr>
              <w:t>6</w:t>
            </w:r>
            <w:r w:rsidR="00735773">
              <w:rPr>
                <w:rFonts w:eastAsia="Arial Unicode MS"/>
                <w:b/>
                <w:bCs/>
                <w:sz w:val="20"/>
                <w:szCs w:val="20"/>
              </w:rPr>
              <w:t>49</w:t>
            </w:r>
          </w:p>
        </w:tc>
        <w:tc>
          <w:tcPr>
            <w:tcW w:w="77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C143F" w:rsidRPr="00A0222C" w:rsidRDefault="00E90EA9" w:rsidP="00E90EA9">
            <w:pPr>
              <w:spacing w:before="100" w:beforeAutospacing="1" w:after="100" w:afterAutospacing="1"/>
              <w:jc w:val="center"/>
              <w:rPr>
                <w:rFonts w:eastAsia="Arial Unicode MS"/>
                <w:b/>
                <w:bCs/>
                <w:sz w:val="20"/>
                <w:szCs w:val="20"/>
              </w:rPr>
            </w:pPr>
            <w:r>
              <w:rPr>
                <w:rFonts w:eastAsia="Arial Unicode MS"/>
                <w:b/>
                <w:bCs/>
                <w:sz w:val="20"/>
                <w:szCs w:val="20"/>
              </w:rPr>
              <w:t>90</w:t>
            </w:r>
          </w:p>
        </w:tc>
        <w:tc>
          <w:tcPr>
            <w:tcW w:w="153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6C143F" w:rsidRPr="00A0222C" w:rsidRDefault="006C143F" w:rsidP="003E4275">
            <w:pPr>
              <w:spacing w:before="100" w:beforeAutospacing="1" w:after="100" w:afterAutospacing="1"/>
              <w:jc w:val="center"/>
              <w:rPr>
                <w:rFonts w:eastAsia="Arial Unicode MS"/>
                <w:b/>
                <w:sz w:val="20"/>
                <w:szCs w:val="20"/>
              </w:rPr>
            </w:pPr>
            <w:r w:rsidRPr="00A0222C">
              <w:rPr>
                <w:rFonts w:eastAsia="Arial Unicode MS"/>
                <w:b/>
                <w:sz w:val="20"/>
                <w:szCs w:val="20"/>
              </w:rPr>
              <w:t>$</w:t>
            </w:r>
            <w:r w:rsidR="003E4275">
              <w:rPr>
                <w:rFonts w:eastAsia="Arial Unicode MS"/>
                <w:b/>
                <w:sz w:val="20"/>
                <w:szCs w:val="20"/>
              </w:rPr>
              <w:t>22</w:t>
            </w:r>
            <w:r w:rsidR="00E16969">
              <w:rPr>
                <w:rFonts w:eastAsia="Arial Unicode MS"/>
                <w:b/>
                <w:sz w:val="20"/>
                <w:szCs w:val="20"/>
              </w:rPr>
              <w:t>,</w:t>
            </w:r>
            <w:r w:rsidR="003E4275">
              <w:rPr>
                <w:rFonts w:eastAsia="Arial Unicode MS"/>
                <w:b/>
                <w:sz w:val="20"/>
                <w:szCs w:val="20"/>
              </w:rPr>
              <w:t>9</w:t>
            </w:r>
            <w:r w:rsidR="00735773">
              <w:rPr>
                <w:rFonts w:eastAsia="Arial Unicode MS"/>
                <w:b/>
                <w:sz w:val="20"/>
                <w:szCs w:val="20"/>
              </w:rPr>
              <w:t>44</w:t>
            </w:r>
          </w:p>
        </w:tc>
      </w:tr>
      <w:tr w:rsidR="006C143F" w:rsidRPr="00762F09" w:rsidTr="00FD5C2A">
        <w:trPr>
          <w:cantSplit/>
          <w:trHeight w:val="406"/>
        </w:trPr>
        <w:tc>
          <w:tcPr>
            <w:tcW w:w="1915" w:type="dxa"/>
            <w:vMerge w:val="restart"/>
            <w:tcBorders>
              <w:top w:val="nil"/>
              <w:left w:val="single" w:sz="8" w:space="0" w:color="auto"/>
              <w:bottom w:val="nil"/>
              <w:right w:val="nil"/>
            </w:tcBorders>
            <w:tcMar>
              <w:top w:w="20" w:type="dxa"/>
              <w:left w:w="20" w:type="dxa"/>
              <w:bottom w:w="0" w:type="dxa"/>
              <w:right w:w="20" w:type="dxa"/>
            </w:tcMar>
            <w:vAlign w:val="center"/>
          </w:tcPr>
          <w:p w:rsidR="006C143F" w:rsidRPr="00B95767" w:rsidRDefault="006C143F" w:rsidP="00FD5C2A">
            <w:pPr>
              <w:spacing w:before="100" w:beforeAutospacing="1" w:after="100" w:afterAutospacing="1"/>
              <w:rPr>
                <w:rFonts w:eastAsia="Arial Unicode MS"/>
                <w:b/>
                <w:bCs/>
                <w:sz w:val="20"/>
                <w:szCs w:val="20"/>
              </w:rPr>
            </w:pPr>
            <w:r w:rsidRPr="00B95767">
              <w:rPr>
                <w:b/>
                <w:bCs/>
                <w:sz w:val="20"/>
                <w:szCs w:val="20"/>
              </w:rPr>
              <w:t>Program Activity</w:t>
            </w:r>
          </w:p>
        </w:tc>
        <w:tc>
          <w:tcPr>
            <w:tcW w:w="2710" w:type="dxa"/>
            <w:vMerge w:val="restart"/>
            <w:tcBorders>
              <w:top w:val="nil"/>
              <w:left w:val="single" w:sz="4" w:space="0" w:color="auto"/>
              <w:bottom w:val="nil"/>
              <w:right w:val="single" w:sz="4" w:space="0" w:color="auto"/>
            </w:tcBorders>
            <w:tcMar>
              <w:top w:w="20" w:type="dxa"/>
              <w:left w:w="20" w:type="dxa"/>
              <w:bottom w:w="0" w:type="dxa"/>
              <w:right w:w="20" w:type="dxa"/>
            </w:tcMar>
            <w:vAlign w:val="center"/>
          </w:tcPr>
          <w:p w:rsidR="006C143F" w:rsidRPr="00B95767" w:rsidRDefault="006C143F" w:rsidP="00FD5C2A">
            <w:pPr>
              <w:spacing w:before="100" w:beforeAutospacing="1" w:after="100" w:afterAutospacing="1"/>
              <w:rPr>
                <w:rFonts w:eastAsia="Arial Unicode MS"/>
                <w:b/>
                <w:bCs/>
                <w:sz w:val="20"/>
                <w:szCs w:val="20"/>
              </w:rPr>
            </w:pPr>
            <w:r w:rsidRPr="00B95767">
              <w:rPr>
                <w:b/>
                <w:bCs/>
                <w:sz w:val="20"/>
                <w:szCs w:val="20"/>
              </w:rPr>
              <w:t>Criminal investigations</w:t>
            </w:r>
          </w:p>
        </w:tc>
        <w:tc>
          <w:tcPr>
            <w:tcW w:w="774" w:type="dxa"/>
            <w:tcBorders>
              <w:top w:val="nil"/>
              <w:left w:val="nil"/>
              <w:bottom w:val="single" w:sz="4" w:space="0" w:color="auto"/>
              <w:right w:val="single" w:sz="4" w:space="0" w:color="auto"/>
            </w:tcBorders>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FTE</w:t>
            </w:r>
          </w:p>
        </w:tc>
        <w:tc>
          <w:tcPr>
            <w:tcW w:w="1398" w:type="dxa"/>
            <w:tcBorders>
              <w:top w:val="nil"/>
              <w:left w:val="nil"/>
              <w:bottom w:val="single" w:sz="4" w:space="0" w:color="auto"/>
              <w:right w:val="single" w:sz="4" w:space="0" w:color="auto"/>
            </w:tcBorders>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$000</w:t>
            </w:r>
          </w:p>
        </w:tc>
        <w:tc>
          <w:tcPr>
            <w:tcW w:w="5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FTE</w:t>
            </w:r>
          </w:p>
        </w:tc>
        <w:tc>
          <w:tcPr>
            <w:tcW w:w="120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$000</w:t>
            </w:r>
          </w:p>
        </w:tc>
        <w:tc>
          <w:tcPr>
            <w:tcW w:w="5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FTE</w:t>
            </w:r>
          </w:p>
        </w:tc>
        <w:tc>
          <w:tcPr>
            <w:tcW w:w="13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$000</w:t>
            </w:r>
          </w:p>
        </w:tc>
        <w:tc>
          <w:tcPr>
            <w:tcW w:w="5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FTE</w:t>
            </w:r>
          </w:p>
        </w:tc>
        <w:tc>
          <w:tcPr>
            <w:tcW w:w="13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$000</w:t>
            </w:r>
          </w:p>
        </w:tc>
        <w:tc>
          <w:tcPr>
            <w:tcW w:w="774" w:type="dxa"/>
            <w:tcBorders>
              <w:top w:val="single" w:sz="8" w:space="0" w:color="auto"/>
              <w:left w:val="nil"/>
              <w:bottom w:val="single" w:sz="4" w:space="0" w:color="auto"/>
              <w:right w:val="single" w:sz="8" w:space="0" w:color="auto"/>
            </w:tcBorders>
            <w:noWrap/>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b/>
                <w:bCs/>
                <w:sz w:val="20"/>
                <w:szCs w:val="20"/>
              </w:rPr>
              <w:t>FTE</w:t>
            </w:r>
          </w:p>
        </w:tc>
        <w:tc>
          <w:tcPr>
            <w:tcW w:w="1532"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sz w:val="20"/>
                <w:szCs w:val="20"/>
              </w:rPr>
            </w:pPr>
            <w:r w:rsidRPr="00B95767">
              <w:rPr>
                <w:rFonts w:eastAsia="Arial Unicode MS"/>
                <w:b/>
                <w:sz w:val="20"/>
                <w:szCs w:val="20"/>
              </w:rPr>
              <w:t>$000</w:t>
            </w:r>
          </w:p>
        </w:tc>
      </w:tr>
      <w:tr w:rsidR="006C143F" w:rsidRPr="00762F09" w:rsidTr="00FD5C2A">
        <w:trPr>
          <w:cantSplit/>
          <w:trHeight w:val="318"/>
        </w:trPr>
        <w:tc>
          <w:tcPr>
            <w:tcW w:w="1915" w:type="dxa"/>
            <w:vMerge/>
            <w:tcBorders>
              <w:top w:val="nil"/>
              <w:left w:val="single" w:sz="8" w:space="0" w:color="auto"/>
              <w:bottom w:val="single" w:sz="4" w:space="0" w:color="auto"/>
              <w:right w:val="nil"/>
            </w:tcBorders>
            <w:vAlign w:val="center"/>
          </w:tcPr>
          <w:p w:rsidR="006C143F" w:rsidRPr="00B95767" w:rsidRDefault="006C143F" w:rsidP="00FD5C2A">
            <w:pPr>
              <w:spacing w:before="100" w:beforeAutospacing="1" w:after="100" w:afterAutospacing="1"/>
              <w:rPr>
                <w:rFonts w:eastAsia="Arial Unicode MS"/>
                <w:b/>
                <w:bCs/>
                <w:sz w:val="20"/>
                <w:szCs w:val="20"/>
              </w:rPr>
            </w:pPr>
          </w:p>
        </w:tc>
        <w:tc>
          <w:tcPr>
            <w:tcW w:w="2710" w:type="dxa"/>
            <w:vMerge/>
            <w:tcBorders>
              <w:top w:val="nil"/>
              <w:left w:val="single" w:sz="4" w:space="0" w:color="auto"/>
              <w:bottom w:val="single" w:sz="4" w:space="0" w:color="auto"/>
              <w:right w:val="single" w:sz="4" w:space="0" w:color="auto"/>
            </w:tcBorders>
            <w:vAlign w:val="center"/>
          </w:tcPr>
          <w:p w:rsidR="006C143F" w:rsidRPr="00B95767" w:rsidRDefault="006C143F" w:rsidP="00FD5C2A">
            <w:pPr>
              <w:spacing w:before="100" w:beforeAutospacing="1" w:after="100" w:afterAutospacing="1"/>
              <w:rPr>
                <w:rFonts w:eastAsia="Arial Unicode MS"/>
                <w:b/>
                <w:bCs/>
                <w:sz w:val="20"/>
                <w:szCs w:val="20"/>
              </w:rPr>
            </w:pPr>
          </w:p>
        </w:tc>
        <w:tc>
          <w:tcPr>
            <w:tcW w:w="774" w:type="dxa"/>
            <w:tcBorders>
              <w:top w:val="nil"/>
              <w:left w:val="nil"/>
              <w:bottom w:val="single" w:sz="4" w:space="0" w:color="auto"/>
              <w:right w:val="nil"/>
            </w:tcBorders>
            <w:noWrap/>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rFonts w:eastAsia="Arial Unicode MS"/>
                <w:b/>
                <w:bCs/>
                <w:sz w:val="20"/>
                <w:szCs w:val="20"/>
              </w:rPr>
              <w:t>90</w:t>
            </w:r>
          </w:p>
        </w:tc>
        <w:tc>
          <w:tcPr>
            <w:tcW w:w="139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Pr>
                <w:rFonts w:eastAsia="Arial Unicode MS"/>
                <w:b/>
                <w:bCs/>
                <w:sz w:val="20"/>
                <w:szCs w:val="20"/>
              </w:rPr>
              <w:t>$22,295</w:t>
            </w:r>
          </w:p>
        </w:tc>
        <w:tc>
          <w:tcPr>
            <w:tcW w:w="538"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6C143F" w:rsidRPr="00A0222C" w:rsidRDefault="006C143F" w:rsidP="00FD5C2A">
            <w:pPr>
              <w:spacing w:before="100" w:beforeAutospacing="1" w:after="100" w:afterAutospacing="1"/>
              <w:jc w:val="center"/>
              <w:rPr>
                <w:rFonts w:eastAsia="Arial Unicode MS"/>
                <w:b/>
                <w:bCs/>
                <w:sz w:val="20"/>
                <w:szCs w:val="20"/>
              </w:rPr>
            </w:pPr>
            <w:r w:rsidRPr="00A0222C">
              <w:rPr>
                <w:rFonts w:eastAsia="Arial Unicode MS"/>
                <w:b/>
                <w:bCs/>
                <w:sz w:val="20"/>
                <w:szCs w:val="20"/>
              </w:rPr>
              <w:t>90</w:t>
            </w:r>
          </w:p>
        </w:tc>
        <w:tc>
          <w:tcPr>
            <w:tcW w:w="12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C143F" w:rsidRPr="00A0222C" w:rsidRDefault="006C143F" w:rsidP="00FD5C2A">
            <w:pPr>
              <w:spacing w:before="100" w:beforeAutospacing="1" w:after="100" w:afterAutospacing="1"/>
              <w:jc w:val="center"/>
              <w:rPr>
                <w:rFonts w:eastAsia="Arial Unicode MS"/>
                <w:b/>
                <w:bCs/>
                <w:sz w:val="20"/>
                <w:szCs w:val="20"/>
              </w:rPr>
            </w:pPr>
            <w:r w:rsidRPr="00A0222C">
              <w:rPr>
                <w:rFonts w:eastAsia="Arial Unicode MS"/>
                <w:b/>
                <w:bCs/>
                <w:sz w:val="20"/>
                <w:szCs w:val="20"/>
              </w:rPr>
              <w:t>$</w:t>
            </w:r>
            <w:r>
              <w:rPr>
                <w:rFonts w:eastAsia="Arial Unicode MS"/>
                <w:b/>
                <w:bCs/>
                <w:sz w:val="20"/>
                <w:szCs w:val="20"/>
              </w:rPr>
              <w:t>22,295</w:t>
            </w:r>
          </w:p>
        </w:tc>
        <w:tc>
          <w:tcPr>
            <w:tcW w:w="53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C143F" w:rsidRPr="00B95767" w:rsidRDefault="006C143F" w:rsidP="00FD5C2A">
            <w:pPr>
              <w:spacing w:before="100" w:beforeAutospacing="1" w:after="100" w:afterAutospacing="1"/>
              <w:jc w:val="center"/>
              <w:rPr>
                <w:rFonts w:eastAsia="Arial Unicode MS"/>
                <w:b/>
                <w:bCs/>
                <w:sz w:val="20"/>
                <w:szCs w:val="20"/>
              </w:rPr>
            </w:pPr>
            <w:r w:rsidRPr="00B95767">
              <w:rPr>
                <w:rFonts w:eastAsia="Arial Unicode MS"/>
                <w:b/>
                <w:bCs/>
                <w:sz w:val="20"/>
                <w:szCs w:val="20"/>
              </w:rPr>
              <w:t>90</w:t>
            </w:r>
          </w:p>
        </w:tc>
        <w:tc>
          <w:tcPr>
            <w:tcW w:w="139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C143F" w:rsidRPr="00B95767" w:rsidRDefault="006C143F" w:rsidP="00635503">
            <w:pPr>
              <w:spacing w:before="100" w:beforeAutospacing="1" w:after="100" w:afterAutospacing="1"/>
              <w:jc w:val="center"/>
              <w:rPr>
                <w:rFonts w:eastAsia="Arial Unicode MS"/>
                <w:b/>
                <w:bCs/>
                <w:sz w:val="20"/>
                <w:szCs w:val="20"/>
              </w:rPr>
            </w:pPr>
            <w:r>
              <w:rPr>
                <w:rFonts w:eastAsia="Arial Unicode MS"/>
                <w:b/>
                <w:bCs/>
                <w:sz w:val="20"/>
                <w:szCs w:val="20"/>
              </w:rPr>
              <w:t>$</w:t>
            </w:r>
            <w:r w:rsidR="00635503">
              <w:rPr>
                <w:rFonts w:eastAsia="Arial Unicode MS"/>
                <w:b/>
                <w:bCs/>
                <w:sz w:val="20"/>
                <w:szCs w:val="20"/>
              </w:rPr>
              <w:t>22</w:t>
            </w:r>
            <w:r>
              <w:rPr>
                <w:rFonts w:eastAsia="Arial Unicode MS"/>
                <w:b/>
                <w:bCs/>
                <w:sz w:val="20"/>
                <w:szCs w:val="20"/>
              </w:rPr>
              <w:t>,</w:t>
            </w:r>
            <w:r w:rsidR="00635503">
              <w:rPr>
                <w:rFonts w:eastAsia="Arial Unicode MS"/>
                <w:b/>
                <w:bCs/>
                <w:sz w:val="20"/>
                <w:szCs w:val="20"/>
              </w:rPr>
              <w:t>295</w:t>
            </w:r>
          </w:p>
        </w:tc>
        <w:tc>
          <w:tcPr>
            <w:tcW w:w="5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C143F" w:rsidRPr="00A0222C" w:rsidRDefault="005D2E68" w:rsidP="00FD5C2A">
            <w:pPr>
              <w:spacing w:before="100" w:beforeAutospacing="1" w:after="100" w:afterAutospacing="1"/>
              <w:jc w:val="center"/>
              <w:rPr>
                <w:rFonts w:eastAsia="Arial Unicode MS"/>
                <w:b/>
                <w:bCs/>
                <w:sz w:val="20"/>
                <w:szCs w:val="20"/>
              </w:rPr>
            </w:pPr>
            <w:r>
              <w:rPr>
                <w:rFonts w:eastAsia="Arial Unicode MS"/>
                <w:b/>
                <w:bCs/>
                <w:sz w:val="20"/>
                <w:szCs w:val="20"/>
              </w:rPr>
              <w:t>0</w:t>
            </w:r>
          </w:p>
        </w:tc>
        <w:tc>
          <w:tcPr>
            <w:tcW w:w="13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6C143F" w:rsidRPr="00A0222C" w:rsidRDefault="006C143F" w:rsidP="00735773">
            <w:pPr>
              <w:spacing w:before="100" w:beforeAutospacing="1" w:after="100" w:afterAutospacing="1"/>
              <w:jc w:val="center"/>
              <w:rPr>
                <w:rFonts w:eastAsia="Arial Unicode MS"/>
                <w:b/>
                <w:bCs/>
                <w:sz w:val="20"/>
                <w:szCs w:val="20"/>
              </w:rPr>
            </w:pPr>
            <w:r w:rsidRPr="00A0222C">
              <w:rPr>
                <w:rFonts w:eastAsia="Arial Unicode MS"/>
                <w:b/>
                <w:bCs/>
                <w:sz w:val="20"/>
                <w:szCs w:val="20"/>
              </w:rPr>
              <w:t>$</w:t>
            </w:r>
            <w:r w:rsidR="00635503">
              <w:rPr>
                <w:rFonts w:eastAsia="Arial Unicode MS"/>
                <w:b/>
                <w:bCs/>
                <w:sz w:val="20"/>
                <w:szCs w:val="20"/>
              </w:rPr>
              <w:t>6</w:t>
            </w:r>
            <w:r w:rsidR="00735773">
              <w:rPr>
                <w:rFonts w:eastAsia="Arial Unicode MS"/>
                <w:b/>
                <w:bCs/>
                <w:sz w:val="20"/>
                <w:szCs w:val="20"/>
              </w:rPr>
              <w:t>49</w:t>
            </w:r>
          </w:p>
        </w:tc>
        <w:tc>
          <w:tcPr>
            <w:tcW w:w="77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C143F" w:rsidRPr="00A0222C" w:rsidRDefault="00E90EA9" w:rsidP="00E90EA9">
            <w:pPr>
              <w:spacing w:before="100" w:beforeAutospacing="1" w:after="100" w:afterAutospacing="1"/>
              <w:jc w:val="center"/>
              <w:rPr>
                <w:rFonts w:eastAsia="Arial Unicode MS"/>
                <w:b/>
                <w:bCs/>
                <w:sz w:val="20"/>
                <w:szCs w:val="20"/>
              </w:rPr>
            </w:pPr>
            <w:r>
              <w:rPr>
                <w:rFonts w:eastAsia="Arial Unicode MS"/>
                <w:b/>
                <w:bCs/>
                <w:sz w:val="20"/>
                <w:szCs w:val="20"/>
              </w:rPr>
              <w:t>90</w:t>
            </w:r>
          </w:p>
        </w:tc>
        <w:tc>
          <w:tcPr>
            <w:tcW w:w="1532" w:type="dxa"/>
            <w:tcBorders>
              <w:top w:val="nil"/>
              <w:left w:val="single" w:sz="4" w:space="0" w:color="auto"/>
              <w:bottom w:val="single" w:sz="4" w:space="0" w:color="auto"/>
              <w:right w:val="single" w:sz="8" w:space="0" w:color="auto"/>
            </w:tcBorders>
            <w:tcMar>
              <w:top w:w="20" w:type="dxa"/>
              <w:left w:w="20" w:type="dxa"/>
              <w:bottom w:w="0" w:type="dxa"/>
              <w:right w:w="20" w:type="dxa"/>
            </w:tcMar>
            <w:vAlign w:val="bottom"/>
          </w:tcPr>
          <w:p w:rsidR="006C143F" w:rsidRPr="005834F0" w:rsidRDefault="006C143F" w:rsidP="003E4275">
            <w:pPr>
              <w:spacing w:before="100" w:beforeAutospacing="1" w:after="100" w:afterAutospacing="1"/>
              <w:jc w:val="center"/>
              <w:rPr>
                <w:rFonts w:eastAsia="Arial Unicode MS"/>
                <w:b/>
                <w:sz w:val="20"/>
                <w:szCs w:val="20"/>
                <w:highlight w:val="yellow"/>
              </w:rPr>
            </w:pPr>
            <w:r w:rsidRPr="00A0222C">
              <w:rPr>
                <w:rFonts w:eastAsia="Arial Unicode MS"/>
                <w:b/>
                <w:sz w:val="20"/>
                <w:szCs w:val="20"/>
              </w:rPr>
              <w:t>$</w:t>
            </w:r>
            <w:r w:rsidR="003E4275">
              <w:rPr>
                <w:rFonts w:eastAsia="Arial Unicode MS"/>
                <w:b/>
                <w:sz w:val="20"/>
                <w:szCs w:val="20"/>
              </w:rPr>
              <w:t>22</w:t>
            </w:r>
            <w:r w:rsidR="00E16969">
              <w:rPr>
                <w:rFonts w:eastAsia="Arial Unicode MS"/>
                <w:b/>
                <w:sz w:val="20"/>
                <w:szCs w:val="20"/>
              </w:rPr>
              <w:t>,</w:t>
            </w:r>
            <w:r w:rsidR="003E4275">
              <w:rPr>
                <w:rFonts w:eastAsia="Arial Unicode MS"/>
                <w:b/>
                <w:sz w:val="20"/>
                <w:szCs w:val="20"/>
              </w:rPr>
              <w:t>9</w:t>
            </w:r>
            <w:r w:rsidR="00735773">
              <w:rPr>
                <w:rFonts w:eastAsia="Arial Unicode MS"/>
                <w:b/>
                <w:sz w:val="20"/>
                <w:szCs w:val="20"/>
              </w:rPr>
              <w:t>44</w:t>
            </w:r>
          </w:p>
        </w:tc>
      </w:tr>
      <w:tr w:rsidR="006C143F" w:rsidRPr="00762F09" w:rsidTr="00FD5C2A">
        <w:trPr>
          <w:trHeight w:val="411"/>
        </w:trPr>
        <w:tc>
          <w:tcPr>
            <w:tcW w:w="1915"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6C143F" w:rsidRPr="00B95767" w:rsidRDefault="006C143F" w:rsidP="00FD5C2A">
            <w:pPr>
              <w:spacing w:before="100" w:beforeAutospacing="1" w:after="100" w:afterAutospacing="1"/>
              <w:jc w:val="center"/>
              <w:rPr>
                <w:bCs/>
                <w:sz w:val="20"/>
                <w:szCs w:val="20"/>
              </w:rPr>
            </w:pPr>
            <w:r>
              <w:rPr>
                <w:bCs/>
                <w:sz w:val="20"/>
                <w:szCs w:val="20"/>
              </w:rPr>
              <w:t>OUTCOME  Measure</w:t>
            </w:r>
          </w:p>
        </w:tc>
        <w:tc>
          <w:tcPr>
            <w:tcW w:w="2710"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6C143F" w:rsidRPr="00B95767" w:rsidRDefault="006C143F" w:rsidP="00AE635A">
            <w:pPr>
              <w:spacing w:before="100" w:beforeAutospacing="1" w:after="100" w:afterAutospacing="1"/>
              <w:rPr>
                <w:sz w:val="20"/>
                <w:szCs w:val="20"/>
              </w:rPr>
            </w:pPr>
            <w:r>
              <w:rPr>
                <w:sz w:val="20"/>
                <w:szCs w:val="20"/>
              </w:rPr>
              <w:t>Reduce the loss of tax revenues caused by contraband alcohol and tobacco trafficking</w:t>
            </w:r>
          </w:p>
        </w:tc>
        <w:tc>
          <w:tcPr>
            <w:tcW w:w="2172" w:type="dxa"/>
            <w:gridSpan w:val="2"/>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rsidR="006C143F" w:rsidRPr="00B95767" w:rsidRDefault="006C143F" w:rsidP="00FD5C2A">
            <w:pPr>
              <w:spacing w:before="100" w:beforeAutospacing="1" w:after="100" w:afterAutospacing="1"/>
              <w:jc w:val="center"/>
              <w:rPr>
                <w:rFonts w:eastAsia="Arial Unicode MS"/>
                <w:sz w:val="20"/>
                <w:szCs w:val="20"/>
              </w:rPr>
            </w:pPr>
            <w:r>
              <w:rPr>
                <w:rFonts w:eastAsia="Arial Unicode MS"/>
                <w:sz w:val="20"/>
                <w:szCs w:val="20"/>
              </w:rPr>
              <w:t>N/A</w:t>
            </w:r>
          </w:p>
        </w:tc>
        <w:tc>
          <w:tcPr>
            <w:tcW w:w="1743" w:type="dxa"/>
            <w:gridSpan w:val="2"/>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rsidR="006C143F" w:rsidRPr="00A0222C" w:rsidRDefault="00AE635A" w:rsidP="0031497B">
            <w:pPr>
              <w:spacing w:before="100" w:beforeAutospacing="1" w:after="100" w:afterAutospacing="1"/>
              <w:jc w:val="center"/>
              <w:rPr>
                <w:rFonts w:eastAsia="Arial Unicode MS"/>
                <w:sz w:val="20"/>
                <w:szCs w:val="20"/>
              </w:rPr>
            </w:pPr>
            <w:r>
              <w:rPr>
                <w:rFonts w:eastAsia="Arial Unicode MS"/>
                <w:sz w:val="20"/>
                <w:szCs w:val="20"/>
              </w:rPr>
              <w:t>98</w:t>
            </w:r>
            <w:r w:rsidR="00366A78">
              <w:rPr>
                <w:rFonts w:eastAsia="Arial Unicode MS"/>
                <w:sz w:val="20"/>
                <w:szCs w:val="20"/>
              </w:rPr>
              <w:t>.6</w:t>
            </w:r>
          </w:p>
        </w:tc>
        <w:tc>
          <w:tcPr>
            <w:tcW w:w="1936" w:type="dxa"/>
            <w:gridSpan w:val="2"/>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rsidR="006C143F" w:rsidRDefault="000603C2" w:rsidP="0031497B">
            <w:pPr>
              <w:spacing w:before="100" w:beforeAutospacing="1" w:after="100" w:afterAutospacing="1"/>
              <w:jc w:val="center"/>
              <w:rPr>
                <w:rFonts w:eastAsia="Arial Unicode MS"/>
                <w:sz w:val="20"/>
                <w:szCs w:val="20"/>
              </w:rPr>
            </w:pPr>
            <w:r>
              <w:rPr>
                <w:rFonts w:eastAsia="Arial Unicode MS"/>
                <w:sz w:val="20"/>
                <w:szCs w:val="20"/>
              </w:rPr>
              <w:t>96</w:t>
            </w:r>
          </w:p>
        </w:tc>
        <w:tc>
          <w:tcPr>
            <w:tcW w:w="1936" w:type="dxa"/>
            <w:gridSpan w:val="2"/>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rsidR="006C143F" w:rsidRPr="00A0222C" w:rsidRDefault="0031497B" w:rsidP="0031497B">
            <w:pPr>
              <w:spacing w:before="100" w:beforeAutospacing="1" w:after="100" w:afterAutospacing="1"/>
              <w:jc w:val="center"/>
              <w:rPr>
                <w:rFonts w:eastAsia="Arial Unicode MS"/>
                <w:sz w:val="20"/>
                <w:szCs w:val="20"/>
              </w:rPr>
            </w:pPr>
            <w:r>
              <w:rPr>
                <w:rFonts w:eastAsia="Arial Unicode MS"/>
                <w:sz w:val="20"/>
                <w:szCs w:val="20"/>
              </w:rPr>
              <w:t>-1</w:t>
            </w:r>
            <w:r w:rsidR="000603C2">
              <w:rPr>
                <w:rFonts w:eastAsia="Arial Unicode MS"/>
                <w:sz w:val="20"/>
                <w:szCs w:val="20"/>
              </w:rPr>
              <w:t>0</w:t>
            </w:r>
          </w:p>
        </w:tc>
        <w:tc>
          <w:tcPr>
            <w:tcW w:w="2306"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center"/>
          </w:tcPr>
          <w:p w:rsidR="006C143F" w:rsidRPr="00A0222C" w:rsidRDefault="0031497B" w:rsidP="0031497B">
            <w:pPr>
              <w:spacing w:before="100" w:beforeAutospacing="1" w:after="100" w:afterAutospacing="1"/>
              <w:jc w:val="center"/>
              <w:rPr>
                <w:rFonts w:eastAsia="Arial Unicode MS"/>
                <w:sz w:val="20"/>
                <w:szCs w:val="20"/>
              </w:rPr>
            </w:pPr>
            <w:r>
              <w:rPr>
                <w:rFonts w:eastAsia="Arial Unicode MS"/>
                <w:sz w:val="20"/>
                <w:szCs w:val="20"/>
              </w:rPr>
              <w:t>86</w:t>
            </w:r>
          </w:p>
        </w:tc>
      </w:tr>
    </w:tbl>
    <w:tbl>
      <w:tblPr>
        <w:tblpPr w:leftFromText="180" w:rightFromText="180" w:vertAnchor="text" w:horzAnchor="margin" w:tblpXSpec="center" w:tblpY="147"/>
        <w:tblW w:w="14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800"/>
        <w:gridCol w:w="876"/>
        <w:gridCol w:w="1080"/>
        <w:gridCol w:w="1080"/>
        <w:gridCol w:w="1080"/>
        <w:gridCol w:w="1080"/>
        <w:gridCol w:w="1080"/>
        <w:gridCol w:w="1080"/>
        <w:gridCol w:w="1260"/>
        <w:gridCol w:w="1080"/>
        <w:gridCol w:w="1518"/>
      </w:tblGrid>
      <w:tr w:rsidR="003C5F3C" w:rsidRPr="00762F09" w:rsidTr="003C5F3C">
        <w:tc>
          <w:tcPr>
            <w:tcW w:w="14382" w:type="dxa"/>
            <w:gridSpan w:val="12"/>
            <w:vAlign w:val="center"/>
          </w:tcPr>
          <w:p w:rsidR="003C5F3C" w:rsidRPr="00143009" w:rsidRDefault="003C5F3C" w:rsidP="003C5F3C">
            <w:pPr>
              <w:widowControl w:val="0"/>
              <w:spacing w:before="100" w:beforeAutospacing="1" w:after="100" w:afterAutospacing="1"/>
              <w:jc w:val="center"/>
              <w:rPr>
                <w:b/>
                <w:bCs/>
                <w:szCs w:val="16"/>
              </w:rPr>
            </w:pPr>
            <w:r w:rsidRPr="00143009">
              <w:rPr>
                <w:b/>
                <w:bCs/>
                <w:szCs w:val="16"/>
              </w:rPr>
              <w:t xml:space="preserve">Performance Measure Table </w:t>
            </w:r>
          </w:p>
        </w:tc>
      </w:tr>
      <w:tr w:rsidR="003C5F3C" w:rsidRPr="00762F09" w:rsidTr="003C5F3C">
        <w:tc>
          <w:tcPr>
            <w:tcW w:w="14382" w:type="dxa"/>
            <w:gridSpan w:val="12"/>
          </w:tcPr>
          <w:p w:rsidR="003C5F3C" w:rsidRPr="00D16E8A" w:rsidRDefault="003C5F3C" w:rsidP="003C5F3C">
            <w:pPr>
              <w:pStyle w:val="xl19"/>
              <w:tabs>
                <w:tab w:val="left" w:pos="1080"/>
              </w:tabs>
              <w:spacing w:before="100" w:beforeAutospacing="1" w:after="100" w:afterAutospacing="1"/>
              <w:rPr>
                <w:b/>
                <w:bCs/>
                <w:sz w:val="22"/>
                <w:szCs w:val="22"/>
              </w:rPr>
            </w:pPr>
            <w:r w:rsidRPr="00D16E8A">
              <w:rPr>
                <w:b/>
                <w:bCs/>
                <w:sz w:val="22"/>
                <w:szCs w:val="22"/>
              </w:rPr>
              <w:t>Decision Unit:  Alcohol and Tobacco</w:t>
            </w:r>
          </w:p>
        </w:tc>
      </w:tr>
      <w:tr w:rsidR="003C5F3C" w:rsidRPr="00762F09" w:rsidTr="003C5F3C">
        <w:trPr>
          <w:trHeight w:val="413"/>
        </w:trPr>
        <w:tc>
          <w:tcPr>
            <w:tcW w:w="3168" w:type="dxa"/>
            <w:gridSpan w:val="2"/>
            <w:vMerge w:val="restart"/>
            <w:vAlign w:val="center"/>
          </w:tcPr>
          <w:p w:rsidR="003C5F3C" w:rsidRPr="00D16E8A" w:rsidRDefault="003C5F3C" w:rsidP="003C5F3C">
            <w:pPr>
              <w:spacing w:before="100" w:beforeAutospacing="1" w:after="100" w:afterAutospacing="1"/>
              <w:jc w:val="center"/>
              <w:rPr>
                <w:sz w:val="20"/>
                <w:szCs w:val="20"/>
              </w:rPr>
            </w:pPr>
            <w:r w:rsidRPr="00D16E8A">
              <w:rPr>
                <w:b/>
                <w:sz w:val="20"/>
                <w:szCs w:val="20"/>
              </w:rPr>
              <w:t>Performance Report and Performance Plan Targets</w:t>
            </w:r>
          </w:p>
        </w:tc>
        <w:tc>
          <w:tcPr>
            <w:tcW w:w="876" w:type="dxa"/>
            <w:vAlign w:val="center"/>
          </w:tcPr>
          <w:p w:rsidR="003C5F3C" w:rsidRPr="00D16E8A" w:rsidRDefault="003C5F3C" w:rsidP="003C5F3C">
            <w:pPr>
              <w:spacing w:before="100" w:beforeAutospacing="1" w:after="100" w:afterAutospacing="1"/>
              <w:jc w:val="center"/>
              <w:rPr>
                <w:rFonts w:eastAsia="Arial Unicode MS"/>
                <w:b/>
                <w:bCs/>
                <w:sz w:val="20"/>
                <w:szCs w:val="20"/>
              </w:rPr>
            </w:pPr>
            <w:r w:rsidRPr="00D16E8A">
              <w:rPr>
                <w:b/>
                <w:bCs/>
                <w:sz w:val="20"/>
                <w:szCs w:val="20"/>
              </w:rPr>
              <w:t>FY 2004</w:t>
            </w:r>
          </w:p>
        </w:tc>
        <w:tc>
          <w:tcPr>
            <w:tcW w:w="1080" w:type="dxa"/>
            <w:vAlign w:val="center"/>
          </w:tcPr>
          <w:p w:rsidR="003C5F3C" w:rsidRPr="00D16E8A" w:rsidRDefault="003C5F3C" w:rsidP="003C5F3C">
            <w:pPr>
              <w:spacing w:before="100" w:beforeAutospacing="1" w:after="100" w:afterAutospacing="1"/>
              <w:jc w:val="center"/>
              <w:rPr>
                <w:rFonts w:eastAsia="Arial Unicode MS"/>
                <w:b/>
                <w:bCs/>
                <w:sz w:val="20"/>
                <w:szCs w:val="20"/>
              </w:rPr>
            </w:pPr>
            <w:r w:rsidRPr="00D16E8A">
              <w:rPr>
                <w:b/>
                <w:bCs/>
                <w:sz w:val="20"/>
                <w:szCs w:val="20"/>
              </w:rPr>
              <w:t>FY 2005</w:t>
            </w:r>
          </w:p>
        </w:tc>
        <w:tc>
          <w:tcPr>
            <w:tcW w:w="1080" w:type="dxa"/>
            <w:vAlign w:val="center"/>
          </w:tcPr>
          <w:p w:rsidR="003C5F3C" w:rsidRPr="00D16E8A" w:rsidRDefault="003C5F3C" w:rsidP="003C5F3C">
            <w:pPr>
              <w:spacing w:before="100" w:beforeAutospacing="1" w:after="100" w:afterAutospacing="1"/>
              <w:jc w:val="center"/>
              <w:rPr>
                <w:rFonts w:eastAsia="Arial Unicode MS"/>
                <w:b/>
                <w:bCs/>
                <w:sz w:val="20"/>
                <w:szCs w:val="20"/>
              </w:rPr>
            </w:pPr>
            <w:r w:rsidRPr="00D16E8A">
              <w:rPr>
                <w:b/>
                <w:bCs/>
                <w:sz w:val="20"/>
                <w:szCs w:val="20"/>
              </w:rPr>
              <w:t>FY 2006</w:t>
            </w:r>
          </w:p>
        </w:tc>
        <w:tc>
          <w:tcPr>
            <w:tcW w:w="1080" w:type="dxa"/>
            <w:vAlign w:val="center"/>
          </w:tcPr>
          <w:p w:rsidR="003C5F3C" w:rsidRPr="00D16E8A" w:rsidRDefault="003C5F3C" w:rsidP="003C5F3C">
            <w:pPr>
              <w:spacing w:before="100" w:beforeAutospacing="1" w:after="100" w:afterAutospacing="1"/>
              <w:jc w:val="center"/>
              <w:rPr>
                <w:rFonts w:eastAsia="Arial Unicode MS"/>
                <w:b/>
                <w:bCs/>
                <w:sz w:val="20"/>
                <w:szCs w:val="20"/>
              </w:rPr>
            </w:pPr>
            <w:r w:rsidRPr="00D16E8A">
              <w:rPr>
                <w:b/>
                <w:bCs/>
                <w:sz w:val="20"/>
                <w:szCs w:val="20"/>
              </w:rPr>
              <w:t>FY 2007</w:t>
            </w:r>
          </w:p>
        </w:tc>
        <w:tc>
          <w:tcPr>
            <w:tcW w:w="1080" w:type="dxa"/>
            <w:vAlign w:val="center"/>
          </w:tcPr>
          <w:p w:rsidR="003C5F3C" w:rsidRPr="00D16E8A" w:rsidRDefault="003C5F3C" w:rsidP="003C5F3C">
            <w:pPr>
              <w:spacing w:before="100" w:beforeAutospacing="1" w:after="100" w:afterAutospacing="1"/>
              <w:jc w:val="center"/>
              <w:rPr>
                <w:rFonts w:eastAsia="Arial Unicode MS"/>
                <w:b/>
                <w:bCs/>
                <w:sz w:val="20"/>
                <w:szCs w:val="20"/>
              </w:rPr>
            </w:pPr>
            <w:r w:rsidRPr="00D16E8A">
              <w:rPr>
                <w:b/>
                <w:bCs/>
                <w:sz w:val="20"/>
                <w:szCs w:val="20"/>
              </w:rPr>
              <w:t>FY 2008</w:t>
            </w:r>
          </w:p>
        </w:tc>
        <w:tc>
          <w:tcPr>
            <w:tcW w:w="1080" w:type="dxa"/>
            <w:vAlign w:val="center"/>
          </w:tcPr>
          <w:p w:rsidR="003C5F3C" w:rsidRPr="00D16E8A" w:rsidRDefault="003C5F3C" w:rsidP="003C5F3C">
            <w:pPr>
              <w:spacing w:before="100" w:beforeAutospacing="1" w:after="100" w:afterAutospacing="1"/>
              <w:jc w:val="center"/>
              <w:rPr>
                <w:rFonts w:eastAsia="Arial Unicode MS"/>
                <w:b/>
                <w:bCs/>
                <w:sz w:val="20"/>
                <w:szCs w:val="20"/>
              </w:rPr>
            </w:pPr>
            <w:r w:rsidRPr="00D16E8A">
              <w:rPr>
                <w:rFonts w:eastAsia="Arial Unicode MS"/>
                <w:b/>
                <w:bCs/>
                <w:sz w:val="20"/>
                <w:szCs w:val="20"/>
              </w:rPr>
              <w:t>FY 2009</w:t>
            </w:r>
          </w:p>
        </w:tc>
        <w:tc>
          <w:tcPr>
            <w:tcW w:w="2340" w:type="dxa"/>
            <w:gridSpan w:val="2"/>
            <w:vAlign w:val="center"/>
          </w:tcPr>
          <w:p w:rsidR="003C5F3C" w:rsidRPr="00D16E8A" w:rsidRDefault="003C5F3C" w:rsidP="003C5F3C">
            <w:pPr>
              <w:spacing w:before="100" w:beforeAutospacing="1" w:after="100" w:afterAutospacing="1"/>
              <w:jc w:val="center"/>
              <w:rPr>
                <w:rFonts w:eastAsia="Arial Unicode MS"/>
                <w:b/>
                <w:bCs/>
                <w:sz w:val="20"/>
                <w:szCs w:val="20"/>
              </w:rPr>
            </w:pPr>
            <w:r w:rsidRPr="00D16E8A">
              <w:rPr>
                <w:b/>
                <w:bCs/>
                <w:sz w:val="20"/>
                <w:szCs w:val="20"/>
              </w:rPr>
              <w:t>FY 2010</w:t>
            </w:r>
          </w:p>
        </w:tc>
        <w:tc>
          <w:tcPr>
            <w:tcW w:w="1080" w:type="dxa"/>
            <w:vAlign w:val="center"/>
          </w:tcPr>
          <w:p w:rsidR="003C5F3C" w:rsidRPr="00D16E8A" w:rsidRDefault="003C5F3C" w:rsidP="003C5F3C">
            <w:pPr>
              <w:spacing w:before="100" w:beforeAutospacing="1" w:after="100" w:afterAutospacing="1"/>
              <w:jc w:val="center"/>
              <w:rPr>
                <w:b/>
                <w:bCs/>
                <w:sz w:val="20"/>
                <w:szCs w:val="20"/>
              </w:rPr>
            </w:pPr>
            <w:r w:rsidRPr="00D16E8A">
              <w:rPr>
                <w:b/>
                <w:bCs/>
                <w:sz w:val="20"/>
                <w:szCs w:val="20"/>
              </w:rPr>
              <w:t>FY 2011</w:t>
            </w:r>
          </w:p>
        </w:tc>
        <w:tc>
          <w:tcPr>
            <w:tcW w:w="1518" w:type="dxa"/>
            <w:vAlign w:val="center"/>
          </w:tcPr>
          <w:p w:rsidR="003C5F3C" w:rsidRPr="00D16E8A" w:rsidRDefault="003C5F3C" w:rsidP="003C5F3C">
            <w:pPr>
              <w:spacing w:before="100" w:beforeAutospacing="1" w:after="100" w:afterAutospacing="1"/>
              <w:jc w:val="center"/>
              <w:rPr>
                <w:b/>
                <w:bCs/>
                <w:sz w:val="20"/>
                <w:szCs w:val="20"/>
              </w:rPr>
            </w:pPr>
            <w:r w:rsidRPr="00D16E8A">
              <w:rPr>
                <w:b/>
                <w:bCs/>
                <w:sz w:val="20"/>
                <w:szCs w:val="20"/>
              </w:rPr>
              <w:t>FY 2012</w:t>
            </w:r>
          </w:p>
        </w:tc>
      </w:tr>
      <w:tr w:rsidR="003C5F3C" w:rsidRPr="00762F09" w:rsidTr="003C5F3C">
        <w:trPr>
          <w:trHeight w:val="412"/>
        </w:trPr>
        <w:tc>
          <w:tcPr>
            <w:tcW w:w="3168" w:type="dxa"/>
            <w:gridSpan w:val="2"/>
            <w:vMerge/>
          </w:tcPr>
          <w:p w:rsidR="003C5F3C" w:rsidRPr="00D16E8A" w:rsidRDefault="003C5F3C" w:rsidP="003C5F3C">
            <w:pPr>
              <w:pStyle w:val="xl19"/>
              <w:tabs>
                <w:tab w:val="left" w:pos="1080"/>
              </w:tabs>
              <w:spacing w:before="100" w:beforeAutospacing="1" w:after="100" w:afterAutospacing="1"/>
              <w:rPr>
                <w:b/>
                <w:sz w:val="20"/>
                <w:szCs w:val="20"/>
              </w:rPr>
            </w:pPr>
          </w:p>
        </w:tc>
        <w:tc>
          <w:tcPr>
            <w:tcW w:w="876" w:type="dxa"/>
            <w:vAlign w:val="center"/>
          </w:tcPr>
          <w:p w:rsidR="003C5F3C" w:rsidRPr="00D16E8A" w:rsidRDefault="003C5F3C" w:rsidP="003C5F3C">
            <w:pPr>
              <w:spacing w:before="100" w:beforeAutospacing="1" w:after="100" w:afterAutospacing="1"/>
              <w:jc w:val="center"/>
              <w:rPr>
                <w:b/>
                <w:bCs/>
                <w:sz w:val="20"/>
                <w:szCs w:val="20"/>
              </w:rPr>
            </w:pPr>
            <w:r w:rsidRPr="00D16E8A">
              <w:rPr>
                <w:b/>
                <w:bCs/>
                <w:sz w:val="20"/>
                <w:szCs w:val="20"/>
              </w:rPr>
              <w:t>Actual</w:t>
            </w:r>
          </w:p>
        </w:tc>
        <w:tc>
          <w:tcPr>
            <w:tcW w:w="1080" w:type="dxa"/>
            <w:vAlign w:val="center"/>
          </w:tcPr>
          <w:p w:rsidR="003C5F3C" w:rsidRPr="00D16E8A" w:rsidRDefault="003C5F3C" w:rsidP="003C5F3C">
            <w:pPr>
              <w:spacing w:before="100" w:beforeAutospacing="1" w:after="100" w:afterAutospacing="1"/>
              <w:jc w:val="center"/>
              <w:rPr>
                <w:b/>
                <w:bCs/>
                <w:sz w:val="20"/>
                <w:szCs w:val="20"/>
              </w:rPr>
            </w:pPr>
            <w:r w:rsidRPr="00D16E8A">
              <w:rPr>
                <w:b/>
                <w:bCs/>
                <w:sz w:val="20"/>
                <w:szCs w:val="20"/>
              </w:rPr>
              <w:t>Actual</w:t>
            </w:r>
          </w:p>
        </w:tc>
        <w:tc>
          <w:tcPr>
            <w:tcW w:w="1080" w:type="dxa"/>
            <w:vAlign w:val="center"/>
          </w:tcPr>
          <w:p w:rsidR="003C5F3C" w:rsidRPr="00D16E8A" w:rsidRDefault="003C5F3C" w:rsidP="003C5F3C">
            <w:pPr>
              <w:spacing w:before="100" w:beforeAutospacing="1" w:after="100" w:afterAutospacing="1"/>
              <w:jc w:val="center"/>
              <w:rPr>
                <w:b/>
                <w:bCs/>
                <w:sz w:val="20"/>
                <w:szCs w:val="20"/>
              </w:rPr>
            </w:pPr>
            <w:r w:rsidRPr="00D16E8A">
              <w:rPr>
                <w:b/>
                <w:bCs/>
                <w:sz w:val="20"/>
                <w:szCs w:val="20"/>
              </w:rPr>
              <w:t>Actual</w:t>
            </w:r>
          </w:p>
        </w:tc>
        <w:tc>
          <w:tcPr>
            <w:tcW w:w="1080" w:type="dxa"/>
            <w:vAlign w:val="center"/>
          </w:tcPr>
          <w:p w:rsidR="003C5F3C" w:rsidRPr="00D16E8A" w:rsidRDefault="003C5F3C" w:rsidP="003C5F3C">
            <w:pPr>
              <w:spacing w:before="100" w:beforeAutospacing="1" w:after="100" w:afterAutospacing="1"/>
              <w:jc w:val="center"/>
              <w:rPr>
                <w:b/>
                <w:bCs/>
                <w:sz w:val="20"/>
                <w:szCs w:val="20"/>
              </w:rPr>
            </w:pPr>
            <w:r w:rsidRPr="00D16E8A">
              <w:rPr>
                <w:b/>
                <w:bCs/>
                <w:sz w:val="20"/>
                <w:szCs w:val="20"/>
              </w:rPr>
              <w:t>Actual</w:t>
            </w:r>
          </w:p>
        </w:tc>
        <w:tc>
          <w:tcPr>
            <w:tcW w:w="1080" w:type="dxa"/>
            <w:vAlign w:val="center"/>
          </w:tcPr>
          <w:p w:rsidR="003C5F3C" w:rsidRPr="00D16E8A" w:rsidRDefault="003C5F3C" w:rsidP="003C5F3C">
            <w:pPr>
              <w:spacing w:before="100" w:beforeAutospacing="1" w:after="100" w:afterAutospacing="1"/>
              <w:jc w:val="center"/>
              <w:rPr>
                <w:b/>
                <w:bCs/>
                <w:sz w:val="20"/>
                <w:szCs w:val="20"/>
              </w:rPr>
            </w:pPr>
            <w:r w:rsidRPr="00D16E8A">
              <w:rPr>
                <w:b/>
                <w:bCs/>
                <w:sz w:val="20"/>
                <w:szCs w:val="20"/>
              </w:rPr>
              <w:t>Actual</w:t>
            </w:r>
          </w:p>
        </w:tc>
        <w:tc>
          <w:tcPr>
            <w:tcW w:w="1080" w:type="dxa"/>
            <w:vAlign w:val="center"/>
          </w:tcPr>
          <w:p w:rsidR="003C5F3C" w:rsidRPr="00D16E8A" w:rsidRDefault="003C5F3C" w:rsidP="003C5F3C">
            <w:pPr>
              <w:spacing w:before="100" w:beforeAutospacing="1" w:after="100" w:afterAutospacing="1"/>
              <w:jc w:val="center"/>
              <w:rPr>
                <w:b/>
                <w:bCs/>
                <w:sz w:val="20"/>
                <w:szCs w:val="20"/>
              </w:rPr>
            </w:pPr>
            <w:r w:rsidRPr="00D16E8A">
              <w:rPr>
                <w:b/>
                <w:bCs/>
                <w:sz w:val="20"/>
                <w:szCs w:val="20"/>
              </w:rPr>
              <w:t>Actual</w:t>
            </w:r>
          </w:p>
        </w:tc>
        <w:tc>
          <w:tcPr>
            <w:tcW w:w="1080" w:type="dxa"/>
            <w:vAlign w:val="center"/>
          </w:tcPr>
          <w:p w:rsidR="003C5F3C" w:rsidRPr="00D16E8A" w:rsidRDefault="003C5F3C" w:rsidP="003C5F3C">
            <w:pPr>
              <w:spacing w:before="100" w:beforeAutospacing="1" w:after="100" w:afterAutospacing="1"/>
              <w:jc w:val="center"/>
              <w:rPr>
                <w:b/>
                <w:bCs/>
                <w:sz w:val="20"/>
                <w:szCs w:val="20"/>
              </w:rPr>
            </w:pPr>
            <w:r w:rsidRPr="00D16E8A">
              <w:rPr>
                <w:b/>
                <w:bCs/>
                <w:sz w:val="20"/>
                <w:szCs w:val="20"/>
              </w:rPr>
              <w:t>Target</w:t>
            </w:r>
          </w:p>
        </w:tc>
        <w:tc>
          <w:tcPr>
            <w:tcW w:w="1260" w:type="dxa"/>
            <w:vAlign w:val="center"/>
          </w:tcPr>
          <w:p w:rsidR="003C5F3C" w:rsidRPr="00D16E8A" w:rsidRDefault="003C5F3C" w:rsidP="003C5F3C">
            <w:pPr>
              <w:spacing w:before="100" w:beforeAutospacing="1" w:after="100" w:afterAutospacing="1"/>
              <w:jc w:val="center"/>
              <w:rPr>
                <w:b/>
                <w:bCs/>
                <w:sz w:val="20"/>
                <w:szCs w:val="20"/>
              </w:rPr>
            </w:pPr>
            <w:r w:rsidRPr="00D16E8A">
              <w:rPr>
                <w:b/>
                <w:bCs/>
                <w:sz w:val="20"/>
                <w:szCs w:val="20"/>
              </w:rPr>
              <w:t>Actual</w:t>
            </w:r>
          </w:p>
        </w:tc>
        <w:tc>
          <w:tcPr>
            <w:tcW w:w="1080" w:type="dxa"/>
            <w:vAlign w:val="center"/>
          </w:tcPr>
          <w:p w:rsidR="003C5F3C" w:rsidRPr="00D16E8A" w:rsidRDefault="003C5F3C" w:rsidP="003C5F3C">
            <w:pPr>
              <w:spacing w:before="100" w:beforeAutospacing="1" w:after="100" w:afterAutospacing="1"/>
              <w:jc w:val="center"/>
              <w:rPr>
                <w:b/>
                <w:bCs/>
                <w:sz w:val="20"/>
                <w:szCs w:val="20"/>
              </w:rPr>
            </w:pPr>
            <w:r w:rsidRPr="00D16E8A">
              <w:rPr>
                <w:b/>
                <w:bCs/>
                <w:sz w:val="20"/>
                <w:szCs w:val="20"/>
              </w:rPr>
              <w:t>Target</w:t>
            </w:r>
          </w:p>
        </w:tc>
        <w:tc>
          <w:tcPr>
            <w:tcW w:w="1518" w:type="dxa"/>
            <w:vAlign w:val="center"/>
          </w:tcPr>
          <w:p w:rsidR="003C5F3C" w:rsidRPr="00D16E8A" w:rsidRDefault="003C5F3C" w:rsidP="003C5F3C">
            <w:pPr>
              <w:spacing w:before="100" w:beforeAutospacing="1" w:after="100" w:afterAutospacing="1"/>
              <w:jc w:val="center"/>
              <w:rPr>
                <w:b/>
                <w:bCs/>
                <w:sz w:val="20"/>
                <w:szCs w:val="20"/>
              </w:rPr>
            </w:pPr>
            <w:r w:rsidRPr="00D16E8A">
              <w:rPr>
                <w:b/>
                <w:bCs/>
                <w:sz w:val="20"/>
                <w:szCs w:val="20"/>
              </w:rPr>
              <w:t>Target</w:t>
            </w:r>
          </w:p>
        </w:tc>
      </w:tr>
      <w:tr w:rsidR="003C5F3C" w:rsidRPr="00762F09" w:rsidTr="003C5F3C">
        <w:tc>
          <w:tcPr>
            <w:tcW w:w="1368" w:type="dxa"/>
            <w:vAlign w:val="center"/>
          </w:tcPr>
          <w:p w:rsidR="003C5F3C" w:rsidRPr="00D16E8A" w:rsidRDefault="003C5F3C" w:rsidP="003C5F3C">
            <w:pPr>
              <w:pStyle w:val="xl19"/>
              <w:tabs>
                <w:tab w:val="left" w:pos="1080"/>
              </w:tabs>
              <w:spacing w:before="100" w:beforeAutospacing="1" w:after="100" w:afterAutospacing="1"/>
              <w:rPr>
                <w:sz w:val="20"/>
                <w:szCs w:val="20"/>
              </w:rPr>
            </w:pPr>
            <w:r w:rsidRPr="00D16E8A">
              <w:rPr>
                <w:sz w:val="20"/>
                <w:szCs w:val="20"/>
              </w:rPr>
              <w:t>OUTCOME  Measure</w:t>
            </w:r>
          </w:p>
        </w:tc>
        <w:tc>
          <w:tcPr>
            <w:tcW w:w="1800" w:type="dxa"/>
            <w:vAlign w:val="center"/>
          </w:tcPr>
          <w:p w:rsidR="003C5F3C" w:rsidRPr="00D16E8A" w:rsidRDefault="003C5F3C" w:rsidP="003C5F3C">
            <w:pPr>
              <w:pStyle w:val="xl19"/>
              <w:tabs>
                <w:tab w:val="left" w:pos="1080"/>
              </w:tabs>
              <w:spacing w:before="100" w:beforeAutospacing="1" w:after="100" w:afterAutospacing="1"/>
              <w:rPr>
                <w:sz w:val="20"/>
                <w:szCs w:val="20"/>
              </w:rPr>
            </w:pPr>
            <w:r w:rsidRPr="00D16E8A">
              <w:rPr>
                <w:sz w:val="20"/>
                <w:szCs w:val="20"/>
              </w:rPr>
              <w:t>Reduce the loss of tax revenues caused by contraband alcohol and tobacco trafficking</w:t>
            </w:r>
          </w:p>
        </w:tc>
        <w:tc>
          <w:tcPr>
            <w:tcW w:w="876" w:type="dxa"/>
            <w:vAlign w:val="center"/>
          </w:tcPr>
          <w:p w:rsidR="003C5F3C" w:rsidRPr="00D16E8A" w:rsidRDefault="003C5F3C" w:rsidP="003C5F3C">
            <w:pPr>
              <w:pStyle w:val="xl19"/>
              <w:tabs>
                <w:tab w:val="left" w:pos="1080"/>
              </w:tabs>
              <w:spacing w:before="100" w:beforeAutospacing="1" w:after="100" w:afterAutospacing="1"/>
              <w:jc w:val="center"/>
              <w:rPr>
                <w:sz w:val="20"/>
                <w:szCs w:val="20"/>
              </w:rPr>
            </w:pPr>
            <w:r w:rsidRPr="00D16E8A">
              <w:rPr>
                <w:sz w:val="20"/>
                <w:szCs w:val="20"/>
              </w:rPr>
              <w:t>N/A</w:t>
            </w:r>
          </w:p>
        </w:tc>
        <w:tc>
          <w:tcPr>
            <w:tcW w:w="1080" w:type="dxa"/>
            <w:vAlign w:val="center"/>
          </w:tcPr>
          <w:p w:rsidR="003C5F3C" w:rsidRPr="00D16E8A" w:rsidRDefault="003C5F3C" w:rsidP="003C5F3C">
            <w:pPr>
              <w:pStyle w:val="xl19"/>
              <w:tabs>
                <w:tab w:val="left" w:pos="1080"/>
              </w:tabs>
              <w:spacing w:before="100" w:beforeAutospacing="1" w:after="100" w:afterAutospacing="1"/>
              <w:jc w:val="center"/>
              <w:rPr>
                <w:sz w:val="20"/>
                <w:szCs w:val="20"/>
              </w:rPr>
            </w:pPr>
            <w:r w:rsidRPr="00D16E8A">
              <w:rPr>
                <w:sz w:val="20"/>
                <w:szCs w:val="20"/>
              </w:rPr>
              <w:t>N/A</w:t>
            </w:r>
          </w:p>
        </w:tc>
        <w:tc>
          <w:tcPr>
            <w:tcW w:w="1080" w:type="dxa"/>
            <w:vAlign w:val="center"/>
          </w:tcPr>
          <w:p w:rsidR="003C5F3C" w:rsidRPr="00D16E8A" w:rsidRDefault="003C5F3C" w:rsidP="003C5F3C">
            <w:pPr>
              <w:pStyle w:val="xl19"/>
              <w:tabs>
                <w:tab w:val="left" w:pos="1080"/>
              </w:tabs>
              <w:spacing w:before="100" w:beforeAutospacing="1" w:after="100" w:afterAutospacing="1"/>
              <w:jc w:val="center"/>
              <w:rPr>
                <w:sz w:val="20"/>
                <w:szCs w:val="20"/>
              </w:rPr>
            </w:pPr>
            <w:r w:rsidRPr="00D16E8A">
              <w:rPr>
                <w:sz w:val="20"/>
                <w:szCs w:val="20"/>
              </w:rPr>
              <w:t>N/A</w:t>
            </w:r>
          </w:p>
        </w:tc>
        <w:tc>
          <w:tcPr>
            <w:tcW w:w="1080" w:type="dxa"/>
            <w:vAlign w:val="center"/>
          </w:tcPr>
          <w:p w:rsidR="003C5F3C" w:rsidRPr="00D16E8A" w:rsidRDefault="003C5F3C" w:rsidP="003C5F3C">
            <w:pPr>
              <w:pStyle w:val="xl19"/>
              <w:tabs>
                <w:tab w:val="left" w:pos="1080"/>
              </w:tabs>
              <w:spacing w:before="100" w:beforeAutospacing="1" w:after="100" w:afterAutospacing="1"/>
              <w:jc w:val="center"/>
              <w:rPr>
                <w:sz w:val="20"/>
                <w:szCs w:val="20"/>
              </w:rPr>
            </w:pPr>
            <w:r w:rsidRPr="00D16E8A">
              <w:rPr>
                <w:sz w:val="20"/>
                <w:szCs w:val="20"/>
              </w:rPr>
              <w:t>N/A</w:t>
            </w:r>
          </w:p>
        </w:tc>
        <w:tc>
          <w:tcPr>
            <w:tcW w:w="1080" w:type="dxa"/>
            <w:vAlign w:val="center"/>
          </w:tcPr>
          <w:p w:rsidR="003C5F3C" w:rsidRPr="00D16E8A" w:rsidRDefault="003C5F3C" w:rsidP="003C5F3C">
            <w:pPr>
              <w:pStyle w:val="xl19"/>
              <w:tabs>
                <w:tab w:val="left" w:pos="1080"/>
              </w:tabs>
              <w:spacing w:before="100" w:beforeAutospacing="1" w:after="100" w:afterAutospacing="1"/>
              <w:jc w:val="center"/>
              <w:rPr>
                <w:sz w:val="20"/>
                <w:szCs w:val="20"/>
              </w:rPr>
            </w:pPr>
            <w:r w:rsidRPr="00D16E8A">
              <w:rPr>
                <w:sz w:val="20"/>
                <w:szCs w:val="20"/>
              </w:rPr>
              <w:t>N/A</w:t>
            </w:r>
          </w:p>
        </w:tc>
        <w:tc>
          <w:tcPr>
            <w:tcW w:w="1080" w:type="dxa"/>
            <w:vAlign w:val="center"/>
          </w:tcPr>
          <w:p w:rsidR="003C5F3C" w:rsidRPr="00D16E8A" w:rsidRDefault="003C5F3C" w:rsidP="003C5F3C">
            <w:pPr>
              <w:pStyle w:val="xl19"/>
              <w:tabs>
                <w:tab w:val="left" w:pos="1080"/>
              </w:tabs>
              <w:spacing w:before="100" w:beforeAutospacing="1" w:after="100" w:afterAutospacing="1"/>
              <w:jc w:val="center"/>
              <w:rPr>
                <w:sz w:val="20"/>
                <w:szCs w:val="20"/>
              </w:rPr>
            </w:pPr>
            <w:r w:rsidRPr="00D16E8A">
              <w:rPr>
                <w:sz w:val="20"/>
                <w:szCs w:val="20"/>
              </w:rPr>
              <w:t>N/A</w:t>
            </w:r>
          </w:p>
        </w:tc>
        <w:tc>
          <w:tcPr>
            <w:tcW w:w="1080" w:type="dxa"/>
            <w:vAlign w:val="center"/>
          </w:tcPr>
          <w:p w:rsidR="003C5F3C" w:rsidRPr="00D16E8A" w:rsidRDefault="003C5F3C" w:rsidP="003C5F3C">
            <w:pPr>
              <w:pStyle w:val="xl19"/>
              <w:tabs>
                <w:tab w:val="left" w:pos="1080"/>
              </w:tabs>
              <w:spacing w:before="100" w:beforeAutospacing="1" w:after="100" w:afterAutospacing="1"/>
              <w:jc w:val="center"/>
              <w:rPr>
                <w:sz w:val="20"/>
                <w:szCs w:val="20"/>
              </w:rPr>
            </w:pPr>
            <w:r w:rsidRPr="00D16E8A">
              <w:rPr>
                <w:sz w:val="20"/>
                <w:szCs w:val="20"/>
              </w:rPr>
              <w:t>N/A</w:t>
            </w:r>
          </w:p>
        </w:tc>
        <w:tc>
          <w:tcPr>
            <w:tcW w:w="1260" w:type="dxa"/>
            <w:shd w:val="clear" w:color="auto" w:fill="CCCCCC"/>
            <w:vAlign w:val="center"/>
          </w:tcPr>
          <w:p w:rsidR="003C5F3C" w:rsidRPr="00D16E8A" w:rsidRDefault="003C5F3C" w:rsidP="003C5F3C">
            <w:pPr>
              <w:pStyle w:val="xl19"/>
              <w:tabs>
                <w:tab w:val="left" w:pos="1080"/>
              </w:tabs>
              <w:spacing w:before="100" w:beforeAutospacing="1" w:after="100" w:afterAutospacing="1"/>
              <w:jc w:val="center"/>
              <w:rPr>
                <w:sz w:val="20"/>
                <w:szCs w:val="20"/>
              </w:rPr>
            </w:pPr>
            <w:r>
              <w:rPr>
                <w:sz w:val="20"/>
                <w:szCs w:val="20"/>
              </w:rPr>
              <w:t>98.6</w:t>
            </w:r>
          </w:p>
        </w:tc>
        <w:tc>
          <w:tcPr>
            <w:tcW w:w="1080" w:type="dxa"/>
            <w:vAlign w:val="center"/>
          </w:tcPr>
          <w:p w:rsidR="003C5F3C" w:rsidRPr="00D16E8A" w:rsidRDefault="003C5F3C" w:rsidP="003C5F3C">
            <w:pPr>
              <w:pStyle w:val="xl19"/>
              <w:tabs>
                <w:tab w:val="left" w:pos="1080"/>
              </w:tabs>
              <w:spacing w:before="100" w:beforeAutospacing="1" w:after="100" w:afterAutospacing="1"/>
              <w:jc w:val="center"/>
              <w:rPr>
                <w:sz w:val="20"/>
                <w:szCs w:val="20"/>
              </w:rPr>
            </w:pPr>
            <w:r>
              <w:rPr>
                <w:sz w:val="20"/>
                <w:szCs w:val="20"/>
              </w:rPr>
              <w:t>96</w:t>
            </w:r>
          </w:p>
        </w:tc>
        <w:tc>
          <w:tcPr>
            <w:tcW w:w="1518" w:type="dxa"/>
            <w:vAlign w:val="center"/>
          </w:tcPr>
          <w:p w:rsidR="003C5F3C" w:rsidRPr="00D16E8A" w:rsidRDefault="003C5F3C" w:rsidP="003C5F3C">
            <w:pPr>
              <w:pStyle w:val="xl19"/>
              <w:tabs>
                <w:tab w:val="left" w:pos="1080"/>
              </w:tabs>
              <w:spacing w:before="100" w:beforeAutospacing="1" w:after="100" w:afterAutospacing="1"/>
              <w:jc w:val="center"/>
              <w:rPr>
                <w:sz w:val="20"/>
                <w:szCs w:val="20"/>
              </w:rPr>
            </w:pPr>
            <w:r>
              <w:rPr>
                <w:sz w:val="20"/>
                <w:szCs w:val="20"/>
              </w:rPr>
              <w:t>86</w:t>
            </w:r>
          </w:p>
        </w:tc>
      </w:tr>
    </w:tbl>
    <w:p w:rsidR="003C5F3C" w:rsidRDefault="003C5F3C" w:rsidP="008A0C6A">
      <w:pPr>
        <w:rPr>
          <w:b/>
          <w:sz w:val="18"/>
          <w:szCs w:val="18"/>
        </w:rPr>
      </w:pPr>
    </w:p>
    <w:p w:rsidR="007E12D8" w:rsidRDefault="008A0C6A" w:rsidP="004F58FB">
      <w:pPr>
        <w:rPr>
          <w:color w:val="000000"/>
          <w:sz w:val="16"/>
          <w:szCs w:val="16"/>
        </w:rPr>
      </w:pPr>
      <w:r>
        <w:rPr>
          <w:b/>
          <w:sz w:val="18"/>
          <w:szCs w:val="18"/>
        </w:rPr>
        <w:t>Footnote:</w:t>
      </w:r>
      <w:r>
        <w:rPr>
          <w:sz w:val="18"/>
          <w:szCs w:val="18"/>
        </w:rPr>
        <w:t xml:space="preserve">  </w:t>
      </w:r>
      <w:r w:rsidR="000450ED" w:rsidRPr="00C43091">
        <w:rPr>
          <w:color w:val="000000"/>
          <w:sz w:val="16"/>
          <w:szCs w:val="16"/>
        </w:rPr>
        <w:t>ATF has established a benchmark for its performance index using FY 2010 actual performance data and resource levels.  The benchmark level is expressed as a performance index target of “100” in the FY 2011 Congressional Budget Request.  From this benchmark, ATF has determined the FY 2012 performance targets by estimating expected performance with the requested level of resources in the FY 2012 Congressional Budget Request.  ATF’s FY 2012 performance targets represent the Bureau’s capability (relative to the FY 2010 benchmark level and within the resources requested) to impact strategic risk areas (Performance Goals/Outcome).  Using the underlying benchmarked proxy index indicators as a starting point, ATF is able to project anticipated mission performance, with results displayed at the performance goal index levels (</w:t>
      </w:r>
      <w:proofErr w:type="spellStart"/>
      <w:r w:rsidR="000450ED" w:rsidRPr="00C43091">
        <w:rPr>
          <w:color w:val="000000"/>
          <w:sz w:val="16"/>
          <w:szCs w:val="16"/>
        </w:rPr>
        <w:t>Actuals</w:t>
      </w:r>
      <w:proofErr w:type="spellEnd"/>
      <w:r w:rsidR="000450ED" w:rsidRPr="00C43091">
        <w:rPr>
          <w:color w:val="000000"/>
          <w:sz w:val="16"/>
          <w:szCs w:val="16"/>
        </w:rPr>
        <w:t>).  Please refer to section 3.a. for a discussion of the Performance Plan and Report of Outcomes.</w:t>
      </w:r>
      <w:r w:rsidR="003C5F3C">
        <w:rPr>
          <w:color w:val="000000"/>
          <w:sz w:val="16"/>
          <w:szCs w:val="16"/>
        </w:rPr>
        <w:t xml:space="preserve">  </w:t>
      </w:r>
    </w:p>
    <w:p w:rsidR="007E12D8" w:rsidRDefault="007E12D8" w:rsidP="004F58FB">
      <w:pPr>
        <w:rPr>
          <w:color w:val="000000"/>
          <w:sz w:val="16"/>
          <w:szCs w:val="16"/>
        </w:rPr>
      </w:pPr>
    </w:p>
    <w:p w:rsidR="00327018" w:rsidRPr="00327018" w:rsidRDefault="00327018" w:rsidP="00327018">
      <w:pPr>
        <w:rPr>
          <w:color w:val="000000"/>
          <w:sz w:val="16"/>
          <w:szCs w:val="16"/>
        </w:rPr>
      </w:pPr>
      <w:r w:rsidRPr="00327018">
        <w:rPr>
          <w:color w:val="000000"/>
          <w:sz w:val="16"/>
          <w:szCs w:val="16"/>
        </w:rPr>
        <w:t xml:space="preserve">Targets may change based on FY 2011 resource availability but ATF will ensure that performance measures reflect the goals and objectives for FY 2012. </w:t>
      </w:r>
    </w:p>
    <w:p w:rsidR="008A0C6A" w:rsidRDefault="008A0C6A" w:rsidP="007C0026">
      <w:pPr>
        <w:pStyle w:val="xl19"/>
        <w:tabs>
          <w:tab w:val="left" w:pos="1080"/>
        </w:tabs>
        <w:spacing w:before="100" w:beforeAutospacing="1" w:after="100" w:afterAutospacing="1"/>
        <w:rPr>
          <w:b/>
          <w:bCs/>
        </w:rPr>
        <w:sectPr w:rsidR="008A0C6A" w:rsidSect="00797FD4">
          <w:pgSz w:w="15840" w:h="12240" w:orient="landscape" w:code="1"/>
          <w:pgMar w:top="1440" w:right="1440" w:bottom="1440" w:left="1440" w:header="720" w:footer="720" w:gutter="0"/>
          <w:cols w:space="720"/>
          <w:docGrid w:linePitch="360"/>
        </w:sectPr>
      </w:pPr>
    </w:p>
    <w:p w:rsidR="00FA2AAB" w:rsidRPr="00762F09" w:rsidRDefault="00FA2AAB" w:rsidP="007C0026">
      <w:pPr>
        <w:pStyle w:val="xl19"/>
        <w:tabs>
          <w:tab w:val="left" w:pos="1080"/>
        </w:tabs>
        <w:spacing w:before="100" w:beforeAutospacing="1" w:after="100" w:afterAutospacing="1"/>
        <w:rPr>
          <w:b/>
          <w:bCs/>
        </w:rPr>
      </w:pPr>
      <w:bookmarkStart w:id="53" w:name="OLE_LINK1"/>
      <w:bookmarkEnd w:id="53"/>
      <w:r w:rsidRPr="00762F09">
        <w:rPr>
          <w:b/>
          <w:bCs/>
        </w:rPr>
        <w:lastRenderedPageBreak/>
        <w:t>3. Performance, Resources, and Strategies</w:t>
      </w:r>
    </w:p>
    <w:p w:rsidR="00C34432" w:rsidRDefault="00FA2AAB" w:rsidP="00C34432">
      <w:pPr>
        <w:pStyle w:val="xl19"/>
        <w:tabs>
          <w:tab w:val="left" w:pos="1080"/>
        </w:tabs>
        <w:spacing w:before="100" w:beforeAutospacing="1" w:after="100" w:afterAutospacing="1"/>
        <w:rPr>
          <w:b/>
          <w:bCs/>
        </w:rPr>
      </w:pPr>
      <w:r w:rsidRPr="00762F09">
        <w:rPr>
          <w:b/>
          <w:bCs/>
        </w:rPr>
        <w:t>a. Performance Plan and Report for Outcomes</w:t>
      </w:r>
    </w:p>
    <w:p w:rsidR="00D744D0" w:rsidRDefault="00F24528" w:rsidP="00D744D0">
      <w:pPr>
        <w:pStyle w:val="xl19"/>
        <w:tabs>
          <w:tab w:val="left" w:pos="1080"/>
        </w:tabs>
        <w:spacing w:before="100" w:beforeAutospacing="1" w:after="100" w:afterAutospacing="1"/>
      </w:pPr>
      <w:r w:rsidRPr="00762F09">
        <w:t>ATF maintain</w:t>
      </w:r>
      <w:r w:rsidR="00A46986">
        <w:t>s</w:t>
      </w:r>
      <w:r w:rsidRPr="00762F09">
        <w:t xml:space="preserve"> a high satisfaction rate among </w:t>
      </w:r>
      <w:r w:rsidR="00577038">
        <w:t>S</w:t>
      </w:r>
      <w:r w:rsidR="00577038" w:rsidRPr="00762F09">
        <w:t xml:space="preserve">tate </w:t>
      </w:r>
      <w:r w:rsidRPr="00762F09">
        <w:t>and local jurisdictions</w:t>
      </w:r>
      <w:r w:rsidR="00B83E58">
        <w:t>,</w:t>
      </w:r>
      <w:r w:rsidRPr="00762F09">
        <w:t xml:space="preserve"> as well as international law enforcement agencies</w:t>
      </w:r>
      <w:r w:rsidR="00577038">
        <w:t>, by preventing</w:t>
      </w:r>
      <w:r w:rsidRPr="00762F09">
        <w:t xml:space="preserve"> </w:t>
      </w:r>
      <w:r>
        <w:t>interstate commerce violations</w:t>
      </w:r>
      <w:r w:rsidR="00577038">
        <w:t xml:space="preserve"> that result</w:t>
      </w:r>
      <w:r w:rsidR="00FA18B3">
        <w:t xml:space="preserve"> in </w:t>
      </w:r>
      <w:r w:rsidRPr="00762F09">
        <w:t xml:space="preserve">tax revenue losses and </w:t>
      </w:r>
      <w:r w:rsidR="00577038">
        <w:t>by stopping</w:t>
      </w:r>
      <w:r w:rsidR="00577038" w:rsidRPr="00762F09">
        <w:t xml:space="preserve"> </w:t>
      </w:r>
      <w:r w:rsidRPr="00762F09">
        <w:t xml:space="preserve">illicit product trafficking from one </w:t>
      </w:r>
      <w:r w:rsidR="00577038">
        <w:t>S</w:t>
      </w:r>
      <w:r w:rsidR="00577038" w:rsidRPr="00762F09">
        <w:t xml:space="preserve">tate </w:t>
      </w:r>
      <w:r w:rsidRPr="00762F09">
        <w:t>to another or across international borders.</w:t>
      </w:r>
      <w:r>
        <w:t xml:space="preserve">  </w:t>
      </w:r>
      <w:r w:rsidR="00FA2AAB" w:rsidRPr="00762F09">
        <w:t>ATF</w:t>
      </w:r>
      <w:r w:rsidR="00577038">
        <w:t>’s</w:t>
      </w:r>
      <w:r w:rsidR="00FA2AAB" w:rsidRPr="00762F09">
        <w:t xml:space="preserve"> </w:t>
      </w:r>
      <w:r w:rsidR="00905B7C">
        <w:t>a</w:t>
      </w:r>
      <w:r w:rsidR="00FA2AAB" w:rsidRPr="00762F09">
        <w:t xml:space="preserve">lcohol and </w:t>
      </w:r>
      <w:r w:rsidR="00905B7C">
        <w:t>t</w:t>
      </w:r>
      <w:r w:rsidR="00FA2AAB" w:rsidRPr="00762F09">
        <w:t xml:space="preserve">obacco diversion program </w:t>
      </w:r>
      <w:r w:rsidR="00577038">
        <w:t>curtails</w:t>
      </w:r>
      <w:r w:rsidR="00577038" w:rsidRPr="00762F09">
        <w:t xml:space="preserve"> </w:t>
      </w:r>
      <w:r w:rsidR="00FA2AAB" w:rsidRPr="00762F09">
        <w:t xml:space="preserve">criminal activities that </w:t>
      </w:r>
      <w:r w:rsidR="00577038">
        <w:t>produce revenues for</w:t>
      </w:r>
      <w:r w:rsidR="00FA2AAB" w:rsidRPr="00762F09">
        <w:t xml:space="preserve"> funding violent criminal and terrorist</w:t>
      </w:r>
      <w:r w:rsidR="00FA2AAB" w:rsidRPr="00762F09">
        <w:rPr>
          <w:b/>
          <w:color w:val="FF6600"/>
        </w:rPr>
        <w:t xml:space="preserve"> </w:t>
      </w:r>
      <w:r w:rsidR="00FA2AAB" w:rsidRPr="00762F09">
        <w:t xml:space="preserve">activities.  </w:t>
      </w:r>
      <w:bookmarkStart w:id="54" w:name="_Toc224026888"/>
    </w:p>
    <w:p w:rsidR="00D744D0" w:rsidRDefault="00FA2AAB" w:rsidP="00D744D0">
      <w:pPr>
        <w:pStyle w:val="xl19"/>
        <w:tabs>
          <w:tab w:val="left" w:pos="1080"/>
        </w:tabs>
        <w:spacing w:before="100" w:beforeAutospacing="1" w:after="100" w:afterAutospacing="1"/>
      </w:pPr>
      <w:r w:rsidRPr="00762F09">
        <w:t>b. Strategies to Accomplish Outcomes</w:t>
      </w:r>
      <w:bookmarkEnd w:id="54"/>
    </w:p>
    <w:p w:rsidR="00D744D0" w:rsidRDefault="00FA2AAB" w:rsidP="00D744D0">
      <w:pPr>
        <w:pStyle w:val="xl19"/>
        <w:tabs>
          <w:tab w:val="left" w:pos="1080"/>
        </w:tabs>
        <w:spacing w:before="100" w:beforeAutospacing="1" w:after="100" w:afterAutospacing="1"/>
      </w:pPr>
      <w:r w:rsidRPr="00D744D0">
        <w:t xml:space="preserve">ATF serves as the primary </w:t>
      </w:r>
      <w:r w:rsidR="00FA18B3" w:rsidRPr="00D744D0">
        <w:t xml:space="preserve">federal </w:t>
      </w:r>
      <w:r w:rsidRPr="00D744D0">
        <w:t xml:space="preserve">law enforcement agency in the investigation of the diversion of alcohol and tobacco products.  Armed with investigative </w:t>
      </w:r>
      <w:r w:rsidR="00577038" w:rsidRPr="00D744D0">
        <w:t xml:space="preserve">authority as well as </w:t>
      </w:r>
      <w:r w:rsidRPr="00D744D0">
        <w:t xml:space="preserve">technical and scientific expertise, ATF investigates and dismantles schemes </w:t>
      </w:r>
      <w:r w:rsidR="00577038" w:rsidRPr="00D744D0">
        <w:t xml:space="preserve">that divert </w:t>
      </w:r>
      <w:r w:rsidRPr="00D744D0">
        <w:t>alcohol and tobacco products from low tax jurisdictions to high tax jurisdictions</w:t>
      </w:r>
      <w:r w:rsidR="00B83E58" w:rsidRPr="00D744D0">
        <w:t xml:space="preserve"> and removes the proceeds of </w:t>
      </w:r>
      <w:r w:rsidR="00B17292" w:rsidRPr="00D744D0">
        <w:t xml:space="preserve">such </w:t>
      </w:r>
      <w:r w:rsidR="00B83E58" w:rsidRPr="00D744D0">
        <w:t>activity from the hands of organized crime enterprises</w:t>
      </w:r>
      <w:r w:rsidRPr="00D744D0">
        <w:t>.</w:t>
      </w:r>
    </w:p>
    <w:p w:rsidR="00D744D0" w:rsidRDefault="00FA2AAB" w:rsidP="00D744D0">
      <w:pPr>
        <w:pStyle w:val="xl19"/>
        <w:tabs>
          <w:tab w:val="left" w:pos="1080"/>
        </w:tabs>
        <w:spacing w:before="100" w:beforeAutospacing="1" w:after="100" w:afterAutospacing="1"/>
      </w:pPr>
      <w:r w:rsidRPr="00D744D0">
        <w:t>ATF partner</w:t>
      </w:r>
      <w:r w:rsidR="00B17292" w:rsidRPr="00D744D0">
        <w:t>s</w:t>
      </w:r>
      <w:r w:rsidRPr="00D744D0">
        <w:t xml:space="preserve"> with </w:t>
      </w:r>
      <w:r w:rsidR="00B17292" w:rsidRPr="00D744D0">
        <w:t>F</w:t>
      </w:r>
      <w:r w:rsidR="00FA18B3" w:rsidRPr="00D744D0">
        <w:t>ederal</w:t>
      </w:r>
      <w:r w:rsidRPr="00D744D0">
        <w:t xml:space="preserve">, </w:t>
      </w:r>
      <w:r w:rsidR="00B17292" w:rsidRPr="00D744D0">
        <w:t>S</w:t>
      </w:r>
      <w:r w:rsidR="00FA18B3" w:rsidRPr="00D744D0">
        <w:t>tate</w:t>
      </w:r>
      <w:r w:rsidRPr="00D744D0">
        <w:t xml:space="preserve">, local, tribal and international law enforcement agencies to combat the illegal diversion of alcohol and contraband cigarette trafficking.  </w:t>
      </w:r>
      <w:r w:rsidR="00B17292" w:rsidRPr="00D744D0">
        <w:t xml:space="preserve">ATF achieves its </w:t>
      </w:r>
      <w:r w:rsidRPr="00D744D0">
        <w:t>objective by sharing intelligence and investigative information and by providing comprehensive training to ATF</w:t>
      </w:r>
      <w:r w:rsidRPr="00D744D0">
        <w:rPr>
          <w:color w:val="FF0000"/>
        </w:rPr>
        <w:t xml:space="preserve"> </w:t>
      </w:r>
      <w:r w:rsidRPr="00D744D0">
        <w:t>partners to increase their proficiency in identifying and investigating alcohol and tobacco criminal activity.  ATF</w:t>
      </w:r>
      <w:r w:rsidR="00B17292" w:rsidRPr="00D744D0">
        <w:t>-provided training</w:t>
      </w:r>
      <w:r w:rsidRPr="00D744D0">
        <w:t xml:space="preserve"> </w:t>
      </w:r>
      <w:r w:rsidR="00B17292" w:rsidRPr="00D744D0">
        <w:t>empowers</w:t>
      </w:r>
      <w:r w:rsidRPr="00D744D0">
        <w:t xml:space="preserve"> enforcement partners to </w:t>
      </w:r>
      <w:r w:rsidR="00B17292" w:rsidRPr="00D744D0">
        <w:t>apply</w:t>
      </w:r>
      <w:r w:rsidRPr="00D744D0">
        <w:t xml:space="preserve"> </w:t>
      </w:r>
      <w:r w:rsidR="00B17292" w:rsidRPr="00D744D0">
        <w:t xml:space="preserve">Federal </w:t>
      </w:r>
      <w:r w:rsidRPr="00D744D0">
        <w:t>forfeiture statutes to divest criminal groups of assets derived from diversion and trafficking activit</w:t>
      </w:r>
      <w:r w:rsidR="00B17292" w:rsidRPr="00D744D0">
        <w:t>ies</w:t>
      </w:r>
      <w:r w:rsidRPr="00D744D0">
        <w:t xml:space="preserve">.  </w:t>
      </w:r>
    </w:p>
    <w:p w:rsidR="00C34432" w:rsidRDefault="00FA2AAB" w:rsidP="00D744D0">
      <w:pPr>
        <w:pStyle w:val="xl19"/>
        <w:tabs>
          <w:tab w:val="left" w:pos="1080"/>
        </w:tabs>
        <w:spacing w:before="100" w:beforeAutospacing="1" w:after="100" w:afterAutospacing="1"/>
      </w:pPr>
      <w:r w:rsidRPr="00762F09">
        <w:t>Crosscutting Activities</w:t>
      </w:r>
    </w:p>
    <w:p w:rsidR="00D744D0" w:rsidRDefault="00FA2AAB" w:rsidP="00D744D0">
      <w:pPr>
        <w:pStyle w:val="xl19"/>
        <w:tabs>
          <w:tab w:val="left" w:pos="1080"/>
        </w:tabs>
        <w:spacing w:before="100" w:beforeAutospacing="1" w:after="100" w:afterAutospacing="1"/>
      </w:pPr>
      <w:r w:rsidRPr="00D744D0">
        <w:t>ATF participates in multi-agency efforts such as the Framework Convention on Tobacco Control, the Federation of Tax Administrators, and the Canada/U.S. working group to address illicit alcohol diversion and contraband cigarette trafficking activity.  ATF fosters effective working relationships with alcohol and tobacco industry members as well as law enforcement partnerships with members of the international law enforcement community.</w:t>
      </w:r>
      <w:bookmarkStart w:id="55" w:name="_Toc224026889"/>
    </w:p>
    <w:p w:rsidR="00D744D0" w:rsidRDefault="00FA2AAB" w:rsidP="00D744D0">
      <w:pPr>
        <w:pStyle w:val="xl19"/>
        <w:tabs>
          <w:tab w:val="left" w:pos="1080"/>
        </w:tabs>
        <w:spacing w:before="100" w:beforeAutospacing="1" w:after="100" w:afterAutospacing="1"/>
      </w:pPr>
      <w:r w:rsidRPr="00762F09">
        <w:t>Alcohol and Tobacco Information Technology</w:t>
      </w:r>
      <w:bookmarkEnd w:id="55"/>
    </w:p>
    <w:p w:rsidR="00280ADE" w:rsidRDefault="00FA2AAB" w:rsidP="00D744D0">
      <w:pPr>
        <w:pStyle w:val="xl19"/>
        <w:tabs>
          <w:tab w:val="left" w:pos="1080"/>
        </w:tabs>
        <w:spacing w:before="100" w:beforeAutospacing="1" w:after="100" w:afterAutospacing="1"/>
      </w:pPr>
      <w:r w:rsidRPr="00D744D0">
        <w:t xml:space="preserve">ATF </w:t>
      </w:r>
      <w:r w:rsidR="007D690B" w:rsidRPr="00D744D0">
        <w:t>pursues</w:t>
      </w:r>
      <w:r w:rsidRPr="00D744D0">
        <w:t xml:space="preserve"> </w:t>
      </w:r>
      <w:r w:rsidR="00BE76DD" w:rsidRPr="00D744D0">
        <w:t>I</w:t>
      </w:r>
      <w:r w:rsidRPr="00D744D0">
        <w:t xml:space="preserve">nformation </w:t>
      </w:r>
      <w:r w:rsidR="00BE76DD" w:rsidRPr="00D744D0">
        <w:t>T</w:t>
      </w:r>
      <w:r w:rsidRPr="00D744D0">
        <w:t>echnology projects that advance the investigation of alcohol and tobacco diversion.  For</w:t>
      </w:r>
      <w:r w:rsidRPr="00D744D0">
        <w:rPr>
          <w:color w:val="FF6600"/>
        </w:rPr>
        <w:t xml:space="preserve"> </w:t>
      </w:r>
      <w:r w:rsidRPr="00D744D0">
        <w:t>example, the Law Enforcement Information Sharing Program (LEISP) project reduce</w:t>
      </w:r>
      <w:r w:rsidR="007D690B" w:rsidRPr="00D744D0">
        <w:t>s</w:t>
      </w:r>
      <w:r w:rsidRPr="00D744D0">
        <w:t xml:space="preserve"> redundancy, make</w:t>
      </w:r>
      <w:r w:rsidR="007D690B" w:rsidRPr="00D744D0">
        <w:t>s</w:t>
      </w:r>
      <w:r w:rsidRPr="00D744D0">
        <w:t xml:space="preserve"> information in disparate systems accessible, and create</w:t>
      </w:r>
      <w:r w:rsidR="007D690B" w:rsidRPr="00D744D0">
        <w:t>s</w:t>
      </w:r>
      <w:r w:rsidRPr="00D744D0">
        <w:t xml:space="preserve"> an infrastructure to share information efficiently and seamlessly </w:t>
      </w:r>
      <w:r w:rsidR="007D690B" w:rsidRPr="00D744D0">
        <w:t>among</w:t>
      </w:r>
      <w:r w:rsidRPr="00D744D0">
        <w:rPr>
          <w:color w:val="FF0000"/>
        </w:rPr>
        <w:t xml:space="preserve"> </w:t>
      </w:r>
      <w:r w:rsidR="007D690B" w:rsidRPr="00D744D0">
        <w:t>Federal</w:t>
      </w:r>
      <w:r w:rsidRPr="00D744D0">
        <w:t xml:space="preserve">, </w:t>
      </w:r>
      <w:r w:rsidR="007D690B" w:rsidRPr="00D744D0">
        <w:t>State</w:t>
      </w:r>
      <w:r w:rsidRPr="00D744D0">
        <w:t>, and local law enforcement partners.  LEISP enhances the ability of agents and IOIs to share investigative information in order to link and solve complex alcohol and tobacco diversion crimes.</w:t>
      </w:r>
    </w:p>
    <w:p w:rsidR="00DE7CE9" w:rsidRDefault="00DE7CE9">
      <w:pPr>
        <w:rPr>
          <w:b/>
          <w:bCs/>
        </w:rPr>
      </w:pPr>
      <w:r>
        <w:rPr>
          <w:b/>
          <w:bCs/>
        </w:rPr>
        <w:br w:type="page"/>
      </w:r>
    </w:p>
    <w:p w:rsidR="00C71EBF" w:rsidRDefault="00C71EBF" w:rsidP="00C71EBF">
      <w:pPr>
        <w:rPr>
          <w:b/>
          <w:bCs/>
        </w:rPr>
      </w:pPr>
      <w:r>
        <w:rPr>
          <w:b/>
          <w:bCs/>
        </w:rPr>
        <w:lastRenderedPageBreak/>
        <w:t xml:space="preserve">V. Program Increases by </w:t>
      </w:r>
      <w:r w:rsidR="00C70BF1">
        <w:rPr>
          <w:b/>
          <w:bCs/>
        </w:rPr>
        <w:t>Item</w:t>
      </w:r>
      <w:r>
        <w:rPr>
          <w:b/>
          <w:bCs/>
        </w:rPr>
        <w:t>:</w:t>
      </w:r>
    </w:p>
    <w:p w:rsidR="009A5B76" w:rsidRDefault="009A5B76" w:rsidP="009A5B76">
      <w:pPr>
        <w:tabs>
          <w:tab w:val="left" w:pos="2340"/>
          <w:tab w:val="right" w:pos="3060"/>
          <w:tab w:val="left" w:pos="3600"/>
          <w:tab w:val="right" w:pos="4500"/>
          <w:tab w:val="left" w:pos="5310"/>
          <w:tab w:val="right" w:pos="6300"/>
        </w:tabs>
        <w:jc w:val="center"/>
      </w:pPr>
    </w:p>
    <w:p w:rsidR="009A5B76" w:rsidRPr="00C70BF1" w:rsidRDefault="00C70BF1" w:rsidP="009A5B76">
      <w:pPr>
        <w:tabs>
          <w:tab w:val="left" w:pos="2340"/>
          <w:tab w:val="right" w:pos="3060"/>
          <w:tab w:val="left" w:pos="3600"/>
          <w:tab w:val="right" w:pos="4500"/>
          <w:tab w:val="left" w:pos="5310"/>
          <w:tab w:val="right" w:pos="6300"/>
        </w:tabs>
        <w:rPr>
          <w:b/>
        </w:rPr>
      </w:pPr>
      <w:r w:rsidRPr="00C70BF1">
        <w:rPr>
          <w:b/>
        </w:rPr>
        <w:t xml:space="preserve">Item Name: </w:t>
      </w:r>
      <w:r w:rsidRPr="00C70BF1">
        <w:rPr>
          <w:b/>
        </w:rPr>
        <w:tab/>
      </w:r>
      <w:r w:rsidRPr="00C70BF1">
        <w:rPr>
          <w:b/>
        </w:rPr>
        <w:tab/>
        <w:t xml:space="preserve">                  </w:t>
      </w:r>
      <w:r w:rsidR="009A5B76" w:rsidRPr="00C70BF1">
        <w:rPr>
          <w:b/>
        </w:rPr>
        <w:t xml:space="preserve">ATF’s Electronic Surveillance </w:t>
      </w:r>
      <w:r w:rsidR="000F1187">
        <w:rPr>
          <w:b/>
        </w:rPr>
        <w:t xml:space="preserve">Capabilities </w:t>
      </w:r>
      <w:r w:rsidR="009A5B76" w:rsidRPr="00C70BF1">
        <w:rPr>
          <w:b/>
        </w:rPr>
        <w:t xml:space="preserve">Program </w:t>
      </w:r>
    </w:p>
    <w:p w:rsidR="00C70BF1" w:rsidRDefault="00C70BF1" w:rsidP="00C70BF1">
      <w:pPr>
        <w:pStyle w:val="xl19"/>
        <w:tabs>
          <w:tab w:val="left" w:pos="3420"/>
          <w:tab w:val="right" w:pos="8640"/>
        </w:tabs>
        <w:ind w:left="3420" w:hanging="3420"/>
        <w:rPr>
          <w:bCs/>
        </w:rPr>
      </w:pPr>
    </w:p>
    <w:p w:rsidR="00C70BF1" w:rsidRPr="00C16770" w:rsidRDefault="00C70BF1" w:rsidP="00C70BF1">
      <w:pPr>
        <w:pStyle w:val="xl19"/>
        <w:tabs>
          <w:tab w:val="left" w:pos="3420"/>
          <w:tab w:val="right" w:pos="8640"/>
        </w:tabs>
        <w:ind w:left="3420" w:hanging="3420"/>
      </w:pPr>
      <w:r w:rsidRPr="00C16770">
        <w:rPr>
          <w:bCs/>
        </w:rPr>
        <w:t>Budget Decision Unit(s):</w:t>
      </w:r>
      <w:r w:rsidRPr="00C16770">
        <w:t xml:space="preserve"> </w:t>
      </w:r>
      <w:r w:rsidRPr="00C16770">
        <w:tab/>
      </w:r>
      <w:r>
        <w:t xml:space="preserve">Firearms, Arson &amp; Explosives, Alcohol &amp; Tobacco </w:t>
      </w:r>
    </w:p>
    <w:p w:rsidR="00C70BF1" w:rsidRPr="00C16770" w:rsidRDefault="00C70BF1" w:rsidP="00C70BF1">
      <w:pPr>
        <w:pStyle w:val="xl19"/>
        <w:tabs>
          <w:tab w:val="left" w:pos="3420"/>
          <w:tab w:val="right" w:pos="8640"/>
        </w:tabs>
      </w:pPr>
      <w:r w:rsidRPr="00C16770">
        <w:tab/>
        <w:t xml:space="preserve">                                                     </w:t>
      </w:r>
    </w:p>
    <w:p w:rsidR="00C70BF1" w:rsidRPr="00C16770" w:rsidRDefault="00C70BF1" w:rsidP="00C70BF1">
      <w:pPr>
        <w:pStyle w:val="xl19"/>
        <w:tabs>
          <w:tab w:val="left" w:pos="3420"/>
          <w:tab w:val="right" w:pos="8640"/>
        </w:tabs>
        <w:ind w:left="3420" w:hanging="3420"/>
      </w:pPr>
      <w:r w:rsidRPr="00C16770">
        <w:rPr>
          <w:bCs/>
        </w:rPr>
        <w:t>Strategic Goal(s) &amp; Objective(s):</w:t>
      </w:r>
      <w:r w:rsidRPr="00C16770">
        <w:t xml:space="preserve"> </w:t>
      </w:r>
      <w:r w:rsidRPr="00C16770">
        <w:tab/>
        <w:t xml:space="preserve">Strategic Goal 1: Prevent Terrorism and Promote the Nation’s Security, Objectives 1.1 and 1.2; </w:t>
      </w:r>
      <w:r w:rsidRPr="00C16770">
        <w:tab/>
      </w:r>
    </w:p>
    <w:p w:rsidR="00C70BF1" w:rsidRPr="00C16770" w:rsidRDefault="00C70BF1" w:rsidP="00C70BF1">
      <w:pPr>
        <w:pStyle w:val="xl19"/>
        <w:tabs>
          <w:tab w:val="left" w:pos="3420"/>
          <w:tab w:val="right" w:pos="8640"/>
        </w:tabs>
        <w:ind w:left="3420" w:hanging="3420"/>
      </w:pPr>
    </w:p>
    <w:p w:rsidR="00C70BF1" w:rsidRPr="00C16770" w:rsidRDefault="00C70BF1" w:rsidP="00C70BF1">
      <w:pPr>
        <w:pStyle w:val="xl19"/>
        <w:tabs>
          <w:tab w:val="left" w:pos="3420"/>
          <w:tab w:val="right" w:pos="8640"/>
        </w:tabs>
        <w:ind w:left="3420"/>
      </w:pPr>
      <w:r w:rsidRPr="00C16770">
        <w:t>Strategic Goal 2: Prevent Crime, Enforce Federal Laws, and Represent the Rights and Interests of the American People, Objectives 2.1, 2.2</w:t>
      </w:r>
    </w:p>
    <w:p w:rsidR="00C70BF1" w:rsidRPr="00C16770" w:rsidRDefault="00C70BF1" w:rsidP="00C70BF1">
      <w:pPr>
        <w:pStyle w:val="xl19"/>
        <w:tabs>
          <w:tab w:val="left" w:pos="3420"/>
          <w:tab w:val="right" w:pos="8640"/>
        </w:tabs>
      </w:pPr>
    </w:p>
    <w:p w:rsidR="00C70BF1" w:rsidRPr="00C16770" w:rsidRDefault="00C70BF1" w:rsidP="00C70BF1">
      <w:pPr>
        <w:pStyle w:val="xl19"/>
        <w:tabs>
          <w:tab w:val="left" w:pos="3420"/>
          <w:tab w:val="right" w:pos="8640"/>
        </w:tabs>
      </w:pPr>
      <w:r w:rsidRPr="00C16770">
        <w:rPr>
          <w:bCs/>
        </w:rPr>
        <w:t>Organizational Program</w:t>
      </w:r>
      <w:r w:rsidRPr="00C16770">
        <w:t>:</w:t>
      </w:r>
      <w:r w:rsidRPr="00C16770">
        <w:tab/>
      </w:r>
      <w:r>
        <w:t>Bureau-wide</w:t>
      </w:r>
    </w:p>
    <w:p w:rsidR="00C70BF1" w:rsidRPr="00C16770" w:rsidRDefault="00C70BF1" w:rsidP="00C70BF1">
      <w:pPr>
        <w:pStyle w:val="xl19"/>
        <w:tabs>
          <w:tab w:val="left" w:pos="3420"/>
          <w:tab w:val="right" w:pos="8640"/>
        </w:tabs>
      </w:pPr>
      <w:r w:rsidRPr="00C16770">
        <w:tab/>
      </w:r>
    </w:p>
    <w:p w:rsidR="00C70BF1" w:rsidRPr="00C16770" w:rsidRDefault="00C70BF1" w:rsidP="00C70BF1">
      <w:pPr>
        <w:pStyle w:val="xl19"/>
        <w:tabs>
          <w:tab w:val="left" w:pos="3420"/>
          <w:tab w:val="right" w:pos="8640"/>
        </w:tabs>
      </w:pPr>
      <w:r w:rsidRPr="00C16770">
        <w:t>Component Ranking of Item:</w:t>
      </w:r>
      <w:r w:rsidRPr="00C16770">
        <w:tab/>
        <w:t xml:space="preserve">Item </w:t>
      </w:r>
      <w:r>
        <w:t>1</w:t>
      </w:r>
      <w:r w:rsidRPr="00C16770">
        <w:t xml:space="preserve"> of </w:t>
      </w:r>
      <w:r>
        <w:t>1</w:t>
      </w:r>
    </w:p>
    <w:p w:rsidR="009A5B76" w:rsidRPr="00A43386" w:rsidRDefault="009A5B76" w:rsidP="009A5B76">
      <w:pPr>
        <w:tabs>
          <w:tab w:val="left" w:pos="2340"/>
          <w:tab w:val="right" w:pos="3060"/>
          <w:tab w:val="left" w:pos="3600"/>
          <w:tab w:val="right" w:pos="4500"/>
          <w:tab w:val="left" w:pos="5310"/>
          <w:tab w:val="right" w:pos="6300"/>
        </w:tabs>
      </w:pPr>
    </w:p>
    <w:p w:rsidR="009A5B76" w:rsidRPr="00A43386" w:rsidRDefault="009A5B76" w:rsidP="009A5B76">
      <w:pPr>
        <w:tabs>
          <w:tab w:val="left" w:pos="2340"/>
          <w:tab w:val="right" w:pos="3060"/>
          <w:tab w:val="left" w:pos="3600"/>
          <w:tab w:val="right" w:pos="4500"/>
          <w:tab w:val="left" w:pos="5310"/>
          <w:tab w:val="right" w:pos="6300"/>
        </w:tabs>
        <w:rPr>
          <w:u w:val="single"/>
        </w:rPr>
      </w:pPr>
      <w:r w:rsidRPr="00A43386">
        <w:t xml:space="preserve">Program Increase:  </w:t>
      </w:r>
      <w:r w:rsidRPr="00A43386">
        <w:tab/>
      </w:r>
      <w:r w:rsidR="00C70BF1">
        <w:tab/>
        <w:t xml:space="preserve">                  </w:t>
      </w:r>
      <w:r w:rsidRPr="00A43386">
        <w:t xml:space="preserve">Positions  </w:t>
      </w:r>
      <w:r w:rsidRPr="00A43386">
        <w:rPr>
          <w:u w:val="single"/>
        </w:rPr>
        <w:t>8</w:t>
      </w:r>
      <w:r w:rsidRPr="00A43386">
        <w:t xml:space="preserve">   FTE  </w:t>
      </w:r>
      <w:r w:rsidRPr="00A43386">
        <w:rPr>
          <w:u w:val="single"/>
        </w:rPr>
        <w:t>4</w:t>
      </w:r>
      <w:r w:rsidRPr="00A43386">
        <w:t xml:space="preserve">   Dollars  </w:t>
      </w:r>
      <w:r w:rsidRPr="00A43386">
        <w:rPr>
          <w:u w:val="single"/>
        </w:rPr>
        <w:t>$1,519,000</w:t>
      </w:r>
    </w:p>
    <w:p w:rsidR="009A5B76" w:rsidRPr="00A43386" w:rsidRDefault="009A5B76" w:rsidP="009A5B76"/>
    <w:p w:rsidR="009A5B76" w:rsidRPr="00A43386" w:rsidRDefault="009A5B76" w:rsidP="009A5B76">
      <w:pPr>
        <w:rPr>
          <w:u w:val="single"/>
        </w:rPr>
      </w:pPr>
      <w:r w:rsidRPr="00A43386">
        <w:rPr>
          <w:u w:val="single"/>
        </w:rPr>
        <w:t>Description of Item</w:t>
      </w:r>
    </w:p>
    <w:p w:rsidR="009A5B76" w:rsidRPr="00A43386" w:rsidRDefault="009A5B76" w:rsidP="009A5B76">
      <w:pPr>
        <w:rPr>
          <w:u w:val="single"/>
        </w:rPr>
      </w:pPr>
    </w:p>
    <w:p w:rsidR="00925FAF" w:rsidRDefault="00925FAF" w:rsidP="00925FAF">
      <w:r>
        <w:t xml:space="preserve">The ability of federal, state, and local law enforcement authorities to successfully conduct lawfully-authorized electronic surveillance, in a manner that preserves both a secure, robust, and innovative communications infrastructure and protects privacy and civil liberties, is essential to combating crime and protecting public safety.  Electronic surveillance not only provides otherwise unobtainable evidence of criminal activity, but also helps law enforcement authorities to prevent crimes and save lives.  However, due to changes in the volume and complexity of today’s communications services and technologies, law enforcement agencies face growing challenges to their ability to access, intercept, collect and process wire or electronic communications to which they are lawfully authorized.  </w:t>
      </w:r>
    </w:p>
    <w:p w:rsidR="00925FAF" w:rsidRDefault="00925FAF" w:rsidP="00925FAF"/>
    <w:p w:rsidR="00925FAF" w:rsidRDefault="00925FAF" w:rsidP="00925FAF">
      <w:pPr>
        <w:pStyle w:val="Header"/>
        <w:keepNext/>
        <w:keepLines/>
        <w:tabs>
          <w:tab w:val="clear" w:pos="4320"/>
          <w:tab w:val="clear" w:pos="8640"/>
        </w:tabs>
        <w:rPr>
          <w:b/>
          <w:bCs/>
          <w:sz w:val="28"/>
          <w:lang w:val="en-CA"/>
        </w:rPr>
      </w:pPr>
      <w:r>
        <w:t>The Department has been working to identify the challenges and propose solutions related to law enforcement’s electronic surveillance capabilities.   One way to help address some of these challenges is to establish a Domestic Communications Assistance Center (DCAC).  The DCAC would leverage the research and development efforts of federal law enforcement, facilitate the sharing of technology between agencies, strengthen compliance with the Communications Assistance for Law Enforcement Act (CALEA); and seek to build more effective relations with the communications industry.</w:t>
      </w:r>
    </w:p>
    <w:p w:rsidR="00925FAF" w:rsidRDefault="00925FAF" w:rsidP="00925FAF">
      <w:pPr>
        <w:pStyle w:val="Level1"/>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925FAF" w:rsidRDefault="00925FAF" w:rsidP="00925FAF">
      <w:pPr>
        <w:pStyle w:val="Level1"/>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r>
        <w:t xml:space="preserve">Within the total Department initiative, $1,519,000 and 8 positions (6 agents), to be located at the Department’s Domestic Communications Assistance Center, is proposed for </w:t>
      </w:r>
      <w:r w:rsidR="004F58FB">
        <w:t>ATF</w:t>
      </w:r>
      <w:r>
        <w:t>.</w:t>
      </w:r>
    </w:p>
    <w:p w:rsidR="009A5B76" w:rsidRPr="00A43386" w:rsidRDefault="009A5B76" w:rsidP="009A5B76">
      <w:pPr>
        <w:pStyle w:val="Level1"/>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9A5B76" w:rsidRPr="00A43386" w:rsidRDefault="009A5B76" w:rsidP="009A5B76">
      <w:pPr>
        <w:pStyle w:val="Level1"/>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rPr>
          <w:u w:val="single"/>
        </w:rPr>
      </w:pPr>
      <w:r w:rsidRPr="00A43386">
        <w:rPr>
          <w:u w:val="single"/>
        </w:rPr>
        <w:t>Justification</w:t>
      </w:r>
    </w:p>
    <w:p w:rsidR="009A5B76" w:rsidRPr="00A43386" w:rsidRDefault="009A5B76" w:rsidP="009A5B76">
      <w:pPr>
        <w:pStyle w:val="Level1"/>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925FAF" w:rsidRPr="00AD69C7" w:rsidRDefault="00925FAF" w:rsidP="00925FAF">
      <w:pPr>
        <w:rPr>
          <w:bCs/>
        </w:rPr>
      </w:pPr>
      <w:r>
        <w:t xml:space="preserve">The </w:t>
      </w:r>
      <w:smartTag w:uri="urn:schemas-microsoft-com:office:smarttags" w:element="place">
        <w:smartTag w:uri="urn:schemas-microsoft-com:office:smarttags" w:element="PlaceName">
          <w:r>
            <w:t>Domestic</w:t>
          </w:r>
        </w:smartTag>
        <w:r>
          <w:t xml:space="preserve"> </w:t>
        </w:r>
        <w:smartTag w:uri="urn:schemas-microsoft-com:office:smarttags" w:element="PlaceName">
          <w:r>
            <w:t>Communications</w:t>
          </w:r>
        </w:smartTag>
        <w:r>
          <w:t xml:space="preserve"> </w:t>
        </w:r>
        <w:smartTag w:uri="urn:schemas-microsoft-com:office:smarttags" w:element="PlaceName">
          <w:r>
            <w:t>Assistance</w:t>
          </w:r>
        </w:smartTag>
        <w:r>
          <w:t xml:space="preserve"> </w:t>
        </w:r>
        <w:smartTag w:uri="urn:schemas-microsoft-com:office:smarttags" w:element="PlaceType">
          <w:r>
            <w:t>Center</w:t>
          </w:r>
        </w:smartTag>
      </w:smartTag>
      <w:r>
        <w:rPr>
          <w:bCs/>
        </w:rPr>
        <w:t xml:space="preserve"> would strengthen and centralize Law Enforcement Coordination, Technology Sharing, CALEA Implementation, and Industry </w:t>
      </w:r>
      <w:r>
        <w:rPr>
          <w:bCs/>
        </w:rPr>
        <w:lastRenderedPageBreak/>
        <w:t xml:space="preserve">Relations.  </w:t>
      </w:r>
      <w:r w:rsidRPr="00AD69C7">
        <w:rPr>
          <w:bCs/>
        </w:rPr>
        <w:t xml:space="preserve">The DCAC will serve as a hub for the management of knowledge and technical expertise regarding lawful electronic surveillance, facilitate the sharing of solutions and know-how among federal, state and local law enforcement agencies, and improve relations with industry.  </w:t>
      </w:r>
      <w:r>
        <w:rPr>
          <w:bCs/>
        </w:rPr>
        <w:t>The four operational units are</w:t>
      </w:r>
      <w:r w:rsidRPr="00AD69C7">
        <w:rPr>
          <w:bCs/>
        </w:rPr>
        <w:t>:</w:t>
      </w:r>
    </w:p>
    <w:p w:rsidR="00925FAF" w:rsidRDefault="00925FAF" w:rsidP="00925FAF">
      <w:pPr>
        <w:rPr>
          <w:bCs/>
        </w:rPr>
      </w:pPr>
    </w:p>
    <w:p w:rsidR="00925FAF" w:rsidRDefault="00925FAF" w:rsidP="00925FAF">
      <w:pPr>
        <w:ind w:left="720"/>
        <w:rPr>
          <w:bCs/>
        </w:rPr>
      </w:pPr>
      <w:r>
        <w:rPr>
          <w:bCs/>
        </w:rPr>
        <w:t>Law Enforcement Coordination – This unit would identify law enforcement needs related to a specific communications service or provider and direct DCAC resources to address those needs.  With input from federal, state, and local law enforcement, the DCAC would be directed toward addressing the more pressing needs for all of law enforcement.</w:t>
      </w:r>
    </w:p>
    <w:p w:rsidR="00925FAF" w:rsidRDefault="00925FAF" w:rsidP="00925FAF">
      <w:pPr>
        <w:rPr>
          <w:bCs/>
        </w:rPr>
      </w:pPr>
    </w:p>
    <w:p w:rsidR="00925FAF" w:rsidRDefault="00925FAF" w:rsidP="00925FAF">
      <w:pPr>
        <w:ind w:left="720"/>
        <w:rPr>
          <w:bCs/>
        </w:rPr>
      </w:pPr>
      <w:r>
        <w:rPr>
          <w:bCs/>
        </w:rPr>
        <w:t>Technology Sharing – This unit would serve as a resource center that can identify technical capabilities for use by federal, state and local law enforcement.  In addition, the unit would assist the customer agency by making referrals to agencies with the requisite technical tools or expertise.</w:t>
      </w:r>
    </w:p>
    <w:p w:rsidR="00925FAF" w:rsidRDefault="00925FAF" w:rsidP="00925FAF">
      <w:pPr>
        <w:ind w:left="720"/>
        <w:rPr>
          <w:bCs/>
        </w:rPr>
      </w:pPr>
    </w:p>
    <w:p w:rsidR="00925FAF" w:rsidRDefault="00925FAF" w:rsidP="00925FAF">
      <w:pPr>
        <w:ind w:left="720"/>
        <w:rPr>
          <w:bCs/>
        </w:rPr>
      </w:pPr>
      <w:r>
        <w:rPr>
          <w:bCs/>
        </w:rPr>
        <w:t xml:space="preserve">CALEA Implementation – This unit would be detailed from the FBI, which is currently responsible for implementing CALEA, to the DCAC.  The unit would be expanded to more effectively test and evaluate CALEA-mandated solutions and identify deficiencies in industry-developed technical standards. </w:t>
      </w:r>
    </w:p>
    <w:p w:rsidR="00925FAF" w:rsidRDefault="00925FAF" w:rsidP="00925FAF">
      <w:pPr>
        <w:ind w:left="720"/>
        <w:rPr>
          <w:bCs/>
        </w:rPr>
      </w:pPr>
    </w:p>
    <w:p w:rsidR="00925FAF" w:rsidRDefault="00925FAF" w:rsidP="00925FAF">
      <w:pPr>
        <w:ind w:left="720"/>
        <w:rPr>
          <w:bCs/>
        </w:rPr>
      </w:pPr>
      <w:r>
        <w:rPr>
          <w:bCs/>
        </w:rPr>
        <w:t>Industry Relations – Through this unit, the DCAC would be capable of representing consensus law enforcement positions and would focus and prioritize requests made to industry by law enforcement.</w:t>
      </w:r>
    </w:p>
    <w:p w:rsidR="009A5B76" w:rsidRDefault="009A5B76" w:rsidP="009A5B76">
      <w:pPr>
        <w:spacing w:line="264" w:lineRule="auto"/>
      </w:pPr>
      <w:r>
        <w:br w:type="page"/>
      </w:r>
    </w:p>
    <w:p w:rsidR="009A5B76" w:rsidRPr="00015820" w:rsidRDefault="009A5B76" w:rsidP="009A5B76">
      <w:pPr>
        <w:pStyle w:val="Heading1"/>
        <w:rPr>
          <w:rFonts w:ascii="Times New Roman" w:hAnsi="Times New Roman"/>
          <w:bCs/>
          <w:szCs w:val="24"/>
        </w:rPr>
      </w:pPr>
      <w:r w:rsidRPr="00015820">
        <w:rPr>
          <w:rFonts w:ascii="Times New Roman" w:hAnsi="Times New Roman"/>
          <w:bCs/>
          <w:szCs w:val="24"/>
        </w:rPr>
        <w:lastRenderedPageBreak/>
        <w:t>Funding</w:t>
      </w:r>
    </w:p>
    <w:p w:rsidR="009A5B76" w:rsidRPr="00015820" w:rsidRDefault="009A5B76" w:rsidP="009A5B76">
      <w:pPr>
        <w:pStyle w:val="xl24"/>
        <w:spacing w:before="0" w:after="0"/>
      </w:pPr>
      <w:r w:rsidRPr="00015820">
        <w:t xml:space="preserve">Electronic Surveillance </w:t>
      </w:r>
      <w:r w:rsidR="000F1187">
        <w:t xml:space="preserve">Capabilities </w:t>
      </w:r>
      <w:r w:rsidRPr="00015820">
        <w:t>Base Funding</w:t>
      </w:r>
    </w:p>
    <w:tbl>
      <w:tblPr>
        <w:tblW w:w="9768" w:type="dxa"/>
        <w:jc w:val="center"/>
        <w:tblInd w:w="93" w:type="dxa"/>
        <w:tblLook w:val="00A0"/>
      </w:tblPr>
      <w:tblGrid>
        <w:gridCol w:w="564"/>
        <w:gridCol w:w="808"/>
        <w:gridCol w:w="801"/>
        <w:gridCol w:w="1086"/>
        <w:gridCol w:w="746"/>
        <w:gridCol w:w="650"/>
        <w:gridCol w:w="643"/>
        <w:gridCol w:w="1197"/>
        <w:gridCol w:w="630"/>
        <w:gridCol w:w="719"/>
        <w:gridCol w:w="643"/>
        <w:gridCol w:w="1281"/>
      </w:tblGrid>
      <w:tr w:rsidR="009A5B76" w:rsidRPr="00015820" w:rsidTr="00E5640A">
        <w:trPr>
          <w:trHeight w:val="255"/>
          <w:jc w:val="center"/>
        </w:trPr>
        <w:tc>
          <w:tcPr>
            <w:tcW w:w="3264" w:type="dxa"/>
            <w:gridSpan w:val="4"/>
            <w:tcBorders>
              <w:top w:val="single" w:sz="8" w:space="0" w:color="auto"/>
              <w:left w:val="single" w:sz="8" w:space="0" w:color="auto"/>
              <w:bottom w:val="single" w:sz="4" w:space="0" w:color="auto"/>
              <w:right w:val="single" w:sz="8" w:space="0" w:color="000000"/>
            </w:tcBorders>
            <w:shd w:val="clear" w:color="000000" w:fill="E6E6E6"/>
          </w:tcPr>
          <w:p w:rsidR="009A5B76" w:rsidRPr="00015820" w:rsidRDefault="009A5B76" w:rsidP="00E5640A">
            <w:pPr>
              <w:jc w:val="center"/>
              <w:rPr>
                <w:color w:val="000000"/>
              </w:rPr>
            </w:pPr>
            <w:r w:rsidRPr="00015820">
              <w:rPr>
                <w:color w:val="000000"/>
              </w:rPr>
              <w:t>FY 2010 Enacted</w:t>
            </w:r>
          </w:p>
        </w:tc>
        <w:tc>
          <w:tcPr>
            <w:tcW w:w="3240" w:type="dxa"/>
            <w:gridSpan w:val="4"/>
            <w:tcBorders>
              <w:top w:val="single" w:sz="8" w:space="0" w:color="auto"/>
              <w:left w:val="nil"/>
              <w:bottom w:val="single" w:sz="4" w:space="0" w:color="auto"/>
              <w:right w:val="single" w:sz="8" w:space="0" w:color="000000"/>
            </w:tcBorders>
            <w:shd w:val="clear" w:color="000000" w:fill="E6E6E6"/>
          </w:tcPr>
          <w:p w:rsidR="009A5B76" w:rsidRPr="00015820" w:rsidRDefault="009A5B76" w:rsidP="00E5640A">
            <w:pPr>
              <w:jc w:val="center"/>
              <w:rPr>
                <w:color w:val="000000"/>
              </w:rPr>
            </w:pPr>
            <w:r w:rsidRPr="00015820">
              <w:rPr>
                <w:color w:val="000000"/>
              </w:rPr>
              <w:t>FY 2011 President’s Budget</w:t>
            </w:r>
          </w:p>
        </w:tc>
        <w:tc>
          <w:tcPr>
            <w:tcW w:w="3264" w:type="dxa"/>
            <w:gridSpan w:val="4"/>
            <w:tcBorders>
              <w:top w:val="single" w:sz="8" w:space="0" w:color="auto"/>
              <w:left w:val="nil"/>
              <w:bottom w:val="single" w:sz="4" w:space="0" w:color="auto"/>
              <w:right w:val="single" w:sz="8" w:space="0" w:color="000000"/>
            </w:tcBorders>
            <w:shd w:val="clear" w:color="000000" w:fill="E6E6E6"/>
          </w:tcPr>
          <w:p w:rsidR="009A5B76" w:rsidRPr="00015820" w:rsidRDefault="009A5B76" w:rsidP="00E5640A">
            <w:pPr>
              <w:jc w:val="center"/>
              <w:rPr>
                <w:color w:val="000000"/>
              </w:rPr>
            </w:pPr>
            <w:r w:rsidRPr="00015820">
              <w:rPr>
                <w:color w:val="000000"/>
              </w:rPr>
              <w:t>FY 2012 Current Services</w:t>
            </w:r>
          </w:p>
        </w:tc>
      </w:tr>
      <w:tr w:rsidR="009A5B76" w:rsidRPr="00015820" w:rsidTr="00E5640A">
        <w:trPr>
          <w:trHeight w:val="475"/>
          <w:jc w:val="center"/>
        </w:trPr>
        <w:tc>
          <w:tcPr>
            <w:tcW w:w="564" w:type="dxa"/>
            <w:tcBorders>
              <w:top w:val="nil"/>
              <w:left w:val="single" w:sz="8" w:space="0" w:color="auto"/>
              <w:bottom w:val="single" w:sz="4" w:space="0" w:color="auto"/>
              <w:right w:val="single" w:sz="4" w:space="0" w:color="auto"/>
            </w:tcBorders>
            <w:vAlign w:val="bottom"/>
          </w:tcPr>
          <w:p w:rsidR="009A5B76" w:rsidRPr="00015820" w:rsidRDefault="009A5B76" w:rsidP="00E5640A">
            <w:pPr>
              <w:jc w:val="right"/>
              <w:rPr>
                <w:color w:val="000000"/>
              </w:rPr>
            </w:pPr>
            <w:r w:rsidRPr="00015820">
              <w:rPr>
                <w:color w:val="000000"/>
              </w:rPr>
              <w:t>Pos</w:t>
            </w:r>
          </w:p>
        </w:tc>
        <w:tc>
          <w:tcPr>
            <w:tcW w:w="810" w:type="dxa"/>
            <w:tcBorders>
              <w:top w:val="nil"/>
              <w:left w:val="nil"/>
              <w:bottom w:val="single" w:sz="4" w:space="0" w:color="auto"/>
              <w:right w:val="single" w:sz="4" w:space="0" w:color="auto"/>
            </w:tcBorders>
            <w:vAlign w:val="bottom"/>
          </w:tcPr>
          <w:p w:rsidR="009A5B76" w:rsidRPr="00015820" w:rsidRDefault="009A5B76" w:rsidP="00E5640A">
            <w:pPr>
              <w:jc w:val="right"/>
              <w:rPr>
                <w:color w:val="000000"/>
              </w:rPr>
            </w:pPr>
            <w:proofErr w:type="spellStart"/>
            <w:r>
              <w:rPr>
                <w:color w:val="000000"/>
              </w:rPr>
              <w:t>Agt</w:t>
            </w:r>
            <w:proofErr w:type="spellEnd"/>
          </w:p>
        </w:tc>
        <w:tc>
          <w:tcPr>
            <w:tcW w:w="802" w:type="dxa"/>
            <w:tcBorders>
              <w:top w:val="nil"/>
              <w:left w:val="nil"/>
              <w:bottom w:val="single" w:sz="4" w:space="0" w:color="auto"/>
              <w:right w:val="single" w:sz="4" w:space="0" w:color="auto"/>
            </w:tcBorders>
            <w:vAlign w:val="bottom"/>
          </w:tcPr>
          <w:p w:rsidR="009A5B76" w:rsidRPr="00015820" w:rsidRDefault="009A5B76" w:rsidP="00E5640A">
            <w:pPr>
              <w:jc w:val="right"/>
              <w:rPr>
                <w:color w:val="000000"/>
              </w:rPr>
            </w:pPr>
            <w:r w:rsidRPr="00015820">
              <w:rPr>
                <w:color w:val="000000"/>
              </w:rPr>
              <w:t>FTE</w:t>
            </w:r>
          </w:p>
        </w:tc>
        <w:tc>
          <w:tcPr>
            <w:tcW w:w="1088" w:type="dxa"/>
            <w:tcBorders>
              <w:top w:val="nil"/>
              <w:left w:val="nil"/>
              <w:bottom w:val="single" w:sz="4" w:space="0" w:color="auto"/>
              <w:right w:val="single" w:sz="8" w:space="0" w:color="auto"/>
            </w:tcBorders>
            <w:vAlign w:val="bottom"/>
          </w:tcPr>
          <w:p w:rsidR="009A5B76" w:rsidRPr="00015820" w:rsidRDefault="009A5B76" w:rsidP="00E5640A">
            <w:pPr>
              <w:jc w:val="right"/>
              <w:rPr>
                <w:color w:val="000000"/>
              </w:rPr>
            </w:pPr>
            <w:r>
              <w:rPr>
                <w:color w:val="000000"/>
              </w:rPr>
              <w:t>$(000)</w:t>
            </w:r>
          </w:p>
        </w:tc>
        <w:tc>
          <w:tcPr>
            <w:tcW w:w="747" w:type="dxa"/>
            <w:tcBorders>
              <w:top w:val="single" w:sz="8" w:space="0" w:color="auto"/>
              <w:left w:val="single" w:sz="8" w:space="0" w:color="auto"/>
              <w:bottom w:val="single" w:sz="8" w:space="0" w:color="auto"/>
              <w:right w:val="single" w:sz="4" w:space="0" w:color="auto"/>
            </w:tcBorders>
            <w:vAlign w:val="bottom"/>
          </w:tcPr>
          <w:p w:rsidR="009A5B76" w:rsidRPr="00015820" w:rsidRDefault="009A5B76" w:rsidP="00E5640A">
            <w:pPr>
              <w:jc w:val="right"/>
              <w:rPr>
                <w:color w:val="000000"/>
              </w:rPr>
            </w:pPr>
            <w:r w:rsidRPr="00015820">
              <w:rPr>
                <w:color w:val="000000"/>
              </w:rPr>
              <w:t>Pos</w:t>
            </w:r>
          </w:p>
        </w:tc>
        <w:tc>
          <w:tcPr>
            <w:tcW w:w="651" w:type="dxa"/>
            <w:tcBorders>
              <w:top w:val="nil"/>
              <w:left w:val="nil"/>
              <w:bottom w:val="single" w:sz="4" w:space="0" w:color="auto"/>
              <w:right w:val="single" w:sz="4" w:space="0" w:color="auto"/>
            </w:tcBorders>
            <w:vAlign w:val="bottom"/>
          </w:tcPr>
          <w:p w:rsidR="009A5B76" w:rsidRPr="00015820" w:rsidRDefault="009A5B76" w:rsidP="00E5640A">
            <w:pPr>
              <w:jc w:val="right"/>
              <w:rPr>
                <w:color w:val="000000"/>
              </w:rPr>
            </w:pPr>
            <w:proofErr w:type="spellStart"/>
            <w:r w:rsidRPr="00015820">
              <w:rPr>
                <w:color w:val="000000"/>
              </w:rPr>
              <w:t>Agt</w:t>
            </w:r>
            <w:proofErr w:type="spellEnd"/>
          </w:p>
        </w:tc>
        <w:tc>
          <w:tcPr>
            <w:tcW w:w="643" w:type="dxa"/>
            <w:tcBorders>
              <w:top w:val="nil"/>
              <w:left w:val="nil"/>
              <w:bottom w:val="single" w:sz="4" w:space="0" w:color="auto"/>
              <w:right w:val="single" w:sz="4" w:space="0" w:color="auto"/>
            </w:tcBorders>
            <w:vAlign w:val="bottom"/>
          </w:tcPr>
          <w:p w:rsidR="009A5B76" w:rsidRPr="00015820" w:rsidRDefault="009A5B76" w:rsidP="00E5640A">
            <w:pPr>
              <w:jc w:val="right"/>
              <w:rPr>
                <w:color w:val="000000"/>
              </w:rPr>
            </w:pPr>
            <w:r w:rsidRPr="00015820">
              <w:rPr>
                <w:color w:val="000000"/>
              </w:rPr>
              <w:t>FTE</w:t>
            </w:r>
          </w:p>
        </w:tc>
        <w:tc>
          <w:tcPr>
            <w:tcW w:w="1199" w:type="dxa"/>
            <w:tcBorders>
              <w:top w:val="nil"/>
              <w:left w:val="nil"/>
              <w:bottom w:val="single" w:sz="4" w:space="0" w:color="auto"/>
              <w:right w:val="single" w:sz="8" w:space="0" w:color="auto"/>
            </w:tcBorders>
            <w:vAlign w:val="bottom"/>
          </w:tcPr>
          <w:p w:rsidR="009A5B76" w:rsidRPr="00015820" w:rsidRDefault="009A5B76" w:rsidP="00E5640A">
            <w:pPr>
              <w:jc w:val="right"/>
              <w:rPr>
                <w:color w:val="000000"/>
              </w:rPr>
            </w:pPr>
            <w:r w:rsidRPr="00015820">
              <w:rPr>
                <w:color w:val="000000"/>
              </w:rPr>
              <w:t>$</w:t>
            </w:r>
            <w:r>
              <w:rPr>
                <w:color w:val="000000"/>
              </w:rPr>
              <w:t>(</w:t>
            </w:r>
            <w:r w:rsidRPr="00015820">
              <w:rPr>
                <w:color w:val="000000"/>
              </w:rPr>
              <w:t>0</w:t>
            </w:r>
            <w:r>
              <w:rPr>
                <w:color w:val="000000"/>
              </w:rPr>
              <w:t>00)</w:t>
            </w:r>
          </w:p>
        </w:tc>
        <w:tc>
          <w:tcPr>
            <w:tcW w:w="630" w:type="dxa"/>
            <w:tcBorders>
              <w:top w:val="nil"/>
              <w:left w:val="nil"/>
              <w:bottom w:val="single" w:sz="4" w:space="0" w:color="auto"/>
              <w:right w:val="single" w:sz="4" w:space="0" w:color="auto"/>
            </w:tcBorders>
            <w:vAlign w:val="bottom"/>
          </w:tcPr>
          <w:p w:rsidR="009A5B76" w:rsidRPr="00015820" w:rsidRDefault="009A5B76" w:rsidP="00E5640A">
            <w:pPr>
              <w:jc w:val="right"/>
              <w:rPr>
                <w:color w:val="000000"/>
              </w:rPr>
            </w:pPr>
            <w:r w:rsidRPr="00015820">
              <w:rPr>
                <w:color w:val="000000"/>
              </w:rPr>
              <w:t>Pos</w:t>
            </w:r>
          </w:p>
        </w:tc>
        <w:tc>
          <w:tcPr>
            <w:tcW w:w="720" w:type="dxa"/>
            <w:tcBorders>
              <w:top w:val="nil"/>
              <w:left w:val="nil"/>
              <w:bottom w:val="single" w:sz="4" w:space="0" w:color="auto"/>
              <w:right w:val="single" w:sz="4" w:space="0" w:color="auto"/>
            </w:tcBorders>
            <w:vAlign w:val="bottom"/>
          </w:tcPr>
          <w:p w:rsidR="009A5B76" w:rsidRPr="00015820" w:rsidRDefault="009A5B76" w:rsidP="00E5640A">
            <w:pPr>
              <w:jc w:val="right"/>
              <w:rPr>
                <w:color w:val="000000"/>
              </w:rPr>
            </w:pPr>
            <w:proofErr w:type="spellStart"/>
            <w:r w:rsidRPr="00015820">
              <w:rPr>
                <w:color w:val="000000"/>
              </w:rPr>
              <w:t>Agt</w:t>
            </w:r>
            <w:proofErr w:type="spellEnd"/>
          </w:p>
        </w:tc>
        <w:tc>
          <w:tcPr>
            <w:tcW w:w="630" w:type="dxa"/>
            <w:tcBorders>
              <w:top w:val="nil"/>
              <w:left w:val="nil"/>
              <w:bottom w:val="single" w:sz="4" w:space="0" w:color="auto"/>
              <w:right w:val="single" w:sz="8" w:space="0" w:color="auto"/>
            </w:tcBorders>
            <w:vAlign w:val="bottom"/>
          </w:tcPr>
          <w:p w:rsidR="009A5B76" w:rsidRPr="00015820" w:rsidRDefault="009A5B76" w:rsidP="00E5640A">
            <w:pPr>
              <w:jc w:val="right"/>
              <w:rPr>
                <w:color w:val="000000"/>
              </w:rPr>
            </w:pPr>
            <w:r w:rsidRPr="00015820">
              <w:rPr>
                <w:color w:val="000000"/>
              </w:rPr>
              <w:t>FTE</w:t>
            </w:r>
          </w:p>
        </w:tc>
        <w:tc>
          <w:tcPr>
            <w:tcW w:w="1284" w:type="dxa"/>
            <w:tcBorders>
              <w:top w:val="single" w:sz="8" w:space="0" w:color="auto"/>
              <w:left w:val="single" w:sz="8" w:space="0" w:color="auto"/>
              <w:bottom w:val="single" w:sz="8" w:space="0" w:color="auto"/>
              <w:right w:val="single" w:sz="8" w:space="0" w:color="auto"/>
            </w:tcBorders>
            <w:vAlign w:val="bottom"/>
          </w:tcPr>
          <w:p w:rsidR="009A5B76" w:rsidRPr="00015820" w:rsidRDefault="009A5B76" w:rsidP="00E5640A">
            <w:pPr>
              <w:jc w:val="right"/>
              <w:rPr>
                <w:color w:val="000000"/>
              </w:rPr>
            </w:pPr>
            <w:r w:rsidRPr="00015820">
              <w:rPr>
                <w:color w:val="000000"/>
              </w:rPr>
              <w:t>$</w:t>
            </w:r>
            <w:r>
              <w:rPr>
                <w:color w:val="000000"/>
              </w:rPr>
              <w:t>(</w:t>
            </w:r>
            <w:r w:rsidRPr="00015820">
              <w:rPr>
                <w:color w:val="000000"/>
              </w:rPr>
              <w:t>0</w:t>
            </w:r>
            <w:r>
              <w:rPr>
                <w:color w:val="000000"/>
              </w:rPr>
              <w:t>00)</w:t>
            </w:r>
          </w:p>
        </w:tc>
      </w:tr>
      <w:tr w:rsidR="009A5B76" w:rsidRPr="00015820" w:rsidTr="00E5640A">
        <w:trPr>
          <w:trHeight w:val="250"/>
          <w:jc w:val="center"/>
        </w:trPr>
        <w:tc>
          <w:tcPr>
            <w:tcW w:w="564" w:type="dxa"/>
            <w:tcBorders>
              <w:top w:val="single" w:sz="4" w:space="0" w:color="auto"/>
              <w:left w:val="single" w:sz="8" w:space="0" w:color="auto"/>
              <w:bottom w:val="single" w:sz="8" w:space="0" w:color="auto"/>
              <w:right w:val="single" w:sz="4" w:space="0" w:color="auto"/>
            </w:tcBorders>
            <w:vAlign w:val="bottom"/>
          </w:tcPr>
          <w:p w:rsidR="009A5B76" w:rsidRPr="00DD377E" w:rsidRDefault="006F1A8F" w:rsidP="00E5640A">
            <w:pPr>
              <w:jc w:val="right"/>
              <w:rPr>
                <w:bCs/>
                <w:color w:val="000000"/>
              </w:rPr>
            </w:pPr>
            <w:r>
              <w:rPr>
                <w:bCs/>
                <w:color w:val="000000"/>
              </w:rPr>
              <w:t>0</w:t>
            </w:r>
          </w:p>
        </w:tc>
        <w:tc>
          <w:tcPr>
            <w:tcW w:w="810" w:type="dxa"/>
            <w:tcBorders>
              <w:top w:val="single" w:sz="4" w:space="0" w:color="auto"/>
              <w:left w:val="nil"/>
              <w:bottom w:val="single" w:sz="8" w:space="0" w:color="auto"/>
              <w:right w:val="single" w:sz="4" w:space="0" w:color="auto"/>
            </w:tcBorders>
            <w:vAlign w:val="bottom"/>
          </w:tcPr>
          <w:p w:rsidR="009A5B76" w:rsidRPr="00DD377E" w:rsidRDefault="009A5B76" w:rsidP="00E5640A">
            <w:pPr>
              <w:jc w:val="right"/>
              <w:rPr>
                <w:bCs/>
                <w:color w:val="000000"/>
              </w:rPr>
            </w:pPr>
            <w:r w:rsidRPr="00DD377E">
              <w:rPr>
                <w:bCs/>
                <w:color w:val="000000"/>
              </w:rPr>
              <w:t>0</w:t>
            </w:r>
          </w:p>
        </w:tc>
        <w:tc>
          <w:tcPr>
            <w:tcW w:w="802" w:type="dxa"/>
            <w:tcBorders>
              <w:top w:val="single" w:sz="4" w:space="0" w:color="auto"/>
              <w:left w:val="nil"/>
              <w:bottom w:val="single" w:sz="8" w:space="0" w:color="auto"/>
              <w:right w:val="single" w:sz="4" w:space="0" w:color="auto"/>
            </w:tcBorders>
            <w:vAlign w:val="bottom"/>
          </w:tcPr>
          <w:p w:rsidR="009A5B76" w:rsidRPr="00DD377E" w:rsidRDefault="006F1A8F" w:rsidP="006F1A8F">
            <w:pPr>
              <w:jc w:val="right"/>
              <w:rPr>
                <w:bCs/>
                <w:color w:val="000000"/>
              </w:rPr>
            </w:pPr>
            <w:r>
              <w:rPr>
                <w:bCs/>
                <w:color w:val="000000"/>
              </w:rPr>
              <w:t>0</w:t>
            </w:r>
          </w:p>
        </w:tc>
        <w:tc>
          <w:tcPr>
            <w:tcW w:w="1088" w:type="dxa"/>
            <w:tcBorders>
              <w:top w:val="single" w:sz="4" w:space="0" w:color="auto"/>
              <w:left w:val="nil"/>
              <w:bottom w:val="single" w:sz="8" w:space="0" w:color="auto"/>
              <w:right w:val="single" w:sz="8" w:space="0" w:color="auto"/>
            </w:tcBorders>
            <w:vAlign w:val="bottom"/>
          </w:tcPr>
          <w:p w:rsidR="009A5B76" w:rsidRPr="00DD377E" w:rsidRDefault="006F1A8F" w:rsidP="00E5640A">
            <w:pPr>
              <w:jc w:val="right"/>
              <w:rPr>
                <w:bCs/>
                <w:color w:val="000000"/>
              </w:rPr>
            </w:pPr>
            <w:r>
              <w:rPr>
                <w:bCs/>
                <w:color w:val="000000"/>
              </w:rPr>
              <w:t>0</w:t>
            </w:r>
            <w:r w:rsidR="009A5B76" w:rsidRPr="00DD377E">
              <w:rPr>
                <w:bCs/>
                <w:color w:val="000000"/>
              </w:rPr>
              <w:t> </w:t>
            </w:r>
          </w:p>
        </w:tc>
        <w:tc>
          <w:tcPr>
            <w:tcW w:w="747" w:type="dxa"/>
            <w:tcBorders>
              <w:top w:val="single" w:sz="8" w:space="0" w:color="auto"/>
              <w:left w:val="single" w:sz="8" w:space="0" w:color="auto"/>
              <w:bottom w:val="single" w:sz="8" w:space="0" w:color="auto"/>
              <w:right w:val="single" w:sz="4" w:space="0" w:color="auto"/>
            </w:tcBorders>
            <w:vAlign w:val="bottom"/>
          </w:tcPr>
          <w:p w:rsidR="009A5B76" w:rsidRPr="00DD377E" w:rsidRDefault="006F1A8F" w:rsidP="006F1A8F">
            <w:pPr>
              <w:jc w:val="right"/>
              <w:rPr>
                <w:bCs/>
                <w:color w:val="000000"/>
              </w:rPr>
            </w:pPr>
            <w:r>
              <w:rPr>
                <w:bCs/>
                <w:color w:val="000000"/>
              </w:rPr>
              <w:t>0</w:t>
            </w:r>
            <w:r w:rsidR="009A5B76" w:rsidRPr="00DD377E">
              <w:rPr>
                <w:bCs/>
                <w:color w:val="000000"/>
              </w:rPr>
              <w:t> </w:t>
            </w:r>
          </w:p>
        </w:tc>
        <w:tc>
          <w:tcPr>
            <w:tcW w:w="651" w:type="dxa"/>
            <w:tcBorders>
              <w:top w:val="single" w:sz="4" w:space="0" w:color="auto"/>
              <w:left w:val="nil"/>
              <w:bottom w:val="single" w:sz="8" w:space="0" w:color="auto"/>
              <w:right w:val="single" w:sz="4" w:space="0" w:color="auto"/>
            </w:tcBorders>
            <w:vAlign w:val="bottom"/>
          </w:tcPr>
          <w:p w:rsidR="009A5B76" w:rsidRPr="00DD377E" w:rsidRDefault="006F1A8F" w:rsidP="00E5640A">
            <w:pPr>
              <w:jc w:val="right"/>
              <w:rPr>
                <w:bCs/>
                <w:color w:val="000000"/>
              </w:rPr>
            </w:pPr>
            <w:r>
              <w:rPr>
                <w:bCs/>
                <w:color w:val="000000"/>
              </w:rPr>
              <w:t>0</w:t>
            </w:r>
            <w:r w:rsidR="009A5B76" w:rsidRPr="00DD377E">
              <w:rPr>
                <w:bCs/>
                <w:color w:val="000000"/>
              </w:rPr>
              <w:t> </w:t>
            </w:r>
          </w:p>
        </w:tc>
        <w:tc>
          <w:tcPr>
            <w:tcW w:w="643" w:type="dxa"/>
            <w:tcBorders>
              <w:top w:val="single" w:sz="4" w:space="0" w:color="auto"/>
              <w:left w:val="nil"/>
              <w:bottom w:val="single" w:sz="8" w:space="0" w:color="auto"/>
              <w:right w:val="single" w:sz="4" w:space="0" w:color="auto"/>
            </w:tcBorders>
            <w:vAlign w:val="bottom"/>
          </w:tcPr>
          <w:p w:rsidR="009A5B76" w:rsidRPr="00DD377E" w:rsidRDefault="006F1A8F" w:rsidP="00E5640A">
            <w:pPr>
              <w:jc w:val="right"/>
              <w:rPr>
                <w:bCs/>
                <w:color w:val="000000"/>
              </w:rPr>
            </w:pPr>
            <w:r>
              <w:rPr>
                <w:bCs/>
                <w:color w:val="000000"/>
              </w:rPr>
              <w:t>0</w:t>
            </w:r>
            <w:r w:rsidR="009A5B76" w:rsidRPr="00DD377E">
              <w:rPr>
                <w:bCs/>
                <w:color w:val="000000"/>
              </w:rPr>
              <w:t> </w:t>
            </w:r>
          </w:p>
        </w:tc>
        <w:tc>
          <w:tcPr>
            <w:tcW w:w="1199" w:type="dxa"/>
            <w:tcBorders>
              <w:top w:val="single" w:sz="4" w:space="0" w:color="auto"/>
              <w:left w:val="nil"/>
              <w:bottom w:val="single" w:sz="8" w:space="0" w:color="auto"/>
              <w:right w:val="single" w:sz="8" w:space="0" w:color="auto"/>
            </w:tcBorders>
            <w:vAlign w:val="bottom"/>
          </w:tcPr>
          <w:p w:rsidR="009A5B76" w:rsidRPr="00DD377E" w:rsidRDefault="006F1A8F" w:rsidP="00E5640A">
            <w:pPr>
              <w:jc w:val="right"/>
              <w:rPr>
                <w:bCs/>
                <w:color w:val="000000"/>
              </w:rPr>
            </w:pPr>
            <w:r>
              <w:rPr>
                <w:bCs/>
                <w:color w:val="000000"/>
              </w:rPr>
              <w:t>0</w:t>
            </w:r>
            <w:r w:rsidR="009A5B76" w:rsidRPr="00DD377E">
              <w:rPr>
                <w:bCs/>
                <w:color w:val="000000"/>
              </w:rPr>
              <w:t> </w:t>
            </w:r>
          </w:p>
        </w:tc>
        <w:tc>
          <w:tcPr>
            <w:tcW w:w="630" w:type="dxa"/>
            <w:tcBorders>
              <w:top w:val="single" w:sz="4" w:space="0" w:color="auto"/>
              <w:left w:val="nil"/>
              <w:bottom w:val="single" w:sz="8" w:space="0" w:color="auto"/>
              <w:right w:val="single" w:sz="4" w:space="0" w:color="auto"/>
            </w:tcBorders>
            <w:vAlign w:val="bottom"/>
          </w:tcPr>
          <w:p w:rsidR="009A5B76" w:rsidRPr="00DD377E" w:rsidRDefault="006F1A8F" w:rsidP="00E5640A">
            <w:pPr>
              <w:jc w:val="right"/>
              <w:rPr>
                <w:bCs/>
                <w:color w:val="000000"/>
              </w:rPr>
            </w:pPr>
            <w:r>
              <w:rPr>
                <w:bCs/>
                <w:color w:val="000000"/>
              </w:rPr>
              <w:t>0</w:t>
            </w:r>
          </w:p>
        </w:tc>
        <w:tc>
          <w:tcPr>
            <w:tcW w:w="720" w:type="dxa"/>
            <w:tcBorders>
              <w:top w:val="single" w:sz="4" w:space="0" w:color="auto"/>
              <w:left w:val="nil"/>
              <w:bottom w:val="single" w:sz="8" w:space="0" w:color="auto"/>
              <w:right w:val="single" w:sz="4" w:space="0" w:color="auto"/>
            </w:tcBorders>
            <w:vAlign w:val="bottom"/>
          </w:tcPr>
          <w:p w:rsidR="009A5B76" w:rsidRPr="00DD377E" w:rsidRDefault="009A5B76" w:rsidP="00E5640A">
            <w:pPr>
              <w:jc w:val="right"/>
              <w:rPr>
                <w:bCs/>
                <w:color w:val="000000"/>
              </w:rPr>
            </w:pPr>
            <w:r w:rsidRPr="00DD377E">
              <w:rPr>
                <w:bCs/>
                <w:color w:val="000000"/>
              </w:rPr>
              <w:t> </w:t>
            </w:r>
            <w:r w:rsidR="006F1A8F">
              <w:rPr>
                <w:bCs/>
                <w:color w:val="000000"/>
              </w:rPr>
              <w:t>0</w:t>
            </w:r>
          </w:p>
        </w:tc>
        <w:tc>
          <w:tcPr>
            <w:tcW w:w="630" w:type="dxa"/>
            <w:tcBorders>
              <w:top w:val="single" w:sz="4" w:space="0" w:color="auto"/>
              <w:left w:val="nil"/>
              <w:bottom w:val="single" w:sz="8" w:space="0" w:color="auto"/>
              <w:right w:val="single" w:sz="4" w:space="0" w:color="auto"/>
            </w:tcBorders>
            <w:vAlign w:val="bottom"/>
          </w:tcPr>
          <w:p w:rsidR="009A5B76" w:rsidRPr="00DD377E" w:rsidRDefault="006F1A8F" w:rsidP="00E5640A">
            <w:pPr>
              <w:jc w:val="right"/>
              <w:rPr>
                <w:bCs/>
                <w:color w:val="000000"/>
              </w:rPr>
            </w:pPr>
            <w:r>
              <w:rPr>
                <w:bCs/>
                <w:color w:val="000000"/>
              </w:rPr>
              <w:t>0</w:t>
            </w:r>
            <w:r w:rsidR="009A5B76" w:rsidRPr="00DD377E">
              <w:rPr>
                <w:bCs/>
                <w:color w:val="000000"/>
              </w:rPr>
              <w:t> </w:t>
            </w:r>
          </w:p>
        </w:tc>
        <w:tc>
          <w:tcPr>
            <w:tcW w:w="1284" w:type="dxa"/>
            <w:tcBorders>
              <w:top w:val="nil"/>
              <w:left w:val="nil"/>
              <w:bottom w:val="single" w:sz="8" w:space="0" w:color="auto"/>
              <w:right w:val="single" w:sz="8" w:space="0" w:color="auto"/>
            </w:tcBorders>
            <w:vAlign w:val="bottom"/>
          </w:tcPr>
          <w:p w:rsidR="009A5B76" w:rsidRPr="00DD377E" w:rsidRDefault="006F1A8F" w:rsidP="00E5640A">
            <w:pPr>
              <w:jc w:val="right"/>
              <w:rPr>
                <w:bCs/>
                <w:color w:val="000000"/>
              </w:rPr>
            </w:pPr>
            <w:r>
              <w:rPr>
                <w:bCs/>
                <w:color w:val="000000"/>
              </w:rPr>
              <w:t>0</w:t>
            </w:r>
            <w:r w:rsidR="009A5B76" w:rsidRPr="00DD377E">
              <w:rPr>
                <w:bCs/>
                <w:color w:val="000000"/>
              </w:rPr>
              <w:t> </w:t>
            </w:r>
          </w:p>
        </w:tc>
      </w:tr>
    </w:tbl>
    <w:p w:rsidR="009A5B76" w:rsidRPr="00015820" w:rsidRDefault="009A5B76" w:rsidP="009A5B76">
      <w:pPr>
        <w:pStyle w:val="BodyText"/>
        <w:rPr>
          <w:szCs w:val="24"/>
          <w:u w:val="single"/>
        </w:rPr>
      </w:pPr>
    </w:p>
    <w:p w:rsidR="009A5B76" w:rsidRPr="00015820" w:rsidRDefault="009A5B76" w:rsidP="009A5B76">
      <w:pPr>
        <w:pStyle w:val="BodyText"/>
        <w:rPr>
          <w:szCs w:val="24"/>
        </w:rPr>
      </w:pPr>
      <w:r w:rsidRPr="00015820">
        <w:rPr>
          <w:szCs w:val="24"/>
          <w:u w:val="single"/>
        </w:rPr>
        <w:t>Personnel Increase Cost Summary</w:t>
      </w:r>
    </w:p>
    <w:p w:rsidR="009A5B76" w:rsidRPr="00015820" w:rsidRDefault="009A5B76" w:rsidP="009A5B76">
      <w:pPr>
        <w:pStyle w:val="BodyText"/>
        <w:rPr>
          <w:szCs w:val="24"/>
        </w:rPr>
      </w:pPr>
    </w:p>
    <w:tbl>
      <w:tblPr>
        <w:tblW w:w="9605" w:type="dxa"/>
        <w:jc w:val="center"/>
        <w:tblInd w:w="-1037" w:type="dxa"/>
        <w:tblLook w:val="00A0"/>
      </w:tblPr>
      <w:tblGrid>
        <w:gridCol w:w="2959"/>
        <w:gridCol w:w="1436"/>
        <w:gridCol w:w="1230"/>
        <w:gridCol w:w="1280"/>
        <w:gridCol w:w="1350"/>
        <w:gridCol w:w="1350"/>
      </w:tblGrid>
      <w:tr w:rsidR="00DB393D" w:rsidRPr="00015820" w:rsidTr="00DB393D">
        <w:trPr>
          <w:trHeight w:val="825"/>
          <w:jc w:val="center"/>
        </w:trPr>
        <w:tc>
          <w:tcPr>
            <w:tcW w:w="3278" w:type="dxa"/>
            <w:tcBorders>
              <w:top w:val="single" w:sz="4" w:space="0" w:color="auto"/>
              <w:left w:val="single" w:sz="4" w:space="0" w:color="auto"/>
              <w:bottom w:val="single" w:sz="4" w:space="0" w:color="auto"/>
              <w:right w:val="single" w:sz="4" w:space="0" w:color="auto"/>
            </w:tcBorders>
            <w:shd w:val="clear" w:color="000000" w:fill="D8D8D8"/>
            <w:vAlign w:val="bottom"/>
          </w:tcPr>
          <w:p w:rsidR="00DB393D" w:rsidRPr="008D537B" w:rsidRDefault="00DB393D" w:rsidP="00E5640A">
            <w:pPr>
              <w:rPr>
                <w:color w:val="000000"/>
                <w:sz w:val="20"/>
                <w:szCs w:val="20"/>
              </w:rPr>
            </w:pPr>
            <w:r w:rsidRPr="008D537B">
              <w:rPr>
                <w:color w:val="000000"/>
                <w:sz w:val="20"/>
                <w:szCs w:val="20"/>
              </w:rPr>
              <w:t>Type of Position</w:t>
            </w:r>
          </w:p>
        </w:tc>
        <w:tc>
          <w:tcPr>
            <w:tcW w:w="1525" w:type="dxa"/>
            <w:tcBorders>
              <w:top w:val="single" w:sz="4" w:space="0" w:color="auto"/>
              <w:left w:val="nil"/>
              <w:bottom w:val="single" w:sz="4" w:space="0" w:color="auto"/>
              <w:right w:val="single" w:sz="4" w:space="0" w:color="auto"/>
            </w:tcBorders>
            <w:shd w:val="clear" w:color="000000" w:fill="D8D8D8"/>
            <w:vAlign w:val="bottom"/>
          </w:tcPr>
          <w:p w:rsidR="00DB393D" w:rsidRPr="008D537B" w:rsidRDefault="00DB393D" w:rsidP="00E5640A">
            <w:pPr>
              <w:jc w:val="center"/>
              <w:rPr>
                <w:color w:val="000000"/>
                <w:sz w:val="20"/>
                <w:szCs w:val="20"/>
              </w:rPr>
            </w:pPr>
            <w:r w:rsidRPr="008D537B">
              <w:rPr>
                <w:color w:val="000000"/>
                <w:sz w:val="20"/>
                <w:szCs w:val="20"/>
              </w:rPr>
              <w:t>Modular Cost per Position ($000)</w:t>
            </w:r>
          </w:p>
        </w:tc>
        <w:tc>
          <w:tcPr>
            <w:tcW w:w="1260" w:type="dxa"/>
            <w:tcBorders>
              <w:top w:val="single" w:sz="4" w:space="0" w:color="auto"/>
              <w:left w:val="nil"/>
              <w:bottom w:val="single" w:sz="4" w:space="0" w:color="auto"/>
              <w:right w:val="single" w:sz="4" w:space="0" w:color="auto"/>
            </w:tcBorders>
            <w:shd w:val="clear" w:color="000000" w:fill="D8D8D8"/>
            <w:vAlign w:val="bottom"/>
          </w:tcPr>
          <w:p w:rsidR="00DB393D" w:rsidRPr="008D537B" w:rsidRDefault="00DB393D" w:rsidP="00E5640A">
            <w:pPr>
              <w:jc w:val="center"/>
              <w:rPr>
                <w:color w:val="000000"/>
                <w:sz w:val="20"/>
                <w:szCs w:val="20"/>
              </w:rPr>
            </w:pPr>
            <w:r w:rsidRPr="008D537B">
              <w:rPr>
                <w:color w:val="000000"/>
                <w:sz w:val="20"/>
                <w:szCs w:val="20"/>
              </w:rPr>
              <w:t>Number of Positions Requested</w:t>
            </w:r>
          </w:p>
        </w:tc>
        <w:tc>
          <w:tcPr>
            <w:tcW w:w="1350" w:type="dxa"/>
            <w:tcBorders>
              <w:top w:val="single" w:sz="4" w:space="0" w:color="auto"/>
              <w:left w:val="nil"/>
              <w:bottom w:val="single" w:sz="4" w:space="0" w:color="auto"/>
              <w:right w:val="single" w:sz="4" w:space="0" w:color="auto"/>
            </w:tcBorders>
            <w:shd w:val="clear" w:color="000000" w:fill="D8D8D8"/>
            <w:vAlign w:val="bottom"/>
          </w:tcPr>
          <w:p w:rsidR="00DB393D" w:rsidRPr="008D537B" w:rsidRDefault="00DB393D" w:rsidP="00E5640A">
            <w:pPr>
              <w:jc w:val="center"/>
              <w:rPr>
                <w:color w:val="000000"/>
                <w:sz w:val="20"/>
                <w:szCs w:val="20"/>
              </w:rPr>
            </w:pPr>
            <w:r w:rsidRPr="008D537B">
              <w:rPr>
                <w:color w:val="000000"/>
                <w:sz w:val="20"/>
                <w:szCs w:val="20"/>
              </w:rPr>
              <w:t>FY 2012 Request ($000)</w:t>
            </w:r>
          </w:p>
        </w:tc>
        <w:tc>
          <w:tcPr>
            <w:tcW w:w="1096" w:type="dxa"/>
            <w:tcBorders>
              <w:top w:val="single" w:sz="4" w:space="0" w:color="auto"/>
              <w:left w:val="nil"/>
              <w:bottom w:val="single" w:sz="4" w:space="0" w:color="auto"/>
              <w:right w:val="single" w:sz="4" w:space="0" w:color="auto"/>
            </w:tcBorders>
            <w:shd w:val="clear" w:color="000000" w:fill="D8D8D8"/>
            <w:vAlign w:val="bottom"/>
          </w:tcPr>
          <w:p w:rsidR="00DB393D" w:rsidRPr="008D537B" w:rsidRDefault="00DB393D" w:rsidP="00E5640A">
            <w:pPr>
              <w:jc w:val="center"/>
              <w:rPr>
                <w:color w:val="000000"/>
                <w:sz w:val="20"/>
                <w:szCs w:val="20"/>
              </w:rPr>
            </w:pPr>
            <w:r w:rsidRPr="008D537B">
              <w:rPr>
                <w:color w:val="000000"/>
                <w:sz w:val="20"/>
                <w:szCs w:val="20"/>
              </w:rPr>
              <w:t>FY 2013 Net Annualization (change from 2012)</w:t>
            </w:r>
          </w:p>
        </w:tc>
        <w:tc>
          <w:tcPr>
            <w:tcW w:w="1096" w:type="dxa"/>
            <w:tcBorders>
              <w:top w:val="single" w:sz="4" w:space="0" w:color="auto"/>
              <w:left w:val="nil"/>
              <w:bottom w:val="single" w:sz="4" w:space="0" w:color="auto"/>
              <w:right w:val="single" w:sz="4" w:space="0" w:color="auto"/>
            </w:tcBorders>
            <w:shd w:val="clear" w:color="000000" w:fill="D8D8D8"/>
            <w:vAlign w:val="bottom"/>
          </w:tcPr>
          <w:p w:rsidR="00DB393D" w:rsidRPr="008D537B" w:rsidRDefault="00DB393D" w:rsidP="00DB393D">
            <w:pPr>
              <w:jc w:val="center"/>
              <w:rPr>
                <w:color w:val="000000"/>
                <w:sz w:val="20"/>
                <w:szCs w:val="20"/>
              </w:rPr>
            </w:pPr>
            <w:r w:rsidRPr="008D537B">
              <w:rPr>
                <w:color w:val="000000"/>
                <w:sz w:val="20"/>
                <w:szCs w:val="20"/>
              </w:rPr>
              <w:t>FY 2014 Net Annualization (change from 2013)</w:t>
            </w:r>
          </w:p>
        </w:tc>
      </w:tr>
      <w:tr w:rsidR="00DB393D" w:rsidRPr="00015820" w:rsidTr="00DB393D">
        <w:trPr>
          <w:trHeight w:val="300"/>
          <w:jc w:val="center"/>
        </w:trPr>
        <w:tc>
          <w:tcPr>
            <w:tcW w:w="3278" w:type="dxa"/>
            <w:tcBorders>
              <w:top w:val="single" w:sz="4" w:space="0" w:color="auto"/>
              <w:left w:val="single" w:sz="4" w:space="0" w:color="auto"/>
              <w:bottom w:val="single" w:sz="4" w:space="0" w:color="auto"/>
              <w:right w:val="single" w:sz="4" w:space="0" w:color="auto"/>
            </w:tcBorders>
            <w:vAlign w:val="bottom"/>
          </w:tcPr>
          <w:p w:rsidR="00DB393D" w:rsidRPr="008D537B" w:rsidRDefault="00DB393D" w:rsidP="00E5640A">
            <w:pPr>
              <w:rPr>
                <w:color w:val="000000"/>
                <w:sz w:val="20"/>
                <w:szCs w:val="20"/>
              </w:rPr>
            </w:pPr>
            <w:r w:rsidRPr="008D537B">
              <w:rPr>
                <w:color w:val="000000"/>
                <w:sz w:val="20"/>
                <w:szCs w:val="20"/>
              </w:rPr>
              <w:t>Agent</w:t>
            </w:r>
          </w:p>
        </w:tc>
        <w:tc>
          <w:tcPr>
            <w:tcW w:w="1525" w:type="dxa"/>
            <w:tcBorders>
              <w:top w:val="nil"/>
              <w:left w:val="nil"/>
              <w:bottom w:val="single" w:sz="4" w:space="0" w:color="auto"/>
              <w:right w:val="single" w:sz="4" w:space="0" w:color="auto"/>
            </w:tcBorders>
            <w:vAlign w:val="bottom"/>
          </w:tcPr>
          <w:p w:rsidR="00DB393D" w:rsidRPr="008D537B" w:rsidRDefault="00DB393D" w:rsidP="00E5640A">
            <w:pPr>
              <w:jc w:val="right"/>
              <w:rPr>
                <w:color w:val="000000"/>
                <w:sz w:val="20"/>
                <w:szCs w:val="20"/>
              </w:rPr>
            </w:pPr>
            <w:r w:rsidRPr="008D537B">
              <w:rPr>
                <w:color w:val="000000"/>
                <w:sz w:val="20"/>
                <w:szCs w:val="20"/>
              </w:rPr>
              <w:t>225</w:t>
            </w:r>
          </w:p>
        </w:tc>
        <w:tc>
          <w:tcPr>
            <w:tcW w:w="1260" w:type="dxa"/>
            <w:tcBorders>
              <w:top w:val="nil"/>
              <w:left w:val="nil"/>
              <w:bottom w:val="single" w:sz="4" w:space="0" w:color="auto"/>
              <w:right w:val="single" w:sz="4" w:space="0" w:color="auto"/>
            </w:tcBorders>
            <w:vAlign w:val="bottom"/>
          </w:tcPr>
          <w:p w:rsidR="00DB393D" w:rsidRPr="008D537B" w:rsidRDefault="00DB393D" w:rsidP="00E5640A">
            <w:pPr>
              <w:jc w:val="right"/>
              <w:rPr>
                <w:color w:val="000000"/>
                <w:sz w:val="20"/>
                <w:szCs w:val="20"/>
              </w:rPr>
            </w:pPr>
            <w:r w:rsidRPr="008D537B">
              <w:rPr>
                <w:color w:val="000000"/>
                <w:sz w:val="20"/>
                <w:szCs w:val="20"/>
              </w:rPr>
              <w:t>6</w:t>
            </w:r>
          </w:p>
        </w:tc>
        <w:tc>
          <w:tcPr>
            <w:tcW w:w="1350" w:type="dxa"/>
            <w:tcBorders>
              <w:top w:val="nil"/>
              <w:left w:val="nil"/>
              <w:bottom w:val="single" w:sz="4" w:space="0" w:color="auto"/>
              <w:right w:val="single" w:sz="4" w:space="0" w:color="auto"/>
            </w:tcBorders>
            <w:vAlign w:val="bottom"/>
          </w:tcPr>
          <w:p w:rsidR="00DB393D" w:rsidRPr="008D537B" w:rsidRDefault="00DB393D" w:rsidP="00E5640A">
            <w:pPr>
              <w:jc w:val="right"/>
              <w:rPr>
                <w:color w:val="000000"/>
                <w:sz w:val="20"/>
                <w:szCs w:val="20"/>
              </w:rPr>
            </w:pPr>
            <w:r w:rsidRPr="008D537B">
              <w:rPr>
                <w:color w:val="000000"/>
                <w:sz w:val="20"/>
                <w:szCs w:val="20"/>
              </w:rPr>
              <w:t>1,351</w:t>
            </w:r>
          </w:p>
        </w:tc>
        <w:tc>
          <w:tcPr>
            <w:tcW w:w="1096" w:type="dxa"/>
            <w:tcBorders>
              <w:top w:val="nil"/>
              <w:left w:val="nil"/>
              <w:bottom w:val="single" w:sz="4" w:space="0" w:color="auto"/>
              <w:right w:val="single" w:sz="4" w:space="0" w:color="auto"/>
            </w:tcBorders>
            <w:vAlign w:val="bottom"/>
          </w:tcPr>
          <w:p w:rsidR="00DB393D" w:rsidRPr="008D537B" w:rsidRDefault="00EB6464" w:rsidP="00E5640A">
            <w:pPr>
              <w:jc w:val="right"/>
              <w:rPr>
                <w:color w:val="000000"/>
                <w:sz w:val="20"/>
                <w:szCs w:val="20"/>
              </w:rPr>
            </w:pPr>
            <w:r w:rsidRPr="008D537B">
              <w:rPr>
                <w:color w:val="000000"/>
                <w:sz w:val="20"/>
                <w:szCs w:val="20"/>
              </w:rPr>
              <w:t>173</w:t>
            </w:r>
          </w:p>
        </w:tc>
        <w:tc>
          <w:tcPr>
            <w:tcW w:w="1096" w:type="dxa"/>
            <w:tcBorders>
              <w:top w:val="nil"/>
              <w:left w:val="nil"/>
              <w:bottom w:val="single" w:sz="4" w:space="0" w:color="auto"/>
              <w:right w:val="single" w:sz="4" w:space="0" w:color="auto"/>
            </w:tcBorders>
            <w:vAlign w:val="bottom"/>
          </w:tcPr>
          <w:p w:rsidR="00DB393D" w:rsidRPr="008D537B" w:rsidRDefault="00EF726E" w:rsidP="00E5640A">
            <w:pPr>
              <w:jc w:val="right"/>
              <w:rPr>
                <w:color w:val="000000"/>
                <w:sz w:val="20"/>
                <w:szCs w:val="20"/>
              </w:rPr>
            </w:pPr>
            <w:r w:rsidRPr="008D537B">
              <w:rPr>
                <w:color w:val="000000"/>
                <w:sz w:val="20"/>
                <w:szCs w:val="20"/>
              </w:rPr>
              <w:t>403</w:t>
            </w:r>
          </w:p>
        </w:tc>
      </w:tr>
      <w:tr w:rsidR="00DB393D" w:rsidRPr="00015820" w:rsidTr="00DB393D">
        <w:trPr>
          <w:trHeight w:val="300"/>
          <w:jc w:val="center"/>
        </w:trPr>
        <w:tc>
          <w:tcPr>
            <w:tcW w:w="3278" w:type="dxa"/>
            <w:tcBorders>
              <w:top w:val="nil"/>
              <w:left w:val="single" w:sz="4" w:space="0" w:color="auto"/>
              <w:bottom w:val="single" w:sz="4" w:space="0" w:color="auto"/>
              <w:right w:val="single" w:sz="4" w:space="0" w:color="auto"/>
            </w:tcBorders>
            <w:vAlign w:val="bottom"/>
          </w:tcPr>
          <w:p w:rsidR="00DB393D" w:rsidRPr="008D537B" w:rsidRDefault="00DB393D" w:rsidP="00E5640A">
            <w:pPr>
              <w:rPr>
                <w:color w:val="000000"/>
                <w:sz w:val="20"/>
                <w:szCs w:val="20"/>
              </w:rPr>
            </w:pPr>
            <w:r w:rsidRPr="008D537B">
              <w:rPr>
                <w:color w:val="000000"/>
                <w:sz w:val="20"/>
                <w:szCs w:val="20"/>
              </w:rPr>
              <w:t>Technical Support Specialists</w:t>
            </w:r>
          </w:p>
        </w:tc>
        <w:tc>
          <w:tcPr>
            <w:tcW w:w="1525" w:type="dxa"/>
            <w:tcBorders>
              <w:top w:val="nil"/>
              <w:left w:val="nil"/>
              <w:bottom w:val="single" w:sz="4" w:space="0" w:color="auto"/>
              <w:right w:val="single" w:sz="4" w:space="0" w:color="auto"/>
            </w:tcBorders>
            <w:vAlign w:val="bottom"/>
          </w:tcPr>
          <w:p w:rsidR="00DB393D" w:rsidRPr="008D537B" w:rsidRDefault="00DB393D" w:rsidP="00E5640A">
            <w:pPr>
              <w:jc w:val="right"/>
              <w:rPr>
                <w:color w:val="000000"/>
                <w:sz w:val="20"/>
                <w:szCs w:val="20"/>
              </w:rPr>
            </w:pPr>
            <w:r w:rsidRPr="008D537B">
              <w:rPr>
                <w:color w:val="000000"/>
                <w:sz w:val="20"/>
                <w:szCs w:val="20"/>
              </w:rPr>
              <w:t>84</w:t>
            </w:r>
          </w:p>
        </w:tc>
        <w:tc>
          <w:tcPr>
            <w:tcW w:w="1260" w:type="dxa"/>
            <w:tcBorders>
              <w:top w:val="nil"/>
              <w:left w:val="nil"/>
              <w:bottom w:val="single" w:sz="4" w:space="0" w:color="auto"/>
              <w:right w:val="single" w:sz="4" w:space="0" w:color="auto"/>
            </w:tcBorders>
            <w:vAlign w:val="bottom"/>
          </w:tcPr>
          <w:p w:rsidR="00DB393D" w:rsidRPr="008D537B" w:rsidRDefault="00DB393D" w:rsidP="00E5640A">
            <w:pPr>
              <w:jc w:val="right"/>
              <w:rPr>
                <w:color w:val="000000"/>
                <w:sz w:val="20"/>
                <w:szCs w:val="20"/>
              </w:rPr>
            </w:pPr>
            <w:r w:rsidRPr="008D537B">
              <w:rPr>
                <w:color w:val="000000"/>
                <w:sz w:val="20"/>
                <w:szCs w:val="20"/>
              </w:rPr>
              <w:t>2</w:t>
            </w:r>
          </w:p>
        </w:tc>
        <w:tc>
          <w:tcPr>
            <w:tcW w:w="1350" w:type="dxa"/>
            <w:tcBorders>
              <w:top w:val="nil"/>
              <w:left w:val="nil"/>
              <w:bottom w:val="single" w:sz="4" w:space="0" w:color="auto"/>
              <w:right w:val="single" w:sz="4" w:space="0" w:color="auto"/>
            </w:tcBorders>
            <w:vAlign w:val="bottom"/>
          </w:tcPr>
          <w:p w:rsidR="00DB393D" w:rsidRPr="008D537B" w:rsidRDefault="00DB393D" w:rsidP="00E5640A">
            <w:pPr>
              <w:jc w:val="right"/>
              <w:rPr>
                <w:color w:val="000000"/>
                <w:sz w:val="20"/>
                <w:szCs w:val="20"/>
              </w:rPr>
            </w:pPr>
            <w:r w:rsidRPr="008D537B">
              <w:rPr>
                <w:color w:val="000000"/>
                <w:sz w:val="20"/>
                <w:szCs w:val="20"/>
              </w:rPr>
              <w:t>168</w:t>
            </w:r>
          </w:p>
        </w:tc>
        <w:tc>
          <w:tcPr>
            <w:tcW w:w="1096" w:type="dxa"/>
            <w:tcBorders>
              <w:top w:val="nil"/>
              <w:left w:val="nil"/>
              <w:bottom w:val="single" w:sz="4" w:space="0" w:color="auto"/>
              <w:right w:val="single" w:sz="4" w:space="0" w:color="auto"/>
            </w:tcBorders>
            <w:vAlign w:val="bottom"/>
          </w:tcPr>
          <w:p w:rsidR="00DB393D" w:rsidRPr="008D537B" w:rsidRDefault="00EF726E" w:rsidP="00E5640A">
            <w:pPr>
              <w:jc w:val="right"/>
              <w:rPr>
                <w:color w:val="000000"/>
                <w:sz w:val="20"/>
                <w:szCs w:val="20"/>
              </w:rPr>
            </w:pPr>
            <w:r w:rsidRPr="008D537B">
              <w:rPr>
                <w:color w:val="000000"/>
                <w:sz w:val="20"/>
                <w:szCs w:val="20"/>
              </w:rPr>
              <w:t>165</w:t>
            </w:r>
          </w:p>
        </w:tc>
        <w:tc>
          <w:tcPr>
            <w:tcW w:w="1096" w:type="dxa"/>
            <w:tcBorders>
              <w:top w:val="nil"/>
              <w:left w:val="nil"/>
              <w:bottom w:val="single" w:sz="4" w:space="0" w:color="auto"/>
              <w:right w:val="single" w:sz="4" w:space="0" w:color="auto"/>
            </w:tcBorders>
            <w:vAlign w:val="bottom"/>
          </w:tcPr>
          <w:p w:rsidR="00DB393D" w:rsidRPr="008D537B" w:rsidRDefault="00EF726E" w:rsidP="00E5640A">
            <w:pPr>
              <w:jc w:val="right"/>
              <w:rPr>
                <w:color w:val="000000"/>
                <w:sz w:val="20"/>
                <w:szCs w:val="20"/>
              </w:rPr>
            </w:pPr>
            <w:r w:rsidRPr="008D537B">
              <w:rPr>
                <w:color w:val="000000"/>
                <w:sz w:val="20"/>
                <w:szCs w:val="20"/>
              </w:rPr>
              <w:t>98</w:t>
            </w:r>
          </w:p>
        </w:tc>
      </w:tr>
      <w:tr w:rsidR="00DB393D" w:rsidRPr="00015820" w:rsidTr="00DB393D">
        <w:trPr>
          <w:trHeight w:val="300"/>
          <w:jc w:val="center"/>
        </w:trPr>
        <w:tc>
          <w:tcPr>
            <w:tcW w:w="3278" w:type="dxa"/>
            <w:tcBorders>
              <w:top w:val="nil"/>
              <w:left w:val="single" w:sz="4" w:space="0" w:color="auto"/>
              <w:bottom w:val="single" w:sz="4" w:space="0" w:color="auto"/>
              <w:right w:val="single" w:sz="4" w:space="0" w:color="auto"/>
            </w:tcBorders>
            <w:vAlign w:val="bottom"/>
          </w:tcPr>
          <w:p w:rsidR="00DB393D" w:rsidRPr="008D537B" w:rsidRDefault="00DB393D" w:rsidP="00E5640A">
            <w:pPr>
              <w:rPr>
                <w:b/>
                <w:color w:val="000000"/>
                <w:sz w:val="20"/>
                <w:szCs w:val="20"/>
              </w:rPr>
            </w:pPr>
            <w:r w:rsidRPr="008D537B">
              <w:rPr>
                <w:b/>
                <w:color w:val="000000"/>
                <w:sz w:val="20"/>
                <w:szCs w:val="20"/>
              </w:rPr>
              <w:t>Total Personnel</w:t>
            </w:r>
          </w:p>
        </w:tc>
        <w:tc>
          <w:tcPr>
            <w:tcW w:w="1525" w:type="dxa"/>
            <w:tcBorders>
              <w:top w:val="nil"/>
              <w:left w:val="nil"/>
              <w:bottom w:val="single" w:sz="4" w:space="0" w:color="auto"/>
              <w:right w:val="single" w:sz="4" w:space="0" w:color="auto"/>
            </w:tcBorders>
            <w:vAlign w:val="bottom"/>
          </w:tcPr>
          <w:p w:rsidR="00DB393D" w:rsidRPr="008D537B" w:rsidRDefault="00DB393D" w:rsidP="00E5640A">
            <w:pPr>
              <w:jc w:val="right"/>
              <w:rPr>
                <w:b/>
                <w:color w:val="000000"/>
                <w:sz w:val="20"/>
                <w:szCs w:val="20"/>
              </w:rPr>
            </w:pPr>
          </w:p>
        </w:tc>
        <w:tc>
          <w:tcPr>
            <w:tcW w:w="1260" w:type="dxa"/>
            <w:tcBorders>
              <w:top w:val="nil"/>
              <w:left w:val="nil"/>
              <w:bottom w:val="single" w:sz="4" w:space="0" w:color="auto"/>
              <w:right w:val="single" w:sz="4" w:space="0" w:color="auto"/>
            </w:tcBorders>
            <w:vAlign w:val="bottom"/>
          </w:tcPr>
          <w:p w:rsidR="00DB393D" w:rsidRPr="008D537B" w:rsidRDefault="00DB393D" w:rsidP="00E5640A">
            <w:pPr>
              <w:jc w:val="right"/>
              <w:rPr>
                <w:b/>
                <w:color w:val="000000"/>
                <w:sz w:val="20"/>
                <w:szCs w:val="20"/>
              </w:rPr>
            </w:pPr>
            <w:r w:rsidRPr="008D537B">
              <w:rPr>
                <w:b/>
                <w:color w:val="000000"/>
                <w:sz w:val="20"/>
                <w:szCs w:val="20"/>
              </w:rPr>
              <w:t>8</w:t>
            </w:r>
          </w:p>
        </w:tc>
        <w:tc>
          <w:tcPr>
            <w:tcW w:w="1350" w:type="dxa"/>
            <w:tcBorders>
              <w:top w:val="nil"/>
              <w:left w:val="nil"/>
              <w:bottom w:val="single" w:sz="4" w:space="0" w:color="auto"/>
              <w:right w:val="single" w:sz="4" w:space="0" w:color="auto"/>
            </w:tcBorders>
            <w:vAlign w:val="bottom"/>
          </w:tcPr>
          <w:p w:rsidR="00DB393D" w:rsidRPr="008D537B" w:rsidRDefault="00DB393D" w:rsidP="00E5640A">
            <w:pPr>
              <w:jc w:val="right"/>
              <w:rPr>
                <w:b/>
                <w:color w:val="000000"/>
                <w:sz w:val="20"/>
                <w:szCs w:val="20"/>
              </w:rPr>
            </w:pPr>
            <w:r w:rsidRPr="008D537B">
              <w:rPr>
                <w:b/>
                <w:color w:val="000000"/>
                <w:sz w:val="20"/>
                <w:szCs w:val="20"/>
              </w:rPr>
              <w:t>1,519</w:t>
            </w:r>
          </w:p>
        </w:tc>
        <w:tc>
          <w:tcPr>
            <w:tcW w:w="1096" w:type="dxa"/>
            <w:tcBorders>
              <w:top w:val="nil"/>
              <w:left w:val="nil"/>
              <w:bottom w:val="single" w:sz="4" w:space="0" w:color="auto"/>
              <w:right w:val="single" w:sz="4" w:space="0" w:color="auto"/>
            </w:tcBorders>
            <w:vAlign w:val="bottom"/>
          </w:tcPr>
          <w:p w:rsidR="00DB393D" w:rsidRPr="008D537B" w:rsidRDefault="00EF726E" w:rsidP="00E5640A">
            <w:pPr>
              <w:jc w:val="right"/>
              <w:rPr>
                <w:b/>
                <w:color w:val="000000"/>
                <w:sz w:val="20"/>
                <w:szCs w:val="20"/>
              </w:rPr>
            </w:pPr>
            <w:r w:rsidRPr="008D537B">
              <w:rPr>
                <w:b/>
                <w:color w:val="000000"/>
                <w:sz w:val="20"/>
                <w:szCs w:val="20"/>
              </w:rPr>
              <w:t>338</w:t>
            </w:r>
          </w:p>
        </w:tc>
        <w:tc>
          <w:tcPr>
            <w:tcW w:w="1096" w:type="dxa"/>
            <w:tcBorders>
              <w:top w:val="nil"/>
              <w:left w:val="nil"/>
              <w:bottom w:val="single" w:sz="4" w:space="0" w:color="auto"/>
              <w:right w:val="single" w:sz="4" w:space="0" w:color="auto"/>
            </w:tcBorders>
            <w:vAlign w:val="bottom"/>
          </w:tcPr>
          <w:p w:rsidR="00DB393D" w:rsidRPr="008D537B" w:rsidRDefault="00EF726E" w:rsidP="00E5640A">
            <w:pPr>
              <w:jc w:val="right"/>
              <w:rPr>
                <w:b/>
                <w:color w:val="000000"/>
                <w:sz w:val="20"/>
                <w:szCs w:val="20"/>
              </w:rPr>
            </w:pPr>
            <w:r w:rsidRPr="008D537B">
              <w:rPr>
                <w:b/>
                <w:color w:val="000000"/>
                <w:sz w:val="20"/>
                <w:szCs w:val="20"/>
              </w:rPr>
              <w:t>501</w:t>
            </w:r>
          </w:p>
        </w:tc>
      </w:tr>
    </w:tbl>
    <w:p w:rsidR="009A5B76" w:rsidRPr="00015820" w:rsidRDefault="009A5B76" w:rsidP="009A5B76">
      <w:pPr>
        <w:pStyle w:val="xl24"/>
        <w:spacing w:before="0" w:after="0"/>
      </w:pPr>
      <w:r w:rsidRPr="00015820">
        <w:t>Non-Personnel Increase Cost Summary</w:t>
      </w:r>
    </w:p>
    <w:tbl>
      <w:tblPr>
        <w:tblW w:w="9561" w:type="dxa"/>
        <w:jc w:val="center"/>
        <w:tblInd w:w="-1511" w:type="dxa"/>
        <w:tblLook w:val="00A0"/>
      </w:tblPr>
      <w:tblGrid>
        <w:gridCol w:w="2520"/>
        <w:gridCol w:w="1390"/>
        <w:gridCol w:w="1204"/>
        <w:gridCol w:w="1747"/>
        <w:gridCol w:w="1350"/>
        <w:gridCol w:w="1350"/>
      </w:tblGrid>
      <w:tr w:rsidR="00DB393D" w:rsidRPr="00015820" w:rsidTr="00DB393D">
        <w:trPr>
          <w:trHeight w:val="825"/>
          <w:jc w:val="center"/>
        </w:trPr>
        <w:tc>
          <w:tcPr>
            <w:tcW w:w="2801" w:type="dxa"/>
            <w:tcBorders>
              <w:top w:val="single" w:sz="4" w:space="0" w:color="auto"/>
              <w:left w:val="single" w:sz="4" w:space="0" w:color="auto"/>
              <w:bottom w:val="single" w:sz="4" w:space="0" w:color="auto"/>
              <w:right w:val="single" w:sz="4" w:space="0" w:color="auto"/>
            </w:tcBorders>
            <w:shd w:val="clear" w:color="000000" w:fill="D8D8D8"/>
            <w:vAlign w:val="bottom"/>
          </w:tcPr>
          <w:p w:rsidR="00DB393D" w:rsidRPr="008D537B" w:rsidDel="004854DC" w:rsidRDefault="00DB393D" w:rsidP="00E5640A">
            <w:pPr>
              <w:jc w:val="center"/>
              <w:rPr>
                <w:color w:val="000000"/>
                <w:sz w:val="20"/>
                <w:szCs w:val="20"/>
              </w:rPr>
            </w:pPr>
            <w:r w:rsidRPr="008D537B">
              <w:rPr>
                <w:color w:val="000000"/>
                <w:sz w:val="20"/>
                <w:szCs w:val="20"/>
              </w:rPr>
              <w:t>Non-Personnel Item</w:t>
            </w:r>
          </w:p>
        </w:tc>
        <w:tc>
          <w:tcPr>
            <w:tcW w:w="1530" w:type="dxa"/>
            <w:tcBorders>
              <w:top w:val="single" w:sz="4" w:space="0" w:color="auto"/>
              <w:left w:val="single" w:sz="4" w:space="0" w:color="auto"/>
              <w:bottom w:val="single" w:sz="4" w:space="0" w:color="auto"/>
              <w:right w:val="single" w:sz="4" w:space="0" w:color="auto"/>
            </w:tcBorders>
            <w:shd w:val="clear" w:color="000000" w:fill="D8D8D8"/>
            <w:vAlign w:val="bottom"/>
          </w:tcPr>
          <w:p w:rsidR="00DB393D" w:rsidRPr="008D537B" w:rsidRDefault="00DB393D" w:rsidP="00E5640A">
            <w:pPr>
              <w:jc w:val="center"/>
              <w:rPr>
                <w:color w:val="000000"/>
                <w:sz w:val="20"/>
                <w:szCs w:val="20"/>
              </w:rPr>
            </w:pPr>
            <w:r w:rsidRPr="008D537B">
              <w:rPr>
                <w:color w:val="000000"/>
                <w:sz w:val="20"/>
                <w:szCs w:val="20"/>
              </w:rPr>
              <w:t>Unit Costs</w:t>
            </w:r>
          </w:p>
        </w:tc>
        <w:tc>
          <w:tcPr>
            <w:tcW w:w="1260" w:type="dxa"/>
            <w:tcBorders>
              <w:top w:val="single" w:sz="4" w:space="0" w:color="auto"/>
              <w:left w:val="nil"/>
              <w:bottom w:val="single" w:sz="4" w:space="0" w:color="auto"/>
              <w:right w:val="single" w:sz="4" w:space="0" w:color="auto"/>
            </w:tcBorders>
            <w:shd w:val="clear" w:color="000000" w:fill="D8D8D8"/>
            <w:vAlign w:val="bottom"/>
          </w:tcPr>
          <w:p w:rsidR="00DB393D" w:rsidRPr="008D537B" w:rsidRDefault="00DB393D" w:rsidP="00E5640A">
            <w:pPr>
              <w:jc w:val="center"/>
              <w:rPr>
                <w:color w:val="000000"/>
                <w:sz w:val="20"/>
                <w:szCs w:val="20"/>
              </w:rPr>
            </w:pPr>
            <w:r w:rsidRPr="008D537B">
              <w:rPr>
                <w:color w:val="000000"/>
                <w:sz w:val="20"/>
                <w:szCs w:val="20"/>
              </w:rPr>
              <w:t>Quantity</w:t>
            </w:r>
          </w:p>
        </w:tc>
        <w:tc>
          <w:tcPr>
            <w:tcW w:w="1890" w:type="dxa"/>
            <w:tcBorders>
              <w:top w:val="single" w:sz="4" w:space="0" w:color="auto"/>
              <w:left w:val="nil"/>
              <w:bottom w:val="single" w:sz="4" w:space="0" w:color="auto"/>
              <w:right w:val="single" w:sz="4" w:space="0" w:color="auto"/>
            </w:tcBorders>
            <w:shd w:val="clear" w:color="000000" w:fill="D8D8D8"/>
            <w:vAlign w:val="bottom"/>
          </w:tcPr>
          <w:p w:rsidR="00DB393D" w:rsidRPr="008D537B" w:rsidRDefault="00DB393D" w:rsidP="00E5640A">
            <w:pPr>
              <w:jc w:val="center"/>
              <w:rPr>
                <w:color w:val="000000"/>
                <w:sz w:val="20"/>
                <w:szCs w:val="20"/>
              </w:rPr>
            </w:pPr>
            <w:r w:rsidRPr="008D537B">
              <w:rPr>
                <w:color w:val="000000"/>
                <w:sz w:val="20"/>
                <w:szCs w:val="20"/>
              </w:rPr>
              <w:t>Non-Personnel Request ($000)</w:t>
            </w:r>
          </w:p>
        </w:tc>
        <w:tc>
          <w:tcPr>
            <w:tcW w:w="1040" w:type="dxa"/>
            <w:tcBorders>
              <w:top w:val="single" w:sz="4" w:space="0" w:color="auto"/>
              <w:left w:val="nil"/>
              <w:bottom w:val="single" w:sz="4" w:space="0" w:color="auto"/>
              <w:right w:val="single" w:sz="4" w:space="0" w:color="auto"/>
            </w:tcBorders>
            <w:shd w:val="clear" w:color="000000" w:fill="D8D8D8"/>
            <w:vAlign w:val="bottom"/>
          </w:tcPr>
          <w:p w:rsidR="00DB393D" w:rsidRPr="008D537B" w:rsidRDefault="00DB393D" w:rsidP="00E5640A">
            <w:pPr>
              <w:jc w:val="center"/>
              <w:rPr>
                <w:color w:val="000000"/>
                <w:sz w:val="20"/>
                <w:szCs w:val="20"/>
              </w:rPr>
            </w:pPr>
            <w:r w:rsidRPr="008D537B">
              <w:rPr>
                <w:color w:val="000000"/>
                <w:sz w:val="20"/>
                <w:szCs w:val="20"/>
              </w:rPr>
              <w:t>FY 2013 Net Annualization (change from 2012)</w:t>
            </w:r>
          </w:p>
        </w:tc>
        <w:tc>
          <w:tcPr>
            <w:tcW w:w="1040" w:type="dxa"/>
            <w:tcBorders>
              <w:top w:val="single" w:sz="4" w:space="0" w:color="auto"/>
              <w:left w:val="nil"/>
              <w:bottom w:val="single" w:sz="4" w:space="0" w:color="auto"/>
              <w:right w:val="single" w:sz="4" w:space="0" w:color="auto"/>
            </w:tcBorders>
            <w:shd w:val="clear" w:color="000000" w:fill="D8D8D8"/>
            <w:vAlign w:val="bottom"/>
          </w:tcPr>
          <w:p w:rsidR="00DB393D" w:rsidRPr="008D537B" w:rsidRDefault="00DB393D" w:rsidP="00DB393D">
            <w:pPr>
              <w:jc w:val="center"/>
              <w:rPr>
                <w:color w:val="000000"/>
                <w:sz w:val="20"/>
                <w:szCs w:val="20"/>
              </w:rPr>
            </w:pPr>
            <w:r w:rsidRPr="008D537B">
              <w:rPr>
                <w:color w:val="000000"/>
                <w:sz w:val="20"/>
                <w:szCs w:val="20"/>
              </w:rPr>
              <w:t>FY 2014 Net Annualization (change from 2013)</w:t>
            </w:r>
          </w:p>
        </w:tc>
      </w:tr>
      <w:tr w:rsidR="00DB393D" w:rsidRPr="00015820" w:rsidTr="00DB393D">
        <w:trPr>
          <w:trHeight w:val="300"/>
          <w:jc w:val="center"/>
        </w:trPr>
        <w:tc>
          <w:tcPr>
            <w:tcW w:w="2801" w:type="dxa"/>
            <w:tcBorders>
              <w:top w:val="single" w:sz="4" w:space="0" w:color="auto"/>
              <w:left w:val="single" w:sz="4" w:space="0" w:color="auto"/>
              <w:bottom w:val="single" w:sz="4" w:space="0" w:color="auto"/>
              <w:right w:val="single" w:sz="4" w:space="0" w:color="auto"/>
            </w:tcBorders>
          </w:tcPr>
          <w:p w:rsidR="00DB393D" w:rsidRPr="008D537B" w:rsidRDefault="00DB393D" w:rsidP="00E5640A">
            <w:pPr>
              <w:rPr>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bottom"/>
          </w:tcPr>
          <w:p w:rsidR="00DB393D" w:rsidRPr="008D537B" w:rsidRDefault="00DB393D" w:rsidP="00E5640A">
            <w:pPr>
              <w:jc w:val="right"/>
              <w:rPr>
                <w:color w:val="000000"/>
                <w:sz w:val="20"/>
                <w:szCs w:val="20"/>
              </w:rPr>
            </w:pPr>
          </w:p>
        </w:tc>
        <w:tc>
          <w:tcPr>
            <w:tcW w:w="1260" w:type="dxa"/>
            <w:tcBorders>
              <w:top w:val="nil"/>
              <w:left w:val="nil"/>
              <w:bottom w:val="single" w:sz="4" w:space="0" w:color="auto"/>
              <w:right w:val="single" w:sz="4" w:space="0" w:color="auto"/>
            </w:tcBorders>
            <w:vAlign w:val="bottom"/>
          </w:tcPr>
          <w:p w:rsidR="00DB393D" w:rsidRPr="008D537B" w:rsidRDefault="00DB393D" w:rsidP="00E5640A">
            <w:pPr>
              <w:jc w:val="right"/>
              <w:rPr>
                <w:color w:val="000000"/>
                <w:sz w:val="20"/>
                <w:szCs w:val="20"/>
              </w:rPr>
            </w:pPr>
          </w:p>
        </w:tc>
        <w:tc>
          <w:tcPr>
            <w:tcW w:w="1890" w:type="dxa"/>
            <w:tcBorders>
              <w:top w:val="nil"/>
              <w:left w:val="nil"/>
              <w:bottom w:val="single" w:sz="4" w:space="0" w:color="auto"/>
              <w:right w:val="single" w:sz="4" w:space="0" w:color="auto"/>
            </w:tcBorders>
            <w:vAlign w:val="bottom"/>
          </w:tcPr>
          <w:p w:rsidR="00DB393D" w:rsidRPr="008D537B" w:rsidRDefault="00DB393D" w:rsidP="00E5640A">
            <w:pPr>
              <w:jc w:val="right"/>
              <w:rPr>
                <w:color w:val="000000"/>
                <w:sz w:val="20"/>
                <w:szCs w:val="20"/>
              </w:rPr>
            </w:pPr>
          </w:p>
        </w:tc>
        <w:tc>
          <w:tcPr>
            <w:tcW w:w="1040" w:type="dxa"/>
            <w:tcBorders>
              <w:top w:val="nil"/>
              <w:left w:val="nil"/>
              <w:bottom w:val="single" w:sz="4" w:space="0" w:color="auto"/>
              <w:right w:val="single" w:sz="4" w:space="0" w:color="auto"/>
            </w:tcBorders>
            <w:vAlign w:val="bottom"/>
          </w:tcPr>
          <w:p w:rsidR="00DB393D" w:rsidRPr="008D537B" w:rsidRDefault="00DB393D" w:rsidP="00E5640A">
            <w:pPr>
              <w:jc w:val="right"/>
              <w:rPr>
                <w:color w:val="000000"/>
                <w:sz w:val="20"/>
                <w:szCs w:val="20"/>
              </w:rPr>
            </w:pPr>
          </w:p>
        </w:tc>
        <w:tc>
          <w:tcPr>
            <w:tcW w:w="1040" w:type="dxa"/>
            <w:tcBorders>
              <w:top w:val="nil"/>
              <w:left w:val="nil"/>
              <w:bottom w:val="single" w:sz="4" w:space="0" w:color="auto"/>
              <w:right w:val="single" w:sz="4" w:space="0" w:color="auto"/>
            </w:tcBorders>
            <w:vAlign w:val="bottom"/>
          </w:tcPr>
          <w:p w:rsidR="00DB393D" w:rsidRPr="008D537B" w:rsidRDefault="00DB393D" w:rsidP="00E5640A">
            <w:pPr>
              <w:jc w:val="right"/>
              <w:rPr>
                <w:color w:val="000000"/>
                <w:sz w:val="20"/>
                <w:szCs w:val="20"/>
              </w:rPr>
            </w:pPr>
          </w:p>
        </w:tc>
      </w:tr>
      <w:tr w:rsidR="00DB393D" w:rsidRPr="00015820" w:rsidTr="00DB393D">
        <w:trPr>
          <w:trHeight w:val="300"/>
          <w:jc w:val="center"/>
        </w:trPr>
        <w:tc>
          <w:tcPr>
            <w:tcW w:w="2801" w:type="dxa"/>
            <w:tcBorders>
              <w:top w:val="single" w:sz="4" w:space="0" w:color="auto"/>
              <w:left w:val="single" w:sz="4" w:space="0" w:color="auto"/>
              <w:bottom w:val="single" w:sz="4" w:space="0" w:color="auto"/>
              <w:right w:val="single" w:sz="4" w:space="0" w:color="auto"/>
            </w:tcBorders>
          </w:tcPr>
          <w:p w:rsidR="00DB393D" w:rsidRPr="008D537B" w:rsidRDefault="00DB393D" w:rsidP="00E5640A">
            <w:pPr>
              <w:rPr>
                <w:b/>
                <w:color w:val="000000"/>
                <w:sz w:val="20"/>
                <w:szCs w:val="20"/>
              </w:rPr>
            </w:pPr>
            <w:r w:rsidRPr="008D537B">
              <w:rPr>
                <w:b/>
                <w:color w:val="000000"/>
                <w:sz w:val="20"/>
                <w:szCs w:val="20"/>
              </w:rPr>
              <w:t>Total, Non-Personnel</w:t>
            </w:r>
          </w:p>
        </w:tc>
        <w:tc>
          <w:tcPr>
            <w:tcW w:w="1530" w:type="dxa"/>
            <w:tcBorders>
              <w:top w:val="nil"/>
              <w:left w:val="single" w:sz="4" w:space="0" w:color="auto"/>
              <w:bottom w:val="single" w:sz="4" w:space="0" w:color="auto"/>
              <w:right w:val="single" w:sz="4" w:space="0" w:color="auto"/>
            </w:tcBorders>
          </w:tcPr>
          <w:p w:rsidR="00DB393D" w:rsidRPr="008D537B" w:rsidRDefault="00DB393D" w:rsidP="00E5640A">
            <w:pPr>
              <w:rPr>
                <w:color w:val="000000"/>
                <w:sz w:val="20"/>
                <w:szCs w:val="20"/>
              </w:rPr>
            </w:pPr>
          </w:p>
        </w:tc>
        <w:tc>
          <w:tcPr>
            <w:tcW w:w="1260" w:type="dxa"/>
            <w:tcBorders>
              <w:top w:val="nil"/>
              <w:left w:val="nil"/>
              <w:bottom w:val="single" w:sz="4" w:space="0" w:color="auto"/>
              <w:right w:val="single" w:sz="4" w:space="0" w:color="auto"/>
            </w:tcBorders>
            <w:vAlign w:val="bottom"/>
          </w:tcPr>
          <w:p w:rsidR="00DB393D" w:rsidRPr="008D537B" w:rsidRDefault="00DB393D" w:rsidP="00E5640A">
            <w:pPr>
              <w:jc w:val="right"/>
              <w:rPr>
                <w:color w:val="000000"/>
                <w:sz w:val="20"/>
                <w:szCs w:val="20"/>
              </w:rPr>
            </w:pPr>
          </w:p>
        </w:tc>
        <w:tc>
          <w:tcPr>
            <w:tcW w:w="1890" w:type="dxa"/>
            <w:tcBorders>
              <w:top w:val="nil"/>
              <w:left w:val="nil"/>
              <w:bottom w:val="single" w:sz="4" w:space="0" w:color="auto"/>
              <w:right w:val="single" w:sz="4" w:space="0" w:color="auto"/>
            </w:tcBorders>
            <w:vAlign w:val="bottom"/>
          </w:tcPr>
          <w:p w:rsidR="00DB393D" w:rsidRPr="008D537B" w:rsidRDefault="00DB393D" w:rsidP="00E5640A">
            <w:pPr>
              <w:jc w:val="right"/>
              <w:rPr>
                <w:color w:val="000000"/>
                <w:sz w:val="20"/>
                <w:szCs w:val="20"/>
              </w:rPr>
            </w:pPr>
          </w:p>
        </w:tc>
        <w:tc>
          <w:tcPr>
            <w:tcW w:w="1040" w:type="dxa"/>
            <w:tcBorders>
              <w:top w:val="nil"/>
              <w:left w:val="nil"/>
              <w:bottom w:val="single" w:sz="4" w:space="0" w:color="auto"/>
              <w:right w:val="single" w:sz="4" w:space="0" w:color="auto"/>
            </w:tcBorders>
            <w:vAlign w:val="bottom"/>
          </w:tcPr>
          <w:p w:rsidR="00DB393D" w:rsidRPr="008D537B" w:rsidRDefault="00DB393D" w:rsidP="00E5640A">
            <w:pPr>
              <w:jc w:val="right"/>
              <w:rPr>
                <w:color w:val="000000"/>
                <w:sz w:val="20"/>
                <w:szCs w:val="20"/>
              </w:rPr>
            </w:pPr>
          </w:p>
        </w:tc>
        <w:tc>
          <w:tcPr>
            <w:tcW w:w="1040" w:type="dxa"/>
            <w:tcBorders>
              <w:top w:val="nil"/>
              <w:left w:val="nil"/>
              <w:bottom w:val="single" w:sz="4" w:space="0" w:color="auto"/>
              <w:right w:val="single" w:sz="4" w:space="0" w:color="auto"/>
            </w:tcBorders>
            <w:vAlign w:val="bottom"/>
          </w:tcPr>
          <w:p w:rsidR="00DB393D" w:rsidRPr="008D537B" w:rsidRDefault="00DB393D" w:rsidP="00E5640A">
            <w:pPr>
              <w:jc w:val="right"/>
              <w:rPr>
                <w:color w:val="000000"/>
                <w:sz w:val="20"/>
                <w:szCs w:val="20"/>
              </w:rPr>
            </w:pPr>
          </w:p>
        </w:tc>
      </w:tr>
    </w:tbl>
    <w:p w:rsidR="009A5B76" w:rsidRPr="00015820" w:rsidRDefault="009A5B76" w:rsidP="009A5B76">
      <w:pPr>
        <w:pStyle w:val="xl24"/>
        <w:spacing w:before="0" w:after="0"/>
      </w:pPr>
      <w:r w:rsidRPr="00015820">
        <w:t xml:space="preserve">Total Request for Electronic Surveillance </w:t>
      </w:r>
      <w:r w:rsidR="000F1187">
        <w:t xml:space="preserve">Capabilities </w:t>
      </w:r>
      <w:r w:rsidRPr="00015820">
        <w:t>Resources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540"/>
        <w:gridCol w:w="630"/>
        <w:gridCol w:w="630"/>
        <w:gridCol w:w="1080"/>
        <w:gridCol w:w="1170"/>
        <w:gridCol w:w="900"/>
        <w:gridCol w:w="1440"/>
        <w:gridCol w:w="1530"/>
      </w:tblGrid>
      <w:tr w:rsidR="00DB393D" w:rsidRPr="00015820" w:rsidTr="00DB393D">
        <w:trPr>
          <w:trHeight w:val="658"/>
        </w:trPr>
        <w:tc>
          <w:tcPr>
            <w:tcW w:w="1350" w:type="dxa"/>
            <w:shd w:val="clear" w:color="auto" w:fill="E6E6E6"/>
          </w:tcPr>
          <w:p w:rsidR="00DB393D" w:rsidRPr="008D537B" w:rsidRDefault="00DB393D" w:rsidP="00E5640A">
            <w:pPr>
              <w:rPr>
                <w:sz w:val="20"/>
                <w:szCs w:val="20"/>
              </w:rPr>
            </w:pPr>
          </w:p>
        </w:tc>
        <w:tc>
          <w:tcPr>
            <w:tcW w:w="540" w:type="dxa"/>
            <w:vAlign w:val="bottom"/>
          </w:tcPr>
          <w:p w:rsidR="00DB393D" w:rsidRPr="008D537B" w:rsidRDefault="00DB393D" w:rsidP="00E5640A">
            <w:pPr>
              <w:jc w:val="center"/>
              <w:rPr>
                <w:sz w:val="20"/>
                <w:szCs w:val="20"/>
              </w:rPr>
            </w:pPr>
            <w:r w:rsidRPr="008D537B">
              <w:rPr>
                <w:sz w:val="20"/>
                <w:szCs w:val="20"/>
              </w:rPr>
              <w:t>Pos</w:t>
            </w:r>
          </w:p>
        </w:tc>
        <w:tc>
          <w:tcPr>
            <w:tcW w:w="630" w:type="dxa"/>
            <w:vAlign w:val="bottom"/>
          </w:tcPr>
          <w:p w:rsidR="00DB393D" w:rsidRPr="008D537B" w:rsidRDefault="00DB393D" w:rsidP="00E5640A">
            <w:pPr>
              <w:jc w:val="center"/>
              <w:rPr>
                <w:sz w:val="20"/>
                <w:szCs w:val="20"/>
              </w:rPr>
            </w:pPr>
            <w:proofErr w:type="spellStart"/>
            <w:r w:rsidRPr="008D537B">
              <w:rPr>
                <w:sz w:val="20"/>
                <w:szCs w:val="20"/>
              </w:rPr>
              <w:t>Agt</w:t>
            </w:r>
            <w:proofErr w:type="spellEnd"/>
          </w:p>
        </w:tc>
        <w:tc>
          <w:tcPr>
            <w:tcW w:w="630" w:type="dxa"/>
            <w:vAlign w:val="bottom"/>
          </w:tcPr>
          <w:p w:rsidR="00DB393D" w:rsidRPr="008D537B" w:rsidRDefault="00DB393D" w:rsidP="00E5640A">
            <w:pPr>
              <w:jc w:val="center"/>
              <w:rPr>
                <w:sz w:val="20"/>
                <w:szCs w:val="20"/>
              </w:rPr>
            </w:pPr>
            <w:r w:rsidRPr="008D537B">
              <w:rPr>
                <w:sz w:val="20"/>
                <w:szCs w:val="20"/>
              </w:rPr>
              <w:t>FTE</w:t>
            </w:r>
          </w:p>
        </w:tc>
        <w:tc>
          <w:tcPr>
            <w:tcW w:w="1080" w:type="dxa"/>
            <w:vAlign w:val="bottom"/>
          </w:tcPr>
          <w:p w:rsidR="00DB393D" w:rsidRPr="008D537B" w:rsidRDefault="00DB393D" w:rsidP="00E5640A">
            <w:pPr>
              <w:jc w:val="center"/>
              <w:rPr>
                <w:sz w:val="20"/>
                <w:szCs w:val="20"/>
              </w:rPr>
            </w:pPr>
            <w:r w:rsidRPr="008D537B">
              <w:rPr>
                <w:sz w:val="20"/>
                <w:szCs w:val="20"/>
              </w:rPr>
              <w:t>Personnel</w:t>
            </w:r>
          </w:p>
        </w:tc>
        <w:tc>
          <w:tcPr>
            <w:tcW w:w="1170" w:type="dxa"/>
            <w:vAlign w:val="bottom"/>
          </w:tcPr>
          <w:p w:rsidR="00DB393D" w:rsidRPr="008D537B" w:rsidRDefault="00DB393D" w:rsidP="00E5640A">
            <w:pPr>
              <w:jc w:val="center"/>
              <w:rPr>
                <w:sz w:val="20"/>
                <w:szCs w:val="20"/>
              </w:rPr>
            </w:pPr>
            <w:r w:rsidRPr="008D537B">
              <w:rPr>
                <w:sz w:val="20"/>
                <w:szCs w:val="20"/>
              </w:rPr>
              <w:t>Non-Personnel ($000)</w:t>
            </w:r>
          </w:p>
        </w:tc>
        <w:tc>
          <w:tcPr>
            <w:tcW w:w="900" w:type="dxa"/>
            <w:vAlign w:val="bottom"/>
          </w:tcPr>
          <w:p w:rsidR="00DB393D" w:rsidRPr="008D537B" w:rsidRDefault="00DB393D" w:rsidP="00E5640A">
            <w:pPr>
              <w:jc w:val="center"/>
              <w:rPr>
                <w:sz w:val="20"/>
                <w:szCs w:val="20"/>
              </w:rPr>
            </w:pPr>
            <w:r w:rsidRPr="008D537B">
              <w:rPr>
                <w:sz w:val="20"/>
                <w:szCs w:val="20"/>
              </w:rPr>
              <w:t>Total ($000)</w:t>
            </w:r>
          </w:p>
        </w:tc>
        <w:tc>
          <w:tcPr>
            <w:tcW w:w="1440" w:type="dxa"/>
            <w:vAlign w:val="bottom"/>
          </w:tcPr>
          <w:p w:rsidR="00DB393D" w:rsidRPr="008D537B" w:rsidRDefault="00DB393D" w:rsidP="00E5640A">
            <w:pPr>
              <w:jc w:val="center"/>
              <w:rPr>
                <w:sz w:val="20"/>
                <w:szCs w:val="20"/>
              </w:rPr>
            </w:pPr>
            <w:r w:rsidRPr="008D537B">
              <w:rPr>
                <w:color w:val="000000"/>
                <w:sz w:val="20"/>
                <w:szCs w:val="20"/>
              </w:rPr>
              <w:t>FY 2013 Net Annualization (change from 2012)</w:t>
            </w:r>
          </w:p>
        </w:tc>
        <w:tc>
          <w:tcPr>
            <w:tcW w:w="1530" w:type="dxa"/>
            <w:vAlign w:val="bottom"/>
          </w:tcPr>
          <w:p w:rsidR="00DB393D" w:rsidRPr="008D537B" w:rsidRDefault="00DB393D" w:rsidP="00DB393D">
            <w:pPr>
              <w:jc w:val="center"/>
              <w:rPr>
                <w:sz w:val="20"/>
                <w:szCs w:val="20"/>
              </w:rPr>
            </w:pPr>
            <w:r w:rsidRPr="008D537B">
              <w:rPr>
                <w:color w:val="000000"/>
                <w:sz w:val="20"/>
                <w:szCs w:val="20"/>
              </w:rPr>
              <w:t>FY 2014 Net Annualization (change from 2013)</w:t>
            </w:r>
          </w:p>
        </w:tc>
      </w:tr>
      <w:tr w:rsidR="00DB393D" w:rsidRPr="00015820" w:rsidTr="004B0807">
        <w:trPr>
          <w:trHeight w:val="215"/>
        </w:trPr>
        <w:tc>
          <w:tcPr>
            <w:tcW w:w="1350" w:type="dxa"/>
          </w:tcPr>
          <w:p w:rsidR="00DB393D" w:rsidRPr="008D537B" w:rsidRDefault="00DB393D" w:rsidP="00E5640A">
            <w:pPr>
              <w:rPr>
                <w:sz w:val="20"/>
                <w:szCs w:val="20"/>
              </w:rPr>
            </w:pPr>
            <w:r w:rsidRPr="008D537B">
              <w:rPr>
                <w:sz w:val="20"/>
                <w:szCs w:val="20"/>
              </w:rPr>
              <w:t>Current Services</w:t>
            </w:r>
          </w:p>
        </w:tc>
        <w:tc>
          <w:tcPr>
            <w:tcW w:w="540" w:type="dxa"/>
            <w:vAlign w:val="center"/>
          </w:tcPr>
          <w:p w:rsidR="00DB393D" w:rsidRPr="008D537B" w:rsidRDefault="004B0807" w:rsidP="004B0807">
            <w:pPr>
              <w:jc w:val="right"/>
              <w:rPr>
                <w:sz w:val="20"/>
                <w:szCs w:val="20"/>
              </w:rPr>
            </w:pPr>
            <w:r>
              <w:rPr>
                <w:sz w:val="20"/>
                <w:szCs w:val="20"/>
              </w:rPr>
              <w:t>0</w:t>
            </w:r>
          </w:p>
        </w:tc>
        <w:tc>
          <w:tcPr>
            <w:tcW w:w="630" w:type="dxa"/>
            <w:vAlign w:val="center"/>
          </w:tcPr>
          <w:p w:rsidR="00DB393D" w:rsidRPr="008D537B" w:rsidRDefault="004B0807" w:rsidP="004B0807">
            <w:pPr>
              <w:jc w:val="right"/>
              <w:rPr>
                <w:sz w:val="20"/>
                <w:szCs w:val="20"/>
              </w:rPr>
            </w:pPr>
            <w:r>
              <w:rPr>
                <w:sz w:val="20"/>
                <w:szCs w:val="20"/>
              </w:rPr>
              <w:t>0</w:t>
            </w:r>
          </w:p>
        </w:tc>
        <w:tc>
          <w:tcPr>
            <w:tcW w:w="630" w:type="dxa"/>
            <w:vAlign w:val="center"/>
          </w:tcPr>
          <w:p w:rsidR="00DB393D" w:rsidRPr="008D537B" w:rsidRDefault="004B0807" w:rsidP="004B0807">
            <w:pPr>
              <w:jc w:val="right"/>
              <w:rPr>
                <w:sz w:val="20"/>
                <w:szCs w:val="20"/>
              </w:rPr>
            </w:pPr>
            <w:r>
              <w:rPr>
                <w:sz w:val="20"/>
                <w:szCs w:val="20"/>
              </w:rPr>
              <w:t>0</w:t>
            </w:r>
          </w:p>
        </w:tc>
        <w:tc>
          <w:tcPr>
            <w:tcW w:w="1080" w:type="dxa"/>
            <w:vAlign w:val="center"/>
          </w:tcPr>
          <w:p w:rsidR="00DB393D" w:rsidRPr="008D537B" w:rsidRDefault="00DB393D" w:rsidP="00735773">
            <w:pPr>
              <w:jc w:val="right"/>
              <w:rPr>
                <w:sz w:val="20"/>
                <w:szCs w:val="20"/>
              </w:rPr>
            </w:pPr>
            <w:r w:rsidRPr="008D537B">
              <w:rPr>
                <w:sz w:val="20"/>
                <w:szCs w:val="20"/>
              </w:rPr>
              <w:t>0</w:t>
            </w:r>
          </w:p>
        </w:tc>
        <w:tc>
          <w:tcPr>
            <w:tcW w:w="1170" w:type="dxa"/>
            <w:vAlign w:val="center"/>
          </w:tcPr>
          <w:p w:rsidR="00DB393D" w:rsidRPr="008D537B" w:rsidRDefault="00DB393D" w:rsidP="00735773">
            <w:pPr>
              <w:jc w:val="right"/>
              <w:rPr>
                <w:sz w:val="20"/>
                <w:szCs w:val="20"/>
              </w:rPr>
            </w:pPr>
            <w:r w:rsidRPr="008D537B">
              <w:rPr>
                <w:sz w:val="20"/>
                <w:szCs w:val="20"/>
              </w:rPr>
              <w:t>0</w:t>
            </w:r>
          </w:p>
        </w:tc>
        <w:tc>
          <w:tcPr>
            <w:tcW w:w="900" w:type="dxa"/>
            <w:vAlign w:val="center"/>
          </w:tcPr>
          <w:p w:rsidR="00DB393D" w:rsidRPr="008D537B" w:rsidRDefault="00DB393D" w:rsidP="00735773">
            <w:pPr>
              <w:jc w:val="right"/>
              <w:rPr>
                <w:sz w:val="20"/>
                <w:szCs w:val="20"/>
              </w:rPr>
            </w:pPr>
            <w:r w:rsidRPr="008D537B">
              <w:rPr>
                <w:sz w:val="20"/>
                <w:szCs w:val="20"/>
              </w:rPr>
              <w:t>0</w:t>
            </w:r>
          </w:p>
        </w:tc>
        <w:tc>
          <w:tcPr>
            <w:tcW w:w="1440" w:type="dxa"/>
            <w:vAlign w:val="center"/>
          </w:tcPr>
          <w:p w:rsidR="00DB393D" w:rsidRPr="008D537B" w:rsidRDefault="004B0807" w:rsidP="004B0807">
            <w:pPr>
              <w:jc w:val="right"/>
              <w:rPr>
                <w:sz w:val="20"/>
                <w:szCs w:val="20"/>
              </w:rPr>
            </w:pPr>
            <w:r>
              <w:rPr>
                <w:sz w:val="20"/>
                <w:szCs w:val="20"/>
              </w:rPr>
              <w:t>0</w:t>
            </w:r>
          </w:p>
        </w:tc>
        <w:tc>
          <w:tcPr>
            <w:tcW w:w="1530" w:type="dxa"/>
            <w:vAlign w:val="center"/>
          </w:tcPr>
          <w:p w:rsidR="00DB393D" w:rsidRPr="008D537B" w:rsidRDefault="004B0807" w:rsidP="004B0807">
            <w:pPr>
              <w:jc w:val="right"/>
              <w:rPr>
                <w:sz w:val="20"/>
                <w:szCs w:val="20"/>
              </w:rPr>
            </w:pPr>
            <w:r>
              <w:rPr>
                <w:sz w:val="20"/>
                <w:szCs w:val="20"/>
              </w:rPr>
              <w:t>0</w:t>
            </w:r>
          </w:p>
        </w:tc>
      </w:tr>
      <w:tr w:rsidR="00DB393D" w:rsidRPr="00015820" w:rsidTr="00DB393D">
        <w:trPr>
          <w:trHeight w:val="215"/>
        </w:trPr>
        <w:tc>
          <w:tcPr>
            <w:tcW w:w="1350" w:type="dxa"/>
          </w:tcPr>
          <w:p w:rsidR="00DB393D" w:rsidRPr="008D537B" w:rsidRDefault="00DB393D" w:rsidP="00E5640A">
            <w:pPr>
              <w:rPr>
                <w:sz w:val="20"/>
                <w:szCs w:val="20"/>
              </w:rPr>
            </w:pPr>
            <w:r w:rsidRPr="008D537B">
              <w:rPr>
                <w:sz w:val="20"/>
                <w:szCs w:val="20"/>
              </w:rPr>
              <w:t>Increases</w:t>
            </w:r>
          </w:p>
        </w:tc>
        <w:tc>
          <w:tcPr>
            <w:tcW w:w="540" w:type="dxa"/>
            <w:vAlign w:val="center"/>
          </w:tcPr>
          <w:p w:rsidR="00DB393D" w:rsidRPr="008D537B" w:rsidRDefault="00DB393D" w:rsidP="00E5640A">
            <w:pPr>
              <w:jc w:val="right"/>
              <w:rPr>
                <w:sz w:val="20"/>
                <w:szCs w:val="20"/>
              </w:rPr>
            </w:pPr>
            <w:r w:rsidRPr="008D537B">
              <w:rPr>
                <w:sz w:val="20"/>
                <w:szCs w:val="20"/>
              </w:rPr>
              <w:t>8</w:t>
            </w:r>
          </w:p>
        </w:tc>
        <w:tc>
          <w:tcPr>
            <w:tcW w:w="630" w:type="dxa"/>
          </w:tcPr>
          <w:p w:rsidR="00DB393D" w:rsidRPr="008D537B" w:rsidRDefault="00DB393D" w:rsidP="00E5640A">
            <w:pPr>
              <w:jc w:val="right"/>
              <w:rPr>
                <w:sz w:val="20"/>
                <w:szCs w:val="20"/>
              </w:rPr>
            </w:pPr>
            <w:r w:rsidRPr="008D537B">
              <w:rPr>
                <w:sz w:val="20"/>
                <w:szCs w:val="20"/>
              </w:rPr>
              <w:t>6</w:t>
            </w:r>
          </w:p>
        </w:tc>
        <w:tc>
          <w:tcPr>
            <w:tcW w:w="630" w:type="dxa"/>
            <w:vAlign w:val="center"/>
          </w:tcPr>
          <w:p w:rsidR="00DB393D" w:rsidRPr="008D537B" w:rsidRDefault="00DB393D" w:rsidP="00E5640A">
            <w:pPr>
              <w:jc w:val="right"/>
              <w:rPr>
                <w:sz w:val="20"/>
                <w:szCs w:val="20"/>
              </w:rPr>
            </w:pPr>
            <w:r w:rsidRPr="008D537B">
              <w:rPr>
                <w:sz w:val="20"/>
                <w:szCs w:val="20"/>
              </w:rPr>
              <w:t>4</w:t>
            </w:r>
          </w:p>
        </w:tc>
        <w:tc>
          <w:tcPr>
            <w:tcW w:w="1080" w:type="dxa"/>
            <w:vAlign w:val="center"/>
          </w:tcPr>
          <w:p w:rsidR="00DB393D" w:rsidRPr="008D537B" w:rsidRDefault="00DB393D" w:rsidP="00E5640A">
            <w:pPr>
              <w:jc w:val="right"/>
              <w:rPr>
                <w:sz w:val="20"/>
                <w:szCs w:val="20"/>
              </w:rPr>
            </w:pPr>
            <w:r w:rsidRPr="008D537B">
              <w:rPr>
                <w:sz w:val="20"/>
                <w:szCs w:val="20"/>
              </w:rPr>
              <w:t>1,519</w:t>
            </w:r>
          </w:p>
        </w:tc>
        <w:tc>
          <w:tcPr>
            <w:tcW w:w="1170" w:type="dxa"/>
            <w:vAlign w:val="center"/>
          </w:tcPr>
          <w:p w:rsidR="00DB393D" w:rsidRPr="008D537B" w:rsidRDefault="00DB393D" w:rsidP="00E5640A">
            <w:pPr>
              <w:jc w:val="right"/>
              <w:rPr>
                <w:sz w:val="20"/>
                <w:szCs w:val="20"/>
              </w:rPr>
            </w:pPr>
            <w:r w:rsidRPr="008D537B">
              <w:rPr>
                <w:sz w:val="20"/>
                <w:szCs w:val="20"/>
              </w:rPr>
              <w:t>0</w:t>
            </w:r>
          </w:p>
        </w:tc>
        <w:tc>
          <w:tcPr>
            <w:tcW w:w="900" w:type="dxa"/>
          </w:tcPr>
          <w:p w:rsidR="00DB393D" w:rsidRPr="008D537B" w:rsidRDefault="00DB393D" w:rsidP="00E5640A">
            <w:pPr>
              <w:jc w:val="right"/>
              <w:rPr>
                <w:sz w:val="20"/>
                <w:szCs w:val="20"/>
              </w:rPr>
            </w:pPr>
            <w:r w:rsidRPr="008D537B">
              <w:rPr>
                <w:sz w:val="20"/>
                <w:szCs w:val="20"/>
              </w:rPr>
              <w:t>1,519</w:t>
            </w:r>
          </w:p>
        </w:tc>
        <w:tc>
          <w:tcPr>
            <w:tcW w:w="1440" w:type="dxa"/>
          </w:tcPr>
          <w:p w:rsidR="00DB393D" w:rsidRPr="008D537B" w:rsidRDefault="00EF726E" w:rsidP="00E5640A">
            <w:pPr>
              <w:jc w:val="right"/>
              <w:rPr>
                <w:sz w:val="20"/>
                <w:szCs w:val="20"/>
              </w:rPr>
            </w:pPr>
            <w:r w:rsidRPr="008D537B">
              <w:rPr>
                <w:sz w:val="20"/>
                <w:szCs w:val="20"/>
              </w:rPr>
              <w:t>338</w:t>
            </w:r>
          </w:p>
        </w:tc>
        <w:tc>
          <w:tcPr>
            <w:tcW w:w="1530" w:type="dxa"/>
          </w:tcPr>
          <w:p w:rsidR="00DB393D" w:rsidRPr="008D537B" w:rsidRDefault="00EF726E" w:rsidP="00E5640A">
            <w:pPr>
              <w:jc w:val="right"/>
              <w:rPr>
                <w:sz w:val="20"/>
                <w:szCs w:val="20"/>
              </w:rPr>
            </w:pPr>
            <w:r w:rsidRPr="008D537B">
              <w:rPr>
                <w:sz w:val="20"/>
                <w:szCs w:val="20"/>
              </w:rPr>
              <w:t>501</w:t>
            </w:r>
          </w:p>
        </w:tc>
      </w:tr>
      <w:tr w:rsidR="00DB393D" w:rsidRPr="00015820" w:rsidTr="00DB393D">
        <w:trPr>
          <w:trHeight w:val="215"/>
        </w:trPr>
        <w:tc>
          <w:tcPr>
            <w:tcW w:w="1350" w:type="dxa"/>
          </w:tcPr>
          <w:p w:rsidR="00DB393D" w:rsidRPr="008D537B" w:rsidRDefault="00DB393D" w:rsidP="00E5640A">
            <w:pPr>
              <w:rPr>
                <w:sz w:val="20"/>
                <w:szCs w:val="20"/>
              </w:rPr>
            </w:pPr>
            <w:r w:rsidRPr="008D537B">
              <w:rPr>
                <w:sz w:val="20"/>
                <w:szCs w:val="20"/>
              </w:rPr>
              <w:t>Grand Total</w:t>
            </w:r>
          </w:p>
        </w:tc>
        <w:tc>
          <w:tcPr>
            <w:tcW w:w="540" w:type="dxa"/>
            <w:vAlign w:val="center"/>
          </w:tcPr>
          <w:p w:rsidR="00DB393D" w:rsidRPr="008D537B" w:rsidRDefault="004B0807" w:rsidP="00E5640A">
            <w:pPr>
              <w:jc w:val="right"/>
              <w:rPr>
                <w:sz w:val="20"/>
                <w:szCs w:val="20"/>
              </w:rPr>
            </w:pPr>
            <w:r>
              <w:rPr>
                <w:sz w:val="20"/>
                <w:szCs w:val="20"/>
              </w:rPr>
              <w:t>8</w:t>
            </w:r>
          </w:p>
        </w:tc>
        <w:tc>
          <w:tcPr>
            <w:tcW w:w="630" w:type="dxa"/>
          </w:tcPr>
          <w:p w:rsidR="00DB393D" w:rsidRPr="008D537B" w:rsidRDefault="00DB393D" w:rsidP="00E5640A">
            <w:pPr>
              <w:jc w:val="right"/>
              <w:rPr>
                <w:sz w:val="20"/>
                <w:szCs w:val="20"/>
              </w:rPr>
            </w:pPr>
            <w:r w:rsidRPr="008D537B">
              <w:rPr>
                <w:sz w:val="20"/>
                <w:szCs w:val="20"/>
              </w:rPr>
              <w:t>6</w:t>
            </w:r>
          </w:p>
        </w:tc>
        <w:tc>
          <w:tcPr>
            <w:tcW w:w="630" w:type="dxa"/>
            <w:vAlign w:val="center"/>
          </w:tcPr>
          <w:p w:rsidR="00DB393D" w:rsidRPr="008D537B" w:rsidRDefault="004B0807" w:rsidP="004B0807">
            <w:pPr>
              <w:jc w:val="right"/>
              <w:rPr>
                <w:sz w:val="20"/>
                <w:szCs w:val="20"/>
              </w:rPr>
            </w:pPr>
            <w:r>
              <w:rPr>
                <w:sz w:val="20"/>
                <w:szCs w:val="20"/>
              </w:rPr>
              <w:t>4</w:t>
            </w:r>
          </w:p>
        </w:tc>
        <w:tc>
          <w:tcPr>
            <w:tcW w:w="1080" w:type="dxa"/>
            <w:vAlign w:val="center"/>
          </w:tcPr>
          <w:p w:rsidR="00DB393D" w:rsidRPr="008D537B" w:rsidRDefault="00DB393D" w:rsidP="00E5640A">
            <w:pPr>
              <w:jc w:val="right"/>
              <w:rPr>
                <w:sz w:val="20"/>
                <w:szCs w:val="20"/>
              </w:rPr>
            </w:pPr>
            <w:r w:rsidRPr="008D537B">
              <w:rPr>
                <w:sz w:val="20"/>
                <w:szCs w:val="20"/>
              </w:rPr>
              <w:t>1,519</w:t>
            </w:r>
          </w:p>
        </w:tc>
        <w:tc>
          <w:tcPr>
            <w:tcW w:w="1170" w:type="dxa"/>
            <w:vAlign w:val="center"/>
          </w:tcPr>
          <w:p w:rsidR="00DB393D" w:rsidRPr="008D537B" w:rsidRDefault="00DB393D" w:rsidP="00E5640A">
            <w:pPr>
              <w:jc w:val="right"/>
              <w:rPr>
                <w:sz w:val="20"/>
                <w:szCs w:val="20"/>
              </w:rPr>
            </w:pPr>
            <w:r w:rsidRPr="008D537B">
              <w:rPr>
                <w:sz w:val="20"/>
                <w:szCs w:val="20"/>
              </w:rPr>
              <w:t>0</w:t>
            </w:r>
          </w:p>
        </w:tc>
        <w:tc>
          <w:tcPr>
            <w:tcW w:w="900" w:type="dxa"/>
          </w:tcPr>
          <w:p w:rsidR="00DB393D" w:rsidRPr="008D537B" w:rsidRDefault="00DB393D" w:rsidP="00E5640A">
            <w:pPr>
              <w:jc w:val="right"/>
              <w:rPr>
                <w:sz w:val="20"/>
                <w:szCs w:val="20"/>
              </w:rPr>
            </w:pPr>
            <w:r w:rsidRPr="008D537B">
              <w:rPr>
                <w:sz w:val="20"/>
                <w:szCs w:val="20"/>
              </w:rPr>
              <w:t>1,519</w:t>
            </w:r>
          </w:p>
        </w:tc>
        <w:tc>
          <w:tcPr>
            <w:tcW w:w="1440" w:type="dxa"/>
          </w:tcPr>
          <w:p w:rsidR="00DB393D" w:rsidRPr="008D537B" w:rsidRDefault="00EF726E" w:rsidP="00E5640A">
            <w:pPr>
              <w:jc w:val="right"/>
              <w:rPr>
                <w:sz w:val="20"/>
                <w:szCs w:val="20"/>
              </w:rPr>
            </w:pPr>
            <w:r w:rsidRPr="008D537B">
              <w:rPr>
                <w:sz w:val="20"/>
                <w:szCs w:val="20"/>
              </w:rPr>
              <w:t>338</w:t>
            </w:r>
          </w:p>
        </w:tc>
        <w:tc>
          <w:tcPr>
            <w:tcW w:w="1530" w:type="dxa"/>
          </w:tcPr>
          <w:p w:rsidR="00DB393D" w:rsidRPr="008D537B" w:rsidRDefault="00EF726E" w:rsidP="00E5640A">
            <w:pPr>
              <w:jc w:val="right"/>
              <w:rPr>
                <w:sz w:val="20"/>
                <w:szCs w:val="20"/>
              </w:rPr>
            </w:pPr>
            <w:r w:rsidRPr="008D537B">
              <w:rPr>
                <w:sz w:val="20"/>
                <w:szCs w:val="20"/>
              </w:rPr>
              <w:t>501</w:t>
            </w:r>
          </w:p>
        </w:tc>
      </w:tr>
    </w:tbl>
    <w:p w:rsidR="00C71EBF" w:rsidRDefault="00C71EBF" w:rsidP="00C71EBF">
      <w:pPr>
        <w:rPr>
          <w:b/>
          <w:bCs/>
        </w:rPr>
      </w:pPr>
    </w:p>
    <w:p w:rsidR="00186E18" w:rsidRDefault="00186E18">
      <w:pPr>
        <w:rPr>
          <w:b/>
          <w:szCs w:val="20"/>
        </w:rPr>
      </w:pPr>
      <w:r>
        <w:rPr>
          <w:b/>
        </w:rPr>
        <w:br w:type="page"/>
      </w:r>
    </w:p>
    <w:p w:rsidR="00C41A7B" w:rsidRDefault="00C41A7B" w:rsidP="00C41A7B">
      <w:pPr>
        <w:pStyle w:val="BodyText"/>
        <w:rPr>
          <w:rFonts w:cs="Arial"/>
          <w:b/>
          <w:szCs w:val="24"/>
        </w:rPr>
      </w:pPr>
      <w:r w:rsidRPr="00F527F6">
        <w:rPr>
          <w:b/>
        </w:rPr>
        <w:lastRenderedPageBreak/>
        <w:t>V</w:t>
      </w:r>
      <w:r>
        <w:rPr>
          <w:b/>
        </w:rPr>
        <w:t>I</w:t>
      </w:r>
      <w:r w:rsidRPr="00F527F6">
        <w:rPr>
          <w:b/>
        </w:rPr>
        <w:t>.</w:t>
      </w:r>
      <w:r>
        <w:t xml:space="preserve"> </w:t>
      </w:r>
      <w:r>
        <w:rPr>
          <w:rFonts w:cs="Arial"/>
          <w:b/>
          <w:szCs w:val="24"/>
        </w:rPr>
        <w:t>Program Offsets</w:t>
      </w:r>
      <w:r w:rsidRPr="00294C40">
        <w:rPr>
          <w:rFonts w:cs="Arial"/>
          <w:b/>
          <w:szCs w:val="24"/>
        </w:rPr>
        <w:t xml:space="preserve"> by Item </w:t>
      </w:r>
    </w:p>
    <w:p w:rsidR="005C6609" w:rsidRDefault="005C6609" w:rsidP="00C41A7B">
      <w:pPr>
        <w:pStyle w:val="BodyText"/>
        <w:rPr>
          <w:rFonts w:cs="Arial"/>
          <w:b/>
          <w:szCs w:val="24"/>
        </w:rPr>
      </w:pPr>
    </w:p>
    <w:p w:rsidR="00D95367" w:rsidRDefault="00D95367" w:rsidP="00D95367">
      <w:pPr>
        <w:pStyle w:val="xl19"/>
        <w:tabs>
          <w:tab w:val="left" w:pos="3420"/>
          <w:tab w:val="right" w:pos="8640"/>
        </w:tabs>
        <w:ind w:left="3420" w:hanging="3420"/>
        <w:outlineLvl w:val="0"/>
        <w:rPr>
          <w:b/>
          <w:bCs/>
        </w:rPr>
      </w:pPr>
      <w:r w:rsidRPr="00426C49">
        <w:rPr>
          <w:b/>
          <w:bCs/>
        </w:rPr>
        <w:t>Item Name:</w:t>
      </w:r>
      <w:r w:rsidRPr="00426C49">
        <w:rPr>
          <w:b/>
          <w:bCs/>
        </w:rPr>
        <w:tab/>
      </w:r>
      <w:r>
        <w:rPr>
          <w:b/>
          <w:bCs/>
        </w:rPr>
        <w:t>National Integrated Ballistic Information Network</w:t>
      </w:r>
      <w:r w:rsidR="00735773">
        <w:rPr>
          <w:b/>
          <w:bCs/>
        </w:rPr>
        <w:t xml:space="preserve"> (NIBIN)</w:t>
      </w:r>
      <w:r>
        <w:rPr>
          <w:b/>
          <w:bCs/>
        </w:rPr>
        <w:t xml:space="preserve"> Reduction </w:t>
      </w:r>
    </w:p>
    <w:p w:rsidR="00D95367" w:rsidRPr="00426C49" w:rsidRDefault="00D95367" w:rsidP="00D95367">
      <w:pPr>
        <w:pStyle w:val="xl19"/>
        <w:tabs>
          <w:tab w:val="left" w:pos="3420"/>
          <w:tab w:val="right" w:pos="8640"/>
        </w:tabs>
      </w:pPr>
      <w:r w:rsidRPr="00426C49">
        <w:t xml:space="preserve">                                     </w:t>
      </w:r>
    </w:p>
    <w:p w:rsidR="00D95367" w:rsidRPr="00C16770" w:rsidRDefault="00D95367" w:rsidP="00D95367">
      <w:pPr>
        <w:pStyle w:val="xl19"/>
        <w:tabs>
          <w:tab w:val="left" w:pos="3420"/>
          <w:tab w:val="right" w:pos="8640"/>
        </w:tabs>
        <w:ind w:left="3420" w:hanging="3420"/>
      </w:pPr>
      <w:r w:rsidRPr="00C16770">
        <w:rPr>
          <w:bCs/>
        </w:rPr>
        <w:t>Budget Decision Unit(s):</w:t>
      </w:r>
      <w:r w:rsidRPr="00C16770">
        <w:t xml:space="preserve"> </w:t>
      </w:r>
      <w:r w:rsidRPr="00C16770">
        <w:tab/>
      </w:r>
      <w:r>
        <w:t>Firearms</w:t>
      </w:r>
    </w:p>
    <w:p w:rsidR="00D95367" w:rsidRPr="00C16770" w:rsidRDefault="00D95367" w:rsidP="00D95367">
      <w:pPr>
        <w:pStyle w:val="xl19"/>
        <w:tabs>
          <w:tab w:val="left" w:pos="3420"/>
          <w:tab w:val="right" w:pos="8640"/>
        </w:tabs>
      </w:pPr>
      <w:r w:rsidRPr="00C16770">
        <w:tab/>
        <w:t xml:space="preserve">                                                     </w:t>
      </w:r>
    </w:p>
    <w:p w:rsidR="00D95367" w:rsidRPr="00C16770" w:rsidRDefault="00D95367" w:rsidP="00D95367">
      <w:pPr>
        <w:pStyle w:val="xl19"/>
        <w:tabs>
          <w:tab w:val="left" w:pos="3420"/>
          <w:tab w:val="right" w:pos="8640"/>
        </w:tabs>
        <w:ind w:left="3420" w:hanging="3420"/>
      </w:pPr>
      <w:r w:rsidRPr="00C16770">
        <w:rPr>
          <w:bCs/>
        </w:rPr>
        <w:t>Strategic Goal(s) &amp; Objective(s):</w:t>
      </w:r>
      <w:r w:rsidRPr="00C16770">
        <w:t xml:space="preserve"> </w:t>
      </w:r>
      <w:r w:rsidRPr="00C16770">
        <w:tab/>
        <w:t xml:space="preserve">Strategic Goal 1: Prevent Terrorism and Promote the Nation’s Security, Objectives 1.1 and 1.2; </w:t>
      </w:r>
      <w:r w:rsidRPr="00C16770">
        <w:tab/>
      </w:r>
    </w:p>
    <w:p w:rsidR="00D95367" w:rsidRPr="00C16770" w:rsidRDefault="00D95367" w:rsidP="00D95367">
      <w:pPr>
        <w:pStyle w:val="xl19"/>
        <w:tabs>
          <w:tab w:val="left" w:pos="3420"/>
          <w:tab w:val="right" w:pos="8640"/>
        </w:tabs>
        <w:ind w:left="3420" w:hanging="3420"/>
      </w:pPr>
    </w:p>
    <w:p w:rsidR="00D95367" w:rsidRPr="00C16770" w:rsidRDefault="00D95367" w:rsidP="00D95367">
      <w:pPr>
        <w:pStyle w:val="xl19"/>
        <w:tabs>
          <w:tab w:val="left" w:pos="3420"/>
          <w:tab w:val="right" w:pos="8640"/>
        </w:tabs>
        <w:ind w:left="3420"/>
      </w:pPr>
      <w:r w:rsidRPr="00C16770">
        <w:t>Strategic Goal 2: Prevent Crime, Enforce Federal Laws, and Represent the Rights and Interests of the American People, Objectives 2.1, 2.2</w:t>
      </w:r>
    </w:p>
    <w:p w:rsidR="00D95367" w:rsidRPr="00C16770" w:rsidRDefault="00D95367" w:rsidP="00D95367">
      <w:pPr>
        <w:pStyle w:val="xl19"/>
        <w:tabs>
          <w:tab w:val="left" w:pos="3420"/>
          <w:tab w:val="right" w:pos="8640"/>
        </w:tabs>
      </w:pPr>
    </w:p>
    <w:p w:rsidR="00D95367" w:rsidRPr="00C16770" w:rsidRDefault="00D95367" w:rsidP="00D95367">
      <w:pPr>
        <w:pStyle w:val="xl19"/>
        <w:tabs>
          <w:tab w:val="left" w:pos="3420"/>
          <w:tab w:val="right" w:pos="8640"/>
        </w:tabs>
      </w:pPr>
      <w:r w:rsidRPr="00C16770">
        <w:rPr>
          <w:bCs/>
        </w:rPr>
        <w:t>Organizational Program</w:t>
      </w:r>
      <w:r w:rsidRPr="00C16770">
        <w:t>:</w:t>
      </w:r>
      <w:r w:rsidRPr="00C16770">
        <w:tab/>
      </w:r>
      <w:r>
        <w:t>Bureau-wide</w:t>
      </w:r>
    </w:p>
    <w:p w:rsidR="00D95367" w:rsidRPr="00C16770" w:rsidRDefault="00D95367" w:rsidP="00D95367">
      <w:pPr>
        <w:pStyle w:val="xl19"/>
        <w:tabs>
          <w:tab w:val="left" w:pos="3420"/>
          <w:tab w:val="right" w:pos="8640"/>
        </w:tabs>
      </w:pPr>
      <w:r w:rsidRPr="00C16770">
        <w:tab/>
      </w:r>
    </w:p>
    <w:p w:rsidR="00D95367" w:rsidRPr="00C16770" w:rsidRDefault="00D95367" w:rsidP="00D95367">
      <w:pPr>
        <w:pStyle w:val="xl19"/>
        <w:tabs>
          <w:tab w:val="left" w:pos="3420"/>
          <w:tab w:val="right" w:pos="8640"/>
        </w:tabs>
      </w:pPr>
      <w:r w:rsidRPr="00C16770">
        <w:t>Component Ranking of Item:</w:t>
      </w:r>
      <w:r w:rsidRPr="00C16770">
        <w:tab/>
        <w:t xml:space="preserve">Item </w:t>
      </w:r>
      <w:r>
        <w:t>1</w:t>
      </w:r>
      <w:r w:rsidRPr="00C16770">
        <w:t xml:space="preserve"> of </w:t>
      </w:r>
      <w:r>
        <w:t>8</w:t>
      </w:r>
    </w:p>
    <w:p w:rsidR="00D95367" w:rsidRPr="00C16770" w:rsidRDefault="00D95367" w:rsidP="00D95367">
      <w:pPr>
        <w:pStyle w:val="xl19"/>
        <w:tabs>
          <w:tab w:val="left" w:pos="3420"/>
          <w:tab w:val="right" w:pos="8640"/>
        </w:tabs>
        <w:rPr>
          <w:u w:val="single"/>
        </w:rPr>
      </w:pPr>
    </w:p>
    <w:p w:rsidR="00D95367" w:rsidRPr="00CA4EC0" w:rsidRDefault="00D95367" w:rsidP="00D95367">
      <w:pPr>
        <w:pStyle w:val="xl19"/>
        <w:tabs>
          <w:tab w:val="left" w:pos="2340"/>
          <w:tab w:val="right" w:pos="3060"/>
          <w:tab w:val="left" w:pos="3420"/>
          <w:tab w:val="right" w:pos="4500"/>
          <w:tab w:val="left" w:pos="5310"/>
          <w:tab w:val="right" w:pos="6300"/>
        </w:tabs>
      </w:pPr>
      <w:r w:rsidRPr="00C16770">
        <w:rPr>
          <w:bCs/>
        </w:rPr>
        <w:t xml:space="preserve">Program </w:t>
      </w:r>
      <w:r w:rsidR="00C70BF1">
        <w:rPr>
          <w:bCs/>
        </w:rPr>
        <w:t>Offset</w:t>
      </w:r>
      <w:r w:rsidRPr="00C16770">
        <w:t>:</w:t>
      </w:r>
      <w:r w:rsidRPr="00426C49">
        <w:rPr>
          <w:b/>
        </w:rPr>
        <w:t xml:space="preserve"> </w:t>
      </w:r>
      <w:r w:rsidRPr="00426C49">
        <w:t xml:space="preserve"> </w:t>
      </w:r>
      <w:r w:rsidR="00C70BF1">
        <w:tab/>
      </w:r>
      <w:r w:rsidR="00C70BF1">
        <w:tab/>
      </w:r>
      <w:r w:rsidR="00C70BF1">
        <w:tab/>
      </w:r>
      <w:r w:rsidRPr="00426C49">
        <w:t xml:space="preserve">Positions: </w:t>
      </w:r>
      <w:r w:rsidRPr="00426C49">
        <w:rPr>
          <w:u w:val="single"/>
        </w:rPr>
        <w:t xml:space="preserve"> </w:t>
      </w:r>
      <w:proofErr w:type="gramStart"/>
      <w:r>
        <w:rPr>
          <w:u w:val="single"/>
        </w:rPr>
        <w:t>0</w:t>
      </w:r>
      <w:r w:rsidRPr="00426C49">
        <w:t xml:space="preserve">   Agent</w:t>
      </w:r>
      <w:proofErr w:type="gramEnd"/>
      <w:r w:rsidRPr="00426C49">
        <w:t xml:space="preserve">: </w:t>
      </w:r>
      <w:r w:rsidRPr="00426C49">
        <w:rPr>
          <w:u w:val="single"/>
        </w:rPr>
        <w:t xml:space="preserve"> </w:t>
      </w:r>
      <w:r>
        <w:rPr>
          <w:u w:val="single"/>
        </w:rPr>
        <w:t>0</w:t>
      </w:r>
      <w:r w:rsidRPr="00426C49">
        <w:rPr>
          <w:u w:val="single"/>
        </w:rPr>
        <w:t xml:space="preserve"> </w:t>
      </w:r>
      <w:r w:rsidRPr="00426C49">
        <w:t xml:space="preserve">  FTE: </w:t>
      </w:r>
      <w:r w:rsidRPr="00426C49">
        <w:rPr>
          <w:u w:val="single"/>
        </w:rPr>
        <w:t xml:space="preserve"> </w:t>
      </w:r>
      <w:r>
        <w:rPr>
          <w:u w:val="single"/>
        </w:rPr>
        <w:t>0</w:t>
      </w:r>
      <w:r w:rsidRPr="00426C49">
        <w:t xml:space="preserve">  </w:t>
      </w:r>
      <w:r>
        <w:t xml:space="preserve"> </w:t>
      </w:r>
      <w:r w:rsidRPr="00426C49">
        <w:t xml:space="preserve">Dollars </w:t>
      </w:r>
      <w:r>
        <w:rPr>
          <w:u w:val="single"/>
        </w:rPr>
        <w:t>($10,000,000)</w:t>
      </w:r>
    </w:p>
    <w:p w:rsidR="00D95367" w:rsidRPr="00426C49" w:rsidRDefault="00D95367" w:rsidP="00D95367">
      <w:pPr>
        <w:pStyle w:val="xl19"/>
        <w:tabs>
          <w:tab w:val="left" w:pos="2340"/>
          <w:tab w:val="right" w:pos="3060"/>
          <w:tab w:val="left" w:pos="3420"/>
          <w:tab w:val="right" w:pos="4500"/>
          <w:tab w:val="left" w:pos="5310"/>
          <w:tab w:val="right" w:pos="6300"/>
        </w:tabs>
      </w:pPr>
      <w:r w:rsidRPr="00426C49">
        <w:rPr>
          <w:bCs/>
        </w:rPr>
        <w:t xml:space="preserve">                          </w:t>
      </w:r>
    </w:p>
    <w:p w:rsidR="00D95367" w:rsidRPr="003307E1" w:rsidRDefault="00D95367" w:rsidP="00D95367">
      <w:pPr>
        <w:pStyle w:val="Header"/>
        <w:outlineLvl w:val="0"/>
        <w:rPr>
          <w:bCs/>
          <w:u w:val="single"/>
        </w:rPr>
      </w:pPr>
      <w:r w:rsidRPr="003307E1">
        <w:rPr>
          <w:bCs/>
          <w:u w:val="single"/>
        </w:rPr>
        <w:t>Description of Item</w:t>
      </w:r>
    </w:p>
    <w:p w:rsidR="00D95367" w:rsidRDefault="00D95367" w:rsidP="00D95367">
      <w:pPr>
        <w:rPr>
          <w:bCs/>
          <w:u w:val="single"/>
        </w:rPr>
      </w:pPr>
    </w:p>
    <w:p w:rsidR="00D95367" w:rsidRPr="00D95367" w:rsidRDefault="00C34432" w:rsidP="00D95367">
      <w:pPr>
        <w:rPr>
          <w:bCs/>
        </w:rPr>
      </w:pPr>
      <w:r w:rsidRPr="00C34432">
        <w:rPr>
          <w:bCs/>
        </w:rPr>
        <w:t xml:space="preserve">This request reflects an offset </w:t>
      </w:r>
      <w:r w:rsidR="005C6609">
        <w:rPr>
          <w:bCs/>
        </w:rPr>
        <w:t xml:space="preserve">program reduction </w:t>
      </w:r>
      <w:r w:rsidRPr="00C34432">
        <w:rPr>
          <w:bCs/>
        </w:rPr>
        <w:t>for ATF’s National Integrated Ballistic Information Network (NIBIN).</w:t>
      </w:r>
    </w:p>
    <w:p w:rsidR="00D95367" w:rsidRDefault="00D95367" w:rsidP="00D95367">
      <w:pPr>
        <w:jc w:val="center"/>
        <w:rPr>
          <w:b/>
        </w:rPr>
      </w:pPr>
    </w:p>
    <w:p w:rsidR="00D95367" w:rsidRPr="004E1020" w:rsidRDefault="00D95367" w:rsidP="00D95367">
      <w:pPr>
        <w:pStyle w:val="Header"/>
        <w:outlineLvl w:val="0"/>
        <w:rPr>
          <w:bCs/>
          <w:u w:val="single"/>
        </w:rPr>
      </w:pPr>
      <w:r w:rsidRPr="004E1020">
        <w:rPr>
          <w:bCs/>
          <w:u w:val="single"/>
        </w:rPr>
        <w:t>Justification</w:t>
      </w:r>
    </w:p>
    <w:p w:rsidR="00D95367" w:rsidRDefault="00D95367" w:rsidP="00D95367">
      <w:pPr>
        <w:pStyle w:val="Header"/>
        <w:outlineLvl w:val="0"/>
        <w:rPr>
          <w:bCs/>
        </w:rPr>
      </w:pPr>
    </w:p>
    <w:p w:rsidR="00D95367" w:rsidRDefault="00371EB8" w:rsidP="00D95367">
      <w:pPr>
        <w:pStyle w:val="Header"/>
        <w:outlineLvl w:val="0"/>
      </w:pPr>
      <w:r>
        <w:t xml:space="preserve">To fund higher priorities and achieve cost savings, the Administration proposes to offset the NIBIN program whose </w:t>
      </w:r>
      <w:r w:rsidR="005C6609">
        <w:t xml:space="preserve">participants and customers are primarily non-Federal government </w:t>
      </w:r>
      <w:r w:rsidR="00D95367">
        <w:t xml:space="preserve">law enforcement entities.  </w:t>
      </w:r>
    </w:p>
    <w:p w:rsidR="00D95367" w:rsidRDefault="00D95367" w:rsidP="00D95367">
      <w:pPr>
        <w:pStyle w:val="Header"/>
        <w:outlineLvl w:val="0"/>
      </w:pPr>
    </w:p>
    <w:p w:rsidR="00D95367" w:rsidRPr="004E1020" w:rsidRDefault="00D95367" w:rsidP="00D95367">
      <w:pPr>
        <w:pStyle w:val="Header"/>
        <w:outlineLvl w:val="0"/>
        <w:rPr>
          <w:bCs/>
          <w:u w:val="single"/>
        </w:rPr>
      </w:pPr>
      <w:r w:rsidRPr="004E1020">
        <w:rPr>
          <w:bCs/>
          <w:u w:val="single"/>
        </w:rPr>
        <w:t>Impact on Performance (Relationship of Increase to Strategic Goals)</w:t>
      </w:r>
    </w:p>
    <w:p w:rsidR="00D95367" w:rsidRPr="004E1020" w:rsidRDefault="00D95367" w:rsidP="00D95367">
      <w:pPr>
        <w:pStyle w:val="Header"/>
        <w:outlineLvl w:val="0"/>
        <w:rPr>
          <w:bCs/>
        </w:rPr>
      </w:pPr>
    </w:p>
    <w:p w:rsidR="00506D89" w:rsidRPr="005C6609" w:rsidRDefault="00D95367" w:rsidP="00506D89">
      <w:pPr>
        <w:tabs>
          <w:tab w:val="left" w:pos="0"/>
        </w:tabs>
      </w:pPr>
      <w:r w:rsidRPr="005C6609">
        <w:t>By identifying the least productive NIBIN locations, ATF will reduce the number of supported NIBIN workstations and contractor support.  Specifically, $</w:t>
      </w:r>
      <w:r w:rsidR="001E6149" w:rsidRPr="005C6609">
        <w:t>2</w:t>
      </w:r>
      <w:r w:rsidR="001E6149">
        <w:t xml:space="preserve"> million</w:t>
      </w:r>
      <w:r w:rsidR="001E6149" w:rsidRPr="005C6609">
        <w:t xml:space="preserve"> </w:t>
      </w:r>
      <w:r w:rsidRPr="005C6609">
        <w:t>in field contractor support will be eliminated</w:t>
      </w:r>
      <w:r w:rsidR="001E6149">
        <w:t xml:space="preserve"> and</w:t>
      </w:r>
      <w:r w:rsidRPr="005C6609">
        <w:t xml:space="preserve"> </w:t>
      </w:r>
      <w:r w:rsidR="001E6149">
        <w:t xml:space="preserve">a reduction in </w:t>
      </w:r>
      <w:r w:rsidRPr="005C6609">
        <w:t xml:space="preserve">ongoing </w:t>
      </w:r>
      <w:r w:rsidR="001E6149">
        <w:t>operational costs</w:t>
      </w:r>
      <w:r w:rsidR="001E6149" w:rsidRPr="005C6609">
        <w:t xml:space="preserve"> </w:t>
      </w:r>
      <w:r w:rsidRPr="005C6609">
        <w:t>of the NIBIN workstations and network</w:t>
      </w:r>
      <w:r w:rsidR="001E6149">
        <w:t xml:space="preserve"> will result in savings of $8 million</w:t>
      </w:r>
      <w:r w:rsidRPr="005C6609">
        <w:t xml:space="preserve">.  ATF will decommission more than 120 NIBIN workstations or approximately 66% of its sites across the country.  Where feasible, ATF will explore regionalization of NIBIN service to consolidate remaining resources.  Finally, ATF will gauge state and local law enforcement NIBIN needs and explore a cost sharing option via a user fee structure.  </w:t>
      </w:r>
    </w:p>
    <w:p w:rsidR="00D95367" w:rsidRDefault="00D95367" w:rsidP="00506D89">
      <w:pPr>
        <w:tabs>
          <w:tab w:val="left" w:pos="0"/>
        </w:tabs>
        <w:jc w:val="center"/>
        <w:rPr>
          <w:b/>
        </w:rPr>
      </w:pPr>
      <w:r w:rsidRPr="006B1E04">
        <w:br w:type="page"/>
      </w:r>
      <w:r w:rsidRPr="00F172BE">
        <w:rPr>
          <w:b/>
        </w:rPr>
        <w:lastRenderedPageBreak/>
        <w:t>Funding</w:t>
      </w:r>
    </w:p>
    <w:p w:rsidR="00D95367" w:rsidRDefault="00D95367" w:rsidP="00D95367"/>
    <w:p w:rsidR="00D95367" w:rsidRPr="00426C49" w:rsidRDefault="00D95367" w:rsidP="00D95367">
      <w:pPr>
        <w:pStyle w:val="Header"/>
        <w:tabs>
          <w:tab w:val="left" w:pos="1440"/>
          <w:tab w:val="left" w:pos="1980"/>
          <w:tab w:val="right" w:pos="9360"/>
        </w:tabs>
        <w:outlineLvl w:val="0"/>
        <w:rPr>
          <w:u w:val="single"/>
        </w:rPr>
      </w:pPr>
      <w:r w:rsidRPr="00426C49">
        <w:rPr>
          <w:u w:val="single"/>
        </w:rPr>
        <w:t>Base Funding</w:t>
      </w:r>
    </w:p>
    <w:p w:rsidR="00D95367" w:rsidRDefault="00D95367" w:rsidP="00D95367">
      <w:pPr>
        <w:pStyle w:val="Header"/>
        <w:tabs>
          <w:tab w:val="left" w:pos="1440"/>
          <w:tab w:val="left" w:pos="1980"/>
          <w:tab w:val="right" w:pos="9360"/>
        </w:tabs>
        <w:rPr>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763"/>
        <w:gridCol w:w="1395"/>
        <w:gridCol w:w="603"/>
        <w:gridCol w:w="607"/>
        <w:gridCol w:w="672"/>
        <w:gridCol w:w="1358"/>
        <w:gridCol w:w="590"/>
        <w:gridCol w:w="607"/>
        <w:gridCol w:w="672"/>
        <w:gridCol w:w="1000"/>
      </w:tblGrid>
      <w:tr w:rsidR="00D95367" w:rsidRPr="00CC5993" w:rsidTr="00D95367">
        <w:tc>
          <w:tcPr>
            <w:tcW w:w="3359" w:type="dxa"/>
            <w:gridSpan w:val="4"/>
            <w:shd w:val="clear" w:color="auto" w:fill="E6E6E6"/>
          </w:tcPr>
          <w:p w:rsidR="00D95367" w:rsidRPr="001E1CC3" w:rsidRDefault="00D95367" w:rsidP="00D95367">
            <w:pPr>
              <w:pStyle w:val="Heading7"/>
              <w:rPr>
                <w:b w:val="0"/>
                <w:szCs w:val="24"/>
              </w:rPr>
            </w:pPr>
            <w:r w:rsidRPr="001E1CC3">
              <w:rPr>
                <w:b w:val="0"/>
                <w:szCs w:val="24"/>
              </w:rPr>
              <w:t>FY 20</w:t>
            </w:r>
            <w:r>
              <w:rPr>
                <w:b w:val="0"/>
                <w:szCs w:val="24"/>
              </w:rPr>
              <w:t>10</w:t>
            </w:r>
            <w:r w:rsidRPr="001E1CC3">
              <w:rPr>
                <w:b w:val="0"/>
                <w:szCs w:val="24"/>
              </w:rPr>
              <w:t xml:space="preserve"> Enacted </w:t>
            </w:r>
          </w:p>
        </w:tc>
        <w:tc>
          <w:tcPr>
            <w:tcW w:w="3240" w:type="dxa"/>
            <w:gridSpan w:val="4"/>
            <w:shd w:val="clear" w:color="auto" w:fill="E6E6E6"/>
          </w:tcPr>
          <w:p w:rsidR="00D95367" w:rsidRPr="001E1CC3" w:rsidRDefault="00D95367" w:rsidP="00D95367">
            <w:pPr>
              <w:pStyle w:val="Heading7"/>
              <w:rPr>
                <w:b w:val="0"/>
                <w:szCs w:val="24"/>
              </w:rPr>
            </w:pPr>
            <w:r w:rsidRPr="001E1CC3">
              <w:rPr>
                <w:b w:val="0"/>
                <w:szCs w:val="24"/>
              </w:rPr>
              <w:t>FY 201</w:t>
            </w:r>
            <w:r>
              <w:rPr>
                <w:b w:val="0"/>
                <w:szCs w:val="24"/>
              </w:rPr>
              <w:t>1</w:t>
            </w:r>
            <w:r w:rsidRPr="001E1CC3">
              <w:rPr>
                <w:b w:val="0"/>
                <w:szCs w:val="24"/>
              </w:rPr>
              <w:t xml:space="preserve"> </w:t>
            </w:r>
            <w:r>
              <w:rPr>
                <w:b w:val="0"/>
                <w:szCs w:val="24"/>
              </w:rPr>
              <w:t>Enacted</w:t>
            </w:r>
          </w:p>
        </w:tc>
        <w:tc>
          <w:tcPr>
            <w:tcW w:w="2869" w:type="dxa"/>
            <w:gridSpan w:val="4"/>
            <w:shd w:val="clear" w:color="auto" w:fill="E6E6E6"/>
          </w:tcPr>
          <w:p w:rsidR="00D95367" w:rsidRPr="001E1CC3" w:rsidRDefault="00D95367" w:rsidP="00D95367">
            <w:pPr>
              <w:pStyle w:val="Heading7"/>
              <w:rPr>
                <w:b w:val="0"/>
                <w:szCs w:val="24"/>
              </w:rPr>
            </w:pPr>
            <w:r w:rsidRPr="001E1CC3">
              <w:rPr>
                <w:b w:val="0"/>
                <w:szCs w:val="24"/>
              </w:rPr>
              <w:t>FY 201</w:t>
            </w:r>
            <w:r>
              <w:rPr>
                <w:b w:val="0"/>
                <w:szCs w:val="24"/>
              </w:rPr>
              <w:t>2</w:t>
            </w:r>
            <w:r w:rsidRPr="001E1CC3">
              <w:rPr>
                <w:b w:val="0"/>
                <w:szCs w:val="24"/>
              </w:rPr>
              <w:t xml:space="preserve"> Current Services</w:t>
            </w:r>
          </w:p>
        </w:tc>
      </w:tr>
      <w:tr w:rsidR="00D95367" w:rsidRPr="00CC5993" w:rsidTr="00D95367">
        <w:trPr>
          <w:trHeight w:val="170"/>
        </w:trPr>
        <w:tc>
          <w:tcPr>
            <w:tcW w:w="594" w:type="dxa"/>
          </w:tcPr>
          <w:p w:rsidR="00D95367" w:rsidRPr="00CC5993" w:rsidRDefault="00D95367" w:rsidP="00D95367">
            <w:pPr>
              <w:pStyle w:val="xl24"/>
              <w:spacing w:before="0" w:after="0"/>
              <w:jc w:val="center"/>
            </w:pPr>
            <w:r w:rsidRPr="00CC5993">
              <w:t>Pos</w:t>
            </w:r>
          </w:p>
        </w:tc>
        <w:tc>
          <w:tcPr>
            <w:tcW w:w="607" w:type="dxa"/>
          </w:tcPr>
          <w:p w:rsidR="00D95367" w:rsidRPr="00CC5993" w:rsidRDefault="00D95367" w:rsidP="00D95367">
            <w:pPr>
              <w:pStyle w:val="xl24"/>
              <w:spacing w:before="0" w:after="0"/>
              <w:jc w:val="center"/>
            </w:pPr>
            <w:proofErr w:type="spellStart"/>
            <w:r w:rsidRPr="00CC5993">
              <w:t>Agt</w:t>
            </w:r>
            <w:proofErr w:type="spellEnd"/>
          </w:p>
        </w:tc>
        <w:tc>
          <w:tcPr>
            <w:tcW w:w="763" w:type="dxa"/>
          </w:tcPr>
          <w:p w:rsidR="00D95367" w:rsidRPr="00CC5993" w:rsidRDefault="00D95367" w:rsidP="00D95367">
            <w:pPr>
              <w:pStyle w:val="xl24"/>
              <w:spacing w:before="0" w:after="0"/>
              <w:jc w:val="center"/>
            </w:pPr>
            <w:r w:rsidRPr="00CC5993">
              <w:t>FTE</w:t>
            </w:r>
          </w:p>
        </w:tc>
        <w:tc>
          <w:tcPr>
            <w:tcW w:w="1395" w:type="dxa"/>
          </w:tcPr>
          <w:p w:rsidR="00D95367" w:rsidRPr="00CC5993" w:rsidRDefault="00D95367" w:rsidP="00D95367">
            <w:pPr>
              <w:pStyle w:val="xl24"/>
              <w:spacing w:before="0" w:after="0"/>
              <w:jc w:val="center"/>
            </w:pPr>
            <w:r w:rsidRPr="00CC5993">
              <w:t>$(000)</w:t>
            </w:r>
          </w:p>
        </w:tc>
        <w:tc>
          <w:tcPr>
            <w:tcW w:w="603" w:type="dxa"/>
          </w:tcPr>
          <w:p w:rsidR="00D95367" w:rsidRPr="00CC5993" w:rsidRDefault="00D95367" w:rsidP="00D95367">
            <w:pPr>
              <w:pStyle w:val="xl24"/>
              <w:spacing w:before="0" w:after="0"/>
              <w:jc w:val="center"/>
            </w:pPr>
            <w:r w:rsidRPr="00CC5993">
              <w:t>Pos</w:t>
            </w:r>
          </w:p>
        </w:tc>
        <w:tc>
          <w:tcPr>
            <w:tcW w:w="607" w:type="dxa"/>
          </w:tcPr>
          <w:p w:rsidR="00D95367" w:rsidRPr="00CC5993" w:rsidRDefault="00D95367" w:rsidP="00D95367">
            <w:pPr>
              <w:pStyle w:val="xl24"/>
              <w:spacing w:before="0" w:after="0"/>
              <w:jc w:val="center"/>
            </w:pPr>
            <w:proofErr w:type="spellStart"/>
            <w:r w:rsidRPr="00CC5993">
              <w:t>Agt</w:t>
            </w:r>
            <w:proofErr w:type="spellEnd"/>
          </w:p>
        </w:tc>
        <w:tc>
          <w:tcPr>
            <w:tcW w:w="672" w:type="dxa"/>
          </w:tcPr>
          <w:p w:rsidR="00D95367" w:rsidRPr="00CC5993" w:rsidRDefault="00D95367" w:rsidP="00D95367">
            <w:pPr>
              <w:pStyle w:val="xl24"/>
              <w:spacing w:before="0" w:after="0"/>
              <w:jc w:val="center"/>
            </w:pPr>
            <w:r w:rsidRPr="00CC5993">
              <w:t>FTE</w:t>
            </w:r>
          </w:p>
        </w:tc>
        <w:tc>
          <w:tcPr>
            <w:tcW w:w="1358" w:type="dxa"/>
          </w:tcPr>
          <w:p w:rsidR="00D95367" w:rsidRPr="00CC5993" w:rsidRDefault="00D95367" w:rsidP="00D95367">
            <w:pPr>
              <w:pStyle w:val="xl24"/>
              <w:spacing w:before="0" w:after="0"/>
              <w:jc w:val="center"/>
            </w:pPr>
            <w:r w:rsidRPr="00CC5993">
              <w:t>$(000)</w:t>
            </w:r>
          </w:p>
        </w:tc>
        <w:tc>
          <w:tcPr>
            <w:tcW w:w="590" w:type="dxa"/>
          </w:tcPr>
          <w:p w:rsidR="00D95367" w:rsidRPr="00CC5993" w:rsidRDefault="00D95367" w:rsidP="00D95367">
            <w:pPr>
              <w:pStyle w:val="xl24"/>
              <w:spacing w:before="0" w:after="0"/>
              <w:jc w:val="center"/>
            </w:pPr>
            <w:r w:rsidRPr="00CC5993">
              <w:t>Pos</w:t>
            </w:r>
          </w:p>
        </w:tc>
        <w:tc>
          <w:tcPr>
            <w:tcW w:w="607" w:type="dxa"/>
          </w:tcPr>
          <w:p w:rsidR="00D95367" w:rsidRPr="00CC5993" w:rsidRDefault="00D95367" w:rsidP="00D95367">
            <w:pPr>
              <w:pStyle w:val="xl24"/>
              <w:spacing w:before="0" w:after="0"/>
              <w:jc w:val="center"/>
            </w:pPr>
            <w:proofErr w:type="spellStart"/>
            <w:r w:rsidRPr="00CC5993">
              <w:t>Agt</w:t>
            </w:r>
            <w:proofErr w:type="spellEnd"/>
          </w:p>
        </w:tc>
        <w:tc>
          <w:tcPr>
            <w:tcW w:w="672" w:type="dxa"/>
          </w:tcPr>
          <w:p w:rsidR="00D95367" w:rsidRPr="00CC5993" w:rsidRDefault="00D95367" w:rsidP="00D95367">
            <w:pPr>
              <w:pStyle w:val="xl24"/>
              <w:spacing w:before="0" w:after="0"/>
              <w:jc w:val="center"/>
            </w:pPr>
            <w:r w:rsidRPr="00CC5993">
              <w:t>FTE</w:t>
            </w:r>
          </w:p>
        </w:tc>
        <w:tc>
          <w:tcPr>
            <w:tcW w:w="1000" w:type="dxa"/>
          </w:tcPr>
          <w:p w:rsidR="00D95367" w:rsidRPr="00CC5993" w:rsidRDefault="00D95367" w:rsidP="00D95367">
            <w:pPr>
              <w:pStyle w:val="xl24"/>
              <w:spacing w:before="0" w:after="0"/>
              <w:jc w:val="center"/>
            </w:pPr>
            <w:r w:rsidRPr="00CC5993">
              <w:t>$(000)</w:t>
            </w:r>
          </w:p>
        </w:tc>
      </w:tr>
      <w:tr w:rsidR="00D95367" w:rsidRPr="00CC5993" w:rsidTr="00D95367">
        <w:tc>
          <w:tcPr>
            <w:tcW w:w="594" w:type="dxa"/>
          </w:tcPr>
          <w:p w:rsidR="00D95367" w:rsidRPr="00CC5993" w:rsidRDefault="007934A5" w:rsidP="007934A5">
            <w:pPr>
              <w:pStyle w:val="xl24"/>
              <w:spacing w:before="0" w:after="0"/>
              <w:jc w:val="right"/>
            </w:pPr>
            <w:r>
              <w:t>19</w:t>
            </w:r>
          </w:p>
        </w:tc>
        <w:tc>
          <w:tcPr>
            <w:tcW w:w="607" w:type="dxa"/>
          </w:tcPr>
          <w:p w:rsidR="00D95367" w:rsidRPr="00CC5993" w:rsidRDefault="007934A5" w:rsidP="00D95367">
            <w:pPr>
              <w:pStyle w:val="xl24"/>
              <w:spacing w:before="0" w:after="0"/>
              <w:jc w:val="right"/>
            </w:pPr>
            <w:r>
              <w:t>7</w:t>
            </w:r>
          </w:p>
        </w:tc>
        <w:tc>
          <w:tcPr>
            <w:tcW w:w="763" w:type="dxa"/>
          </w:tcPr>
          <w:p w:rsidR="00D95367" w:rsidRPr="00CC5993" w:rsidRDefault="007934A5" w:rsidP="00D95367">
            <w:pPr>
              <w:pStyle w:val="xl24"/>
              <w:spacing w:before="0" w:after="0"/>
              <w:jc w:val="right"/>
            </w:pPr>
            <w:r>
              <w:t>19</w:t>
            </w:r>
          </w:p>
        </w:tc>
        <w:tc>
          <w:tcPr>
            <w:tcW w:w="1395" w:type="dxa"/>
          </w:tcPr>
          <w:p w:rsidR="00D95367" w:rsidRPr="00CC5993" w:rsidRDefault="008C7132" w:rsidP="004B0807">
            <w:pPr>
              <w:pStyle w:val="xl24"/>
              <w:tabs>
                <w:tab w:val="left" w:pos="200"/>
                <w:tab w:val="center" w:pos="589"/>
              </w:tabs>
              <w:spacing w:before="0" w:after="0"/>
              <w:jc w:val="right"/>
            </w:pPr>
            <w:r>
              <w:t>$22,</w:t>
            </w:r>
            <w:r w:rsidR="004B0807">
              <w:t>1</w:t>
            </w:r>
            <w:r>
              <w:t>00</w:t>
            </w:r>
          </w:p>
        </w:tc>
        <w:tc>
          <w:tcPr>
            <w:tcW w:w="603" w:type="dxa"/>
          </w:tcPr>
          <w:p w:rsidR="00D95367" w:rsidRPr="00CC5993" w:rsidRDefault="007934A5" w:rsidP="00D95367">
            <w:pPr>
              <w:pStyle w:val="xl24"/>
              <w:spacing w:before="0" w:after="0"/>
              <w:jc w:val="right"/>
            </w:pPr>
            <w:r>
              <w:t>19</w:t>
            </w:r>
          </w:p>
        </w:tc>
        <w:tc>
          <w:tcPr>
            <w:tcW w:w="607" w:type="dxa"/>
          </w:tcPr>
          <w:p w:rsidR="00D95367" w:rsidRPr="00CC5993" w:rsidRDefault="007934A5" w:rsidP="00D95367">
            <w:pPr>
              <w:pStyle w:val="xl24"/>
              <w:spacing w:before="0" w:after="0"/>
              <w:jc w:val="right"/>
            </w:pPr>
            <w:r>
              <w:t>7</w:t>
            </w:r>
          </w:p>
        </w:tc>
        <w:tc>
          <w:tcPr>
            <w:tcW w:w="672" w:type="dxa"/>
          </w:tcPr>
          <w:p w:rsidR="00D95367" w:rsidRPr="00CC5993" w:rsidRDefault="007934A5" w:rsidP="00D95367">
            <w:pPr>
              <w:pStyle w:val="xl24"/>
              <w:spacing w:before="0" w:after="0"/>
              <w:jc w:val="right"/>
            </w:pPr>
            <w:r>
              <w:t>19</w:t>
            </w:r>
          </w:p>
        </w:tc>
        <w:tc>
          <w:tcPr>
            <w:tcW w:w="1358" w:type="dxa"/>
          </w:tcPr>
          <w:p w:rsidR="00D95367" w:rsidRPr="00CC5993" w:rsidRDefault="008C7132" w:rsidP="00D95367">
            <w:pPr>
              <w:pStyle w:val="xl24"/>
              <w:spacing w:before="0" w:after="0"/>
              <w:jc w:val="right"/>
            </w:pPr>
            <w:r>
              <w:t>$22</w:t>
            </w:r>
            <w:r w:rsidR="004B0807">
              <w:t>,1</w:t>
            </w:r>
            <w:r>
              <w:t>00</w:t>
            </w:r>
          </w:p>
        </w:tc>
        <w:tc>
          <w:tcPr>
            <w:tcW w:w="590" w:type="dxa"/>
          </w:tcPr>
          <w:p w:rsidR="00D95367" w:rsidRPr="00CC5993" w:rsidRDefault="007934A5" w:rsidP="00D95367">
            <w:pPr>
              <w:pStyle w:val="xl24"/>
              <w:spacing w:before="0" w:after="0"/>
              <w:jc w:val="right"/>
            </w:pPr>
            <w:r>
              <w:t>19</w:t>
            </w:r>
          </w:p>
        </w:tc>
        <w:tc>
          <w:tcPr>
            <w:tcW w:w="607" w:type="dxa"/>
          </w:tcPr>
          <w:p w:rsidR="00D95367" w:rsidRPr="00CC5993" w:rsidRDefault="007934A5" w:rsidP="00D95367">
            <w:pPr>
              <w:pStyle w:val="xl24"/>
              <w:spacing w:before="0" w:after="0"/>
              <w:jc w:val="right"/>
            </w:pPr>
            <w:r>
              <w:t>7</w:t>
            </w:r>
          </w:p>
        </w:tc>
        <w:tc>
          <w:tcPr>
            <w:tcW w:w="672" w:type="dxa"/>
          </w:tcPr>
          <w:p w:rsidR="00D95367" w:rsidRPr="00CC5993" w:rsidRDefault="007934A5" w:rsidP="00D95367">
            <w:pPr>
              <w:pStyle w:val="xl24"/>
              <w:spacing w:before="0" w:after="0"/>
              <w:jc w:val="right"/>
            </w:pPr>
            <w:r>
              <w:t>19</w:t>
            </w:r>
          </w:p>
        </w:tc>
        <w:tc>
          <w:tcPr>
            <w:tcW w:w="1000" w:type="dxa"/>
          </w:tcPr>
          <w:p w:rsidR="00D95367" w:rsidRPr="00CC5993" w:rsidRDefault="008C7132" w:rsidP="00E37064">
            <w:pPr>
              <w:pStyle w:val="xl24"/>
              <w:spacing w:before="0" w:after="0"/>
              <w:jc w:val="right"/>
            </w:pPr>
            <w:r>
              <w:t>22,</w:t>
            </w:r>
            <w:r w:rsidR="00E37064">
              <w:t>1</w:t>
            </w:r>
            <w:r>
              <w:t>00</w:t>
            </w:r>
          </w:p>
        </w:tc>
      </w:tr>
    </w:tbl>
    <w:p w:rsidR="00D95367" w:rsidRDefault="00D95367" w:rsidP="00D95367">
      <w:pPr>
        <w:pStyle w:val="xl24"/>
        <w:tabs>
          <w:tab w:val="left" w:pos="3240"/>
        </w:tabs>
        <w:spacing w:before="0" w:beforeAutospacing="0" w:after="0" w:afterAutospacing="0"/>
        <w:outlineLvl w:val="0"/>
        <w:rPr>
          <w:u w:val="single"/>
        </w:rPr>
      </w:pPr>
    </w:p>
    <w:p w:rsidR="00D95367" w:rsidRPr="0048501E" w:rsidRDefault="00D95367" w:rsidP="00D95367">
      <w:pPr>
        <w:pStyle w:val="BodyText"/>
        <w:rPr>
          <w:u w:val="single"/>
        </w:rPr>
      </w:pPr>
      <w:r w:rsidRPr="0048501E">
        <w:rPr>
          <w:u w:val="single"/>
        </w:rPr>
        <w:t>Personnel Increase Cost Summary</w:t>
      </w:r>
    </w:p>
    <w:p w:rsidR="00D95367" w:rsidRPr="0035143D" w:rsidRDefault="00D95367" w:rsidP="00D95367">
      <w:pPr>
        <w:pStyle w:val="BodyText"/>
        <w:rPr>
          <w:highlight w:val="yell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0"/>
        <w:gridCol w:w="1715"/>
        <w:gridCol w:w="1410"/>
        <w:gridCol w:w="1903"/>
        <w:gridCol w:w="1350"/>
        <w:gridCol w:w="1350"/>
      </w:tblGrid>
      <w:tr w:rsidR="00DD5E20" w:rsidRPr="0035143D" w:rsidTr="00DD5E20">
        <w:tc>
          <w:tcPr>
            <w:tcW w:w="1766" w:type="dxa"/>
            <w:shd w:val="clear" w:color="auto" w:fill="E0E0E0"/>
            <w:vAlign w:val="center"/>
          </w:tcPr>
          <w:p w:rsidR="00DD5E20" w:rsidRPr="0035143D" w:rsidRDefault="00DD5E20" w:rsidP="00D95367">
            <w:pPr>
              <w:jc w:val="center"/>
              <w:rPr>
                <w:sz w:val="20"/>
                <w:highlight w:val="yellow"/>
              </w:rPr>
            </w:pPr>
            <w:r w:rsidRPr="00147C21">
              <w:rPr>
                <w:sz w:val="20"/>
              </w:rPr>
              <w:t>Type of Position</w:t>
            </w:r>
          </w:p>
        </w:tc>
        <w:tc>
          <w:tcPr>
            <w:tcW w:w="1750" w:type="dxa"/>
            <w:shd w:val="clear" w:color="auto" w:fill="E0E0E0"/>
            <w:vAlign w:val="center"/>
          </w:tcPr>
          <w:p w:rsidR="00DD5E20" w:rsidRPr="00147C21" w:rsidRDefault="00DD5E20" w:rsidP="00D95367">
            <w:pPr>
              <w:jc w:val="center"/>
              <w:rPr>
                <w:sz w:val="20"/>
              </w:rPr>
            </w:pPr>
            <w:r w:rsidRPr="00147C21">
              <w:rPr>
                <w:sz w:val="20"/>
              </w:rPr>
              <w:t>Modular Cost</w:t>
            </w:r>
          </w:p>
          <w:p w:rsidR="00DD5E20" w:rsidRPr="0035143D" w:rsidRDefault="00DD5E20" w:rsidP="00D95367">
            <w:pPr>
              <w:jc w:val="center"/>
              <w:rPr>
                <w:sz w:val="20"/>
                <w:highlight w:val="yellow"/>
              </w:rPr>
            </w:pPr>
            <w:r w:rsidRPr="00147C21">
              <w:rPr>
                <w:sz w:val="20"/>
              </w:rPr>
              <w:t>per Position ($000)</w:t>
            </w:r>
          </w:p>
        </w:tc>
        <w:tc>
          <w:tcPr>
            <w:tcW w:w="1425" w:type="dxa"/>
            <w:shd w:val="clear" w:color="auto" w:fill="E0E0E0"/>
            <w:vAlign w:val="center"/>
          </w:tcPr>
          <w:p w:rsidR="00DD5E20" w:rsidRPr="00147C21" w:rsidRDefault="00DD5E20" w:rsidP="00D95367">
            <w:pPr>
              <w:jc w:val="center"/>
              <w:rPr>
                <w:sz w:val="20"/>
              </w:rPr>
            </w:pPr>
            <w:r w:rsidRPr="00147C21">
              <w:rPr>
                <w:sz w:val="20"/>
              </w:rPr>
              <w:t>Number of</w:t>
            </w:r>
          </w:p>
          <w:p w:rsidR="00DD5E20" w:rsidRPr="00147C21" w:rsidRDefault="00DD5E20" w:rsidP="00D95367">
            <w:pPr>
              <w:jc w:val="center"/>
              <w:rPr>
                <w:sz w:val="20"/>
              </w:rPr>
            </w:pPr>
            <w:r w:rsidRPr="00147C21">
              <w:rPr>
                <w:sz w:val="20"/>
              </w:rPr>
              <w:t>Positions</w:t>
            </w:r>
          </w:p>
          <w:p w:rsidR="00DD5E20" w:rsidRPr="0035143D" w:rsidRDefault="00DD5E20" w:rsidP="00D95367">
            <w:pPr>
              <w:jc w:val="center"/>
              <w:rPr>
                <w:sz w:val="20"/>
                <w:highlight w:val="yellow"/>
              </w:rPr>
            </w:pPr>
            <w:r w:rsidRPr="00147C21">
              <w:rPr>
                <w:sz w:val="20"/>
              </w:rPr>
              <w:t>Requested</w:t>
            </w:r>
          </w:p>
        </w:tc>
        <w:tc>
          <w:tcPr>
            <w:tcW w:w="1948" w:type="dxa"/>
            <w:shd w:val="clear" w:color="auto" w:fill="E0E0E0"/>
            <w:vAlign w:val="center"/>
          </w:tcPr>
          <w:p w:rsidR="00DD5E20" w:rsidRPr="00147C21" w:rsidRDefault="00DD5E20" w:rsidP="00D95367">
            <w:pPr>
              <w:jc w:val="center"/>
              <w:rPr>
                <w:sz w:val="20"/>
              </w:rPr>
            </w:pPr>
            <w:r w:rsidRPr="00147C21">
              <w:rPr>
                <w:sz w:val="20"/>
              </w:rPr>
              <w:t>FY 201</w:t>
            </w:r>
            <w:r>
              <w:rPr>
                <w:sz w:val="20"/>
              </w:rPr>
              <w:t>2</w:t>
            </w:r>
          </w:p>
          <w:p w:rsidR="00DD5E20" w:rsidRPr="0035143D" w:rsidRDefault="00DD5E20" w:rsidP="00D95367">
            <w:pPr>
              <w:jc w:val="center"/>
              <w:rPr>
                <w:sz w:val="20"/>
                <w:highlight w:val="yellow"/>
              </w:rPr>
            </w:pPr>
            <w:r w:rsidRPr="00147C21">
              <w:rPr>
                <w:sz w:val="20"/>
              </w:rPr>
              <w:t>Request ($000)</w:t>
            </w:r>
          </w:p>
        </w:tc>
        <w:tc>
          <w:tcPr>
            <w:tcW w:w="1289" w:type="dxa"/>
            <w:shd w:val="clear" w:color="auto" w:fill="E0E0E0"/>
            <w:vAlign w:val="center"/>
          </w:tcPr>
          <w:p w:rsidR="00DD5E20" w:rsidRPr="00147C21" w:rsidRDefault="00DD5E20" w:rsidP="00D95367">
            <w:pPr>
              <w:jc w:val="center"/>
              <w:rPr>
                <w:sz w:val="20"/>
              </w:rPr>
            </w:pPr>
            <w:r w:rsidRPr="00147C21">
              <w:rPr>
                <w:sz w:val="20"/>
              </w:rPr>
              <w:t>FY 201</w:t>
            </w:r>
            <w:r>
              <w:rPr>
                <w:sz w:val="20"/>
              </w:rPr>
              <w:t>3</w:t>
            </w:r>
            <w:r w:rsidRPr="00147C21">
              <w:rPr>
                <w:sz w:val="20"/>
              </w:rPr>
              <w:t xml:space="preserve"> Net Annualization</w:t>
            </w:r>
          </w:p>
          <w:p w:rsidR="00DD5E20" w:rsidRDefault="00DD5E20" w:rsidP="00D95367">
            <w:pPr>
              <w:jc w:val="center"/>
              <w:rPr>
                <w:sz w:val="20"/>
              </w:rPr>
            </w:pPr>
            <w:r w:rsidRPr="00147C21">
              <w:rPr>
                <w:sz w:val="20"/>
              </w:rPr>
              <w:t>(change from 201</w:t>
            </w:r>
            <w:r>
              <w:rPr>
                <w:sz w:val="20"/>
              </w:rPr>
              <w:t>2</w:t>
            </w:r>
            <w:r w:rsidRPr="00147C21">
              <w:rPr>
                <w:sz w:val="20"/>
              </w:rPr>
              <w:t>)</w:t>
            </w:r>
          </w:p>
          <w:p w:rsidR="00DD5E20" w:rsidRPr="00147C21" w:rsidRDefault="00DD5E20" w:rsidP="00D95367">
            <w:pPr>
              <w:jc w:val="center"/>
              <w:rPr>
                <w:sz w:val="20"/>
              </w:rPr>
            </w:pPr>
            <w:r w:rsidRPr="00147C21">
              <w:rPr>
                <w:sz w:val="20"/>
              </w:rPr>
              <w:t>($000)</w:t>
            </w:r>
          </w:p>
        </w:tc>
        <w:tc>
          <w:tcPr>
            <w:tcW w:w="1290" w:type="dxa"/>
            <w:shd w:val="clear" w:color="auto" w:fill="E0E0E0"/>
            <w:vAlign w:val="center"/>
          </w:tcPr>
          <w:p w:rsidR="00DD5E20" w:rsidRPr="00147C21" w:rsidRDefault="00DD5E20" w:rsidP="00DD5E20">
            <w:pPr>
              <w:jc w:val="center"/>
              <w:rPr>
                <w:sz w:val="20"/>
              </w:rPr>
            </w:pPr>
            <w:r w:rsidRPr="00147C21">
              <w:rPr>
                <w:sz w:val="20"/>
              </w:rPr>
              <w:t>FY 201</w:t>
            </w:r>
            <w:r>
              <w:rPr>
                <w:sz w:val="20"/>
              </w:rPr>
              <w:t>4</w:t>
            </w:r>
            <w:r w:rsidRPr="00147C21">
              <w:rPr>
                <w:sz w:val="20"/>
              </w:rPr>
              <w:t xml:space="preserve"> Net Annualization</w:t>
            </w:r>
          </w:p>
          <w:p w:rsidR="00DD5E20" w:rsidRDefault="00DD5E20" w:rsidP="00DD5E20">
            <w:pPr>
              <w:jc w:val="center"/>
              <w:rPr>
                <w:sz w:val="20"/>
              </w:rPr>
            </w:pPr>
            <w:r w:rsidRPr="00147C21">
              <w:rPr>
                <w:sz w:val="20"/>
              </w:rPr>
              <w:t>(change from 201</w:t>
            </w:r>
            <w:r>
              <w:rPr>
                <w:sz w:val="20"/>
              </w:rPr>
              <w:t>3</w:t>
            </w:r>
            <w:r w:rsidRPr="00147C21">
              <w:rPr>
                <w:sz w:val="20"/>
              </w:rPr>
              <w:t xml:space="preserve">) </w:t>
            </w:r>
          </w:p>
          <w:p w:rsidR="00DD5E20" w:rsidRPr="0035143D" w:rsidRDefault="00DD5E20" w:rsidP="00DD5E20">
            <w:pPr>
              <w:jc w:val="center"/>
              <w:rPr>
                <w:sz w:val="20"/>
                <w:highlight w:val="yellow"/>
              </w:rPr>
            </w:pPr>
            <w:r w:rsidRPr="00147C21">
              <w:rPr>
                <w:sz w:val="20"/>
              </w:rPr>
              <w:t>($000)</w:t>
            </w:r>
          </w:p>
        </w:tc>
      </w:tr>
      <w:tr w:rsidR="00DD5E20" w:rsidRPr="0035143D" w:rsidTr="00DD5E20">
        <w:tc>
          <w:tcPr>
            <w:tcW w:w="1766" w:type="dxa"/>
            <w:vAlign w:val="center"/>
          </w:tcPr>
          <w:p w:rsidR="00DD5E20" w:rsidRPr="00E16F1D" w:rsidRDefault="00DD5E20" w:rsidP="00D95367">
            <w:pPr>
              <w:rPr>
                <w:b/>
                <w:bCs/>
                <w:i/>
                <w:iCs/>
              </w:rPr>
            </w:pPr>
          </w:p>
        </w:tc>
        <w:tc>
          <w:tcPr>
            <w:tcW w:w="1750" w:type="dxa"/>
            <w:vAlign w:val="bottom"/>
          </w:tcPr>
          <w:p w:rsidR="00DD5E20" w:rsidRPr="00FA7857" w:rsidRDefault="00DD5E20" w:rsidP="00D95367">
            <w:pPr>
              <w:pStyle w:val="xl19"/>
              <w:jc w:val="right"/>
            </w:pPr>
          </w:p>
        </w:tc>
        <w:tc>
          <w:tcPr>
            <w:tcW w:w="1425" w:type="dxa"/>
            <w:vAlign w:val="bottom"/>
          </w:tcPr>
          <w:p w:rsidR="00DD5E20" w:rsidRPr="00FA7857" w:rsidRDefault="00DD5E20" w:rsidP="00D95367">
            <w:pPr>
              <w:jc w:val="right"/>
            </w:pPr>
          </w:p>
        </w:tc>
        <w:tc>
          <w:tcPr>
            <w:tcW w:w="1948" w:type="dxa"/>
            <w:vAlign w:val="bottom"/>
          </w:tcPr>
          <w:p w:rsidR="00DD5E20" w:rsidRPr="00FA7857" w:rsidRDefault="00DD5E20" w:rsidP="00D95367">
            <w:pPr>
              <w:jc w:val="right"/>
            </w:pPr>
          </w:p>
        </w:tc>
        <w:tc>
          <w:tcPr>
            <w:tcW w:w="1289" w:type="dxa"/>
            <w:shd w:val="clear" w:color="auto" w:fill="E0E0E0"/>
            <w:vAlign w:val="bottom"/>
          </w:tcPr>
          <w:p w:rsidR="00DD5E20" w:rsidRPr="00FA7857" w:rsidRDefault="00DD5E20" w:rsidP="00D95367">
            <w:pPr>
              <w:jc w:val="right"/>
            </w:pPr>
          </w:p>
        </w:tc>
        <w:tc>
          <w:tcPr>
            <w:tcW w:w="1290" w:type="dxa"/>
            <w:shd w:val="clear" w:color="auto" w:fill="E0E0E0"/>
            <w:vAlign w:val="bottom"/>
          </w:tcPr>
          <w:p w:rsidR="00DD5E20" w:rsidRPr="00FA7857" w:rsidRDefault="00DD5E20" w:rsidP="00D95367">
            <w:pPr>
              <w:jc w:val="right"/>
            </w:pPr>
          </w:p>
        </w:tc>
      </w:tr>
      <w:tr w:rsidR="00DD5E20" w:rsidRPr="0035143D" w:rsidTr="00DD5E20">
        <w:tc>
          <w:tcPr>
            <w:tcW w:w="1766" w:type="dxa"/>
            <w:shd w:val="clear" w:color="auto" w:fill="EAEAEA"/>
            <w:vAlign w:val="center"/>
          </w:tcPr>
          <w:p w:rsidR="00DD5E20" w:rsidRPr="00305BA6" w:rsidRDefault="00DD5E20" w:rsidP="00D95367">
            <w:pPr>
              <w:jc w:val="right"/>
            </w:pPr>
          </w:p>
        </w:tc>
        <w:tc>
          <w:tcPr>
            <w:tcW w:w="1750" w:type="dxa"/>
            <w:shd w:val="clear" w:color="auto" w:fill="EAEAEA"/>
            <w:vAlign w:val="bottom"/>
          </w:tcPr>
          <w:p w:rsidR="00DD5E20" w:rsidRPr="00305BA6" w:rsidRDefault="00DD5E20" w:rsidP="00D95367">
            <w:pPr>
              <w:pStyle w:val="xl19"/>
              <w:jc w:val="right"/>
            </w:pPr>
          </w:p>
        </w:tc>
        <w:tc>
          <w:tcPr>
            <w:tcW w:w="1425" w:type="dxa"/>
            <w:shd w:val="clear" w:color="auto" w:fill="EAEAEA"/>
            <w:vAlign w:val="bottom"/>
          </w:tcPr>
          <w:p w:rsidR="00DD5E20" w:rsidRPr="00305BA6" w:rsidRDefault="00DD5E20" w:rsidP="00D95367">
            <w:pPr>
              <w:jc w:val="right"/>
            </w:pPr>
          </w:p>
        </w:tc>
        <w:tc>
          <w:tcPr>
            <w:tcW w:w="1948" w:type="dxa"/>
            <w:shd w:val="clear" w:color="auto" w:fill="EAEAEA"/>
            <w:vAlign w:val="bottom"/>
          </w:tcPr>
          <w:p w:rsidR="00DD5E20" w:rsidRPr="00305BA6" w:rsidRDefault="00DD5E20" w:rsidP="00D95367">
            <w:pPr>
              <w:jc w:val="right"/>
            </w:pPr>
          </w:p>
        </w:tc>
        <w:tc>
          <w:tcPr>
            <w:tcW w:w="1289" w:type="dxa"/>
            <w:shd w:val="clear" w:color="auto" w:fill="E0E0E0"/>
            <w:vAlign w:val="bottom"/>
          </w:tcPr>
          <w:p w:rsidR="00DD5E20" w:rsidRPr="00305BA6" w:rsidRDefault="00DD5E20" w:rsidP="00D95367">
            <w:pPr>
              <w:jc w:val="right"/>
            </w:pPr>
          </w:p>
        </w:tc>
        <w:tc>
          <w:tcPr>
            <w:tcW w:w="1290" w:type="dxa"/>
            <w:shd w:val="clear" w:color="auto" w:fill="E0E0E0"/>
            <w:vAlign w:val="bottom"/>
          </w:tcPr>
          <w:p w:rsidR="00DD5E20" w:rsidRPr="00305BA6" w:rsidRDefault="00DD5E20" w:rsidP="00D95367">
            <w:pPr>
              <w:jc w:val="right"/>
            </w:pPr>
          </w:p>
        </w:tc>
      </w:tr>
      <w:tr w:rsidR="00DD5E20" w:rsidRPr="0035143D" w:rsidTr="00DD5E20">
        <w:tc>
          <w:tcPr>
            <w:tcW w:w="1766" w:type="dxa"/>
            <w:vAlign w:val="center"/>
          </w:tcPr>
          <w:p w:rsidR="00DD5E20" w:rsidRPr="00E16F1D" w:rsidRDefault="00DD5E20" w:rsidP="00D95367"/>
        </w:tc>
        <w:tc>
          <w:tcPr>
            <w:tcW w:w="1750" w:type="dxa"/>
            <w:vAlign w:val="bottom"/>
          </w:tcPr>
          <w:p w:rsidR="00DD5E20" w:rsidRDefault="00DD5E20" w:rsidP="00D95367">
            <w:pPr>
              <w:pStyle w:val="xl19"/>
              <w:jc w:val="right"/>
            </w:pPr>
          </w:p>
        </w:tc>
        <w:tc>
          <w:tcPr>
            <w:tcW w:w="1425" w:type="dxa"/>
            <w:vAlign w:val="bottom"/>
          </w:tcPr>
          <w:p w:rsidR="00DD5E20" w:rsidRDefault="00DD5E20" w:rsidP="00D95367">
            <w:pPr>
              <w:jc w:val="right"/>
              <w:rPr>
                <w:bCs/>
              </w:rPr>
            </w:pPr>
          </w:p>
        </w:tc>
        <w:tc>
          <w:tcPr>
            <w:tcW w:w="1948" w:type="dxa"/>
            <w:vAlign w:val="bottom"/>
          </w:tcPr>
          <w:p w:rsidR="00DD5E20" w:rsidRDefault="00DD5E20" w:rsidP="00D95367">
            <w:pPr>
              <w:jc w:val="right"/>
            </w:pPr>
          </w:p>
        </w:tc>
        <w:tc>
          <w:tcPr>
            <w:tcW w:w="1289" w:type="dxa"/>
            <w:shd w:val="clear" w:color="auto" w:fill="E0E0E0"/>
            <w:vAlign w:val="bottom"/>
          </w:tcPr>
          <w:p w:rsidR="00DD5E20" w:rsidRDefault="00DD5E20" w:rsidP="00D95367">
            <w:pPr>
              <w:jc w:val="right"/>
            </w:pPr>
          </w:p>
        </w:tc>
        <w:tc>
          <w:tcPr>
            <w:tcW w:w="1290" w:type="dxa"/>
            <w:shd w:val="clear" w:color="auto" w:fill="E0E0E0"/>
            <w:vAlign w:val="bottom"/>
          </w:tcPr>
          <w:p w:rsidR="00DD5E20" w:rsidRDefault="00DD5E20" w:rsidP="00D95367">
            <w:pPr>
              <w:jc w:val="right"/>
            </w:pPr>
          </w:p>
        </w:tc>
      </w:tr>
      <w:tr w:rsidR="00DD5E20" w:rsidRPr="0035143D" w:rsidTr="00DD5E20">
        <w:tc>
          <w:tcPr>
            <w:tcW w:w="1766" w:type="dxa"/>
            <w:shd w:val="clear" w:color="auto" w:fill="E0E0E0"/>
            <w:vAlign w:val="center"/>
          </w:tcPr>
          <w:p w:rsidR="00DD5E20" w:rsidRPr="00AE5137" w:rsidRDefault="00DD5E20" w:rsidP="00D95367">
            <w:pPr>
              <w:jc w:val="right"/>
              <w:rPr>
                <w:b/>
              </w:rPr>
            </w:pPr>
            <w:r w:rsidRPr="00AE5137">
              <w:rPr>
                <w:b/>
                <w:sz w:val="22"/>
                <w:szCs w:val="22"/>
              </w:rPr>
              <w:t>Total Personnel</w:t>
            </w:r>
          </w:p>
        </w:tc>
        <w:tc>
          <w:tcPr>
            <w:tcW w:w="1750" w:type="dxa"/>
            <w:shd w:val="clear" w:color="auto" w:fill="E0E0E0"/>
            <w:vAlign w:val="bottom"/>
          </w:tcPr>
          <w:p w:rsidR="00DD5E20" w:rsidRPr="00AE5137" w:rsidRDefault="00DD5E20" w:rsidP="00D95367">
            <w:pPr>
              <w:pStyle w:val="xl19"/>
              <w:jc w:val="right"/>
              <w:rPr>
                <w:b/>
              </w:rPr>
            </w:pPr>
          </w:p>
        </w:tc>
        <w:tc>
          <w:tcPr>
            <w:tcW w:w="1425" w:type="dxa"/>
            <w:shd w:val="clear" w:color="auto" w:fill="E0E0E0"/>
            <w:vAlign w:val="bottom"/>
          </w:tcPr>
          <w:p w:rsidR="00DD5E20" w:rsidRPr="00AE5137" w:rsidRDefault="00DD5E20" w:rsidP="00D95367">
            <w:pPr>
              <w:jc w:val="right"/>
              <w:rPr>
                <w:b/>
              </w:rPr>
            </w:pPr>
          </w:p>
        </w:tc>
        <w:tc>
          <w:tcPr>
            <w:tcW w:w="1948" w:type="dxa"/>
            <w:shd w:val="clear" w:color="auto" w:fill="E0E0E0"/>
            <w:vAlign w:val="bottom"/>
          </w:tcPr>
          <w:p w:rsidR="00DD5E20" w:rsidRPr="00AE5137" w:rsidRDefault="00DD5E20" w:rsidP="00D95367">
            <w:pPr>
              <w:jc w:val="right"/>
              <w:rPr>
                <w:b/>
              </w:rPr>
            </w:pPr>
          </w:p>
        </w:tc>
        <w:tc>
          <w:tcPr>
            <w:tcW w:w="1289" w:type="dxa"/>
            <w:shd w:val="clear" w:color="auto" w:fill="E0E0E0"/>
            <w:vAlign w:val="bottom"/>
          </w:tcPr>
          <w:p w:rsidR="00DD5E20" w:rsidRPr="00AE5137" w:rsidRDefault="00DD5E20" w:rsidP="00D95367">
            <w:pPr>
              <w:jc w:val="right"/>
              <w:rPr>
                <w:b/>
              </w:rPr>
            </w:pPr>
          </w:p>
        </w:tc>
        <w:tc>
          <w:tcPr>
            <w:tcW w:w="1290" w:type="dxa"/>
            <w:shd w:val="clear" w:color="auto" w:fill="E0E0E0"/>
            <w:vAlign w:val="bottom"/>
          </w:tcPr>
          <w:p w:rsidR="00DD5E20" w:rsidRPr="00AE5137" w:rsidRDefault="00DD5E20" w:rsidP="00D95367">
            <w:pPr>
              <w:jc w:val="right"/>
              <w:rPr>
                <w:b/>
              </w:rPr>
            </w:pPr>
          </w:p>
        </w:tc>
      </w:tr>
    </w:tbl>
    <w:p w:rsidR="00D95367" w:rsidRPr="0035143D" w:rsidRDefault="00D95367" w:rsidP="00D95367">
      <w:pPr>
        <w:rPr>
          <w:highlight w:val="yellow"/>
        </w:rPr>
      </w:pPr>
    </w:p>
    <w:p w:rsidR="00D95367" w:rsidRPr="00F65EDB" w:rsidRDefault="00D95367" w:rsidP="00D95367">
      <w:pPr>
        <w:outlineLvl w:val="0"/>
        <w:rPr>
          <w:u w:val="single"/>
        </w:rPr>
      </w:pPr>
      <w:r w:rsidRPr="00F65EDB">
        <w:rPr>
          <w:u w:val="single"/>
        </w:rPr>
        <w:t xml:space="preserve">Non-Personnel Increase Cost Summary </w:t>
      </w:r>
    </w:p>
    <w:p w:rsidR="00D95367" w:rsidRPr="00F65EDB" w:rsidRDefault="00D95367" w:rsidP="00D95367"/>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1080"/>
        <w:gridCol w:w="916"/>
        <w:gridCol w:w="1334"/>
        <w:gridCol w:w="1890"/>
        <w:gridCol w:w="1980"/>
      </w:tblGrid>
      <w:tr w:rsidR="00B9663F" w:rsidRPr="00F65EDB" w:rsidTr="00B9663F">
        <w:tc>
          <w:tcPr>
            <w:tcW w:w="2250" w:type="dxa"/>
            <w:shd w:val="clear" w:color="auto" w:fill="E6E6E6"/>
            <w:vAlign w:val="center"/>
          </w:tcPr>
          <w:p w:rsidR="00DD5E20" w:rsidRPr="00B9663F" w:rsidRDefault="00DD5E20" w:rsidP="00D95367">
            <w:pPr>
              <w:jc w:val="center"/>
              <w:rPr>
                <w:sz w:val="20"/>
                <w:szCs w:val="20"/>
              </w:rPr>
            </w:pPr>
            <w:r w:rsidRPr="00B9663F">
              <w:rPr>
                <w:sz w:val="20"/>
                <w:szCs w:val="20"/>
              </w:rPr>
              <w:t>Non-Personnel Item</w:t>
            </w:r>
          </w:p>
        </w:tc>
        <w:tc>
          <w:tcPr>
            <w:tcW w:w="1080" w:type="dxa"/>
            <w:vAlign w:val="center"/>
          </w:tcPr>
          <w:p w:rsidR="00DD5E20" w:rsidRPr="00B9663F" w:rsidRDefault="00DD5E20" w:rsidP="00D95367">
            <w:pPr>
              <w:jc w:val="center"/>
              <w:rPr>
                <w:sz w:val="20"/>
                <w:szCs w:val="20"/>
              </w:rPr>
            </w:pPr>
            <w:r w:rsidRPr="00B9663F">
              <w:rPr>
                <w:sz w:val="20"/>
                <w:szCs w:val="20"/>
              </w:rPr>
              <w:t>Unit Cost</w:t>
            </w:r>
            <w:r w:rsidR="00B9663F">
              <w:rPr>
                <w:sz w:val="20"/>
                <w:szCs w:val="20"/>
              </w:rPr>
              <w:t xml:space="preserve"> </w:t>
            </w:r>
            <w:r w:rsidRPr="00B9663F">
              <w:rPr>
                <w:sz w:val="20"/>
                <w:szCs w:val="20"/>
              </w:rPr>
              <w:t>($000)</w:t>
            </w:r>
          </w:p>
        </w:tc>
        <w:tc>
          <w:tcPr>
            <w:tcW w:w="916" w:type="dxa"/>
            <w:vAlign w:val="center"/>
          </w:tcPr>
          <w:p w:rsidR="00DD5E20" w:rsidRPr="00B9663F" w:rsidRDefault="00DD5E20" w:rsidP="00D95367">
            <w:pPr>
              <w:jc w:val="center"/>
              <w:rPr>
                <w:sz w:val="20"/>
                <w:szCs w:val="20"/>
              </w:rPr>
            </w:pPr>
            <w:r w:rsidRPr="00B9663F">
              <w:rPr>
                <w:sz w:val="20"/>
                <w:szCs w:val="20"/>
              </w:rPr>
              <w:t>Quantity</w:t>
            </w:r>
          </w:p>
        </w:tc>
        <w:tc>
          <w:tcPr>
            <w:tcW w:w="1334" w:type="dxa"/>
            <w:vAlign w:val="center"/>
          </w:tcPr>
          <w:p w:rsidR="00DD5E20" w:rsidRPr="00B9663F" w:rsidRDefault="00DD5E20" w:rsidP="00D95367">
            <w:pPr>
              <w:jc w:val="center"/>
              <w:rPr>
                <w:sz w:val="20"/>
                <w:szCs w:val="20"/>
              </w:rPr>
            </w:pPr>
            <w:r w:rsidRPr="00B9663F">
              <w:rPr>
                <w:sz w:val="20"/>
                <w:szCs w:val="20"/>
              </w:rPr>
              <w:t>FY 2012 Request</w:t>
            </w:r>
            <w:r w:rsidR="00B9663F">
              <w:rPr>
                <w:sz w:val="20"/>
                <w:szCs w:val="20"/>
              </w:rPr>
              <w:t xml:space="preserve"> </w:t>
            </w:r>
            <w:r w:rsidRPr="00B9663F">
              <w:rPr>
                <w:sz w:val="20"/>
                <w:szCs w:val="20"/>
              </w:rPr>
              <w:t>($000)</w:t>
            </w:r>
          </w:p>
        </w:tc>
        <w:tc>
          <w:tcPr>
            <w:tcW w:w="1890" w:type="dxa"/>
            <w:vAlign w:val="center"/>
          </w:tcPr>
          <w:p w:rsidR="00DD5E20" w:rsidRPr="00B9663F" w:rsidRDefault="00DD5E20" w:rsidP="00D95367">
            <w:pPr>
              <w:jc w:val="center"/>
              <w:rPr>
                <w:sz w:val="20"/>
                <w:szCs w:val="20"/>
              </w:rPr>
            </w:pPr>
            <w:r w:rsidRPr="00B9663F">
              <w:rPr>
                <w:sz w:val="20"/>
                <w:szCs w:val="20"/>
              </w:rPr>
              <w:t>FY 2013 Net</w:t>
            </w:r>
          </w:p>
          <w:p w:rsidR="00DD5E20" w:rsidRPr="00B9663F" w:rsidRDefault="00DD5E20" w:rsidP="00D95367">
            <w:pPr>
              <w:jc w:val="center"/>
              <w:rPr>
                <w:sz w:val="20"/>
                <w:szCs w:val="20"/>
              </w:rPr>
            </w:pPr>
            <w:r w:rsidRPr="00B9663F">
              <w:rPr>
                <w:sz w:val="20"/>
                <w:szCs w:val="20"/>
              </w:rPr>
              <w:t>Annualization</w:t>
            </w:r>
          </w:p>
          <w:p w:rsidR="00B448D6" w:rsidRPr="00B9663F" w:rsidRDefault="00DD5E20" w:rsidP="00B448D6">
            <w:pPr>
              <w:jc w:val="center"/>
              <w:rPr>
                <w:sz w:val="20"/>
                <w:szCs w:val="20"/>
              </w:rPr>
            </w:pPr>
            <w:r w:rsidRPr="00B9663F">
              <w:rPr>
                <w:sz w:val="20"/>
                <w:szCs w:val="20"/>
              </w:rPr>
              <w:t>(Change from 201</w:t>
            </w:r>
            <w:r w:rsidR="00B448D6" w:rsidRPr="00B9663F">
              <w:rPr>
                <w:sz w:val="20"/>
                <w:szCs w:val="20"/>
              </w:rPr>
              <w:t>2</w:t>
            </w:r>
            <w:r w:rsidRPr="00B9663F">
              <w:rPr>
                <w:sz w:val="20"/>
                <w:szCs w:val="20"/>
              </w:rPr>
              <w:t>)</w:t>
            </w:r>
            <w:r w:rsidR="00B9663F">
              <w:rPr>
                <w:sz w:val="20"/>
                <w:szCs w:val="20"/>
              </w:rPr>
              <w:t xml:space="preserve"> </w:t>
            </w:r>
            <w:r w:rsidR="00B448D6" w:rsidRPr="00B9663F">
              <w:rPr>
                <w:sz w:val="20"/>
                <w:szCs w:val="20"/>
              </w:rPr>
              <w:t>($000)</w:t>
            </w:r>
          </w:p>
        </w:tc>
        <w:tc>
          <w:tcPr>
            <w:tcW w:w="1980" w:type="dxa"/>
            <w:vAlign w:val="center"/>
          </w:tcPr>
          <w:p w:rsidR="00B448D6" w:rsidRPr="00B9663F" w:rsidRDefault="00B448D6" w:rsidP="00B448D6">
            <w:pPr>
              <w:jc w:val="center"/>
              <w:rPr>
                <w:sz w:val="20"/>
                <w:szCs w:val="20"/>
              </w:rPr>
            </w:pPr>
            <w:r w:rsidRPr="00B9663F">
              <w:rPr>
                <w:sz w:val="20"/>
                <w:szCs w:val="20"/>
              </w:rPr>
              <w:t>FY 2014 Net</w:t>
            </w:r>
          </w:p>
          <w:p w:rsidR="00B448D6" w:rsidRPr="00B9663F" w:rsidRDefault="00B448D6" w:rsidP="00B448D6">
            <w:pPr>
              <w:jc w:val="center"/>
              <w:rPr>
                <w:sz w:val="20"/>
                <w:szCs w:val="20"/>
              </w:rPr>
            </w:pPr>
            <w:r w:rsidRPr="00B9663F">
              <w:rPr>
                <w:sz w:val="20"/>
                <w:szCs w:val="20"/>
              </w:rPr>
              <w:t>Annualization</w:t>
            </w:r>
          </w:p>
          <w:p w:rsidR="00C34432" w:rsidRPr="00B9663F" w:rsidRDefault="00B448D6" w:rsidP="00C34432">
            <w:pPr>
              <w:jc w:val="center"/>
              <w:rPr>
                <w:sz w:val="20"/>
                <w:szCs w:val="20"/>
              </w:rPr>
            </w:pPr>
            <w:r w:rsidRPr="00B9663F">
              <w:rPr>
                <w:sz w:val="20"/>
                <w:szCs w:val="20"/>
              </w:rPr>
              <w:t>(Change from 2013)</w:t>
            </w:r>
            <w:r w:rsidR="00B9663F">
              <w:rPr>
                <w:sz w:val="20"/>
                <w:szCs w:val="20"/>
              </w:rPr>
              <w:t xml:space="preserve"> </w:t>
            </w:r>
            <w:r w:rsidRPr="00B9663F">
              <w:rPr>
                <w:sz w:val="20"/>
                <w:szCs w:val="20"/>
              </w:rPr>
              <w:t>($000)</w:t>
            </w:r>
          </w:p>
        </w:tc>
      </w:tr>
      <w:tr w:rsidR="00B9663F" w:rsidRPr="00927AC8" w:rsidTr="00B9663F">
        <w:trPr>
          <w:trHeight w:val="305"/>
        </w:trPr>
        <w:tc>
          <w:tcPr>
            <w:tcW w:w="2250" w:type="dxa"/>
            <w:vAlign w:val="center"/>
          </w:tcPr>
          <w:p w:rsidR="00DD5E20" w:rsidRPr="00B9663F" w:rsidRDefault="00C70BF1" w:rsidP="00D95367">
            <w:pPr>
              <w:autoSpaceDE w:val="0"/>
              <w:autoSpaceDN w:val="0"/>
              <w:adjustRightInd w:val="0"/>
              <w:rPr>
                <w:sz w:val="20"/>
                <w:szCs w:val="20"/>
              </w:rPr>
            </w:pPr>
            <w:r>
              <w:rPr>
                <w:sz w:val="20"/>
                <w:szCs w:val="20"/>
              </w:rPr>
              <w:t>IT Contractual Services</w:t>
            </w:r>
          </w:p>
        </w:tc>
        <w:tc>
          <w:tcPr>
            <w:tcW w:w="1080" w:type="dxa"/>
            <w:vAlign w:val="bottom"/>
          </w:tcPr>
          <w:p w:rsidR="00DD5E20" w:rsidRPr="00B9663F" w:rsidRDefault="00DD5E20" w:rsidP="00D95367">
            <w:pPr>
              <w:pStyle w:val="xl19"/>
              <w:jc w:val="right"/>
              <w:rPr>
                <w:sz w:val="20"/>
                <w:szCs w:val="20"/>
              </w:rPr>
            </w:pPr>
          </w:p>
        </w:tc>
        <w:tc>
          <w:tcPr>
            <w:tcW w:w="916" w:type="dxa"/>
            <w:vAlign w:val="bottom"/>
          </w:tcPr>
          <w:p w:rsidR="00DD5E20" w:rsidRPr="00B9663F" w:rsidRDefault="00DD5E20" w:rsidP="00D95367">
            <w:pPr>
              <w:jc w:val="right"/>
              <w:rPr>
                <w:sz w:val="20"/>
                <w:szCs w:val="20"/>
              </w:rPr>
            </w:pPr>
          </w:p>
        </w:tc>
        <w:tc>
          <w:tcPr>
            <w:tcW w:w="1334" w:type="dxa"/>
            <w:vAlign w:val="bottom"/>
          </w:tcPr>
          <w:p w:rsidR="00DD5E20" w:rsidRPr="00E72B35" w:rsidRDefault="00DD5E20" w:rsidP="00D95367">
            <w:pPr>
              <w:jc w:val="right"/>
              <w:rPr>
                <w:sz w:val="20"/>
                <w:szCs w:val="20"/>
              </w:rPr>
            </w:pPr>
            <w:r w:rsidRPr="00E72B35">
              <w:rPr>
                <w:sz w:val="20"/>
                <w:szCs w:val="20"/>
              </w:rPr>
              <w:t>(10,000)</w:t>
            </w:r>
          </w:p>
        </w:tc>
        <w:tc>
          <w:tcPr>
            <w:tcW w:w="1890" w:type="dxa"/>
            <w:vAlign w:val="bottom"/>
          </w:tcPr>
          <w:p w:rsidR="00DD5E20" w:rsidRPr="00B9663F" w:rsidRDefault="00934C9B" w:rsidP="00D95367">
            <w:pPr>
              <w:jc w:val="right"/>
              <w:rPr>
                <w:sz w:val="20"/>
                <w:szCs w:val="20"/>
              </w:rPr>
            </w:pPr>
            <w:r w:rsidRPr="00B9663F">
              <w:rPr>
                <w:sz w:val="20"/>
                <w:szCs w:val="20"/>
              </w:rPr>
              <w:t>0</w:t>
            </w:r>
          </w:p>
        </w:tc>
        <w:tc>
          <w:tcPr>
            <w:tcW w:w="1980" w:type="dxa"/>
            <w:vAlign w:val="bottom"/>
          </w:tcPr>
          <w:p w:rsidR="00DD5E20" w:rsidRPr="00B9663F" w:rsidRDefault="00A14CFE" w:rsidP="00D95367">
            <w:pPr>
              <w:jc w:val="right"/>
              <w:rPr>
                <w:sz w:val="20"/>
                <w:szCs w:val="20"/>
              </w:rPr>
            </w:pPr>
            <w:r w:rsidRPr="00B9663F">
              <w:rPr>
                <w:sz w:val="20"/>
                <w:szCs w:val="20"/>
              </w:rPr>
              <w:t>0</w:t>
            </w:r>
          </w:p>
        </w:tc>
      </w:tr>
      <w:tr w:rsidR="00B9663F" w:rsidRPr="00F65EDB" w:rsidTr="00B9663F">
        <w:trPr>
          <w:trHeight w:val="350"/>
        </w:trPr>
        <w:tc>
          <w:tcPr>
            <w:tcW w:w="2250" w:type="dxa"/>
            <w:shd w:val="pct10" w:color="auto" w:fill="auto"/>
            <w:vAlign w:val="center"/>
          </w:tcPr>
          <w:p w:rsidR="00DD5E20" w:rsidRPr="00B9663F" w:rsidRDefault="00DD5E20" w:rsidP="00D95367">
            <w:pPr>
              <w:rPr>
                <w:b/>
                <w:sz w:val="20"/>
                <w:szCs w:val="20"/>
              </w:rPr>
            </w:pPr>
            <w:r w:rsidRPr="00B9663F">
              <w:rPr>
                <w:b/>
                <w:sz w:val="20"/>
                <w:szCs w:val="20"/>
              </w:rPr>
              <w:t>Total Non-Personnel</w:t>
            </w:r>
          </w:p>
        </w:tc>
        <w:tc>
          <w:tcPr>
            <w:tcW w:w="1080" w:type="dxa"/>
            <w:shd w:val="pct10" w:color="auto" w:fill="auto"/>
            <w:vAlign w:val="bottom"/>
          </w:tcPr>
          <w:p w:rsidR="00DD5E20" w:rsidRPr="00B9663F" w:rsidRDefault="00DD5E20" w:rsidP="00D95367">
            <w:pPr>
              <w:pStyle w:val="xl19"/>
              <w:jc w:val="right"/>
              <w:rPr>
                <w:b/>
                <w:sz w:val="20"/>
                <w:szCs w:val="20"/>
              </w:rPr>
            </w:pPr>
          </w:p>
        </w:tc>
        <w:tc>
          <w:tcPr>
            <w:tcW w:w="916" w:type="dxa"/>
            <w:shd w:val="pct10" w:color="auto" w:fill="auto"/>
            <w:vAlign w:val="bottom"/>
          </w:tcPr>
          <w:p w:rsidR="00DD5E20" w:rsidRPr="00B9663F" w:rsidRDefault="00DD5E20" w:rsidP="00D95367">
            <w:pPr>
              <w:jc w:val="right"/>
              <w:rPr>
                <w:b/>
                <w:sz w:val="20"/>
                <w:szCs w:val="20"/>
              </w:rPr>
            </w:pPr>
          </w:p>
        </w:tc>
        <w:tc>
          <w:tcPr>
            <w:tcW w:w="1334" w:type="dxa"/>
            <w:shd w:val="pct10" w:color="auto" w:fill="auto"/>
            <w:vAlign w:val="bottom"/>
          </w:tcPr>
          <w:p w:rsidR="00DD5E20" w:rsidRPr="00E72B35" w:rsidRDefault="00DD5E20" w:rsidP="00D95367">
            <w:pPr>
              <w:jc w:val="right"/>
              <w:rPr>
                <w:b/>
                <w:sz w:val="20"/>
                <w:szCs w:val="20"/>
              </w:rPr>
            </w:pPr>
            <w:r w:rsidRPr="00E72B35">
              <w:rPr>
                <w:b/>
                <w:sz w:val="20"/>
                <w:szCs w:val="20"/>
              </w:rPr>
              <w:t>(10,000)</w:t>
            </w:r>
          </w:p>
        </w:tc>
        <w:tc>
          <w:tcPr>
            <w:tcW w:w="1890" w:type="dxa"/>
            <w:vAlign w:val="bottom"/>
          </w:tcPr>
          <w:p w:rsidR="00DD5E20" w:rsidRPr="00B9663F" w:rsidRDefault="00A14CFE" w:rsidP="00D95367">
            <w:pPr>
              <w:jc w:val="right"/>
              <w:rPr>
                <w:b/>
                <w:sz w:val="20"/>
                <w:szCs w:val="20"/>
              </w:rPr>
            </w:pPr>
            <w:r w:rsidRPr="00B9663F">
              <w:rPr>
                <w:b/>
                <w:sz w:val="20"/>
                <w:szCs w:val="20"/>
              </w:rPr>
              <w:t>0</w:t>
            </w:r>
          </w:p>
        </w:tc>
        <w:tc>
          <w:tcPr>
            <w:tcW w:w="1980" w:type="dxa"/>
            <w:vAlign w:val="bottom"/>
          </w:tcPr>
          <w:p w:rsidR="00DD5E20" w:rsidRPr="00B9663F" w:rsidRDefault="00A14CFE" w:rsidP="00D95367">
            <w:pPr>
              <w:jc w:val="right"/>
              <w:rPr>
                <w:b/>
                <w:sz w:val="20"/>
                <w:szCs w:val="20"/>
              </w:rPr>
            </w:pPr>
            <w:r w:rsidRPr="00B9663F">
              <w:rPr>
                <w:b/>
                <w:sz w:val="20"/>
                <w:szCs w:val="20"/>
              </w:rPr>
              <w:t>0</w:t>
            </w:r>
          </w:p>
        </w:tc>
      </w:tr>
    </w:tbl>
    <w:p w:rsidR="00D95367" w:rsidRDefault="00D95367" w:rsidP="00D95367">
      <w:pPr>
        <w:pStyle w:val="xl24"/>
        <w:tabs>
          <w:tab w:val="left" w:pos="3240"/>
        </w:tabs>
        <w:spacing w:before="0" w:beforeAutospacing="0" w:after="0" w:afterAutospacing="0"/>
        <w:outlineLvl w:val="0"/>
        <w:rPr>
          <w:u w:val="single"/>
        </w:rPr>
      </w:pPr>
    </w:p>
    <w:p w:rsidR="00D95367" w:rsidRPr="00902EB4" w:rsidRDefault="00D95367" w:rsidP="00D95367">
      <w:pPr>
        <w:pStyle w:val="xl24"/>
        <w:tabs>
          <w:tab w:val="left" w:pos="3240"/>
        </w:tabs>
        <w:spacing w:before="0" w:beforeAutospacing="0" w:after="0" w:afterAutospacing="0"/>
        <w:outlineLvl w:val="0"/>
        <w:rPr>
          <w:u w:val="single"/>
        </w:rPr>
      </w:pPr>
      <w:r w:rsidRPr="00902EB4">
        <w:rPr>
          <w:u w:val="single"/>
        </w:rPr>
        <w:t>Total Request for this Item</w:t>
      </w:r>
    </w:p>
    <w:p w:rsidR="00D95367" w:rsidRPr="00880707" w:rsidRDefault="00D95367" w:rsidP="00D95367">
      <w:pPr>
        <w:pStyle w:val="xl24"/>
        <w:spacing w:before="0" w:beforeAutospacing="0" w:after="0" w:afterAutospacing="0"/>
        <w:rPr>
          <w:b/>
          <w:highlight w:val="yellow"/>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4"/>
        <w:gridCol w:w="588"/>
        <w:gridCol w:w="600"/>
        <w:gridCol w:w="662"/>
        <w:gridCol w:w="1044"/>
        <w:gridCol w:w="1170"/>
        <w:gridCol w:w="990"/>
        <w:gridCol w:w="1620"/>
        <w:gridCol w:w="1710"/>
      </w:tblGrid>
      <w:tr w:rsidR="00E37064" w:rsidRPr="00CC5993" w:rsidTr="00B9663F">
        <w:trPr>
          <w:trHeight w:val="332"/>
        </w:trPr>
        <w:tc>
          <w:tcPr>
            <w:tcW w:w="1174" w:type="dxa"/>
            <w:shd w:val="clear" w:color="auto" w:fill="E6E6E6"/>
          </w:tcPr>
          <w:p w:rsidR="00B448D6" w:rsidRPr="00B9663F" w:rsidRDefault="00B448D6" w:rsidP="00D95367">
            <w:pPr>
              <w:rPr>
                <w:sz w:val="20"/>
                <w:szCs w:val="20"/>
              </w:rPr>
            </w:pPr>
          </w:p>
        </w:tc>
        <w:tc>
          <w:tcPr>
            <w:tcW w:w="588" w:type="dxa"/>
            <w:vAlign w:val="center"/>
          </w:tcPr>
          <w:p w:rsidR="00B448D6" w:rsidRPr="00B9663F" w:rsidRDefault="00B448D6" w:rsidP="00D95367">
            <w:pPr>
              <w:jc w:val="center"/>
              <w:rPr>
                <w:sz w:val="20"/>
                <w:szCs w:val="20"/>
              </w:rPr>
            </w:pPr>
            <w:r w:rsidRPr="00B9663F">
              <w:rPr>
                <w:sz w:val="20"/>
                <w:szCs w:val="20"/>
              </w:rPr>
              <w:t>Pos</w:t>
            </w:r>
          </w:p>
        </w:tc>
        <w:tc>
          <w:tcPr>
            <w:tcW w:w="600" w:type="dxa"/>
            <w:vAlign w:val="center"/>
          </w:tcPr>
          <w:p w:rsidR="00B448D6" w:rsidRPr="00B9663F" w:rsidRDefault="00B448D6" w:rsidP="00D95367">
            <w:pPr>
              <w:jc w:val="center"/>
              <w:rPr>
                <w:sz w:val="20"/>
                <w:szCs w:val="20"/>
              </w:rPr>
            </w:pPr>
            <w:proofErr w:type="spellStart"/>
            <w:r w:rsidRPr="00B9663F">
              <w:rPr>
                <w:sz w:val="20"/>
                <w:szCs w:val="20"/>
              </w:rPr>
              <w:t>Agt</w:t>
            </w:r>
            <w:proofErr w:type="spellEnd"/>
          </w:p>
        </w:tc>
        <w:tc>
          <w:tcPr>
            <w:tcW w:w="662" w:type="dxa"/>
            <w:vAlign w:val="center"/>
          </w:tcPr>
          <w:p w:rsidR="00B448D6" w:rsidRPr="00B9663F" w:rsidRDefault="00B448D6" w:rsidP="00D95367">
            <w:pPr>
              <w:jc w:val="center"/>
              <w:rPr>
                <w:sz w:val="20"/>
                <w:szCs w:val="20"/>
              </w:rPr>
            </w:pPr>
            <w:r w:rsidRPr="00B9663F">
              <w:rPr>
                <w:sz w:val="20"/>
                <w:szCs w:val="20"/>
              </w:rPr>
              <w:t>FTE</w:t>
            </w:r>
          </w:p>
        </w:tc>
        <w:tc>
          <w:tcPr>
            <w:tcW w:w="1044" w:type="dxa"/>
            <w:vAlign w:val="center"/>
          </w:tcPr>
          <w:p w:rsidR="00B448D6" w:rsidRPr="00B9663F" w:rsidRDefault="00B448D6" w:rsidP="00D95367">
            <w:pPr>
              <w:jc w:val="center"/>
              <w:rPr>
                <w:sz w:val="20"/>
                <w:szCs w:val="20"/>
              </w:rPr>
            </w:pPr>
            <w:r w:rsidRPr="00B9663F">
              <w:rPr>
                <w:sz w:val="20"/>
                <w:szCs w:val="20"/>
              </w:rPr>
              <w:t>Personnel</w:t>
            </w:r>
            <w:r w:rsidR="00B9663F">
              <w:rPr>
                <w:sz w:val="20"/>
                <w:szCs w:val="20"/>
              </w:rPr>
              <w:t xml:space="preserve"> </w:t>
            </w:r>
            <w:r w:rsidRPr="00B9663F">
              <w:rPr>
                <w:sz w:val="20"/>
                <w:szCs w:val="20"/>
              </w:rPr>
              <w:t>($000)</w:t>
            </w:r>
          </w:p>
        </w:tc>
        <w:tc>
          <w:tcPr>
            <w:tcW w:w="1170" w:type="dxa"/>
            <w:vAlign w:val="center"/>
          </w:tcPr>
          <w:p w:rsidR="00B448D6" w:rsidRPr="00B9663F" w:rsidRDefault="00B448D6" w:rsidP="00B9663F">
            <w:pPr>
              <w:jc w:val="center"/>
              <w:rPr>
                <w:sz w:val="20"/>
                <w:szCs w:val="20"/>
              </w:rPr>
            </w:pPr>
            <w:r w:rsidRPr="00B9663F">
              <w:rPr>
                <w:sz w:val="20"/>
                <w:szCs w:val="20"/>
              </w:rPr>
              <w:t>Non-Personnel</w:t>
            </w:r>
            <w:r w:rsidR="00B9663F">
              <w:rPr>
                <w:sz w:val="20"/>
                <w:szCs w:val="20"/>
              </w:rPr>
              <w:t xml:space="preserve"> </w:t>
            </w:r>
            <w:r w:rsidRPr="00B9663F">
              <w:rPr>
                <w:sz w:val="20"/>
                <w:szCs w:val="20"/>
              </w:rPr>
              <w:t>($000)</w:t>
            </w:r>
          </w:p>
        </w:tc>
        <w:tc>
          <w:tcPr>
            <w:tcW w:w="990" w:type="dxa"/>
            <w:vAlign w:val="center"/>
          </w:tcPr>
          <w:p w:rsidR="00B448D6" w:rsidRPr="00B9663F" w:rsidRDefault="00B448D6" w:rsidP="00B9663F">
            <w:pPr>
              <w:jc w:val="center"/>
              <w:rPr>
                <w:sz w:val="20"/>
                <w:szCs w:val="20"/>
              </w:rPr>
            </w:pPr>
            <w:r w:rsidRPr="00B9663F">
              <w:rPr>
                <w:sz w:val="20"/>
                <w:szCs w:val="20"/>
              </w:rPr>
              <w:t>Total</w:t>
            </w:r>
            <w:r w:rsidR="00B9663F">
              <w:rPr>
                <w:sz w:val="20"/>
                <w:szCs w:val="20"/>
              </w:rPr>
              <w:t xml:space="preserve"> </w:t>
            </w:r>
            <w:r w:rsidRPr="00B9663F">
              <w:rPr>
                <w:sz w:val="20"/>
                <w:szCs w:val="20"/>
              </w:rPr>
              <w:t>($000)</w:t>
            </w:r>
          </w:p>
        </w:tc>
        <w:tc>
          <w:tcPr>
            <w:tcW w:w="1620" w:type="dxa"/>
            <w:vAlign w:val="center"/>
          </w:tcPr>
          <w:p w:rsidR="00B448D6" w:rsidRPr="00B9663F" w:rsidRDefault="00B448D6" w:rsidP="00B448D6">
            <w:pPr>
              <w:jc w:val="center"/>
              <w:rPr>
                <w:sz w:val="20"/>
                <w:szCs w:val="20"/>
              </w:rPr>
            </w:pPr>
            <w:r w:rsidRPr="00B9663F">
              <w:rPr>
                <w:sz w:val="20"/>
                <w:szCs w:val="20"/>
              </w:rPr>
              <w:t>FY 2013 Net</w:t>
            </w:r>
          </w:p>
          <w:p w:rsidR="00B448D6" w:rsidRPr="00B9663F" w:rsidRDefault="00B448D6" w:rsidP="00B448D6">
            <w:pPr>
              <w:jc w:val="center"/>
              <w:rPr>
                <w:sz w:val="20"/>
                <w:szCs w:val="20"/>
              </w:rPr>
            </w:pPr>
            <w:r w:rsidRPr="00B9663F">
              <w:rPr>
                <w:sz w:val="20"/>
                <w:szCs w:val="20"/>
              </w:rPr>
              <w:t>Annualization</w:t>
            </w:r>
          </w:p>
          <w:p w:rsidR="00C34432" w:rsidRPr="00B9663F" w:rsidRDefault="00B448D6" w:rsidP="00C34432">
            <w:pPr>
              <w:jc w:val="center"/>
              <w:rPr>
                <w:sz w:val="20"/>
                <w:szCs w:val="20"/>
              </w:rPr>
            </w:pPr>
            <w:r w:rsidRPr="00B9663F">
              <w:rPr>
                <w:sz w:val="20"/>
                <w:szCs w:val="20"/>
              </w:rPr>
              <w:t>(Change from 2012)</w:t>
            </w:r>
            <w:r w:rsidR="00B9663F">
              <w:rPr>
                <w:sz w:val="20"/>
                <w:szCs w:val="20"/>
              </w:rPr>
              <w:t xml:space="preserve"> </w:t>
            </w:r>
            <w:r w:rsidRPr="00B9663F">
              <w:rPr>
                <w:sz w:val="20"/>
                <w:szCs w:val="20"/>
              </w:rPr>
              <w:t>($000)</w:t>
            </w:r>
          </w:p>
        </w:tc>
        <w:tc>
          <w:tcPr>
            <w:tcW w:w="1710" w:type="dxa"/>
            <w:vAlign w:val="center"/>
          </w:tcPr>
          <w:p w:rsidR="00B448D6" w:rsidRPr="00B9663F" w:rsidRDefault="00B448D6" w:rsidP="00B448D6">
            <w:pPr>
              <w:jc w:val="center"/>
              <w:rPr>
                <w:sz w:val="20"/>
                <w:szCs w:val="20"/>
              </w:rPr>
            </w:pPr>
            <w:r w:rsidRPr="00B9663F">
              <w:rPr>
                <w:sz w:val="20"/>
                <w:szCs w:val="20"/>
              </w:rPr>
              <w:t>FY 2014 Net</w:t>
            </w:r>
          </w:p>
          <w:p w:rsidR="00B448D6" w:rsidRPr="00B9663F" w:rsidRDefault="00B448D6" w:rsidP="00B448D6">
            <w:pPr>
              <w:jc w:val="center"/>
              <w:rPr>
                <w:sz w:val="20"/>
                <w:szCs w:val="20"/>
              </w:rPr>
            </w:pPr>
            <w:r w:rsidRPr="00B9663F">
              <w:rPr>
                <w:sz w:val="20"/>
                <w:szCs w:val="20"/>
              </w:rPr>
              <w:t>Annualization</w:t>
            </w:r>
          </w:p>
          <w:p w:rsidR="00C34432" w:rsidRPr="00B9663F" w:rsidRDefault="00B448D6" w:rsidP="00C34432">
            <w:pPr>
              <w:jc w:val="center"/>
              <w:rPr>
                <w:sz w:val="20"/>
                <w:szCs w:val="20"/>
              </w:rPr>
            </w:pPr>
            <w:r w:rsidRPr="00B9663F">
              <w:rPr>
                <w:sz w:val="20"/>
                <w:szCs w:val="20"/>
              </w:rPr>
              <w:t>(Change from 2013)</w:t>
            </w:r>
            <w:r w:rsidR="00B9663F">
              <w:rPr>
                <w:sz w:val="20"/>
                <w:szCs w:val="20"/>
              </w:rPr>
              <w:t xml:space="preserve"> </w:t>
            </w:r>
            <w:r w:rsidRPr="00B9663F">
              <w:rPr>
                <w:sz w:val="20"/>
                <w:szCs w:val="20"/>
              </w:rPr>
              <w:t>($000)</w:t>
            </w:r>
            <w:r w:rsidRPr="00B9663F" w:rsidDel="00B448D6">
              <w:rPr>
                <w:sz w:val="20"/>
                <w:szCs w:val="20"/>
              </w:rPr>
              <w:t xml:space="preserve"> </w:t>
            </w:r>
          </w:p>
        </w:tc>
      </w:tr>
      <w:tr w:rsidR="00E37064" w:rsidRPr="00CC5993" w:rsidTr="00B9663F">
        <w:trPr>
          <w:trHeight w:val="215"/>
        </w:trPr>
        <w:tc>
          <w:tcPr>
            <w:tcW w:w="1174" w:type="dxa"/>
          </w:tcPr>
          <w:p w:rsidR="00B448D6" w:rsidRPr="00B9663F" w:rsidRDefault="00B448D6" w:rsidP="00D95367">
            <w:pPr>
              <w:rPr>
                <w:sz w:val="20"/>
                <w:szCs w:val="20"/>
              </w:rPr>
            </w:pPr>
            <w:r w:rsidRPr="00B9663F">
              <w:rPr>
                <w:sz w:val="20"/>
                <w:szCs w:val="20"/>
              </w:rPr>
              <w:t>Current Services</w:t>
            </w:r>
          </w:p>
        </w:tc>
        <w:tc>
          <w:tcPr>
            <w:tcW w:w="588" w:type="dxa"/>
            <w:vAlign w:val="center"/>
          </w:tcPr>
          <w:p w:rsidR="00B448D6" w:rsidRPr="00B9663F" w:rsidRDefault="00E37064" w:rsidP="00E37064">
            <w:pPr>
              <w:jc w:val="right"/>
              <w:rPr>
                <w:sz w:val="20"/>
                <w:szCs w:val="20"/>
              </w:rPr>
            </w:pPr>
            <w:r>
              <w:rPr>
                <w:sz w:val="20"/>
                <w:szCs w:val="20"/>
              </w:rPr>
              <w:t>19</w:t>
            </w:r>
          </w:p>
        </w:tc>
        <w:tc>
          <w:tcPr>
            <w:tcW w:w="600" w:type="dxa"/>
            <w:vAlign w:val="center"/>
          </w:tcPr>
          <w:p w:rsidR="00B448D6" w:rsidRPr="00B9663F" w:rsidRDefault="00E37064" w:rsidP="00E37064">
            <w:pPr>
              <w:jc w:val="right"/>
              <w:rPr>
                <w:sz w:val="20"/>
                <w:szCs w:val="20"/>
              </w:rPr>
            </w:pPr>
            <w:r>
              <w:rPr>
                <w:sz w:val="20"/>
                <w:szCs w:val="20"/>
              </w:rPr>
              <w:t>7</w:t>
            </w:r>
          </w:p>
        </w:tc>
        <w:tc>
          <w:tcPr>
            <w:tcW w:w="662" w:type="dxa"/>
            <w:vAlign w:val="center"/>
          </w:tcPr>
          <w:p w:rsidR="00B448D6" w:rsidRPr="00B9663F" w:rsidRDefault="00E37064" w:rsidP="00E37064">
            <w:pPr>
              <w:jc w:val="right"/>
              <w:rPr>
                <w:sz w:val="20"/>
                <w:szCs w:val="20"/>
              </w:rPr>
            </w:pPr>
            <w:r>
              <w:rPr>
                <w:sz w:val="20"/>
                <w:szCs w:val="20"/>
              </w:rPr>
              <w:t>19</w:t>
            </w:r>
          </w:p>
        </w:tc>
        <w:tc>
          <w:tcPr>
            <w:tcW w:w="1044" w:type="dxa"/>
            <w:vAlign w:val="center"/>
          </w:tcPr>
          <w:p w:rsidR="00B448D6" w:rsidRPr="00B9663F" w:rsidRDefault="00E37064" w:rsidP="00E37064">
            <w:pPr>
              <w:jc w:val="right"/>
              <w:rPr>
                <w:sz w:val="20"/>
                <w:szCs w:val="20"/>
              </w:rPr>
            </w:pPr>
            <w:r>
              <w:rPr>
                <w:sz w:val="20"/>
                <w:szCs w:val="20"/>
              </w:rPr>
              <w:t>3,010</w:t>
            </w:r>
          </w:p>
        </w:tc>
        <w:tc>
          <w:tcPr>
            <w:tcW w:w="1170" w:type="dxa"/>
            <w:vAlign w:val="center"/>
          </w:tcPr>
          <w:p w:rsidR="00B448D6" w:rsidRPr="00B9663F" w:rsidRDefault="00E37064" w:rsidP="00E37064">
            <w:pPr>
              <w:jc w:val="right"/>
              <w:rPr>
                <w:sz w:val="20"/>
                <w:szCs w:val="20"/>
              </w:rPr>
            </w:pPr>
            <w:r>
              <w:rPr>
                <w:sz w:val="20"/>
                <w:szCs w:val="20"/>
              </w:rPr>
              <w:t>19,090</w:t>
            </w:r>
          </w:p>
        </w:tc>
        <w:tc>
          <w:tcPr>
            <w:tcW w:w="990" w:type="dxa"/>
            <w:vAlign w:val="center"/>
          </w:tcPr>
          <w:p w:rsidR="00B448D6" w:rsidRPr="00B9663F" w:rsidRDefault="00E37064" w:rsidP="00E37064">
            <w:pPr>
              <w:jc w:val="right"/>
              <w:rPr>
                <w:sz w:val="20"/>
                <w:szCs w:val="20"/>
              </w:rPr>
            </w:pPr>
            <w:r>
              <w:rPr>
                <w:sz w:val="20"/>
                <w:szCs w:val="20"/>
              </w:rPr>
              <w:t>22,100</w:t>
            </w:r>
          </w:p>
        </w:tc>
        <w:tc>
          <w:tcPr>
            <w:tcW w:w="1620" w:type="dxa"/>
            <w:vAlign w:val="center"/>
          </w:tcPr>
          <w:p w:rsidR="00B448D6" w:rsidRPr="00B9663F" w:rsidRDefault="00A14CFE" w:rsidP="00D95367">
            <w:pPr>
              <w:jc w:val="right"/>
              <w:rPr>
                <w:sz w:val="20"/>
                <w:szCs w:val="20"/>
              </w:rPr>
            </w:pPr>
            <w:r w:rsidRPr="00B9663F">
              <w:rPr>
                <w:sz w:val="20"/>
                <w:szCs w:val="20"/>
              </w:rPr>
              <w:t>0</w:t>
            </w:r>
          </w:p>
        </w:tc>
        <w:tc>
          <w:tcPr>
            <w:tcW w:w="1710" w:type="dxa"/>
            <w:vAlign w:val="center"/>
          </w:tcPr>
          <w:p w:rsidR="00B448D6" w:rsidRPr="00B9663F" w:rsidRDefault="00A14CFE" w:rsidP="00D95367">
            <w:pPr>
              <w:jc w:val="right"/>
              <w:rPr>
                <w:sz w:val="20"/>
                <w:szCs w:val="20"/>
              </w:rPr>
            </w:pPr>
            <w:r w:rsidRPr="00B9663F">
              <w:rPr>
                <w:sz w:val="20"/>
                <w:szCs w:val="20"/>
              </w:rPr>
              <w:t>0</w:t>
            </w:r>
          </w:p>
        </w:tc>
      </w:tr>
      <w:tr w:rsidR="00E37064" w:rsidRPr="00CC5993" w:rsidTr="00B9663F">
        <w:trPr>
          <w:trHeight w:val="377"/>
        </w:trPr>
        <w:tc>
          <w:tcPr>
            <w:tcW w:w="1174" w:type="dxa"/>
          </w:tcPr>
          <w:p w:rsidR="00B448D6" w:rsidRPr="00B9663F" w:rsidRDefault="00A86176" w:rsidP="00A86176">
            <w:pPr>
              <w:rPr>
                <w:sz w:val="20"/>
                <w:szCs w:val="20"/>
              </w:rPr>
            </w:pPr>
            <w:r>
              <w:rPr>
                <w:sz w:val="20"/>
                <w:szCs w:val="20"/>
              </w:rPr>
              <w:t>Decreases</w:t>
            </w:r>
          </w:p>
        </w:tc>
        <w:tc>
          <w:tcPr>
            <w:tcW w:w="588" w:type="dxa"/>
            <w:vAlign w:val="center"/>
          </w:tcPr>
          <w:p w:rsidR="00B448D6" w:rsidRPr="00B9663F" w:rsidRDefault="00B448D6" w:rsidP="00D95367">
            <w:pPr>
              <w:jc w:val="right"/>
              <w:rPr>
                <w:sz w:val="20"/>
                <w:szCs w:val="20"/>
              </w:rPr>
            </w:pPr>
            <w:r w:rsidRPr="00B9663F">
              <w:rPr>
                <w:sz w:val="20"/>
                <w:szCs w:val="20"/>
              </w:rPr>
              <w:t>0</w:t>
            </w:r>
          </w:p>
        </w:tc>
        <w:tc>
          <w:tcPr>
            <w:tcW w:w="600" w:type="dxa"/>
          </w:tcPr>
          <w:p w:rsidR="00B448D6" w:rsidRPr="00B9663F" w:rsidRDefault="00B448D6" w:rsidP="00D95367">
            <w:pPr>
              <w:jc w:val="right"/>
              <w:rPr>
                <w:sz w:val="20"/>
                <w:szCs w:val="20"/>
              </w:rPr>
            </w:pPr>
            <w:r w:rsidRPr="00B9663F">
              <w:rPr>
                <w:sz w:val="20"/>
                <w:szCs w:val="20"/>
              </w:rPr>
              <w:t>0</w:t>
            </w:r>
          </w:p>
        </w:tc>
        <w:tc>
          <w:tcPr>
            <w:tcW w:w="662" w:type="dxa"/>
            <w:vAlign w:val="center"/>
          </w:tcPr>
          <w:p w:rsidR="00B448D6" w:rsidRPr="00B9663F" w:rsidRDefault="00B448D6" w:rsidP="00D95367">
            <w:pPr>
              <w:jc w:val="right"/>
              <w:rPr>
                <w:sz w:val="20"/>
                <w:szCs w:val="20"/>
              </w:rPr>
            </w:pPr>
            <w:r w:rsidRPr="00B9663F">
              <w:rPr>
                <w:sz w:val="20"/>
                <w:szCs w:val="20"/>
              </w:rPr>
              <w:t>0</w:t>
            </w:r>
          </w:p>
        </w:tc>
        <w:tc>
          <w:tcPr>
            <w:tcW w:w="1044" w:type="dxa"/>
            <w:vAlign w:val="center"/>
          </w:tcPr>
          <w:p w:rsidR="00B448D6" w:rsidRPr="00B9663F" w:rsidRDefault="00B448D6" w:rsidP="00D95367">
            <w:pPr>
              <w:jc w:val="right"/>
              <w:rPr>
                <w:sz w:val="20"/>
                <w:szCs w:val="20"/>
              </w:rPr>
            </w:pPr>
            <w:r w:rsidRPr="00B9663F">
              <w:rPr>
                <w:sz w:val="20"/>
                <w:szCs w:val="20"/>
              </w:rPr>
              <w:t>0</w:t>
            </w:r>
          </w:p>
        </w:tc>
        <w:tc>
          <w:tcPr>
            <w:tcW w:w="1170" w:type="dxa"/>
            <w:vAlign w:val="center"/>
          </w:tcPr>
          <w:p w:rsidR="00B448D6" w:rsidRPr="00E72B35" w:rsidRDefault="00B448D6" w:rsidP="00D95367">
            <w:pPr>
              <w:jc w:val="right"/>
              <w:rPr>
                <w:sz w:val="20"/>
                <w:szCs w:val="20"/>
              </w:rPr>
            </w:pPr>
            <w:r w:rsidRPr="00E72B35">
              <w:rPr>
                <w:sz w:val="20"/>
                <w:szCs w:val="20"/>
              </w:rPr>
              <w:t>(10,000)</w:t>
            </w:r>
          </w:p>
        </w:tc>
        <w:tc>
          <w:tcPr>
            <w:tcW w:w="990" w:type="dxa"/>
            <w:vAlign w:val="center"/>
          </w:tcPr>
          <w:p w:rsidR="00B448D6" w:rsidRPr="00E72B35" w:rsidRDefault="00B448D6" w:rsidP="00D95367">
            <w:pPr>
              <w:jc w:val="right"/>
              <w:rPr>
                <w:sz w:val="20"/>
                <w:szCs w:val="20"/>
              </w:rPr>
            </w:pPr>
            <w:r w:rsidRPr="00E72B35">
              <w:rPr>
                <w:sz w:val="20"/>
                <w:szCs w:val="20"/>
              </w:rPr>
              <w:t>(10,000)</w:t>
            </w:r>
          </w:p>
        </w:tc>
        <w:tc>
          <w:tcPr>
            <w:tcW w:w="1620" w:type="dxa"/>
            <w:vAlign w:val="center"/>
          </w:tcPr>
          <w:p w:rsidR="00B448D6" w:rsidRPr="00B9663F" w:rsidRDefault="00934C9B" w:rsidP="00D95367">
            <w:pPr>
              <w:jc w:val="right"/>
              <w:rPr>
                <w:sz w:val="20"/>
                <w:szCs w:val="20"/>
              </w:rPr>
            </w:pPr>
            <w:r w:rsidRPr="00B9663F">
              <w:rPr>
                <w:sz w:val="20"/>
                <w:szCs w:val="20"/>
              </w:rPr>
              <w:t>0</w:t>
            </w:r>
          </w:p>
        </w:tc>
        <w:tc>
          <w:tcPr>
            <w:tcW w:w="1710" w:type="dxa"/>
            <w:vAlign w:val="center"/>
          </w:tcPr>
          <w:p w:rsidR="00B448D6" w:rsidRPr="00B9663F" w:rsidRDefault="00934C9B" w:rsidP="00D95367">
            <w:pPr>
              <w:jc w:val="right"/>
              <w:rPr>
                <w:sz w:val="20"/>
                <w:szCs w:val="20"/>
              </w:rPr>
            </w:pPr>
            <w:r w:rsidRPr="00B9663F">
              <w:rPr>
                <w:sz w:val="20"/>
                <w:szCs w:val="20"/>
              </w:rPr>
              <w:t>0</w:t>
            </w:r>
          </w:p>
        </w:tc>
      </w:tr>
      <w:tr w:rsidR="00E37064" w:rsidRPr="00CC5993" w:rsidTr="00B9663F">
        <w:trPr>
          <w:trHeight w:val="260"/>
        </w:trPr>
        <w:tc>
          <w:tcPr>
            <w:tcW w:w="1174" w:type="dxa"/>
          </w:tcPr>
          <w:p w:rsidR="00B448D6" w:rsidRPr="00B9663F" w:rsidRDefault="00B448D6" w:rsidP="00D95367">
            <w:pPr>
              <w:rPr>
                <w:sz w:val="20"/>
                <w:szCs w:val="20"/>
              </w:rPr>
            </w:pPr>
            <w:r w:rsidRPr="00B9663F">
              <w:rPr>
                <w:sz w:val="20"/>
                <w:szCs w:val="20"/>
              </w:rPr>
              <w:t>Grand Total</w:t>
            </w:r>
          </w:p>
        </w:tc>
        <w:tc>
          <w:tcPr>
            <w:tcW w:w="588" w:type="dxa"/>
            <w:vAlign w:val="center"/>
          </w:tcPr>
          <w:p w:rsidR="00B448D6" w:rsidRPr="00B9663F" w:rsidRDefault="00E37064" w:rsidP="00E37064">
            <w:pPr>
              <w:jc w:val="right"/>
              <w:rPr>
                <w:sz w:val="20"/>
                <w:szCs w:val="20"/>
              </w:rPr>
            </w:pPr>
            <w:r>
              <w:rPr>
                <w:sz w:val="20"/>
                <w:szCs w:val="20"/>
              </w:rPr>
              <w:t>19</w:t>
            </w:r>
          </w:p>
        </w:tc>
        <w:tc>
          <w:tcPr>
            <w:tcW w:w="600" w:type="dxa"/>
            <w:vAlign w:val="center"/>
          </w:tcPr>
          <w:p w:rsidR="00B448D6" w:rsidRPr="00B9663F" w:rsidRDefault="00E37064" w:rsidP="00E37064">
            <w:pPr>
              <w:jc w:val="right"/>
              <w:rPr>
                <w:sz w:val="20"/>
                <w:szCs w:val="20"/>
              </w:rPr>
            </w:pPr>
            <w:r>
              <w:rPr>
                <w:sz w:val="20"/>
                <w:szCs w:val="20"/>
              </w:rPr>
              <w:t>7</w:t>
            </w:r>
          </w:p>
        </w:tc>
        <w:tc>
          <w:tcPr>
            <w:tcW w:w="662" w:type="dxa"/>
            <w:vAlign w:val="center"/>
          </w:tcPr>
          <w:p w:rsidR="00B448D6" w:rsidRPr="00B9663F" w:rsidRDefault="00E37064" w:rsidP="00E37064">
            <w:pPr>
              <w:jc w:val="right"/>
              <w:rPr>
                <w:sz w:val="20"/>
                <w:szCs w:val="20"/>
              </w:rPr>
            </w:pPr>
            <w:r>
              <w:rPr>
                <w:sz w:val="20"/>
                <w:szCs w:val="20"/>
              </w:rPr>
              <w:t>19</w:t>
            </w:r>
          </w:p>
        </w:tc>
        <w:tc>
          <w:tcPr>
            <w:tcW w:w="1044" w:type="dxa"/>
            <w:vAlign w:val="center"/>
          </w:tcPr>
          <w:p w:rsidR="00B448D6" w:rsidRPr="00B9663F" w:rsidRDefault="00E37064" w:rsidP="00E37064">
            <w:pPr>
              <w:jc w:val="right"/>
              <w:rPr>
                <w:sz w:val="20"/>
                <w:szCs w:val="20"/>
              </w:rPr>
            </w:pPr>
            <w:r>
              <w:rPr>
                <w:sz w:val="20"/>
                <w:szCs w:val="20"/>
              </w:rPr>
              <w:t>3,010</w:t>
            </w:r>
          </w:p>
        </w:tc>
        <w:tc>
          <w:tcPr>
            <w:tcW w:w="1170" w:type="dxa"/>
            <w:vAlign w:val="center"/>
          </w:tcPr>
          <w:p w:rsidR="00B448D6" w:rsidRPr="00E37064" w:rsidRDefault="00E37064" w:rsidP="00E37064">
            <w:pPr>
              <w:jc w:val="right"/>
              <w:rPr>
                <w:color w:val="000000" w:themeColor="text1"/>
                <w:sz w:val="20"/>
                <w:szCs w:val="20"/>
              </w:rPr>
            </w:pPr>
            <w:r w:rsidRPr="00E37064">
              <w:rPr>
                <w:color w:val="000000" w:themeColor="text1"/>
                <w:sz w:val="20"/>
                <w:szCs w:val="20"/>
              </w:rPr>
              <w:t>9,09</w:t>
            </w:r>
            <w:r>
              <w:rPr>
                <w:color w:val="000000" w:themeColor="text1"/>
                <w:sz w:val="20"/>
                <w:szCs w:val="20"/>
              </w:rPr>
              <w:t>0</w:t>
            </w:r>
          </w:p>
        </w:tc>
        <w:tc>
          <w:tcPr>
            <w:tcW w:w="990" w:type="dxa"/>
            <w:vAlign w:val="center"/>
          </w:tcPr>
          <w:p w:rsidR="00B448D6" w:rsidRPr="00E37064" w:rsidRDefault="00B448D6" w:rsidP="00E37064">
            <w:pPr>
              <w:jc w:val="right"/>
              <w:rPr>
                <w:color w:val="000000" w:themeColor="text1"/>
                <w:sz w:val="20"/>
                <w:szCs w:val="20"/>
              </w:rPr>
            </w:pPr>
            <w:r w:rsidRPr="00E37064">
              <w:rPr>
                <w:color w:val="000000" w:themeColor="text1"/>
                <w:sz w:val="20"/>
                <w:szCs w:val="20"/>
              </w:rPr>
              <w:t>1</w:t>
            </w:r>
            <w:r w:rsidR="00E37064" w:rsidRPr="00E37064">
              <w:rPr>
                <w:color w:val="000000" w:themeColor="text1"/>
                <w:sz w:val="20"/>
                <w:szCs w:val="20"/>
              </w:rPr>
              <w:t>2</w:t>
            </w:r>
            <w:r w:rsidRPr="00E37064">
              <w:rPr>
                <w:color w:val="000000" w:themeColor="text1"/>
                <w:sz w:val="20"/>
                <w:szCs w:val="20"/>
              </w:rPr>
              <w:t>,</w:t>
            </w:r>
            <w:r w:rsidR="00E37064" w:rsidRPr="00E37064">
              <w:rPr>
                <w:color w:val="000000" w:themeColor="text1"/>
                <w:sz w:val="20"/>
                <w:szCs w:val="20"/>
              </w:rPr>
              <w:t>100</w:t>
            </w:r>
          </w:p>
        </w:tc>
        <w:tc>
          <w:tcPr>
            <w:tcW w:w="1620" w:type="dxa"/>
            <w:vAlign w:val="center"/>
          </w:tcPr>
          <w:p w:rsidR="00B448D6" w:rsidRPr="00B9663F" w:rsidRDefault="00A14CFE" w:rsidP="00D95367">
            <w:pPr>
              <w:jc w:val="right"/>
              <w:rPr>
                <w:sz w:val="20"/>
                <w:szCs w:val="20"/>
              </w:rPr>
            </w:pPr>
            <w:r w:rsidRPr="00B9663F">
              <w:rPr>
                <w:sz w:val="20"/>
                <w:szCs w:val="20"/>
              </w:rPr>
              <w:t>0</w:t>
            </w:r>
          </w:p>
        </w:tc>
        <w:tc>
          <w:tcPr>
            <w:tcW w:w="1710" w:type="dxa"/>
            <w:vAlign w:val="center"/>
          </w:tcPr>
          <w:p w:rsidR="00B448D6" w:rsidRPr="00B9663F" w:rsidRDefault="00A14CFE" w:rsidP="00D95367">
            <w:pPr>
              <w:jc w:val="right"/>
              <w:rPr>
                <w:sz w:val="20"/>
                <w:szCs w:val="20"/>
              </w:rPr>
            </w:pPr>
            <w:r w:rsidRPr="00B9663F">
              <w:rPr>
                <w:sz w:val="20"/>
                <w:szCs w:val="20"/>
              </w:rPr>
              <w:t>0</w:t>
            </w:r>
          </w:p>
        </w:tc>
      </w:tr>
    </w:tbl>
    <w:p w:rsidR="00934C9B" w:rsidRDefault="00934C9B" w:rsidP="00D95367">
      <w:pPr>
        <w:pStyle w:val="xl19"/>
        <w:tabs>
          <w:tab w:val="left" w:pos="3420"/>
          <w:tab w:val="right" w:pos="8640"/>
        </w:tabs>
        <w:outlineLvl w:val="0"/>
        <w:rPr>
          <w:b/>
          <w:bCs/>
        </w:rPr>
      </w:pPr>
    </w:p>
    <w:p w:rsidR="00934C9B" w:rsidRDefault="00934C9B">
      <w:pPr>
        <w:rPr>
          <w:b/>
          <w:bCs/>
        </w:rPr>
      </w:pPr>
      <w:r>
        <w:rPr>
          <w:b/>
          <w:bCs/>
        </w:rPr>
        <w:br w:type="page"/>
      </w:r>
    </w:p>
    <w:p w:rsidR="00D95367" w:rsidRPr="000C1B36" w:rsidRDefault="00D95367" w:rsidP="00D95367">
      <w:pPr>
        <w:pStyle w:val="xl19"/>
        <w:tabs>
          <w:tab w:val="left" w:pos="3420"/>
          <w:tab w:val="right" w:pos="8640"/>
        </w:tabs>
        <w:outlineLvl w:val="0"/>
        <w:rPr>
          <w:b/>
          <w:bCs/>
        </w:rPr>
      </w:pPr>
      <w:r w:rsidRPr="00426C49">
        <w:rPr>
          <w:b/>
          <w:bCs/>
        </w:rPr>
        <w:lastRenderedPageBreak/>
        <w:t>Item Name:</w:t>
      </w:r>
      <w:r>
        <w:rPr>
          <w:b/>
          <w:bCs/>
        </w:rPr>
        <w:tab/>
        <w:t>Relocation Program Reduction</w:t>
      </w:r>
      <w:r w:rsidRPr="00426C49">
        <w:rPr>
          <w:b/>
          <w:bCs/>
        </w:rPr>
        <w:tab/>
      </w:r>
    </w:p>
    <w:p w:rsidR="00934C9B" w:rsidRPr="000C1B36" w:rsidRDefault="00D95367" w:rsidP="00C70BF1">
      <w:pPr>
        <w:pStyle w:val="xl19"/>
        <w:tabs>
          <w:tab w:val="left" w:pos="3420"/>
          <w:tab w:val="right" w:pos="8640"/>
        </w:tabs>
        <w:rPr>
          <w:b/>
          <w:bCs/>
        </w:rPr>
      </w:pPr>
      <w:r w:rsidRPr="00426C49">
        <w:t xml:space="preserve">                                     </w:t>
      </w:r>
      <w:r w:rsidR="00934C9B" w:rsidRPr="00426C49">
        <w:rPr>
          <w:b/>
          <w:bCs/>
        </w:rPr>
        <w:tab/>
      </w:r>
    </w:p>
    <w:p w:rsidR="00934C9B" w:rsidRPr="00C16770" w:rsidRDefault="00934C9B" w:rsidP="00C70BF1">
      <w:pPr>
        <w:pStyle w:val="xl19"/>
        <w:tabs>
          <w:tab w:val="left" w:pos="3420"/>
          <w:tab w:val="right" w:pos="8640"/>
        </w:tabs>
      </w:pPr>
      <w:r w:rsidRPr="00C16770">
        <w:rPr>
          <w:bCs/>
        </w:rPr>
        <w:t>Budget Decision Unit(s):</w:t>
      </w:r>
      <w:r w:rsidRPr="00C16770">
        <w:t xml:space="preserve"> </w:t>
      </w:r>
      <w:r w:rsidRPr="00C16770">
        <w:tab/>
      </w:r>
      <w:r>
        <w:t>Bureau-wide</w:t>
      </w:r>
    </w:p>
    <w:p w:rsidR="00934C9B" w:rsidRPr="00C16770" w:rsidRDefault="00934C9B" w:rsidP="00934C9B">
      <w:pPr>
        <w:pStyle w:val="xl19"/>
        <w:tabs>
          <w:tab w:val="left" w:pos="3420"/>
          <w:tab w:val="right" w:pos="8640"/>
        </w:tabs>
      </w:pPr>
      <w:r w:rsidRPr="00C16770">
        <w:tab/>
        <w:t xml:space="preserve">                                                     </w:t>
      </w:r>
    </w:p>
    <w:p w:rsidR="00934C9B" w:rsidRPr="00C16770" w:rsidRDefault="00934C9B" w:rsidP="00934C9B">
      <w:pPr>
        <w:pStyle w:val="xl19"/>
        <w:tabs>
          <w:tab w:val="left" w:pos="3420"/>
          <w:tab w:val="right" w:pos="8640"/>
        </w:tabs>
        <w:ind w:left="3420" w:hanging="3420"/>
      </w:pPr>
      <w:r w:rsidRPr="00C16770">
        <w:rPr>
          <w:bCs/>
        </w:rPr>
        <w:t>Strategic Goal(s) &amp; Objective(s):</w:t>
      </w:r>
      <w:r w:rsidRPr="00C16770">
        <w:t xml:space="preserve"> </w:t>
      </w:r>
      <w:r w:rsidRPr="00C16770">
        <w:tab/>
        <w:t xml:space="preserve">Strategic Goal 1: Prevent Terrorism and Promote the Nation’s Security, Objectives 1.1 and 1.2; </w:t>
      </w:r>
      <w:r w:rsidRPr="00C16770">
        <w:tab/>
      </w:r>
    </w:p>
    <w:p w:rsidR="00934C9B" w:rsidRPr="00C16770" w:rsidRDefault="00934C9B" w:rsidP="00934C9B">
      <w:pPr>
        <w:pStyle w:val="xl19"/>
        <w:tabs>
          <w:tab w:val="left" w:pos="3420"/>
          <w:tab w:val="right" w:pos="8640"/>
        </w:tabs>
        <w:ind w:left="3420" w:hanging="3420"/>
      </w:pPr>
    </w:p>
    <w:p w:rsidR="00934C9B" w:rsidRPr="00C16770" w:rsidRDefault="00934C9B" w:rsidP="00934C9B">
      <w:pPr>
        <w:pStyle w:val="xl19"/>
        <w:tabs>
          <w:tab w:val="left" w:pos="3420"/>
          <w:tab w:val="right" w:pos="8640"/>
        </w:tabs>
        <w:ind w:left="3420"/>
      </w:pPr>
      <w:r w:rsidRPr="00C16770">
        <w:t>Strategic Goal 2: Prevent Crime, Enforce Federal Laws, and Represent the Rights and Interests of the American People, Objectives 2.1, 2.2</w:t>
      </w:r>
    </w:p>
    <w:p w:rsidR="00934C9B" w:rsidRPr="00C16770" w:rsidRDefault="00934C9B" w:rsidP="00934C9B">
      <w:pPr>
        <w:pStyle w:val="xl19"/>
        <w:tabs>
          <w:tab w:val="left" w:pos="3420"/>
          <w:tab w:val="right" w:pos="8640"/>
        </w:tabs>
      </w:pPr>
    </w:p>
    <w:p w:rsidR="00934C9B" w:rsidRPr="00C16770" w:rsidRDefault="00934C9B" w:rsidP="00934C9B">
      <w:pPr>
        <w:pStyle w:val="xl19"/>
        <w:tabs>
          <w:tab w:val="left" w:pos="3420"/>
          <w:tab w:val="right" w:pos="8640"/>
        </w:tabs>
      </w:pPr>
      <w:r w:rsidRPr="00C16770">
        <w:rPr>
          <w:bCs/>
        </w:rPr>
        <w:t>Organizational Program</w:t>
      </w:r>
      <w:r w:rsidRPr="00C16770">
        <w:t>:</w:t>
      </w:r>
      <w:r w:rsidRPr="00C16770">
        <w:tab/>
      </w:r>
      <w:r>
        <w:t>Bureau-wide</w:t>
      </w:r>
    </w:p>
    <w:p w:rsidR="00934C9B" w:rsidRPr="00C16770" w:rsidRDefault="00934C9B" w:rsidP="00934C9B">
      <w:pPr>
        <w:pStyle w:val="xl19"/>
        <w:tabs>
          <w:tab w:val="left" w:pos="3420"/>
          <w:tab w:val="right" w:pos="8640"/>
        </w:tabs>
      </w:pPr>
      <w:r w:rsidRPr="00C16770">
        <w:tab/>
      </w:r>
    </w:p>
    <w:p w:rsidR="00934C9B" w:rsidRPr="00C16770" w:rsidRDefault="00934C9B" w:rsidP="00934C9B">
      <w:pPr>
        <w:pStyle w:val="xl19"/>
        <w:tabs>
          <w:tab w:val="left" w:pos="3420"/>
          <w:tab w:val="right" w:pos="8640"/>
        </w:tabs>
      </w:pPr>
      <w:r w:rsidRPr="00C16770">
        <w:t>Component Ranking of Item:</w:t>
      </w:r>
      <w:r w:rsidRPr="00C16770">
        <w:tab/>
        <w:t xml:space="preserve">Item </w:t>
      </w:r>
      <w:r>
        <w:t>2</w:t>
      </w:r>
      <w:r w:rsidRPr="00C16770">
        <w:t xml:space="preserve"> of </w:t>
      </w:r>
      <w:r>
        <w:t>8</w:t>
      </w:r>
    </w:p>
    <w:p w:rsidR="00934C9B" w:rsidRPr="00C16770" w:rsidRDefault="00934C9B" w:rsidP="00934C9B">
      <w:pPr>
        <w:pStyle w:val="xl19"/>
        <w:tabs>
          <w:tab w:val="left" w:pos="3420"/>
          <w:tab w:val="right" w:pos="8640"/>
        </w:tabs>
        <w:rPr>
          <w:u w:val="single"/>
        </w:rPr>
      </w:pPr>
    </w:p>
    <w:p w:rsidR="00934C9B" w:rsidRPr="00CA4EC0" w:rsidRDefault="00934C9B" w:rsidP="00934C9B">
      <w:pPr>
        <w:pStyle w:val="xl19"/>
        <w:tabs>
          <w:tab w:val="left" w:pos="2340"/>
          <w:tab w:val="right" w:pos="3060"/>
          <w:tab w:val="left" w:pos="3420"/>
          <w:tab w:val="right" w:pos="4500"/>
          <w:tab w:val="left" w:pos="5310"/>
          <w:tab w:val="right" w:pos="6300"/>
        </w:tabs>
      </w:pPr>
      <w:r w:rsidRPr="00C16770">
        <w:rPr>
          <w:bCs/>
        </w:rPr>
        <w:t>Program Increase</w:t>
      </w:r>
      <w:r w:rsidRPr="00C16770">
        <w:t>:</w:t>
      </w:r>
      <w:r w:rsidRPr="00426C49">
        <w:rPr>
          <w:b/>
        </w:rPr>
        <w:t xml:space="preserve"> </w:t>
      </w:r>
      <w:r w:rsidRPr="00426C49">
        <w:t xml:space="preserve"> </w:t>
      </w:r>
      <w:r w:rsidR="00C70BF1">
        <w:tab/>
      </w:r>
      <w:r w:rsidR="00C70BF1">
        <w:tab/>
      </w:r>
      <w:r w:rsidR="00C70BF1">
        <w:tab/>
      </w:r>
      <w:r w:rsidRPr="00426C49">
        <w:t xml:space="preserve">Positions: </w:t>
      </w:r>
      <w:r w:rsidRPr="00426C49">
        <w:rPr>
          <w:u w:val="single"/>
        </w:rPr>
        <w:t xml:space="preserve"> </w:t>
      </w:r>
      <w:r>
        <w:rPr>
          <w:u w:val="single"/>
        </w:rPr>
        <w:t>0</w:t>
      </w:r>
      <w:r w:rsidRPr="00426C49">
        <w:t xml:space="preserve">   Agent: </w:t>
      </w:r>
      <w:r w:rsidRPr="00426C49">
        <w:rPr>
          <w:u w:val="single"/>
        </w:rPr>
        <w:t xml:space="preserve"> </w:t>
      </w:r>
      <w:r>
        <w:rPr>
          <w:u w:val="single"/>
        </w:rPr>
        <w:t>0</w:t>
      </w:r>
      <w:r w:rsidRPr="00426C49">
        <w:rPr>
          <w:u w:val="single"/>
        </w:rPr>
        <w:t xml:space="preserve"> </w:t>
      </w:r>
      <w:r w:rsidRPr="00426C49">
        <w:t xml:space="preserve">  FTE: </w:t>
      </w:r>
      <w:r w:rsidRPr="00426C49">
        <w:rPr>
          <w:u w:val="single"/>
        </w:rPr>
        <w:t xml:space="preserve"> </w:t>
      </w:r>
      <w:r>
        <w:rPr>
          <w:u w:val="single"/>
        </w:rPr>
        <w:t>0</w:t>
      </w:r>
      <w:r w:rsidRPr="00426C49">
        <w:t xml:space="preserve">  </w:t>
      </w:r>
      <w:r>
        <w:t xml:space="preserve"> </w:t>
      </w:r>
      <w:r w:rsidRPr="00426C49">
        <w:t>Dollars</w:t>
      </w:r>
      <w:r>
        <w:t xml:space="preserve"> </w:t>
      </w:r>
      <w:r w:rsidRPr="00AB5EEA">
        <w:rPr>
          <w:u w:val="single"/>
        </w:rPr>
        <w:t>($8,692,</w:t>
      </w:r>
      <w:r w:rsidR="00A01139">
        <w:rPr>
          <w:u w:val="single"/>
        </w:rPr>
        <w:t>000</w:t>
      </w:r>
      <w:r w:rsidRPr="00AB5EEA">
        <w:rPr>
          <w:u w:val="single"/>
        </w:rPr>
        <w:t>)</w:t>
      </w:r>
      <w:r w:rsidRPr="00426C49">
        <w:t xml:space="preserve"> </w:t>
      </w:r>
    </w:p>
    <w:p w:rsidR="00934C9B" w:rsidRPr="00426C49" w:rsidRDefault="00934C9B" w:rsidP="00934C9B">
      <w:pPr>
        <w:pStyle w:val="xl19"/>
        <w:tabs>
          <w:tab w:val="left" w:pos="2340"/>
          <w:tab w:val="right" w:pos="3060"/>
          <w:tab w:val="left" w:pos="3420"/>
          <w:tab w:val="right" w:pos="4500"/>
          <w:tab w:val="left" w:pos="5310"/>
          <w:tab w:val="right" w:pos="6300"/>
        </w:tabs>
      </w:pPr>
      <w:r w:rsidRPr="00426C49">
        <w:rPr>
          <w:bCs/>
        </w:rPr>
        <w:t xml:space="preserve">                          </w:t>
      </w:r>
    </w:p>
    <w:p w:rsidR="00934C9B" w:rsidRPr="003307E1" w:rsidRDefault="00934C9B" w:rsidP="00934C9B">
      <w:pPr>
        <w:pStyle w:val="Header"/>
        <w:outlineLvl w:val="0"/>
        <w:rPr>
          <w:bCs/>
          <w:u w:val="single"/>
        </w:rPr>
      </w:pPr>
      <w:r w:rsidRPr="003307E1">
        <w:rPr>
          <w:bCs/>
          <w:u w:val="single"/>
        </w:rPr>
        <w:t>Description of Item</w:t>
      </w:r>
    </w:p>
    <w:p w:rsidR="00934C9B" w:rsidRDefault="00934C9B" w:rsidP="00934C9B">
      <w:pPr>
        <w:rPr>
          <w:bCs/>
          <w:u w:val="single"/>
        </w:rPr>
      </w:pPr>
    </w:p>
    <w:p w:rsidR="00934C9B" w:rsidRPr="00AB5EEA" w:rsidRDefault="00FA459E" w:rsidP="00934C9B">
      <w:pPr>
        <w:rPr>
          <w:bCs/>
        </w:rPr>
      </w:pPr>
      <w:r w:rsidRPr="00AB5EEA">
        <w:rPr>
          <w:bCs/>
        </w:rPr>
        <w:t>Th</w:t>
      </w:r>
      <w:r>
        <w:rPr>
          <w:bCs/>
        </w:rPr>
        <w:t>e</w:t>
      </w:r>
      <w:r w:rsidRPr="00AB5EEA">
        <w:rPr>
          <w:bCs/>
        </w:rPr>
        <w:t xml:space="preserve"> </w:t>
      </w:r>
      <w:r w:rsidR="00934C9B" w:rsidRPr="00AB5EEA">
        <w:rPr>
          <w:bCs/>
        </w:rPr>
        <w:t xml:space="preserve">budget reflects </w:t>
      </w:r>
      <w:r w:rsidR="00934C9B">
        <w:rPr>
          <w:bCs/>
        </w:rPr>
        <w:t>an offset</w:t>
      </w:r>
      <w:r w:rsidR="00934C9B" w:rsidRPr="00AB5EEA">
        <w:rPr>
          <w:bCs/>
        </w:rPr>
        <w:t xml:space="preserve"> for </w:t>
      </w:r>
      <w:r>
        <w:rPr>
          <w:bCs/>
        </w:rPr>
        <w:t xml:space="preserve">a reduction in expenses for the </w:t>
      </w:r>
      <w:r w:rsidR="00934C9B" w:rsidRPr="00AB5EEA">
        <w:rPr>
          <w:bCs/>
        </w:rPr>
        <w:t>Relocation Program Reduction</w:t>
      </w:r>
      <w:r w:rsidR="00891A64">
        <w:rPr>
          <w:bCs/>
        </w:rPr>
        <w:t xml:space="preserve"> </w:t>
      </w:r>
      <w:r w:rsidR="00934C9B" w:rsidRPr="00AB5EEA">
        <w:rPr>
          <w:bCs/>
        </w:rPr>
        <w:t>P</w:t>
      </w:r>
      <w:r w:rsidR="00934C9B">
        <w:rPr>
          <w:bCs/>
        </w:rPr>
        <w:t>ermanent Change of Station (P</w:t>
      </w:r>
      <w:r w:rsidR="00934C9B" w:rsidRPr="00AB5EEA">
        <w:rPr>
          <w:bCs/>
        </w:rPr>
        <w:t>CS</w:t>
      </w:r>
      <w:r w:rsidR="00934C9B">
        <w:rPr>
          <w:bCs/>
        </w:rPr>
        <w:t>)</w:t>
      </w:r>
      <w:r w:rsidR="00934C9B" w:rsidRPr="00AB5EEA">
        <w:rPr>
          <w:bCs/>
        </w:rPr>
        <w:t xml:space="preserve"> moves</w:t>
      </w:r>
      <w:r w:rsidR="00934C9B">
        <w:rPr>
          <w:bCs/>
        </w:rPr>
        <w:t>.</w:t>
      </w:r>
      <w:r w:rsidR="00F4749C">
        <w:rPr>
          <w:bCs/>
        </w:rPr>
        <w:t xml:space="preserve">  PCS</w:t>
      </w:r>
      <w:r w:rsidR="008D12D2">
        <w:rPr>
          <w:bCs/>
        </w:rPr>
        <w:t xml:space="preserve"> is the official move of a</w:t>
      </w:r>
      <w:r w:rsidR="00104151">
        <w:rPr>
          <w:bCs/>
        </w:rPr>
        <w:t>n</w:t>
      </w:r>
      <w:r w:rsidR="008D12D2">
        <w:rPr>
          <w:bCs/>
        </w:rPr>
        <w:t xml:space="preserve"> </w:t>
      </w:r>
      <w:r w:rsidR="00104151">
        <w:rPr>
          <w:bCs/>
        </w:rPr>
        <w:t xml:space="preserve">individual </w:t>
      </w:r>
      <w:r w:rsidR="008D12D2">
        <w:rPr>
          <w:bCs/>
        </w:rPr>
        <w:t>to fill agent and IOI vacancies.</w:t>
      </w:r>
      <w:r w:rsidR="00F4749C">
        <w:rPr>
          <w:bCs/>
        </w:rPr>
        <w:t xml:space="preserve"> </w:t>
      </w:r>
    </w:p>
    <w:p w:rsidR="00934C9B" w:rsidRDefault="00934C9B" w:rsidP="00934C9B">
      <w:pPr>
        <w:jc w:val="center"/>
        <w:rPr>
          <w:b/>
        </w:rPr>
      </w:pPr>
    </w:p>
    <w:p w:rsidR="00934C9B" w:rsidRPr="004E1020" w:rsidRDefault="00934C9B" w:rsidP="00934C9B">
      <w:pPr>
        <w:pStyle w:val="Header"/>
        <w:outlineLvl w:val="0"/>
        <w:rPr>
          <w:bCs/>
          <w:u w:val="single"/>
        </w:rPr>
      </w:pPr>
      <w:r w:rsidRPr="004E1020">
        <w:rPr>
          <w:bCs/>
          <w:u w:val="single"/>
        </w:rPr>
        <w:t>Justification</w:t>
      </w:r>
    </w:p>
    <w:p w:rsidR="00934C9B" w:rsidRDefault="00934C9B" w:rsidP="00934C9B">
      <w:pPr>
        <w:pStyle w:val="Header"/>
        <w:outlineLvl w:val="0"/>
        <w:rPr>
          <w:bCs/>
        </w:rPr>
      </w:pPr>
    </w:p>
    <w:p w:rsidR="00934C9B" w:rsidRDefault="00FA459E" w:rsidP="00934C9B">
      <w:pPr>
        <w:pStyle w:val="Header"/>
        <w:outlineLvl w:val="0"/>
        <w:rPr>
          <w:bCs/>
        </w:rPr>
      </w:pPr>
      <w:r>
        <w:rPr>
          <w:bCs/>
        </w:rPr>
        <w:t>The Department</w:t>
      </w:r>
      <w:r w:rsidR="00934C9B">
        <w:rPr>
          <w:bCs/>
        </w:rPr>
        <w:t xml:space="preserve"> has identified efficiencies and cost savings associated with ATF’s Relocation Program (PCS moves).  </w:t>
      </w:r>
    </w:p>
    <w:p w:rsidR="00934C9B" w:rsidRDefault="00934C9B" w:rsidP="00934C9B">
      <w:pPr>
        <w:pStyle w:val="Header"/>
        <w:outlineLvl w:val="0"/>
      </w:pPr>
    </w:p>
    <w:p w:rsidR="00934C9B" w:rsidRDefault="00934C9B" w:rsidP="00934C9B">
      <w:pPr>
        <w:pStyle w:val="Header"/>
        <w:outlineLvl w:val="0"/>
        <w:rPr>
          <w:bCs/>
          <w:u w:val="single"/>
        </w:rPr>
      </w:pPr>
      <w:r w:rsidRPr="004E1020">
        <w:rPr>
          <w:bCs/>
          <w:u w:val="single"/>
        </w:rPr>
        <w:t>Impact on Performance (Relationship of Increase to Strategic Goals)</w:t>
      </w:r>
    </w:p>
    <w:p w:rsidR="00934C9B" w:rsidRDefault="00934C9B" w:rsidP="00934C9B">
      <w:pPr>
        <w:pStyle w:val="Header"/>
        <w:outlineLvl w:val="0"/>
        <w:rPr>
          <w:bCs/>
          <w:u w:val="single"/>
        </w:rPr>
      </w:pPr>
    </w:p>
    <w:p w:rsidR="003C2B91" w:rsidRPr="00735773" w:rsidRDefault="00FA459E" w:rsidP="00735773">
      <w:pPr>
        <w:pStyle w:val="Header"/>
        <w:outlineLvl w:val="0"/>
        <w:rPr>
          <w:bCs/>
        </w:rPr>
      </w:pPr>
      <w:r>
        <w:rPr>
          <w:bCs/>
        </w:rPr>
        <w:t>A more constrained budget for PCS moves will require a more limited and more focused use of this authority.</w:t>
      </w:r>
      <w:r w:rsidR="003C2B91" w:rsidRPr="00735773">
        <w:rPr>
          <w:bCs/>
        </w:rPr>
        <w:t>   </w:t>
      </w:r>
    </w:p>
    <w:p w:rsidR="00934C9B" w:rsidRPr="004E1020" w:rsidRDefault="00934C9B" w:rsidP="00934C9B">
      <w:pPr>
        <w:pStyle w:val="Header"/>
        <w:outlineLvl w:val="0"/>
        <w:rPr>
          <w:bCs/>
          <w:u w:val="single"/>
        </w:rPr>
      </w:pPr>
    </w:p>
    <w:p w:rsidR="00934C9B" w:rsidRPr="004E1020" w:rsidRDefault="00934C9B" w:rsidP="00934C9B">
      <w:pPr>
        <w:pStyle w:val="Header"/>
        <w:outlineLvl w:val="0"/>
        <w:rPr>
          <w:bCs/>
        </w:rPr>
      </w:pPr>
    </w:p>
    <w:p w:rsidR="00934C9B" w:rsidRPr="00F172BE" w:rsidRDefault="00934C9B" w:rsidP="00934C9B">
      <w:pPr>
        <w:jc w:val="center"/>
        <w:rPr>
          <w:b/>
        </w:rPr>
      </w:pPr>
      <w:r w:rsidRPr="006B1E04">
        <w:br w:type="page"/>
      </w:r>
      <w:r w:rsidRPr="00F172BE">
        <w:rPr>
          <w:b/>
        </w:rPr>
        <w:lastRenderedPageBreak/>
        <w:t>Funding</w:t>
      </w:r>
    </w:p>
    <w:p w:rsidR="00934C9B" w:rsidRDefault="00934C9B" w:rsidP="00934C9B"/>
    <w:p w:rsidR="00934C9B" w:rsidRPr="00426C49" w:rsidRDefault="00934C9B" w:rsidP="00934C9B">
      <w:pPr>
        <w:pStyle w:val="Header"/>
        <w:tabs>
          <w:tab w:val="left" w:pos="1440"/>
          <w:tab w:val="left" w:pos="1980"/>
          <w:tab w:val="right" w:pos="9360"/>
        </w:tabs>
        <w:outlineLvl w:val="0"/>
        <w:rPr>
          <w:u w:val="single"/>
        </w:rPr>
      </w:pPr>
      <w:r w:rsidRPr="00426C49">
        <w:rPr>
          <w:u w:val="single"/>
        </w:rPr>
        <w:t>Base Funding</w:t>
      </w:r>
    </w:p>
    <w:p w:rsidR="00934C9B" w:rsidRDefault="00934C9B" w:rsidP="00934C9B">
      <w:pPr>
        <w:pStyle w:val="Header"/>
        <w:tabs>
          <w:tab w:val="left" w:pos="1440"/>
          <w:tab w:val="left" w:pos="1980"/>
          <w:tab w:val="right" w:pos="9360"/>
        </w:tabs>
        <w:rPr>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763"/>
        <w:gridCol w:w="1395"/>
        <w:gridCol w:w="603"/>
        <w:gridCol w:w="607"/>
        <w:gridCol w:w="672"/>
        <w:gridCol w:w="1358"/>
        <w:gridCol w:w="590"/>
        <w:gridCol w:w="607"/>
        <w:gridCol w:w="672"/>
        <w:gridCol w:w="1000"/>
      </w:tblGrid>
      <w:tr w:rsidR="00934C9B" w:rsidRPr="00CC5993" w:rsidTr="00934C9B">
        <w:tc>
          <w:tcPr>
            <w:tcW w:w="3359" w:type="dxa"/>
            <w:gridSpan w:val="4"/>
            <w:shd w:val="clear" w:color="auto" w:fill="E6E6E6"/>
          </w:tcPr>
          <w:p w:rsidR="00934C9B" w:rsidRPr="001E1CC3" w:rsidRDefault="00934C9B" w:rsidP="00934C9B">
            <w:pPr>
              <w:pStyle w:val="Heading7"/>
              <w:rPr>
                <w:b w:val="0"/>
                <w:szCs w:val="24"/>
              </w:rPr>
            </w:pPr>
            <w:r w:rsidRPr="001E1CC3">
              <w:rPr>
                <w:b w:val="0"/>
                <w:szCs w:val="24"/>
              </w:rPr>
              <w:t>FY 20</w:t>
            </w:r>
            <w:r>
              <w:rPr>
                <w:b w:val="0"/>
                <w:szCs w:val="24"/>
              </w:rPr>
              <w:t>10</w:t>
            </w:r>
            <w:r w:rsidRPr="001E1CC3">
              <w:rPr>
                <w:b w:val="0"/>
                <w:szCs w:val="24"/>
              </w:rPr>
              <w:t xml:space="preserve"> Enacted </w:t>
            </w:r>
          </w:p>
        </w:tc>
        <w:tc>
          <w:tcPr>
            <w:tcW w:w="3240" w:type="dxa"/>
            <w:gridSpan w:val="4"/>
            <w:shd w:val="clear" w:color="auto" w:fill="E6E6E6"/>
          </w:tcPr>
          <w:p w:rsidR="00934C9B" w:rsidRPr="001E1CC3" w:rsidRDefault="00934C9B" w:rsidP="00934C9B">
            <w:pPr>
              <w:pStyle w:val="Heading7"/>
              <w:rPr>
                <w:b w:val="0"/>
                <w:szCs w:val="24"/>
              </w:rPr>
            </w:pPr>
            <w:r w:rsidRPr="001E1CC3">
              <w:rPr>
                <w:b w:val="0"/>
                <w:szCs w:val="24"/>
              </w:rPr>
              <w:t>FY 201</w:t>
            </w:r>
            <w:r>
              <w:rPr>
                <w:b w:val="0"/>
                <w:szCs w:val="24"/>
              </w:rPr>
              <w:t>1</w:t>
            </w:r>
            <w:r w:rsidRPr="001E1CC3">
              <w:rPr>
                <w:b w:val="0"/>
                <w:szCs w:val="24"/>
              </w:rPr>
              <w:t xml:space="preserve"> </w:t>
            </w:r>
            <w:r>
              <w:rPr>
                <w:b w:val="0"/>
                <w:szCs w:val="24"/>
              </w:rPr>
              <w:t>Enacted</w:t>
            </w:r>
          </w:p>
        </w:tc>
        <w:tc>
          <w:tcPr>
            <w:tcW w:w="2869" w:type="dxa"/>
            <w:gridSpan w:val="4"/>
            <w:shd w:val="clear" w:color="auto" w:fill="E6E6E6"/>
          </w:tcPr>
          <w:p w:rsidR="00934C9B" w:rsidRPr="001E1CC3" w:rsidRDefault="00934C9B" w:rsidP="00934C9B">
            <w:pPr>
              <w:pStyle w:val="Heading7"/>
              <w:rPr>
                <w:b w:val="0"/>
                <w:szCs w:val="24"/>
              </w:rPr>
            </w:pPr>
            <w:r w:rsidRPr="001E1CC3">
              <w:rPr>
                <w:b w:val="0"/>
                <w:szCs w:val="24"/>
              </w:rPr>
              <w:t>FY 201</w:t>
            </w:r>
            <w:r>
              <w:rPr>
                <w:b w:val="0"/>
                <w:szCs w:val="24"/>
              </w:rPr>
              <w:t>2</w:t>
            </w:r>
            <w:r w:rsidRPr="001E1CC3">
              <w:rPr>
                <w:b w:val="0"/>
                <w:szCs w:val="24"/>
              </w:rPr>
              <w:t xml:space="preserve"> Current Services</w:t>
            </w:r>
          </w:p>
        </w:tc>
      </w:tr>
      <w:tr w:rsidR="00934C9B" w:rsidRPr="00CC5993" w:rsidTr="00934C9B">
        <w:trPr>
          <w:trHeight w:val="170"/>
        </w:trPr>
        <w:tc>
          <w:tcPr>
            <w:tcW w:w="594" w:type="dxa"/>
          </w:tcPr>
          <w:p w:rsidR="00934C9B" w:rsidRPr="00CC5993" w:rsidRDefault="00934C9B" w:rsidP="00934C9B">
            <w:pPr>
              <w:pStyle w:val="xl24"/>
              <w:spacing w:before="0" w:after="0"/>
              <w:jc w:val="center"/>
            </w:pPr>
            <w:r w:rsidRPr="00CC5993">
              <w:t>Pos</w:t>
            </w:r>
          </w:p>
        </w:tc>
        <w:tc>
          <w:tcPr>
            <w:tcW w:w="607" w:type="dxa"/>
          </w:tcPr>
          <w:p w:rsidR="00934C9B" w:rsidRPr="00CC5993" w:rsidRDefault="00934C9B" w:rsidP="00934C9B">
            <w:pPr>
              <w:pStyle w:val="xl24"/>
              <w:spacing w:before="0" w:after="0"/>
              <w:jc w:val="center"/>
            </w:pPr>
            <w:proofErr w:type="spellStart"/>
            <w:r w:rsidRPr="00CC5993">
              <w:t>Agt</w:t>
            </w:r>
            <w:proofErr w:type="spellEnd"/>
          </w:p>
        </w:tc>
        <w:tc>
          <w:tcPr>
            <w:tcW w:w="763" w:type="dxa"/>
          </w:tcPr>
          <w:p w:rsidR="00934C9B" w:rsidRPr="00CC5993" w:rsidRDefault="00934C9B" w:rsidP="00934C9B">
            <w:pPr>
              <w:pStyle w:val="xl24"/>
              <w:spacing w:before="0" w:after="0"/>
              <w:jc w:val="center"/>
            </w:pPr>
            <w:r w:rsidRPr="00CC5993">
              <w:t>FTE</w:t>
            </w:r>
          </w:p>
        </w:tc>
        <w:tc>
          <w:tcPr>
            <w:tcW w:w="1395" w:type="dxa"/>
          </w:tcPr>
          <w:p w:rsidR="00934C9B" w:rsidRPr="00CC5993" w:rsidRDefault="00934C9B" w:rsidP="00934C9B">
            <w:pPr>
              <w:pStyle w:val="xl24"/>
              <w:spacing w:before="0" w:after="0"/>
              <w:jc w:val="center"/>
            </w:pPr>
            <w:r w:rsidRPr="00CC5993">
              <w:t>$(000)</w:t>
            </w:r>
          </w:p>
        </w:tc>
        <w:tc>
          <w:tcPr>
            <w:tcW w:w="603" w:type="dxa"/>
          </w:tcPr>
          <w:p w:rsidR="00934C9B" w:rsidRPr="00CC5993" w:rsidRDefault="00934C9B" w:rsidP="00934C9B">
            <w:pPr>
              <w:pStyle w:val="xl24"/>
              <w:spacing w:before="0" w:after="0"/>
              <w:jc w:val="center"/>
            </w:pPr>
            <w:r w:rsidRPr="00CC5993">
              <w:t>Pos</w:t>
            </w:r>
          </w:p>
        </w:tc>
        <w:tc>
          <w:tcPr>
            <w:tcW w:w="607" w:type="dxa"/>
          </w:tcPr>
          <w:p w:rsidR="00934C9B" w:rsidRPr="00CC5993" w:rsidRDefault="00934C9B" w:rsidP="00934C9B">
            <w:pPr>
              <w:pStyle w:val="xl24"/>
              <w:spacing w:before="0" w:after="0"/>
              <w:jc w:val="center"/>
            </w:pPr>
            <w:proofErr w:type="spellStart"/>
            <w:r w:rsidRPr="00CC5993">
              <w:t>Agt</w:t>
            </w:r>
            <w:proofErr w:type="spellEnd"/>
          </w:p>
        </w:tc>
        <w:tc>
          <w:tcPr>
            <w:tcW w:w="672" w:type="dxa"/>
          </w:tcPr>
          <w:p w:rsidR="00934C9B" w:rsidRPr="00CC5993" w:rsidRDefault="00934C9B" w:rsidP="00934C9B">
            <w:pPr>
              <w:pStyle w:val="xl24"/>
              <w:spacing w:before="0" w:after="0"/>
              <w:jc w:val="center"/>
            </w:pPr>
            <w:r w:rsidRPr="00CC5993">
              <w:t>FTE</w:t>
            </w:r>
          </w:p>
        </w:tc>
        <w:tc>
          <w:tcPr>
            <w:tcW w:w="1358" w:type="dxa"/>
          </w:tcPr>
          <w:p w:rsidR="00934C9B" w:rsidRPr="00CC5993" w:rsidRDefault="00934C9B" w:rsidP="00934C9B">
            <w:pPr>
              <w:pStyle w:val="xl24"/>
              <w:spacing w:before="0" w:after="0"/>
              <w:jc w:val="center"/>
            </w:pPr>
            <w:r w:rsidRPr="00CC5993">
              <w:t>$(000)</w:t>
            </w:r>
          </w:p>
        </w:tc>
        <w:tc>
          <w:tcPr>
            <w:tcW w:w="590" w:type="dxa"/>
          </w:tcPr>
          <w:p w:rsidR="00934C9B" w:rsidRPr="00CC5993" w:rsidRDefault="00934C9B" w:rsidP="00934C9B">
            <w:pPr>
              <w:pStyle w:val="xl24"/>
              <w:spacing w:before="0" w:after="0"/>
              <w:jc w:val="center"/>
            </w:pPr>
            <w:r w:rsidRPr="00CC5993">
              <w:t>Pos</w:t>
            </w:r>
          </w:p>
        </w:tc>
        <w:tc>
          <w:tcPr>
            <w:tcW w:w="607" w:type="dxa"/>
          </w:tcPr>
          <w:p w:rsidR="00934C9B" w:rsidRPr="00CC5993" w:rsidRDefault="00934C9B" w:rsidP="00934C9B">
            <w:pPr>
              <w:pStyle w:val="xl24"/>
              <w:spacing w:before="0" w:after="0"/>
              <w:jc w:val="center"/>
            </w:pPr>
            <w:proofErr w:type="spellStart"/>
            <w:r w:rsidRPr="00CC5993">
              <w:t>Agt</w:t>
            </w:r>
            <w:proofErr w:type="spellEnd"/>
          </w:p>
        </w:tc>
        <w:tc>
          <w:tcPr>
            <w:tcW w:w="672" w:type="dxa"/>
          </w:tcPr>
          <w:p w:rsidR="00934C9B" w:rsidRPr="00CC5993" w:rsidRDefault="00934C9B" w:rsidP="00934C9B">
            <w:pPr>
              <w:pStyle w:val="xl24"/>
              <w:spacing w:before="0" w:after="0"/>
              <w:jc w:val="center"/>
            </w:pPr>
            <w:r w:rsidRPr="00CC5993">
              <w:t>FTE</w:t>
            </w:r>
          </w:p>
        </w:tc>
        <w:tc>
          <w:tcPr>
            <w:tcW w:w="1000" w:type="dxa"/>
          </w:tcPr>
          <w:p w:rsidR="00934C9B" w:rsidRPr="00CC5993" w:rsidRDefault="00934C9B" w:rsidP="00934C9B">
            <w:pPr>
              <w:pStyle w:val="xl24"/>
              <w:spacing w:before="0" w:after="0"/>
              <w:jc w:val="center"/>
            </w:pPr>
            <w:r w:rsidRPr="00CC5993">
              <w:t>$(000)</w:t>
            </w:r>
          </w:p>
        </w:tc>
      </w:tr>
      <w:tr w:rsidR="00934C9B" w:rsidRPr="00CC5993" w:rsidTr="00934C9B">
        <w:tc>
          <w:tcPr>
            <w:tcW w:w="594" w:type="dxa"/>
          </w:tcPr>
          <w:p w:rsidR="00934C9B" w:rsidRPr="002C1FDD" w:rsidRDefault="00934C9B" w:rsidP="00934C9B">
            <w:pPr>
              <w:pStyle w:val="xl24"/>
              <w:spacing w:before="0" w:after="0"/>
              <w:jc w:val="right"/>
            </w:pPr>
            <w:r w:rsidRPr="002C1FDD">
              <w:t>0</w:t>
            </w:r>
          </w:p>
        </w:tc>
        <w:tc>
          <w:tcPr>
            <w:tcW w:w="607" w:type="dxa"/>
          </w:tcPr>
          <w:p w:rsidR="00934C9B" w:rsidRPr="002C1FDD" w:rsidRDefault="00934C9B" w:rsidP="00934C9B">
            <w:pPr>
              <w:pStyle w:val="xl24"/>
              <w:spacing w:before="0" w:after="0"/>
              <w:jc w:val="right"/>
            </w:pPr>
            <w:r w:rsidRPr="002C1FDD">
              <w:t>0</w:t>
            </w:r>
          </w:p>
        </w:tc>
        <w:tc>
          <w:tcPr>
            <w:tcW w:w="763" w:type="dxa"/>
          </w:tcPr>
          <w:p w:rsidR="00934C9B" w:rsidRPr="002C1FDD" w:rsidRDefault="00934C9B" w:rsidP="00934C9B">
            <w:pPr>
              <w:pStyle w:val="xl24"/>
              <w:spacing w:before="0" w:after="0"/>
              <w:jc w:val="right"/>
            </w:pPr>
            <w:r w:rsidRPr="002C1FDD">
              <w:t>0</w:t>
            </w:r>
          </w:p>
        </w:tc>
        <w:tc>
          <w:tcPr>
            <w:tcW w:w="1395" w:type="dxa"/>
          </w:tcPr>
          <w:p w:rsidR="00934C9B" w:rsidRPr="002C1FDD" w:rsidRDefault="00934C9B" w:rsidP="0082437F">
            <w:pPr>
              <w:pStyle w:val="xl24"/>
              <w:tabs>
                <w:tab w:val="left" w:pos="200"/>
                <w:tab w:val="center" w:pos="589"/>
              </w:tabs>
              <w:spacing w:before="0" w:after="0"/>
              <w:jc w:val="right"/>
              <w:rPr>
                <w:highlight w:val="yellow"/>
              </w:rPr>
            </w:pPr>
            <w:r w:rsidRPr="00934C9B">
              <w:t>$</w:t>
            </w:r>
            <w:r w:rsidR="0082437F">
              <w:t>14,965</w:t>
            </w:r>
          </w:p>
        </w:tc>
        <w:tc>
          <w:tcPr>
            <w:tcW w:w="603" w:type="dxa"/>
          </w:tcPr>
          <w:p w:rsidR="00934C9B" w:rsidRPr="002C1FDD" w:rsidRDefault="00934C9B" w:rsidP="00934C9B">
            <w:pPr>
              <w:pStyle w:val="xl24"/>
              <w:spacing w:before="0" w:after="0"/>
              <w:jc w:val="right"/>
            </w:pPr>
            <w:r w:rsidRPr="002C1FDD">
              <w:t>0</w:t>
            </w:r>
          </w:p>
        </w:tc>
        <w:tc>
          <w:tcPr>
            <w:tcW w:w="607" w:type="dxa"/>
          </w:tcPr>
          <w:p w:rsidR="00934C9B" w:rsidRPr="002C1FDD" w:rsidRDefault="00934C9B" w:rsidP="00934C9B">
            <w:pPr>
              <w:pStyle w:val="xl24"/>
              <w:spacing w:before="0" w:after="0"/>
              <w:jc w:val="right"/>
            </w:pPr>
            <w:r w:rsidRPr="002C1FDD">
              <w:t>0</w:t>
            </w:r>
          </w:p>
        </w:tc>
        <w:tc>
          <w:tcPr>
            <w:tcW w:w="672" w:type="dxa"/>
          </w:tcPr>
          <w:p w:rsidR="00934C9B" w:rsidRPr="002C1FDD" w:rsidRDefault="00934C9B" w:rsidP="00934C9B">
            <w:pPr>
              <w:pStyle w:val="xl24"/>
              <w:spacing w:before="0" w:after="0"/>
              <w:jc w:val="right"/>
            </w:pPr>
            <w:r w:rsidRPr="002C1FDD">
              <w:t>0</w:t>
            </w:r>
          </w:p>
        </w:tc>
        <w:tc>
          <w:tcPr>
            <w:tcW w:w="1358" w:type="dxa"/>
          </w:tcPr>
          <w:p w:rsidR="00934C9B" w:rsidRPr="002C1FDD" w:rsidRDefault="0082437F" w:rsidP="0082437F">
            <w:pPr>
              <w:pStyle w:val="xl24"/>
              <w:spacing w:before="0" w:after="0"/>
              <w:jc w:val="right"/>
              <w:rPr>
                <w:highlight w:val="yellow"/>
              </w:rPr>
            </w:pPr>
            <w:r>
              <w:t>14,965</w:t>
            </w:r>
          </w:p>
        </w:tc>
        <w:tc>
          <w:tcPr>
            <w:tcW w:w="590" w:type="dxa"/>
          </w:tcPr>
          <w:p w:rsidR="00934C9B" w:rsidRPr="002C1FDD" w:rsidRDefault="00934C9B" w:rsidP="00934C9B">
            <w:pPr>
              <w:pStyle w:val="xl24"/>
              <w:spacing w:before="0" w:after="0"/>
              <w:jc w:val="right"/>
            </w:pPr>
            <w:r w:rsidRPr="002C1FDD">
              <w:t>0</w:t>
            </w:r>
          </w:p>
        </w:tc>
        <w:tc>
          <w:tcPr>
            <w:tcW w:w="607" w:type="dxa"/>
          </w:tcPr>
          <w:p w:rsidR="00934C9B" w:rsidRPr="002C1FDD" w:rsidRDefault="00934C9B" w:rsidP="00934C9B">
            <w:pPr>
              <w:pStyle w:val="xl24"/>
              <w:spacing w:before="0" w:after="0"/>
              <w:jc w:val="right"/>
            </w:pPr>
            <w:r w:rsidRPr="002C1FDD">
              <w:t>0</w:t>
            </w:r>
          </w:p>
        </w:tc>
        <w:tc>
          <w:tcPr>
            <w:tcW w:w="672" w:type="dxa"/>
          </w:tcPr>
          <w:p w:rsidR="00934C9B" w:rsidRPr="002C1FDD" w:rsidRDefault="00934C9B" w:rsidP="00934C9B">
            <w:pPr>
              <w:pStyle w:val="xl24"/>
              <w:spacing w:before="0" w:after="0"/>
              <w:jc w:val="right"/>
            </w:pPr>
            <w:r w:rsidRPr="002C1FDD">
              <w:t>0</w:t>
            </w:r>
          </w:p>
        </w:tc>
        <w:tc>
          <w:tcPr>
            <w:tcW w:w="1000" w:type="dxa"/>
          </w:tcPr>
          <w:p w:rsidR="00934C9B" w:rsidRPr="002C1FDD" w:rsidRDefault="0082437F" w:rsidP="0082437F">
            <w:pPr>
              <w:pStyle w:val="xl24"/>
              <w:spacing w:before="0" w:after="0"/>
              <w:jc w:val="right"/>
              <w:rPr>
                <w:highlight w:val="yellow"/>
              </w:rPr>
            </w:pPr>
            <w:r>
              <w:t>14,965</w:t>
            </w:r>
          </w:p>
        </w:tc>
      </w:tr>
    </w:tbl>
    <w:p w:rsidR="00934C9B" w:rsidRDefault="00934C9B" w:rsidP="00934C9B">
      <w:pPr>
        <w:pStyle w:val="xl24"/>
        <w:tabs>
          <w:tab w:val="left" w:pos="3240"/>
        </w:tabs>
        <w:spacing w:before="0" w:beforeAutospacing="0" w:after="0" w:afterAutospacing="0"/>
        <w:outlineLvl w:val="0"/>
        <w:rPr>
          <w:u w:val="single"/>
        </w:rPr>
      </w:pPr>
    </w:p>
    <w:p w:rsidR="00934C9B" w:rsidRPr="0048501E" w:rsidRDefault="00934C9B" w:rsidP="00934C9B">
      <w:pPr>
        <w:pStyle w:val="BodyText"/>
        <w:rPr>
          <w:u w:val="single"/>
        </w:rPr>
      </w:pPr>
      <w:r w:rsidRPr="0048501E">
        <w:rPr>
          <w:u w:val="single"/>
        </w:rPr>
        <w:t>Personnel Increase Cost Summary</w:t>
      </w:r>
    </w:p>
    <w:p w:rsidR="00934C9B" w:rsidRPr="0035143D" w:rsidRDefault="00934C9B" w:rsidP="00934C9B">
      <w:pPr>
        <w:pStyle w:val="BodyText"/>
        <w:rPr>
          <w:highlight w:val="yell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0"/>
        <w:gridCol w:w="1608"/>
        <w:gridCol w:w="1350"/>
        <w:gridCol w:w="1620"/>
        <w:gridCol w:w="1620"/>
        <w:gridCol w:w="1530"/>
      </w:tblGrid>
      <w:tr w:rsidR="00E6377A" w:rsidRPr="0035143D" w:rsidTr="00E6377A">
        <w:tc>
          <w:tcPr>
            <w:tcW w:w="1740" w:type="dxa"/>
            <w:shd w:val="clear" w:color="auto" w:fill="E0E0E0"/>
            <w:vAlign w:val="center"/>
          </w:tcPr>
          <w:p w:rsidR="00E6377A" w:rsidRPr="0035143D" w:rsidRDefault="00E6377A" w:rsidP="00934C9B">
            <w:pPr>
              <w:jc w:val="center"/>
              <w:rPr>
                <w:sz w:val="20"/>
                <w:highlight w:val="yellow"/>
              </w:rPr>
            </w:pPr>
            <w:r w:rsidRPr="00147C21">
              <w:rPr>
                <w:sz w:val="20"/>
              </w:rPr>
              <w:t>Type of Position</w:t>
            </w:r>
          </w:p>
        </w:tc>
        <w:tc>
          <w:tcPr>
            <w:tcW w:w="1608" w:type="dxa"/>
            <w:shd w:val="clear" w:color="auto" w:fill="E0E0E0"/>
            <w:vAlign w:val="center"/>
          </w:tcPr>
          <w:p w:rsidR="00E6377A" w:rsidRPr="00147C21" w:rsidRDefault="00E6377A" w:rsidP="00934C9B">
            <w:pPr>
              <w:jc w:val="center"/>
              <w:rPr>
                <w:sz w:val="20"/>
              </w:rPr>
            </w:pPr>
            <w:r w:rsidRPr="00147C21">
              <w:rPr>
                <w:sz w:val="20"/>
              </w:rPr>
              <w:t>Modular Cost</w:t>
            </w:r>
          </w:p>
          <w:p w:rsidR="00E6377A" w:rsidRPr="0035143D" w:rsidRDefault="00E6377A" w:rsidP="00934C9B">
            <w:pPr>
              <w:jc w:val="center"/>
              <w:rPr>
                <w:sz w:val="20"/>
                <w:highlight w:val="yellow"/>
              </w:rPr>
            </w:pPr>
            <w:r w:rsidRPr="00147C21">
              <w:rPr>
                <w:sz w:val="20"/>
              </w:rPr>
              <w:t>per Position ($000)</w:t>
            </w:r>
          </w:p>
        </w:tc>
        <w:tc>
          <w:tcPr>
            <w:tcW w:w="1350" w:type="dxa"/>
            <w:shd w:val="clear" w:color="auto" w:fill="E0E0E0"/>
            <w:vAlign w:val="center"/>
          </w:tcPr>
          <w:p w:rsidR="00E6377A" w:rsidRPr="00147C21" w:rsidRDefault="00E6377A" w:rsidP="00934C9B">
            <w:pPr>
              <w:jc w:val="center"/>
              <w:rPr>
                <w:sz w:val="20"/>
              </w:rPr>
            </w:pPr>
            <w:r w:rsidRPr="00147C21">
              <w:rPr>
                <w:sz w:val="20"/>
              </w:rPr>
              <w:t>Number of</w:t>
            </w:r>
          </w:p>
          <w:p w:rsidR="00E6377A" w:rsidRPr="00147C21" w:rsidRDefault="00E6377A" w:rsidP="00934C9B">
            <w:pPr>
              <w:jc w:val="center"/>
              <w:rPr>
                <w:sz w:val="20"/>
              </w:rPr>
            </w:pPr>
            <w:r w:rsidRPr="00147C21">
              <w:rPr>
                <w:sz w:val="20"/>
              </w:rPr>
              <w:t>Positions</w:t>
            </w:r>
          </w:p>
          <w:p w:rsidR="00E6377A" w:rsidRPr="0035143D" w:rsidRDefault="00E6377A" w:rsidP="00934C9B">
            <w:pPr>
              <w:jc w:val="center"/>
              <w:rPr>
                <w:sz w:val="20"/>
                <w:highlight w:val="yellow"/>
              </w:rPr>
            </w:pPr>
            <w:r w:rsidRPr="00147C21">
              <w:rPr>
                <w:sz w:val="20"/>
              </w:rPr>
              <w:t>Requested</w:t>
            </w:r>
          </w:p>
        </w:tc>
        <w:tc>
          <w:tcPr>
            <w:tcW w:w="1620" w:type="dxa"/>
            <w:shd w:val="clear" w:color="auto" w:fill="E0E0E0"/>
            <w:vAlign w:val="center"/>
          </w:tcPr>
          <w:p w:rsidR="00E6377A" w:rsidRPr="0035143D" w:rsidRDefault="00E6377A" w:rsidP="00934C9B">
            <w:pPr>
              <w:jc w:val="center"/>
              <w:rPr>
                <w:sz w:val="20"/>
                <w:highlight w:val="yellow"/>
              </w:rPr>
            </w:pPr>
            <w:r w:rsidRPr="00147C21">
              <w:rPr>
                <w:sz w:val="20"/>
              </w:rPr>
              <w:t>FY 201</w:t>
            </w:r>
            <w:r>
              <w:rPr>
                <w:sz w:val="20"/>
              </w:rPr>
              <w:t xml:space="preserve">2 </w:t>
            </w:r>
            <w:r w:rsidRPr="00147C21">
              <w:rPr>
                <w:sz w:val="20"/>
              </w:rPr>
              <w:t>Request ($000)</w:t>
            </w:r>
          </w:p>
        </w:tc>
        <w:tc>
          <w:tcPr>
            <w:tcW w:w="1620" w:type="dxa"/>
            <w:shd w:val="clear" w:color="auto" w:fill="E0E0E0"/>
            <w:vAlign w:val="center"/>
          </w:tcPr>
          <w:p w:rsidR="00E6377A" w:rsidRPr="00147C21" w:rsidRDefault="00E6377A" w:rsidP="00934C9B">
            <w:pPr>
              <w:jc w:val="center"/>
              <w:rPr>
                <w:sz w:val="20"/>
              </w:rPr>
            </w:pPr>
            <w:r w:rsidRPr="00147C21">
              <w:rPr>
                <w:sz w:val="20"/>
              </w:rPr>
              <w:t>FY 201</w:t>
            </w:r>
            <w:r>
              <w:rPr>
                <w:sz w:val="20"/>
              </w:rPr>
              <w:t>3</w:t>
            </w:r>
            <w:r w:rsidRPr="00147C21">
              <w:rPr>
                <w:sz w:val="20"/>
              </w:rPr>
              <w:t xml:space="preserve"> Net Annualization</w:t>
            </w:r>
          </w:p>
          <w:p w:rsidR="00E6377A" w:rsidRPr="00147C21" w:rsidRDefault="00E6377A" w:rsidP="00934C9B">
            <w:pPr>
              <w:jc w:val="center"/>
              <w:rPr>
                <w:sz w:val="20"/>
              </w:rPr>
            </w:pPr>
            <w:r w:rsidRPr="00147C21">
              <w:rPr>
                <w:sz w:val="20"/>
              </w:rPr>
              <w:t>(change from 201</w:t>
            </w:r>
            <w:r>
              <w:rPr>
                <w:sz w:val="20"/>
              </w:rPr>
              <w:t>2</w:t>
            </w:r>
            <w:r w:rsidRPr="00147C21">
              <w:rPr>
                <w:sz w:val="20"/>
              </w:rPr>
              <w:t>)</w:t>
            </w:r>
          </w:p>
        </w:tc>
        <w:tc>
          <w:tcPr>
            <w:tcW w:w="1530" w:type="dxa"/>
            <w:shd w:val="clear" w:color="auto" w:fill="E0E0E0"/>
            <w:vAlign w:val="center"/>
          </w:tcPr>
          <w:p w:rsidR="00E6377A" w:rsidRPr="00147C21" w:rsidRDefault="00E6377A" w:rsidP="00E6377A">
            <w:pPr>
              <w:jc w:val="center"/>
              <w:rPr>
                <w:sz w:val="20"/>
              </w:rPr>
            </w:pPr>
            <w:r w:rsidRPr="00147C21">
              <w:rPr>
                <w:sz w:val="20"/>
              </w:rPr>
              <w:t>FY 201</w:t>
            </w:r>
            <w:r>
              <w:rPr>
                <w:sz w:val="20"/>
              </w:rPr>
              <w:t>4</w:t>
            </w:r>
            <w:r w:rsidRPr="00147C21">
              <w:rPr>
                <w:sz w:val="20"/>
              </w:rPr>
              <w:t xml:space="preserve"> Net Annualization</w:t>
            </w:r>
          </w:p>
          <w:p w:rsidR="00E6377A" w:rsidRPr="0035143D" w:rsidRDefault="00E6377A" w:rsidP="00E6377A">
            <w:pPr>
              <w:jc w:val="center"/>
              <w:rPr>
                <w:sz w:val="20"/>
                <w:highlight w:val="yellow"/>
              </w:rPr>
            </w:pPr>
            <w:r w:rsidRPr="00147C21">
              <w:rPr>
                <w:sz w:val="20"/>
              </w:rPr>
              <w:t>(change from 201</w:t>
            </w:r>
            <w:r>
              <w:rPr>
                <w:sz w:val="20"/>
              </w:rPr>
              <w:t>3</w:t>
            </w:r>
            <w:r w:rsidRPr="00147C21">
              <w:rPr>
                <w:sz w:val="20"/>
              </w:rPr>
              <w:t>)</w:t>
            </w:r>
          </w:p>
        </w:tc>
      </w:tr>
      <w:tr w:rsidR="00E6377A" w:rsidRPr="0035143D" w:rsidTr="00E6377A">
        <w:tc>
          <w:tcPr>
            <w:tcW w:w="1740" w:type="dxa"/>
            <w:vAlign w:val="center"/>
          </w:tcPr>
          <w:p w:rsidR="00E6377A" w:rsidRPr="00E16F1D" w:rsidRDefault="00E6377A" w:rsidP="00934C9B">
            <w:pPr>
              <w:rPr>
                <w:b/>
                <w:bCs/>
                <w:i/>
                <w:iCs/>
              </w:rPr>
            </w:pPr>
          </w:p>
        </w:tc>
        <w:tc>
          <w:tcPr>
            <w:tcW w:w="1608" w:type="dxa"/>
            <w:vAlign w:val="bottom"/>
          </w:tcPr>
          <w:p w:rsidR="00E6377A" w:rsidRPr="00FA7857" w:rsidRDefault="00E6377A" w:rsidP="00934C9B">
            <w:pPr>
              <w:pStyle w:val="xl19"/>
              <w:jc w:val="right"/>
            </w:pPr>
          </w:p>
        </w:tc>
        <w:tc>
          <w:tcPr>
            <w:tcW w:w="1350" w:type="dxa"/>
            <w:vAlign w:val="bottom"/>
          </w:tcPr>
          <w:p w:rsidR="00E6377A" w:rsidRPr="00FA7857" w:rsidRDefault="00E6377A" w:rsidP="00934C9B">
            <w:pPr>
              <w:jc w:val="right"/>
            </w:pPr>
          </w:p>
        </w:tc>
        <w:tc>
          <w:tcPr>
            <w:tcW w:w="1620" w:type="dxa"/>
            <w:vAlign w:val="bottom"/>
          </w:tcPr>
          <w:p w:rsidR="00E6377A" w:rsidRPr="00FA7857" w:rsidRDefault="00E6377A" w:rsidP="00934C9B">
            <w:pPr>
              <w:jc w:val="right"/>
            </w:pPr>
          </w:p>
        </w:tc>
        <w:tc>
          <w:tcPr>
            <w:tcW w:w="1620" w:type="dxa"/>
            <w:vAlign w:val="bottom"/>
          </w:tcPr>
          <w:p w:rsidR="00E6377A" w:rsidRPr="00FA7857" w:rsidRDefault="00E6377A" w:rsidP="00934C9B">
            <w:pPr>
              <w:jc w:val="right"/>
            </w:pPr>
          </w:p>
        </w:tc>
        <w:tc>
          <w:tcPr>
            <w:tcW w:w="1530" w:type="dxa"/>
            <w:vAlign w:val="bottom"/>
          </w:tcPr>
          <w:p w:rsidR="00E6377A" w:rsidRPr="00FA7857" w:rsidRDefault="00E6377A" w:rsidP="00934C9B">
            <w:pPr>
              <w:jc w:val="right"/>
            </w:pPr>
          </w:p>
        </w:tc>
      </w:tr>
      <w:tr w:rsidR="00E6377A" w:rsidRPr="0035143D" w:rsidTr="00E6377A">
        <w:tc>
          <w:tcPr>
            <w:tcW w:w="1740" w:type="dxa"/>
            <w:shd w:val="clear" w:color="auto" w:fill="EAEAEA"/>
            <w:vAlign w:val="center"/>
          </w:tcPr>
          <w:p w:rsidR="00E6377A" w:rsidRPr="00305BA6" w:rsidRDefault="00E6377A" w:rsidP="00934C9B">
            <w:pPr>
              <w:jc w:val="right"/>
            </w:pPr>
          </w:p>
        </w:tc>
        <w:tc>
          <w:tcPr>
            <w:tcW w:w="1608" w:type="dxa"/>
            <w:shd w:val="clear" w:color="auto" w:fill="EAEAEA"/>
            <w:vAlign w:val="bottom"/>
          </w:tcPr>
          <w:p w:rsidR="00E6377A" w:rsidRPr="00305BA6" w:rsidRDefault="00E6377A" w:rsidP="00934C9B">
            <w:pPr>
              <w:pStyle w:val="xl19"/>
              <w:jc w:val="right"/>
            </w:pPr>
          </w:p>
        </w:tc>
        <w:tc>
          <w:tcPr>
            <w:tcW w:w="1350" w:type="dxa"/>
            <w:shd w:val="clear" w:color="auto" w:fill="EAEAEA"/>
            <w:vAlign w:val="bottom"/>
          </w:tcPr>
          <w:p w:rsidR="00E6377A" w:rsidRPr="00305BA6" w:rsidRDefault="00E6377A" w:rsidP="00934C9B">
            <w:pPr>
              <w:jc w:val="right"/>
            </w:pPr>
          </w:p>
        </w:tc>
        <w:tc>
          <w:tcPr>
            <w:tcW w:w="1620" w:type="dxa"/>
            <w:shd w:val="clear" w:color="auto" w:fill="EAEAEA"/>
            <w:vAlign w:val="bottom"/>
          </w:tcPr>
          <w:p w:rsidR="00E6377A" w:rsidRPr="00305BA6" w:rsidRDefault="00E6377A" w:rsidP="00934C9B">
            <w:pPr>
              <w:jc w:val="right"/>
            </w:pPr>
          </w:p>
        </w:tc>
        <w:tc>
          <w:tcPr>
            <w:tcW w:w="1620" w:type="dxa"/>
            <w:shd w:val="clear" w:color="auto" w:fill="EAEAEA"/>
            <w:vAlign w:val="bottom"/>
          </w:tcPr>
          <w:p w:rsidR="00E6377A" w:rsidRPr="00305BA6" w:rsidRDefault="00E6377A" w:rsidP="00934C9B">
            <w:pPr>
              <w:jc w:val="right"/>
            </w:pPr>
          </w:p>
        </w:tc>
        <w:tc>
          <w:tcPr>
            <w:tcW w:w="1530" w:type="dxa"/>
            <w:shd w:val="clear" w:color="auto" w:fill="EAEAEA"/>
            <w:vAlign w:val="bottom"/>
          </w:tcPr>
          <w:p w:rsidR="00E6377A" w:rsidRPr="00305BA6" w:rsidRDefault="00E6377A" w:rsidP="00934C9B">
            <w:pPr>
              <w:jc w:val="right"/>
            </w:pPr>
          </w:p>
        </w:tc>
      </w:tr>
      <w:tr w:rsidR="00E6377A" w:rsidRPr="0035143D" w:rsidTr="00E6377A">
        <w:tc>
          <w:tcPr>
            <w:tcW w:w="1740" w:type="dxa"/>
            <w:vAlign w:val="center"/>
          </w:tcPr>
          <w:p w:rsidR="00E6377A" w:rsidRPr="00E16F1D" w:rsidRDefault="00E6377A" w:rsidP="00934C9B"/>
        </w:tc>
        <w:tc>
          <w:tcPr>
            <w:tcW w:w="1608" w:type="dxa"/>
            <w:vAlign w:val="bottom"/>
          </w:tcPr>
          <w:p w:rsidR="00E6377A" w:rsidRDefault="00E6377A" w:rsidP="00934C9B">
            <w:pPr>
              <w:pStyle w:val="xl19"/>
              <w:jc w:val="right"/>
            </w:pPr>
          </w:p>
        </w:tc>
        <w:tc>
          <w:tcPr>
            <w:tcW w:w="1350" w:type="dxa"/>
            <w:vAlign w:val="bottom"/>
          </w:tcPr>
          <w:p w:rsidR="00E6377A" w:rsidRDefault="00E6377A" w:rsidP="00934C9B">
            <w:pPr>
              <w:jc w:val="right"/>
              <w:rPr>
                <w:bCs/>
              </w:rPr>
            </w:pPr>
          </w:p>
        </w:tc>
        <w:tc>
          <w:tcPr>
            <w:tcW w:w="1620" w:type="dxa"/>
            <w:vAlign w:val="bottom"/>
          </w:tcPr>
          <w:p w:rsidR="00E6377A" w:rsidRDefault="00E6377A" w:rsidP="00934C9B">
            <w:pPr>
              <w:jc w:val="right"/>
            </w:pPr>
          </w:p>
        </w:tc>
        <w:tc>
          <w:tcPr>
            <w:tcW w:w="1620" w:type="dxa"/>
            <w:vAlign w:val="bottom"/>
          </w:tcPr>
          <w:p w:rsidR="00E6377A" w:rsidRDefault="00E6377A" w:rsidP="00934C9B">
            <w:pPr>
              <w:jc w:val="right"/>
            </w:pPr>
          </w:p>
        </w:tc>
        <w:tc>
          <w:tcPr>
            <w:tcW w:w="1530" w:type="dxa"/>
            <w:vAlign w:val="bottom"/>
          </w:tcPr>
          <w:p w:rsidR="00E6377A" w:rsidRDefault="00E6377A" w:rsidP="00934C9B">
            <w:pPr>
              <w:jc w:val="right"/>
            </w:pPr>
          </w:p>
        </w:tc>
      </w:tr>
      <w:tr w:rsidR="00E6377A" w:rsidRPr="0035143D" w:rsidTr="00E6377A">
        <w:tc>
          <w:tcPr>
            <w:tcW w:w="1740" w:type="dxa"/>
            <w:shd w:val="clear" w:color="auto" w:fill="E0E0E0"/>
            <w:vAlign w:val="center"/>
          </w:tcPr>
          <w:p w:rsidR="00E6377A" w:rsidRPr="00AE5137" w:rsidRDefault="00E6377A" w:rsidP="00934C9B">
            <w:pPr>
              <w:jc w:val="right"/>
              <w:rPr>
                <w:b/>
              </w:rPr>
            </w:pPr>
            <w:r w:rsidRPr="00AE5137">
              <w:rPr>
                <w:b/>
                <w:sz w:val="22"/>
                <w:szCs w:val="22"/>
              </w:rPr>
              <w:t>Total Personnel</w:t>
            </w:r>
          </w:p>
        </w:tc>
        <w:tc>
          <w:tcPr>
            <w:tcW w:w="1608" w:type="dxa"/>
            <w:shd w:val="clear" w:color="auto" w:fill="E0E0E0"/>
            <w:vAlign w:val="bottom"/>
          </w:tcPr>
          <w:p w:rsidR="00E6377A" w:rsidRPr="00AE5137" w:rsidRDefault="00E6377A" w:rsidP="00934C9B">
            <w:pPr>
              <w:pStyle w:val="xl19"/>
              <w:jc w:val="right"/>
              <w:rPr>
                <w:b/>
              </w:rPr>
            </w:pPr>
          </w:p>
        </w:tc>
        <w:tc>
          <w:tcPr>
            <w:tcW w:w="1350" w:type="dxa"/>
            <w:shd w:val="clear" w:color="auto" w:fill="E0E0E0"/>
            <w:vAlign w:val="bottom"/>
          </w:tcPr>
          <w:p w:rsidR="00E6377A" w:rsidRPr="00AE5137" w:rsidRDefault="00E6377A" w:rsidP="00934C9B">
            <w:pPr>
              <w:jc w:val="right"/>
              <w:rPr>
                <w:b/>
              </w:rPr>
            </w:pPr>
          </w:p>
        </w:tc>
        <w:tc>
          <w:tcPr>
            <w:tcW w:w="1620" w:type="dxa"/>
            <w:shd w:val="clear" w:color="auto" w:fill="E0E0E0"/>
            <w:vAlign w:val="bottom"/>
          </w:tcPr>
          <w:p w:rsidR="00E6377A" w:rsidRPr="00AE5137" w:rsidRDefault="00E6377A" w:rsidP="00934C9B">
            <w:pPr>
              <w:jc w:val="right"/>
              <w:rPr>
                <w:b/>
              </w:rPr>
            </w:pPr>
          </w:p>
        </w:tc>
        <w:tc>
          <w:tcPr>
            <w:tcW w:w="1620" w:type="dxa"/>
            <w:shd w:val="clear" w:color="auto" w:fill="E0E0E0"/>
            <w:vAlign w:val="bottom"/>
          </w:tcPr>
          <w:p w:rsidR="00E6377A" w:rsidRPr="00AE5137" w:rsidRDefault="00E6377A" w:rsidP="00934C9B">
            <w:pPr>
              <w:jc w:val="right"/>
              <w:rPr>
                <w:b/>
              </w:rPr>
            </w:pPr>
          </w:p>
        </w:tc>
        <w:tc>
          <w:tcPr>
            <w:tcW w:w="1530" w:type="dxa"/>
            <w:shd w:val="clear" w:color="auto" w:fill="E0E0E0"/>
            <w:vAlign w:val="bottom"/>
          </w:tcPr>
          <w:p w:rsidR="00E6377A" w:rsidRPr="00AE5137" w:rsidRDefault="00E6377A" w:rsidP="00934C9B">
            <w:pPr>
              <w:jc w:val="right"/>
              <w:rPr>
                <w:b/>
              </w:rPr>
            </w:pPr>
          </w:p>
        </w:tc>
      </w:tr>
    </w:tbl>
    <w:p w:rsidR="00934C9B" w:rsidRPr="0035143D" w:rsidRDefault="00934C9B" w:rsidP="00934C9B">
      <w:pPr>
        <w:rPr>
          <w:highlight w:val="yellow"/>
        </w:rPr>
      </w:pPr>
    </w:p>
    <w:p w:rsidR="00934C9B" w:rsidRPr="00F65EDB" w:rsidRDefault="00934C9B" w:rsidP="00934C9B">
      <w:pPr>
        <w:outlineLvl w:val="0"/>
        <w:rPr>
          <w:u w:val="single"/>
        </w:rPr>
      </w:pPr>
      <w:r w:rsidRPr="00F65EDB">
        <w:rPr>
          <w:u w:val="single"/>
        </w:rPr>
        <w:t xml:space="preserve">Non-Personnel Increase Cost Summary </w:t>
      </w:r>
    </w:p>
    <w:p w:rsidR="00934C9B" w:rsidRPr="00F65EDB" w:rsidRDefault="00934C9B" w:rsidP="00934C9B"/>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6"/>
        <w:gridCol w:w="1044"/>
        <w:gridCol w:w="990"/>
        <w:gridCol w:w="990"/>
        <w:gridCol w:w="1980"/>
        <w:gridCol w:w="1890"/>
      </w:tblGrid>
      <w:tr w:rsidR="00E6377A" w:rsidRPr="00F65EDB" w:rsidTr="00B9663F">
        <w:tc>
          <w:tcPr>
            <w:tcW w:w="2556" w:type="dxa"/>
            <w:shd w:val="clear" w:color="auto" w:fill="E6E6E6"/>
            <w:vAlign w:val="center"/>
          </w:tcPr>
          <w:p w:rsidR="00E6377A" w:rsidRPr="00B9663F" w:rsidRDefault="00E6377A" w:rsidP="00934C9B">
            <w:pPr>
              <w:jc w:val="center"/>
              <w:rPr>
                <w:sz w:val="20"/>
                <w:szCs w:val="20"/>
              </w:rPr>
            </w:pPr>
            <w:r w:rsidRPr="00B9663F">
              <w:rPr>
                <w:sz w:val="20"/>
                <w:szCs w:val="20"/>
              </w:rPr>
              <w:t>Non-Personnel Item</w:t>
            </w:r>
          </w:p>
        </w:tc>
        <w:tc>
          <w:tcPr>
            <w:tcW w:w="1044" w:type="dxa"/>
            <w:vAlign w:val="center"/>
          </w:tcPr>
          <w:p w:rsidR="00E6377A" w:rsidRPr="00B9663F" w:rsidRDefault="00E6377A" w:rsidP="00934C9B">
            <w:pPr>
              <w:jc w:val="center"/>
              <w:rPr>
                <w:sz w:val="20"/>
                <w:szCs w:val="20"/>
              </w:rPr>
            </w:pPr>
            <w:r w:rsidRPr="00B9663F">
              <w:rPr>
                <w:sz w:val="20"/>
                <w:szCs w:val="20"/>
              </w:rPr>
              <w:t>Unit Cost ($000)</w:t>
            </w:r>
          </w:p>
        </w:tc>
        <w:tc>
          <w:tcPr>
            <w:tcW w:w="990" w:type="dxa"/>
            <w:vAlign w:val="center"/>
          </w:tcPr>
          <w:p w:rsidR="00E6377A" w:rsidRPr="00B9663F" w:rsidRDefault="00E6377A" w:rsidP="00934C9B">
            <w:pPr>
              <w:jc w:val="center"/>
              <w:rPr>
                <w:sz w:val="20"/>
                <w:szCs w:val="20"/>
              </w:rPr>
            </w:pPr>
            <w:r w:rsidRPr="00B9663F">
              <w:rPr>
                <w:sz w:val="20"/>
                <w:szCs w:val="20"/>
              </w:rPr>
              <w:t>Quantity</w:t>
            </w:r>
          </w:p>
        </w:tc>
        <w:tc>
          <w:tcPr>
            <w:tcW w:w="990" w:type="dxa"/>
            <w:vAlign w:val="center"/>
          </w:tcPr>
          <w:p w:rsidR="00E6377A" w:rsidRPr="00B9663F" w:rsidRDefault="00E6377A" w:rsidP="00934C9B">
            <w:pPr>
              <w:jc w:val="center"/>
              <w:rPr>
                <w:sz w:val="20"/>
                <w:szCs w:val="20"/>
              </w:rPr>
            </w:pPr>
            <w:r w:rsidRPr="00B9663F">
              <w:rPr>
                <w:sz w:val="20"/>
                <w:szCs w:val="20"/>
              </w:rPr>
              <w:t>FY 2012 Request ($000)</w:t>
            </w:r>
          </w:p>
        </w:tc>
        <w:tc>
          <w:tcPr>
            <w:tcW w:w="1980" w:type="dxa"/>
            <w:vAlign w:val="center"/>
          </w:tcPr>
          <w:p w:rsidR="00E6377A" w:rsidRPr="00B9663F" w:rsidRDefault="00E6377A" w:rsidP="00934C9B">
            <w:pPr>
              <w:jc w:val="center"/>
              <w:rPr>
                <w:sz w:val="20"/>
                <w:szCs w:val="20"/>
              </w:rPr>
            </w:pPr>
            <w:r w:rsidRPr="00B9663F">
              <w:rPr>
                <w:sz w:val="20"/>
                <w:szCs w:val="20"/>
              </w:rPr>
              <w:t>FY 2013 Net</w:t>
            </w:r>
          </w:p>
          <w:p w:rsidR="00E6377A" w:rsidRPr="00B9663F" w:rsidRDefault="00E6377A" w:rsidP="00934C9B">
            <w:pPr>
              <w:jc w:val="center"/>
              <w:rPr>
                <w:sz w:val="20"/>
                <w:szCs w:val="20"/>
              </w:rPr>
            </w:pPr>
            <w:r w:rsidRPr="00B9663F">
              <w:rPr>
                <w:sz w:val="20"/>
                <w:szCs w:val="20"/>
              </w:rPr>
              <w:t>Annualization</w:t>
            </w:r>
          </w:p>
          <w:p w:rsidR="00E6377A" w:rsidRPr="00B9663F" w:rsidRDefault="00E6377A" w:rsidP="00E6377A">
            <w:pPr>
              <w:jc w:val="center"/>
              <w:rPr>
                <w:sz w:val="20"/>
                <w:szCs w:val="20"/>
              </w:rPr>
            </w:pPr>
            <w:r w:rsidRPr="00B9663F">
              <w:rPr>
                <w:sz w:val="20"/>
                <w:szCs w:val="20"/>
              </w:rPr>
              <w:t>(Change from 2012)</w:t>
            </w:r>
          </w:p>
        </w:tc>
        <w:tc>
          <w:tcPr>
            <w:tcW w:w="1890" w:type="dxa"/>
            <w:vAlign w:val="center"/>
          </w:tcPr>
          <w:p w:rsidR="00E6377A" w:rsidRPr="00B9663F" w:rsidRDefault="00E6377A" w:rsidP="00E6377A">
            <w:pPr>
              <w:jc w:val="center"/>
              <w:rPr>
                <w:sz w:val="20"/>
                <w:szCs w:val="20"/>
              </w:rPr>
            </w:pPr>
            <w:r w:rsidRPr="00B9663F">
              <w:rPr>
                <w:sz w:val="20"/>
                <w:szCs w:val="20"/>
              </w:rPr>
              <w:t>FY 2014 Net</w:t>
            </w:r>
          </w:p>
          <w:p w:rsidR="00E6377A" w:rsidRPr="00B9663F" w:rsidRDefault="00E6377A" w:rsidP="00E6377A">
            <w:pPr>
              <w:jc w:val="center"/>
              <w:rPr>
                <w:sz w:val="20"/>
                <w:szCs w:val="20"/>
              </w:rPr>
            </w:pPr>
            <w:r w:rsidRPr="00B9663F">
              <w:rPr>
                <w:sz w:val="20"/>
                <w:szCs w:val="20"/>
              </w:rPr>
              <w:t>Annualization</w:t>
            </w:r>
          </w:p>
          <w:p w:rsidR="00E6377A" w:rsidRPr="00B9663F" w:rsidRDefault="00E6377A" w:rsidP="00E6377A">
            <w:pPr>
              <w:jc w:val="center"/>
              <w:rPr>
                <w:sz w:val="20"/>
                <w:szCs w:val="20"/>
              </w:rPr>
            </w:pPr>
            <w:r w:rsidRPr="00B9663F">
              <w:rPr>
                <w:sz w:val="20"/>
                <w:szCs w:val="20"/>
              </w:rPr>
              <w:t>(Change from 2013)</w:t>
            </w:r>
          </w:p>
        </w:tc>
      </w:tr>
      <w:tr w:rsidR="00E6377A" w:rsidRPr="00927AC8" w:rsidTr="00B9663F">
        <w:trPr>
          <w:trHeight w:val="305"/>
        </w:trPr>
        <w:tc>
          <w:tcPr>
            <w:tcW w:w="2556" w:type="dxa"/>
            <w:vAlign w:val="center"/>
          </w:tcPr>
          <w:p w:rsidR="00E6377A" w:rsidRPr="00B9663F" w:rsidRDefault="00E6377A" w:rsidP="00934C9B">
            <w:pPr>
              <w:autoSpaceDE w:val="0"/>
              <w:autoSpaceDN w:val="0"/>
              <w:adjustRightInd w:val="0"/>
              <w:rPr>
                <w:sz w:val="20"/>
                <w:szCs w:val="20"/>
              </w:rPr>
            </w:pPr>
            <w:r w:rsidRPr="00B9663F">
              <w:rPr>
                <w:sz w:val="20"/>
                <w:szCs w:val="20"/>
              </w:rPr>
              <w:t>Home Incentive Awards</w:t>
            </w:r>
          </w:p>
        </w:tc>
        <w:tc>
          <w:tcPr>
            <w:tcW w:w="1044" w:type="dxa"/>
            <w:vAlign w:val="bottom"/>
          </w:tcPr>
          <w:p w:rsidR="00E6377A" w:rsidRPr="00B9663F" w:rsidRDefault="00E6377A" w:rsidP="00934C9B">
            <w:pPr>
              <w:pStyle w:val="xl19"/>
              <w:jc w:val="right"/>
              <w:rPr>
                <w:sz w:val="20"/>
                <w:szCs w:val="20"/>
              </w:rPr>
            </w:pPr>
          </w:p>
        </w:tc>
        <w:tc>
          <w:tcPr>
            <w:tcW w:w="990" w:type="dxa"/>
            <w:vAlign w:val="bottom"/>
          </w:tcPr>
          <w:p w:rsidR="00E6377A" w:rsidRPr="00B9663F" w:rsidRDefault="00E6377A" w:rsidP="00934C9B">
            <w:pPr>
              <w:jc w:val="right"/>
              <w:rPr>
                <w:sz w:val="20"/>
                <w:szCs w:val="20"/>
              </w:rPr>
            </w:pPr>
          </w:p>
        </w:tc>
        <w:tc>
          <w:tcPr>
            <w:tcW w:w="990" w:type="dxa"/>
            <w:vAlign w:val="bottom"/>
          </w:tcPr>
          <w:p w:rsidR="00E6377A" w:rsidRPr="00B9663F" w:rsidRDefault="00E6377A" w:rsidP="00934C9B">
            <w:pPr>
              <w:jc w:val="right"/>
              <w:rPr>
                <w:sz w:val="20"/>
                <w:szCs w:val="20"/>
              </w:rPr>
            </w:pPr>
            <w:r w:rsidRPr="00B9663F">
              <w:rPr>
                <w:sz w:val="20"/>
                <w:szCs w:val="20"/>
              </w:rPr>
              <w:t>($435)</w:t>
            </w:r>
          </w:p>
        </w:tc>
        <w:tc>
          <w:tcPr>
            <w:tcW w:w="1980" w:type="dxa"/>
            <w:vAlign w:val="bottom"/>
          </w:tcPr>
          <w:p w:rsidR="00E6377A" w:rsidRPr="00B9663F" w:rsidRDefault="00E6377A" w:rsidP="00934C9B">
            <w:pPr>
              <w:jc w:val="right"/>
              <w:rPr>
                <w:sz w:val="20"/>
                <w:szCs w:val="20"/>
              </w:rPr>
            </w:pPr>
          </w:p>
        </w:tc>
        <w:tc>
          <w:tcPr>
            <w:tcW w:w="1890" w:type="dxa"/>
            <w:vAlign w:val="bottom"/>
          </w:tcPr>
          <w:p w:rsidR="00E6377A" w:rsidRPr="00B9663F" w:rsidRDefault="00E6377A" w:rsidP="00934C9B">
            <w:pPr>
              <w:jc w:val="right"/>
              <w:rPr>
                <w:sz w:val="20"/>
                <w:szCs w:val="20"/>
              </w:rPr>
            </w:pPr>
          </w:p>
        </w:tc>
      </w:tr>
      <w:tr w:rsidR="00E6377A" w:rsidRPr="00927AC8" w:rsidTr="00B9663F">
        <w:trPr>
          <w:trHeight w:val="305"/>
        </w:trPr>
        <w:tc>
          <w:tcPr>
            <w:tcW w:w="2556" w:type="dxa"/>
            <w:vAlign w:val="center"/>
          </w:tcPr>
          <w:p w:rsidR="00E6377A" w:rsidRPr="00B9663F" w:rsidRDefault="00E6377A" w:rsidP="00934C9B">
            <w:pPr>
              <w:autoSpaceDE w:val="0"/>
              <w:autoSpaceDN w:val="0"/>
              <w:adjustRightInd w:val="0"/>
              <w:rPr>
                <w:sz w:val="20"/>
                <w:szCs w:val="20"/>
              </w:rPr>
            </w:pPr>
            <w:r w:rsidRPr="00B9663F">
              <w:rPr>
                <w:sz w:val="20"/>
                <w:szCs w:val="20"/>
              </w:rPr>
              <w:t>PCS Relocation Benefits</w:t>
            </w:r>
          </w:p>
        </w:tc>
        <w:tc>
          <w:tcPr>
            <w:tcW w:w="1044" w:type="dxa"/>
            <w:vAlign w:val="bottom"/>
          </w:tcPr>
          <w:p w:rsidR="00E6377A" w:rsidRPr="00B9663F" w:rsidRDefault="00E6377A" w:rsidP="00934C9B">
            <w:pPr>
              <w:pStyle w:val="xl19"/>
              <w:jc w:val="right"/>
              <w:rPr>
                <w:sz w:val="20"/>
                <w:szCs w:val="20"/>
              </w:rPr>
            </w:pPr>
          </w:p>
        </w:tc>
        <w:tc>
          <w:tcPr>
            <w:tcW w:w="990" w:type="dxa"/>
            <w:vAlign w:val="bottom"/>
          </w:tcPr>
          <w:p w:rsidR="00E6377A" w:rsidRPr="00B9663F" w:rsidRDefault="00E6377A" w:rsidP="00934C9B">
            <w:pPr>
              <w:jc w:val="right"/>
              <w:rPr>
                <w:sz w:val="20"/>
                <w:szCs w:val="20"/>
              </w:rPr>
            </w:pPr>
          </w:p>
        </w:tc>
        <w:tc>
          <w:tcPr>
            <w:tcW w:w="990" w:type="dxa"/>
            <w:vAlign w:val="bottom"/>
          </w:tcPr>
          <w:p w:rsidR="00E6377A" w:rsidRPr="00B9663F" w:rsidDel="00AA6CE9" w:rsidRDefault="00E6377A" w:rsidP="00934C9B">
            <w:pPr>
              <w:jc w:val="right"/>
              <w:rPr>
                <w:sz w:val="20"/>
                <w:szCs w:val="20"/>
              </w:rPr>
            </w:pPr>
            <w:r w:rsidRPr="00B9663F">
              <w:rPr>
                <w:sz w:val="20"/>
                <w:szCs w:val="20"/>
              </w:rPr>
              <w:t>(6,432)</w:t>
            </w:r>
          </w:p>
        </w:tc>
        <w:tc>
          <w:tcPr>
            <w:tcW w:w="1980" w:type="dxa"/>
            <w:vAlign w:val="bottom"/>
          </w:tcPr>
          <w:p w:rsidR="00E6377A" w:rsidRPr="00B9663F" w:rsidRDefault="00E6377A" w:rsidP="00934C9B">
            <w:pPr>
              <w:jc w:val="right"/>
              <w:rPr>
                <w:sz w:val="20"/>
                <w:szCs w:val="20"/>
              </w:rPr>
            </w:pPr>
          </w:p>
        </w:tc>
        <w:tc>
          <w:tcPr>
            <w:tcW w:w="1890" w:type="dxa"/>
            <w:vAlign w:val="bottom"/>
          </w:tcPr>
          <w:p w:rsidR="00E6377A" w:rsidRPr="00B9663F" w:rsidRDefault="00E6377A" w:rsidP="00934C9B">
            <w:pPr>
              <w:jc w:val="right"/>
              <w:rPr>
                <w:sz w:val="20"/>
                <w:szCs w:val="20"/>
              </w:rPr>
            </w:pPr>
          </w:p>
        </w:tc>
      </w:tr>
      <w:tr w:rsidR="00E6377A" w:rsidRPr="00927AC8" w:rsidTr="00B9663F">
        <w:trPr>
          <w:trHeight w:val="305"/>
        </w:trPr>
        <w:tc>
          <w:tcPr>
            <w:tcW w:w="2556" w:type="dxa"/>
            <w:vAlign w:val="center"/>
          </w:tcPr>
          <w:p w:rsidR="00E6377A" w:rsidRPr="00B9663F" w:rsidRDefault="00E6377A" w:rsidP="00934C9B">
            <w:pPr>
              <w:autoSpaceDE w:val="0"/>
              <w:autoSpaceDN w:val="0"/>
              <w:adjustRightInd w:val="0"/>
              <w:rPr>
                <w:sz w:val="20"/>
                <w:szCs w:val="20"/>
              </w:rPr>
            </w:pPr>
            <w:r w:rsidRPr="00B9663F">
              <w:rPr>
                <w:sz w:val="20"/>
                <w:szCs w:val="20"/>
              </w:rPr>
              <w:t xml:space="preserve">PCS </w:t>
            </w:r>
            <w:proofErr w:type="spellStart"/>
            <w:r w:rsidRPr="00B9663F">
              <w:rPr>
                <w:sz w:val="20"/>
                <w:szCs w:val="20"/>
              </w:rPr>
              <w:t>Transp</w:t>
            </w:r>
            <w:proofErr w:type="spellEnd"/>
            <w:r w:rsidRPr="00B9663F">
              <w:rPr>
                <w:sz w:val="20"/>
                <w:szCs w:val="20"/>
              </w:rPr>
              <w:t xml:space="preserve"> of Persons</w:t>
            </w:r>
          </w:p>
        </w:tc>
        <w:tc>
          <w:tcPr>
            <w:tcW w:w="1044" w:type="dxa"/>
            <w:vAlign w:val="bottom"/>
          </w:tcPr>
          <w:p w:rsidR="00E6377A" w:rsidRPr="00B9663F" w:rsidRDefault="00E6377A" w:rsidP="00934C9B">
            <w:pPr>
              <w:pStyle w:val="xl19"/>
              <w:jc w:val="right"/>
              <w:rPr>
                <w:sz w:val="20"/>
                <w:szCs w:val="20"/>
              </w:rPr>
            </w:pPr>
          </w:p>
        </w:tc>
        <w:tc>
          <w:tcPr>
            <w:tcW w:w="990" w:type="dxa"/>
            <w:vAlign w:val="bottom"/>
          </w:tcPr>
          <w:p w:rsidR="00E6377A" w:rsidRPr="00B9663F" w:rsidRDefault="00E6377A" w:rsidP="00934C9B">
            <w:pPr>
              <w:jc w:val="right"/>
              <w:rPr>
                <w:sz w:val="20"/>
                <w:szCs w:val="20"/>
              </w:rPr>
            </w:pPr>
          </w:p>
        </w:tc>
        <w:tc>
          <w:tcPr>
            <w:tcW w:w="990" w:type="dxa"/>
            <w:vAlign w:val="bottom"/>
          </w:tcPr>
          <w:p w:rsidR="00E6377A" w:rsidRPr="00B9663F" w:rsidDel="00AA6CE9" w:rsidRDefault="00E6377A" w:rsidP="00934C9B">
            <w:pPr>
              <w:jc w:val="right"/>
              <w:rPr>
                <w:sz w:val="20"/>
                <w:szCs w:val="20"/>
              </w:rPr>
            </w:pPr>
            <w:r w:rsidRPr="00B9663F">
              <w:rPr>
                <w:sz w:val="20"/>
                <w:szCs w:val="20"/>
              </w:rPr>
              <w:t>(261)</w:t>
            </w:r>
          </w:p>
        </w:tc>
        <w:tc>
          <w:tcPr>
            <w:tcW w:w="1980" w:type="dxa"/>
            <w:vAlign w:val="bottom"/>
          </w:tcPr>
          <w:p w:rsidR="00E6377A" w:rsidRPr="00B9663F" w:rsidRDefault="00E6377A" w:rsidP="00934C9B">
            <w:pPr>
              <w:jc w:val="right"/>
              <w:rPr>
                <w:sz w:val="20"/>
                <w:szCs w:val="20"/>
              </w:rPr>
            </w:pPr>
          </w:p>
        </w:tc>
        <w:tc>
          <w:tcPr>
            <w:tcW w:w="1890" w:type="dxa"/>
            <w:vAlign w:val="bottom"/>
          </w:tcPr>
          <w:p w:rsidR="00E6377A" w:rsidRPr="00B9663F" w:rsidRDefault="00E6377A" w:rsidP="00934C9B">
            <w:pPr>
              <w:jc w:val="right"/>
              <w:rPr>
                <w:sz w:val="20"/>
                <w:szCs w:val="20"/>
              </w:rPr>
            </w:pPr>
          </w:p>
        </w:tc>
      </w:tr>
      <w:tr w:rsidR="00E6377A" w:rsidRPr="00F65EDB" w:rsidTr="00B9663F">
        <w:trPr>
          <w:trHeight w:val="350"/>
        </w:trPr>
        <w:tc>
          <w:tcPr>
            <w:tcW w:w="2556" w:type="dxa"/>
            <w:shd w:val="pct10" w:color="auto" w:fill="auto"/>
            <w:vAlign w:val="center"/>
          </w:tcPr>
          <w:p w:rsidR="00E6377A" w:rsidRPr="00B9663F" w:rsidRDefault="00E6377A" w:rsidP="00934C9B">
            <w:pPr>
              <w:rPr>
                <w:sz w:val="20"/>
                <w:szCs w:val="20"/>
              </w:rPr>
            </w:pPr>
            <w:r w:rsidRPr="00B9663F">
              <w:rPr>
                <w:sz w:val="20"/>
                <w:szCs w:val="20"/>
              </w:rPr>
              <w:t xml:space="preserve">PCS </w:t>
            </w:r>
            <w:proofErr w:type="spellStart"/>
            <w:r w:rsidRPr="00B9663F">
              <w:rPr>
                <w:sz w:val="20"/>
                <w:szCs w:val="20"/>
              </w:rPr>
              <w:t>Transp</w:t>
            </w:r>
            <w:proofErr w:type="spellEnd"/>
            <w:r w:rsidRPr="00B9663F">
              <w:rPr>
                <w:sz w:val="20"/>
                <w:szCs w:val="20"/>
              </w:rPr>
              <w:t xml:space="preserve"> of Things</w:t>
            </w:r>
          </w:p>
        </w:tc>
        <w:tc>
          <w:tcPr>
            <w:tcW w:w="1044" w:type="dxa"/>
            <w:shd w:val="pct10" w:color="auto" w:fill="auto"/>
            <w:vAlign w:val="bottom"/>
          </w:tcPr>
          <w:p w:rsidR="00E6377A" w:rsidRPr="00B9663F" w:rsidRDefault="00E6377A" w:rsidP="00934C9B">
            <w:pPr>
              <w:pStyle w:val="xl19"/>
              <w:jc w:val="right"/>
              <w:rPr>
                <w:b/>
                <w:sz w:val="20"/>
                <w:szCs w:val="20"/>
              </w:rPr>
            </w:pPr>
          </w:p>
        </w:tc>
        <w:tc>
          <w:tcPr>
            <w:tcW w:w="990" w:type="dxa"/>
            <w:shd w:val="pct10" w:color="auto" w:fill="auto"/>
            <w:vAlign w:val="bottom"/>
          </w:tcPr>
          <w:p w:rsidR="00E6377A" w:rsidRPr="00B9663F" w:rsidRDefault="00E6377A" w:rsidP="00934C9B">
            <w:pPr>
              <w:jc w:val="right"/>
              <w:rPr>
                <w:b/>
                <w:sz w:val="20"/>
                <w:szCs w:val="20"/>
              </w:rPr>
            </w:pPr>
          </w:p>
        </w:tc>
        <w:tc>
          <w:tcPr>
            <w:tcW w:w="990" w:type="dxa"/>
            <w:shd w:val="pct10" w:color="auto" w:fill="auto"/>
            <w:vAlign w:val="bottom"/>
          </w:tcPr>
          <w:p w:rsidR="00E6377A" w:rsidRPr="00B9663F" w:rsidRDefault="00E6377A" w:rsidP="00934C9B">
            <w:pPr>
              <w:jc w:val="right"/>
              <w:rPr>
                <w:sz w:val="20"/>
                <w:szCs w:val="20"/>
              </w:rPr>
            </w:pPr>
            <w:r w:rsidRPr="00B9663F">
              <w:rPr>
                <w:sz w:val="20"/>
                <w:szCs w:val="20"/>
              </w:rPr>
              <w:t>(956)</w:t>
            </w:r>
          </w:p>
        </w:tc>
        <w:tc>
          <w:tcPr>
            <w:tcW w:w="1980" w:type="dxa"/>
            <w:vAlign w:val="bottom"/>
          </w:tcPr>
          <w:p w:rsidR="00E6377A" w:rsidRPr="00B9663F" w:rsidRDefault="00E6377A" w:rsidP="00934C9B">
            <w:pPr>
              <w:jc w:val="right"/>
              <w:rPr>
                <w:b/>
                <w:sz w:val="20"/>
                <w:szCs w:val="20"/>
              </w:rPr>
            </w:pPr>
          </w:p>
        </w:tc>
        <w:tc>
          <w:tcPr>
            <w:tcW w:w="1890" w:type="dxa"/>
            <w:vAlign w:val="bottom"/>
          </w:tcPr>
          <w:p w:rsidR="00E6377A" w:rsidRPr="00B9663F" w:rsidRDefault="00E6377A" w:rsidP="00934C9B">
            <w:pPr>
              <w:jc w:val="right"/>
              <w:rPr>
                <w:b/>
                <w:sz w:val="20"/>
                <w:szCs w:val="20"/>
              </w:rPr>
            </w:pPr>
          </w:p>
        </w:tc>
      </w:tr>
      <w:tr w:rsidR="00E6377A" w:rsidRPr="00F65EDB" w:rsidTr="00B9663F">
        <w:trPr>
          <w:trHeight w:val="350"/>
        </w:trPr>
        <w:tc>
          <w:tcPr>
            <w:tcW w:w="2556" w:type="dxa"/>
            <w:shd w:val="pct10" w:color="auto" w:fill="auto"/>
            <w:vAlign w:val="center"/>
          </w:tcPr>
          <w:p w:rsidR="00E6377A" w:rsidRPr="00B9663F" w:rsidRDefault="00E6377A" w:rsidP="00934C9B">
            <w:pPr>
              <w:rPr>
                <w:sz w:val="20"/>
                <w:szCs w:val="20"/>
              </w:rPr>
            </w:pPr>
            <w:r w:rsidRPr="00B9663F">
              <w:rPr>
                <w:sz w:val="20"/>
                <w:szCs w:val="20"/>
              </w:rPr>
              <w:t>PCS Storage</w:t>
            </w:r>
          </w:p>
        </w:tc>
        <w:tc>
          <w:tcPr>
            <w:tcW w:w="1044" w:type="dxa"/>
            <w:shd w:val="pct10" w:color="auto" w:fill="auto"/>
            <w:vAlign w:val="bottom"/>
          </w:tcPr>
          <w:p w:rsidR="00E6377A" w:rsidRPr="00B9663F" w:rsidRDefault="00E6377A" w:rsidP="00934C9B">
            <w:pPr>
              <w:pStyle w:val="xl19"/>
              <w:jc w:val="right"/>
              <w:rPr>
                <w:b/>
                <w:sz w:val="20"/>
                <w:szCs w:val="20"/>
              </w:rPr>
            </w:pPr>
          </w:p>
        </w:tc>
        <w:tc>
          <w:tcPr>
            <w:tcW w:w="990" w:type="dxa"/>
            <w:shd w:val="pct10" w:color="auto" w:fill="auto"/>
            <w:vAlign w:val="bottom"/>
          </w:tcPr>
          <w:p w:rsidR="00E6377A" w:rsidRPr="00B9663F" w:rsidRDefault="00E6377A" w:rsidP="00934C9B">
            <w:pPr>
              <w:jc w:val="right"/>
              <w:rPr>
                <w:b/>
                <w:sz w:val="20"/>
                <w:szCs w:val="20"/>
              </w:rPr>
            </w:pPr>
          </w:p>
        </w:tc>
        <w:tc>
          <w:tcPr>
            <w:tcW w:w="990" w:type="dxa"/>
            <w:shd w:val="pct10" w:color="auto" w:fill="auto"/>
            <w:vAlign w:val="bottom"/>
          </w:tcPr>
          <w:p w:rsidR="00E6377A" w:rsidRPr="00B9663F" w:rsidRDefault="00E6377A" w:rsidP="00934C9B">
            <w:pPr>
              <w:jc w:val="right"/>
              <w:rPr>
                <w:sz w:val="20"/>
                <w:szCs w:val="20"/>
              </w:rPr>
            </w:pPr>
            <w:r w:rsidRPr="00B9663F">
              <w:rPr>
                <w:sz w:val="20"/>
                <w:szCs w:val="20"/>
              </w:rPr>
              <w:t>(608)</w:t>
            </w:r>
          </w:p>
        </w:tc>
        <w:tc>
          <w:tcPr>
            <w:tcW w:w="1980" w:type="dxa"/>
            <w:vAlign w:val="bottom"/>
          </w:tcPr>
          <w:p w:rsidR="00E6377A" w:rsidRPr="00B9663F" w:rsidRDefault="00E6377A" w:rsidP="00934C9B">
            <w:pPr>
              <w:jc w:val="right"/>
              <w:rPr>
                <w:b/>
                <w:sz w:val="20"/>
                <w:szCs w:val="20"/>
              </w:rPr>
            </w:pPr>
          </w:p>
        </w:tc>
        <w:tc>
          <w:tcPr>
            <w:tcW w:w="1890" w:type="dxa"/>
            <w:vAlign w:val="bottom"/>
          </w:tcPr>
          <w:p w:rsidR="00E6377A" w:rsidRPr="00B9663F" w:rsidRDefault="00E6377A" w:rsidP="00934C9B">
            <w:pPr>
              <w:jc w:val="right"/>
              <w:rPr>
                <w:b/>
                <w:sz w:val="20"/>
                <w:szCs w:val="20"/>
              </w:rPr>
            </w:pPr>
          </w:p>
        </w:tc>
      </w:tr>
      <w:tr w:rsidR="00E6377A" w:rsidRPr="00F65EDB" w:rsidTr="00B9663F">
        <w:trPr>
          <w:trHeight w:val="350"/>
        </w:trPr>
        <w:tc>
          <w:tcPr>
            <w:tcW w:w="2556" w:type="dxa"/>
            <w:shd w:val="pct10" w:color="auto" w:fill="auto"/>
            <w:vAlign w:val="center"/>
          </w:tcPr>
          <w:p w:rsidR="00E6377A" w:rsidRPr="00B9663F" w:rsidRDefault="00E6377A" w:rsidP="00934C9B">
            <w:pPr>
              <w:rPr>
                <w:b/>
                <w:sz w:val="20"/>
                <w:szCs w:val="20"/>
              </w:rPr>
            </w:pPr>
            <w:r w:rsidRPr="00B9663F">
              <w:rPr>
                <w:b/>
                <w:sz w:val="20"/>
                <w:szCs w:val="20"/>
              </w:rPr>
              <w:t>Total Non-Personnel</w:t>
            </w:r>
          </w:p>
        </w:tc>
        <w:tc>
          <w:tcPr>
            <w:tcW w:w="1044" w:type="dxa"/>
            <w:shd w:val="pct10" w:color="auto" w:fill="auto"/>
            <w:vAlign w:val="bottom"/>
          </w:tcPr>
          <w:p w:rsidR="00E6377A" w:rsidRPr="00B9663F" w:rsidRDefault="00E6377A" w:rsidP="00934C9B">
            <w:pPr>
              <w:pStyle w:val="xl19"/>
              <w:jc w:val="right"/>
              <w:rPr>
                <w:b/>
                <w:sz w:val="20"/>
                <w:szCs w:val="20"/>
              </w:rPr>
            </w:pPr>
          </w:p>
        </w:tc>
        <w:tc>
          <w:tcPr>
            <w:tcW w:w="990" w:type="dxa"/>
            <w:shd w:val="pct10" w:color="auto" w:fill="auto"/>
            <w:vAlign w:val="bottom"/>
          </w:tcPr>
          <w:p w:rsidR="00E6377A" w:rsidRPr="00B9663F" w:rsidRDefault="00E6377A" w:rsidP="00934C9B">
            <w:pPr>
              <w:jc w:val="right"/>
              <w:rPr>
                <w:b/>
                <w:sz w:val="20"/>
                <w:szCs w:val="20"/>
              </w:rPr>
            </w:pPr>
          </w:p>
        </w:tc>
        <w:tc>
          <w:tcPr>
            <w:tcW w:w="990" w:type="dxa"/>
            <w:shd w:val="pct10" w:color="auto" w:fill="auto"/>
            <w:vAlign w:val="bottom"/>
          </w:tcPr>
          <w:p w:rsidR="00E6377A" w:rsidRPr="00B9663F" w:rsidRDefault="00E6377A" w:rsidP="00934C9B">
            <w:pPr>
              <w:jc w:val="right"/>
              <w:rPr>
                <w:b/>
                <w:sz w:val="20"/>
                <w:szCs w:val="20"/>
              </w:rPr>
            </w:pPr>
            <w:r w:rsidRPr="00B9663F">
              <w:rPr>
                <w:b/>
                <w:sz w:val="20"/>
                <w:szCs w:val="20"/>
              </w:rPr>
              <w:t>($8,692)</w:t>
            </w:r>
          </w:p>
        </w:tc>
        <w:tc>
          <w:tcPr>
            <w:tcW w:w="1980" w:type="dxa"/>
            <w:vAlign w:val="bottom"/>
          </w:tcPr>
          <w:p w:rsidR="00E6377A" w:rsidRPr="00B9663F" w:rsidRDefault="00E6377A" w:rsidP="00934C9B">
            <w:pPr>
              <w:jc w:val="right"/>
              <w:rPr>
                <w:b/>
                <w:sz w:val="20"/>
                <w:szCs w:val="20"/>
              </w:rPr>
            </w:pPr>
          </w:p>
        </w:tc>
        <w:tc>
          <w:tcPr>
            <w:tcW w:w="1890" w:type="dxa"/>
            <w:vAlign w:val="bottom"/>
          </w:tcPr>
          <w:p w:rsidR="00E6377A" w:rsidRPr="00B9663F" w:rsidRDefault="00E6377A" w:rsidP="00934C9B">
            <w:pPr>
              <w:jc w:val="right"/>
              <w:rPr>
                <w:b/>
                <w:sz w:val="20"/>
                <w:szCs w:val="20"/>
              </w:rPr>
            </w:pPr>
          </w:p>
        </w:tc>
      </w:tr>
    </w:tbl>
    <w:p w:rsidR="00934C9B" w:rsidRDefault="00934C9B" w:rsidP="00934C9B">
      <w:pPr>
        <w:pStyle w:val="xl24"/>
        <w:tabs>
          <w:tab w:val="left" w:pos="3240"/>
        </w:tabs>
        <w:spacing w:before="0" w:beforeAutospacing="0" w:after="0" w:afterAutospacing="0"/>
        <w:outlineLvl w:val="0"/>
        <w:rPr>
          <w:u w:val="single"/>
        </w:rPr>
      </w:pPr>
    </w:p>
    <w:p w:rsidR="00934C9B" w:rsidRPr="00902EB4" w:rsidRDefault="00934C9B" w:rsidP="00934C9B">
      <w:pPr>
        <w:pStyle w:val="xl24"/>
        <w:tabs>
          <w:tab w:val="left" w:pos="3240"/>
        </w:tabs>
        <w:spacing w:before="0" w:beforeAutospacing="0" w:after="0" w:afterAutospacing="0"/>
        <w:outlineLvl w:val="0"/>
        <w:rPr>
          <w:u w:val="single"/>
        </w:rPr>
      </w:pPr>
      <w:r w:rsidRPr="00902EB4">
        <w:rPr>
          <w:u w:val="single"/>
        </w:rPr>
        <w:t>Total Request for this Item</w:t>
      </w:r>
    </w:p>
    <w:p w:rsidR="00934C9B" w:rsidRPr="00880707" w:rsidRDefault="00934C9B" w:rsidP="00934C9B">
      <w:pPr>
        <w:pStyle w:val="xl24"/>
        <w:spacing w:before="0" w:beforeAutospacing="0" w:after="0" w:afterAutospacing="0"/>
        <w:rPr>
          <w:b/>
          <w:highlight w:val="yellow"/>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630"/>
        <w:gridCol w:w="630"/>
        <w:gridCol w:w="720"/>
        <w:gridCol w:w="1170"/>
        <w:gridCol w:w="1080"/>
        <w:gridCol w:w="990"/>
        <w:gridCol w:w="1440"/>
        <w:gridCol w:w="1710"/>
      </w:tblGrid>
      <w:tr w:rsidR="00062274" w:rsidRPr="00CC5993" w:rsidTr="00B9663F">
        <w:trPr>
          <w:trHeight w:val="332"/>
        </w:trPr>
        <w:tc>
          <w:tcPr>
            <w:tcW w:w="1188" w:type="dxa"/>
            <w:shd w:val="clear" w:color="auto" w:fill="E6E6E6"/>
          </w:tcPr>
          <w:p w:rsidR="00062274" w:rsidRPr="00B9663F" w:rsidRDefault="00062274" w:rsidP="00934C9B">
            <w:pPr>
              <w:rPr>
                <w:sz w:val="20"/>
                <w:szCs w:val="20"/>
              </w:rPr>
            </w:pPr>
          </w:p>
        </w:tc>
        <w:tc>
          <w:tcPr>
            <w:tcW w:w="630" w:type="dxa"/>
            <w:vAlign w:val="center"/>
          </w:tcPr>
          <w:p w:rsidR="00062274" w:rsidRPr="00B9663F" w:rsidRDefault="00062274" w:rsidP="00934C9B">
            <w:pPr>
              <w:jc w:val="center"/>
              <w:rPr>
                <w:sz w:val="20"/>
                <w:szCs w:val="20"/>
              </w:rPr>
            </w:pPr>
            <w:r w:rsidRPr="00B9663F">
              <w:rPr>
                <w:sz w:val="20"/>
                <w:szCs w:val="20"/>
              </w:rPr>
              <w:t>Pos</w:t>
            </w:r>
          </w:p>
        </w:tc>
        <w:tc>
          <w:tcPr>
            <w:tcW w:w="630" w:type="dxa"/>
            <w:vAlign w:val="center"/>
          </w:tcPr>
          <w:p w:rsidR="00062274" w:rsidRPr="00B9663F" w:rsidRDefault="00062274" w:rsidP="00934C9B">
            <w:pPr>
              <w:jc w:val="center"/>
              <w:rPr>
                <w:sz w:val="20"/>
                <w:szCs w:val="20"/>
              </w:rPr>
            </w:pPr>
            <w:proofErr w:type="spellStart"/>
            <w:r w:rsidRPr="00B9663F">
              <w:rPr>
                <w:sz w:val="20"/>
                <w:szCs w:val="20"/>
              </w:rPr>
              <w:t>Agt</w:t>
            </w:r>
            <w:proofErr w:type="spellEnd"/>
          </w:p>
        </w:tc>
        <w:tc>
          <w:tcPr>
            <w:tcW w:w="720" w:type="dxa"/>
            <w:vAlign w:val="center"/>
          </w:tcPr>
          <w:p w:rsidR="00062274" w:rsidRPr="00B9663F" w:rsidRDefault="00062274" w:rsidP="00934C9B">
            <w:pPr>
              <w:jc w:val="center"/>
              <w:rPr>
                <w:sz w:val="20"/>
                <w:szCs w:val="20"/>
              </w:rPr>
            </w:pPr>
            <w:r w:rsidRPr="00B9663F">
              <w:rPr>
                <w:sz w:val="20"/>
                <w:szCs w:val="20"/>
              </w:rPr>
              <w:t>FTE</w:t>
            </w:r>
          </w:p>
        </w:tc>
        <w:tc>
          <w:tcPr>
            <w:tcW w:w="1170" w:type="dxa"/>
            <w:vAlign w:val="center"/>
          </w:tcPr>
          <w:p w:rsidR="00062274" w:rsidRPr="00B9663F" w:rsidRDefault="00062274" w:rsidP="00934C9B">
            <w:pPr>
              <w:jc w:val="center"/>
              <w:rPr>
                <w:sz w:val="20"/>
                <w:szCs w:val="20"/>
              </w:rPr>
            </w:pPr>
            <w:r w:rsidRPr="00B9663F">
              <w:rPr>
                <w:sz w:val="20"/>
                <w:szCs w:val="20"/>
              </w:rPr>
              <w:t>Personnel ($000)</w:t>
            </w:r>
          </w:p>
        </w:tc>
        <w:tc>
          <w:tcPr>
            <w:tcW w:w="1080" w:type="dxa"/>
            <w:vAlign w:val="center"/>
          </w:tcPr>
          <w:p w:rsidR="00062274" w:rsidRPr="00B9663F" w:rsidRDefault="00062274" w:rsidP="00934C9B">
            <w:pPr>
              <w:jc w:val="center"/>
              <w:rPr>
                <w:sz w:val="20"/>
                <w:szCs w:val="20"/>
              </w:rPr>
            </w:pPr>
            <w:r w:rsidRPr="00B9663F">
              <w:rPr>
                <w:sz w:val="20"/>
                <w:szCs w:val="20"/>
              </w:rPr>
              <w:t>Non-Personnel ($000)</w:t>
            </w:r>
          </w:p>
        </w:tc>
        <w:tc>
          <w:tcPr>
            <w:tcW w:w="990" w:type="dxa"/>
            <w:vAlign w:val="center"/>
          </w:tcPr>
          <w:p w:rsidR="00062274" w:rsidRPr="00B9663F" w:rsidRDefault="00062274" w:rsidP="00B96141">
            <w:pPr>
              <w:jc w:val="center"/>
              <w:rPr>
                <w:sz w:val="20"/>
                <w:szCs w:val="20"/>
              </w:rPr>
            </w:pPr>
            <w:r w:rsidRPr="00B9663F">
              <w:rPr>
                <w:sz w:val="20"/>
                <w:szCs w:val="20"/>
              </w:rPr>
              <w:t>Total ($000)</w:t>
            </w:r>
          </w:p>
        </w:tc>
        <w:tc>
          <w:tcPr>
            <w:tcW w:w="1440" w:type="dxa"/>
            <w:vAlign w:val="center"/>
          </w:tcPr>
          <w:p w:rsidR="00062274" w:rsidRPr="00B9663F" w:rsidRDefault="00062274" w:rsidP="00062274">
            <w:pPr>
              <w:jc w:val="center"/>
              <w:rPr>
                <w:sz w:val="20"/>
                <w:szCs w:val="20"/>
              </w:rPr>
            </w:pPr>
            <w:r w:rsidRPr="00B9663F">
              <w:rPr>
                <w:sz w:val="20"/>
                <w:szCs w:val="20"/>
              </w:rPr>
              <w:t>FY 2013 Net</w:t>
            </w:r>
          </w:p>
          <w:p w:rsidR="00062274" w:rsidRPr="00B9663F" w:rsidRDefault="00062274" w:rsidP="00062274">
            <w:pPr>
              <w:jc w:val="center"/>
              <w:rPr>
                <w:sz w:val="20"/>
                <w:szCs w:val="20"/>
              </w:rPr>
            </w:pPr>
            <w:r w:rsidRPr="00B9663F">
              <w:rPr>
                <w:sz w:val="20"/>
                <w:szCs w:val="20"/>
              </w:rPr>
              <w:t>Annualization</w:t>
            </w:r>
            <w:r w:rsidR="00B96141" w:rsidRPr="00B9663F">
              <w:rPr>
                <w:sz w:val="20"/>
                <w:szCs w:val="20"/>
              </w:rPr>
              <w:t xml:space="preserve"> (Change from 2012)</w:t>
            </w:r>
          </w:p>
        </w:tc>
        <w:tc>
          <w:tcPr>
            <w:tcW w:w="1710" w:type="dxa"/>
            <w:vAlign w:val="center"/>
          </w:tcPr>
          <w:p w:rsidR="00B96141" w:rsidRPr="00B9663F" w:rsidRDefault="00B96141" w:rsidP="00B96141">
            <w:pPr>
              <w:jc w:val="center"/>
              <w:rPr>
                <w:sz w:val="20"/>
                <w:szCs w:val="20"/>
              </w:rPr>
            </w:pPr>
            <w:r w:rsidRPr="00B9663F">
              <w:rPr>
                <w:sz w:val="20"/>
                <w:szCs w:val="20"/>
              </w:rPr>
              <w:t>FY 2014 Net</w:t>
            </w:r>
          </w:p>
          <w:p w:rsidR="00062274" w:rsidRPr="00B9663F" w:rsidRDefault="00B96141" w:rsidP="00B96141">
            <w:pPr>
              <w:jc w:val="center"/>
              <w:rPr>
                <w:sz w:val="20"/>
                <w:szCs w:val="20"/>
              </w:rPr>
            </w:pPr>
            <w:r w:rsidRPr="00B9663F">
              <w:rPr>
                <w:sz w:val="20"/>
                <w:szCs w:val="20"/>
              </w:rPr>
              <w:t>Annualization (Change from 2013)</w:t>
            </w:r>
          </w:p>
        </w:tc>
      </w:tr>
      <w:tr w:rsidR="00062274" w:rsidRPr="00CC5993" w:rsidTr="00B9663F">
        <w:trPr>
          <w:trHeight w:val="215"/>
        </w:trPr>
        <w:tc>
          <w:tcPr>
            <w:tcW w:w="1188" w:type="dxa"/>
          </w:tcPr>
          <w:p w:rsidR="00062274" w:rsidRPr="00B9663F" w:rsidRDefault="00062274" w:rsidP="00934C9B">
            <w:pPr>
              <w:rPr>
                <w:sz w:val="20"/>
                <w:szCs w:val="20"/>
              </w:rPr>
            </w:pPr>
            <w:r w:rsidRPr="00B9663F">
              <w:rPr>
                <w:sz w:val="20"/>
                <w:szCs w:val="20"/>
              </w:rPr>
              <w:t>Current Services</w:t>
            </w:r>
          </w:p>
        </w:tc>
        <w:tc>
          <w:tcPr>
            <w:tcW w:w="630" w:type="dxa"/>
            <w:vAlign w:val="center"/>
          </w:tcPr>
          <w:p w:rsidR="00062274" w:rsidRPr="00B9663F" w:rsidRDefault="00062274" w:rsidP="00934C9B">
            <w:pPr>
              <w:jc w:val="right"/>
              <w:rPr>
                <w:sz w:val="20"/>
                <w:szCs w:val="20"/>
              </w:rPr>
            </w:pPr>
            <w:r w:rsidRPr="00B9663F">
              <w:rPr>
                <w:sz w:val="20"/>
                <w:szCs w:val="20"/>
              </w:rPr>
              <w:t>0</w:t>
            </w:r>
          </w:p>
        </w:tc>
        <w:tc>
          <w:tcPr>
            <w:tcW w:w="630" w:type="dxa"/>
            <w:vAlign w:val="center"/>
          </w:tcPr>
          <w:p w:rsidR="00062274" w:rsidRPr="00B9663F" w:rsidRDefault="00062274" w:rsidP="00934C9B">
            <w:pPr>
              <w:jc w:val="right"/>
              <w:rPr>
                <w:sz w:val="20"/>
                <w:szCs w:val="20"/>
              </w:rPr>
            </w:pPr>
            <w:r w:rsidRPr="00B9663F">
              <w:rPr>
                <w:sz w:val="20"/>
                <w:szCs w:val="20"/>
              </w:rPr>
              <w:t>0</w:t>
            </w:r>
          </w:p>
        </w:tc>
        <w:tc>
          <w:tcPr>
            <w:tcW w:w="720" w:type="dxa"/>
            <w:vAlign w:val="center"/>
          </w:tcPr>
          <w:p w:rsidR="00062274" w:rsidRPr="00B9663F" w:rsidRDefault="00062274" w:rsidP="00934C9B">
            <w:pPr>
              <w:jc w:val="right"/>
              <w:rPr>
                <w:sz w:val="20"/>
                <w:szCs w:val="20"/>
              </w:rPr>
            </w:pPr>
            <w:r w:rsidRPr="00B9663F">
              <w:rPr>
                <w:sz w:val="20"/>
                <w:szCs w:val="20"/>
              </w:rPr>
              <w:t>0</w:t>
            </w:r>
          </w:p>
        </w:tc>
        <w:tc>
          <w:tcPr>
            <w:tcW w:w="1170" w:type="dxa"/>
            <w:vAlign w:val="center"/>
          </w:tcPr>
          <w:p w:rsidR="00062274" w:rsidRPr="00B9663F" w:rsidRDefault="00062274" w:rsidP="00934C9B">
            <w:pPr>
              <w:jc w:val="right"/>
              <w:rPr>
                <w:sz w:val="20"/>
                <w:szCs w:val="20"/>
              </w:rPr>
            </w:pPr>
            <w:r w:rsidRPr="00B9663F">
              <w:rPr>
                <w:sz w:val="20"/>
                <w:szCs w:val="20"/>
              </w:rPr>
              <w:t>0</w:t>
            </w:r>
          </w:p>
        </w:tc>
        <w:tc>
          <w:tcPr>
            <w:tcW w:w="1080" w:type="dxa"/>
            <w:vAlign w:val="center"/>
          </w:tcPr>
          <w:p w:rsidR="00062274" w:rsidRPr="00B9663F" w:rsidRDefault="0082437F" w:rsidP="0082437F">
            <w:pPr>
              <w:jc w:val="right"/>
              <w:rPr>
                <w:sz w:val="20"/>
                <w:szCs w:val="20"/>
              </w:rPr>
            </w:pPr>
            <w:r>
              <w:rPr>
                <w:sz w:val="20"/>
                <w:szCs w:val="20"/>
              </w:rPr>
              <w:t>14,965</w:t>
            </w:r>
          </w:p>
        </w:tc>
        <w:tc>
          <w:tcPr>
            <w:tcW w:w="990" w:type="dxa"/>
            <w:vAlign w:val="center"/>
          </w:tcPr>
          <w:p w:rsidR="00062274" w:rsidRPr="00B9663F" w:rsidRDefault="0082437F" w:rsidP="0082437F">
            <w:pPr>
              <w:jc w:val="right"/>
              <w:rPr>
                <w:sz w:val="20"/>
                <w:szCs w:val="20"/>
              </w:rPr>
            </w:pPr>
            <w:r>
              <w:rPr>
                <w:sz w:val="20"/>
                <w:szCs w:val="20"/>
              </w:rPr>
              <w:t>14,965</w:t>
            </w:r>
          </w:p>
        </w:tc>
        <w:tc>
          <w:tcPr>
            <w:tcW w:w="1440" w:type="dxa"/>
            <w:vAlign w:val="center"/>
          </w:tcPr>
          <w:p w:rsidR="00062274" w:rsidRPr="00B9663F" w:rsidRDefault="00735773" w:rsidP="00934C9B">
            <w:pPr>
              <w:jc w:val="right"/>
              <w:rPr>
                <w:sz w:val="20"/>
                <w:szCs w:val="20"/>
              </w:rPr>
            </w:pPr>
            <w:r>
              <w:rPr>
                <w:sz w:val="20"/>
                <w:szCs w:val="20"/>
              </w:rPr>
              <w:t>0</w:t>
            </w:r>
          </w:p>
        </w:tc>
        <w:tc>
          <w:tcPr>
            <w:tcW w:w="1710" w:type="dxa"/>
            <w:vAlign w:val="center"/>
          </w:tcPr>
          <w:p w:rsidR="00062274" w:rsidRPr="00B9663F" w:rsidRDefault="00735773" w:rsidP="00934C9B">
            <w:pPr>
              <w:jc w:val="right"/>
              <w:rPr>
                <w:sz w:val="20"/>
                <w:szCs w:val="20"/>
              </w:rPr>
            </w:pPr>
            <w:r>
              <w:rPr>
                <w:sz w:val="20"/>
                <w:szCs w:val="20"/>
              </w:rPr>
              <w:t>0</w:t>
            </w:r>
          </w:p>
        </w:tc>
      </w:tr>
      <w:tr w:rsidR="00062274" w:rsidRPr="00CC5993" w:rsidTr="00E370B4">
        <w:trPr>
          <w:trHeight w:val="377"/>
        </w:trPr>
        <w:tc>
          <w:tcPr>
            <w:tcW w:w="1188" w:type="dxa"/>
            <w:vAlign w:val="center"/>
          </w:tcPr>
          <w:p w:rsidR="00062274" w:rsidRPr="00B9663F" w:rsidRDefault="00062274" w:rsidP="00E370B4">
            <w:pPr>
              <w:rPr>
                <w:sz w:val="20"/>
                <w:szCs w:val="20"/>
              </w:rPr>
            </w:pPr>
            <w:r w:rsidRPr="00B9663F">
              <w:rPr>
                <w:sz w:val="20"/>
                <w:szCs w:val="20"/>
              </w:rPr>
              <w:t>Decreases</w:t>
            </w:r>
          </w:p>
        </w:tc>
        <w:tc>
          <w:tcPr>
            <w:tcW w:w="630" w:type="dxa"/>
            <w:vAlign w:val="center"/>
          </w:tcPr>
          <w:p w:rsidR="00062274" w:rsidRPr="00B9663F" w:rsidRDefault="00062274" w:rsidP="00934C9B">
            <w:pPr>
              <w:jc w:val="right"/>
              <w:rPr>
                <w:sz w:val="20"/>
                <w:szCs w:val="20"/>
              </w:rPr>
            </w:pPr>
            <w:r w:rsidRPr="00B9663F">
              <w:rPr>
                <w:sz w:val="20"/>
                <w:szCs w:val="20"/>
              </w:rPr>
              <w:t>0</w:t>
            </w:r>
          </w:p>
        </w:tc>
        <w:tc>
          <w:tcPr>
            <w:tcW w:w="630" w:type="dxa"/>
            <w:vAlign w:val="center"/>
          </w:tcPr>
          <w:p w:rsidR="00062274" w:rsidRPr="00B9663F" w:rsidRDefault="00062274" w:rsidP="00735773">
            <w:pPr>
              <w:jc w:val="right"/>
              <w:rPr>
                <w:sz w:val="20"/>
                <w:szCs w:val="20"/>
              </w:rPr>
            </w:pPr>
            <w:r w:rsidRPr="00B9663F">
              <w:rPr>
                <w:sz w:val="20"/>
                <w:szCs w:val="20"/>
              </w:rPr>
              <w:t>0</w:t>
            </w:r>
          </w:p>
        </w:tc>
        <w:tc>
          <w:tcPr>
            <w:tcW w:w="720" w:type="dxa"/>
            <w:vAlign w:val="center"/>
          </w:tcPr>
          <w:p w:rsidR="00062274" w:rsidRPr="00B9663F" w:rsidRDefault="00062274" w:rsidP="00934C9B">
            <w:pPr>
              <w:jc w:val="right"/>
              <w:rPr>
                <w:sz w:val="20"/>
                <w:szCs w:val="20"/>
              </w:rPr>
            </w:pPr>
            <w:r w:rsidRPr="00B9663F">
              <w:rPr>
                <w:sz w:val="20"/>
                <w:szCs w:val="20"/>
              </w:rPr>
              <w:t>0</w:t>
            </w:r>
          </w:p>
        </w:tc>
        <w:tc>
          <w:tcPr>
            <w:tcW w:w="1170" w:type="dxa"/>
            <w:vAlign w:val="center"/>
          </w:tcPr>
          <w:p w:rsidR="00062274" w:rsidRPr="00B9663F" w:rsidRDefault="00062274" w:rsidP="00934C9B">
            <w:pPr>
              <w:jc w:val="right"/>
              <w:rPr>
                <w:sz w:val="20"/>
                <w:szCs w:val="20"/>
              </w:rPr>
            </w:pPr>
            <w:r w:rsidRPr="00B9663F">
              <w:rPr>
                <w:sz w:val="20"/>
                <w:szCs w:val="20"/>
              </w:rPr>
              <w:t>0</w:t>
            </w:r>
          </w:p>
        </w:tc>
        <w:tc>
          <w:tcPr>
            <w:tcW w:w="1080" w:type="dxa"/>
            <w:vAlign w:val="center"/>
          </w:tcPr>
          <w:p w:rsidR="00062274" w:rsidRPr="00B9663F" w:rsidRDefault="00062274" w:rsidP="00934C9B">
            <w:pPr>
              <w:jc w:val="right"/>
              <w:rPr>
                <w:sz w:val="20"/>
                <w:szCs w:val="20"/>
              </w:rPr>
            </w:pPr>
            <w:r w:rsidRPr="00B9663F">
              <w:rPr>
                <w:sz w:val="20"/>
                <w:szCs w:val="20"/>
              </w:rPr>
              <w:t>(8,692)</w:t>
            </w:r>
          </w:p>
        </w:tc>
        <w:tc>
          <w:tcPr>
            <w:tcW w:w="990" w:type="dxa"/>
            <w:vAlign w:val="center"/>
          </w:tcPr>
          <w:p w:rsidR="00062274" w:rsidRPr="00B9663F" w:rsidRDefault="00B96141" w:rsidP="00934C9B">
            <w:pPr>
              <w:jc w:val="right"/>
              <w:rPr>
                <w:sz w:val="20"/>
                <w:szCs w:val="20"/>
              </w:rPr>
            </w:pPr>
            <w:r w:rsidRPr="00B9663F">
              <w:rPr>
                <w:sz w:val="20"/>
                <w:szCs w:val="20"/>
              </w:rPr>
              <w:t>(8,692)</w:t>
            </w:r>
          </w:p>
        </w:tc>
        <w:tc>
          <w:tcPr>
            <w:tcW w:w="1440" w:type="dxa"/>
            <w:vAlign w:val="center"/>
          </w:tcPr>
          <w:p w:rsidR="00062274" w:rsidRPr="00B9663F" w:rsidRDefault="00735773" w:rsidP="00934C9B">
            <w:pPr>
              <w:jc w:val="right"/>
              <w:rPr>
                <w:sz w:val="20"/>
                <w:szCs w:val="20"/>
              </w:rPr>
            </w:pPr>
            <w:r>
              <w:rPr>
                <w:sz w:val="20"/>
                <w:szCs w:val="20"/>
              </w:rPr>
              <w:t>0</w:t>
            </w:r>
          </w:p>
        </w:tc>
        <w:tc>
          <w:tcPr>
            <w:tcW w:w="1710" w:type="dxa"/>
            <w:vAlign w:val="center"/>
          </w:tcPr>
          <w:p w:rsidR="00062274" w:rsidRPr="00B9663F" w:rsidRDefault="00735773" w:rsidP="00934C9B">
            <w:pPr>
              <w:jc w:val="right"/>
              <w:rPr>
                <w:sz w:val="20"/>
                <w:szCs w:val="20"/>
              </w:rPr>
            </w:pPr>
            <w:r>
              <w:rPr>
                <w:sz w:val="20"/>
                <w:szCs w:val="20"/>
              </w:rPr>
              <w:t>0</w:t>
            </w:r>
          </w:p>
        </w:tc>
      </w:tr>
      <w:tr w:rsidR="00062274" w:rsidRPr="00CC5993" w:rsidTr="00B9663F">
        <w:trPr>
          <w:trHeight w:val="260"/>
        </w:trPr>
        <w:tc>
          <w:tcPr>
            <w:tcW w:w="1188" w:type="dxa"/>
          </w:tcPr>
          <w:p w:rsidR="00062274" w:rsidRPr="00B9663F" w:rsidRDefault="00062274" w:rsidP="00934C9B">
            <w:pPr>
              <w:rPr>
                <w:sz w:val="20"/>
                <w:szCs w:val="20"/>
              </w:rPr>
            </w:pPr>
            <w:r w:rsidRPr="00B9663F">
              <w:rPr>
                <w:sz w:val="20"/>
                <w:szCs w:val="20"/>
              </w:rPr>
              <w:t>Grand Total</w:t>
            </w:r>
          </w:p>
        </w:tc>
        <w:tc>
          <w:tcPr>
            <w:tcW w:w="630" w:type="dxa"/>
            <w:vAlign w:val="center"/>
          </w:tcPr>
          <w:p w:rsidR="00062274" w:rsidRPr="00B9663F" w:rsidRDefault="00062274" w:rsidP="00934C9B">
            <w:pPr>
              <w:jc w:val="right"/>
              <w:rPr>
                <w:sz w:val="20"/>
                <w:szCs w:val="20"/>
              </w:rPr>
            </w:pPr>
            <w:r w:rsidRPr="00B9663F">
              <w:rPr>
                <w:sz w:val="20"/>
                <w:szCs w:val="20"/>
              </w:rPr>
              <w:t>0</w:t>
            </w:r>
          </w:p>
        </w:tc>
        <w:tc>
          <w:tcPr>
            <w:tcW w:w="630" w:type="dxa"/>
            <w:vAlign w:val="center"/>
          </w:tcPr>
          <w:p w:rsidR="00062274" w:rsidRPr="00B9663F" w:rsidRDefault="00062274" w:rsidP="00934C9B">
            <w:pPr>
              <w:jc w:val="right"/>
              <w:rPr>
                <w:sz w:val="20"/>
                <w:szCs w:val="20"/>
              </w:rPr>
            </w:pPr>
            <w:r w:rsidRPr="00B9663F">
              <w:rPr>
                <w:sz w:val="20"/>
                <w:szCs w:val="20"/>
              </w:rPr>
              <w:t>0</w:t>
            </w:r>
          </w:p>
        </w:tc>
        <w:tc>
          <w:tcPr>
            <w:tcW w:w="720" w:type="dxa"/>
            <w:vAlign w:val="center"/>
          </w:tcPr>
          <w:p w:rsidR="00062274" w:rsidRPr="00B9663F" w:rsidRDefault="00062274" w:rsidP="00934C9B">
            <w:pPr>
              <w:jc w:val="right"/>
              <w:rPr>
                <w:sz w:val="20"/>
                <w:szCs w:val="20"/>
              </w:rPr>
            </w:pPr>
            <w:r w:rsidRPr="00B9663F">
              <w:rPr>
                <w:sz w:val="20"/>
                <w:szCs w:val="20"/>
              </w:rPr>
              <w:t>0</w:t>
            </w:r>
          </w:p>
        </w:tc>
        <w:tc>
          <w:tcPr>
            <w:tcW w:w="1170" w:type="dxa"/>
            <w:vAlign w:val="center"/>
          </w:tcPr>
          <w:p w:rsidR="00062274" w:rsidRPr="00B9663F" w:rsidRDefault="00062274" w:rsidP="00934C9B">
            <w:pPr>
              <w:jc w:val="right"/>
              <w:rPr>
                <w:sz w:val="20"/>
                <w:szCs w:val="20"/>
              </w:rPr>
            </w:pPr>
            <w:r w:rsidRPr="00B9663F">
              <w:rPr>
                <w:sz w:val="20"/>
                <w:szCs w:val="20"/>
              </w:rPr>
              <w:t>0</w:t>
            </w:r>
          </w:p>
        </w:tc>
        <w:tc>
          <w:tcPr>
            <w:tcW w:w="1080" w:type="dxa"/>
            <w:vAlign w:val="center"/>
          </w:tcPr>
          <w:p w:rsidR="00062274" w:rsidRPr="00B9663F" w:rsidRDefault="0082437F" w:rsidP="0082437F">
            <w:pPr>
              <w:jc w:val="right"/>
              <w:rPr>
                <w:sz w:val="20"/>
                <w:szCs w:val="20"/>
              </w:rPr>
            </w:pPr>
            <w:r>
              <w:rPr>
                <w:sz w:val="20"/>
                <w:szCs w:val="20"/>
              </w:rPr>
              <w:t>6,273</w:t>
            </w:r>
          </w:p>
        </w:tc>
        <w:tc>
          <w:tcPr>
            <w:tcW w:w="990" w:type="dxa"/>
            <w:vAlign w:val="center"/>
          </w:tcPr>
          <w:p w:rsidR="00062274" w:rsidRPr="00B9663F" w:rsidRDefault="0082437F" w:rsidP="0082437F">
            <w:pPr>
              <w:jc w:val="right"/>
              <w:rPr>
                <w:sz w:val="20"/>
                <w:szCs w:val="20"/>
              </w:rPr>
            </w:pPr>
            <w:r>
              <w:rPr>
                <w:sz w:val="20"/>
                <w:szCs w:val="20"/>
              </w:rPr>
              <w:t>6,273</w:t>
            </w:r>
          </w:p>
        </w:tc>
        <w:tc>
          <w:tcPr>
            <w:tcW w:w="1440" w:type="dxa"/>
            <w:vAlign w:val="center"/>
          </w:tcPr>
          <w:p w:rsidR="00062274" w:rsidRPr="00B9663F" w:rsidRDefault="00735773" w:rsidP="00934C9B">
            <w:pPr>
              <w:jc w:val="right"/>
              <w:rPr>
                <w:sz w:val="20"/>
                <w:szCs w:val="20"/>
              </w:rPr>
            </w:pPr>
            <w:r>
              <w:rPr>
                <w:sz w:val="20"/>
                <w:szCs w:val="20"/>
              </w:rPr>
              <w:t>0</w:t>
            </w:r>
          </w:p>
        </w:tc>
        <w:tc>
          <w:tcPr>
            <w:tcW w:w="1710" w:type="dxa"/>
            <w:vAlign w:val="center"/>
          </w:tcPr>
          <w:p w:rsidR="00062274" w:rsidRPr="00B9663F" w:rsidRDefault="00735773" w:rsidP="00934C9B">
            <w:pPr>
              <w:jc w:val="right"/>
              <w:rPr>
                <w:sz w:val="20"/>
                <w:szCs w:val="20"/>
              </w:rPr>
            </w:pPr>
            <w:r>
              <w:rPr>
                <w:sz w:val="20"/>
                <w:szCs w:val="20"/>
              </w:rPr>
              <w:t>0</w:t>
            </w:r>
          </w:p>
        </w:tc>
      </w:tr>
    </w:tbl>
    <w:p w:rsidR="00FE5B74" w:rsidRDefault="00FE5B74">
      <w:pPr>
        <w:rPr>
          <w:rFonts w:cs="Arial"/>
          <w:b/>
        </w:rPr>
      </w:pPr>
      <w:r>
        <w:rPr>
          <w:rFonts w:cs="Arial"/>
          <w:b/>
        </w:rPr>
        <w:br w:type="page"/>
      </w:r>
    </w:p>
    <w:p w:rsidR="00B84604" w:rsidRPr="000C1B36" w:rsidRDefault="00B84604" w:rsidP="00B84604">
      <w:pPr>
        <w:pStyle w:val="xl19"/>
        <w:tabs>
          <w:tab w:val="left" w:pos="3420"/>
          <w:tab w:val="right" w:pos="8640"/>
        </w:tabs>
        <w:outlineLvl w:val="0"/>
        <w:rPr>
          <w:b/>
          <w:bCs/>
        </w:rPr>
      </w:pPr>
      <w:r w:rsidRPr="00426C49">
        <w:rPr>
          <w:b/>
          <w:bCs/>
        </w:rPr>
        <w:lastRenderedPageBreak/>
        <w:t>Item Name:</w:t>
      </w:r>
      <w:r w:rsidRPr="00426C49">
        <w:rPr>
          <w:b/>
          <w:bCs/>
        </w:rPr>
        <w:tab/>
      </w:r>
      <w:r>
        <w:rPr>
          <w:b/>
          <w:bCs/>
        </w:rPr>
        <w:t>State and Local Training Reduction</w:t>
      </w:r>
    </w:p>
    <w:p w:rsidR="00B84604" w:rsidRPr="00426C49" w:rsidRDefault="00B84604" w:rsidP="00B84604">
      <w:pPr>
        <w:pStyle w:val="xl19"/>
        <w:tabs>
          <w:tab w:val="left" w:pos="3420"/>
          <w:tab w:val="right" w:pos="8640"/>
        </w:tabs>
      </w:pPr>
      <w:r w:rsidRPr="00426C49">
        <w:t xml:space="preserve">                                     </w:t>
      </w:r>
    </w:p>
    <w:p w:rsidR="00B84604" w:rsidRPr="00C16770" w:rsidRDefault="00B84604" w:rsidP="00B84604">
      <w:pPr>
        <w:pStyle w:val="xl19"/>
        <w:tabs>
          <w:tab w:val="left" w:pos="3420"/>
          <w:tab w:val="right" w:pos="8640"/>
        </w:tabs>
        <w:ind w:left="3420" w:hanging="3420"/>
      </w:pPr>
      <w:r w:rsidRPr="00C16770">
        <w:rPr>
          <w:bCs/>
        </w:rPr>
        <w:t>Budget Decision Unit(s):</w:t>
      </w:r>
      <w:r w:rsidRPr="00C16770">
        <w:t xml:space="preserve"> </w:t>
      </w:r>
      <w:r w:rsidRPr="00C16770">
        <w:tab/>
      </w:r>
      <w:r>
        <w:t>Bureau-wide</w:t>
      </w:r>
    </w:p>
    <w:p w:rsidR="00B84604" w:rsidRPr="00C16770" w:rsidRDefault="00B84604" w:rsidP="00B84604">
      <w:pPr>
        <w:pStyle w:val="xl19"/>
        <w:tabs>
          <w:tab w:val="left" w:pos="3420"/>
          <w:tab w:val="right" w:pos="8640"/>
        </w:tabs>
      </w:pPr>
      <w:r w:rsidRPr="00C16770">
        <w:tab/>
        <w:t xml:space="preserve">                                                     </w:t>
      </w:r>
    </w:p>
    <w:p w:rsidR="00B84604" w:rsidRPr="00C16770" w:rsidRDefault="00B84604" w:rsidP="00B84604">
      <w:pPr>
        <w:pStyle w:val="xl19"/>
        <w:tabs>
          <w:tab w:val="left" w:pos="3420"/>
          <w:tab w:val="right" w:pos="8640"/>
        </w:tabs>
        <w:ind w:left="3420" w:hanging="3420"/>
      </w:pPr>
      <w:r w:rsidRPr="00C16770">
        <w:rPr>
          <w:bCs/>
        </w:rPr>
        <w:t>Strategic Goal(s) &amp; Objective(s):</w:t>
      </w:r>
      <w:r w:rsidRPr="00C16770">
        <w:t xml:space="preserve"> </w:t>
      </w:r>
      <w:r w:rsidRPr="00C16770">
        <w:tab/>
        <w:t xml:space="preserve">Strategic Goal 1: Prevent Terrorism and Promote the Nation’s Security, Objectives 1.1 and 1.2; </w:t>
      </w:r>
      <w:r w:rsidRPr="00C16770">
        <w:tab/>
      </w:r>
    </w:p>
    <w:p w:rsidR="00B84604" w:rsidRPr="00C16770" w:rsidRDefault="00B84604" w:rsidP="00B84604">
      <w:pPr>
        <w:pStyle w:val="xl19"/>
        <w:tabs>
          <w:tab w:val="left" w:pos="3420"/>
          <w:tab w:val="right" w:pos="8640"/>
        </w:tabs>
        <w:ind w:left="3420" w:hanging="3420"/>
      </w:pPr>
    </w:p>
    <w:p w:rsidR="00B84604" w:rsidRPr="00C16770" w:rsidRDefault="00B84604" w:rsidP="00B84604">
      <w:pPr>
        <w:pStyle w:val="xl19"/>
        <w:tabs>
          <w:tab w:val="left" w:pos="3420"/>
          <w:tab w:val="right" w:pos="8640"/>
        </w:tabs>
        <w:ind w:left="3420"/>
      </w:pPr>
      <w:r w:rsidRPr="00C16770">
        <w:t>Strategic Goal 2: Prevent Crime, Enforce Federal Laws, and Represent the Rights and Interests of the American People, Objectives 2.1, 2.2</w:t>
      </w:r>
    </w:p>
    <w:p w:rsidR="00B84604" w:rsidRPr="00C16770" w:rsidRDefault="00B84604" w:rsidP="00B84604">
      <w:pPr>
        <w:pStyle w:val="xl19"/>
        <w:tabs>
          <w:tab w:val="left" w:pos="3420"/>
          <w:tab w:val="right" w:pos="8640"/>
        </w:tabs>
      </w:pPr>
    </w:p>
    <w:p w:rsidR="00B84604" w:rsidRPr="00C16770" w:rsidRDefault="00B84604" w:rsidP="00B84604">
      <w:pPr>
        <w:pStyle w:val="xl19"/>
        <w:tabs>
          <w:tab w:val="left" w:pos="3420"/>
          <w:tab w:val="right" w:pos="8640"/>
        </w:tabs>
      </w:pPr>
      <w:r w:rsidRPr="00C16770">
        <w:rPr>
          <w:bCs/>
        </w:rPr>
        <w:t>Organizational Program</w:t>
      </w:r>
      <w:r w:rsidRPr="00C16770">
        <w:t>:</w:t>
      </w:r>
      <w:r w:rsidRPr="00C16770">
        <w:tab/>
      </w:r>
      <w:r>
        <w:t>Bureau-wide</w:t>
      </w:r>
    </w:p>
    <w:p w:rsidR="00B84604" w:rsidRPr="00C16770" w:rsidRDefault="00B84604" w:rsidP="00B84604">
      <w:pPr>
        <w:pStyle w:val="xl19"/>
        <w:tabs>
          <w:tab w:val="left" w:pos="3420"/>
          <w:tab w:val="right" w:pos="8640"/>
        </w:tabs>
      </w:pPr>
      <w:r w:rsidRPr="00C16770">
        <w:tab/>
      </w:r>
    </w:p>
    <w:p w:rsidR="00B84604" w:rsidRPr="00C16770" w:rsidRDefault="00B84604" w:rsidP="00B84604">
      <w:pPr>
        <w:pStyle w:val="xl19"/>
        <w:tabs>
          <w:tab w:val="left" w:pos="3420"/>
          <w:tab w:val="right" w:pos="8640"/>
        </w:tabs>
      </w:pPr>
      <w:r w:rsidRPr="00C16770">
        <w:t>Component Ranking of Item:</w:t>
      </w:r>
      <w:r w:rsidRPr="00C16770">
        <w:tab/>
        <w:t xml:space="preserve">Item </w:t>
      </w:r>
      <w:r>
        <w:t>3</w:t>
      </w:r>
      <w:r w:rsidRPr="00C16770">
        <w:t xml:space="preserve"> of </w:t>
      </w:r>
      <w:r>
        <w:t>8</w:t>
      </w:r>
    </w:p>
    <w:p w:rsidR="00B84604" w:rsidRPr="00C16770" w:rsidRDefault="00B84604" w:rsidP="00B84604">
      <w:pPr>
        <w:pStyle w:val="xl19"/>
        <w:tabs>
          <w:tab w:val="left" w:pos="3420"/>
          <w:tab w:val="right" w:pos="8640"/>
        </w:tabs>
        <w:rPr>
          <w:u w:val="single"/>
        </w:rPr>
      </w:pPr>
    </w:p>
    <w:p w:rsidR="00B84604" w:rsidRPr="00CA4EC0" w:rsidRDefault="00B84604" w:rsidP="00B84604">
      <w:pPr>
        <w:pStyle w:val="xl19"/>
        <w:tabs>
          <w:tab w:val="left" w:pos="2340"/>
          <w:tab w:val="right" w:pos="3060"/>
          <w:tab w:val="left" w:pos="3420"/>
          <w:tab w:val="right" w:pos="4500"/>
          <w:tab w:val="left" w:pos="5310"/>
          <w:tab w:val="right" w:pos="6300"/>
        </w:tabs>
      </w:pPr>
      <w:r w:rsidRPr="00C16770">
        <w:rPr>
          <w:bCs/>
        </w:rPr>
        <w:t xml:space="preserve">Program </w:t>
      </w:r>
      <w:r w:rsidR="00A86176">
        <w:rPr>
          <w:bCs/>
        </w:rPr>
        <w:t>Offset</w:t>
      </w:r>
      <w:r w:rsidRPr="00C16770">
        <w:t>:</w:t>
      </w:r>
      <w:r w:rsidRPr="00426C49">
        <w:rPr>
          <w:b/>
        </w:rPr>
        <w:t xml:space="preserve"> </w:t>
      </w:r>
      <w:r w:rsidRPr="00426C49">
        <w:t xml:space="preserve"> </w:t>
      </w:r>
      <w:r w:rsidR="009D3B79">
        <w:tab/>
      </w:r>
      <w:r w:rsidR="009D3B79">
        <w:tab/>
      </w:r>
      <w:r w:rsidR="009D3B79">
        <w:tab/>
      </w:r>
      <w:r w:rsidRPr="00426C49">
        <w:t xml:space="preserve">Positions: </w:t>
      </w:r>
      <w:r w:rsidRPr="00426C49">
        <w:rPr>
          <w:u w:val="single"/>
        </w:rPr>
        <w:t xml:space="preserve"> </w:t>
      </w:r>
      <w:proofErr w:type="gramStart"/>
      <w:r>
        <w:rPr>
          <w:u w:val="single"/>
        </w:rPr>
        <w:t>0</w:t>
      </w:r>
      <w:r w:rsidRPr="00426C49">
        <w:t xml:space="preserve">   Agent</w:t>
      </w:r>
      <w:proofErr w:type="gramEnd"/>
      <w:r w:rsidRPr="00426C49">
        <w:t xml:space="preserve">: </w:t>
      </w:r>
      <w:r w:rsidRPr="00426C49">
        <w:rPr>
          <w:u w:val="single"/>
        </w:rPr>
        <w:t xml:space="preserve"> </w:t>
      </w:r>
      <w:r>
        <w:rPr>
          <w:u w:val="single"/>
        </w:rPr>
        <w:t>0</w:t>
      </w:r>
      <w:r w:rsidRPr="00426C49">
        <w:rPr>
          <w:u w:val="single"/>
        </w:rPr>
        <w:t xml:space="preserve"> </w:t>
      </w:r>
      <w:r w:rsidRPr="00426C49">
        <w:t xml:space="preserve">  FTE: </w:t>
      </w:r>
      <w:r w:rsidRPr="00426C49">
        <w:rPr>
          <w:u w:val="single"/>
        </w:rPr>
        <w:t xml:space="preserve"> </w:t>
      </w:r>
      <w:r>
        <w:rPr>
          <w:u w:val="single"/>
        </w:rPr>
        <w:t>0</w:t>
      </w:r>
      <w:r w:rsidRPr="00426C49">
        <w:t xml:space="preserve">  </w:t>
      </w:r>
      <w:r>
        <w:t xml:space="preserve"> </w:t>
      </w:r>
      <w:r w:rsidRPr="00426C49">
        <w:t xml:space="preserve">Dollars </w:t>
      </w:r>
      <w:r>
        <w:rPr>
          <w:u w:val="single"/>
        </w:rPr>
        <w:t>($4,000,000)</w:t>
      </w:r>
    </w:p>
    <w:p w:rsidR="00B84604" w:rsidRPr="00426C49" w:rsidRDefault="00B84604" w:rsidP="00B84604">
      <w:pPr>
        <w:pStyle w:val="xl19"/>
        <w:tabs>
          <w:tab w:val="left" w:pos="2340"/>
          <w:tab w:val="right" w:pos="3060"/>
          <w:tab w:val="left" w:pos="3420"/>
          <w:tab w:val="right" w:pos="4500"/>
          <w:tab w:val="left" w:pos="5310"/>
          <w:tab w:val="right" w:pos="6300"/>
        </w:tabs>
      </w:pPr>
      <w:r w:rsidRPr="00426C49">
        <w:rPr>
          <w:bCs/>
        </w:rPr>
        <w:t xml:space="preserve">                          </w:t>
      </w:r>
    </w:p>
    <w:p w:rsidR="00B84604" w:rsidRPr="003307E1" w:rsidRDefault="00B84604" w:rsidP="00B84604">
      <w:pPr>
        <w:pStyle w:val="Header"/>
        <w:outlineLvl w:val="0"/>
        <w:rPr>
          <w:bCs/>
          <w:u w:val="single"/>
        </w:rPr>
      </w:pPr>
      <w:r w:rsidRPr="003307E1">
        <w:rPr>
          <w:bCs/>
          <w:u w:val="single"/>
        </w:rPr>
        <w:t>Description of Item</w:t>
      </w:r>
    </w:p>
    <w:p w:rsidR="00B84604" w:rsidRDefault="00B84604" w:rsidP="00B84604">
      <w:pPr>
        <w:rPr>
          <w:bCs/>
          <w:u w:val="single"/>
        </w:rPr>
      </w:pPr>
    </w:p>
    <w:p w:rsidR="00B84604" w:rsidRPr="00D95367" w:rsidRDefault="00B84604" w:rsidP="00B84604">
      <w:pPr>
        <w:rPr>
          <w:bCs/>
        </w:rPr>
      </w:pPr>
      <w:r w:rsidRPr="005C1126">
        <w:rPr>
          <w:bCs/>
        </w:rPr>
        <w:t>This request reflects an offset to ATF’s State and Local Training Program</w:t>
      </w:r>
      <w:r w:rsidR="00891A64">
        <w:rPr>
          <w:bCs/>
        </w:rPr>
        <w:t>.</w:t>
      </w:r>
      <w:r w:rsidRPr="005C1126">
        <w:rPr>
          <w:bCs/>
        </w:rPr>
        <w:t xml:space="preserve"> </w:t>
      </w:r>
    </w:p>
    <w:p w:rsidR="00B84604" w:rsidRDefault="00B84604" w:rsidP="00B84604">
      <w:pPr>
        <w:jc w:val="center"/>
        <w:rPr>
          <w:b/>
        </w:rPr>
      </w:pPr>
    </w:p>
    <w:p w:rsidR="00B84604" w:rsidRPr="004E1020" w:rsidRDefault="00B84604" w:rsidP="00B84604">
      <w:pPr>
        <w:pStyle w:val="Header"/>
        <w:outlineLvl w:val="0"/>
        <w:rPr>
          <w:bCs/>
          <w:u w:val="single"/>
        </w:rPr>
      </w:pPr>
      <w:r w:rsidRPr="004E1020">
        <w:rPr>
          <w:bCs/>
          <w:u w:val="single"/>
        </w:rPr>
        <w:t>Justification</w:t>
      </w:r>
    </w:p>
    <w:p w:rsidR="00B84604" w:rsidRDefault="00B84604" w:rsidP="00B84604">
      <w:pPr>
        <w:pStyle w:val="Header"/>
        <w:outlineLvl w:val="0"/>
        <w:rPr>
          <w:bCs/>
        </w:rPr>
      </w:pPr>
    </w:p>
    <w:p w:rsidR="00B84604" w:rsidRDefault="00891A64" w:rsidP="00B84604">
      <w:pPr>
        <w:pStyle w:val="Header"/>
        <w:outlineLvl w:val="0"/>
      </w:pPr>
      <w:r>
        <w:t xml:space="preserve">ATF will </w:t>
      </w:r>
      <w:r w:rsidR="00FA459E">
        <w:t>reduce the availability of</w:t>
      </w:r>
      <w:r>
        <w:t xml:space="preserve"> </w:t>
      </w:r>
      <w:r w:rsidR="00FA459E">
        <w:t xml:space="preserve">some types of </w:t>
      </w:r>
      <w:r>
        <w:t xml:space="preserve">training to its non-Federal </w:t>
      </w:r>
      <w:r w:rsidR="00B84604">
        <w:t xml:space="preserve">State and </w:t>
      </w:r>
      <w:r w:rsidR="00735773">
        <w:t>l</w:t>
      </w:r>
      <w:r w:rsidR="00B84604">
        <w:t xml:space="preserve">ocal law enforcement </w:t>
      </w:r>
      <w:r>
        <w:t>partners</w:t>
      </w:r>
      <w:r w:rsidR="00B84604">
        <w:t xml:space="preserve">.  </w:t>
      </w:r>
    </w:p>
    <w:p w:rsidR="00B84604" w:rsidRDefault="00B84604" w:rsidP="00B84604">
      <w:pPr>
        <w:pStyle w:val="Header"/>
        <w:outlineLvl w:val="0"/>
      </w:pPr>
    </w:p>
    <w:p w:rsidR="00B84604" w:rsidRPr="004E1020" w:rsidRDefault="00B84604" w:rsidP="00B84604">
      <w:pPr>
        <w:pStyle w:val="Header"/>
        <w:outlineLvl w:val="0"/>
        <w:rPr>
          <w:bCs/>
          <w:u w:val="single"/>
        </w:rPr>
      </w:pPr>
      <w:r w:rsidRPr="004E1020">
        <w:rPr>
          <w:bCs/>
          <w:u w:val="single"/>
        </w:rPr>
        <w:t>Impact on Performance (Relationship of Increase to Strategic Goals)</w:t>
      </w:r>
    </w:p>
    <w:p w:rsidR="00B84604" w:rsidRPr="004E1020" w:rsidRDefault="00B84604" w:rsidP="00B84604">
      <w:pPr>
        <w:pStyle w:val="Header"/>
        <w:outlineLvl w:val="0"/>
        <w:rPr>
          <w:bCs/>
        </w:rPr>
      </w:pPr>
    </w:p>
    <w:p w:rsidR="00B84604" w:rsidRDefault="00F356FB" w:rsidP="00B84604">
      <w:pPr>
        <w:tabs>
          <w:tab w:val="left" w:pos="0"/>
        </w:tabs>
      </w:pPr>
      <w:r>
        <w:t>T</w:t>
      </w:r>
      <w:r w:rsidR="00FA459E">
        <w:t>raining opportunities provided to non-Federal partners will become more limited, although ATF will explore options for continuing the most critical training.</w:t>
      </w:r>
    </w:p>
    <w:p w:rsidR="00B84604" w:rsidRPr="00F172BE" w:rsidRDefault="00B84604" w:rsidP="00B84604">
      <w:pPr>
        <w:jc w:val="center"/>
        <w:rPr>
          <w:b/>
        </w:rPr>
      </w:pPr>
      <w:r w:rsidRPr="006B1E04">
        <w:br w:type="page"/>
      </w:r>
      <w:r w:rsidRPr="00F172BE">
        <w:rPr>
          <w:b/>
        </w:rPr>
        <w:lastRenderedPageBreak/>
        <w:t>Funding</w:t>
      </w:r>
    </w:p>
    <w:p w:rsidR="00B84604" w:rsidRDefault="00B84604" w:rsidP="00B84604"/>
    <w:p w:rsidR="00B84604" w:rsidRPr="00426C49" w:rsidRDefault="00B84604" w:rsidP="00B84604">
      <w:pPr>
        <w:pStyle w:val="Header"/>
        <w:tabs>
          <w:tab w:val="left" w:pos="1440"/>
          <w:tab w:val="left" w:pos="1980"/>
          <w:tab w:val="right" w:pos="9360"/>
        </w:tabs>
        <w:outlineLvl w:val="0"/>
        <w:rPr>
          <w:u w:val="single"/>
        </w:rPr>
      </w:pPr>
      <w:r w:rsidRPr="00426C49">
        <w:rPr>
          <w:u w:val="single"/>
        </w:rPr>
        <w:t>Base Funding</w:t>
      </w:r>
    </w:p>
    <w:p w:rsidR="00B84604" w:rsidRDefault="00B84604" w:rsidP="00B84604">
      <w:pPr>
        <w:pStyle w:val="Header"/>
        <w:tabs>
          <w:tab w:val="left" w:pos="1440"/>
          <w:tab w:val="left" w:pos="1980"/>
          <w:tab w:val="right" w:pos="9360"/>
        </w:tabs>
        <w:rPr>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763"/>
        <w:gridCol w:w="1395"/>
        <w:gridCol w:w="603"/>
        <w:gridCol w:w="607"/>
        <w:gridCol w:w="672"/>
        <w:gridCol w:w="1358"/>
        <w:gridCol w:w="590"/>
        <w:gridCol w:w="607"/>
        <w:gridCol w:w="672"/>
        <w:gridCol w:w="1180"/>
      </w:tblGrid>
      <w:tr w:rsidR="00B84604" w:rsidRPr="00CC5993" w:rsidTr="008C7132">
        <w:tc>
          <w:tcPr>
            <w:tcW w:w="3359" w:type="dxa"/>
            <w:gridSpan w:val="4"/>
            <w:shd w:val="clear" w:color="auto" w:fill="E6E6E6"/>
          </w:tcPr>
          <w:p w:rsidR="00B84604" w:rsidRPr="001E1CC3" w:rsidRDefault="00B84604" w:rsidP="00126F07">
            <w:pPr>
              <w:pStyle w:val="Heading7"/>
              <w:rPr>
                <w:b w:val="0"/>
                <w:szCs w:val="24"/>
              </w:rPr>
            </w:pPr>
            <w:r w:rsidRPr="001E1CC3">
              <w:rPr>
                <w:b w:val="0"/>
                <w:szCs w:val="24"/>
              </w:rPr>
              <w:t>FY 20</w:t>
            </w:r>
            <w:r>
              <w:rPr>
                <w:b w:val="0"/>
                <w:szCs w:val="24"/>
              </w:rPr>
              <w:t>10</w:t>
            </w:r>
            <w:r w:rsidRPr="001E1CC3">
              <w:rPr>
                <w:b w:val="0"/>
                <w:szCs w:val="24"/>
              </w:rPr>
              <w:t xml:space="preserve"> Enacted </w:t>
            </w:r>
          </w:p>
        </w:tc>
        <w:tc>
          <w:tcPr>
            <w:tcW w:w="3240" w:type="dxa"/>
            <w:gridSpan w:val="4"/>
            <w:shd w:val="clear" w:color="auto" w:fill="E6E6E6"/>
          </w:tcPr>
          <w:p w:rsidR="00B84604" w:rsidRPr="001E1CC3" w:rsidRDefault="00B84604" w:rsidP="00126F07">
            <w:pPr>
              <w:pStyle w:val="Heading7"/>
              <w:rPr>
                <w:b w:val="0"/>
                <w:szCs w:val="24"/>
              </w:rPr>
            </w:pPr>
            <w:r w:rsidRPr="001E1CC3">
              <w:rPr>
                <w:b w:val="0"/>
                <w:szCs w:val="24"/>
              </w:rPr>
              <w:t>FY 201</w:t>
            </w:r>
            <w:r>
              <w:rPr>
                <w:b w:val="0"/>
                <w:szCs w:val="24"/>
              </w:rPr>
              <w:t>1</w:t>
            </w:r>
            <w:r w:rsidRPr="001E1CC3">
              <w:rPr>
                <w:b w:val="0"/>
                <w:szCs w:val="24"/>
              </w:rPr>
              <w:t xml:space="preserve"> </w:t>
            </w:r>
            <w:r>
              <w:rPr>
                <w:b w:val="0"/>
                <w:szCs w:val="24"/>
              </w:rPr>
              <w:t>Enacted</w:t>
            </w:r>
          </w:p>
        </w:tc>
        <w:tc>
          <w:tcPr>
            <w:tcW w:w="3049" w:type="dxa"/>
            <w:gridSpan w:val="4"/>
            <w:shd w:val="clear" w:color="auto" w:fill="E6E6E6"/>
          </w:tcPr>
          <w:p w:rsidR="00B84604" w:rsidRPr="001E1CC3" w:rsidRDefault="00B84604" w:rsidP="00126F07">
            <w:pPr>
              <w:pStyle w:val="Heading7"/>
              <w:rPr>
                <w:b w:val="0"/>
                <w:szCs w:val="24"/>
              </w:rPr>
            </w:pPr>
            <w:r w:rsidRPr="001E1CC3">
              <w:rPr>
                <w:b w:val="0"/>
                <w:szCs w:val="24"/>
              </w:rPr>
              <w:t>FY 201</w:t>
            </w:r>
            <w:r>
              <w:rPr>
                <w:b w:val="0"/>
                <w:szCs w:val="24"/>
              </w:rPr>
              <w:t>2</w:t>
            </w:r>
            <w:r w:rsidRPr="001E1CC3">
              <w:rPr>
                <w:b w:val="0"/>
                <w:szCs w:val="24"/>
              </w:rPr>
              <w:t xml:space="preserve"> Current Services</w:t>
            </w:r>
          </w:p>
        </w:tc>
      </w:tr>
      <w:tr w:rsidR="00B84604" w:rsidRPr="00CC5993" w:rsidTr="008C7132">
        <w:trPr>
          <w:trHeight w:val="170"/>
        </w:trPr>
        <w:tc>
          <w:tcPr>
            <w:tcW w:w="594" w:type="dxa"/>
          </w:tcPr>
          <w:p w:rsidR="00B84604" w:rsidRPr="00CC5993" w:rsidRDefault="00B84604" w:rsidP="00126F07">
            <w:pPr>
              <w:pStyle w:val="xl24"/>
              <w:spacing w:before="0" w:after="0"/>
              <w:jc w:val="center"/>
            </w:pPr>
            <w:r w:rsidRPr="00CC5993">
              <w:t>Pos</w:t>
            </w:r>
          </w:p>
        </w:tc>
        <w:tc>
          <w:tcPr>
            <w:tcW w:w="607" w:type="dxa"/>
          </w:tcPr>
          <w:p w:rsidR="00B84604" w:rsidRPr="00CC5993" w:rsidRDefault="00B84604" w:rsidP="00126F07">
            <w:pPr>
              <w:pStyle w:val="xl24"/>
              <w:spacing w:before="0" w:after="0"/>
              <w:jc w:val="center"/>
            </w:pPr>
            <w:proofErr w:type="spellStart"/>
            <w:r w:rsidRPr="00CC5993">
              <w:t>Agt</w:t>
            </w:r>
            <w:proofErr w:type="spellEnd"/>
          </w:p>
        </w:tc>
        <w:tc>
          <w:tcPr>
            <w:tcW w:w="763" w:type="dxa"/>
          </w:tcPr>
          <w:p w:rsidR="00B84604" w:rsidRPr="00CC5993" w:rsidRDefault="00B84604" w:rsidP="00126F07">
            <w:pPr>
              <w:pStyle w:val="xl24"/>
              <w:spacing w:before="0" w:after="0"/>
              <w:jc w:val="center"/>
            </w:pPr>
            <w:r w:rsidRPr="00CC5993">
              <w:t>FTE</w:t>
            </w:r>
          </w:p>
        </w:tc>
        <w:tc>
          <w:tcPr>
            <w:tcW w:w="1395" w:type="dxa"/>
          </w:tcPr>
          <w:p w:rsidR="00B84604" w:rsidRPr="00CC5993" w:rsidRDefault="00B84604" w:rsidP="00126F07">
            <w:pPr>
              <w:pStyle w:val="xl24"/>
              <w:spacing w:before="0" w:after="0"/>
              <w:jc w:val="center"/>
            </w:pPr>
            <w:r w:rsidRPr="00CC5993">
              <w:t>$(000)</w:t>
            </w:r>
          </w:p>
        </w:tc>
        <w:tc>
          <w:tcPr>
            <w:tcW w:w="603" w:type="dxa"/>
          </w:tcPr>
          <w:p w:rsidR="00B84604" w:rsidRPr="00CC5993" w:rsidRDefault="00B84604" w:rsidP="00126F07">
            <w:pPr>
              <w:pStyle w:val="xl24"/>
              <w:spacing w:before="0" w:after="0"/>
              <w:jc w:val="center"/>
            </w:pPr>
            <w:r w:rsidRPr="00CC5993">
              <w:t>Pos</w:t>
            </w:r>
          </w:p>
        </w:tc>
        <w:tc>
          <w:tcPr>
            <w:tcW w:w="607" w:type="dxa"/>
          </w:tcPr>
          <w:p w:rsidR="00B84604" w:rsidRPr="00CC5993" w:rsidRDefault="00B84604" w:rsidP="00126F07">
            <w:pPr>
              <w:pStyle w:val="xl24"/>
              <w:spacing w:before="0" w:after="0"/>
              <w:jc w:val="center"/>
            </w:pPr>
            <w:proofErr w:type="spellStart"/>
            <w:r w:rsidRPr="00CC5993">
              <w:t>Agt</w:t>
            </w:r>
            <w:proofErr w:type="spellEnd"/>
          </w:p>
        </w:tc>
        <w:tc>
          <w:tcPr>
            <w:tcW w:w="672" w:type="dxa"/>
          </w:tcPr>
          <w:p w:rsidR="00B84604" w:rsidRPr="00CC5993" w:rsidRDefault="00B84604" w:rsidP="00126F07">
            <w:pPr>
              <w:pStyle w:val="xl24"/>
              <w:spacing w:before="0" w:after="0"/>
              <w:jc w:val="center"/>
            </w:pPr>
            <w:r w:rsidRPr="00CC5993">
              <w:t>FTE</w:t>
            </w:r>
          </w:p>
        </w:tc>
        <w:tc>
          <w:tcPr>
            <w:tcW w:w="1358" w:type="dxa"/>
          </w:tcPr>
          <w:p w:rsidR="00B84604" w:rsidRPr="00CC5993" w:rsidRDefault="00B84604" w:rsidP="00126F07">
            <w:pPr>
              <w:pStyle w:val="xl24"/>
              <w:spacing w:before="0" w:after="0"/>
              <w:jc w:val="center"/>
            </w:pPr>
            <w:r w:rsidRPr="00CC5993">
              <w:t>$(000)</w:t>
            </w:r>
          </w:p>
        </w:tc>
        <w:tc>
          <w:tcPr>
            <w:tcW w:w="590" w:type="dxa"/>
          </w:tcPr>
          <w:p w:rsidR="00B84604" w:rsidRPr="00CC5993" w:rsidRDefault="00B84604" w:rsidP="00126F07">
            <w:pPr>
              <w:pStyle w:val="xl24"/>
              <w:spacing w:before="0" w:after="0"/>
              <w:jc w:val="center"/>
            </w:pPr>
            <w:r w:rsidRPr="00CC5993">
              <w:t>Pos</w:t>
            </w:r>
          </w:p>
        </w:tc>
        <w:tc>
          <w:tcPr>
            <w:tcW w:w="607" w:type="dxa"/>
          </w:tcPr>
          <w:p w:rsidR="00B84604" w:rsidRPr="00CC5993" w:rsidRDefault="00B84604" w:rsidP="00126F07">
            <w:pPr>
              <w:pStyle w:val="xl24"/>
              <w:spacing w:before="0" w:after="0"/>
              <w:jc w:val="center"/>
            </w:pPr>
            <w:proofErr w:type="spellStart"/>
            <w:r w:rsidRPr="00CC5993">
              <w:t>Agt</w:t>
            </w:r>
            <w:proofErr w:type="spellEnd"/>
          </w:p>
        </w:tc>
        <w:tc>
          <w:tcPr>
            <w:tcW w:w="672" w:type="dxa"/>
          </w:tcPr>
          <w:p w:rsidR="00B84604" w:rsidRPr="00CC5993" w:rsidRDefault="00B84604" w:rsidP="00126F07">
            <w:pPr>
              <w:pStyle w:val="xl24"/>
              <w:spacing w:before="0" w:after="0"/>
              <w:jc w:val="center"/>
            </w:pPr>
            <w:r w:rsidRPr="00CC5993">
              <w:t>FTE</w:t>
            </w:r>
          </w:p>
        </w:tc>
        <w:tc>
          <w:tcPr>
            <w:tcW w:w="1180" w:type="dxa"/>
          </w:tcPr>
          <w:p w:rsidR="00B84604" w:rsidRPr="00CC5993" w:rsidRDefault="00B84604" w:rsidP="00126F07">
            <w:pPr>
              <w:pStyle w:val="xl24"/>
              <w:spacing w:before="0" w:after="0"/>
              <w:jc w:val="center"/>
            </w:pPr>
            <w:r w:rsidRPr="00CC5993">
              <w:t>$(000)</w:t>
            </w:r>
          </w:p>
        </w:tc>
      </w:tr>
      <w:tr w:rsidR="00B84604" w:rsidRPr="00CC5993" w:rsidTr="008C7132">
        <w:tc>
          <w:tcPr>
            <w:tcW w:w="594" w:type="dxa"/>
          </w:tcPr>
          <w:p w:rsidR="00B84604" w:rsidRPr="00CC5993" w:rsidRDefault="008C7132" w:rsidP="00126F07">
            <w:pPr>
              <w:pStyle w:val="xl24"/>
              <w:spacing w:before="0" w:after="0"/>
              <w:jc w:val="right"/>
            </w:pPr>
            <w:r>
              <w:t>10</w:t>
            </w:r>
          </w:p>
        </w:tc>
        <w:tc>
          <w:tcPr>
            <w:tcW w:w="607" w:type="dxa"/>
          </w:tcPr>
          <w:p w:rsidR="00B84604" w:rsidRPr="00CC5993" w:rsidRDefault="008C7132" w:rsidP="00126F07">
            <w:pPr>
              <w:pStyle w:val="xl24"/>
              <w:spacing w:before="0" w:after="0"/>
              <w:jc w:val="right"/>
            </w:pPr>
            <w:r>
              <w:t>3</w:t>
            </w:r>
          </w:p>
        </w:tc>
        <w:tc>
          <w:tcPr>
            <w:tcW w:w="763" w:type="dxa"/>
          </w:tcPr>
          <w:p w:rsidR="00B84604" w:rsidRPr="00CC5993" w:rsidRDefault="008C7132" w:rsidP="00126F07">
            <w:pPr>
              <w:pStyle w:val="xl24"/>
              <w:spacing w:before="0" w:after="0"/>
              <w:jc w:val="right"/>
            </w:pPr>
            <w:r>
              <w:t>10</w:t>
            </w:r>
          </w:p>
        </w:tc>
        <w:tc>
          <w:tcPr>
            <w:tcW w:w="1395" w:type="dxa"/>
          </w:tcPr>
          <w:p w:rsidR="00B84604" w:rsidRPr="00CC5993" w:rsidRDefault="008C7132" w:rsidP="0082437F">
            <w:pPr>
              <w:pStyle w:val="xl24"/>
              <w:tabs>
                <w:tab w:val="left" w:pos="200"/>
                <w:tab w:val="center" w:pos="589"/>
              </w:tabs>
              <w:spacing w:before="0" w:after="0"/>
              <w:jc w:val="right"/>
            </w:pPr>
            <w:r>
              <w:t>3,750</w:t>
            </w:r>
          </w:p>
        </w:tc>
        <w:tc>
          <w:tcPr>
            <w:tcW w:w="603" w:type="dxa"/>
          </w:tcPr>
          <w:p w:rsidR="00B84604" w:rsidRPr="00CC5993" w:rsidRDefault="008C7132" w:rsidP="008C7132">
            <w:pPr>
              <w:pStyle w:val="xl24"/>
              <w:spacing w:before="0" w:after="0"/>
              <w:jc w:val="right"/>
            </w:pPr>
            <w:r>
              <w:t>10</w:t>
            </w:r>
          </w:p>
        </w:tc>
        <w:tc>
          <w:tcPr>
            <w:tcW w:w="607" w:type="dxa"/>
          </w:tcPr>
          <w:p w:rsidR="00B84604" w:rsidRPr="00CC5993" w:rsidRDefault="008C7132" w:rsidP="00126F07">
            <w:pPr>
              <w:pStyle w:val="xl24"/>
              <w:spacing w:before="0" w:after="0"/>
              <w:jc w:val="right"/>
            </w:pPr>
            <w:r>
              <w:t>3</w:t>
            </w:r>
          </w:p>
        </w:tc>
        <w:tc>
          <w:tcPr>
            <w:tcW w:w="672" w:type="dxa"/>
          </w:tcPr>
          <w:p w:rsidR="00B84604" w:rsidRPr="00CC5993" w:rsidRDefault="008C7132" w:rsidP="00126F07">
            <w:pPr>
              <w:pStyle w:val="xl24"/>
              <w:spacing w:before="0" w:after="0"/>
              <w:jc w:val="right"/>
            </w:pPr>
            <w:r>
              <w:t>10</w:t>
            </w:r>
          </w:p>
        </w:tc>
        <w:tc>
          <w:tcPr>
            <w:tcW w:w="1358" w:type="dxa"/>
          </w:tcPr>
          <w:p w:rsidR="00B84604" w:rsidRPr="00CC5993" w:rsidRDefault="008C7132" w:rsidP="0082437F">
            <w:pPr>
              <w:pStyle w:val="xl24"/>
              <w:spacing w:before="0" w:after="0"/>
              <w:jc w:val="right"/>
            </w:pPr>
            <w:r>
              <w:t>3,750</w:t>
            </w:r>
          </w:p>
        </w:tc>
        <w:tc>
          <w:tcPr>
            <w:tcW w:w="590" w:type="dxa"/>
          </w:tcPr>
          <w:p w:rsidR="00B84604" w:rsidRPr="00CC5993" w:rsidRDefault="008C7132" w:rsidP="00126F07">
            <w:pPr>
              <w:pStyle w:val="xl24"/>
              <w:spacing w:before="0" w:after="0"/>
              <w:jc w:val="right"/>
            </w:pPr>
            <w:r>
              <w:t>10</w:t>
            </w:r>
          </w:p>
        </w:tc>
        <w:tc>
          <w:tcPr>
            <w:tcW w:w="607" w:type="dxa"/>
          </w:tcPr>
          <w:p w:rsidR="00B84604" w:rsidRPr="00CC5993" w:rsidRDefault="008C7132" w:rsidP="00126F07">
            <w:pPr>
              <w:pStyle w:val="xl24"/>
              <w:spacing w:before="0" w:after="0"/>
              <w:jc w:val="right"/>
            </w:pPr>
            <w:r>
              <w:t>3</w:t>
            </w:r>
          </w:p>
        </w:tc>
        <w:tc>
          <w:tcPr>
            <w:tcW w:w="672" w:type="dxa"/>
          </w:tcPr>
          <w:p w:rsidR="00B84604" w:rsidRPr="00CC5993" w:rsidRDefault="008C7132" w:rsidP="00126F07">
            <w:pPr>
              <w:pStyle w:val="xl24"/>
              <w:spacing w:before="0" w:after="0"/>
              <w:jc w:val="right"/>
            </w:pPr>
            <w:r>
              <w:t>10</w:t>
            </w:r>
          </w:p>
        </w:tc>
        <w:tc>
          <w:tcPr>
            <w:tcW w:w="1180" w:type="dxa"/>
          </w:tcPr>
          <w:p w:rsidR="00B84604" w:rsidRPr="00CC5993" w:rsidRDefault="008C7132" w:rsidP="0082437F">
            <w:pPr>
              <w:pStyle w:val="xl24"/>
              <w:spacing w:before="0" w:after="0"/>
              <w:jc w:val="right"/>
            </w:pPr>
            <w:r>
              <w:t>3,750</w:t>
            </w:r>
          </w:p>
        </w:tc>
      </w:tr>
    </w:tbl>
    <w:p w:rsidR="00B84604" w:rsidRDefault="00B84604" w:rsidP="00B84604">
      <w:pPr>
        <w:pStyle w:val="xl24"/>
        <w:tabs>
          <w:tab w:val="left" w:pos="3240"/>
        </w:tabs>
        <w:spacing w:before="0" w:beforeAutospacing="0" w:after="0" w:afterAutospacing="0"/>
        <w:outlineLvl w:val="0"/>
        <w:rPr>
          <w:u w:val="single"/>
        </w:rPr>
      </w:pPr>
    </w:p>
    <w:p w:rsidR="00B84604" w:rsidRPr="0048501E" w:rsidRDefault="00B84604" w:rsidP="00B84604">
      <w:pPr>
        <w:pStyle w:val="BodyText"/>
        <w:rPr>
          <w:u w:val="single"/>
        </w:rPr>
      </w:pPr>
      <w:r w:rsidRPr="0048501E">
        <w:rPr>
          <w:u w:val="single"/>
        </w:rPr>
        <w:t>Personnel Increase Cost Summary</w:t>
      </w:r>
    </w:p>
    <w:p w:rsidR="00B84604" w:rsidRPr="0035143D" w:rsidRDefault="00B84604" w:rsidP="00B84604">
      <w:pPr>
        <w:pStyle w:val="BodyText"/>
        <w:rPr>
          <w:highlight w:val="yell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1762"/>
        <w:gridCol w:w="1298"/>
        <w:gridCol w:w="990"/>
        <w:gridCol w:w="1800"/>
        <w:gridCol w:w="1890"/>
      </w:tblGrid>
      <w:tr w:rsidR="00B84604" w:rsidRPr="0035143D" w:rsidTr="00B9663F">
        <w:tc>
          <w:tcPr>
            <w:tcW w:w="1728" w:type="dxa"/>
            <w:shd w:val="clear" w:color="auto" w:fill="E0E0E0"/>
            <w:vAlign w:val="center"/>
          </w:tcPr>
          <w:p w:rsidR="00B84604" w:rsidRPr="0035143D" w:rsidRDefault="00B84604" w:rsidP="00126F07">
            <w:pPr>
              <w:jc w:val="center"/>
              <w:rPr>
                <w:sz w:val="20"/>
                <w:highlight w:val="yellow"/>
              </w:rPr>
            </w:pPr>
            <w:r w:rsidRPr="00147C21">
              <w:rPr>
                <w:sz w:val="20"/>
              </w:rPr>
              <w:t>Type of Position</w:t>
            </w:r>
          </w:p>
        </w:tc>
        <w:tc>
          <w:tcPr>
            <w:tcW w:w="1762" w:type="dxa"/>
            <w:shd w:val="clear" w:color="auto" w:fill="E0E0E0"/>
            <w:vAlign w:val="center"/>
          </w:tcPr>
          <w:p w:rsidR="00B84604" w:rsidRPr="00147C21" w:rsidRDefault="00B84604" w:rsidP="00126F07">
            <w:pPr>
              <w:jc w:val="center"/>
              <w:rPr>
                <w:sz w:val="20"/>
              </w:rPr>
            </w:pPr>
            <w:r w:rsidRPr="00147C21">
              <w:rPr>
                <w:sz w:val="20"/>
              </w:rPr>
              <w:t>Modular Cost</w:t>
            </w:r>
          </w:p>
          <w:p w:rsidR="00B84604" w:rsidRPr="0035143D" w:rsidRDefault="00B84604" w:rsidP="00126F07">
            <w:pPr>
              <w:jc w:val="center"/>
              <w:rPr>
                <w:sz w:val="20"/>
                <w:highlight w:val="yellow"/>
              </w:rPr>
            </w:pPr>
            <w:r w:rsidRPr="00147C21">
              <w:rPr>
                <w:sz w:val="20"/>
              </w:rPr>
              <w:t>per Position ($000)</w:t>
            </w:r>
          </w:p>
        </w:tc>
        <w:tc>
          <w:tcPr>
            <w:tcW w:w="1298" w:type="dxa"/>
            <w:shd w:val="clear" w:color="auto" w:fill="E0E0E0"/>
            <w:vAlign w:val="center"/>
          </w:tcPr>
          <w:p w:rsidR="00B84604" w:rsidRPr="00147C21" w:rsidRDefault="00B84604" w:rsidP="00126F07">
            <w:pPr>
              <w:jc w:val="center"/>
              <w:rPr>
                <w:sz w:val="20"/>
              </w:rPr>
            </w:pPr>
            <w:r w:rsidRPr="00147C21">
              <w:rPr>
                <w:sz w:val="20"/>
              </w:rPr>
              <w:t>Number of</w:t>
            </w:r>
          </w:p>
          <w:p w:rsidR="00B84604" w:rsidRPr="00147C21" w:rsidRDefault="00B84604" w:rsidP="00126F07">
            <w:pPr>
              <w:jc w:val="center"/>
              <w:rPr>
                <w:sz w:val="20"/>
              </w:rPr>
            </w:pPr>
            <w:r w:rsidRPr="00147C21">
              <w:rPr>
                <w:sz w:val="20"/>
              </w:rPr>
              <w:t>Positions</w:t>
            </w:r>
          </w:p>
          <w:p w:rsidR="00B84604" w:rsidRPr="0035143D" w:rsidRDefault="00B84604" w:rsidP="00126F07">
            <w:pPr>
              <w:jc w:val="center"/>
              <w:rPr>
                <w:sz w:val="20"/>
                <w:highlight w:val="yellow"/>
              </w:rPr>
            </w:pPr>
            <w:r w:rsidRPr="00147C21">
              <w:rPr>
                <w:sz w:val="20"/>
              </w:rPr>
              <w:t>Requested</w:t>
            </w:r>
          </w:p>
        </w:tc>
        <w:tc>
          <w:tcPr>
            <w:tcW w:w="990" w:type="dxa"/>
            <w:shd w:val="clear" w:color="auto" w:fill="E0E0E0"/>
            <w:vAlign w:val="center"/>
          </w:tcPr>
          <w:p w:rsidR="00B84604" w:rsidRPr="00147C21" w:rsidRDefault="00B84604" w:rsidP="00126F07">
            <w:pPr>
              <w:jc w:val="center"/>
              <w:rPr>
                <w:sz w:val="20"/>
              </w:rPr>
            </w:pPr>
            <w:r w:rsidRPr="00147C21">
              <w:rPr>
                <w:sz w:val="20"/>
              </w:rPr>
              <w:t>FY 201</w:t>
            </w:r>
            <w:r>
              <w:rPr>
                <w:sz w:val="20"/>
              </w:rPr>
              <w:t>2</w:t>
            </w:r>
          </w:p>
          <w:p w:rsidR="00B84604" w:rsidRPr="0035143D" w:rsidRDefault="00B84604" w:rsidP="00126F07">
            <w:pPr>
              <w:jc w:val="center"/>
              <w:rPr>
                <w:sz w:val="20"/>
                <w:highlight w:val="yellow"/>
              </w:rPr>
            </w:pPr>
            <w:r w:rsidRPr="00147C21">
              <w:rPr>
                <w:sz w:val="20"/>
              </w:rPr>
              <w:t>Request ($000)</w:t>
            </w:r>
          </w:p>
        </w:tc>
        <w:tc>
          <w:tcPr>
            <w:tcW w:w="1800" w:type="dxa"/>
            <w:shd w:val="clear" w:color="auto" w:fill="E0E0E0"/>
            <w:vAlign w:val="center"/>
          </w:tcPr>
          <w:p w:rsidR="00B84604" w:rsidRPr="00147C21" w:rsidRDefault="00B84604" w:rsidP="00126F07">
            <w:pPr>
              <w:jc w:val="center"/>
              <w:rPr>
                <w:sz w:val="20"/>
              </w:rPr>
            </w:pPr>
            <w:r w:rsidRPr="00147C21">
              <w:rPr>
                <w:sz w:val="20"/>
              </w:rPr>
              <w:t>FY 201</w:t>
            </w:r>
            <w:r>
              <w:rPr>
                <w:sz w:val="20"/>
              </w:rPr>
              <w:t>3</w:t>
            </w:r>
            <w:r w:rsidRPr="00147C21">
              <w:rPr>
                <w:sz w:val="20"/>
              </w:rPr>
              <w:t xml:space="preserve"> Net Annualization</w:t>
            </w:r>
          </w:p>
          <w:p w:rsidR="00B84604" w:rsidRPr="00147C21" w:rsidRDefault="00B84604" w:rsidP="00126F07">
            <w:pPr>
              <w:jc w:val="center"/>
              <w:rPr>
                <w:sz w:val="20"/>
              </w:rPr>
            </w:pPr>
            <w:r w:rsidRPr="00147C21">
              <w:rPr>
                <w:sz w:val="20"/>
              </w:rPr>
              <w:t>(change from 201</w:t>
            </w:r>
            <w:r>
              <w:rPr>
                <w:sz w:val="20"/>
              </w:rPr>
              <w:t>2</w:t>
            </w:r>
            <w:r w:rsidRPr="00147C21">
              <w:rPr>
                <w:sz w:val="20"/>
              </w:rPr>
              <w:t>)</w:t>
            </w:r>
            <w:r w:rsidR="00B9663F">
              <w:rPr>
                <w:sz w:val="20"/>
              </w:rPr>
              <w:t xml:space="preserve"> </w:t>
            </w:r>
            <w:r>
              <w:rPr>
                <w:sz w:val="20"/>
              </w:rPr>
              <w:t>($000)</w:t>
            </w:r>
          </w:p>
        </w:tc>
        <w:tc>
          <w:tcPr>
            <w:tcW w:w="1890" w:type="dxa"/>
            <w:shd w:val="clear" w:color="auto" w:fill="E0E0E0"/>
            <w:vAlign w:val="center"/>
          </w:tcPr>
          <w:p w:rsidR="00B84604" w:rsidRPr="00147C21" w:rsidRDefault="00B84604" w:rsidP="00B9663F">
            <w:pPr>
              <w:jc w:val="center"/>
              <w:rPr>
                <w:sz w:val="20"/>
              </w:rPr>
            </w:pPr>
            <w:r w:rsidRPr="00147C21">
              <w:rPr>
                <w:sz w:val="20"/>
              </w:rPr>
              <w:t>FY 201</w:t>
            </w:r>
            <w:r>
              <w:rPr>
                <w:sz w:val="20"/>
              </w:rPr>
              <w:t>4</w:t>
            </w:r>
            <w:r w:rsidRPr="00147C21">
              <w:rPr>
                <w:sz w:val="20"/>
              </w:rPr>
              <w:t xml:space="preserve"> Net Annualization</w:t>
            </w:r>
          </w:p>
          <w:p w:rsidR="00B84604" w:rsidRPr="0035143D" w:rsidRDefault="00B84604" w:rsidP="00B9663F">
            <w:pPr>
              <w:jc w:val="center"/>
              <w:rPr>
                <w:sz w:val="20"/>
                <w:highlight w:val="yellow"/>
              </w:rPr>
            </w:pPr>
            <w:r w:rsidRPr="00147C21">
              <w:rPr>
                <w:sz w:val="20"/>
              </w:rPr>
              <w:t>(change from 201</w:t>
            </w:r>
            <w:r>
              <w:rPr>
                <w:sz w:val="20"/>
              </w:rPr>
              <w:t>3</w:t>
            </w:r>
            <w:r w:rsidRPr="00147C21">
              <w:rPr>
                <w:sz w:val="20"/>
              </w:rPr>
              <w:t>)</w:t>
            </w:r>
            <w:r w:rsidR="00B9663F">
              <w:rPr>
                <w:sz w:val="20"/>
              </w:rPr>
              <w:t xml:space="preserve"> </w:t>
            </w:r>
            <w:r>
              <w:rPr>
                <w:sz w:val="20"/>
              </w:rPr>
              <w:t>($000)</w:t>
            </w:r>
          </w:p>
        </w:tc>
      </w:tr>
      <w:tr w:rsidR="00B84604" w:rsidRPr="0035143D" w:rsidTr="00B9663F">
        <w:tc>
          <w:tcPr>
            <w:tcW w:w="1728" w:type="dxa"/>
            <w:vAlign w:val="center"/>
          </w:tcPr>
          <w:p w:rsidR="00B84604" w:rsidRPr="00E16F1D" w:rsidRDefault="00B84604" w:rsidP="00126F07">
            <w:pPr>
              <w:rPr>
                <w:b/>
                <w:bCs/>
                <w:i/>
                <w:iCs/>
              </w:rPr>
            </w:pPr>
          </w:p>
        </w:tc>
        <w:tc>
          <w:tcPr>
            <w:tcW w:w="1762" w:type="dxa"/>
            <w:vAlign w:val="bottom"/>
          </w:tcPr>
          <w:p w:rsidR="00B84604" w:rsidRPr="00FA7857" w:rsidRDefault="00B84604" w:rsidP="00126F07">
            <w:pPr>
              <w:pStyle w:val="xl19"/>
              <w:jc w:val="right"/>
            </w:pPr>
          </w:p>
        </w:tc>
        <w:tc>
          <w:tcPr>
            <w:tcW w:w="1298" w:type="dxa"/>
            <w:vAlign w:val="bottom"/>
          </w:tcPr>
          <w:p w:rsidR="00B84604" w:rsidRPr="00FA7857" w:rsidRDefault="00B84604" w:rsidP="00126F07">
            <w:pPr>
              <w:jc w:val="right"/>
            </w:pPr>
          </w:p>
        </w:tc>
        <w:tc>
          <w:tcPr>
            <w:tcW w:w="990" w:type="dxa"/>
            <w:vAlign w:val="bottom"/>
          </w:tcPr>
          <w:p w:rsidR="00B84604" w:rsidRPr="00FA7857" w:rsidRDefault="00B84604" w:rsidP="00126F07">
            <w:pPr>
              <w:jc w:val="right"/>
            </w:pPr>
          </w:p>
        </w:tc>
        <w:tc>
          <w:tcPr>
            <w:tcW w:w="1800" w:type="dxa"/>
            <w:shd w:val="clear" w:color="auto" w:fill="E0E0E0"/>
            <w:vAlign w:val="bottom"/>
          </w:tcPr>
          <w:p w:rsidR="00B84604" w:rsidRPr="00FA7857" w:rsidRDefault="00B84604" w:rsidP="00126F07">
            <w:pPr>
              <w:jc w:val="right"/>
            </w:pPr>
          </w:p>
        </w:tc>
        <w:tc>
          <w:tcPr>
            <w:tcW w:w="1890" w:type="dxa"/>
            <w:shd w:val="clear" w:color="auto" w:fill="E0E0E0"/>
            <w:vAlign w:val="bottom"/>
          </w:tcPr>
          <w:p w:rsidR="00B84604" w:rsidRPr="00FA7857" w:rsidRDefault="00B84604" w:rsidP="00126F07">
            <w:pPr>
              <w:jc w:val="right"/>
            </w:pPr>
          </w:p>
        </w:tc>
      </w:tr>
      <w:tr w:rsidR="00B84604" w:rsidRPr="0035143D" w:rsidTr="00B9663F">
        <w:tc>
          <w:tcPr>
            <w:tcW w:w="1728" w:type="dxa"/>
            <w:shd w:val="clear" w:color="auto" w:fill="EAEAEA"/>
            <w:vAlign w:val="center"/>
          </w:tcPr>
          <w:p w:rsidR="00B84604" w:rsidRPr="00305BA6" w:rsidRDefault="00B84604" w:rsidP="00126F07">
            <w:pPr>
              <w:jc w:val="right"/>
            </w:pPr>
          </w:p>
        </w:tc>
        <w:tc>
          <w:tcPr>
            <w:tcW w:w="1762" w:type="dxa"/>
            <w:shd w:val="clear" w:color="auto" w:fill="EAEAEA"/>
            <w:vAlign w:val="bottom"/>
          </w:tcPr>
          <w:p w:rsidR="00B84604" w:rsidRPr="00305BA6" w:rsidRDefault="00B84604" w:rsidP="00126F07">
            <w:pPr>
              <w:pStyle w:val="xl19"/>
              <w:jc w:val="right"/>
            </w:pPr>
          </w:p>
        </w:tc>
        <w:tc>
          <w:tcPr>
            <w:tcW w:w="1298" w:type="dxa"/>
            <w:shd w:val="clear" w:color="auto" w:fill="EAEAEA"/>
            <w:vAlign w:val="bottom"/>
          </w:tcPr>
          <w:p w:rsidR="00B84604" w:rsidRPr="00305BA6" w:rsidRDefault="00B84604" w:rsidP="00126F07">
            <w:pPr>
              <w:jc w:val="right"/>
            </w:pPr>
          </w:p>
        </w:tc>
        <w:tc>
          <w:tcPr>
            <w:tcW w:w="990" w:type="dxa"/>
            <w:shd w:val="clear" w:color="auto" w:fill="EAEAEA"/>
            <w:vAlign w:val="bottom"/>
          </w:tcPr>
          <w:p w:rsidR="00B84604" w:rsidRPr="00305BA6" w:rsidRDefault="00B84604" w:rsidP="00126F07">
            <w:pPr>
              <w:jc w:val="right"/>
            </w:pPr>
          </w:p>
        </w:tc>
        <w:tc>
          <w:tcPr>
            <w:tcW w:w="1800" w:type="dxa"/>
            <w:shd w:val="clear" w:color="auto" w:fill="E0E0E0"/>
            <w:vAlign w:val="bottom"/>
          </w:tcPr>
          <w:p w:rsidR="00B84604" w:rsidRPr="00305BA6" w:rsidRDefault="00B84604" w:rsidP="00126F07">
            <w:pPr>
              <w:jc w:val="right"/>
            </w:pPr>
          </w:p>
        </w:tc>
        <w:tc>
          <w:tcPr>
            <w:tcW w:w="1890" w:type="dxa"/>
            <w:shd w:val="clear" w:color="auto" w:fill="E0E0E0"/>
            <w:vAlign w:val="bottom"/>
          </w:tcPr>
          <w:p w:rsidR="00B84604" w:rsidRPr="00305BA6" w:rsidRDefault="00B84604" w:rsidP="00126F07">
            <w:pPr>
              <w:jc w:val="right"/>
            </w:pPr>
          </w:p>
        </w:tc>
      </w:tr>
      <w:tr w:rsidR="00B84604" w:rsidRPr="0035143D" w:rsidTr="00B9663F">
        <w:tc>
          <w:tcPr>
            <w:tcW w:w="1728" w:type="dxa"/>
            <w:vAlign w:val="center"/>
          </w:tcPr>
          <w:p w:rsidR="00B84604" w:rsidRPr="00E16F1D" w:rsidRDefault="00B84604" w:rsidP="00126F07"/>
        </w:tc>
        <w:tc>
          <w:tcPr>
            <w:tcW w:w="1762" w:type="dxa"/>
            <w:vAlign w:val="bottom"/>
          </w:tcPr>
          <w:p w:rsidR="00B84604" w:rsidRDefault="00B84604" w:rsidP="00126F07">
            <w:pPr>
              <w:pStyle w:val="xl19"/>
              <w:jc w:val="right"/>
            </w:pPr>
          </w:p>
        </w:tc>
        <w:tc>
          <w:tcPr>
            <w:tcW w:w="1298" w:type="dxa"/>
            <w:vAlign w:val="bottom"/>
          </w:tcPr>
          <w:p w:rsidR="00B84604" w:rsidRDefault="00B84604" w:rsidP="00126F07">
            <w:pPr>
              <w:jc w:val="right"/>
              <w:rPr>
                <w:bCs/>
              </w:rPr>
            </w:pPr>
          </w:p>
        </w:tc>
        <w:tc>
          <w:tcPr>
            <w:tcW w:w="990" w:type="dxa"/>
            <w:vAlign w:val="bottom"/>
          </w:tcPr>
          <w:p w:rsidR="00B84604" w:rsidRDefault="00B84604" w:rsidP="00126F07">
            <w:pPr>
              <w:jc w:val="right"/>
            </w:pPr>
          </w:p>
        </w:tc>
        <w:tc>
          <w:tcPr>
            <w:tcW w:w="1800" w:type="dxa"/>
            <w:shd w:val="clear" w:color="auto" w:fill="E0E0E0"/>
            <w:vAlign w:val="bottom"/>
          </w:tcPr>
          <w:p w:rsidR="00B84604" w:rsidRDefault="00B84604" w:rsidP="00126F07">
            <w:pPr>
              <w:jc w:val="right"/>
            </w:pPr>
          </w:p>
        </w:tc>
        <w:tc>
          <w:tcPr>
            <w:tcW w:w="1890" w:type="dxa"/>
            <w:shd w:val="clear" w:color="auto" w:fill="E0E0E0"/>
            <w:vAlign w:val="bottom"/>
          </w:tcPr>
          <w:p w:rsidR="00B84604" w:rsidRDefault="00B84604" w:rsidP="00126F07">
            <w:pPr>
              <w:jc w:val="right"/>
            </w:pPr>
          </w:p>
        </w:tc>
      </w:tr>
      <w:tr w:rsidR="00B84604" w:rsidRPr="0035143D" w:rsidTr="00B9663F">
        <w:tc>
          <w:tcPr>
            <w:tcW w:w="1728" w:type="dxa"/>
            <w:shd w:val="clear" w:color="auto" w:fill="E0E0E0"/>
            <w:vAlign w:val="center"/>
          </w:tcPr>
          <w:p w:rsidR="00B84604" w:rsidRPr="00AE5137" w:rsidRDefault="00B84604" w:rsidP="00126F07">
            <w:pPr>
              <w:jc w:val="right"/>
              <w:rPr>
                <w:b/>
              </w:rPr>
            </w:pPr>
            <w:r w:rsidRPr="00AE5137">
              <w:rPr>
                <w:b/>
                <w:sz w:val="22"/>
                <w:szCs w:val="22"/>
              </w:rPr>
              <w:t>Total Personnel</w:t>
            </w:r>
          </w:p>
        </w:tc>
        <w:tc>
          <w:tcPr>
            <w:tcW w:w="1762" w:type="dxa"/>
            <w:shd w:val="clear" w:color="auto" w:fill="E0E0E0"/>
            <w:vAlign w:val="bottom"/>
          </w:tcPr>
          <w:p w:rsidR="00B84604" w:rsidRPr="00AE5137" w:rsidRDefault="00B84604" w:rsidP="00126F07">
            <w:pPr>
              <w:pStyle w:val="xl19"/>
              <w:jc w:val="right"/>
              <w:rPr>
                <w:b/>
              </w:rPr>
            </w:pPr>
          </w:p>
        </w:tc>
        <w:tc>
          <w:tcPr>
            <w:tcW w:w="1298" w:type="dxa"/>
            <w:shd w:val="clear" w:color="auto" w:fill="E0E0E0"/>
            <w:vAlign w:val="bottom"/>
          </w:tcPr>
          <w:p w:rsidR="00B84604" w:rsidRPr="00AE5137" w:rsidRDefault="00B84604" w:rsidP="00126F07">
            <w:pPr>
              <w:jc w:val="right"/>
              <w:rPr>
                <w:b/>
              </w:rPr>
            </w:pPr>
          </w:p>
        </w:tc>
        <w:tc>
          <w:tcPr>
            <w:tcW w:w="990" w:type="dxa"/>
            <w:shd w:val="clear" w:color="auto" w:fill="E0E0E0"/>
            <w:vAlign w:val="bottom"/>
          </w:tcPr>
          <w:p w:rsidR="00B84604" w:rsidRPr="00AE5137" w:rsidRDefault="00B84604" w:rsidP="00126F07">
            <w:pPr>
              <w:jc w:val="right"/>
              <w:rPr>
                <w:b/>
              </w:rPr>
            </w:pPr>
          </w:p>
        </w:tc>
        <w:tc>
          <w:tcPr>
            <w:tcW w:w="1800" w:type="dxa"/>
            <w:shd w:val="clear" w:color="auto" w:fill="E0E0E0"/>
            <w:vAlign w:val="bottom"/>
          </w:tcPr>
          <w:p w:rsidR="00B84604" w:rsidRPr="00AE5137" w:rsidRDefault="00B84604" w:rsidP="00126F07">
            <w:pPr>
              <w:jc w:val="right"/>
              <w:rPr>
                <w:b/>
              </w:rPr>
            </w:pPr>
          </w:p>
        </w:tc>
        <w:tc>
          <w:tcPr>
            <w:tcW w:w="1890" w:type="dxa"/>
            <w:shd w:val="clear" w:color="auto" w:fill="E0E0E0"/>
            <w:vAlign w:val="bottom"/>
          </w:tcPr>
          <w:p w:rsidR="00B84604" w:rsidRPr="00AE5137" w:rsidRDefault="00B84604" w:rsidP="00126F07">
            <w:pPr>
              <w:jc w:val="right"/>
              <w:rPr>
                <w:b/>
              </w:rPr>
            </w:pPr>
          </w:p>
        </w:tc>
      </w:tr>
    </w:tbl>
    <w:p w:rsidR="00B84604" w:rsidRPr="0035143D" w:rsidRDefault="00B84604" w:rsidP="00B84604">
      <w:pPr>
        <w:rPr>
          <w:highlight w:val="yellow"/>
        </w:rPr>
      </w:pPr>
    </w:p>
    <w:p w:rsidR="00B84604" w:rsidRPr="00F65EDB" w:rsidRDefault="00B84604" w:rsidP="00B84604">
      <w:pPr>
        <w:outlineLvl w:val="0"/>
        <w:rPr>
          <w:u w:val="single"/>
        </w:rPr>
      </w:pPr>
      <w:r w:rsidRPr="00F65EDB">
        <w:rPr>
          <w:u w:val="single"/>
        </w:rPr>
        <w:t xml:space="preserve">Non-Personnel Increase Cost Summary </w:t>
      </w:r>
    </w:p>
    <w:p w:rsidR="00B84604" w:rsidRPr="00F65EDB" w:rsidRDefault="00B84604" w:rsidP="00B84604"/>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0"/>
        <w:gridCol w:w="1260"/>
        <w:gridCol w:w="990"/>
        <w:gridCol w:w="1350"/>
        <w:gridCol w:w="1890"/>
        <w:gridCol w:w="1890"/>
      </w:tblGrid>
      <w:tr w:rsidR="005851DA" w:rsidRPr="00F65EDB" w:rsidTr="005851DA">
        <w:tc>
          <w:tcPr>
            <w:tcW w:w="2070" w:type="dxa"/>
            <w:shd w:val="clear" w:color="auto" w:fill="E6E6E6"/>
            <w:vAlign w:val="center"/>
          </w:tcPr>
          <w:p w:rsidR="00B84604" w:rsidRPr="005851DA" w:rsidRDefault="00B84604" w:rsidP="00126F07">
            <w:pPr>
              <w:jc w:val="center"/>
              <w:rPr>
                <w:sz w:val="20"/>
                <w:szCs w:val="20"/>
              </w:rPr>
            </w:pPr>
            <w:r w:rsidRPr="005851DA">
              <w:rPr>
                <w:sz w:val="20"/>
                <w:szCs w:val="20"/>
              </w:rPr>
              <w:t>Non-Personnel Item</w:t>
            </w:r>
          </w:p>
        </w:tc>
        <w:tc>
          <w:tcPr>
            <w:tcW w:w="1260" w:type="dxa"/>
            <w:vAlign w:val="center"/>
          </w:tcPr>
          <w:p w:rsidR="00B84604" w:rsidRPr="005851DA" w:rsidRDefault="00B84604" w:rsidP="00126F07">
            <w:pPr>
              <w:jc w:val="center"/>
              <w:rPr>
                <w:sz w:val="20"/>
                <w:szCs w:val="20"/>
              </w:rPr>
            </w:pPr>
            <w:r w:rsidRPr="005851DA">
              <w:rPr>
                <w:sz w:val="20"/>
                <w:szCs w:val="20"/>
              </w:rPr>
              <w:t>Unit Cost</w:t>
            </w:r>
          </w:p>
          <w:p w:rsidR="00B84604" w:rsidRPr="005851DA" w:rsidRDefault="00B84604" w:rsidP="00126F07">
            <w:pPr>
              <w:jc w:val="center"/>
              <w:rPr>
                <w:sz w:val="20"/>
                <w:szCs w:val="20"/>
              </w:rPr>
            </w:pPr>
            <w:r w:rsidRPr="005851DA">
              <w:rPr>
                <w:sz w:val="20"/>
                <w:szCs w:val="20"/>
              </w:rPr>
              <w:t>($000)</w:t>
            </w:r>
          </w:p>
        </w:tc>
        <w:tc>
          <w:tcPr>
            <w:tcW w:w="990" w:type="dxa"/>
            <w:vAlign w:val="center"/>
          </w:tcPr>
          <w:p w:rsidR="00B84604" w:rsidRPr="005851DA" w:rsidRDefault="00B84604" w:rsidP="00126F07">
            <w:pPr>
              <w:jc w:val="center"/>
              <w:rPr>
                <w:sz w:val="20"/>
                <w:szCs w:val="20"/>
              </w:rPr>
            </w:pPr>
            <w:r w:rsidRPr="005851DA">
              <w:rPr>
                <w:sz w:val="20"/>
                <w:szCs w:val="20"/>
              </w:rPr>
              <w:t>Quantity</w:t>
            </w:r>
          </w:p>
        </w:tc>
        <w:tc>
          <w:tcPr>
            <w:tcW w:w="1350" w:type="dxa"/>
            <w:vAlign w:val="center"/>
          </w:tcPr>
          <w:p w:rsidR="00B84604" w:rsidRPr="005851DA" w:rsidRDefault="00B84604" w:rsidP="00126F07">
            <w:pPr>
              <w:jc w:val="center"/>
              <w:rPr>
                <w:sz w:val="20"/>
                <w:szCs w:val="20"/>
              </w:rPr>
            </w:pPr>
            <w:r w:rsidRPr="005851DA">
              <w:rPr>
                <w:sz w:val="20"/>
                <w:szCs w:val="20"/>
              </w:rPr>
              <w:t>FY 2012 Request</w:t>
            </w:r>
            <w:r w:rsidR="005851DA">
              <w:rPr>
                <w:sz w:val="20"/>
                <w:szCs w:val="20"/>
              </w:rPr>
              <w:t xml:space="preserve"> </w:t>
            </w:r>
            <w:r w:rsidRPr="005851DA">
              <w:rPr>
                <w:sz w:val="20"/>
                <w:szCs w:val="20"/>
              </w:rPr>
              <w:t>($000)</w:t>
            </w:r>
          </w:p>
        </w:tc>
        <w:tc>
          <w:tcPr>
            <w:tcW w:w="1890" w:type="dxa"/>
            <w:vAlign w:val="center"/>
          </w:tcPr>
          <w:p w:rsidR="00B84604" w:rsidRPr="005851DA" w:rsidRDefault="00B84604" w:rsidP="00126F07">
            <w:pPr>
              <w:jc w:val="center"/>
              <w:rPr>
                <w:sz w:val="20"/>
                <w:szCs w:val="20"/>
              </w:rPr>
            </w:pPr>
            <w:r w:rsidRPr="005851DA">
              <w:rPr>
                <w:sz w:val="20"/>
                <w:szCs w:val="20"/>
              </w:rPr>
              <w:t>FY 2013 Net</w:t>
            </w:r>
          </w:p>
          <w:p w:rsidR="00B84604" w:rsidRPr="005851DA" w:rsidRDefault="00B84604" w:rsidP="00126F07">
            <w:pPr>
              <w:jc w:val="center"/>
              <w:rPr>
                <w:sz w:val="20"/>
                <w:szCs w:val="20"/>
              </w:rPr>
            </w:pPr>
            <w:r w:rsidRPr="005851DA">
              <w:rPr>
                <w:sz w:val="20"/>
                <w:szCs w:val="20"/>
              </w:rPr>
              <w:t>Annualization</w:t>
            </w:r>
          </w:p>
          <w:p w:rsidR="00B84604" w:rsidRPr="005851DA" w:rsidRDefault="00B84604" w:rsidP="00126F07">
            <w:pPr>
              <w:jc w:val="center"/>
              <w:rPr>
                <w:sz w:val="20"/>
                <w:szCs w:val="20"/>
              </w:rPr>
            </w:pPr>
            <w:r w:rsidRPr="005851DA">
              <w:rPr>
                <w:sz w:val="20"/>
                <w:szCs w:val="20"/>
              </w:rPr>
              <w:t>(Change from 2012)</w:t>
            </w:r>
            <w:r w:rsidR="005851DA">
              <w:rPr>
                <w:sz w:val="20"/>
                <w:szCs w:val="20"/>
              </w:rPr>
              <w:t xml:space="preserve"> </w:t>
            </w:r>
            <w:r w:rsidRPr="005851DA">
              <w:rPr>
                <w:sz w:val="20"/>
                <w:szCs w:val="20"/>
              </w:rPr>
              <w:t>($000)</w:t>
            </w:r>
          </w:p>
        </w:tc>
        <w:tc>
          <w:tcPr>
            <w:tcW w:w="1890" w:type="dxa"/>
            <w:vAlign w:val="center"/>
          </w:tcPr>
          <w:p w:rsidR="00B84604" w:rsidRPr="005851DA" w:rsidRDefault="00B84604" w:rsidP="00126F07">
            <w:pPr>
              <w:jc w:val="center"/>
              <w:rPr>
                <w:sz w:val="20"/>
                <w:szCs w:val="20"/>
              </w:rPr>
            </w:pPr>
            <w:r w:rsidRPr="005851DA">
              <w:rPr>
                <w:sz w:val="20"/>
                <w:szCs w:val="20"/>
              </w:rPr>
              <w:t>FY 2014 Net</w:t>
            </w:r>
          </w:p>
          <w:p w:rsidR="00B84604" w:rsidRPr="005851DA" w:rsidRDefault="00B84604" w:rsidP="00126F07">
            <w:pPr>
              <w:jc w:val="center"/>
              <w:rPr>
                <w:sz w:val="20"/>
                <w:szCs w:val="20"/>
              </w:rPr>
            </w:pPr>
            <w:r w:rsidRPr="005851DA">
              <w:rPr>
                <w:sz w:val="20"/>
                <w:szCs w:val="20"/>
              </w:rPr>
              <w:t>Annualization</w:t>
            </w:r>
          </w:p>
          <w:p w:rsidR="00B84604" w:rsidRPr="005851DA" w:rsidRDefault="00B84604" w:rsidP="005851DA">
            <w:pPr>
              <w:jc w:val="center"/>
              <w:rPr>
                <w:sz w:val="20"/>
                <w:szCs w:val="20"/>
              </w:rPr>
            </w:pPr>
            <w:r w:rsidRPr="005851DA">
              <w:rPr>
                <w:sz w:val="20"/>
                <w:szCs w:val="20"/>
              </w:rPr>
              <w:t>(Change from 2013)</w:t>
            </w:r>
            <w:r w:rsidRPr="005851DA" w:rsidDel="00A355E3">
              <w:rPr>
                <w:sz w:val="20"/>
                <w:szCs w:val="20"/>
              </w:rPr>
              <w:t xml:space="preserve"> </w:t>
            </w:r>
            <w:r w:rsidRPr="005851DA">
              <w:rPr>
                <w:sz w:val="20"/>
                <w:szCs w:val="20"/>
              </w:rPr>
              <w:t>($000)</w:t>
            </w:r>
          </w:p>
        </w:tc>
      </w:tr>
      <w:tr w:rsidR="005851DA" w:rsidRPr="00927AC8" w:rsidTr="005851DA">
        <w:trPr>
          <w:trHeight w:val="305"/>
        </w:trPr>
        <w:tc>
          <w:tcPr>
            <w:tcW w:w="2070" w:type="dxa"/>
            <w:vAlign w:val="center"/>
          </w:tcPr>
          <w:p w:rsidR="00B84604" w:rsidRPr="005851DA" w:rsidRDefault="00285D6B" w:rsidP="00285D6B">
            <w:pPr>
              <w:autoSpaceDE w:val="0"/>
              <w:autoSpaceDN w:val="0"/>
              <w:adjustRightInd w:val="0"/>
              <w:rPr>
                <w:sz w:val="20"/>
                <w:szCs w:val="20"/>
              </w:rPr>
            </w:pPr>
            <w:r>
              <w:rPr>
                <w:sz w:val="20"/>
                <w:szCs w:val="20"/>
              </w:rPr>
              <w:t>Training Travel</w:t>
            </w:r>
          </w:p>
        </w:tc>
        <w:tc>
          <w:tcPr>
            <w:tcW w:w="1260" w:type="dxa"/>
            <w:vAlign w:val="bottom"/>
          </w:tcPr>
          <w:p w:rsidR="00B84604" w:rsidRPr="005851DA" w:rsidRDefault="00B84604" w:rsidP="00126F07">
            <w:pPr>
              <w:pStyle w:val="xl19"/>
              <w:jc w:val="right"/>
              <w:rPr>
                <w:sz w:val="20"/>
                <w:szCs w:val="20"/>
              </w:rPr>
            </w:pPr>
          </w:p>
        </w:tc>
        <w:tc>
          <w:tcPr>
            <w:tcW w:w="990" w:type="dxa"/>
            <w:vAlign w:val="bottom"/>
          </w:tcPr>
          <w:p w:rsidR="00B84604" w:rsidRPr="005851DA" w:rsidRDefault="00B84604" w:rsidP="00126F07">
            <w:pPr>
              <w:jc w:val="right"/>
              <w:rPr>
                <w:sz w:val="20"/>
                <w:szCs w:val="20"/>
              </w:rPr>
            </w:pPr>
          </w:p>
        </w:tc>
        <w:tc>
          <w:tcPr>
            <w:tcW w:w="1350" w:type="dxa"/>
            <w:vAlign w:val="bottom"/>
          </w:tcPr>
          <w:p w:rsidR="00B84604" w:rsidRPr="005851DA" w:rsidRDefault="00B84604" w:rsidP="00285D6B">
            <w:pPr>
              <w:jc w:val="right"/>
              <w:rPr>
                <w:sz w:val="20"/>
                <w:szCs w:val="20"/>
              </w:rPr>
            </w:pPr>
            <w:r w:rsidRPr="005851DA">
              <w:rPr>
                <w:sz w:val="20"/>
                <w:szCs w:val="20"/>
              </w:rPr>
              <w:t>(</w:t>
            </w:r>
            <w:r w:rsidR="00285D6B">
              <w:rPr>
                <w:sz w:val="20"/>
                <w:szCs w:val="20"/>
              </w:rPr>
              <w:t>1</w:t>
            </w:r>
            <w:r w:rsidRPr="005851DA">
              <w:rPr>
                <w:sz w:val="20"/>
                <w:szCs w:val="20"/>
              </w:rPr>
              <w:t>,</w:t>
            </w:r>
            <w:r w:rsidR="00285D6B">
              <w:rPr>
                <w:sz w:val="20"/>
                <w:szCs w:val="20"/>
              </w:rPr>
              <w:t>640</w:t>
            </w:r>
            <w:r w:rsidRPr="005851DA">
              <w:rPr>
                <w:sz w:val="20"/>
                <w:szCs w:val="20"/>
              </w:rPr>
              <w:t>)</w:t>
            </w:r>
          </w:p>
        </w:tc>
        <w:tc>
          <w:tcPr>
            <w:tcW w:w="1890" w:type="dxa"/>
            <w:vAlign w:val="bottom"/>
          </w:tcPr>
          <w:p w:rsidR="00B84604" w:rsidRPr="005851DA" w:rsidRDefault="00B84604" w:rsidP="00126F07">
            <w:pPr>
              <w:jc w:val="right"/>
              <w:rPr>
                <w:sz w:val="20"/>
                <w:szCs w:val="20"/>
              </w:rPr>
            </w:pPr>
            <w:r w:rsidRPr="005851DA">
              <w:rPr>
                <w:sz w:val="20"/>
                <w:szCs w:val="20"/>
              </w:rPr>
              <w:t>0</w:t>
            </w:r>
          </w:p>
        </w:tc>
        <w:tc>
          <w:tcPr>
            <w:tcW w:w="1890" w:type="dxa"/>
            <w:vAlign w:val="bottom"/>
          </w:tcPr>
          <w:p w:rsidR="00B84604" w:rsidRPr="005851DA" w:rsidRDefault="00B84604" w:rsidP="00126F07">
            <w:pPr>
              <w:jc w:val="right"/>
              <w:rPr>
                <w:sz w:val="20"/>
                <w:szCs w:val="20"/>
              </w:rPr>
            </w:pPr>
            <w:r w:rsidRPr="005851DA">
              <w:rPr>
                <w:sz w:val="20"/>
                <w:szCs w:val="20"/>
              </w:rPr>
              <w:t>0</w:t>
            </w:r>
          </w:p>
        </w:tc>
      </w:tr>
      <w:tr w:rsidR="009D3B79" w:rsidRPr="00927AC8" w:rsidTr="005851DA">
        <w:trPr>
          <w:trHeight w:val="305"/>
        </w:trPr>
        <w:tc>
          <w:tcPr>
            <w:tcW w:w="2070" w:type="dxa"/>
            <w:vAlign w:val="center"/>
          </w:tcPr>
          <w:p w:rsidR="009D3B79" w:rsidRPr="005851DA" w:rsidRDefault="00285D6B" w:rsidP="00126F07">
            <w:pPr>
              <w:autoSpaceDE w:val="0"/>
              <w:autoSpaceDN w:val="0"/>
              <w:adjustRightInd w:val="0"/>
              <w:rPr>
                <w:sz w:val="20"/>
                <w:szCs w:val="20"/>
              </w:rPr>
            </w:pPr>
            <w:r>
              <w:rPr>
                <w:sz w:val="20"/>
                <w:szCs w:val="20"/>
              </w:rPr>
              <w:t>Training Services</w:t>
            </w:r>
          </w:p>
        </w:tc>
        <w:tc>
          <w:tcPr>
            <w:tcW w:w="1260" w:type="dxa"/>
            <w:vAlign w:val="bottom"/>
          </w:tcPr>
          <w:p w:rsidR="009D3B79" w:rsidRPr="005851DA" w:rsidRDefault="009D3B79" w:rsidP="00126F07">
            <w:pPr>
              <w:pStyle w:val="xl19"/>
              <w:jc w:val="right"/>
              <w:rPr>
                <w:sz w:val="20"/>
                <w:szCs w:val="20"/>
              </w:rPr>
            </w:pPr>
          </w:p>
        </w:tc>
        <w:tc>
          <w:tcPr>
            <w:tcW w:w="990" w:type="dxa"/>
            <w:vAlign w:val="bottom"/>
          </w:tcPr>
          <w:p w:rsidR="009D3B79" w:rsidRPr="005851DA" w:rsidRDefault="009D3B79" w:rsidP="00126F07">
            <w:pPr>
              <w:jc w:val="right"/>
              <w:rPr>
                <w:sz w:val="20"/>
                <w:szCs w:val="20"/>
              </w:rPr>
            </w:pPr>
          </w:p>
        </w:tc>
        <w:tc>
          <w:tcPr>
            <w:tcW w:w="1350" w:type="dxa"/>
            <w:vAlign w:val="bottom"/>
          </w:tcPr>
          <w:p w:rsidR="009D3B79" w:rsidRPr="005851DA" w:rsidRDefault="00285D6B" w:rsidP="00126F07">
            <w:pPr>
              <w:jc w:val="right"/>
              <w:rPr>
                <w:sz w:val="20"/>
                <w:szCs w:val="20"/>
              </w:rPr>
            </w:pPr>
            <w:r>
              <w:rPr>
                <w:sz w:val="20"/>
                <w:szCs w:val="20"/>
              </w:rPr>
              <w:t>(1,240)</w:t>
            </w:r>
          </w:p>
        </w:tc>
        <w:tc>
          <w:tcPr>
            <w:tcW w:w="1890" w:type="dxa"/>
            <w:vAlign w:val="bottom"/>
          </w:tcPr>
          <w:p w:rsidR="009D3B79" w:rsidRPr="005851DA" w:rsidRDefault="00285D6B" w:rsidP="00126F07">
            <w:pPr>
              <w:jc w:val="right"/>
              <w:rPr>
                <w:sz w:val="20"/>
                <w:szCs w:val="20"/>
              </w:rPr>
            </w:pPr>
            <w:r>
              <w:rPr>
                <w:sz w:val="20"/>
                <w:szCs w:val="20"/>
              </w:rPr>
              <w:t>0</w:t>
            </w:r>
          </w:p>
        </w:tc>
        <w:tc>
          <w:tcPr>
            <w:tcW w:w="1890" w:type="dxa"/>
            <w:vAlign w:val="bottom"/>
          </w:tcPr>
          <w:p w:rsidR="009D3B79" w:rsidRPr="005851DA" w:rsidRDefault="00285D6B" w:rsidP="00126F07">
            <w:pPr>
              <w:jc w:val="right"/>
              <w:rPr>
                <w:sz w:val="20"/>
                <w:szCs w:val="20"/>
              </w:rPr>
            </w:pPr>
            <w:r>
              <w:rPr>
                <w:sz w:val="20"/>
                <w:szCs w:val="20"/>
              </w:rPr>
              <w:t>0</w:t>
            </w:r>
          </w:p>
        </w:tc>
      </w:tr>
      <w:tr w:rsidR="009D3B79" w:rsidRPr="00927AC8" w:rsidTr="005851DA">
        <w:trPr>
          <w:trHeight w:val="305"/>
        </w:trPr>
        <w:tc>
          <w:tcPr>
            <w:tcW w:w="2070" w:type="dxa"/>
            <w:vAlign w:val="center"/>
          </w:tcPr>
          <w:p w:rsidR="009D3B79" w:rsidRPr="005851DA" w:rsidRDefault="00285D6B" w:rsidP="00126F07">
            <w:pPr>
              <w:autoSpaceDE w:val="0"/>
              <w:autoSpaceDN w:val="0"/>
              <w:adjustRightInd w:val="0"/>
              <w:rPr>
                <w:sz w:val="20"/>
                <w:szCs w:val="20"/>
              </w:rPr>
            </w:pPr>
            <w:r>
              <w:rPr>
                <w:sz w:val="20"/>
                <w:szCs w:val="20"/>
              </w:rPr>
              <w:t>Training Supplies</w:t>
            </w:r>
          </w:p>
        </w:tc>
        <w:tc>
          <w:tcPr>
            <w:tcW w:w="1260" w:type="dxa"/>
            <w:vAlign w:val="bottom"/>
          </w:tcPr>
          <w:p w:rsidR="009D3B79" w:rsidRPr="005851DA" w:rsidRDefault="009D3B79" w:rsidP="00126F07">
            <w:pPr>
              <w:pStyle w:val="xl19"/>
              <w:jc w:val="right"/>
              <w:rPr>
                <w:sz w:val="20"/>
                <w:szCs w:val="20"/>
              </w:rPr>
            </w:pPr>
          </w:p>
        </w:tc>
        <w:tc>
          <w:tcPr>
            <w:tcW w:w="990" w:type="dxa"/>
            <w:vAlign w:val="bottom"/>
          </w:tcPr>
          <w:p w:rsidR="009D3B79" w:rsidRPr="005851DA" w:rsidRDefault="009D3B79" w:rsidP="00126F07">
            <w:pPr>
              <w:jc w:val="right"/>
              <w:rPr>
                <w:sz w:val="20"/>
                <w:szCs w:val="20"/>
              </w:rPr>
            </w:pPr>
          </w:p>
        </w:tc>
        <w:tc>
          <w:tcPr>
            <w:tcW w:w="1350" w:type="dxa"/>
            <w:vAlign w:val="bottom"/>
          </w:tcPr>
          <w:p w:rsidR="009D3B79" w:rsidRPr="005851DA" w:rsidRDefault="00285D6B" w:rsidP="00126F07">
            <w:pPr>
              <w:jc w:val="right"/>
              <w:rPr>
                <w:sz w:val="20"/>
                <w:szCs w:val="20"/>
              </w:rPr>
            </w:pPr>
            <w:r>
              <w:rPr>
                <w:sz w:val="20"/>
                <w:szCs w:val="20"/>
              </w:rPr>
              <w:t>(760)</w:t>
            </w:r>
          </w:p>
        </w:tc>
        <w:tc>
          <w:tcPr>
            <w:tcW w:w="1890" w:type="dxa"/>
            <w:vAlign w:val="bottom"/>
          </w:tcPr>
          <w:p w:rsidR="009D3B79" w:rsidRPr="005851DA" w:rsidRDefault="00285D6B" w:rsidP="00126F07">
            <w:pPr>
              <w:jc w:val="right"/>
              <w:rPr>
                <w:sz w:val="20"/>
                <w:szCs w:val="20"/>
              </w:rPr>
            </w:pPr>
            <w:r>
              <w:rPr>
                <w:sz w:val="20"/>
                <w:szCs w:val="20"/>
              </w:rPr>
              <w:t>0</w:t>
            </w:r>
          </w:p>
        </w:tc>
        <w:tc>
          <w:tcPr>
            <w:tcW w:w="1890" w:type="dxa"/>
            <w:vAlign w:val="bottom"/>
          </w:tcPr>
          <w:p w:rsidR="009D3B79" w:rsidRPr="005851DA" w:rsidRDefault="00285D6B" w:rsidP="00126F07">
            <w:pPr>
              <w:jc w:val="right"/>
              <w:rPr>
                <w:sz w:val="20"/>
                <w:szCs w:val="20"/>
              </w:rPr>
            </w:pPr>
            <w:r>
              <w:rPr>
                <w:sz w:val="20"/>
                <w:szCs w:val="20"/>
              </w:rPr>
              <w:t>0</w:t>
            </w:r>
          </w:p>
        </w:tc>
      </w:tr>
      <w:tr w:rsidR="009D3B79" w:rsidRPr="00927AC8" w:rsidTr="005851DA">
        <w:trPr>
          <w:trHeight w:val="305"/>
        </w:trPr>
        <w:tc>
          <w:tcPr>
            <w:tcW w:w="2070" w:type="dxa"/>
            <w:vAlign w:val="center"/>
          </w:tcPr>
          <w:p w:rsidR="009D3B79" w:rsidRPr="005851DA" w:rsidRDefault="00285D6B" w:rsidP="00126F07">
            <w:pPr>
              <w:autoSpaceDE w:val="0"/>
              <w:autoSpaceDN w:val="0"/>
              <w:adjustRightInd w:val="0"/>
              <w:rPr>
                <w:sz w:val="20"/>
                <w:szCs w:val="20"/>
              </w:rPr>
            </w:pPr>
            <w:r>
              <w:rPr>
                <w:sz w:val="20"/>
                <w:szCs w:val="20"/>
              </w:rPr>
              <w:t>Training Equipment</w:t>
            </w:r>
          </w:p>
        </w:tc>
        <w:tc>
          <w:tcPr>
            <w:tcW w:w="1260" w:type="dxa"/>
            <w:vAlign w:val="bottom"/>
          </w:tcPr>
          <w:p w:rsidR="009D3B79" w:rsidRPr="005851DA" w:rsidRDefault="009D3B79" w:rsidP="00126F07">
            <w:pPr>
              <w:pStyle w:val="xl19"/>
              <w:jc w:val="right"/>
              <w:rPr>
                <w:sz w:val="20"/>
                <w:szCs w:val="20"/>
              </w:rPr>
            </w:pPr>
          </w:p>
        </w:tc>
        <w:tc>
          <w:tcPr>
            <w:tcW w:w="990" w:type="dxa"/>
            <w:vAlign w:val="bottom"/>
          </w:tcPr>
          <w:p w:rsidR="009D3B79" w:rsidRPr="005851DA" w:rsidRDefault="009D3B79" w:rsidP="00126F07">
            <w:pPr>
              <w:jc w:val="right"/>
              <w:rPr>
                <w:sz w:val="20"/>
                <w:szCs w:val="20"/>
              </w:rPr>
            </w:pPr>
          </w:p>
        </w:tc>
        <w:tc>
          <w:tcPr>
            <w:tcW w:w="1350" w:type="dxa"/>
            <w:vAlign w:val="bottom"/>
          </w:tcPr>
          <w:p w:rsidR="009D3B79" w:rsidRPr="005851DA" w:rsidRDefault="00285D6B" w:rsidP="00126F07">
            <w:pPr>
              <w:jc w:val="right"/>
              <w:rPr>
                <w:sz w:val="20"/>
                <w:szCs w:val="20"/>
              </w:rPr>
            </w:pPr>
            <w:r>
              <w:rPr>
                <w:sz w:val="20"/>
                <w:szCs w:val="20"/>
              </w:rPr>
              <w:t>(360)</w:t>
            </w:r>
          </w:p>
        </w:tc>
        <w:tc>
          <w:tcPr>
            <w:tcW w:w="1890" w:type="dxa"/>
            <w:vAlign w:val="bottom"/>
          </w:tcPr>
          <w:p w:rsidR="009D3B79" w:rsidRPr="005851DA" w:rsidRDefault="00285D6B" w:rsidP="00126F07">
            <w:pPr>
              <w:jc w:val="right"/>
              <w:rPr>
                <w:sz w:val="20"/>
                <w:szCs w:val="20"/>
              </w:rPr>
            </w:pPr>
            <w:r>
              <w:rPr>
                <w:sz w:val="20"/>
                <w:szCs w:val="20"/>
              </w:rPr>
              <w:t>0</w:t>
            </w:r>
          </w:p>
        </w:tc>
        <w:tc>
          <w:tcPr>
            <w:tcW w:w="1890" w:type="dxa"/>
            <w:vAlign w:val="bottom"/>
          </w:tcPr>
          <w:p w:rsidR="009D3B79" w:rsidRPr="005851DA" w:rsidRDefault="00285D6B" w:rsidP="00126F07">
            <w:pPr>
              <w:jc w:val="right"/>
              <w:rPr>
                <w:sz w:val="20"/>
                <w:szCs w:val="20"/>
              </w:rPr>
            </w:pPr>
            <w:r>
              <w:rPr>
                <w:sz w:val="20"/>
                <w:szCs w:val="20"/>
              </w:rPr>
              <w:t>0</w:t>
            </w:r>
          </w:p>
        </w:tc>
      </w:tr>
      <w:tr w:rsidR="005851DA" w:rsidRPr="00F65EDB" w:rsidTr="005851DA">
        <w:trPr>
          <w:trHeight w:val="350"/>
        </w:trPr>
        <w:tc>
          <w:tcPr>
            <w:tcW w:w="2070" w:type="dxa"/>
            <w:shd w:val="pct10" w:color="auto" w:fill="auto"/>
            <w:vAlign w:val="center"/>
          </w:tcPr>
          <w:p w:rsidR="00B84604" w:rsidRPr="005851DA" w:rsidRDefault="00B84604" w:rsidP="00126F07">
            <w:pPr>
              <w:rPr>
                <w:b/>
                <w:sz w:val="20"/>
                <w:szCs w:val="20"/>
              </w:rPr>
            </w:pPr>
            <w:r w:rsidRPr="005851DA">
              <w:rPr>
                <w:b/>
                <w:sz w:val="20"/>
                <w:szCs w:val="20"/>
              </w:rPr>
              <w:t>Total Non-Personnel</w:t>
            </w:r>
          </w:p>
        </w:tc>
        <w:tc>
          <w:tcPr>
            <w:tcW w:w="1260" w:type="dxa"/>
            <w:shd w:val="pct10" w:color="auto" w:fill="auto"/>
            <w:vAlign w:val="bottom"/>
          </w:tcPr>
          <w:p w:rsidR="00B84604" w:rsidRPr="005851DA" w:rsidRDefault="00B84604" w:rsidP="00126F07">
            <w:pPr>
              <w:pStyle w:val="xl19"/>
              <w:jc w:val="right"/>
              <w:rPr>
                <w:b/>
                <w:sz w:val="20"/>
                <w:szCs w:val="20"/>
              </w:rPr>
            </w:pPr>
          </w:p>
        </w:tc>
        <w:tc>
          <w:tcPr>
            <w:tcW w:w="990" w:type="dxa"/>
            <w:shd w:val="pct10" w:color="auto" w:fill="auto"/>
            <w:vAlign w:val="bottom"/>
          </w:tcPr>
          <w:p w:rsidR="00B84604" w:rsidRPr="005851DA" w:rsidRDefault="00B84604" w:rsidP="00126F07">
            <w:pPr>
              <w:jc w:val="right"/>
              <w:rPr>
                <w:b/>
                <w:sz w:val="20"/>
                <w:szCs w:val="20"/>
              </w:rPr>
            </w:pPr>
          </w:p>
        </w:tc>
        <w:tc>
          <w:tcPr>
            <w:tcW w:w="1350" w:type="dxa"/>
            <w:shd w:val="pct10" w:color="auto" w:fill="auto"/>
            <w:vAlign w:val="bottom"/>
          </w:tcPr>
          <w:p w:rsidR="00B84604" w:rsidRPr="005851DA" w:rsidRDefault="00B84604" w:rsidP="00126F07">
            <w:pPr>
              <w:jc w:val="right"/>
              <w:rPr>
                <w:b/>
                <w:sz w:val="20"/>
                <w:szCs w:val="20"/>
              </w:rPr>
            </w:pPr>
            <w:r w:rsidRPr="005851DA">
              <w:rPr>
                <w:b/>
                <w:sz w:val="20"/>
                <w:szCs w:val="20"/>
              </w:rPr>
              <w:t>(4,000)</w:t>
            </w:r>
          </w:p>
        </w:tc>
        <w:tc>
          <w:tcPr>
            <w:tcW w:w="1890" w:type="dxa"/>
            <w:vAlign w:val="bottom"/>
          </w:tcPr>
          <w:p w:rsidR="00B84604" w:rsidRPr="005851DA" w:rsidRDefault="00B84604" w:rsidP="00126F07">
            <w:pPr>
              <w:jc w:val="right"/>
              <w:rPr>
                <w:b/>
                <w:sz w:val="20"/>
                <w:szCs w:val="20"/>
              </w:rPr>
            </w:pPr>
            <w:r w:rsidRPr="005851DA">
              <w:rPr>
                <w:b/>
                <w:sz w:val="20"/>
                <w:szCs w:val="20"/>
              </w:rPr>
              <w:t>0</w:t>
            </w:r>
          </w:p>
        </w:tc>
        <w:tc>
          <w:tcPr>
            <w:tcW w:w="1890" w:type="dxa"/>
            <w:vAlign w:val="bottom"/>
          </w:tcPr>
          <w:p w:rsidR="00B84604" w:rsidRPr="005851DA" w:rsidRDefault="00B84604" w:rsidP="00126F07">
            <w:pPr>
              <w:jc w:val="right"/>
              <w:rPr>
                <w:b/>
                <w:sz w:val="20"/>
                <w:szCs w:val="20"/>
              </w:rPr>
            </w:pPr>
            <w:r w:rsidRPr="005851DA">
              <w:rPr>
                <w:b/>
                <w:sz w:val="20"/>
                <w:szCs w:val="20"/>
              </w:rPr>
              <w:t>0</w:t>
            </w:r>
          </w:p>
        </w:tc>
      </w:tr>
    </w:tbl>
    <w:p w:rsidR="00B84604" w:rsidRDefault="00B84604" w:rsidP="00B84604">
      <w:pPr>
        <w:pStyle w:val="xl24"/>
        <w:tabs>
          <w:tab w:val="left" w:pos="3240"/>
        </w:tabs>
        <w:spacing w:before="0" w:beforeAutospacing="0" w:after="0" w:afterAutospacing="0"/>
        <w:outlineLvl w:val="0"/>
        <w:rPr>
          <w:u w:val="single"/>
        </w:rPr>
      </w:pPr>
    </w:p>
    <w:p w:rsidR="00B84604" w:rsidRPr="00902EB4" w:rsidRDefault="00B84604" w:rsidP="00B84604">
      <w:pPr>
        <w:pStyle w:val="xl24"/>
        <w:tabs>
          <w:tab w:val="left" w:pos="3240"/>
        </w:tabs>
        <w:spacing w:before="0" w:beforeAutospacing="0" w:after="0" w:afterAutospacing="0"/>
        <w:outlineLvl w:val="0"/>
        <w:rPr>
          <w:u w:val="single"/>
        </w:rPr>
      </w:pPr>
      <w:r w:rsidRPr="00902EB4">
        <w:rPr>
          <w:u w:val="single"/>
        </w:rPr>
        <w:t>Total Request for this Item</w:t>
      </w:r>
    </w:p>
    <w:p w:rsidR="00B84604" w:rsidRPr="00880707" w:rsidRDefault="00B84604" w:rsidP="00B84604">
      <w:pPr>
        <w:pStyle w:val="xl24"/>
        <w:spacing w:before="0" w:beforeAutospacing="0" w:after="0" w:afterAutospacing="0"/>
        <w:rPr>
          <w:b/>
          <w:highlight w:val="yellow"/>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3"/>
        <w:gridCol w:w="525"/>
        <w:gridCol w:w="684"/>
        <w:gridCol w:w="643"/>
        <w:gridCol w:w="1103"/>
        <w:gridCol w:w="1080"/>
        <w:gridCol w:w="900"/>
        <w:gridCol w:w="1620"/>
        <w:gridCol w:w="1800"/>
      </w:tblGrid>
      <w:tr w:rsidR="00B84604" w:rsidRPr="00CC5993" w:rsidTr="00B96141">
        <w:trPr>
          <w:trHeight w:val="332"/>
        </w:trPr>
        <w:tc>
          <w:tcPr>
            <w:tcW w:w="1203" w:type="dxa"/>
            <w:shd w:val="clear" w:color="auto" w:fill="E6E6E6"/>
          </w:tcPr>
          <w:p w:rsidR="00B84604" w:rsidRPr="00B96141" w:rsidRDefault="00B84604" w:rsidP="00126F07">
            <w:pPr>
              <w:rPr>
                <w:sz w:val="21"/>
                <w:szCs w:val="21"/>
              </w:rPr>
            </w:pPr>
          </w:p>
        </w:tc>
        <w:tc>
          <w:tcPr>
            <w:tcW w:w="525" w:type="dxa"/>
            <w:vAlign w:val="center"/>
          </w:tcPr>
          <w:p w:rsidR="00B84604" w:rsidRPr="00B96141" w:rsidRDefault="00B84604" w:rsidP="00126F07">
            <w:pPr>
              <w:jc w:val="center"/>
              <w:rPr>
                <w:sz w:val="21"/>
                <w:szCs w:val="21"/>
              </w:rPr>
            </w:pPr>
            <w:r w:rsidRPr="00B96141">
              <w:rPr>
                <w:sz w:val="21"/>
                <w:szCs w:val="21"/>
              </w:rPr>
              <w:t>Pos</w:t>
            </w:r>
          </w:p>
        </w:tc>
        <w:tc>
          <w:tcPr>
            <w:tcW w:w="684" w:type="dxa"/>
            <w:vAlign w:val="center"/>
          </w:tcPr>
          <w:p w:rsidR="00B84604" w:rsidRPr="00B96141" w:rsidRDefault="00B84604" w:rsidP="00126F07">
            <w:pPr>
              <w:jc w:val="center"/>
              <w:rPr>
                <w:sz w:val="21"/>
                <w:szCs w:val="21"/>
              </w:rPr>
            </w:pPr>
            <w:proofErr w:type="spellStart"/>
            <w:r w:rsidRPr="00B96141">
              <w:rPr>
                <w:sz w:val="21"/>
                <w:szCs w:val="21"/>
              </w:rPr>
              <w:t>Agt</w:t>
            </w:r>
            <w:proofErr w:type="spellEnd"/>
          </w:p>
        </w:tc>
        <w:tc>
          <w:tcPr>
            <w:tcW w:w="643" w:type="dxa"/>
            <w:vAlign w:val="center"/>
          </w:tcPr>
          <w:p w:rsidR="00B84604" w:rsidRPr="00B96141" w:rsidRDefault="00B84604" w:rsidP="00126F07">
            <w:pPr>
              <w:jc w:val="center"/>
              <w:rPr>
                <w:sz w:val="21"/>
                <w:szCs w:val="21"/>
              </w:rPr>
            </w:pPr>
            <w:r w:rsidRPr="00B96141">
              <w:rPr>
                <w:sz w:val="21"/>
                <w:szCs w:val="21"/>
              </w:rPr>
              <w:t>FTE</w:t>
            </w:r>
          </w:p>
        </w:tc>
        <w:tc>
          <w:tcPr>
            <w:tcW w:w="1103" w:type="dxa"/>
            <w:vAlign w:val="center"/>
          </w:tcPr>
          <w:p w:rsidR="00B84604" w:rsidRPr="00B96141" w:rsidRDefault="00B84604" w:rsidP="00126F07">
            <w:pPr>
              <w:jc w:val="center"/>
              <w:rPr>
                <w:sz w:val="21"/>
                <w:szCs w:val="21"/>
              </w:rPr>
            </w:pPr>
            <w:r w:rsidRPr="00B96141">
              <w:rPr>
                <w:sz w:val="21"/>
                <w:szCs w:val="21"/>
              </w:rPr>
              <w:t>Personnel</w:t>
            </w:r>
            <w:r w:rsidR="00B96141">
              <w:rPr>
                <w:sz w:val="21"/>
                <w:szCs w:val="21"/>
              </w:rPr>
              <w:t xml:space="preserve"> </w:t>
            </w:r>
            <w:r w:rsidRPr="00B96141">
              <w:rPr>
                <w:sz w:val="21"/>
                <w:szCs w:val="21"/>
              </w:rPr>
              <w:t>($000)</w:t>
            </w:r>
          </w:p>
        </w:tc>
        <w:tc>
          <w:tcPr>
            <w:tcW w:w="1080" w:type="dxa"/>
            <w:vAlign w:val="center"/>
          </w:tcPr>
          <w:p w:rsidR="00B84604" w:rsidRPr="00B96141" w:rsidRDefault="00B84604" w:rsidP="00B96141">
            <w:pPr>
              <w:jc w:val="center"/>
              <w:rPr>
                <w:sz w:val="21"/>
                <w:szCs w:val="21"/>
              </w:rPr>
            </w:pPr>
            <w:r w:rsidRPr="00B96141">
              <w:rPr>
                <w:sz w:val="21"/>
                <w:szCs w:val="21"/>
              </w:rPr>
              <w:t>Non-Personnel</w:t>
            </w:r>
            <w:r w:rsidR="00B96141">
              <w:rPr>
                <w:sz w:val="21"/>
                <w:szCs w:val="21"/>
              </w:rPr>
              <w:t xml:space="preserve"> </w:t>
            </w:r>
            <w:r w:rsidRPr="00B96141">
              <w:rPr>
                <w:sz w:val="21"/>
                <w:szCs w:val="21"/>
              </w:rPr>
              <w:t>($000)</w:t>
            </w:r>
          </w:p>
        </w:tc>
        <w:tc>
          <w:tcPr>
            <w:tcW w:w="900" w:type="dxa"/>
            <w:vAlign w:val="center"/>
          </w:tcPr>
          <w:p w:rsidR="00B84604" w:rsidRPr="00B96141" w:rsidRDefault="00B84604" w:rsidP="00B96141">
            <w:pPr>
              <w:jc w:val="center"/>
              <w:rPr>
                <w:sz w:val="21"/>
                <w:szCs w:val="21"/>
              </w:rPr>
            </w:pPr>
            <w:r w:rsidRPr="00B96141">
              <w:rPr>
                <w:sz w:val="21"/>
                <w:szCs w:val="21"/>
              </w:rPr>
              <w:t>Total</w:t>
            </w:r>
            <w:r w:rsidR="00B96141">
              <w:rPr>
                <w:sz w:val="21"/>
                <w:szCs w:val="21"/>
              </w:rPr>
              <w:t xml:space="preserve"> </w:t>
            </w:r>
            <w:r w:rsidRPr="00B96141">
              <w:rPr>
                <w:sz w:val="21"/>
                <w:szCs w:val="21"/>
              </w:rPr>
              <w:t>($000)</w:t>
            </w:r>
          </w:p>
        </w:tc>
        <w:tc>
          <w:tcPr>
            <w:tcW w:w="1620" w:type="dxa"/>
            <w:vAlign w:val="center"/>
          </w:tcPr>
          <w:p w:rsidR="00B84604" w:rsidRPr="00B96141" w:rsidRDefault="00B84604" w:rsidP="00126F07">
            <w:pPr>
              <w:jc w:val="center"/>
              <w:rPr>
                <w:sz w:val="21"/>
                <w:szCs w:val="21"/>
              </w:rPr>
            </w:pPr>
            <w:r w:rsidRPr="00B96141">
              <w:rPr>
                <w:sz w:val="21"/>
                <w:szCs w:val="21"/>
              </w:rPr>
              <w:t>FY 2013 Net Annualization</w:t>
            </w:r>
          </w:p>
          <w:p w:rsidR="00B84604" w:rsidRPr="00B96141" w:rsidRDefault="00B84604" w:rsidP="00B96141">
            <w:pPr>
              <w:jc w:val="center"/>
              <w:rPr>
                <w:sz w:val="21"/>
                <w:szCs w:val="21"/>
              </w:rPr>
            </w:pPr>
            <w:r w:rsidRPr="00B96141">
              <w:rPr>
                <w:sz w:val="21"/>
                <w:szCs w:val="21"/>
              </w:rPr>
              <w:t>(Change from 2012)</w:t>
            </w:r>
            <w:r w:rsidR="00B96141">
              <w:rPr>
                <w:sz w:val="21"/>
                <w:szCs w:val="21"/>
              </w:rPr>
              <w:t xml:space="preserve"> </w:t>
            </w:r>
            <w:r w:rsidRPr="00B96141">
              <w:rPr>
                <w:sz w:val="21"/>
                <w:szCs w:val="21"/>
              </w:rPr>
              <w:t>($000)</w:t>
            </w:r>
          </w:p>
        </w:tc>
        <w:tc>
          <w:tcPr>
            <w:tcW w:w="1800" w:type="dxa"/>
            <w:vAlign w:val="center"/>
          </w:tcPr>
          <w:p w:rsidR="00B84604" w:rsidRPr="00B96141" w:rsidRDefault="00B84604" w:rsidP="00B96141">
            <w:pPr>
              <w:jc w:val="center"/>
              <w:rPr>
                <w:sz w:val="21"/>
                <w:szCs w:val="21"/>
              </w:rPr>
            </w:pPr>
            <w:r w:rsidRPr="00B96141">
              <w:rPr>
                <w:sz w:val="21"/>
                <w:szCs w:val="21"/>
              </w:rPr>
              <w:t>FY 2014 Net Annualization</w:t>
            </w:r>
          </w:p>
          <w:p w:rsidR="00B84604" w:rsidRPr="00B96141" w:rsidRDefault="00B84604" w:rsidP="00B96141">
            <w:pPr>
              <w:jc w:val="center"/>
              <w:rPr>
                <w:sz w:val="21"/>
                <w:szCs w:val="21"/>
              </w:rPr>
            </w:pPr>
            <w:r w:rsidRPr="00B96141">
              <w:rPr>
                <w:sz w:val="21"/>
                <w:szCs w:val="21"/>
              </w:rPr>
              <w:t>(Change from 2013)</w:t>
            </w:r>
            <w:r w:rsidR="00B96141">
              <w:rPr>
                <w:sz w:val="21"/>
                <w:szCs w:val="21"/>
              </w:rPr>
              <w:t xml:space="preserve"> </w:t>
            </w:r>
            <w:r w:rsidRPr="00B96141">
              <w:rPr>
                <w:sz w:val="21"/>
                <w:szCs w:val="21"/>
              </w:rPr>
              <w:t>($000)</w:t>
            </w:r>
          </w:p>
        </w:tc>
      </w:tr>
      <w:tr w:rsidR="00B84604" w:rsidRPr="00CC5993" w:rsidTr="00B96141">
        <w:trPr>
          <w:trHeight w:val="215"/>
        </w:trPr>
        <w:tc>
          <w:tcPr>
            <w:tcW w:w="1203" w:type="dxa"/>
          </w:tcPr>
          <w:p w:rsidR="00B84604" w:rsidRPr="00B96141" w:rsidRDefault="00B84604" w:rsidP="00126F07">
            <w:pPr>
              <w:rPr>
                <w:sz w:val="21"/>
                <w:szCs w:val="21"/>
              </w:rPr>
            </w:pPr>
            <w:r w:rsidRPr="00B96141">
              <w:rPr>
                <w:sz w:val="21"/>
                <w:szCs w:val="21"/>
              </w:rPr>
              <w:t>Current Services</w:t>
            </w:r>
          </w:p>
        </w:tc>
        <w:tc>
          <w:tcPr>
            <w:tcW w:w="525" w:type="dxa"/>
            <w:vAlign w:val="center"/>
          </w:tcPr>
          <w:p w:rsidR="00B84604" w:rsidRPr="00B96141" w:rsidRDefault="00B84604" w:rsidP="00126F07">
            <w:pPr>
              <w:jc w:val="right"/>
              <w:rPr>
                <w:sz w:val="21"/>
                <w:szCs w:val="21"/>
              </w:rPr>
            </w:pPr>
            <w:r w:rsidRPr="00B96141">
              <w:rPr>
                <w:sz w:val="21"/>
                <w:szCs w:val="21"/>
              </w:rPr>
              <w:t>0</w:t>
            </w:r>
          </w:p>
        </w:tc>
        <w:tc>
          <w:tcPr>
            <w:tcW w:w="684" w:type="dxa"/>
            <w:vAlign w:val="center"/>
          </w:tcPr>
          <w:p w:rsidR="00B84604" w:rsidRPr="00B96141" w:rsidRDefault="00B84604" w:rsidP="00126F07">
            <w:pPr>
              <w:jc w:val="right"/>
              <w:rPr>
                <w:sz w:val="21"/>
                <w:szCs w:val="21"/>
              </w:rPr>
            </w:pPr>
            <w:r w:rsidRPr="00B96141">
              <w:rPr>
                <w:sz w:val="21"/>
                <w:szCs w:val="21"/>
              </w:rPr>
              <w:t>0</w:t>
            </w:r>
          </w:p>
        </w:tc>
        <w:tc>
          <w:tcPr>
            <w:tcW w:w="643" w:type="dxa"/>
            <w:vAlign w:val="center"/>
          </w:tcPr>
          <w:p w:rsidR="00B84604" w:rsidRPr="00B96141" w:rsidRDefault="00B84604" w:rsidP="00126F07">
            <w:pPr>
              <w:jc w:val="right"/>
              <w:rPr>
                <w:sz w:val="21"/>
                <w:szCs w:val="21"/>
              </w:rPr>
            </w:pPr>
            <w:r w:rsidRPr="00B96141">
              <w:rPr>
                <w:sz w:val="21"/>
                <w:szCs w:val="21"/>
              </w:rPr>
              <w:t>0</w:t>
            </w:r>
          </w:p>
        </w:tc>
        <w:tc>
          <w:tcPr>
            <w:tcW w:w="1103" w:type="dxa"/>
            <w:vAlign w:val="center"/>
          </w:tcPr>
          <w:p w:rsidR="00B84604" w:rsidRPr="00B96141" w:rsidRDefault="00B84604" w:rsidP="00126F07">
            <w:pPr>
              <w:jc w:val="right"/>
              <w:rPr>
                <w:sz w:val="21"/>
                <w:szCs w:val="21"/>
              </w:rPr>
            </w:pPr>
            <w:r w:rsidRPr="00B96141">
              <w:rPr>
                <w:sz w:val="21"/>
                <w:szCs w:val="21"/>
              </w:rPr>
              <w:t>0</w:t>
            </w:r>
          </w:p>
        </w:tc>
        <w:tc>
          <w:tcPr>
            <w:tcW w:w="1080" w:type="dxa"/>
            <w:vAlign w:val="center"/>
          </w:tcPr>
          <w:p w:rsidR="00B84604" w:rsidRPr="00B96141" w:rsidRDefault="0082437F" w:rsidP="0082437F">
            <w:pPr>
              <w:jc w:val="right"/>
              <w:rPr>
                <w:sz w:val="21"/>
                <w:szCs w:val="21"/>
              </w:rPr>
            </w:pPr>
            <w:r>
              <w:rPr>
                <w:sz w:val="21"/>
                <w:szCs w:val="21"/>
              </w:rPr>
              <w:t>3,750</w:t>
            </w:r>
          </w:p>
        </w:tc>
        <w:tc>
          <w:tcPr>
            <w:tcW w:w="900" w:type="dxa"/>
            <w:vAlign w:val="center"/>
          </w:tcPr>
          <w:p w:rsidR="00B84604" w:rsidRPr="00B96141" w:rsidRDefault="0082437F" w:rsidP="0082437F">
            <w:pPr>
              <w:jc w:val="right"/>
              <w:rPr>
                <w:sz w:val="21"/>
                <w:szCs w:val="21"/>
              </w:rPr>
            </w:pPr>
            <w:r>
              <w:rPr>
                <w:sz w:val="21"/>
                <w:szCs w:val="21"/>
              </w:rPr>
              <w:t>3,750</w:t>
            </w:r>
          </w:p>
        </w:tc>
        <w:tc>
          <w:tcPr>
            <w:tcW w:w="1620" w:type="dxa"/>
            <w:vAlign w:val="center"/>
          </w:tcPr>
          <w:p w:rsidR="00B84604" w:rsidRPr="00B96141" w:rsidRDefault="00285D6B" w:rsidP="00126F07">
            <w:pPr>
              <w:jc w:val="right"/>
              <w:rPr>
                <w:sz w:val="21"/>
                <w:szCs w:val="21"/>
              </w:rPr>
            </w:pPr>
            <w:r>
              <w:rPr>
                <w:sz w:val="21"/>
                <w:szCs w:val="21"/>
              </w:rPr>
              <w:t>0</w:t>
            </w:r>
          </w:p>
        </w:tc>
        <w:tc>
          <w:tcPr>
            <w:tcW w:w="1800" w:type="dxa"/>
            <w:vAlign w:val="center"/>
          </w:tcPr>
          <w:p w:rsidR="00B84604" w:rsidRPr="00B96141" w:rsidRDefault="00285D6B" w:rsidP="00126F07">
            <w:pPr>
              <w:jc w:val="right"/>
              <w:rPr>
                <w:sz w:val="21"/>
                <w:szCs w:val="21"/>
              </w:rPr>
            </w:pPr>
            <w:r>
              <w:rPr>
                <w:sz w:val="21"/>
                <w:szCs w:val="21"/>
              </w:rPr>
              <w:t>0</w:t>
            </w:r>
          </w:p>
        </w:tc>
      </w:tr>
      <w:tr w:rsidR="00B84604" w:rsidRPr="00CC5993" w:rsidTr="00B96141">
        <w:trPr>
          <w:trHeight w:val="233"/>
        </w:trPr>
        <w:tc>
          <w:tcPr>
            <w:tcW w:w="1203" w:type="dxa"/>
          </w:tcPr>
          <w:p w:rsidR="00B84604" w:rsidRPr="00B96141" w:rsidRDefault="00285D6B" w:rsidP="00B96141">
            <w:pPr>
              <w:rPr>
                <w:sz w:val="21"/>
                <w:szCs w:val="21"/>
              </w:rPr>
            </w:pPr>
            <w:r>
              <w:rPr>
                <w:sz w:val="21"/>
                <w:szCs w:val="21"/>
              </w:rPr>
              <w:t>Decreases</w:t>
            </w:r>
          </w:p>
        </w:tc>
        <w:tc>
          <w:tcPr>
            <w:tcW w:w="525" w:type="dxa"/>
          </w:tcPr>
          <w:p w:rsidR="00B84604" w:rsidRPr="00B96141" w:rsidRDefault="00B84604" w:rsidP="00B96141">
            <w:pPr>
              <w:jc w:val="right"/>
              <w:rPr>
                <w:sz w:val="21"/>
                <w:szCs w:val="21"/>
              </w:rPr>
            </w:pPr>
            <w:r w:rsidRPr="00B96141">
              <w:rPr>
                <w:sz w:val="21"/>
                <w:szCs w:val="21"/>
              </w:rPr>
              <w:t>0</w:t>
            </w:r>
          </w:p>
        </w:tc>
        <w:tc>
          <w:tcPr>
            <w:tcW w:w="684" w:type="dxa"/>
          </w:tcPr>
          <w:p w:rsidR="00B84604" w:rsidRPr="00B96141" w:rsidRDefault="00B84604" w:rsidP="00B96141">
            <w:pPr>
              <w:jc w:val="right"/>
              <w:rPr>
                <w:sz w:val="21"/>
                <w:szCs w:val="21"/>
              </w:rPr>
            </w:pPr>
            <w:r w:rsidRPr="00B96141">
              <w:rPr>
                <w:sz w:val="21"/>
                <w:szCs w:val="21"/>
              </w:rPr>
              <w:t>0</w:t>
            </w:r>
          </w:p>
        </w:tc>
        <w:tc>
          <w:tcPr>
            <w:tcW w:w="643" w:type="dxa"/>
          </w:tcPr>
          <w:p w:rsidR="00B84604" w:rsidRPr="00B96141" w:rsidRDefault="00B84604" w:rsidP="00B96141">
            <w:pPr>
              <w:jc w:val="right"/>
              <w:rPr>
                <w:sz w:val="21"/>
                <w:szCs w:val="21"/>
              </w:rPr>
            </w:pPr>
            <w:r w:rsidRPr="00B96141">
              <w:rPr>
                <w:sz w:val="21"/>
                <w:szCs w:val="21"/>
              </w:rPr>
              <w:t>0</w:t>
            </w:r>
          </w:p>
        </w:tc>
        <w:tc>
          <w:tcPr>
            <w:tcW w:w="1103" w:type="dxa"/>
          </w:tcPr>
          <w:p w:rsidR="00B84604" w:rsidRPr="00B96141" w:rsidRDefault="00B84604" w:rsidP="00B96141">
            <w:pPr>
              <w:jc w:val="right"/>
              <w:rPr>
                <w:sz w:val="21"/>
                <w:szCs w:val="21"/>
              </w:rPr>
            </w:pPr>
            <w:r w:rsidRPr="00B96141">
              <w:rPr>
                <w:sz w:val="21"/>
                <w:szCs w:val="21"/>
              </w:rPr>
              <w:t>0</w:t>
            </w:r>
          </w:p>
        </w:tc>
        <w:tc>
          <w:tcPr>
            <w:tcW w:w="1080" w:type="dxa"/>
          </w:tcPr>
          <w:p w:rsidR="00B84604" w:rsidRPr="00B96141" w:rsidRDefault="00285D6B" w:rsidP="00B96141">
            <w:pPr>
              <w:jc w:val="right"/>
              <w:rPr>
                <w:sz w:val="21"/>
                <w:szCs w:val="21"/>
              </w:rPr>
            </w:pPr>
            <w:r>
              <w:rPr>
                <w:sz w:val="21"/>
                <w:szCs w:val="21"/>
              </w:rPr>
              <w:t>(4,000)</w:t>
            </w:r>
          </w:p>
        </w:tc>
        <w:tc>
          <w:tcPr>
            <w:tcW w:w="900" w:type="dxa"/>
          </w:tcPr>
          <w:p w:rsidR="00B84604" w:rsidRPr="00B96141" w:rsidRDefault="00B84604" w:rsidP="00B96141">
            <w:pPr>
              <w:jc w:val="right"/>
              <w:rPr>
                <w:sz w:val="21"/>
                <w:szCs w:val="21"/>
              </w:rPr>
            </w:pPr>
            <w:r w:rsidRPr="00B96141">
              <w:rPr>
                <w:sz w:val="21"/>
                <w:szCs w:val="21"/>
              </w:rPr>
              <w:t>(4,000)</w:t>
            </w:r>
          </w:p>
        </w:tc>
        <w:tc>
          <w:tcPr>
            <w:tcW w:w="1620" w:type="dxa"/>
          </w:tcPr>
          <w:p w:rsidR="00B84604" w:rsidRPr="00B96141" w:rsidRDefault="00285D6B" w:rsidP="00B96141">
            <w:pPr>
              <w:jc w:val="right"/>
              <w:rPr>
                <w:sz w:val="21"/>
                <w:szCs w:val="21"/>
              </w:rPr>
            </w:pPr>
            <w:r>
              <w:rPr>
                <w:sz w:val="21"/>
                <w:szCs w:val="21"/>
              </w:rPr>
              <w:t>0</w:t>
            </w:r>
          </w:p>
        </w:tc>
        <w:tc>
          <w:tcPr>
            <w:tcW w:w="1800" w:type="dxa"/>
          </w:tcPr>
          <w:p w:rsidR="00B84604" w:rsidRPr="00B96141" w:rsidRDefault="00285D6B" w:rsidP="00B96141">
            <w:pPr>
              <w:jc w:val="right"/>
              <w:rPr>
                <w:sz w:val="21"/>
                <w:szCs w:val="21"/>
              </w:rPr>
            </w:pPr>
            <w:r>
              <w:rPr>
                <w:sz w:val="21"/>
                <w:szCs w:val="21"/>
              </w:rPr>
              <w:t>0</w:t>
            </w:r>
          </w:p>
        </w:tc>
      </w:tr>
      <w:tr w:rsidR="00B84604" w:rsidRPr="00CC5993" w:rsidTr="00B96141">
        <w:trPr>
          <w:trHeight w:val="260"/>
        </w:trPr>
        <w:tc>
          <w:tcPr>
            <w:tcW w:w="1203" w:type="dxa"/>
          </w:tcPr>
          <w:p w:rsidR="00B84604" w:rsidRPr="00B96141" w:rsidRDefault="00B84604" w:rsidP="00126F07">
            <w:pPr>
              <w:rPr>
                <w:sz w:val="21"/>
                <w:szCs w:val="21"/>
              </w:rPr>
            </w:pPr>
            <w:r w:rsidRPr="00B96141">
              <w:rPr>
                <w:sz w:val="21"/>
                <w:szCs w:val="21"/>
              </w:rPr>
              <w:t>Grand Total</w:t>
            </w:r>
          </w:p>
        </w:tc>
        <w:tc>
          <w:tcPr>
            <w:tcW w:w="525" w:type="dxa"/>
            <w:vAlign w:val="center"/>
          </w:tcPr>
          <w:p w:rsidR="00B84604" w:rsidRPr="00B96141" w:rsidRDefault="00B84604" w:rsidP="00126F07">
            <w:pPr>
              <w:jc w:val="right"/>
              <w:rPr>
                <w:sz w:val="21"/>
                <w:szCs w:val="21"/>
              </w:rPr>
            </w:pPr>
            <w:r w:rsidRPr="00B96141">
              <w:rPr>
                <w:sz w:val="21"/>
                <w:szCs w:val="21"/>
              </w:rPr>
              <w:t>0</w:t>
            </w:r>
          </w:p>
        </w:tc>
        <w:tc>
          <w:tcPr>
            <w:tcW w:w="684" w:type="dxa"/>
            <w:vAlign w:val="center"/>
          </w:tcPr>
          <w:p w:rsidR="00B84604" w:rsidRPr="00B96141" w:rsidRDefault="00B84604" w:rsidP="00126F07">
            <w:pPr>
              <w:jc w:val="right"/>
              <w:rPr>
                <w:sz w:val="21"/>
                <w:szCs w:val="21"/>
              </w:rPr>
            </w:pPr>
            <w:r w:rsidRPr="00B96141">
              <w:rPr>
                <w:sz w:val="21"/>
                <w:szCs w:val="21"/>
              </w:rPr>
              <w:t>0</w:t>
            </w:r>
          </w:p>
        </w:tc>
        <w:tc>
          <w:tcPr>
            <w:tcW w:w="643" w:type="dxa"/>
            <w:vAlign w:val="center"/>
          </w:tcPr>
          <w:p w:rsidR="00B84604" w:rsidRPr="00B96141" w:rsidRDefault="00B84604" w:rsidP="00126F07">
            <w:pPr>
              <w:jc w:val="right"/>
              <w:rPr>
                <w:sz w:val="21"/>
                <w:szCs w:val="21"/>
              </w:rPr>
            </w:pPr>
            <w:r w:rsidRPr="00B96141">
              <w:rPr>
                <w:sz w:val="21"/>
                <w:szCs w:val="21"/>
              </w:rPr>
              <w:t>0</w:t>
            </w:r>
          </w:p>
        </w:tc>
        <w:tc>
          <w:tcPr>
            <w:tcW w:w="1103" w:type="dxa"/>
            <w:vAlign w:val="center"/>
          </w:tcPr>
          <w:p w:rsidR="00B84604" w:rsidRPr="00B96141" w:rsidRDefault="00B84604" w:rsidP="00126F07">
            <w:pPr>
              <w:jc w:val="right"/>
              <w:rPr>
                <w:sz w:val="21"/>
                <w:szCs w:val="21"/>
              </w:rPr>
            </w:pPr>
            <w:r w:rsidRPr="00B96141">
              <w:rPr>
                <w:sz w:val="21"/>
                <w:szCs w:val="21"/>
              </w:rPr>
              <w:t>0</w:t>
            </w:r>
          </w:p>
        </w:tc>
        <w:tc>
          <w:tcPr>
            <w:tcW w:w="1080" w:type="dxa"/>
            <w:vAlign w:val="center"/>
          </w:tcPr>
          <w:p w:rsidR="00B84604" w:rsidRPr="00B96141" w:rsidRDefault="00E370B4" w:rsidP="00126F07">
            <w:pPr>
              <w:jc w:val="right"/>
              <w:rPr>
                <w:sz w:val="21"/>
                <w:szCs w:val="21"/>
              </w:rPr>
            </w:pPr>
            <w:r>
              <w:rPr>
                <w:sz w:val="21"/>
                <w:szCs w:val="21"/>
              </w:rPr>
              <w:t>0</w:t>
            </w:r>
          </w:p>
        </w:tc>
        <w:tc>
          <w:tcPr>
            <w:tcW w:w="900" w:type="dxa"/>
            <w:vAlign w:val="center"/>
          </w:tcPr>
          <w:p w:rsidR="00B84604" w:rsidRPr="00B96141" w:rsidRDefault="00E370B4" w:rsidP="00285D6B">
            <w:pPr>
              <w:jc w:val="right"/>
              <w:rPr>
                <w:sz w:val="21"/>
                <w:szCs w:val="21"/>
              </w:rPr>
            </w:pPr>
            <w:r>
              <w:rPr>
                <w:sz w:val="21"/>
                <w:szCs w:val="21"/>
              </w:rPr>
              <w:t>0</w:t>
            </w:r>
          </w:p>
        </w:tc>
        <w:tc>
          <w:tcPr>
            <w:tcW w:w="1620" w:type="dxa"/>
            <w:vAlign w:val="center"/>
          </w:tcPr>
          <w:p w:rsidR="00B84604" w:rsidRPr="00B96141" w:rsidRDefault="00285D6B" w:rsidP="00126F07">
            <w:pPr>
              <w:jc w:val="right"/>
              <w:rPr>
                <w:sz w:val="21"/>
                <w:szCs w:val="21"/>
              </w:rPr>
            </w:pPr>
            <w:r>
              <w:rPr>
                <w:sz w:val="21"/>
                <w:szCs w:val="21"/>
              </w:rPr>
              <w:t>0</w:t>
            </w:r>
          </w:p>
        </w:tc>
        <w:tc>
          <w:tcPr>
            <w:tcW w:w="1800" w:type="dxa"/>
            <w:vAlign w:val="center"/>
          </w:tcPr>
          <w:p w:rsidR="00B84604" w:rsidRPr="00B96141" w:rsidRDefault="00285D6B" w:rsidP="00126F07">
            <w:pPr>
              <w:jc w:val="right"/>
              <w:rPr>
                <w:sz w:val="21"/>
                <w:szCs w:val="21"/>
              </w:rPr>
            </w:pPr>
            <w:r>
              <w:rPr>
                <w:sz w:val="21"/>
                <w:szCs w:val="21"/>
              </w:rPr>
              <w:t>0</w:t>
            </w:r>
          </w:p>
        </w:tc>
      </w:tr>
    </w:tbl>
    <w:p w:rsidR="00B84604" w:rsidRPr="00F65EDB" w:rsidRDefault="00B84604" w:rsidP="00B84604">
      <w:pPr>
        <w:pStyle w:val="xl24"/>
        <w:spacing w:before="0" w:beforeAutospacing="0" w:after="0" w:afterAutospacing="0"/>
      </w:pPr>
    </w:p>
    <w:p w:rsidR="00B84604" w:rsidRDefault="00B84604" w:rsidP="00B84604">
      <w:r>
        <w:br w:type="page"/>
      </w:r>
    </w:p>
    <w:p w:rsidR="00D95367" w:rsidRPr="000C1B36" w:rsidRDefault="00D95367" w:rsidP="00D95367">
      <w:pPr>
        <w:pStyle w:val="xl19"/>
        <w:tabs>
          <w:tab w:val="left" w:pos="3420"/>
          <w:tab w:val="right" w:pos="8640"/>
        </w:tabs>
        <w:outlineLvl w:val="0"/>
        <w:rPr>
          <w:b/>
          <w:bCs/>
        </w:rPr>
      </w:pPr>
      <w:r w:rsidRPr="00426C49">
        <w:rPr>
          <w:b/>
          <w:bCs/>
        </w:rPr>
        <w:lastRenderedPageBreak/>
        <w:t>Item Name:</w:t>
      </w:r>
      <w:r w:rsidRPr="00426C49">
        <w:rPr>
          <w:b/>
          <w:bCs/>
        </w:rPr>
        <w:tab/>
      </w:r>
      <w:r>
        <w:rPr>
          <w:b/>
          <w:bCs/>
        </w:rPr>
        <w:t>Adjustment for Administrative Efficiencies</w:t>
      </w:r>
    </w:p>
    <w:p w:rsidR="00D95367" w:rsidRPr="00426C49" w:rsidRDefault="00D95367" w:rsidP="00D95367">
      <w:pPr>
        <w:pStyle w:val="xl19"/>
        <w:tabs>
          <w:tab w:val="left" w:pos="3420"/>
          <w:tab w:val="right" w:pos="8640"/>
        </w:tabs>
      </w:pPr>
      <w:r w:rsidRPr="00426C49">
        <w:t xml:space="preserve">                                     </w:t>
      </w:r>
    </w:p>
    <w:p w:rsidR="00D95367" w:rsidRPr="00C16770" w:rsidRDefault="00D95367" w:rsidP="00D95367">
      <w:pPr>
        <w:pStyle w:val="xl19"/>
        <w:tabs>
          <w:tab w:val="left" w:pos="3420"/>
          <w:tab w:val="right" w:pos="8640"/>
        </w:tabs>
        <w:ind w:left="3420" w:hanging="3420"/>
      </w:pPr>
      <w:r w:rsidRPr="00C16770">
        <w:rPr>
          <w:bCs/>
        </w:rPr>
        <w:t>Budget Decision Unit(s):</w:t>
      </w:r>
      <w:r w:rsidRPr="00C16770">
        <w:t xml:space="preserve"> </w:t>
      </w:r>
      <w:r w:rsidRPr="00C16770">
        <w:tab/>
      </w:r>
      <w:r>
        <w:t>Bureau-wide</w:t>
      </w:r>
    </w:p>
    <w:p w:rsidR="00D95367" w:rsidRPr="00C16770" w:rsidRDefault="00D95367" w:rsidP="00D95367">
      <w:pPr>
        <w:pStyle w:val="xl19"/>
        <w:tabs>
          <w:tab w:val="left" w:pos="3420"/>
          <w:tab w:val="right" w:pos="8640"/>
        </w:tabs>
      </w:pPr>
      <w:r w:rsidRPr="00C16770">
        <w:tab/>
        <w:t xml:space="preserve">                                                     </w:t>
      </w:r>
    </w:p>
    <w:p w:rsidR="00D95367" w:rsidRPr="00C16770" w:rsidRDefault="00D95367" w:rsidP="00D95367">
      <w:pPr>
        <w:pStyle w:val="xl19"/>
        <w:tabs>
          <w:tab w:val="left" w:pos="3420"/>
          <w:tab w:val="right" w:pos="8640"/>
        </w:tabs>
        <w:ind w:left="3420" w:hanging="3420"/>
      </w:pPr>
      <w:r w:rsidRPr="00C16770">
        <w:rPr>
          <w:bCs/>
        </w:rPr>
        <w:t>Strategic Goal(s) &amp; Objective(s):</w:t>
      </w:r>
      <w:r w:rsidRPr="00C16770">
        <w:t xml:space="preserve"> </w:t>
      </w:r>
      <w:r w:rsidRPr="00C16770">
        <w:tab/>
        <w:t xml:space="preserve">Strategic Goal 1: Prevent Terrorism and Promote the Nation’s Security, Objectives 1.1 and 1.2; </w:t>
      </w:r>
      <w:r w:rsidRPr="00C16770">
        <w:tab/>
      </w:r>
    </w:p>
    <w:p w:rsidR="00D95367" w:rsidRPr="00C16770" w:rsidRDefault="00D95367" w:rsidP="00D95367">
      <w:pPr>
        <w:pStyle w:val="xl19"/>
        <w:tabs>
          <w:tab w:val="left" w:pos="3420"/>
          <w:tab w:val="right" w:pos="8640"/>
        </w:tabs>
        <w:ind w:left="3420" w:hanging="3420"/>
      </w:pPr>
    </w:p>
    <w:p w:rsidR="00D95367" w:rsidRPr="00C16770" w:rsidRDefault="00D95367" w:rsidP="00D95367">
      <w:pPr>
        <w:pStyle w:val="xl19"/>
        <w:tabs>
          <w:tab w:val="left" w:pos="3420"/>
          <w:tab w:val="right" w:pos="8640"/>
        </w:tabs>
        <w:ind w:left="3420"/>
      </w:pPr>
      <w:r w:rsidRPr="00C16770">
        <w:t>Strategic Goal 2: Prevent Crime, Enforce Federal Laws, and Represent the Rights and Interests of the American People, Objectives 2.1, 2.2</w:t>
      </w:r>
    </w:p>
    <w:p w:rsidR="00D95367" w:rsidRPr="00C16770" w:rsidRDefault="00D95367" w:rsidP="00D95367">
      <w:pPr>
        <w:pStyle w:val="xl19"/>
        <w:tabs>
          <w:tab w:val="left" w:pos="3420"/>
          <w:tab w:val="right" w:pos="8640"/>
        </w:tabs>
      </w:pPr>
    </w:p>
    <w:p w:rsidR="00D95367" w:rsidRPr="00C16770" w:rsidRDefault="00D95367" w:rsidP="00D95367">
      <w:pPr>
        <w:pStyle w:val="xl19"/>
        <w:tabs>
          <w:tab w:val="left" w:pos="3420"/>
          <w:tab w:val="right" w:pos="8640"/>
        </w:tabs>
      </w:pPr>
      <w:r w:rsidRPr="00C16770">
        <w:rPr>
          <w:bCs/>
        </w:rPr>
        <w:t>Organizational Program</w:t>
      </w:r>
      <w:r w:rsidRPr="00C16770">
        <w:t>:</w:t>
      </w:r>
      <w:r w:rsidRPr="00C16770">
        <w:tab/>
      </w:r>
      <w:r>
        <w:t>Bureau-wide</w:t>
      </w:r>
    </w:p>
    <w:p w:rsidR="00D95367" w:rsidRPr="00C16770" w:rsidRDefault="00D95367" w:rsidP="00D95367">
      <w:pPr>
        <w:pStyle w:val="xl19"/>
        <w:tabs>
          <w:tab w:val="left" w:pos="3420"/>
          <w:tab w:val="right" w:pos="8640"/>
        </w:tabs>
      </w:pPr>
      <w:r w:rsidRPr="00C16770">
        <w:tab/>
      </w:r>
    </w:p>
    <w:p w:rsidR="00D95367" w:rsidRPr="00C16770" w:rsidRDefault="00D95367" w:rsidP="00D95367">
      <w:pPr>
        <w:pStyle w:val="xl19"/>
        <w:tabs>
          <w:tab w:val="left" w:pos="3420"/>
          <w:tab w:val="right" w:pos="8640"/>
        </w:tabs>
      </w:pPr>
      <w:r w:rsidRPr="00C16770">
        <w:t>Component Ranking of Item:</w:t>
      </w:r>
      <w:r w:rsidRPr="00C16770">
        <w:tab/>
        <w:t xml:space="preserve">Item </w:t>
      </w:r>
      <w:r>
        <w:t>4</w:t>
      </w:r>
      <w:r w:rsidRPr="00C16770">
        <w:t xml:space="preserve"> of </w:t>
      </w:r>
      <w:r>
        <w:t>8</w:t>
      </w:r>
    </w:p>
    <w:p w:rsidR="00D95367" w:rsidRPr="00C16770" w:rsidRDefault="00D95367" w:rsidP="00D95367">
      <w:pPr>
        <w:pStyle w:val="xl19"/>
        <w:tabs>
          <w:tab w:val="left" w:pos="3420"/>
          <w:tab w:val="right" w:pos="8640"/>
        </w:tabs>
        <w:rPr>
          <w:u w:val="single"/>
        </w:rPr>
      </w:pPr>
    </w:p>
    <w:p w:rsidR="00D95367" w:rsidRPr="00CA4EC0" w:rsidRDefault="00D95367" w:rsidP="00D95367">
      <w:pPr>
        <w:pStyle w:val="xl19"/>
        <w:tabs>
          <w:tab w:val="left" w:pos="2340"/>
          <w:tab w:val="right" w:pos="3060"/>
          <w:tab w:val="left" w:pos="3420"/>
          <w:tab w:val="right" w:pos="4500"/>
          <w:tab w:val="left" w:pos="5310"/>
          <w:tab w:val="right" w:pos="6300"/>
        </w:tabs>
      </w:pPr>
      <w:r w:rsidRPr="00C16770">
        <w:rPr>
          <w:bCs/>
        </w:rPr>
        <w:t xml:space="preserve">Program </w:t>
      </w:r>
      <w:r w:rsidR="00A86176">
        <w:rPr>
          <w:bCs/>
        </w:rPr>
        <w:t>Offset</w:t>
      </w:r>
      <w:r w:rsidRPr="00C16770">
        <w:t>:</w:t>
      </w:r>
      <w:r w:rsidRPr="00426C49">
        <w:rPr>
          <w:b/>
        </w:rPr>
        <w:t xml:space="preserve"> </w:t>
      </w:r>
      <w:r w:rsidRPr="00426C49">
        <w:t xml:space="preserve"> </w:t>
      </w:r>
      <w:r w:rsidR="00A86176">
        <w:tab/>
      </w:r>
      <w:r w:rsidR="00A86176">
        <w:tab/>
      </w:r>
      <w:r w:rsidR="00A86176">
        <w:tab/>
      </w:r>
      <w:r w:rsidRPr="00426C49">
        <w:t xml:space="preserve">Positions: </w:t>
      </w:r>
      <w:r w:rsidRPr="00426C49">
        <w:rPr>
          <w:u w:val="single"/>
        </w:rPr>
        <w:t xml:space="preserve"> </w:t>
      </w:r>
      <w:proofErr w:type="gramStart"/>
      <w:r>
        <w:rPr>
          <w:u w:val="single"/>
        </w:rPr>
        <w:t>0</w:t>
      </w:r>
      <w:r w:rsidRPr="00426C49">
        <w:t xml:space="preserve">   Agent</w:t>
      </w:r>
      <w:proofErr w:type="gramEnd"/>
      <w:r w:rsidRPr="00426C49">
        <w:t xml:space="preserve">: </w:t>
      </w:r>
      <w:r w:rsidRPr="00426C49">
        <w:rPr>
          <w:u w:val="single"/>
        </w:rPr>
        <w:t xml:space="preserve"> </w:t>
      </w:r>
      <w:r>
        <w:rPr>
          <w:u w:val="single"/>
        </w:rPr>
        <w:t>0</w:t>
      </w:r>
      <w:r w:rsidRPr="00426C49">
        <w:rPr>
          <w:u w:val="single"/>
        </w:rPr>
        <w:t xml:space="preserve"> </w:t>
      </w:r>
      <w:r w:rsidRPr="00426C49">
        <w:t xml:space="preserve">  FTE: </w:t>
      </w:r>
      <w:r w:rsidRPr="00426C49">
        <w:rPr>
          <w:u w:val="single"/>
        </w:rPr>
        <w:t xml:space="preserve"> </w:t>
      </w:r>
      <w:r>
        <w:rPr>
          <w:u w:val="single"/>
        </w:rPr>
        <w:t>0</w:t>
      </w:r>
      <w:r w:rsidRPr="00426C49">
        <w:t xml:space="preserve">  </w:t>
      </w:r>
      <w:r>
        <w:t xml:space="preserve"> </w:t>
      </w:r>
      <w:r w:rsidRPr="00426C49">
        <w:t xml:space="preserve">Dollars </w:t>
      </w:r>
      <w:r>
        <w:t>(</w:t>
      </w:r>
      <w:r w:rsidRPr="00F172BE">
        <w:rPr>
          <w:u w:val="single"/>
        </w:rPr>
        <w:t>$</w:t>
      </w:r>
      <w:r>
        <w:rPr>
          <w:u w:val="single"/>
        </w:rPr>
        <w:t>2,841,000)</w:t>
      </w:r>
    </w:p>
    <w:p w:rsidR="00D95367" w:rsidRPr="00426C49" w:rsidRDefault="00D95367" w:rsidP="00D95367">
      <w:pPr>
        <w:pStyle w:val="xl19"/>
        <w:tabs>
          <w:tab w:val="left" w:pos="2340"/>
          <w:tab w:val="right" w:pos="3060"/>
          <w:tab w:val="left" w:pos="3420"/>
          <w:tab w:val="right" w:pos="4500"/>
          <w:tab w:val="left" w:pos="5310"/>
          <w:tab w:val="right" w:pos="6300"/>
        </w:tabs>
      </w:pPr>
      <w:r w:rsidRPr="00426C49">
        <w:rPr>
          <w:bCs/>
        </w:rPr>
        <w:t xml:space="preserve">                          </w:t>
      </w:r>
    </w:p>
    <w:p w:rsidR="00D95367" w:rsidRPr="003307E1" w:rsidRDefault="00D95367" w:rsidP="00D95367">
      <w:pPr>
        <w:pStyle w:val="Header"/>
        <w:outlineLvl w:val="0"/>
        <w:rPr>
          <w:bCs/>
          <w:u w:val="single"/>
        </w:rPr>
      </w:pPr>
      <w:r w:rsidRPr="003307E1">
        <w:rPr>
          <w:bCs/>
          <w:u w:val="single"/>
        </w:rPr>
        <w:t>Description of Item</w:t>
      </w:r>
    </w:p>
    <w:p w:rsidR="00D95367" w:rsidRDefault="00D95367" w:rsidP="00D95367">
      <w:pPr>
        <w:rPr>
          <w:bCs/>
          <w:u w:val="single"/>
        </w:rPr>
      </w:pPr>
    </w:p>
    <w:p w:rsidR="00D95367" w:rsidRPr="00B87AB5" w:rsidRDefault="00D95367" w:rsidP="00D95367">
      <w:r>
        <w:t xml:space="preserve">This budget reflects a Department of Justice-wide offset for Administrative items.  </w:t>
      </w:r>
    </w:p>
    <w:p w:rsidR="00D95367" w:rsidRDefault="00D95367" w:rsidP="00D95367">
      <w:pPr>
        <w:jc w:val="center"/>
        <w:rPr>
          <w:b/>
        </w:rPr>
      </w:pPr>
    </w:p>
    <w:p w:rsidR="00D95367" w:rsidRPr="004E1020" w:rsidRDefault="00D95367" w:rsidP="00D95367">
      <w:pPr>
        <w:pStyle w:val="Header"/>
        <w:outlineLvl w:val="0"/>
        <w:rPr>
          <w:bCs/>
          <w:u w:val="single"/>
        </w:rPr>
      </w:pPr>
      <w:r w:rsidRPr="004E1020">
        <w:rPr>
          <w:bCs/>
          <w:u w:val="single"/>
        </w:rPr>
        <w:t>Justification</w:t>
      </w:r>
    </w:p>
    <w:p w:rsidR="00D95367" w:rsidRDefault="00D95367" w:rsidP="00D95367">
      <w:pPr>
        <w:pStyle w:val="Header"/>
        <w:outlineLvl w:val="0"/>
        <w:rPr>
          <w:bCs/>
        </w:rPr>
      </w:pPr>
    </w:p>
    <w:p w:rsidR="00D95367" w:rsidRDefault="00D95367" w:rsidP="00D95367">
      <w:pPr>
        <w:pStyle w:val="Header"/>
        <w:outlineLvl w:val="0"/>
      </w:pPr>
      <w:r>
        <w:rPr>
          <w:szCs w:val="18"/>
        </w:rPr>
        <w:t xml:space="preserve">As part of its efforts to streamline and improve efficiency, the Department has asked components to lower anticipated administrative costs.  </w:t>
      </w:r>
    </w:p>
    <w:p w:rsidR="00D95367" w:rsidRDefault="00D95367" w:rsidP="00D95367">
      <w:pPr>
        <w:pStyle w:val="Header"/>
        <w:outlineLvl w:val="0"/>
      </w:pPr>
    </w:p>
    <w:p w:rsidR="00D95367" w:rsidRPr="004E1020" w:rsidRDefault="00D95367" w:rsidP="00D95367">
      <w:pPr>
        <w:pStyle w:val="Header"/>
        <w:outlineLvl w:val="0"/>
        <w:rPr>
          <w:bCs/>
          <w:u w:val="single"/>
        </w:rPr>
      </w:pPr>
      <w:r w:rsidRPr="004E1020">
        <w:rPr>
          <w:bCs/>
          <w:u w:val="single"/>
        </w:rPr>
        <w:t>Impact on Performance (Relationship of Increase to Strategic Goals)</w:t>
      </w:r>
    </w:p>
    <w:p w:rsidR="00D95367" w:rsidRPr="004E1020" w:rsidRDefault="00D95367" w:rsidP="00D95367">
      <w:pPr>
        <w:pStyle w:val="Header"/>
        <w:outlineLvl w:val="0"/>
        <w:rPr>
          <w:bCs/>
        </w:rPr>
      </w:pPr>
    </w:p>
    <w:p w:rsidR="00D95367" w:rsidRPr="00A5477B" w:rsidRDefault="00D95367" w:rsidP="00D95367">
      <w:pPr>
        <w:pStyle w:val="NormalWeb"/>
        <w:rPr>
          <w:rFonts w:ascii="Times New Roman" w:eastAsia="Times New Roman" w:hAnsi="Times New Roman"/>
          <w:szCs w:val="18"/>
        </w:rPr>
      </w:pPr>
      <w:r w:rsidRPr="00A5477B">
        <w:rPr>
          <w:rFonts w:ascii="Times New Roman" w:eastAsia="Times New Roman" w:hAnsi="Times New Roman"/>
          <w:szCs w:val="18"/>
        </w:rPr>
        <w:t>The Department is continually evaluating its programs and operations with the goal of achieving across-the-board economies of scale that result in increased efficiencies and cost savings. In FY 201</w:t>
      </w:r>
      <w:r>
        <w:rPr>
          <w:rFonts w:ascii="Times New Roman" w:eastAsia="Times New Roman" w:hAnsi="Times New Roman"/>
          <w:szCs w:val="18"/>
        </w:rPr>
        <w:t>2</w:t>
      </w:r>
      <w:r w:rsidRPr="00A5477B">
        <w:rPr>
          <w:rFonts w:ascii="Times New Roman" w:eastAsia="Times New Roman" w:hAnsi="Times New Roman"/>
          <w:szCs w:val="18"/>
        </w:rPr>
        <w:t xml:space="preserve">, </w:t>
      </w:r>
      <w:r w:rsidR="009B55FD">
        <w:rPr>
          <w:rFonts w:ascii="Times New Roman" w:eastAsia="Times New Roman" w:hAnsi="Times New Roman"/>
          <w:szCs w:val="18"/>
        </w:rPr>
        <w:t xml:space="preserve">the </w:t>
      </w:r>
      <w:r w:rsidRPr="00A5477B">
        <w:rPr>
          <w:rFonts w:ascii="Times New Roman" w:eastAsia="Times New Roman" w:hAnsi="Times New Roman"/>
          <w:szCs w:val="18"/>
        </w:rPr>
        <w:t>D</w:t>
      </w:r>
      <w:r w:rsidR="009B55FD">
        <w:rPr>
          <w:rFonts w:ascii="Times New Roman" w:eastAsia="Times New Roman" w:hAnsi="Times New Roman"/>
          <w:szCs w:val="18"/>
        </w:rPr>
        <w:t>epartment</w:t>
      </w:r>
      <w:r w:rsidRPr="00A5477B">
        <w:rPr>
          <w:rFonts w:ascii="Times New Roman" w:eastAsia="Times New Roman" w:hAnsi="Times New Roman"/>
          <w:szCs w:val="18"/>
        </w:rPr>
        <w:t xml:space="preserve"> is focusing on </w:t>
      </w:r>
      <w:r w:rsidR="009B55FD">
        <w:rPr>
          <w:rFonts w:ascii="Times New Roman" w:eastAsia="Times New Roman" w:hAnsi="Times New Roman"/>
          <w:szCs w:val="18"/>
        </w:rPr>
        <w:t xml:space="preserve">areas in which savings can be achieved, which include: printing, publications, travel, conferences, supplies, and general equipment. </w:t>
      </w:r>
      <w:r>
        <w:rPr>
          <w:rFonts w:ascii="Times New Roman" w:eastAsia="Times New Roman" w:hAnsi="Times New Roman"/>
          <w:szCs w:val="18"/>
        </w:rPr>
        <w:t>For ATF</w:t>
      </w:r>
      <w:r w:rsidRPr="00A5477B">
        <w:rPr>
          <w:rFonts w:ascii="Times New Roman" w:eastAsia="Times New Roman" w:hAnsi="Times New Roman"/>
          <w:szCs w:val="18"/>
        </w:rPr>
        <w:t xml:space="preserve">, </w:t>
      </w:r>
      <w:r w:rsidR="009B55FD">
        <w:rPr>
          <w:rFonts w:ascii="Times New Roman" w:eastAsia="Times New Roman" w:hAnsi="Times New Roman"/>
          <w:szCs w:val="18"/>
        </w:rPr>
        <w:t xml:space="preserve">these </w:t>
      </w:r>
      <w:r>
        <w:rPr>
          <w:rFonts w:ascii="Times New Roman" w:eastAsia="Times New Roman" w:hAnsi="Times New Roman"/>
          <w:szCs w:val="18"/>
        </w:rPr>
        <w:t>administrative</w:t>
      </w:r>
      <w:r w:rsidRPr="00A5477B">
        <w:rPr>
          <w:rFonts w:ascii="Times New Roman" w:eastAsia="Times New Roman" w:hAnsi="Times New Roman"/>
          <w:szCs w:val="18"/>
        </w:rPr>
        <w:t xml:space="preserve"> efficiencies will</w:t>
      </w:r>
      <w:r>
        <w:rPr>
          <w:rFonts w:ascii="Times New Roman" w:eastAsia="Times New Roman" w:hAnsi="Times New Roman"/>
          <w:szCs w:val="18"/>
        </w:rPr>
        <w:t xml:space="preserve"> result in offsets of $2,841,000</w:t>
      </w:r>
      <w:r w:rsidRPr="00A5477B">
        <w:rPr>
          <w:rFonts w:ascii="Times New Roman" w:eastAsia="Times New Roman" w:hAnsi="Times New Roman"/>
          <w:szCs w:val="18"/>
        </w:rPr>
        <w:t xml:space="preserve">. This </w:t>
      </w:r>
      <w:r w:rsidR="009B55FD">
        <w:rPr>
          <w:rFonts w:ascii="Times New Roman" w:eastAsia="Times New Roman" w:hAnsi="Times New Roman"/>
          <w:szCs w:val="18"/>
        </w:rPr>
        <w:t>reduction to administrative items will demonstrate that the Department plans to institute substantive efficiencies without unduly taxing either the people or the missions of DOJ.</w:t>
      </w:r>
    </w:p>
    <w:p w:rsidR="00D95367" w:rsidRPr="00F172BE" w:rsidRDefault="00D95367" w:rsidP="00D95367">
      <w:pPr>
        <w:jc w:val="center"/>
        <w:rPr>
          <w:b/>
        </w:rPr>
      </w:pPr>
      <w:r w:rsidRPr="006B1E04">
        <w:br w:type="page"/>
      </w:r>
      <w:r w:rsidRPr="00F172BE">
        <w:rPr>
          <w:b/>
        </w:rPr>
        <w:lastRenderedPageBreak/>
        <w:t>Funding</w:t>
      </w:r>
    </w:p>
    <w:p w:rsidR="00D95367" w:rsidRDefault="00D95367" w:rsidP="00D95367"/>
    <w:p w:rsidR="00D95367" w:rsidRPr="00426C49" w:rsidRDefault="00D95367" w:rsidP="00D95367">
      <w:pPr>
        <w:pStyle w:val="Header"/>
        <w:tabs>
          <w:tab w:val="left" w:pos="1440"/>
          <w:tab w:val="left" w:pos="1980"/>
          <w:tab w:val="right" w:pos="9360"/>
        </w:tabs>
        <w:outlineLvl w:val="0"/>
        <w:rPr>
          <w:u w:val="single"/>
        </w:rPr>
      </w:pPr>
      <w:r w:rsidRPr="00426C49">
        <w:rPr>
          <w:u w:val="single"/>
        </w:rPr>
        <w:t>Base Funding</w:t>
      </w:r>
    </w:p>
    <w:p w:rsidR="00D95367" w:rsidRDefault="00D95367" w:rsidP="00D95367">
      <w:pPr>
        <w:pStyle w:val="Header"/>
        <w:tabs>
          <w:tab w:val="left" w:pos="1440"/>
          <w:tab w:val="left" w:pos="1980"/>
          <w:tab w:val="right" w:pos="9360"/>
        </w:tabs>
        <w:rPr>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763"/>
        <w:gridCol w:w="1395"/>
        <w:gridCol w:w="603"/>
        <w:gridCol w:w="607"/>
        <w:gridCol w:w="672"/>
        <w:gridCol w:w="1358"/>
        <w:gridCol w:w="590"/>
        <w:gridCol w:w="607"/>
        <w:gridCol w:w="672"/>
        <w:gridCol w:w="1090"/>
      </w:tblGrid>
      <w:tr w:rsidR="00D95367" w:rsidRPr="00CC5993" w:rsidTr="00C021A7">
        <w:tc>
          <w:tcPr>
            <w:tcW w:w="3359" w:type="dxa"/>
            <w:gridSpan w:val="4"/>
            <w:shd w:val="clear" w:color="auto" w:fill="E6E6E6"/>
          </w:tcPr>
          <w:p w:rsidR="00D95367" w:rsidRPr="001E1CC3" w:rsidRDefault="00D95367" w:rsidP="00D95367">
            <w:pPr>
              <w:pStyle w:val="Heading7"/>
              <w:rPr>
                <w:b w:val="0"/>
                <w:szCs w:val="24"/>
              </w:rPr>
            </w:pPr>
            <w:r w:rsidRPr="001E1CC3">
              <w:rPr>
                <w:b w:val="0"/>
                <w:szCs w:val="24"/>
              </w:rPr>
              <w:t>FY 20</w:t>
            </w:r>
            <w:r>
              <w:rPr>
                <w:b w:val="0"/>
                <w:szCs w:val="24"/>
              </w:rPr>
              <w:t>10</w:t>
            </w:r>
            <w:r w:rsidRPr="001E1CC3">
              <w:rPr>
                <w:b w:val="0"/>
                <w:szCs w:val="24"/>
              </w:rPr>
              <w:t xml:space="preserve"> Enacted </w:t>
            </w:r>
          </w:p>
        </w:tc>
        <w:tc>
          <w:tcPr>
            <w:tcW w:w="3240" w:type="dxa"/>
            <w:gridSpan w:val="4"/>
            <w:shd w:val="clear" w:color="auto" w:fill="E6E6E6"/>
          </w:tcPr>
          <w:p w:rsidR="00D95367" w:rsidRPr="001E1CC3" w:rsidRDefault="00D95367" w:rsidP="00D95367">
            <w:pPr>
              <w:pStyle w:val="Heading7"/>
              <w:rPr>
                <w:b w:val="0"/>
                <w:szCs w:val="24"/>
              </w:rPr>
            </w:pPr>
            <w:r w:rsidRPr="001E1CC3">
              <w:rPr>
                <w:b w:val="0"/>
                <w:szCs w:val="24"/>
              </w:rPr>
              <w:t>FY 201</w:t>
            </w:r>
            <w:r>
              <w:rPr>
                <w:b w:val="0"/>
                <w:szCs w:val="24"/>
              </w:rPr>
              <w:t>1</w:t>
            </w:r>
            <w:r w:rsidRPr="001E1CC3">
              <w:rPr>
                <w:b w:val="0"/>
                <w:szCs w:val="24"/>
              </w:rPr>
              <w:t xml:space="preserve"> </w:t>
            </w:r>
            <w:r>
              <w:rPr>
                <w:b w:val="0"/>
                <w:szCs w:val="24"/>
              </w:rPr>
              <w:t>Enacted</w:t>
            </w:r>
          </w:p>
        </w:tc>
        <w:tc>
          <w:tcPr>
            <w:tcW w:w="2959" w:type="dxa"/>
            <w:gridSpan w:val="4"/>
            <w:shd w:val="clear" w:color="auto" w:fill="E6E6E6"/>
          </w:tcPr>
          <w:p w:rsidR="00D95367" w:rsidRPr="001E1CC3" w:rsidRDefault="00D95367" w:rsidP="00D95367">
            <w:pPr>
              <w:pStyle w:val="Heading7"/>
              <w:rPr>
                <w:b w:val="0"/>
                <w:szCs w:val="24"/>
              </w:rPr>
            </w:pPr>
            <w:r w:rsidRPr="001E1CC3">
              <w:rPr>
                <w:b w:val="0"/>
                <w:szCs w:val="24"/>
              </w:rPr>
              <w:t>FY 201</w:t>
            </w:r>
            <w:r>
              <w:rPr>
                <w:b w:val="0"/>
                <w:szCs w:val="24"/>
              </w:rPr>
              <w:t>2</w:t>
            </w:r>
            <w:r w:rsidRPr="001E1CC3">
              <w:rPr>
                <w:b w:val="0"/>
                <w:szCs w:val="24"/>
              </w:rPr>
              <w:t xml:space="preserve"> Current Services</w:t>
            </w:r>
          </w:p>
        </w:tc>
      </w:tr>
      <w:tr w:rsidR="00D95367" w:rsidRPr="00CC5993" w:rsidTr="00C021A7">
        <w:trPr>
          <w:trHeight w:val="170"/>
        </w:trPr>
        <w:tc>
          <w:tcPr>
            <w:tcW w:w="594" w:type="dxa"/>
          </w:tcPr>
          <w:p w:rsidR="00D95367" w:rsidRPr="00CC5993" w:rsidRDefault="00D95367" w:rsidP="00D95367">
            <w:pPr>
              <w:pStyle w:val="xl24"/>
              <w:spacing w:before="0" w:after="0"/>
              <w:jc w:val="center"/>
            </w:pPr>
            <w:r w:rsidRPr="00CC5993">
              <w:t>Pos</w:t>
            </w:r>
          </w:p>
        </w:tc>
        <w:tc>
          <w:tcPr>
            <w:tcW w:w="607" w:type="dxa"/>
          </w:tcPr>
          <w:p w:rsidR="00D95367" w:rsidRPr="00CC5993" w:rsidRDefault="00D95367" w:rsidP="00D95367">
            <w:pPr>
              <w:pStyle w:val="xl24"/>
              <w:spacing w:before="0" w:after="0"/>
              <w:jc w:val="center"/>
            </w:pPr>
            <w:proofErr w:type="spellStart"/>
            <w:r w:rsidRPr="00CC5993">
              <w:t>Agt</w:t>
            </w:r>
            <w:proofErr w:type="spellEnd"/>
          </w:p>
        </w:tc>
        <w:tc>
          <w:tcPr>
            <w:tcW w:w="763" w:type="dxa"/>
          </w:tcPr>
          <w:p w:rsidR="00D95367" w:rsidRPr="00CC5993" w:rsidRDefault="00D95367" w:rsidP="00D95367">
            <w:pPr>
              <w:pStyle w:val="xl24"/>
              <w:spacing w:before="0" w:after="0"/>
              <w:jc w:val="center"/>
            </w:pPr>
            <w:r w:rsidRPr="00CC5993">
              <w:t>FTE</w:t>
            </w:r>
          </w:p>
        </w:tc>
        <w:tc>
          <w:tcPr>
            <w:tcW w:w="1395" w:type="dxa"/>
          </w:tcPr>
          <w:p w:rsidR="00D95367" w:rsidRPr="00CC5993" w:rsidRDefault="00D95367" w:rsidP="00D95367">
            <w:pPr>
              <w:pStyle w:val="xl24"/>
              <w:spacing w:before="0" w:after="0"/>
              <w:jc w:val="center"/>
            </w:pPr>
            <w:r w:rsidRPr="00CC5993">
              <w:t>$(000)</w:t>
            </w:r>
          </w:p>
        </w:tc>
        <w:tc>
          <w:tcPr>
            <w:tcW w:w="603" w:type="dxa"/>
          </w:tcPr>
          <w:p w:rsidR="00D95367" w:rsidRPr="00CC5993" w:rsidRDefault="00D95367" w:rsidP="00D95367">
            <w:pPr>
              <w:pStyle w:val="xl24"/>
              <w:spacing w:before="0" w:after="0"/>
              <w:jc w:val="center"/>
            </w:pPr>
            <w:r w:rsidRPr="00CC5993">
              <w:t>Pos</w:t>
            </w:r>
          </w:p>
        </w:tc>
        <w:tc>
          <w:tcPr>
            <w:tcW w:w="607" w:type="dxa"/>
          </w:tcPr>
          <w:p w:rsidR="00D95367" w:rsidRPr="00CC5993" w:rsidRDefault="00D95367" w:rsidP="00D95367">
            <w:pPr>
              <w:pStyle w:val="xl24"/>
              <w:spacing w:before="0" w:after="0"/>
              <w:jc w:val="center"/>
            </w:pPr>
            <w:proofErr w:type="spellStart"/>
            <w:r w:rsidRPr="00CC5993">
              <w:t>Agt</w:t>
            </w:r>
            <w:proofErr w:type="spellEnd"/>
          </w:p>
        </w:tc>
        <w:tc>
          <w:tcPr>
            <w:tcW w:w="672" w:type="dxa"/>
          </w:tcPr>
          <w:p w:rsidR="00D95367" w:rsidRPr="00CC5993" w:rsidRDefault="00D95367" w:rsidP="00D95367">
            <w:pPr>
              <w:pStyle w:val="xl24"/>
              <w:spacing w:before="0" w:after="0"/>
              <w:jc w:val="center"/>
            </w:pPr>
            <w:r w:rsidRPr="00CC5993">
              <w:t>FTE</w:t>
            </w:r>
          </w:p>
        </w:tc>
        <w:tc>
          <w:tcPr>
            <w:tcW w:w="1358" w:type="dxa"/>
          </w:tcPr>
          <w:p w:rsidR="00D95367" w:rsidRPr="00CC5993" w:rsidRDefault="00D95367" w:rsidP="00D95367">
            <w:pPr>
              <w:pStyle w:val="xl24"/>
              <w:spacing w:before="0" w:after="0"/>
              <w:jc w:val="center"/>
            </w:pPr>
            <w:r w:rsidRPr="00CC5993">
              <w:t>$(000)</w:t>
            </w:r>
          </w:p>
        </w:tc>
        <w:tc>
          <w:tcPr>
            <w:tcW w:w="590" w:type="dxa"/>
          </w:tcPr>
          <w:p w:rsidR="00D95367" w:rsidRPr="00CC5993" w:rsidRDefault="00D95367" w:rsidP="00D95367">
            <w:pPr>
              <w:pStyle w:val="xl24"/>
              <w:spacing w:before="0" w:after="0"/>
              <w:jc w:val="center"/>
            </w:pPr>
            <w:r w:rsidRPr="00CC5993">
              <w:t>Pos</w:t>
            </w:r>
          </w:p>
        </w:tc>
        <w:tc>
          <w:tcPr>
            <w:tcW w:w="607" w:type="dxa"/>
          </w:tcPr>
          <w:p w:rsidR="00D95367" w:rsidRPr="00CC5993" w:rsidRDefault="00D95367" w:rsidP="00D95367">
            <w:pPr>
              <w:pStyle w:val="xl24"/>
              <w:spacing w:before="0" w:after="0"/>
              <w:jc w:val="center"/>
            </w:pPr>
            <w:proofErr w:type="spellStart"/>
            <w:r w:rsidRPr="00CC5993">
              <w:t>Agt</w:t>
            </w:r>
            <w:proofErr w:type="spellEnd"/>
          </w:p>
        </w:tc>
        <w:tc>
          <w:tcPr>
            <w:tcW w:w="672" w:type="dxa"/>
          </w:tcPr>
          <w:p w:rsidR="00D95367" w:rsidRPr="00CC5993" w:rsidRDefault="00D95367" w:rsidP="00D95367">
            <w:pPr>
              <w:pStyle w:val="xl24"/>
              <w:spacing w:before="0" w:after="0"/>
              <w:jc w:val="center"/>
            </w:pPr>
            <w:r w:rsidRPr="00CC5993">
              <w:t>FTE</w:t>
            </w:r>
          </w:p>
        </w:tc>
        <w:tc>
          <w:tcPr>
            <w:tcW w:w="1090" w:type="dxa"/>
          </w:tcPr>
          <w:p w:rsidR="00D95367" w:rsidRPr="00CC5993" w:rsidRDefault="00D95367" w:rsidP="00D95367">
            <w:pPr>
              <w:pStyle w:val="xl24"/>
              <w:spacing w:before="0" w:after="0"/>
              <w:jc w:val="center"/>
            </w:pPr>
            <w:r w:rsidRPr="00CC5993">
              <w:t>$(000)</w:t>
            </w:r>
          </w:p>
        </w:tc>
      </w:tr>
      <w:tr w:rsidR="00D95367" w:rsidRPr="00CC5993" w:rsidTr="00C021A7">
        <w:tc>
          <w:tcPr>
            <w:tcW w:w="594" w:type="dxa"/>
          </w:tcPr>
          <w:p w:rsidR="00D95367" w:rsidRPr="00CC5993" w:rsidRDefault="00D95367" w:rsidP="00D95367">
            <w:pPr>
              <w:pStyle w:val="xl24"/>
              <w:spacing w:before="0" w:after="0"/>
              <w:jc w:val="right"/>
            </w:pPr>
            <w:r>
              <w:t>0</w:t>
            </w:r>
          </w:p>
        </w:tc>
        <w:tc>
          <w:tcPr>
            <w:tcW w:w="607" w:type="dxa"/>
          </w:tcPr>
          <w:p w:rsidR="00D95367" w:rsidRPr="00CC5993" w:rsidRDefault="00D95367" w:rsidP="00D95367">
            <w:pPr>
              <w:pStyle w:val="xl24"/>
              <w:spacing w:before="0" w:after="0"/>
              <w:jc w:val="right"/>
            </w:pPr>
            <w:r>
              <w:t>0</w:t>
            </w:r>
          </w:p>
        </w:tc>
        <w:tc>
          <w:tcPr>
            <w:tcW w:w="763" w:type="dxa"/>
          </w:tcPr>
          <w:p w:rsidR="00D95367" w:rsidRPr="00CC5993" w:rsidRDefault="00D95367" w:rsidP="00D95367">
            <w:pPr>
              <w:pStyle w:val="xl24"/>
              <w:spacing w:before="0" w:after="0"/>
              <w:jc w:val="right"/>
            </w:pPr>
            <w:r>
              <w:t>0</w:t>
            </w:r>
          </w:p>
        </w:tc>
        <w:tc>
          <w:tcPr>
            <w:tcW w:w="1395" w:type="dxa"/>
          </w:tcPr>
          <w:p w:rsidR="00D95367" w:rsidRPr="00CC5993" w:rsidRDefault="00D95367" w:rsidP="00D95367">
            <w:pPr>
              <w:pStyle w:val="xl24"/>
              <w:tabs>
                <w:tab w:val="left" w:pos="200"/>
                <w:tab w:val="center" w:pos="589"/>
              </w:tabs>
              <w:spacing w:before="0" w:after="0"/>
              <w:jc w:val="right"/>
            </w:pPr>
            <w:r>
              <w:t>0</w:t>
            </w:r>
          </w:p>
        </w:tc>
        <w:tc>
          <w:tcPr>
            <w:tcW w:w="603" w:type="dxa"/>
          </w:tcPr>
          <w:p w:rsidR="00D95367" w:rsidRPr="00CC5993" w:rsidRDefault="00D95367" w:rsidP="00D95367">
            <w:pPr>
              <w:pStyle w:val="xl24"/>
              <w:spacing w:before="0" w:after="0"/>
              <w:jc w:val="right"/>
            </w:pPr>
            <w:r>
              <w:t>0</w:t>
            </w:r>
          </w:p>
        </w:tc>
        <w:tc>
          <w:tcPr>
            <w:tcW w:w="607" w:type="dxa"/>
          </w:tcPr>
          <w:p w:rsidR="00D95367" w:rsidRPr="00CC5993" w:rsidRDefault="00D95367" w:rsidP="00D95367">
            <w:pPr>
              <w:pStyle w:val="xl24"/>
              <w:spacing w:before="0" w:after="0"/>
              <w:jc w:val="right"/>
            </w:pPr>
            <w:r>
              <w:t>0</w:t>
            </w:r>
          </w:p>
        </w:tc>
        <w:tc>
          <w:tcPr>
            <w:tcW w:w="672" w:type="dxa"/>
          </w:tcPr>
          <w:p w:rsidR="00D95367" w:rsidRPr="00CC5993" w:rsidRDefault="00D95367" w:rsidP="00D95367">
            <w:pPr>
              <w:pStyle w:val="xl24"/>
              <w:spacing w:before="0" w:after="0"/>
              <w:jc w:val="right"/>
            </w:pPr>
            <w:r>
              <w:t>0</w:t>
            </w:r>
          </w:p>
        </w:tc>
        <w:tc>
          <w:tcPr>
            <w:tcW w:w="1358" w:type="dxa"/>
          </w:tcPr>
          <w:p w:rsidR="00D95367" w:rsidRPr="00CC5993" w:rsidRDefault="00D95367" w:rsidP="00D95367">
            <w:pPr>
              <w:pStyle w:val="xl24"/>
              <w:spacing w:before="0" w:after="0"/>
              <w:jc w:val="right"/>
            </w:pPr>
            <w:r>
              <w:t>0</w:t>
            </w:r>
          </w:p>
        </w:tc>
        <w:tc>
          <w:tcPr>
            <w:tcW w:w="590" w:type="dxa"/>
          </w:tcPr>
          <w:p w:rsidR="00D95367" w:rsidRPr="00CC5993" w:rsidRDefault="00D95367" w:rsidP="00D95367">
            <w:pPr>
              <w:pStyle w:val="xl24"/>
              <w:spacing w:before="0" w:after="0"/>
              <w:jc w:val="right"/>
            </w:pPr>
            <w:r>
              <w:t>0</w:t>
            </w:r>
          </w:p>
        </w:tc>
        <w:tc>
          <w:tcPr>
            <w:tcW w:w="607" w:type="dxa"/>
          </w:tcPr>
          <w:p w:rsidR="00D95367" w:rsidRPr="00CC5993" w:rsidRDefault="00D95367" w:rsidP="00D95367">
            <w:pPr>
              <w:pStyle w:val="xl24"/>
              <w:spacing w:before="0" w:after="0"/>
              <w:jc w:val="right"/>
            </w:pPr>
            <w:r>
              <w:t>0</w:t>
            </w:r>
          </w:p>
        </w:tc>
        <w:tc>
          <w:tcPr>
            <w:tcW w:w="672" w:type="dxa"/>
          </w:tcPr>
          <w:p w:rsidR="00D95367" w:rsidRPr="00CC5993" w:rsidRDefault="00D95367" w:rsidP="00D95367">
            <w:pPr>
              <w:pStyle w:val="xl24"/>
              <w:spacing w:before="0" w:after="0"/>
              <w:jc w:val="right"/>
            </w:pPr>
            <w:r>
              <w:t>0</w:t>
            </w:r>
          </w:p>
        </w:tc>
        <w:tc>
          <w:tcPr>
            <w:tcW w:w="1090" w:type="dxa"/>
          </w:tcPr>
          <w:p w:rsidR="00D95367" w:rsidRPr="00CC5993" w:rsidRDefault="00D95367" w:rsidP="00D95367">
            <w:pPr>
              <w:pStyle w:val="xl24"/>
              <w:spacing w:before="0" w:after="0"/>
              <w:jc w:val="right"/>
            </w:pPr>
            <w:r>
              <w:t>0</w:t>
            </w:r>
          </w:p>
        </w:tc>
      </w:tr>
    </w:tbl>
    <w:p w:rsidR="00D95367" w:rsidRDefault="00D95367" w:rsidP="00D95367">
      <w:pPr>
        <w:pStyle w:val="xl24"/>
        <w:tabs>
          <w:tab w:val="left" w:pos="3240"/>
        </w:tabs>
        <w:spacing w:before="0" w:beforeAutospacing="0" w:after="0" w:afterAutospacing="0"/>
        <w:outlineLvl w:val="0"/>
        <w:rPr>
          <w:u w:val="single"/>
        </w:rPr>
      </w:pPr>
    </w:p>
    <w:p w:rsidR="00D95367" w:rsidRPr="0048501E" w:rsidRDefault="00D95367" w:rsidP="00D95367">
      <w:pPr>
        <w:pStyle w:val="BodyText"/>
        <w:rPr>
          <w:u w:val="single"/>
        </w:rPr>
      </w:pPr>
      <w:r w:rsidRPr="0048501E">
        <w:rPr>
          <w:u w:val="single"/>
        </w:rPr>
        <w:t>Personnel Increase Cost Summary</w:t>
      </w:r>
    </w:p>
    <w:p w:rsidR="00D95367" w:rsidRPr="0035143D" w:rsidRDefault="00D95367" w:rsidP="00D95367">
      <w:pPr>
        <w:pStyle w:val="BodyText"/>
        <w:rPr>
          <w:highlight w:val="yellow"/>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1"/>
        <w:gridCol w:w="1538"/>
        <w:gridCol w:w="1331"/>
        <w:gridCol w:w="1208"/>
        <w:gridCol w:w="1980"/>
        <w:gridCol w:w="1890"/>
      </w:tblGrid>
      <w:tr w:rsidR="008A0210" w:rsidRPr="0035143D" w:rsidTr="00C021A7">
        <w:tc>
          <w:tcPr>
            <w:tcW w:w="1611" w:type="dxa"/>
            <w:shd w:val="clear" w:color="auto" w:fill="E0E0E0"/>
            <w:vAlign w:val="center"/>
          </w:tcPr>
          <w:p w:rsidR="008A0210" w:rsidRPr="0035143D" w:rsidRDefault="008A0210" w:rsidP="00D95367">
            <w:pPr>
              <w:jc w:val="center"/>
              <w:rPr>
                <w:sz w:val="20"/>
                <w:highlight w:val="yellow"/>
              </w:rPr>
            </w:pPr>
            <w:r w:rsidRPr="00147C21">
              <w:rPr>
                <w:sz w:val="20"/>
              </w:rPr>
              <w:t>Type of Position</w:t>
            </w:r>
          </w:p>
        </w:tc>
        <w:tc>
          <w:tcPr>
            <w:tcW w:w="1538" w:type="dxa"/>
            <w:shd w:val="clear" w:color="auto" w:fill="E0E0E0"/>
            <w:vAlign w:val="center"/>
          </w:tcPr>
          <w:p w:rsidR="008A0210" w:rsidRPr="00147C21" w:rsidRDefault="008A0210" w:rsidP="00D95367">
            <w:pPr>
              <w:jc w:val="center"/>
              <w:rPr>
                <w:sz w:val="20"/>
              </w:rPr>
            </w:pPr>
            <w:r w:rsidRPr="00147C21">
              <w:rPr>
                <w:sz w:val="20"/>
              </w:rPr>
              <w:t>Modular Cost</w:t>
            </w:r>
          </w:p>
          <w:p w:rsidR="008A0210" w:rsidRPr="0035143D" w:rsidRDefault="008A0210" w:rsidP="00D95367">
            <w:pPr>
              <w:jc w:val="center"/>
              <w:rPr>
                <w:sz w:val="20"/>
                <w:highlight w:val="yellow"/>
              </w:rPr>
            </w:pPr>
            <w:r w:rsidRPr="00147C21">
              <w:rPr>
                <w:sz w:val="20"/>
              </w:rPr>
              <w:t>per Position ($000)</w:t>
            </w:r>
          </w:p>
        </w:tc>
        <w:tc>
          <w:tcPr>
            <w:tcW w:w="1331" w:type="dxa"/>
            <w:shd w:val="clear" w:color="auto" w:fill="E0E0E0"/>
            <w:vAlign w:val="center"/>
          </w:tcPr>
          <w:p w:rsidR="008A0210" w:rsidRPr="00147C21" w:rsidRDefault="008A0210" w:rsidP="00D95367">
            <w:pPr>
              <w:jc w:val="center"/>
              <w:rPr>
                <w:sz w:val="20"/>
              </w:rPr>
            </w:pPr>
            <w:r w:rsidRPr="00147C21">
              <w:rPr>
                <w:sz w:val="20"/>
              </w:rPr>
              <w:t>Number of</w:t>
            </w:r>
          </w:p>
          <w:p w:rsidR="008A0210" w:rsidRPr="00147C21" w:rsidRDefault="008A0210" w:rsidP="00D95367">
            <w:pPr>
              <w:jc w:val="center"/>
              <w:rPr>
                <w:sz w:val="20"/>
              </w:rPr>
            </w:pPr>
            <w:r w:rsidRPr="00147C21">
              <w:rPr>
                <w:sz w:val="20"/>
              </w:rPr>
              <w:t>Positions</w:t>
            </w:r>
          </w:p>
          <w:p w:rsidR="008A0210" w:rsidRPr="0035143D" w:rsidRDefault="008A0210" w:rsidP="00D95367">
            <w:pPr>
              <w:jc w:val="center"/>
              <w:rPr>
                <w:sz w:val="20"/>
                <w:highlight w:val="yellow"/>
              </w:rPr>
            </w:pPr>
            <w:r w:rsidRPr="00147C21">
              <w:rPr>
                <w:sz w:val="20"/>
              </w:rPr>
              <w:t>Requested</w:t>
            </w:r>
          </w:p>
        </w:tc>
        <w:tc>
          <w:tcPr>
            <w:tcW w:w="1208" w:type="dxa"/>
            <w:shd w:val="clear" w:color="auto" w:fill="E0E0E0"/>
            <w:vAlign w:val="center"/>
          </w:tcPr>
          <w:p w:rsidR="008A0210" w:rsidRPr="00147C21" w:rsidRDefault="008A0210" w:rsidP="00D95367">
            <w:pPr>
              <w:jc w:val="center"/>
              <w:rPr>
                <w:sz w:val="20"/>
              </w:rPr>
            </w:pPr>
            <w:r w:rsidRPr="00147C21">
              <w:rPr>
                <w:sz w:val="20"/>
              </w:rPr>
              <w:t>FY 201</w:t>
            </w:r>
            <w:r>
              <w:rPr>
                <w:sz w:val="20"/>
              </w:rPr>
              <w:t>2</w:t>
            </w:r>
          </w:p>
          <w:p w:rsidR="008A0210" w:rsidRPr="0035143D" w:rsidRDefault="008A0210" w:rsidP="00D95367">
            <w:pPr>
              <w:jc w:val="center"/>
              <w:rPr>
                <w:sz w:val="20"/>
                <w:highlight w:val="yellow"/>
              </w:rPr>
            </w:pPr>
            <w:r w:rsidRPr="00147C21">
              <w:rPr>
                <w:sz w:val="20"/>
              </w:rPr>
              <w:t>Request ($000)</w:t>
            </w:r>
          </w:p>
        </w:tc>
        <w:tc>
          <w:tcPr>
            <w:tcW w:w="1980" w:type="dxa"/>
            <w:shd w:val="clear" w:color="auto" w:fill="E0E0E0"/>
            <w:vAlign w:val="center"/>
          </w:tcPr>
          <w:p w:rsidR="008A0210" w:rsidRPr="00147C21" w:rsidRDefault="008A0210" w:rsidP="00D95367">
            <w:pPr>
              <w:jc w:val="center"/>
              <w:rPr>
                <w:sz w:val="20"/>
              </w:rPr>
            </w:pPr>
            <w:r w:rsidRPr="00147C21">
              <w:rPr>
                <w:sz w:val="20"/>
              </w:rPr>
              <w:t>FY 201</w:t>
            </w:r>
            <w:r>
              <w:rPr>
                <w:sz w:val="20"/>
              </w:rPr>
              <w:t>3</w:t>
            </w:r>
            <w:r w:rsidRPr="00147C21">
              <w:rPr>
                <w:sz w:val="20"/>
              </w:rPr>
              <w:t xml:space="preserve"> Net Annualization</w:t>
            </w:r>
          </w:p>
          <w:p w:rsidR="008A0210" w:rsidRPr="00147C21" w:rsidRDefault="008A0210" w:rsidP="00D95367">
            <w:pPr>
              <w:jc w:val="center"/>
              <w:rPr>
                <w:sz w:val="20"/>
              </w:rPr>
            </w:pPr>
            <w:r w:rsidRPr="00147C21">
              <w:rPr>
                <w:sz w:val="20"/>
              </w:rPr>
              <w:t>(change from 201</w:t>
            </w:r>
            <w:r>
              <w:rPr>
                <w:sz w:val="20"/>
              </w:rPr>
              <w:t>2</w:t>
            </w:r>
            <w:r w:rsidRPr="00147C21">
              <w:rPr>
                <w:sz w:val="20"/>
              </w:rPr>
              <w:t>) ($000)</w:t>
            </w:r>
          </w:p>
        </w:tc>
        <w:tc>
          <w:tcPr>
            <w:tcW w:w="1890" w:type="dxa"/>
            <w:shd w:val="clear" w:color="auto" w:fill="E0E0E0"/>
            <w:vAlign w:val="center"/>
          </w:tcPr>
          <w:p w:rsidR="008A0210" w:rsidRPr="00147C21" w:rsidRDefault="008A0210" w:rsidP="008A0210">
            <w:pPr>
              <w:jc w:val="center"/>
              <w:rPr>
                <w:sz w:val="20"/>
              </w:rPr>
            </w:pPr>
            <w:r w:rsidRPr="00147C21">
              <w:rPr>
                <w:sz w:val="20"/>
              </w:rPr>
              <w:t xml:space="preserve">FY </w:t>
            </w:r>
            <w:r w:rsidR="00C021A7" w:rsidRPr="00147C21">
              <w:rPr>
                <w:sz w:val="20"/>
              </w:rPr>
              <w:t>201</w:t>
            </w:r>
            <w:r w:rsidR="00C021A7">
              <w:rPr>
                <w:sz w:val="20"/>
              </w:rPr>
              <w:t>4</w:t>
            </w:r>
            <w:r w:rsidR="00C021A7" w:rsidRPr="00147C21">
              <w:rPr>
                <w:sz w:val="20"/>
              </w:rPr>
              <w:t xml:space="preserve"> </w:t>
            </w:r>
            <w:r w:rsidRPr="00147C21">
              <w:rPr>
                <w:sz w:val="20"/>
              </w:rPr>
              <w:t>Net Annualization</w:t>
            </w:r>
          </w:p>
          <w:p w:rsidR="008A0210" w:rsidRPr="0035143D" w:rsidRDefault="008A0210" w:rsidP="00C021A7">
            <w:pPr>
              <w:jc w:val="center"/>
              <w:rPr>
                <w:sz w:val="20"/>
                <w:highlight w:val="yellow"/>
              </w:rPr>
            </w:pPr>
            <w:r w:rsidRPr="00147C21">
              <w:rPr>
                <w:sz w:val="20"/>
              </w:rPr>
              <w:t xml:space="preserve">(change from </w:t>
            </w:r>
            <w:r w:rsidR="00C021A7" w:rsidRPr="00147C21">
              <w:rPr>
                <w:sz w:val="20"/>
              </w:rPr>
              <w:t>201</w:t>
            </w:r>
            <w:r w:rsidR="00C021A7">
              <w:rPr>
                <w:sz w:val="20"/>
              </w:rPr>
              <w:t>3</w:t>
            </w:r>
            <w:r w:rsidRPr="00147C21">
              <w:rPr>
                <w:sz w:val="20"/>
              </w:rPr>
              <w:t>) ($000)</w:t>
            </w:r>
            <w:r w:rsidRPr="00147C21" w:rsidDel="008A0210">
              <w:rPr>
                <w:sz w:val="20"/>
              </w:rPr>
              <w:t xml:space="preserve"> </w:t>
            </w:r>
          </w:p>
        </w:tc>
      </w:tr>
      <w:tr w:rsidR="008A0210" w:rsidRPr="0035143D" w:rsidTr="00C021A7">
        <w:tc>
          <w:tcPr>
            <w:tcW w:w="1611" w:type="dxa"/>
            <w:vAlign w:val="center"/>
          </w:tcPr>
          <w:p w:rsidR="008A0210" w:rsidRPr="00E16F1D" w:rsidRDefault="008A0210" w:rsidP="00D95367">
            <w:pPr>
              <w:rPr>
                <w:b/>
                <w:bCs/>
                <w:i/>
                <w:iCs/>
              </w:rPr>
            </w:pPr>
          </w:p>
        </w:tc>
        <w:tc>
          <w:tcPr>
            <w:tcW w:w="1538" w:type="dxa"/>
            <w:vAlign w:val="bottom"/>
          </w:tcPr>
          <w:p w:rsidR="008A0210" w:rsidRPr="00FA7857" w:rsidRDefault="008A0210" w:rsidP="00D95367">
            <w:pPr>
              <w:pStyle w:val="xl19"/>
              <w:jc w:val="right"/>
            </w:pPr>
          </w:p>
        </w:tc>
        <w:tc>
          <w:tcPr>
            <w:tcW w:w="1331" w:type="dxa"/>
            <w:vAlign w:val="bottom"/>
          </w:tcPr>
          <w:p w:rsidR="008A0210" w:rsidRPr="00FA7857" w:rsidRDefault="008A0210" w:rsidP="00D95367">
            <w:pPr>
              <w:jc w:val="right"/>
            </w:pPr>
          </w:p>
        </w:tc>
        <w:tc>
          <w:tcPr>
            <w:tcW w:w="1208" w:type="dxa"/>
            <w:vAlign w:val="bottom"/>
          </w:tcPr>
          <w:p w:rsidR="008A0210" w:rsidRPr="00FA7857" w:rsidRDefault="008A0210" w:rsidP="00D95367">
            <w:pPr>
              <w:jc w:val="right"/>
            </w:pPr>
          </w:p>
        </w:tc>
        <w:tc>
          <w:tcPr>
            <w:tcW w:w="1980" w:type="dxa"/>
            <w:vAlign w:val="bottom"/>
          </w:tcPr>
          <w:p w:rsidR="008A0210" w:rsidRPr="00FA7857" w:rsidRDefault="008A0210" w:rsidP="00D95367">
            <w:pPr>
              <w:jc w:val="right"/>
            </w:pPr>
          </w:p>
        </w:tc>
        <w:tc>
          <w:tcPr>
            <w:tcW w:w="1890" w:type="dxa"/>
            <w:vAlign w:val="bottom"/>
          </w:tcPr>
          <w:p w:rsidR="008A0210" w:rsidRPr="00FA7857" w:rsidRDefault="008A0210" w:rsidP="00D95367">
            <w:pPr>
              <w:jc w:val="right"/>
            </w:pPr>
          </w:p>
        </w:tc>
      </w:tr>
      <w:tr w:rsidR="008A0210" w:rsidRPr="0035143D" w:rsidTr="00C021A7">
        <w:tc>
          <w:tcPr>
            <w:tcW w:w="1611" w:type="dxa"/>
            <w:shd w:val="clear" w:color="auto" w:fill="EAEAEA"/>
            <w:vAlign w:val="center"/>
          </w:tcPr>
          <w:p w:rsidR="008A0210" w:rsidRPr="00305BA6" w:rsidRDefault="008A0210" w:rsidP="00D95367">
            <w:pPr>
              <w:jc w:val="right"/>
            </w:pPr>
          </w:p>
        </w:tc>
        <w:tc>
          <w:tcPr>
            <w:tcW w:w="1538" w:type="dxa"/>
            <w:shd w:val="clear" w:color="auto" w:fill="EAEAEA"/>
            <w:vAlign w:val="bottom"/>
          </w:tcPr>
          <w:p w:rsidR="008A0210" w:rsidRPr="00305BA6" w:rsidRDefault="008A0210" w:rsidP="00D95367">
            <w:pPr>
              <w:pStyle w:val="xl19"/>
              <w:jc w:val="right"/>
            </w:pPr>
          </w:p>
        </w:tc>
        <w:tc>
          <w:tcPr>
            <w:tcW w:w="1331" w:type="dxa"/>
            <w:shd w:val="clear" w:color="auto" w:fill="EAEAEA"/>
            <w:vAlign w:val="bottom"/>
          </w:tcPr>
          <w:p w:rsidR="008A0210" w:rsidRPr="00305BA6" w:rsidRDefault="008A0210" w:rsidP="00D95367">
            <w:pPr>
              <w:jc w:val="right"/>
            </w:pPr>
          </w:p>
        </w:tc>
        <w:tc>
          <w:tcPr>
            <w:tcW w:w="1208" w:type="dxa"/>
            <w:shd w:val="clear" w:color="auto" w:fill="EAEAEA"/>
            <w:vAlign w:val="bottom"/>
          </w:tcPr>
          <w:p w:rsidR="008A0210" w:rsidRPr="00305BA6" w:rsidRDefault="008A0210" w:rsidP="00D95367">
            <w:pPr>
              <w:jc w:val="right"/>
            </w:pPr>
          </w:p>
        </w:tc>
        <w:tc>
          <w:tcPr>
            <w:tcW w:w="1980" w:type="dxa"/>
            <w:shd w:val="clear" w:color="auto" w:fill="EAEAEA"/>
            <w:vAlign w:val="bottom"/>
          </w:tcPr>
          <w:p w:rsidR="008A0210" w:rsidRPr="00305BA6" w:rsidRDefault="008A0210" w:rsidP="00D95367">
            <w:pPr>
              <w:jc w:val="right"/>
            </w:pPr>
          </w:p>
        </w:tc>
        <w:tc>
          <w:tcPr>
            <w:tcW w:w="1890" w:type="dxa"/>
            <w:shd w:val="clear" w:color="auto" w:fill="EAEAEA"/>
            <w:vAlign w:val="bottom"/>
          </w:tcPr>
          <w:p w:rsidR="008A0210" w:rsidRPr="00305BA6" w:rsidRDefault="008A0210" w:rsidP="00D95367">
            <w:pPr>
              <w:jc w:val="right"/>
            </w:pPr>
          </w:p>
        </w:tc>
      </w:tr>
      <w:tr w:rsidR="008A0210" w:rsidRPr="0035143D" w:rsidTr="00C021A7">
        <w:tc>
          <w:tcPr>
            <w:tcW w:w="1611" w:type="dxa"/>
            <w:vAlign w:val="center"/>
          </w:tcPr>
          <w:p w:rsidR="008A0210" w:rsidRPr="00E16F1D" w:rsidRDefault="008A0210" w:rsidP="00D95367"/>
        </w:tc>
        <w:tc>
          <w:tcPr>
            <w:tcW w:w="1538" w:type="dxa"/>
            <w:vAlign w:val="bottom"/>
          </w:tcPr>
          <w:p w:rsidR="008A0210" w:rsidRDefault="008A0210" w:rsidP="00D95367">
            <w:pPr>
              <w:pStyle w:val="xl19"/>
              <w:jc w:val="right"/>
            </w:pPr>
          </w:p>
        </w:tc>
        <w:tc>
          <w:tcPr>
            <w:tcW w:w="1331" w:type="dxa"/>
            <w:vAlign w:val="bottom"/>
          </w:tcPr>
          <w:p w:rsidR="008A0210" w:rsidRDefault="008A0210" w:rsidP="00D95367">
            <w:pPr>
              <w:jc w:val="right"/>
              <w:rPr>
                <w:bCs/>
              </w:rPr>
            </w:pPr>
          </w:p>
        </w:tc>
        <w:tc>
          <w:tcPr>
            <w:tcW w:w="1208" w:type="dxa"/>
            <w:vAlign w:val="bottom"/>
          </w:tcPr>
          <w:p w:rsidR="008A0210" w:rsidRDefault="008A0210" w:rsidP="00D95367">
            <w:pPr>
              <w:jc w:val="right"/>
            </w:pPr>
          </w:p>
        </w:tc>
        <w:tc>
          <w:tcPr>
            <w:tcW w:w="1980" w:type="dxa"/>
            <w:vAlign w:val="bottom"/>
          </w:tcPr>
          <w:p w:rsidR="008A0210" w:rsidRDefault="008A0210" w:rsidP="00D95367">
            <w:pPr>
              <w:jc w:val="right"/>
            </w:pPr>
          </w:p>
        </w:tc>
        <w:tc>
          <w:tcPr>
            <w:tcW w:w="1890" w:type="dxa"/>
            <w:vAlign w:val="bottom"/>
          </w:tcPr>
          <w:p w:rsidR="008A0210" w:rsidRDefault="008A0210" w:rsidP="00D95367">
            <w:pPr>
              <w:jc w:val="right"/>
            </w:pPr>
          </w:p>
        </w:tc>
      </w:tr>
      <w:tr w:rsidR="008A0210" w:rsidRPr="0035143D" w:rsidTr="00C021A7">
        <w:tc>
          <w:tcPr>
            <w:tcW w:w="1611" w:type="dxa"/>
            <w:shd w:val="clear" w:color="auto" w:fill="E0E0E0"/>
            <w:vAlign w:val="center"/>
          </w:tcPr>
          <w:p w:rsidR="008A0210" w:rsidRPr="00AE5137" w:rsidRDefault="008A0210" w:rsidP="008A0210">
            <w:pPr>
              <w:rPr>
                <w:b/>
              </w:rPr>
            </w:pPr>
            <w:r w:rsidRPr="00AE5137">
              <w:rPr>
                <w:b/>
                <w:sz w:val="22"/>
                <w:szCs w:val="22"/>
              </w:rPr>
              <w:t>Total Personnel</w:t>
            </w:r>
          </w:p>
        </w:tc>
        <w:tc>
          <w:tcPr>
            <w:tcW w:w="1538" w:type="dxa"/>
            <w:shd w:val="clear" w:color="auto" w:fill="E0E0E0"/>
            <w:vAlign w:val="bottom"/>
          </w:tcPr>
          <w:p w:rsidR="008A0210" w:rsidRPr="00AE5137" w:rsidRDefault="008A0210" w:rsidP="00D95367">
            <w:pPr>
              <w:pStyle w:val="xl19"/>
              <w:jc w:val="right"/>
              <w:rPr>
                <w:b/>
              </w:rPr>
            </w:pPr>
          </w:p>
        </w:tc>
        <w:tc>
          <w:tcPr>
            <w:tcW w:w="1331" w:type="dxa"/>
            <w:shd w:val="clear" w:color="auto" w:fill="E0E0E0"/>
            <w:vAlign w:val="bottom"/>
          </w:tcPr>
          <w:p w:rsidR="008A0210" w:rsidRPr="00AE5137" w:rsidRDefault="008A0210" w:rsidP="00D95367">
            <w:pPr>
              <w:jc w:val="right"/>
              <w:rPr>
                <w:b/>
              </w:rPr>
            </w:pPr>
          </w:p>
        </w:tc>
        <w:tc>
          <w:tcPr>
            <w:tcW w:w="1208" w:type="dxa"/>
            <w:shd w:val="clear" w:color="auto" w:fill="E0E0E0"/>
            <w:vAlign w:val="bottom"/>
          </w:tcPr>
          <w:p w:rsidR="008A0210" w:rsidRPr="00AE5137" w:rsidRDefault="008A0210" w:rsidP="00D95367">
            <w:pPr>
              <w:jc w:val="right"/>
              <w:rPr>
                <w:b/>
              </w:rPr>
            </w:pPr>
          </w:p>
        </w:tc>
        <w:tc>
          <w:tcPr>
            <w:tcW w:w="1980" w:type="dxa"/>
            <w:shd w:val="clear" w:color="auto" w:fill="E0E0E0"/>
            <w:vAlign w:val="bottom"/>
          </w:tcPr>
          <w:p w:rsidR="008A0210" w:rsidRPr="00AE5137" w:rsidRDefault="008A0210" w:rsidP="00D95367">
            <w:pPr>
              <w:jc w:val="right"/>
              <w:rPr>
                <w:b/>
              </w:rPr>
            </w:pPr>
          </w:p>
        </w:tc>
        <w:tc>
          <w:tcPr>
            <w:tcW w:w="1890" w:type="dxa"/>
            <w:shd w:val="clear" w:color="auto" w:fill="E0E0E0"/>
            <w:vAlign w:val="bottom"/>
          </w:tcPr>
          <w:p w:rsidR="008A0210" w:rsidRPr="00AE5137" w:rsidRDefault="008A0210" w:rsidP="00D95367">
            <w:pPr>
              <w:jc w:val="right"/>
              <w:rPr>
                <w:b/>
              </w:rPr>
            </w:pPr>
          </w:p>
        </w:tc>
      </w:tr>
    </w:tbl>
    <w:p w:rsidR="00D95367" w:rsidRPr="0035143D" w:rsidRDefault="00D95367" w:rsidP="00D95367">
      <w:pPr>
        <w:rPr>
          <w:highlight w:val="yellow"/>
        </w:rPr>
      </w:pPr>
    </w:p>
    <w:p w:rsidR="00D95367" w:rsidRPr="00F65EDB" w:rsidRDefault="00D95367" w:rsidP="00D95367">
      <w:pPr>
        <w:outlineLvl w:val="0"/>
        <w:rPr>
          <w:u w:val="single"/>
        </w:rPr>
      </w:pPr>
      <w:r w:rsidRPr="00F65EDB">
        <w:rPr>
          <w:u w:val="single"/>
        </w:rPr>
        <w:t xml:space="preserve">Non-Personnel Increase Cost Summary </w:t>
      </w:r>
    </w:p>
    <w:p w:rsidR="00D95367" w:rsidRPr="00F65EDB" w:rsidRDefault="00D95367" w:rsidP="00D95367"/>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1260"/>
        <w:gridCol w:w="990"/>
        <w:gridCol w:w="1278"/>
        <w:gridCol w:w="1980"/>
        <w:gridCol w:w="1800"/>
      </w:tblGrid>
      <w:tr w:rsidR="00A95AE2" w:rsidRPr="00F65EDB" w:rsidTr="00C021A7">
        <w:tc>
          <w:tcPr>
            <w:tcW w:w="2250" w:type="dxa"/>
            <w:shd w:val="clear" w:color="auto" w:fill="E6E6E6"/>
            <w:vAlign w:val="center"/>
          </w:tcPr>
          <w:p w:rsidR="00B96141" w:rsidRPr="008A0210" w:rsidRDefault="00B96141" w:rsidP="00D95367">
            <w:pPr>
              <w:jc w:val="center"/>
              <w:rPr>
                <w:sz w:val="20"/>
                <w:szCs w:val="20"/>
              </w:rPr>
            </w:pPr>
            <w:r w:rsidRPr="008A0210">
              <w:rPr>
                <w:sz w:val="20"/>
                <w:szCs w:val="20"/>
              </w:rPr>
              <w:t>Non-Personnel Item</w:t>
            </w:r>
          </w:p>
        </w:tc>
        <w:tc>
          <w:tcPr>
            <w:tcW w:w="1260" w:type="dxa"/>
            <w:vAlign w:val="center"/>
          </w:tcPr>
          <w:p w:rsidR="00B96141" w:rsidRPr="008A0210" w:rsidRDefault="00B96141" w:rsidP="00D95367">
            <w:pPr>
              <w:jc w:val="center"/>
              <w:rPr>
                <w:sz w:val="20"/>
                <w:szCs w:val="20"/>
              </w:rPr>
            </w:pPr>
            <w:r w:rsidRPr="008A0210">
              <w:rPr>
                <w:sz w:val="20"/>
                <w:szCs w:val="20"/>
              </w:rPr>
              <w:t>Unit Cost ($000)</w:t>
            </w:r>
          </w:p>
        </w:tc>
        <w:tc>
          <w:tcPr>
            <w:tcW w:w="990" w:type="dxa"/>
            <w:vAlign w:val="center"/>
          </w:tcPr>
          <w:p w:rsidR="00B96141" w:rsidRPr="008A0210" w:rsidRDefault="00B96141" w:rsidP="00D95367">
            <w:pPr>
              <w:jc w:val="center"/>
              <w:rPr>
                <w:sz w:val="20"/>
                <w:szCs w:val="20"/>
              </w:rPr>
            </w:pPr>
            <w:r w:rsidRPr="008A0210">
              <w:rPr>
                <w:sz w:val="20"/>
                <w:szCs w:val="20"/>
              </w:rPr>
              <w:t>Quantity</w:t>
            </w:r>
          </w:p>
        </w:tc>
        <w:tc>
          <w:tcPr>
            <w:tcW w:w="1278" w:type="dxa"/>
            <w:vAlign w:val="center"/>
          </w:tcPr>
          <w:p w:rsidR="00B96141" w:rsidRPr="008A0210" w:rsidRDefault="00B96141" w:rsidP="00D95367">
            <w:pPr>
              <w:jc w:val="center"/>
              <w:rPr>
                <w:sz w:val="20"/>
                <w:szCs w:val="20"/>
              </w:rPr>
            </w:pPr>
            <w:r w:rsidRPr="008A0210">
              <w:rPr>
                <w:sz w:val="20"/>
                <w:szCs w:val="20"/>
              </w:rPr>
              <w:t>FY 2012 Request ($000)</w:t>
            </w:r>
          </w:p>
        </w:tc>
        <w:tc>
          <w:tcPr>
            <w:tcW w:w="1980" w:type="dxa"/>
            <w:vAlign w:val="center"/>
          </w:tcPr>
          <w:p w:rsidR="00B96141" w:rsidRPr="008A0210" w:rsidRDefault="00B96141" w:rsidP="00D95367">
            <w:pPr>
              <w:jc w:val="center"/>
              <w:rPr>
                <w:sz w:val="20"/>
                <w:szCs w:val="20"/>
              </w:rPr>
            </w:pPr>
            <w:r w:rsidRPr="008A0210">
              <w:rPr>
                <w:sz w:val="20"/>
                <w:szCs w:val="20"/>
              </w:rPr>
              <w:t>FY 2013 Net</w:t>
            </w:r>
          </w:p>
          <w:p w:rsidR="00B96141" w:rsidRPr="008A0210" w:rsidRDefault="00B96141" w:rsidP="00D95367">
            <w:pPr>
              <w:jc w:val="center"/>
              <w:rPr>
                <w:sz w:val="20"/>
                <w:szCs w:val="20"/>
              </w:rPr>
            </w:pPr>
            <w:r w:rsidRPr="008A0210">
              <w:rPr>
                <w:sz w:val="20"/>
                <w:szCs w:val="20"/>
              </w:rPr>
              <w:t>Annualization</w:t>
            </w:r>
          </w:p>
          <w:p w:rsidR="00B96141" w:rsidRPr="008A0210" w:rsidRDefault="00B96141" w:rsidP="00D95367">
            <w:pPr>
              <w:jc w:val="center"/>
              <w:rPr>
                <w:sz w:val="20"/>
                <w:szCs w:val="20"/>
              </w:rPr>
            </w:pPr>
            <w:r w:rsidRPr="008A0210">
              <w:rPr>
                <w:sz w:val="20"/>
                <w:szCs w:val="20"/>
              </w:rPr>
              <w:t>(Change from 2012) ($000)</w:t>
            </w:r>
          </w:p>
        </w:tc>
        <w:tc>
          <w:tcPr>
            <w:tcW w:w="1800" w:type="dxa"/>
            <w:vAlign w:val="center"/>
          </w:tcPr>
          <w:p w:rsidR="00B96141" w:rsidRPr="008A0210" w:rsidRDefault="00B96141" w:rsidP="00B96141">
            <w:pPr>
              <w:jc w:val="center"/>
              <w:rPr>
                <w:sz w:val="20"/>
                <w:szCs w:val="20"/>
              </w:rPr>
            </w:pPr>
            <w:r w:rsidRPr="008A0210">
              <w:rPr>
                <w:sz w:val="20"/>
                <w:szCs w:val="20"/>
              </w:rPr>
              <w:t>FY 2014 Net</w:t>
            </w:r>
          </w:p>
          <w:p w:rsidR="00B96141" w:rsidRPr="008A0210" w:rsidRDefault="00B96141" w:rsidP="00B96141">
            <w:pPr>
              <w:jc w:val="center"/>
              <w:rPr>
                <w:sz w:val="20"/>
                <w:szCs w:val="20"/>
              </w:rPr>
            </w:pPr>
            <w:r w:rsidRPr="008A0210">
              <w:rPr>
                <w:sz w:val="20"/>
                <w:szCs w:val="20"/>
              </w:rPr>
              <w:t>Annualization</w:t>
            </w:r>
          </w:p>
          <w:p w:rsidR="00B96141" w:rsidRPr="008A0210" w:rsidRDefault="00B96141" w:rsidP="00A95AE2">
            <w:pPr>
              <w:jc w:val="center"/>
              <w:rPr>
                <w:sz w:val="20"/>
                <w:szCs w:val="20"/>
              </w:rPr>
            </w:pPr>
            <w:r w:rsidRPr="008A0210">
              <w:rPr>
                <w:sz w:val="20"/>
                <w:szCs w:val="20"/>
              </w:rPr>
              <w:t>(Change from 2013) ($000)</w:t>
            </w:r>
          </w:p>
        </w:tc>
      </w:tr>
      <w:tr w:rsidR="00A95AE2" w:rsidRPr="00927AC8" w:rsidTr="00C021A7">
        <w:trPr>
          <w:trHeight w:val="305"/>
        </w:trPr>
        <w:tc>
          <w:tcPr>
            <w:tcW w:w="2250" w:type="dxa"/>
            <w:vAlign w:val="center"/>
          </w:tcPr>
          <w:p w:rsidR="00B96141" w:rsidRPr="008A0210" w:rsidRDefault="00B96141" w:rsidP="00D95367">
            <w:pPr>
              <w:autoSpaceDE w:val="0"/>
              <w:autoSpaceDN w:val="0"/>
              <w:adjustRightInd w:val="0"/>
              <w:rPr>
                <w:sz w:val="20"/>
                <w:szCs w:val="20"/>
              </w:rPr>
            </w:pPr>
            <w:r w:rsidRPr="008A0210">
              <w:rPr>
                <w:sz w:val="20"/>
                <w:szCs w:val="20"/>
              </w:rPr>
              <w:t>Travel</w:t>
            </w:r>
          </w:p>
        </w:tc>
        <w:tc>
          <w:tcPr>
            <w:tcW w:w="1260" w:type="dxa"/>
            <w:vAlign w:val="bottom"/>
          </w:tcPr>
          <w:p w:rsidR="00B96141" w:rsidRPr="008A0210" w:rsidRDefault="00B96141" w:rsidP="00D95367">
            <w:pPr>
              <w:pStyle w:val="xl19"/>
              <w:jc w:val="right"/>
              <w:rPr>
                <w:sz w:val="20"/>
                <w:szCs w:val="20"/>
              </w:rPr>
            </w:pPr>
          </w:p>
        </w:tc>
        <w:tc>
          <w:tcPr>
            <w:tcW w:w="990" w:type="dxa"/>
            <w:vAlign w:val="bottom"/>
          </w:tcPr>
          <w:p w:rsidR="00B96141" w:rsidRPr="008A0210" w:rsidRDefault="00B96141" w:rsidP="00D95367">
            <w:pPr>
              <w:jc w:val="right"/>
              <w:rPr>
                <w:sz w:val="20"/>
                <w:szCs w:val="20"/>
              </w:rPr>
            </w:pPr>
          </w:p>
        </w:tc>
        <w:tc>
          <w:tcPr>
            <w:tcW w:w="1278" w:type="dxa"/>
            <w:vAlign w:val="bottom"/>
          </w:tcPr>
          <w:p w:rsidR="00B96141" w:rsidRPr="008A0210" w:rsidRDefault="00B96141" w:rsidP="00D95367">
            <w:pPr>
              <w:jc w:val="right"/>
              <w:rPr>
                <w:sz w:val="20"/>
                <w:szCs w:val="20"/>
              </w:rPr>
            </w:pPr>
            <w:r w:rsidRPr="008A0210">
              <w:rPr>
                <w:sz w:val="20"/>
                <w:szCs w:val="20"/>
              </w:rPr>
              <w:t>(1,591)</w:t>
            </w:r>
          </w:p>
        </w:tc>
        <w:tc>
          <w:tcPr>
            <w:tcW w:w="1980" w:type="dxa"/>
            <w:vAlign w:val="bottom"/>
          </w:tcPr>
          <w:p w:rsidR="00B96141" w:rsidRPr="008A0210" w:rsidRDefault="00B96141" w:rsidP="00D95367">
            <w:pPr>
              <w:jc w:val="right"/>
              <w:rPr>
                <w:sz w:val="20"/>
                <w:szCs w:val="20"/>
              </w:rPr>
            </w:pPr>
          </w:p>
        </w:tc>
        <w:tc>
          <w:tcPr>
            <w:tcW w:w="1800" w:type="dxa"/>
            <w:vAlign w:val="bottom"/>
          </w:tcPr>
          <w:p w:rsidR="00B96141" w:rsidRPr="008A0210" w:rsidRDefault="00B96141" w:rsidP="00D95367">
            <w:pPr>
              <w:jc w:val="right"/>
              <w:rPr>
                <w:sz w:val="20"/>
                <w:szCs w:val="20"/>
              </w:rPr>
            </w:pPr>
          </w:p>
        </w:tc>
      </w:tr>
      <w:tr w:rsidR="00A95AE2" w:rsidRPr="00927AC8" w:rsidTr="00C021A7">
        <w:trPr>
          <w:trHeight w:val="305"/>
        </w:trPr>
        <w:tc>
          <w:tcPr>
            <w:tcW w:w="2250" w:type="dxa"/>
            <w:vAlign w:val="center"/>
          </w:tcPr>
          <w:p w:rsidR="00B96141" w:rsidRPr="008A0210" w:rsidRDefault="00B96141" w:rsidP="00D95367">
            <w:pPr>
              <w:autoSpaceDE w:val="0"/>
              <w:autoSpaceDN w:val="0"/>
              <w:adjustRightInd w:val="0"/>
              <w:rPr>
                <w:sz w:val="20"/>
                <w:szCs w:val="20"/>
              </w:rPr>
            </w:pPr>
            <w:r w:rsidRPr="008A0210">
              <w:rPr>
                <w:sz w:val="20"/>
                <w:szCs w:val="20"/>
              </w:rPr>
              <w:t>Supplies and Materials</w:t>
            </w:r>
          </w:p>
        </w:tc>
        <w:tc>
          <w:tcPr>
            <w:tcW w:w="1260" w:type="dxa"/>
            <w:vAlign w:val="bottom"/>
          </w:tcPr>
          <w:p w:rsidR="00B96141" w:rsidRPr="008A0210" w:rsidRDefault="00B96141" w:rsidP="00D95367">
            <w:pPr>
              <w:pStyle w:val="xl19"/>
              <w:jc w:val="right"/>
              <w:rPr>
                <w:sz w:val="20"/>
                <w:szCs w:val="20"/>
              </w:rPr>
            </w:pPr>
          </w:p>
        </w:tc>
        <w:tc>
          <w:tcPr>
            <w:tcW w:w="990" w:type="dxa"/>
            <w:vAlign w:val="bottom"/>
          </w:tcPr>
          <w:p w:rsidR="00B96141" w:rsidRPr="008A0210" w:rsidRDefault="00B96141" w:rsidP="00D95367">
            <w:pPr>
              <w:jc w:val="right"/>
              <w:rPr>
                <w:sz w:val="20"/>
                <w:szCs w:val="20"/>
              </w:rPr>
            </w:pPr>
          </w:p>
        </w:tc>
        <w:tc>
          <w:tcPr>
            <w:tcW w:w="1278" w:type="dxa"/>
            <w:vAlign w:val="bottom"/>
          </w:tcPr>
          <w:p w:rsidR="00B96141" w:rsidRPr="008A0210" w:rsidRDefault="00B96141" w:rsidP="00D95367">
            <w:pPr>
              <w:jc w:val="right"/>
              <w:rPr>
                <w:sz w:val="20"/>
                <w:szCs w:val="20"/>
              </w:rPr>
            </w:pPr>
            <w:r w:rsidRPr="008A0210">
              <w:rPr>
                <w:sz w:val="20"/>
                <w:szCs w:val="20"/>
              </w:rPr>
              <w:t>(1,250)</w:t>
            </w:r>
          </w:p>
        </w:tc>
        <w:tc>
          <w:tcPr>
            <w:tcW w:w="1980" w:type="dxa"/>
            <w:vAlign w:val="bottom"/>
          </w:tcPr>
          <w:p w:rsidR="00B96141" w:rsidRPr="008A0210" w:rsidRDefault="00B96141" w:rsidP="00D95367">
            <w:pPr>
              <w:jc w:val="right"/>
              <w:rPr>
                <w:sz w:val="20"/>
                <w:szCs w:val="20"/>
              </w:rPr>
            </w:pPr>
          </w:p>
        </w:tc>
        <w:tc>
          <w:tcPr>
            <w:tcW w:w="1800" w:type="dxa"/>
            <w:vAlign w:val="bottom"/>
          </w:tcPr>
          <w:p w:rsidR="00B96141" w:rsidRPr="008A0210" w:rsidRDefault="00B96141" w:rsidP="00D95367">
            <w:pPr>
              <w:jc w:val="right"/>
              <w:rPr>
                <w:sz w:val="20"/>
                <w:szCs w:val="20"/>
              </w:rPr>
            </w:pPr>
          </w:p>
        </w:tc>
      </w:tr>
      <w:tr w:rsidR="00A95AE2" w:rsidRPr="00F65EDB" w:rsidTr="00C021A7">
        <w:trPr>
          <w:trHeight w:val="350"/>
        </w:trPr>
        <w:tc>
          <w:tcPr>
            <w:tcW w:w="2250" w:type="dxa"/>
            <w:shd w:val="pct10" w:color="auto" w:fill="auto"/>
            <w:vAlign w:val="center"/>
          </w:tcPr>
          <w:p w:rsidR="00B96141" w:rsidRPr="008A0210" w:rsidRDefault="00B96141" w:rsidP="00D95367">
            <w:pPr>
              <w:rPr>
                <w:b/>
                <w:sz w:val="20"/>
                <w:szCs w:val="20"/>
              </w:rPr>
            </w:pPr>
            <w:r w:rsidRPr="008A0210">
              <w:rPr>
                <w:b/>
                <w:sz w:val="20"/>
                <w:szCs w:val="20"/>
              </w:rPr>
              <w:t>Total Non-Personnel</w:t>
            </w:r>
          </w:p>
        </w:tc>
        <w:tc>
          <w:tcPr>
            <w:tcW w:w="1260" w:type="dxa"/>
            <w:shd w:val="pct10" w:color="auto" w:fill="auto"/>
            <w:vAlign w:val="bottom"/>
          </w:tcPr>
          <w:p w:rsidR="00B96141" w:rsidRPr="008A0210" w:rsidRDefault="00B96141" w:rsidP="00D95367">
            <w:pPr>
              <w:pStyle w:val="xl19"/>
              <w:jc w:val="right"/>
              <w:rPr>
                <w:b/>
                <w:sz w:val="20"/>
                <w:szCs w:val="20"/>
              </w:rPr>
            </w:pPr>
          </w:p>
        </w:tc>
        <w:tc>
          <w:tcPr>
            <w:tcW w:w="990" w:type="dxa"/>
            <w:shd w:val="pct10" w:color="auto" w:fill="auto"/>
            <w:vAlign w:val="bottom"/>
          </w:tcPr>
          <w:p w:rsidR="00B96141" w:rsidRPr="008A0210" w:rsidRDefault="00B96141" w:rsidP="00D95367">
            <w:pPr>
              <w:jc w:val="right"/>
              <w:rPr>
                <w:b/>
                <w:sz w:val="20"/>
                <w:szCs w:val="20"/>
              </w:rPr>
            </w:pPr>
          </w:p>
        </w:tc>
        <w:tc>
          <w:tcPr>
            <w:tcW w:w="1278" w:type="dxa"/>
            <w:shd w:val="pct10" w:color="auto" w:fill="auto"/>
            <w:vAlign w:val="bottom"/>
          </w:tcPr>
          <w:p w:rsidR="00B96141" w:rsidRPr="008A0210" w:rsidRDefault="00B96141" w:rsidP="00D95367">
            <w:pPr>
              <w:jc w:val="right"/>
              <w:rPr>
                <w:b/>
                <w:sz w:val="20"/>
                <w:szCs w:val="20"/>
              </w:rPr>
            </w:pPr>
            <w:r w:rsidRPr="008A0210">
              <w:rPr>
                <w:b/>
                <w:sz w:val="20"/>
                <w:szCs w:val="20"/>
              </w:rPr>
              <w:t>(2,841)</w:t>
            </w:r>
          </w:p>
        </w:tc>
        <w:tc>
          <w:tcPr>
            <w:tcW w:w="1980" w:type="dxa"/>
            <w:vAlign w:val="bottom"/>
          </w:tcPr>
          <w:p w:rsidR="00B96141" w:rsidRPr="008A0210" w:rsidRDefault="00B96141" w:rsidP="00D95367">
            <w:pPr>
              <w:jc w:val="right"/>
              <w:rPr>
                <w:b/>
                <w:sz w:val="20"/>
                <w:szCs w:val="20"/>
              </w:rPr>
            </w:pPr>
          </w:p>
        </w:tc>
        <w:tc>
          <w:tcPr>
            <w:tcW w:w="1800" w:type="dxa"/>
            <w:vAlign w:val="bottom"/>
          </w:tcPr>
          <w:p w:rsidR="00B96141" w:rsidRPr="008A0210" w:rsidRDefault="00B96141" w:rsidP="00D95367">
            <w:pPr>
              <w:jc w:val="right"/>
              <w:rPr>
                <w:b/>
                <w:sz w:val="20"/>
                <w:szCs w:val="20"/>
              </w:rPr>
            </w:pPr>
          </w:p>
        </w:tc>
      </w:tr>
    </w:tbl>
    <w:p w:rsidR="00D95367" w:rsidRDefault="00D95367" w:rsidP="00D95367">
      <w:pPr>
        <w:pStyle w:val="xl24"/>
        <w:tabs>
          <w:tab w:val="left" w:pos="3240"/>
        </w:tabs>
        <w:spacing w:before="0" w:beforeAutospacing="0" w:after="0" w:afterAutospacing="0"/>
        <w:outlineLvl w:val="0"/>
        <w:rPr>
          <w:u w:val="single"/>
        </w:rPr>
      </w:pPr>
    </w:p>
    <w:p w:rsidR="00D95367" w:rsidRPr="00902EB4" w:rsidRDefault="00D95367" w:rsidP="00D95367">
      <w:pPr>
        <w:pStyle w:val="xl24"/>
        <w:tabs>
          <w:tab w:val="left" w:pos="3240"/>
        </w:tabs>
        <w:spacing w:before="0" w:beforeAutospacing="0" w:after="0" w:afterAutospacing="0"/>
        <w:outlineLvl w:val="0"/>
        <w:rPr>
          <w:u w:val="single"/>
        </w:rPr>
      </w:pPr>
      <w:r w:rsidRPr="00902EB4">
        <w:rPr>
          <w:u w:val="single"/>
        </w:rPr>
        <w:t>Total Request for this Item</w:t>
      </w:r>
    </w:p>
    <w:p w:rsidR="00D95367" w:rsidRPr="00880707" w:rsidRDefault="00D95367" w:rsidP="00D95367">
      <w:pPr>
        <w:pStyle w:val="xl24"/>
        <w:spacing w:before="0" w:beforeAutospacing="0" w:after="0" w:afterAutospacing="0"/>
        <w:rPr>
          <w:b/>
          <w:highlight w:val="yellow"/>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630"/>
        <w:gridCol w:w="630"/>
        <w:gridCol w:w="630"/>
        <w:gridCol w:w="1080"/>
        <w:gridCol w:w="1080"/>
        <w:gridCol w:w="900"/>
        <w:gridCol w:w="1620"/>
        <w:gridCol w:w="1620"/>
      </w:tblGrid>
      <w:tr w:rsidR="008A0210" w:rsidRPr="00CC5993" w:rsidTr="008A0210">
        <w:trPr>
          <w:trHeight w:val="332"/>
        </w:trPr>
        <w:tc>
          <w:tcPr>
            <w:tcW w:w="1710" w:type="dxa"/>
            <w:shd w:val="clear" w:color="auto" w:fill="E6E6E6"/>
          </w:tcPr>
          <w:p w:rsidR="00DF4335" w:rsidRPr="00DF4335" w:rsidRDefault="00DF4335" w:rsidP="00D95367">
            <w:pPr>
              <w:rPr>
                <w:sz w:val="21"/>
                <w:szCs w:val="21"/>
              </w:rPr>
            </w:pPr>
          </w:p>
        </w:tc>
        <w:tc>
          <w:tcPr>
            <w:tcW w:w="630" w:type="dxa"/>
            <w:vAlign w:val="center"/>
          </w:tcPr>
          <w:p w:rsidR="00DF4335" w:rsidRPr="00DF4335" w:rsidRDefault="00DF4335" w:rsidP="00D95367">
            <w:pPr>
              <w:jc w:val="center"/>
              <w:rPr>
                <w:sz w:val="21"/>
                <w:szCs w:val="21"/>
              </w:rPr>
            </w:pPr>
            <w:r w:rsidRPr="00DF4335">
              <w:rPr>
                <w:sz w:val="21"/>
                <w:szCs w:val="21"/>
              </w:rPr>
              <w:t>Pos</w:t>
            </w:r>
          </w:p>
        </w:tc>
        <w:tc>
          <w:tcPr>
            <w:tcW w:w="630" w:type="dxa"/>
            <w:vAlign w:val="center"/>
          </w:tcPr>
          <w:p w:rsidR="00DF4335" w:rsidRPr="00DF4335" w:rsidRDefault="00DF4335" w:rsidP="00D95367">
            <w:pPr>
              <w:jc w:val="center"/>
              <w:rPr>
                <w:sz w:val="21"/>
                <w:szCs w:val="21"/>
              </w:rPr>
            </w:pPr>
            <w:proofErr w:type="spellStart"/>
            <w:r w:rsidRPr="00DF4335">
              <w:rPr>
                <w:sz w:val="21"/>
                <w:szCs w:val="21"/>
              </w:rPr>
              <w:t>Agt</w:t>
            </w:r>
            <w:proofErr w:type="spellEnd"/>
          </w:p>
        </w:tc>
        <w:tc>
          <w:tcPr>
            <w:tcW w:w="630" w:type="dxa"/>
            <w:vAlign w:val="center"/>
          </w:tcPr>
          <w:p w:rsidR="00DF4335" w:rsidRPr="00DF4335" w:rsidRDefault="00DF4335" w:rsidP="00D95367">
            <w:pPr>
              <w:jc w:val="center"/>
              <w:rPr>
                <w:sz w:val="21"/>
                <w:szCs w:val="21"/>
              </w:rPr>
            </w:pPr>
            <w:r w:rsidRPr="00DF4335">
              <w:rPr>
                <w:sz w:val="21"/>
                <w:szCs w:val="21"/>
              </w:rPr>
              <w:t>FTE</w:t>
            </w:r>
          </w:p>
        </w:tc>
        <w:tc>
          <w:tcPr>
            <w:tcW w:w="1080" w:type="dxa"/>
            <w:vAlign w:val="center"/>
          </w:tcPr>
          <w:p w:rsidR="00DF4335" w:rsidRPr="00DF4335" w:rsidRDefault="00DF4335" w:rsidP="00D95367">
            <w:pPr>
              <w:jc w:val="center"/>
              <w:rPr>
                <w:sz w:val="21"/>
                <w:szCs w:val="21"/>
              </w:rPr>
            </w:pPr>
            <w:r w:rsidRPr="00DF4335">
              <w:rPr>
                <w:sz w:val="21"/>
                <w:szCs w:val="21"/>
              </w:rPr>
              <w:t>Personnel</w:t>
            </w:r>
            <w:r>
              <w:rPr>
                <w:sz w:val="21"/>
                <w:szCs w:val="21"/>
              </w:rPr>
              <w:t xml:space="preserve"> </w:t>
            </w:r>
            <w:r w:rsidRPr="00DF4335">
              <w:rPr>
                <w:sz w:val="21"/>
                <w:szCs w:val="21"/>
              </w:rPr>
              <w:t>($000)</w:t>
            </w:r>
          </w:p>
        </w:tc>
        <w:tc>
          <w:tcPr>
            <w:tcW w:w="1080" w:type="dxa"/>
            <w:vAlign w:val="center"/>
          </w:tcPr>
          <w:p w:rsidR="00DF4335" w:rsidRPr="00DF4335" w:rsidRDefault="00DF4335" w:rsidP="00D95367">
            <w:pPr>
              <w:jc w:val="center"/>
              <w:rPr>
                <w:sz w:val="21"/>
                <w:szCs w:val="21"/>
              </w:rPr>
            </w:pPr>
            <w:r w:rsidRPr="00DF4335">
              <w:rPr>
                <w:sz w:val="21"/>
                <w:szCs w:val="21"/>
              </w:rPr>
              <w:t>Non-Personnel</w:t>
            </w:r>
            <w:r>
              <w:rPr>
                <w:sz w:val="21"/>
                <w:szCs w:val="21"/>
              </w:rPr>
              <w:t xml:space="preserve"> </w:t>
            </w:r>
            <w:r w:rsidRPr="00DF4335">
              <w:rPr>
                <w:sz w:val="21"/>
                <w:szCs w:val="21"/>
              </w:rPr>
              <w:t>($000)</w:t>
            </w:r>
          </w:p>
        </w:tc>
        <w:tc>
          <w:tcPr>
            <w:tcW w:w="900" w:type="dxa"/>
            <w:vAlign w:val="center"/>
          </w:tcPr>
          <w:p w:rsidR="00DF4335" w:rsidRPr="00DF4335" w:rsidDel="00DF4335" w:rsidRDefault="00DF4335" w:rsidP="00D95367">
            <w:pPr>
              <w:jc w:val="center"/>
              <w:rPr>
                <w:sz w:val="21"/>
                <w:szCs w:val="21"/>
              </w:rPr>
            </w:pPr>
            <w:r w:rsidRPr="00DF4335">
              <w:rPr>
                <w:sz w:val="21"/>
                <w:szCs w:val="21"/>
              </w:rPr>
              <w:t>Total</w:t>
            </w:r>
            <w:r>
              <w:rPr>
                <w:sz w:val="21"/>
                <w:szCs w:val="21"/>
              </w:rPr>
              <w:t xml:space="preserve"> </w:t>
            </w:r>
            <w:r w:rsidRPr="00DF4335">
              <w:rPr>
                <w:sz w:val="21"/>
                <w:szCs w:val="21"/>
              </w:rPr>
              <w:t>($000)</w:t>
            </w:r>
          </w:p>
        </w:tc>
        <w:tc>
          <w:tcPr>
            <w:tcW w:w="1620" w:type="dxa"/>
            <w:vAlign w:val="center"/>
          </w:tcPr>
          <w:p w:rsidR="00DF4335" w:rsidRPr="00B96141" w:rsidRDefault="00DF4335" w:rsidP="00DF4335">
            <w:pPr>
              <w:jc w:val="center"/>
              <w:rPr>
                <w:sz w:val="21"/>
                <w:szCs w:val="21"/>
              </w:rPr>
            </w:pPr>
            <w:r w:rsidRPr="00B96141">
              <w:rPr>
                <w:sz w:val="21"/>
                <w:szCs w:val="21"/>
              </w:rPr>
              <w:t>FY 2013 Net</w:t>
            </w:r>
          </w:p>
          <w:p w:rsidR="00DF4335" w:rsidRPr="00B96141" w:rsidRDefault="00DF4335" w:rsidP="00DF4335">
            <w:pPr>
              <w:jc w:val="center"/>
              <w:rPr>
                <w:sz w:val="21"/>
                <w:szCs w:val="21"/>
              </w:rPr>
            </w:pPr>
            <w:r w:rsidRPr="00B96141">
              <w:rPr>
                <w:sz w:val="21"/>
                <w:szCs w:val="21"/>
              </w:rPr>
              <w:t>Annualization</w:t>
            </w:r>
          </w:p>
          <w:p w:rsidR="00DF4335" w:rsidRPr="00DF4335" w:rsidRDefault="00DF4335" w:rsidP="00DF4335">
            <w:pPr>
              <w:jc w:val="center"/>
              <w:rPr>
                <w:sz w:val="21"/>
                <w:szCs w:val="21"/>
              </w:rPr>
            </w:pPr>
            <w:r w:rsidRPr="00B96141">
              <w:rPr>
                <w:sz w:val="21"/>
                <w:szCs w:val="21"/>
              </w:rPr>
              <w:t>(Change from 2012) ($000)</w:t>
            </w:r>
            <w:r>
              <w:rPr>
                <w:sz w:val="21"/>
                <w:szCs w:val="21"/>
              </w:rPr>
              <w:t xml:space="preserve"> </w:t>
            </w:r>
          </w:p>
        </w:tc>
        <w:tc>
          <w:tcPr>
            <w:tcW w:w="1620" w:type="dxa"/>
          </w:tcPr>
          <w:p w:rsidR="008A0210" w:rsidRPr="00B96141" w:rsidRDefault="008A0210" w:rsidP="008A0210">
            <w:pPr>
              <w:jc w:val="center"/>
              <w:rPr>
                <w:sz w:val="21"/>
                <w:szCs w:val="21"/>
              </w:rPr>
            </w:pPr>
            <w:r w:rsidRPr="00B96141">
              <w:rPr>
                <w:sz w:val="21"/>
                <w:szCs w:val="21"/>
              </w:rPr>
              <w:t>FY 201</w:t>
            </w:r>
            <w:r>
              <w:rPr>
                <w:sz w:val="21"/>
                <w:szCs w:val="21"/>
              </w:rPr>
              <w:t>4</w:t>
            </w:r>
            <w:r w:rsidRPr="00B96141">
              <w:rPr>
                <w:sz w:val="21"/>
                <w:szCs w:val="21"/>
              </w:rPr>
              <w:t xml:space="preserve"> Net</w:t>
            </w:r>
          </w:p>
          <w:p w:rsidR="008A0210" w:rsidRPr="00B96141" w:rsidRDefault="008A0210" w:rsidP="008A0210">
            <w:pPr>
              <w:jc w:val="center"/>
              <w:rPr>
                <w:sz w:val="21"/>
                <w:szCs w:val="21"/>
              </w:rPr>
            </w:pPr>
            <w:r w:rsidRPr="00B96141">
              <w:rPr>
                <w:sz w:val="21"/>
                <w:szCs w:val="21"/>
              </w:rPr>
              <w:t>Annualization</w:t>
            </w:r>
          </w:p>
          <w:p w:rsidR="00DF4335" w:rsidRPr="00B96141" w:rsidRDefault="008A0210" w:rsidP="008A0210">
            <w:pPr>
              <w:jc w:val="center"/>
              <w:rPr>
                <w:sz w:val="21"/>
                <w:szCs w:val="21"/>
              </w:rPr>
            </w:pPr>
            <w:r w:rsidRPr="00B96141">
              <w:rPr>
                <w:sz w:val="21"/>
                <w:szCs w:val="21"/>
              </w:rPr>
              <w:t>(Change from 201</w:t>
            </w:r>
            <w:r>
              <w:rPr>
                <w:sz w:val="21"/>
                <w:szCs w:val="21"/>
              </w:rPr>
              <w:t>3</w:t>
            </w:r>
            <w:r w:rsidRPr="00B96141">
              <w:rPr>
                <w:sz w:val="21"/>
                <w:szCs w:val="21"/>
              </w:rPr>
              <w:t>) ($000)</w:t>
            </w:r>
          </w:p>
        </w:tc>
      </w:tr>
      <w:tr w:rsidR="008A0210" w:rsidRPr="00CC5993" w:rsidTr="008A0210">
        <w:trPr>
          <w:trHeight w:val="215"/>
        </w:trPr>
        <w:tc>
          <w:tcPr>
            <w:tcW w:w="1710" w:type="dxa"/>
          </w:tcPr>
          <w:p w:rsidR="00DF4335" w:rsidRPr="00DF4335" w:rsidRDefault="00DF4335" w:rsidP="00D95367">
            <w:pPr>
              <w:rPr>
                <w:sz w:val="21"/>
                <w:szCs w:val="21"/>
              </w:rPr>
            </w:pPr>
            <w:r w:rsidRPr="00DF4335">
              <w:rPr>
                <w:sz w:val="21"/>
                <w:szCs w:val="21"/>
              </w:rPr>
              <w:t>Current Services</w:t>
            </w:r>
          </w:p>
        </w:tc>
        <w:tc>
          <w:tcPr>
            <w:tcW w:w="630" w:type="dxa"/>
            <w:vAlign w:val="center"/>
          </w:tcPr>
          <w:p w:rsidR="00DF4335" w:rsidRPr="00DF4335" w:rsidRDefault="00DF4335" w:rsidP="00D95367">
            <w:pPr>
              <w:jc w:val="right"/>
              <w:rPr>
                <w:sz w:val="21"/>
                <w:szCs w:val="21"/>
              </w:rPr>
            </w:pPr>
            <w:r w:rsidRPr="00DF4335">
              <w:rPr>
                <w:sz w:val="21"/>
                <w:szCs w:val="21"/>
              </w:rPr>
              <w:t>0</w:t>
            </w:r>
          </w:p>
        </w:tc>
        <w:tc>
          <w:tcPr>
            <w:tcW w:w="630" w:type="dxa"/>
            <w:vAlign w:val="center"/>
          </w:tcPr>
          <w:p w:rsidR="00DF4335" w:rsidRPr="00DF4335" w:rsidRDefault="00DF4335" w:rsidP="00D95367">
            <w:pPr>
              <w:jc w:val="right"/>
              <w:rPr>
                <w:sz w:val="21"/>
                <w:szCs w:val="21"/>
              </w:rPr>
            </w:pPr>
            <w:r w:rsidRPr="00DF4335">
              <w:rPr>
                <w:sz w:val="21"/>
                <w:szCs w:val="21"/>
              </w:rPr>
              <w:t>0</w:t>
            </w:r>
          </w:p>
        </w:tc>
        <w:tc>
          <w:tcPr>
            <w:tcW w:w="630" w:type="dxa"/>
            <w:vAlign w:val="center"/>
          </w:tcPr>
          <w:p w:rsidR="00DF4335" w:rsidRPr="00DF4335" w:rsidRDefault="00DF4335" w:rsidP="00D95367">
            <w:pPr>
              <w:jc w:val="right"/>
              <w:rPr>
                <w:sz w:val="21"/>
                <w:szCs w:val="21"/>
              </w:rPr>
            </w:pPr>
            <w:r w:rsidRPr="00DF4335">
              <w:rPr>
                <w:sz w:val="21"/>
                <w:szCs w:val="21"/>
              </w:rPr>
              <w:t>0</w:t>
            </w:r>
          </w:p>
        </w:tc>
        <w:tc>
          <w:tcPr>
            <w:tcW w:w="1080" w:type="dxa"/>
            <w:vAlign w:val="center"/>
          </w:tcPr>
          <w:p w:rsidR="00DF4335" w:rsidRPr="00DF4335" w:rsidRDefault="00DF4335" w:rsidP="00D95367">
            <w:pPr>
              <w:jc w:val="right"/>
              <w:rPr>
                <w:sz w:val="21"/>
                <w:szCs w:val="21"/>
              </w:rPr>
            </w:pPr>
            <w:r w:rsidRPr="00DF4335">
              <w:rPr>
                <w:sz w:val="21"/>
                <w:szCs w:val="21"/>
              </w:rPr>
              <w:t>0</w:t>
            </w:r>
          </w:p>
        </w:tc>
        <w:tc>
          <w:tcPr>
            <w:tcW w:w="1080" w:type="dxa"/>
            <w:vAlign w:val="center"/>
          </w:tcPr>
          <w:p w:rsidR="00DF4335" w:rsidRPr="00DF4335" w:rsidRDefault="00DF4335" w:rsidP="00D95367">
            <w:pPr>
              <w:jc w:val="right"/>
              <w:rPr>
                <w:sz w:val="21"/>
                <w:szCs w:val="21"/>
              </w:rPr>
            </w:pPr>
            <w:r w:rsidRPr="00DF4335">
              <w:rPr>
                <w:sz w:val="21"/>
                <w:szCs w:val="21"/>
              </w:rPr>
              <w:t>0</w:t>
            </w:r>
          </w:p>
        </w:tc>
        <w:tc>
          <w:tcPr>
            <w:tcW w:w="900" w:type="dxa"/>
            <w:vAlign w:val="center"/>
          </w:tcPr>
          <w:p w:rsidR="00DF4335" w:rsidRPr="00DF4335" w:rsidRDefault="00DF4335" w:rsidP="00D95367">
            <w:pPr>
              <w:jc w:val="right"/>
              <w:rPr>
                <w:sz w:val="21"/>
                <w:szCs w:val="21"/>
              </w:rPr>
            </w:pPr>
            <w:r w:rsidRPr="00DF4335">
              <w:rPr>
                <w:sz w:val="21"/>
                <w:szCs w:val="21"/>
              </w:rPr>
              <w:t>0</w:t>
            </w:r>
          </w:p>
        </w:tc>
        <w:tc>
          <w:tcPr>
            <w:tcW w:w="1620" w:type="dxa"/>
            <w:vAlign w:val="center"/>
          </w:tcPr>
          <w:p w:rsidR="00DF4335" w:rsidRPr="00DF4335" w:rsidRDefault="00DF4335" w:rsidP="00D95367">
            <w:pPr>
              <w:jc w:val="right"/>
              <w:rPr>
                <w:sz w:val="21"/>
                <w:szCs w:val="21"/>
              </w:rPr>
            </w:pPr>
          </w:p>
        </w:tc>
        <w:tc>
          <w:tcPr>
            <w:tcW w:w="1620" w:type="dxa"/>
          </w:tcPr>
          <w:p w:rsidR="00DF4335" w:rsidRPr="00DF4335" w:rsidRDefault="00DF4335" w:rsidP="00D95367">
            <w:pPr>
              <w:jc w:val="right"/>
              <w:rPr>
                <w:sz w:val="21"/>
                <w:szCs w:val="21"/>
              </w:rPr>
            </w:pPr>
          </w:p>
        </w:tc>
      </w:tr>
      <w:tr w:rsidR="008A0210" w:rsidRPr="00CC5993" w:rsidTr="008A0210">
        <w:trPr>
          <w:trHeight w:val="377"/>
        </w:trPr>
        <w:tc>
          <w:tcPr>
            <w:tcW w:w="1710" w:type="dxa"/>
          </w:tcPr>
          <w:p w:rsidR="00DF4335" w:rsidRPr="00DF4335" w:rsidRDefault="00FA39E8" w:rsidP="00D95367">
            <w:pPr>
              <w:rPr>
                <w:sz w:val="21"/>
                <w:szCs w:val="21"/>
              </w:rPr>
            </w:pPr>
            <w:r>
              <w:rPr>
                <w:sz w:val="21"/>
                <w:szCs w:val="21"/>
              </w:rPr>
              <w:t>Decreases</w:t>
            </w:r>
          </w:p>
        </w:tc>
        <w:tc>
          <w:tcPr>
            <w:tcW w:w="630" w:type="dxa"/>
            <w:vAlign w:val="center"/>
          </w:tcPr>
          <w:p w:rsidR="00DF4335" w:rsidRPr="00DF4335" w:rsidRDefault="00DF4335" w:rsidP="00D95367">
            <w:pPr>
              <w:jc w:val="right"/>
              <w:rPr>
                <w:sz w:val="21"/>
                <w:szCs w:val="21"/>
              </w:rPr>
            </w:pPr>
            <w:r w:rsidRPr="00DF4335">
              <w:rPr>
                <w:sz w:val="21"/>
                <w:szCs w:val="21"/>
              </w:rPr>
              <w:t>0</w:t>
            </w:r>
          </w:p>
        </w:tc>
        <w:tc>
          <w:tcPr>
            <w:tcW w:w="630" w:type="dxa"/>
          </w:tcPr>
          <w:p w:rsidR="00DF4335" w:rsidRPr="00DF4335" w:rsidRDefault="00DF4335" w:rsidP="00D95367">
            <w:pPr>
              <w:jc w:val="right"/>
              <w:rPr>
                <w:sz w:val="21"/>
                <w:szCs w:val="21"/>
              </w:rPr>
            </w:pPr>
            <w:r w:rsidRPr="00DF4335">
              <w:rPr>
                <w:sz w:val="21"/>
                <w:szCs w:val="21"/>
              </w:rPr>
              <w:t>0</w:t>
            </w:r>
          </w:p>
        </w:tc>
        <w:tc>
          <w:tcPr>
            <w:tcW w:w="630" w:type="dxa"/>
            <w:vAlign w:val="center"/>
          </w:tcPr>
          <w:p w:rsidR="00DF4335" w:rsidRPr="00DF4335" w:rsidRDefault="00DF4335" w:rsidP="00D95367">
            <w:pPr>
              <w:jc w:val="right"/>
              <w:rPr>
                <w:sz w:val="21"/>
                <w:szCs w:val="21"/>
              </w:rPr>
            </w:pPr>
            <w:r w:rsidRPr="00DF4335">
              <w:rPr>
                <w:sz w:val="21"/>
                <w:szCs w:val="21"/>
              </w:rPr>
              <w:t>0</w:t>
            </w:r>
          </w:p>
        </w:tc>
        <w:tc>
          <w:tcPr>
            <w:tcW w:w="1080" w:type="dxa"/>
            <w:vAlign w:val="center"/>
          </w:tcPr>
          <w:p w:rsidR="00DF4335" w:rsidRPr="00DF4335" w:rsidRDefault="00DF4335" w:rsidP="00D95367">
            <w:pPr>
              <w:jc w:val="right"/>
              <w:rPr>
                <w:sz w:val="21"/>
                <w:szCs w:val="21"/>
              </w:rPr>
            </w:pPr>
            <w:r w:rsidRPr="00DF4335">
              <w:rPr>
                <w:sz w:val="21"/>
                <w:szCs w:val="21"/>
              </w:rPr>
              <w:t>0</w:t>
            </w:r>
          </w:p>
        </w:tc>
        <w:tc>
          <w:tcPr>
            <w:tcW w:w="1080" w:type="dxa"/>
            <w:vAlign w:val="center"/>
          </w:tcPr>
          <w:p w:rsidR="00DF4335" w:rsidRPr="00DF4335" w:rsidRDefault="00DF4335" w:rsidP="00D95367">
            <w:pPr>
              <w:jc w:val="right"/>
              <w:rPr>
                <w:sz w:val="21"/>
                <w:szCs w:val="21"/>
              </w:rPr>
            </w:pPr>
            <w:r w:rsidRPr="00DF4335">
              <w:rPr>
                <w:sz w:val="21"/>
                <w:szCs w:val="21"/>
              </w:rPr>
              <w:t>(2,841)</w:t>
            </w:r>
          </w:p>
        </w:tc>
        <w:tc>
          <w:tcPr>
            <w:tcW w:w="900" w:type="dxa"/>
            <w:vAlign w:val="center"/>
          </w:tcPr>
          <w:p w:rsidR="00DF4335" w:rsidRPr="00DF4335" w:rsidRDefault="00DF4335" w:rsidP="00D95367">
            <w:pPr>
              <w:jc w:val="right"/>
              <w:rPr>
                <w:sz w:val="21"/>
                <w:szCs w:val="21"/>
              </w:rPr>
            </w:pPr>
            <w:r w:rsidRPr="00DF4335">
              <w:rPr>
                <w:sz w:val="21"/>
                <w:szCs w:val="21"/>
              </w:rPr>
              <w:t>(2,841)</w:t>
            </w:r>
          </w:p>
        </w:tc>
        <w:tc>
          <w:tcPr>
            <w:tcW w:w="1620" w:type="dxa"/>
            <w:vAlign w:val="center"/>
          </w:tcPr>
          <w:p w:rsidR="00DF4335" w:rsidRPr="00DF4335" w:rsidRDefault="00DF4335" w:rsidP="00D95367">
            <w:pPr>
              <w:jc w:val="right"/>
              <w:rPr>
                <w:sz w:val="21"/>
                <w:szCs w:val="21"/>
              </w:rPr>
            </w:pPr>
          </w:p>
        </w:tc>
        <w:tc>
          <w:tcPr>
            <w:tcW w:w="1620" w:type="dxa"/>
          </w:tcPr>
          <w:p w:rsidR="00DF4335" w:rsidRPr="00DF4335" w:rsidRDefault="00DF4335" w:rsidP="00D95367">
            <w:pPr>
              <w:jc w:val="right"/>
              <w:rPr>
                <w:sz w:val="21"/>
                <w:szCs w:val="21"/>
              </w:rPr>
            </w:pPr>
          </w:p>
        </w:tc>
      </w:tr>
      <w:tr w:rsidR="008A0210" w:rsidRPr="00CC5993" w:rsidTr="008A0210">
        <w:trPr>
          <w:trHeight w:val="260"/>
        </w:trPr>
        <w:tc>
          <w:tcPr>
            <w:tcW w:w="1710" w:type="dxa"/>
          </w:tcPr>
          <w:p w:rsidR="00DF4335" w:rsidRPr="00DF4335" w:rsidRDefault="00DF4335" w:rsidP="00D95367">
            <w:pPr>
              <w:rPr>
                <w:sz w:val="21"/>
                <w:szCs w:val="21"/>
              </w:rPr>
            </w:pPr>
            <w:r w:rsidRPr="00DF4335">
              <w:rPr>
                <w:sz w:val="21"/>
                <w:szCs w:val="21"/>
              </w:rPr>
              <w:t>Grand Total</w:t>
            </w:r>
          </w:p>
        </w:tc>
        <w:tc>
          <w:tcPr>
            <w:tcW w:w="630" w:type="dxa"/>
            <w:vAlign w:val="center"/>
          </w:tcPr>
          <w:p w:rsidR="00DF4335" w:rsidRPr="00DF4335" w:rsidRDefault="00DF4335" w:rsidP="00D95367">
            <w:pPr>
              <w:jc w:val="right"/>
              <w:rPr>
                <w:sz w:val="21"/>
                <w:szCs w:val="21"/>
              </w:rPr>
            </w:pPr>
            <w:r w:rsidRPr="00DF4335">
              <w:rPr>
                <w:sz w:val="21"/>
                <w:szCs w:val="21"/>
              </w:rPr>
              <w:t>0</w:t>
            </w:r>
          </w:p>
        </w:tc>
        <w:tc>
          <w:tcPr>
            <w:tcW w:w="630" w:type="dxa"/>
            <w:vAlign w:val="center"/>
          </w:tcPr>
          <w:p w:rsidR="00DF4335" w:rsidRPr="00DF4335" w:rsidRDefault="00DF4335" w:rsidP="00D95367">
            <w:pPr>
              <w:jc w:val="right"/>
              <w:rPr>
                <w:sz w:val="21"/>
                <w:szCs w:val="21"/>
              </w:rPr>
            </w:pPr>
            <w:r w:rsidRPr="00DF4335">
              <w:rPr>
                <w:sz w:val="21"/>
                <w:szCs w:val="21"/>
              </w:rPr>
              <w:t>0</w:t>
            </w:r>
          </w:p>
        </w:tc>
        <w:tc>
          <w:tcPr>
            <w:tcW w:w="630" w:type="dxa"/>
            <w:vAlign w:val="center"/>
          </w:tcPr>
          <w:p w:rsidR="00DF4335" w:rsidRPr="00DF4335" w:rsidRDefault="00DF4335" w:rsidP="00D95367">
            <w:pPr>
              <w:jc w:val="right"/>
              <w:rPr>
                <w:sz w:val="21"/>
                <w:szCs w:val="21"/>
              </w:rPr>
            </w:pPr>
            <w:r w:rsidRPr="00DF4335">
              <w:rPr>
                <w:sz w:val="21"/>
                <w:szCs w:val="21"/>
              </w:rPr>
              <w:t>0</w:t>
            </w:r>
          </w:p>
        </w:tc>
        <w:tc>
          <w:tcPr>
            <w:tcW w:w="1080" w:type="dxa"/>
            <w:vAlign w:val="center"/>
          </w:tcPr>
          <w:p w:rsidR="00DF4335" w:rsidRPr="00DF4335" w:rsidRDefault="00DF4335" w:rsidP="00D95367">
            <w:pPr>
              <w:jc w:val="right"/>
              <w:rPr>
                <w:sz w:val="21"/>
                <w:szCs w:val="21"/>
              </w:rPr>
            </w:pPr>
            <w:r w:rsidRPr="00DF4335">
              <w:rPr>
                <w:sz w:val="21"/>
                <w:szCs w:val="21"/>
              </w:rPr>
              <w:t>0</w:t>
            </w:r>
          </w:p>
        </w:tc>
        <w:tc>
          <w:tcPr>
            <w:tcW w:w="1080" w:type="dxa"/>
            <w:vAlign w:val="center"/>
          </w:tcPr>
          <w:p w:rsidR="00DF4335" w:rsidRPr="00DF4335" w:rsidRDefault="00DF4335" w:rsidP="00D95367">
            <w:pPr>
              <w:jc w:val="right"/>
              <w:rPr>
                <w:sz w:val="21"/>
                <w:szCs w:val="21"/>
              </w:rPr>
            </w:pPr>
            <w:r w:rsidRPr="00DF4335">
              <w:rPr>
                <w:sz w:val="21"/>
                <w:szCs w:val="21"/>
              </w:rPr>
              <w:t>(2,841)</w:t>
            </w:r>
          </w:p>
        </w:tc>
        <w:tc>
          <w:tcPr>
            <w:tcW w:w="900" w:type="dxa"/>
            <w:vAlign w:val="center"/>
          </w:tcPr>
          <w:p w:rsidR="00DF4335" w:rsidRPr="00DF4335" w:rsidRDefault="00DF4335" w:rsidP="00D95367">
            <w:pPr>
              <w:jc w:val="right"/>
              <w:rPr>
                <w:sz w:val="21"/>
                <w:szCs w:val="21"/>
              </w:rPr>
            </w:pPr>
            <w:r w:rsidRPr="00DF4335">
              <w:rPr>
                <w:sz w:val="21"/>
                <w:szCs w:val="21"/>
              </w:rPr>
              <w:t>(2,841)</w:t>
            </w:r>
          </w:p>
        </w:tc>
        <w:tc>
          <w:tcPr>
            <w:tcW w:w="1620" w:type="dxa"/>
            <w:vAlign w:val="center"/>
          </w:tcPr>
          <w:p w:rsidR="00DF4335" w:rsidRPr="00DF4335" w:rsidRDefault="00DF4335" w:rsidP="00D95367">
            <w:pPr>
              <w:jc w:val="right"/>
              <w:rPr>
                <w:sz w:val="21"/>
                <w:szCs w:val="21"/>
              </w:rPr>
            </w:pPr>
          </w:p>
        </w:tc>
        <w:tc>
          <w:tcPr>
            <w:tcW w:w="1620" w:type="dxa"/>
          </w:tcPr>
          <w:p w:rsidR="00DF4335" w:rsidRPr="00DF4335" w:rsidRDefault="00DF4335" w:rsidP="00D95367">
            <w:pPr>
              <w:jc w:val="right"/>
              <w:rPr>
                <w:sz w:val="21"/>
                <w:szCs w:val="21"/>
              </w:rPr>
            </w:pPr>
          </w:p>
        </w:tc>
      </w:tr>
    </w:tbl>
    <w:p w:rsidR="00D95367" w:rsidRPr="00F65EDB" w:rsidRDefault="00D95367" w:rsidP="00D95367">
      <w:pPr>
        <w:pStyle w:val="xl24"/>
        <w:spacing w:before="0" w:beforeAutospacing="0" w:after="0" w:afterAutospacing="0"/>
      </w:pPr>
    </w:p>
    <w:p w:rsidR="00D95367" w:rsidRDefault="00D95367">
      <w:r>
        <w:br w:type="page"/>
      </w:r>
    </w:p>
    <w:p w:rsidR="00D0196A" w:rsidRPr="0043642D" w:rsidRDefault="00D0196A" w:rsidP="00D0196A">
      <w:pPr>
        <w:pStyle w:val="xl19"/>
        <w:tabs>
          <w:tab w:val="left" w:pos="3420"/>
          <w:tab w:val="right" w:pos="8640"/>
        </w:tabs>
        <w:outlineLvl w:val="0"/>
        <w:rPr>
          <w:b/>
          <w:bCs/>
          <w:color w:val="000000" w:themeColor="text1"/>
        </w:rPr>
      </w:pPr>
      <w:r w:rsidRPr="00426C49">
        <w:rPr>
          <w:b/>
          <w:bCs/>
        </w:rPr>
        <w:lastRenderedPageBreak/>
        <w:t>Item Name:</w:t>
      </w:r>
      <w:r w:rsidRPr="00426C49">
        <w:rPr>
          <w:b/>
          <w:bCs/>
        </w:rPr>
        <w:tab/>
      </w:r>
      <w:r w:rsidRPr="0043642D">
        <w:rPr>
          <w:b/>
          <w:bCs/>
          <w:color w:val="000000" w:themeColor="text1"/>
        </w:rPr>
        <w:t>Alcohol and Tobacco Program Reduction</w:t>
      </w:r>
    </w:p>
    <w:p w:rsidR="00D0196A" w:rsidRPr="00426C49" w:rsidRDefault="00D0196A" w:rsidP="00D0196A">
      <w:pPr>
        <w:pStyle w:val="xl19"/>
        <w:tabs>
          <w:tab w:val="left" w:pos="3420"/>
          <w:tab w:val="right" w:pos="8640"/>
        </w:tabs>
      </w:pPr>
      <w:r w:rsidRPr="00426C49">
        <w:t xml:space="preserve">                                     </w:t>
      </w:r>
    </w:p>
    <w:p w:rsidR="00D0196A" w:rsidRPr="00C16770" w:rsidRDefault="00D0196A" w:rsidP="00D0196A">
      <w:pPr>
        <w:pStyle w:val="xl19"/>
        <w:tabs>
          <w:tab w:val="left" w:pos="3420"/>
          <w:tab w:val="right" w:pos="8640"/>
        </w:tabs>
        <w:ind w:left="3420" w:hanging="3420"/>
      </w:pPr>
      <w:r w:rsidRPr="00C16770">
        <w:rPr>
          <w:bCs/>
        </w:rPr>
        <w:t>Budget Decision Unit(s):</w:t>
      </w:r>
      <w:r w:rsidRPr="00C16770">
        <w:t xml:space="preserve"> </w:t>
      </w:r>
      <w:r w:rsidRPr="00C16770">
        <w:tab/>
      </w:r>
      <w:r>
        <w:t>Bureau-wide</w:t>
      </w:r>
    </w:p>
    <w:p w:rsidR="00D0196A" w:rsidRPr="00C16770" w:rsidRDefault="00D0196A" w:rsidP="00D0196A">
      <w:pPr>
        <w:pStyle w:val="xl19"/>
        <w:tabs>
          <w:tab w:val="left" w:pos="3420"/>
          <w:tab w:val="right" w:pos="8640"/>
        </w:tabs>
      </w:pPr>
      <w:r w:rsidRPr="00C16770">
        <w:tab/>
        <w:t xml:space="preserve">                                                     </w:t>
      </w:r>
    </w:p>
    <w:p w:rsidR="00D0196A" w:rsidRDefault="00D0196A" w:rsidP="00D0196A">
      <w:pPr>
        <w:pStyle w:val="xl19"/>
        <w:tabs>
          <w:tab w:val="left" w:pos="3420"/>
          <w:tab w:val="right" w:pos="8640"/>
        </w:tabs>
        <w:ind w:left="3420" w:hanging="3420"/>
      </w:pPr>
      <w:r w:rsidRPr="00C16770">
        <w:rPr>
          <w:bCs/>
        </w:rPr>
        <w:t>Strategic Goal(s) &amp; Objective(s):</w:t>
      </w:r>
      <w:r w:rsidRPr="00C16770">
        <w:t xml:space="preserve"> </w:t>
      </w:r>
      <w:r w:rsidRPr="00C16770">
        <w:tab/>
      </w:r>
      <w:r>
        <w:t xml:space="preserve">Strategic Goal 1: Prevent Terrorism and Promote the Nation’s Security, Objectives 1.1 and 1.2; </w:t>
      </w:r>
      <w:r>
        <w:tab/>
      </w:r>
    </w:p>
    <w:p w:rsidR="00D0196A" w:rsidRDefault="00D0196A" w:rsidP="00D0196A">
      <w:pPr>
        <w:pStyle w:val="xl19"/>
        <w:tabs>
          <w:tab w:val="left" w:pos="3420"/>
          <w:tab w:val="right" w:pos="8640"/>
        </w:tabs>
        <w:ind w:left="3420" w:hanging="3420"/>
      </w:pPr>
    </w:p>
    <w:p w:rsidR="00D0196A" w:rsidRDefault="00D0196A" w:rsidP="00D0196A">
      <w:pPr>
        <w:pStyle w:val="xl19"/>
        <w:tabs>
          <w:tab w:val="left" w:pos="3420"/>
          <w:tab w:val="right" w:pos="8640"/>
        </w:tabs>
        <w:ind w:left="3420"/>
      </w:pPr>
      <w:r>
        <w:t>Strategic Goal 2: Prevent Crime, Enforce Federal Laws, and Represent the Rights and Interests of the American People, Objectives 2.1, 2.2</w:t>
      </w:r>
    </w:p>
    <w:p w:rsidR="00D0196A" w:rsidRDefault="00D0196A" w:rsidP="00D0196A">
      <w:pPr>
        <w:pStyle w:val="xl19"/>
        <w:tabs>
          <w:tab w:val="left" w:pos="3420"/>
          <w:tab w:val="right" w:pos="8640"/>
        </w:tabs>
        <w:ind w:left="3420" w:hanging="3420"/>
      </w:pPr>
    </w:p>
    <w:p w:rsidR="00D0196A" w:rsidRPr="00C16770" w:rsidRDefault="00D0196A" w:rsidP="00D0196A">
      <w:pPr>
        <w:pStyle w:val="xl19"/>
        <w:tabs>
          <w:tab w:val="left" w:pos="3420"/>
          <w:tab w:val="right" w:pos="8640"/>
        </w:tabs>
      </w:pPr>
      <w:r w:rsidRPr="00C16770">
        <w:rPr>
          <w:bCs/>
        </w:rPr>
        <w:t>Organizational Program</w:t>
      </w:r>
      <w:r w:rsidRPr="00C16770">
        <w:t>:</w:t>
      </w:r>
      <w:r w:rsidRPr="00C16770">
        <w:tab/>
      </w:r>
      <w:r>
        <w:t>Bureau-wide</w:t>
      </w:r>
    </w:p>
    <w:p w:rsidR="00D0196A" w:rsidRPr="00C16770" w:rsidRDefault="00D0196A" w:rsidP="00D0196A">
      <w:pPr>
        <w:pStyle w:val="xl19"/>
        <w:tabs>
          <w:tab w:val="left" w:pos="3420"/>
          <w:tab w:val="right" w:pos="8640"/>
        </w:tabs>
      </w:pPr>
      <w:r w:rsidRPr="00C16770">
        <w:tab/>
      </w:r>
    </w:p>
    <w:p w:rsidR="00D0196A" w:rsidRPr="00C16770" w:rsidRDefault="00D0196A" w:rsidP="00D0196A">
      <w:pPr>
        <w:pStyle w:val="xl19"/>
        <w:tabs>
          <w:tab w:val="left" w:pos="3420"/>
          <w:tab w:val="right" w:pos="8640"/>
        </w:tabs>
      </w:pPr>
      <w:r w:rsidRPr="00C16770">
        <w:t>Component Ranking of Item:</w:t>
      </w:r>
      <w:r w:rsidRPr="00C16770">
        <w:tab/>
        <w:t xml:space="preserve">Item </w:t>
      </w:r>
      <w:r>
        <w:t>5</w:t>
      </w:r>
      <w:r w:rsidRPr="00C16770">
        <w:t xml:space="preserve"> of </w:t>
      </w:r>
      <w:r>
        <w:t>8</w:t>
      </w:r>
    </w:p>
    <w:p w:rsidR="00D0196A" w:rsidRPr="00C16770" w:rsidRDefault="00D0196A" w:rsidP="00D0196A">
      <w:pPr>
        <w:pStyle w:val="xl19"/>
        <w:tabs>
          <w:tab w:val="left" w:pos="3420"/>
          <w:tab w:val="right" w:pos="8640"/>
        </w:tabs>
        <w:rPr>
          <w:u w:val="single"/>
        </w:rPr>
      </w:pPr>
    </w:p>
    <w:p w:rsidR="00D0196A" w:rsidRPr="00CA4EC0" w:rsidRDefault="00D0196A" w:rsidP="00D0196A">
      <w:pPr>
        <w:pStyle w:val="xl19"/>
        <w:tabs>
          <w:tab w:val="left" w:pos="2340"/>
          <w:tab w:val="right" w:pos="3060"/>
          <w:tab w:val="left" w:pos="3420"/>
          <w:tab w:val="right" w:pos="4500"/>
          <w:tab w:val="left" w:pos="5310"/>
          <w:tab w:val="right" w:pos="6300"/>
        </w:tabs>
      </w:pPr>
      <w:r w:rsidRPr="00C16770">
        <w:rPr>
          <w:bCs/>
        </w:rPr>
        <w:t xml:space="preserve">Program </w:t>
      </w:r>
      <w:r w:rsidR="00A86176">
        <w:rPr>
          <w:bCs/>
        </w:rPr>
        <w:t>Offset</w:t>
      </w:r>
      <w:r w:rsidRPr="00C16770">
        <w:t>:</w:t>
      </w:r>
      <w:r w:rsidRPr="00426C49">
        <w:rPr>
          <w:b/>
        </w:rPr>
        <w:t xml:space="preserve"> </w:t>
      </w:r>
      <w:r w:rsidRPr="00426C49">
        <w:t xml:space="preserve"> </w:t>
      </w:r>
      <w:r w:rsidR="00FA39E8">
        <w:tab/>
      </w:r>
      <w:r w:rsidR="00FA39E8">
        <w:tab/>
      </w:r>
      <w:r w:rsidR="00FA39E8">
        <w:tab/>
      </w:r>
      <w:r w:rsidRPr="00426C49">
        <w:t xml:space="preserve">Positions: </w:t>
      </w:r>
      <w:r w:rsidRPr="00426C49">
        <w:rPr>
          <w:u w:val="single"/>
        </w:rPr>
        <w:t xml:space="preserve"> </w:t>
      </w:r>
      <w:proofErr w:type="gramStart"/>
      <w:r>
        <w:rPr>
          <w:u w:val="single"/>
        </w:rPr>
        <w:t>0</w:t>
      </w:r>
      <w:r w:rsidRPr="00426C49">
        <w:t xml:space="preserve">   Agent</w:t>
      </w:r>
      <w:proofErr w:type="gramEnd"/>
      <w:r w:rsidRPr="00426C49">
        <w:t xml:space="preserve">: </w:t>
      </w:r>
      <w:r w:rsidRPr="00426C49">
        <w:rPr>
          <w:u w:val="single"/>
        </w:rPr>
        <w:t xml:space="preserve"> </w:t>
      </w:r>
      <w:r>
        <w:rPr>
          <w:u w:val="single"/>
        </w:rPr>
        <w:t>0</w:t>
      </w:r>
      <w:r w:rsidRPr="00426C49">
        <w:rPr>
          <w:u w:val="single"/>
        </w:rPr>
        <w:t xml:space="preserve"> </w:t>
      </w:r>
      <w:r w:rsidRPr="00426C49">
        <w:t xml:space="preserve">  FTE: </w:t>
      </w:r>
      <w:r w:rsidRPr="00426C49">
        <w:rPr>
          <w:u w:val="single"/>
        </w:rPr>
        <w:t xml:space="preserve"> </w:t>
      </w:r>
      <w:r>
        <w:rPr>
          <w:u w:val="single"/>
        </w:rPr>
        <w:t>0</w:t>
      </w:r>
      <w:r w:rsidRPr="00426C49">
        <w:t xml:space="preserve">  </w:t>
      </w:r>
      <w:r>
        <w:t xml:space="preserve"> </w:t>
      </w:r>
      <w:r w:rsidRPr="00426C49">
        <w:t xml:space="preserve">Dollars </w:t>
      </w:r>
      <w:r>
        <w:t>(</w:t>
      </w:r>
      <w:r w:rsidR="008D537B" w:rsidRPr="008D537B">
        <w:rPr>
          <w:u w:val="single"/>
        </w:rPr>
        <w:t>$</w:t>
      </w:r>
      <w:r>
        <w:rPr>
          <w:u w:val="single"/>
        </w:rPr>
        <w:t>1,000,000)</w:t>
      </w:r>
    </w:p>
    <w:p w:rsidR="00D0196A" w:rsidRPr="00426C49" w:rsidRDefault="00D0196A" w:rsidP="00D0196A">
      <w:pPr>
        <w:pStyle w:val="xl19"/>
        <w:tabs>
          <w:tab w:val="left" w:pos="2340"/>
          <w:tab w:val="right" w:pos="3060"/>
          <w:tab w:val="left" w:pos="3420"/>
          <w:tab w:val="right" w:pos="4500"/>
          <w:tab w:val="left" w:pos="5310"/>
          <w:tab w:val="right" w:pos="6300"/>
        </w:tabs>
      </w:pPr>
      <w:r w:rsidRPr="00426C49">
        <w:rPr>
          <w:bCs/>
        </w:rPr>
        <w:t xml:space="preserve">                          </w:t>
      </w:r>
    </w:p>
    <w:p w:rsidR="00D0196A" w:rsidRPr="003307E1" w:rsidRDefault="00D0196A" w:rsidP="00D0196A">
      <w:pPr>
        <w:pStyle w:val="Header"/>
        <w:outlineLvl w:val="0"/>
        <w:rPr>
          <w:bCs/>
          <w:u w:val="single"/>
        </w:rPr>
      </w:pPr>
      <w:r w:rsidRPr="003307E1">
        <w:rPr>
          <w:bCs/>
          <w:u w:val="single"/>
        </w:rPr>
        <w:t>Description of Item</w:t>
      </w:r>
    </w:p>
    <w:p w:rsidR="00D0196A" w:rsidRDefault="00D0196A" w:rsidP="00D0196A">
      <w:pPr>
        <w:rPr>
          <w:bCs/>
          <w:u w:val="single"/>
        </w:rPr>
      </w:pPr>
    </w:p>
    <w:p w:rsidR="00D0196A" w:rsidRPr="000328F5" w:rsidRDefault="00D0196A" w:rsidP="00D0196A">
      <w:pPr>
        <w:rPr>
          <w:bCs/>
        </w:rPr>
      </w:pPr>
      <w:proofErr w:type="gramStart"/>
      <w:r w:rsidRPr="00961129">
        <w:rPr>
          <w:bCs/>
          <w:color w:val="000000" w:themeColor="text1"/>
        </w:rPr>
        <w:t>Reduces ATF appropriation for this Decision Unit</w:t>
      </w:r>
      <w:r>
        <w:rPr>
          <w:bCs/>
        </w:rPr>
        <w:t>.</w:t>
      </w:r>
      <w:proofErr w:type="gramEnd"/>
    </w:p>
    <w:p w:rsidR="00D0196A" w:rsidRDefault="00D0196A" w:rsidP="00D0196A">
      <w:pPr>
        <w:jc w:val="center"/>
        <w:rPr>
          <w:b/>
        </w:rPr>
      </w:pPr>
    </w:p>
    <w:p w:rsidR="00D0196A" w:rsidRDefault="00D0196A" w:rsidP="00D0196A">
      <w:pPr>
        <w:pStyle w:val="Header"/>
        <w:outlineLvl w:val="0"/>
        <w:rPr>
          <w:bCs/>
          <w:u w:val="single"/>
        </w:rPr>
      </w:pPr>
      <w:r w:rsidRPr="004E1020">
        <w:rPr>
          <w:bCs/>
          <w:u w:val="single"/>
        </w:rPr>
        <w:t>Justification</w:t>
      </w:r>
    </w:p>
    <w:p w:rsidR="00D0196A" w:rsidRDefault="00D0196A" w:rsidP="00D0196A">
      <w:pPr>
        <w:pStyle w:val="Header"/>
        <w:outlineLvl w:val="0"/>
        <w:rPr>
          <w:bCs/>
          <w:u w:val="single"/>
        </w:rPr>
      </w:pPr>
    </w:p>
    <w:p w:rsidR="00D0196A" w:rsidRPr="0043642D" w:rsidRDefault="000A7AC6" w:rsidP="00D0196A">
      <w:pPr>
        <w:pStyle w:val="Header"/>
        <w:outlineLvl w:val="0"/>
        <w:rPr>
          <w:bCs/>
          <w:color w:val="000000" w:themeColor="text1"/>
        </w:rPr>
      </w:pPr>
      <w:r>
        <w:rPr>
          <w:bCs/>
          <w:color w:val="000000" w:themeColor="text1"/>
        </w:rPr>
        <w:t>ATF will reduce the resources provided by the Bureau’s support organizations to meet the $1</w:t>
      </w:r>
      <w:r w:rsidR="007357BD">
        <w:rPr>
          <w:bCs/>
          <w:color w:val="000000" w:themeColor="text1"/>
        </w:rPr>
        <w:t xml:space="preserve"> </w:t>
      </w:r>
      <w:r w:rsidR="00FA39E8">
        <w:rPr>
          <w:bCs/>
          <w:color w:val="000000" w:themeColor="text1"/>
        </w:rPr>
        <w:t>million</w:t>
      </w:r>
      <w:r>
        <w:rPr>
          <w:bCs/>
          <w:color w:val="000000" w:themeColor="text1"/>
        </w:rPr>
        <w:t xml:space="preserve"> target.</w:t>
      </w:r>
    </w:p>
    <w:p w:rsidR="00D0196A" w:rsidRDefault="00D0196A" w:rsidP="00D0196A">
      <w:pPr>
        <w:pStyle w:val="Header"/>
        <w:outlineLvl w:val="0"/>
      </w:pPr>
    </w:p>
    <w:p w:rsidR="00D0196A" w:rsidRDefault="00D0196A" w:rsidP="00D0196A">
      <w:pPr>
        <w:pStyle w:val="Header"/>
        <w:outlineLvl w:val="0"/>
        <w:rPr>
          <w:bCs/>
          <w:u w:val="single"/>
        </w:rPr>
      </w:pPr>
      <w:r w:rsidRPr="004E1020">
        <w:rPr>
          <w:bCs/>
          <w:u w:val="single"/>
        </w:rPr>
        <w:t>Impact on Performance (Relationship of Increase to Strategic Goals)</w:t>
      </w:r>
    </w:p>
    <w:p w:rsidR="00D0196A" w:rsidRDefault="00D0196A" w:rsidP="00D0196A">
      <w:pPr>
        <w:pStyle w:val="Header"/>
        <w:outlineLvl w:val="0"/>
        <w:rPr>
          <w:bCs/>
          <w:u w:val="single"/>
        </w:rPr>
      </w:pPr>
    </w:p>
    <w:p w:rsidR="00D0196A" w:rsidRDefault="000A7AC6" w:rsidP="00D0196A">
      <w:r>
        <w:rPr>
          <w:bCs/>
          <w:color w:val="000000" w:themeColor="text1"/>
        </w:rPr>
        <w:t xml:space="preserve">ATF will </w:t>
      </w:r>
      <w:r w:rsidR="00FA459E">
        <w:rPr>
          <w:bCs/>
          <w:color w:val="000000" w:themeColor="text1"/>
        </w:rPr>
        <w:t xml:space="preserve">streamline and prioritize </w:t>
      </w:r>
      <w:r>
        <w:rPr>
          <w:bCs/>
          <w:color w:val="000000" w:themeColor="text1"/>
        </w:rPr>
        <w:t xml:space="preserve">its criminal alcohol and tobacco diversion investigations </w:t>
      </w:r>
      <w:r w:rsidR="00FA459E">
        <w:rPr>
          <w:bCs/>
          <w:color w:val="000000" w:themeColor="text1"/>
        </w:rPr>
        <w:t xml:space="preserve">to achieve savings of </w:t>
      </w:r>
      <w:r>
        <w:rPr>
          <w:bCs/>
          <w:color w:val="000000" w:themeColor="text1"/>
        </w:rPr>
        <w:t>approximately 5%.</w:t>
      </w:r>
    </w:p>
    <w:p w:rsidR="00D0196A" w:rsidRPr="00961129" w:rsidRDefault="00D0196A" w:rsidP="00D0196A">
      <w:pPr>
        <w:pStyle w:val="Header"/>
        <w:outlineLvl w:val="0"/>
        <w:rPr>
          <w:bCs/>
          <w:color w:val="000000" w:themeColor="text1"/>
          <w:u w:val="single"/>
        </w:rPr>
      </w:pPr>
    </w:p>
    <w:p w:rsidR="00D0196A" w:rsidRPr="004E1020" w:rsidRDefault="00D0196A" w:rsidP="00D0196A">
      <w:pPr>
        <w:pStyle w:val="Header"/>
        <w:outlineLvl w:val="0"/>
        <w:rPr>
          <w:bCs/>
          <w:u w:val="single"/>
        </w:rPr>
      </w:pPr>
    </w:p>
    <w:p w:rsidR="00D0196A" w:rsidRPr="004E1020" w:rsidRDefault="00D0196A" w:rsidP="00D0196A">
      <w:pPr>
        <w:pStyle w:val="Header"/>
        <w:outlineLvl w:val="0"/>
        <w:rPr>
          <w:bCs/>
        </w:rPr>
      </w:pPr>
    </w:p>
    <w:p w:rsidR="00D0196A" w:rsidRPr="00F172BE" w:rsidRDefault="00D0196A" w:rsidP="00D0196A">
      <w:pPr>
        <w:jc w:val="center"/>
        <w:rPr>
          <w:b/>
        </w:rPr>
      </w:pPr>
      <w:r w:rsidRPr="006B1E04">
        <w:br w:type="page"/>
      </w:r>
      <w:r w:rsidRPr="00F172BE">
        <w:rPr>
          <w:b/>
        </w:rPr>
        <w:lastRenderedPageBreak/>
        <w:t>Funding</w:t>
      </w:r>
    </w:p>
    <w:p w:rsidR="00D0196A" w:rsidRDefault="00D0196A" w:rsidP="00D0196A"/>
    <w:p w:rsidR="00D0196A" w:rsidRPr="00426C49" w:rsidRDefault="00D0196A" w:rsidP="00D0196A">
      <w:pPr>
        <w:pStyle w:val="Header"/>
        <w:tabs>
          <w:tab w:val="left" w:pos="1440"/>
          <w:tab w:val="left" w:pos="1980"/>
          <w:tab w:val="right" w:pos="9360"/>
        </w:tabs>
        <w:outlineLvl w:val="0"/>
        <w:rPr>
          <w:u w:val="single"/>
        </w:rPr>
      </w:pPr>
      <w:r w:rsidRPr="00426C49">
        <w:rPr>
          <w:u w:val="single"/>
        </w:rPr>
        <w:t>Base Funding</w:t>
      </w:r>
    </w:p>
    <w:p w:rsidR="00D0196A" w:rsidRDefault="00D0196A" w:rsidP="00D0196A">
      <w:pPr>
        <w:pStyle w:val="Header"/>
        <w:tabs>
          <w:tab w:val="left" w:pos="1440"/>
          <w:tab w:val="left" w:pos="1980"/>
          <w:tab w:val="right" w:pos="9360"/>
        </w:tabs>
        <w:rPr>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763"/>
        <w:gridCol w:w="1395"/>
        <w:gridCol w:w="603"/>
        <w:gridCol w:w="607"/>
        <w:gridCol w:w="672"/>
        <w:gridCol w:w="1358"/>
        <w:gridCol w:w="590"/>
        <w:gridCol w:w="607"/>
        <w:gridCol w:w="672"/>
        <w:gridCol w:w="1000"/>
      </w:tblGrid>
      <w:tr w:rsidR="00D0196A" w:rsidRPr="00CC5993" w:rsidTr="00DD5E20">
        <w:tc>
          <w:tcPr>
            <w:tcW w:w="3359" w:type="dxa"/>
            <w:gridSpan w:val="4"/>
            <w:shd w:val="clear" w:color="auto" w:fill="E6E6E6"/>
          </w:tcPr>
          <w:p w:rsidR="00D0196A" w:rsidRPr="001E1CC3" w:rsidRDefault="00D0196A" w:rsidP="00DD5E20">
            <w:pPr>
              <w:pStyle w:val="Heading7"/>
              <w:rPr>
                <w:b w:val="0"/>
                <w:szCs w:val="24"/>
              </w:rPr>
            </w:pPr>
            <w:r w:rsidRPr="001E1CC3">
              <w:rPr>
                <w:b w:val="0"/>
                <w:szCs w:val="24"/>
              </w:rPr>
              <w:t>FY 20</w:t>
            </w:r>
            <w:r>
              <w:rPr>
                <w:b w:val="0"/>
                <w:szCs w:val="24"/>
              </w:rPr>
              <w:t>10</w:t>
            </w:r>
            <w:r w:rsidRPr="001E1CC3">
              <w:rPr>
                <w:b w:val="0"/>
                <w:szCs w:val="24"/>
              </w:rPr>
              <w:t xml:space="preserve"> Enacted </w:t>
            </w:r>
          </w:p>
        </w:tc>
        <w:tc>
          <w:tcPr>
            <w:tcW w:w="3240" w:type="dxa"/>
            <w:gridSpan w:val="4"/>
            <w:shd w:val="clear" w:color="auto" w:fill="E6E6E6"/>
          </w:tcPr>
          <w:p w:rsidR="00D0196A" w:rsidRPr="001E1CC3" w:rsidRDefault="00D0196A" w:rsidP="00DD5E20">
            <w:pPr>
              <w:pStyle w:val="Heading7"/>
              <w:rPr>
                <w:b w:val="0"/>
                <w:szCs w:val="24"/>
              </w:rPr>
            </w:pPr>
            <w:r w:rsidRPr="001E1CC3">
              <w:rPr>
                <w:b w:val="0"/>
                <w:szCs w:val="24"/>
              </w:rPr>
              <w:t>FY 201</w:t>
            </w:r>
            <w:r>
              <w:rPr>
                <w:b w:val="0"/>
                <w:szCs w:val="24"/>
              </w:rPr>
              <w:t>1</w:t>
            </w:r>
            <w:r w:rsidRPr="001E1CC3">
              <w:rPr>
                <w:b w:val="0"/>
                <w:szCs w:val="24"/>
              </w:rPr>
              <w:t xml:space="preserve"> </w:t>
            </w:r>
            <w:r>
              <w:rPr>
                <w:b w:val="0"/>
                <w:szCs w:val="24"/>
              </w:rPr>
              <w:t>Enacted</w:t>
            </w:r>
          </w:p>
        </w:tc>
        <w:tc>
          <w:tcPr>
            <w:tcW w:w="2869" w:type="dxa"/>
            <w:gridSpan w:val="4"/>
            <w:shd w:val="clear" w:color="auto" w:fill="E6E6E6"/>
          </w:tcPr>
          <w:p w:rsidR="00D0196A" w:rsidRPr="001E1CC3" w:rsidRDefault="00D0196A" w:rsidP="00DD5E20">
            <w:pPr>
              <w:pStyle w:val="Heading7"/>
              <w:rPr>
                <w:b w:val="0"/>
                <w:szCs w:val="24"/>
              </w:rPr>
            </w:pPr>
            <w:r w:rsidRPr="001E1CC3">
              <w:rPr>
                <w:b w:val="0"/>
                <w:szCs w:val="24"/>
              </w:rPr>
              <w:t>FY 201</w:t>
            </w:r>
            <w:r>
              <w:rPr>
                <w:b w:val="0"/>
                <w:szCs w:val="24"/>
              </w:rPr>
              <w:t>2</w:t>
            </w:r>
            <w:r w:rsidRPr="001E1CC3">
              <w:rPr>
                <w:b w:val="0"/>
                <w:szCs w:val="24"/>
              </w:rPr>
              <w:t xml:space="preserve"> Current Services</w:t>
            </w:r>
          </w:p>
        </w:tc>
      </w:tr>
      <w:tr w:rsidR="00D0196A" w:rsidRPr="00CC5993" w:rsidTr="00DD5E20">
        <w:trPr>
          <w:trHeight w:val="170"/>
        </w:trPr>
        <w:tc>
          <w:tcPr>
            <w:tcW w:w="594" w:type="dxa"/>
          </w:tcPr>
          <w:p w:rsidR="00D0196A" w:rsidRPr="00CC5993" w:rsidRDefault="00D0196A" w:rsidP="00DD5E20">
            <w:pPr>
              <w:pStyle w:val="xl24"/>
              <w:spacing w:before="0" w:after="0"/>
              <w:jc w:val="center"/>
            </w:pPr>
            <w:r w:rsidRPr="00CC5993">
              <w:t>Pos</w:t>
            </w:r>
          </w:p>
        </w:tc>
        <w:tc>
          <w:tcPr>
            <w:tcW w:w="607" w:type="dxa"/>
          </w:tcPr>
          <w:p w:rsidR="00D0196A" w:rsidRPr="00CC5993" w:rsidRDefault="00D0196A" w:rsidP="00DD5E20">
            <w:pPr>
              <w:pStyle w:val="xl24"/>
              <w:spacing w:before="0" w:after="0"/>
              <w:jc w:val="center"/>
            </w:pPr>
            <w:proofErr w:type="spellStart"/>
            <w:r w:rsidRPr="00CC5993">
              <w:t>Agt</w:t>
            </w:r>
            <w:proofErr w:type="spellEnd"/>
          </w:p>
        </w:tc>
        <w:tc>
          <w:tcPr>
            <w:tcW w:w="763" w:type="dxa"/>
          </w:tcPr>
          <w:p w:rsidR="00D0196A" w:rsidRPr="00CC5993" w:rsidRDefault="00D0196A" w:rsidP="00DD5E20">
            <w:pPr>
              <w:pStyle w:val="xl24"/>
              <w:spacing w:before="0" w:after="0"/>
              <w:jc w:val="center"/>
            </w:pPr>
            <w:r w:rsidRPr="00CC5993">
              <w:t>FTE</w:t>
            </w:r>
          </w:p>
        </w:tc>
        <w:tc>
          <w:tcPr>
            <w:tcW w:w="1395" w:type="dxa"/>
          </w:tcPr>
          <w:p w:rsidR="00D0196A" w:rsidRPr="00CC5993" w:rsidRDefault="00D0196A" w:rsidP="00DD5E20">
            <w:pPr>
              <w:pStyle w:val="xl24"/>
              <w:spacing w:before="0" w:after="0"/>
              <w:jc w:val="center"/>
            </w:pPr>
            <w:r w:rsidRPr="00CC5993">
              <w:t>$(000)</w:t>
            </w:r>
          </w:p>
        </w:tc>
        <w:tc>
          <w:tcPr>
            <w:tcW w:w="603" w:type="dxa"/>
          </w:tcPr>
          <w:p w:rsidR="00D0196A" w:rsidRPr="00CC5993" w:rsidRDefault="00D0196A" w:rsidP="00DD5E20">
            <w:pPr>
              <w:pStyle w:val="xl24"/>
              <w:spacing w:before="0" w:after="0"/>
              <w:jc w:val="center"/>
            </w:pPr>
            <w:r w:rsidRPr="00CC5993">
              <w:t>Pos</w:t>
            </w:r>
          </w:p>
        </w:tc>
        <w:tc>
          <w:tcPr>
            <w:tcW w:w="607" w:type="dxa"/>
          </w:tcPr>
          <w:p w:rsidR="00D0196A" w:rsidRPr="00CC5993" w:rsidRDefault="00D0196A" w:rsidP="00DD5E20">
            <w:pPr>
              <w:pStyle w:val="xl24"/>
              <w:spacing w:before="0" w:after="0"/>
              <w:jc w:val="center"/>
            </w:pPr>
            <w:proofErr w:type="spellStart"/>
            <w:r w:rsidRPr="00CC5993">
              <w:t>Agt</w:t>
            </w:r>
            <w:proofErr w:type="spellEnd"/>
          </w:p>
        </w:tc>
        <w:tc>
          <w:tcPr>
            <w:tcW w:w="672" w:type="dxa"/>
          </w:tcPr>
          <w:p w:rsidR="00D0196A" w:rsidRPr="00CC5993" w:rsidRDefault="00D0196A" w:rsidP="00DD5E20">
            <w:pPr>
              <w:pStyle w:val="xl24"/>
              <w:spacing w:before="0" w:after="0"/>
              <w:jc w:val="center"/>
            </w:pPr>
            <w:r w:rsidRPr="00CC5993">
              <w:t>FTE</w:t>
            </w:r>
          </w:p>
        </w:tc>
        <w:tc>
          <w:tcPr>
            <w:tcW w:w="1358" w:type="dxa"/>
          </w:tcPr>
          <w:p w:rsidR="00D0196A" w:rsidRPr="00CC5993" w:rsidRDefault="00D0196A" w:rsidP="00DD5E20">
            <w:pPr>
              <w:pStyle w:val="xl24"/>
              <w:spacing w:before="0" w:after="0"/>
              <w:jc w:val="center"/>
            </w:pPr>
            <w:r w:rsidRPr="00CC5993">
              <w:t>$(000)</w:t>
            </w:r>
          </w:p>
        </w:tc>
        <w:tc>
          <w:tcPr>
            <w:tcW w:w="590" w:type="dxa"/>
          </w:tcPr>
          <w:p w:rsidR="00D0196A" w:rsidRPr="00CC5993" w:rsidRDefault="00D0196A" w:rsidP="00DD5E20">
            <w:pPr>
              <w:pStyle w:val="xl24"/>
              <w:spacing w:before="0" w:after="0"/>
              <w:jc w:val="center"/>
            </w:pPr>
            <w:r w:rsidRPr="00CC5993">
              <w:t>Pos</w:t>
            </w:r>
          </w:p>
        </w:tc>
        <w:tc>
          <w:tcPr>
            <w:tcW w:w="607" w:type="dxa"/>
          </w:tcPr>
          <w:p w:rsidR="00D0196A" w:rsidRPr="00CC5993" w:rsidRDefault="00D0196A" w:rsidP="00DD5E20">
            <w:pPr>
              <w:pStyle w:val="xl24"/>
              <w:spacing w:before="0" w:after="0"/>
              <w:jc w:val="center"/>
            </w:pPr>
            <w:proofErr w:type="spellStart"/>
            <w:r w:rsidRPr="00CC5993">
              <w:t>Agt</w:t>
            </w:r>
            <w:proofErr w:type="spellEnd"/>
          </w:p>
        </w:tc>
        <w:tc>
          <w:tcPr>
            <w:tcW w:w="672" w:type="dxa"/>
          </w:tcPr>
          <w:p w:rsidR="00D0196A" w:rsidRPr="00CC5993" w:rsidRDefault="00D0196A" w:rsidP="00DD5E20">
            <w:pPr>
              <w:pStyle w:val="xl24"/>
              <w:spacing w:before="0" w:after="0"/>
              <w:jc w:val="center"/>
            </w:pPr>
            <w:r w:rsidRPr="00CC5993">
              <w:t>FTE</w:t>
            </w:r>
          </w:p>
        </w:tc>
        <w:tc>
          <w:tcPr>
            <w:tcW w:w="1000" w:type="dxa"/>
          </w:tcPr>
          <w:p w:rsidR="00D0196A" w:rsidRPr="00CC5993" w:rsidRDefault="00D0196A" w:rsidP="00DD5E20">
            <w:pPr>
              <w:pStyle w:val="xl24"/>
              <w:spacing w:before="0" w:after="0"/>
              <w:jc w:val="center"/>
            </w:pPr>
            <w:r w:rsidRPr="00CC5993">
              <w:t>$(000)</w:t>
            </w:r>
          </w:p>
        </w:tc>
      </w:tr>
      <w:tr w:rsidR="00D0196A" w:rsidRPr="00CC5993" w:rsidTr="00DD5E20">
        <w:tc>
          <w:tcPr>
            <w:tcW w:w="594" w:type="dxa"/>
          </w:tcPr>
          <w:p w:rsidR="00D0196A" w:rsidRPr="00CC5993" w:rsidRDefault="00D0196A" w:rsidP="00DD5E20">
            <w:pPr>
              <w:pStyle w:val="xl24"/>
              <w:spacing w:before="0" w:after="0"/>
              <w:jc w:val="right"/>
            </w:pPr>
            <w:r>
              <w:t>93</w:t>
            </w:r>
          </w:p>
        </w:tc>
        <w:tc>
          <w:tcPr>
            <w:tcW w:w="607" w:type="dxa"/>
          </w:tcPr>
          <w:p w:rsidR="00D0196A" w:rsidRPr="00CC5993" w:rsidRDefault="00D0196A" w:rsidP="00DD5E20">
            <w:pPr>
              <w:pStyle w:val="xl24"/>
              <w:spacing w:before="0" w:after="0"/>
              <w:jc w:val="right"/>
            </w:pPr>
            <w:r>
              <w:t>50</w:t>
            </w:r>
          </w:p>
        </w:tc>
        <w:tc>
          <w:tcPr>
            <w:tcW w:w="763" w:type="dxa"/>
          </w:tcPr>
          <w:p w:rsidR="00D0196A" w:rsidRPr="00CC5993" w:rsidRDefault="00D0196A" w:rsidP="00DD5E20">
            <w:pPr>
              <w:pStyle w:val="xl24"/>
              <w:spacing w:before="0" w:after="0"/>
              <w:jc w:val="right"/>
            </w:pPr>
            <w:r>
              <w:t>90</w:t>
            </w:r>
          </w:p>
        </w:tc>
        <w:tc>
          <w:tcPr>
            <w:tcW w:w="1395" w:type="dxa"/>
          </w:tcPr>
          <w:p w:rsidR="00D0196A" w:rsidRPr="00CC5993" w:rsidRDefault="00D0196A" w:rsidP="00DD5E20">
            <w:pPr>
              <w:pStyle w:val="xl24"/>
              <w:tabs>
                <w:tab w:val="left" w:pos="200"/>
                <w:tab w:val="center" w:pos="589"/>
              </w:tabs>
              <w:spacing w:before="0" w:after="0"/>
              <w:jc w:val="right"/>
            </w:pPr>
            <w:r>
              <w:t>22,295</w:t>
            </w:r>
          </w:p>
        </w:tc>
        <w:tc>
          <w:tcPr>
            <w:tcW w:w="603" w:type="dxa"/>
          </w:tcPr>
          <w:p w:rsidR="00D0196A" w:rsidRPr="00CC5993" w:rsidRDefault="00D0196A" w:rsidP="00DD5E20">
            <w:pPr>
              <w:pStyle w:val="xl24"/>
              <w:spacing w:before="0" w:after="0"/>
              <w:jc w:val="right"/>
            </w:pPr>
            <w:r>
              <w:t>93</w:t>
            </w:r>
          </w:p>
        </w:tc>
        <w:tc>
          <w:tcPr>
            <w:tcW w:w="607" w:type="dxa"/>
          </w:tcPr>
          <w:p w:rsidR="00D0196A" w:rsidRPr="00CC5993" w:rsidRDefault="00D0196A" w:rsidP="00DD5E20">
            <w:pPr>
              <w:pStyle w:val="xl24"/>
              <w:spacing w:before="0" w:after="0"/>
              <w:jc w:val="right"/>
            </w:pPr>
            <w:r>
              <w:t>50</w:t>
            </w:r>
          </w:p>
        </w:tc>
        <w:tc>
          <w:tcPr>
            <w:tcW w:w="672" w:type="dxa"/>
          </w:tcPr>
          <w:p w:rsidR="00D0196A" w:rsidRPr="00CC5993" w:rsidRDefault="00D0196A" w:rsidP="00DD5E20">
            <w:pPr>
              <w:pStyle w:val="xl24"/>
              <w:spacing w:before="0" w:after="0"/>
              <w:jc w:val="right"/>
            </w:pPr>
            <w:r>
              <w:t>90</w:t>
            </w:r>
          </w:p>
        </w:tc>
        <w:tc>
          <w:tcPr>
            <w:tcW w:w="1358" w:type="dxa"/>
          </w:tcPr>
          <w:p w:rsidR="00D0196A" w:rsidRPr="00CC5993" w:rsidRDefault="00D0196A" w:rsidP="00AD7245">
            <w:pPr>
              <w:pStyle w:val="xl24"/>
              <w:spacing w:before="0" w:after="0"/>
              <w:jc w:val="right"/>
            </w:pPr>
            <w:r>
              <w:t>22,2</w:t>
            </w:r>
            <w:r w:rsidR="00AD7245">
              <w:t>95</w:t>
            </w:r>
          </w:p>
        </w:tc>
        <w:tc>
          <w:tcPr>
            <w:tcW w:w="590" w:type="dxa"/>
          </w:tcPr>
          <w:p w:rsidR="00D0196A" w:rsidRPr="00CC5993" w:rsidRDefault="00D0196A" w:rsidP="00DD5E20">
            <w:pPr>
              <w:pStyle w:val="xl24"/>
              <w:spacing w:before="0" w:after="0"/>
              <w:jc w:val="right"/>
            </w:pPr>
            <w:r>
              <w:t>93</w:t>
            </w:r>
          </w:p>
        </w:tc>
        <w:tc>
          <w:tcPr>
            <w:tcW w:w="607" w:type="dxa"/>
          </w:tcPr>
          <w:p w:rsidR="00D0196A" w:rsidRPr="00CC5993" w:rsidRDefault="00D0196A" w:rsidP="00DD5E20">
            <w:pPr>
              <w:pStyle w:val="xl24"/>
              <w:spacing w:before="0" w:after="0"/>
              <w:jc w:val="right"/>
            </w:pPr>
            <w:r>
              <w:t>50</w:t>
            </w:r>
          </w:p>
        </w:tc>
        <w:tc>
          <w:tcPr>
            <w:tcW w:w="672" w:type="dxa"/>
          </w:tcPr>
          <w:p w:rsidR="00D0196A" w:rsidRPr="00CC5993" w:rsidRDefault="00D0196A" w:rsidP="00DD5E20">
            <w:pPr>
              <w:pStyle w:val="xl24"/>
              <w:spacing w:before="0" w:after="0"/>
              <w:jc w:val="right"/>
            </w:pPr>
            <w:r>
              <w:t>90</w:t>
            </w:r>
          </w:p>
        </w:tc>
        <w:tc>
          <w:tcPr>
            <w:tcW w:w="1000" w:type="dxa"/>
          </w:tcPr>
          <w:p w:rsidR="00D0196A" w:rsidRPr="00CC5993" w:rsidRDefault="00D0196A" w:rsidP="00AD7245">
            <w:pPr>
              <w:pStyle w:val="xl24"/>
              <w:spacing w:before="0" w:after="0"/>
              <w:jc w:val="right"/>
            </w:pPr>
            <w:r>
              <w:t>2</w:t>
            </w:r>
            <w:r w:rsidR="00AD7245">
              <w:t>4</w:t>
            </w:r>
            <w:r>
              <w:t>,2</w:t>
            </w:r>
            <w:r w:rsidR="00AD7245">
              <w:t>41</w:t>
            </w:r>
          </w:p>
        </w:tc>
      </w:tr>
    </w:tbl>
    <w:p w:rsidR="00D0196A" w:rsidRDefault="00D0196A" w:rsidP="00D0196A">
      <w:pPr>
        <w:pStyle w:val="xl24"/>
        <w:tabs>
          <w:tab w:val="left" w:pos="3240"/>
        </w:tabs>
        <w:spacing w:before="0" w:beforeAutospacing="0" w:after="0" w:afterAutospacing="0"/>
        <w:outlineLvl w:val="0"/>
        <w:rPr>
          <w:u w:val="single"/>
        </w:rPr>
      </w:pPr>
    </w:p>
    <w:p w:rsidR="00D0196A" w:rsidRPr="0048501E" w:rsidRDefault="00D0196A" w:rsidP="00D0196A">
      <w:pPr>
        <w:pStyle w:val="BodyText"/>
        <w:rPr>
          <w:u w:val="single"/>
        </w:rPr>
      </w:pPr>
      <w:r w:rsidRPr="0048501E">
        <w:rPr>
          <w:u w:val="single"/>
        </w:rPr>
        <w:t>Personnel Increase Cost Summary</w:t>
      </w:r>
    </w:p>
    <w:p w:rsidR="00D0196A" w:rsidRPr="0035143D" w:rsidRDefault="00D0196A" w:rsidP="00D0196A">
      <w:pPr>
        <w:pStyle w:val="BodyText"/>
        <w:rPr>
          <w:highlight w:val="yell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0"/>
        <w:gridCol w:w="1715"/>
        <w:gridCol w:w="1410"/>
        <w:gridCol w:w="1633"/>
        <w:gridCol w:w="1440"/>
        <w:gridCol w:w="1530"/>
      </w:tblGrid>
      <w:tr w:rsidR="007347C4" w:rsidRPr="0035143D" w:rsidTr="00EF0D2F">
        <w:tc>
          <w:tcPr>
            <w:tcW w:w="1740" w:type="dxa"/>
            <w:shd w:val="clear" w:color="auto" w:fill="E0E0E0"/>
            <w:vAlign w:val="center"/>
          </w:tcPr>
          <w:p w:rsidR="007347C4" w:rsidRPr="0035143D" w:rsidRDefault="007347C4" w:rsidP="00DD5E20">
            <w:pPr>
              <w:jc w:val="center"/>
              <w:rPr>
                <w:sz w:val="20"/>
                <w:highlight w:val="yellow"/>
              </w:rPr>
            </w:pPr>
            <w:r w:rsidRPr="00147C21">
              <w:rPr>
                <w:sz w:val="20"/>
              </w:rPr>
              <w:t>Type of Position</w:t>
            </w:r>
          </w:p>
        </w:tc>
        <w:tc>
          <w:tcPr>
            <w:tcW w:w="1715" w:type="dxa"/>
            <w:shd w:val="clear" w:color="auto" w:fill="E0E0E0"/>
            <w:vAlign w:val="center"/>
          </w:tcPr>
          <w:p w:rsidR="007347C4" w:rsidRPr="00147C21" w:rsidRDefault="007347C4" w:rsidP="00DD5E20">
            <w:pPr>
              <w:jc w:val="center"/>
              <w:rPr>
                <w:sz w:val="20"/>
              </w:rPr>
            </w:pPr>
            <w:r w:rsidRPr="00147C21">
              <w:rPr>
                <w:sz w:val="20"/>
              </w:rPr>
              <w:t>Modular Cost</w:t>
            </w:r>
          </w:p>
          <w:p w:rsidR="007347C4" w:rsidRPr="0035143D" w:rsidRDefault="007347C4" w:rsidP="00DD5E20">
            <w:pPr>
              <w:jc w:val="center"/>
              <w:rPr>
                <w:sz w:val="20"/>
                <w:highlight w:val="yellow"/>
              </w:rPr>
            </w:pPr>
            <w:r w:rsidRPr="00147C21">
              <w:rPr>
                <w:sz w:val="20"/>
              </w:rPr>
              <w:t>per Position ($000)</w:t>
            </w:r>
          </w:p>
        </w:tc>
        <w:tc>
          <w:tcPr>
            <w:tcW w:w="1410" w:type="dxa"/>
            <w:shd w:val="clear" w:color="auto" w:fill="E0E0E0"/>
            <w:vAlign w:val="center"/>
          </w:tcPr>
          <w:p w:rsidR="007347C4" w:rsidRPr="00147C21" w:rsidRDefault="007347C4" w:rsidP="00DD5E20">
            <w:pPr>
              <w:jc w:val="center"/>
              <w:rPr>
                <w:sz w:val="20"/>
              </w:rPr>
            </w:pPr>
            <w:r w:rsidRPr="00147C21">
              <w:rPr>
                <w:sz w:val="20"/>
              </w:rPr>
              <w:t>Number of</w:t>
            </w:r>
          </w:p>
          <w:p w:rsidR="007347C4" w:rsidRPr="00147C21" w:rsidRDefault="007347C4" w:rsidP="00DD5E20">
            <w:pPr>
              <w:jc w:val="center"/>
              <w:rPr>
                <w:sz w:val="20"/>
              </w:rPr>
            </w:pPr>
            <w:r w:rsidRPr="00147C21">
              <w:rPr>
                <w:sz w:val="20"/>
              </w:rPr>
              <w:t>Positions</w:t>
            </w:r>
          </w:p>
          <w:p w:rsidR="007347C4" w:rsidRPr="0035143D" w:rsidRDefault="007347C4" w:rsidP="00DD5E20">
            <w:pPr>
              <w:jc w:val="center"/>
              <w:rPr>
                <w:sz w:val="20"/>
                <w:highlight w:val="yellow"/>
              </w:rPr>
            </w:pPr>
            <w:r w:rsidRPr="00147C21">
              <w:rPr>
                <w:sz w:val="20"/>
              </w:rPr>
              <w:t>Requested</w:t>
            </w:r>
          </w:p>
        </w:tc>
        <w:tc>
          <w:tcPr>
            <w:tcW w:w="1633" w:type="dxa"/>
            <w:shd w:val="clear" w:color="auto" w:fill="E0E0E0"/>
            <w:vAlign w:val="center"/>
          </w:tcPr>
          <w:p w:rsidR="007347C4" w:rsidRPr="00147C21" w:rsidRDefault="007347C4" w:rsidP="00DD5E20">
            <w:pPr>
              <w:jc w:val="center"/>
              <w:rPr>
                <w:sz w:val="20"/>
              </w:rPr>
            </w:pPr>
            <w:r w:rsidRPr="00147C21">
              <w:rPr>
                <w:sz w:val="20"/>
              </w:rPr>
              <w:t>FY 201</w:t>
            </w:r>
            <w:r>
              <w:rPr>
                <w:sz w:val="20"/>
              </w:rPr>
              <w:t>2</w:t>
            </w:r>
          </w:p>
          <w:p w:rsidR="007347C4" w:rsidRPr="0035143D" w:rsidRDefault="007347C4" w:rsidP="00DD5E20">
            <w:pPr>
              <w:jc w:val="center"/>
              <w:rPr>
                <w:sz w:val="20"/>
                <w:highlight w:val="yellow"/>
              </w:rPr>
            </w:pPr>
            <w:r w:rsidRPr="00147C21">
              <w:rPr>
                <w:sz w:val="20"/>
              </w:rPr>
              <w:t>Request ($000)</w:t>
            </w:r>
          </w:p>
        </w:tc>
        <w:tc>
          <w:tcPr>
            <w:tcW w:w="1440" w:type="dxa"/>
            <w:tcBorders>
              <w:bottom w:val="single" w:sz="4" w:space="0" w:color="auto"/>
            </w:tcBorders>
            <w:shd w:val="clear" w:color="auto" w:fill="E0E0E0"/>
            <w:vAlign w:val="center"/>
          </w:tcPr>
          <w:p w:rsidR="007347C4" w:rsidRPr="00147C21" w:rsidRDefault="007347C4" w:rsidP="00DD5E20">
            <w:pPr>
              <w:jc w:val="center"/>
              <w:rPr>
                <w:sz w:val="20"/>
              </w:rPr>
            </w:pPr>
            <w:r w:rsidRPr="00147C21">
              <w:rPr>
                <w:sz w:val="20"/>
              </w:rPr>
              <w:t>FY 201</w:t>
            </w:r>
            <w:r>
              <w:rPr>
                <w:sz w:val="20"/>
              </w:rPr>
              <w:t>3</w:t>
            </w:r>
            <w:r w:rsidRPr="00147C21">
              <w:rPr>
                <w:sz w:val="20"/>
              </w:rPr>
              <w:t xml:space="preserve"> Net Annualization</w:t>
            </w:r>
          </w:p>
          <w:p w:rsidR="007347C4" w:rsidRPr="00147C21" w:rsidRDefault="007347C4" w:rsidP="00DD5E20">
            <w:pPr>
              <w:jc w:val="center"/>
              <w:rPr>
                <w:sz w:val="20"/>
              </w:rPr>
            </w:pPr>
            <w:r w:rsidRPr="00147C21">
              <w:rPr>
                <w:sz w:val="20"/>
              </w:rPr>
              <w:t>(change from 201</w:t>
            </w:r>
            <w:r>
              <w:rPr>
                <w:sz w:val="20"/>
              </w:rPr>
              <w:t>2</w:t>
            </w:r>
            <w:r w:rsidRPr="00147C21">
              <w:rPr>
                <w:sz w:val="20"/>
              </w:rPr>
              <w:t>) ($000)</w:t>
            </w:r>
          </w:p>
        </w:tc>
        <w:tc>
          <w:tcPr>
            <w:tcW w:w="1530" w:type="dxa"/>
            <w:tcBorders>
              <w:bottom w:val="single" w:sz="4" w:space="0" w:color="auto"/>
            </w:tcBorders>
            <w:shd w:val="clear" w:color="auto" w:fill="E0E0E0"/>
            <w:vAlign w:val="center"/>
          </w:tcPr>
          <w:p w:rsidR="007347C4" w:rsidRPr="00147C21" w:rsidRDefault="007347C4" w:rsidP="007347C4">
            <w:pPr>
              <w:jc w:val="center"/>
              <w:rPr>
                <w:sz w:val="20"/>
              </w:rPr>
            </w:pPr>
            <w:r w:rsidRPr="00147C21">
              <w:rPr>
                <w:sz w:val="20"/>
              </w:rPr>
              <w:t>FY 201</w:t>
            </w:r>
            <w:r>
              <w:rPr>
                <w:sz w:val="20"/>
              </w:rPr>
              <w:t>4</w:t>
            </w:r>
            <w:r w:rsidRPr="00147C21">
              <w:rPr>
                <w:sz w:val="20"/>
              </w:rPr>
              <w:t xml:space="preserve"> Net Annualization</w:t>
            </w:r>
          </w:p>
          <w:p w:rsidR="007347C4" w:rsidRPr="0035143D" w:rsidRDefault="007347C4" w:rsidP="007347C4">
            <w:pPr>
              <w:jc w:val="center"/>
              <w:rPr>
                <w:sz w:val="20"/>
                <w:highlight w:val="yellow"/>
              </w:rPr>
            </w:pPr>
            <w:r w:rsidRPr="00147C21">
              <w:rPr>
                <w:sz w:val="20"/>
              </w:rPr>
              <w:t>(change from 201</w:t>
            </w:r>
            <w:r>
              <w:rPr>
                <w:sz w:val="20"/>
              </w:rPr>
              <w:t>3</w:t>
            </w:r>
            <w:r w:rsidRPr="00147C21">
              <w:rPr>
                <w:sz w:val="20"/>
              </w:rPr>
              <w:t>) ($000)</w:t>
            </w:r>
            <w:r w:rsidRPr="00147C21" w:rsidDel="007347C4">
              <w:rPr>
                <w:sz w:val="20"/>
              </w:rPr>
              <w:t xml:space="preserve"> </w:t>
            </w:r>
          </w:p>
        </w:tc>
      </w:tr>
      <w:tr w:rsidR="007347C4" w:rsidRPr="0035143D" w:rsidTr="00EF0D2F">
        <w:tc>
          <w:tcPr>
            <w:tcW w:w="1740" w:type="dxa"/>
            <w:vAlign w:val="center"/>
          </w:tcPr>
          <w:p w:rsidR="007347C4" w:rsidRPr="00E16F1D" w:rsidRDefault="007347C4" w:rsidP="00DD5E20">
            <w:pPr>
              <w:rPr>
                <w:b/>
                <w:bCs/>
                <w:i/>
                <w:iCs/>
              </w:rPr>
            </w:pPr>
          </w:p>
        </w:tc>
        <w:tc>
          <w:tcPr>
            <w:tcW w:w="1715" w:type="dxa"/>
            <w:vAlign w:val="bottom"/>
          </w:tcPr>
          <w:p w:rsidR="007347C4" w:rsidRPr="00FA7857" w:rsidRDefault="007347C4" w:rsidP="00DD5E20">
            <w:pPr>
              <w:pStyle w:val="xl19"/>
              <w:jc w:val="right"/>
            </w:pPr>
          </w:p>
        </w:tc>
        <w:tc>
          <w:tcPr>
            <w:tcW w:w="1410" w:type="dxa"/>
            <w:vAlign w:val="bottom"/>
          </w:tcPr>
          <w:p w:rsidR="007347C4" w:rsidRPr="00FA7857" w:rsidRDefault="007347C4" w:rsidP="00DD5E20">
            <w:pPr>
              <w:jc w:val="right"/>
            </w:pPr>
          </w:p>
        </w:tc>
        <w:tc>
          <w:tcPr>
            <w:tcW w:w="1633" w:type="dxa"/>
            <w:vAlign w:val="bottom"/>
          </w:tcPr>
          <w:p w:rsidR="007347C4" w:rsidRPr="00FA7857" w:rsidRDefault="007347C4" w:rsidP="00DD5E20">
            <w:pPr>
              <w:jc w:val="right"/>
            </w:pPr>
          </w:p>
        </w:tc>
        <w:tc>
          <w:tcPr>
            <w:tcW w:w="1440" w:type="dxa"/>
            <w:shd w:val="clear" w:color="auto" w:fill="FFFFFF" w:themeFill="background1"/>
            <w:vAlign w:val="bottom"/>
          </w:tcPr>
          <w:p w:rsidR="007347C4" w:rsidRPr="00FA7857" w:rsidRDefault="007347C4" w:rsidP="00DD5E20">
            <w:pPr>
              <w:jc w:val="right"/>
            </w:pPr>
          </w:p>
        </w:tc>
        <w:tc>
          <w:tcPr>
            <w:tcW w:w="1530" w:type="dxa"/>
            <w:shd w:val="clear" w:color="auto" w:fill="FFFFFF" w:themeFill="background1"/>
            <w:vAlign w:val="bottom"/>
          </w:tcPr>
          <w:p w:rsidR="007347C4" w:rsidRPr="00FA7857" w:rsidRDefault="007347C4" w:rsidP="00DD5E20">
            <w:pPr>
              <w:jc w:val="right"/>
            </w:pPr>
          </w:p>
        </w:tc>
      </w:tr>
      <w:tr w:rsidR="007347C4" w:rsidRPr="0035143D" w:rsidTr="00EF0D2F">
        <w:tc>
          <w:tcPr>
            <w:tcW w:w="1740" w:type="dxa"/>
            <w:shd w:val="clear" w:color="auto" w:fill="EAEAEA"/>
            <w:vAlign w:val="center"/>
          </w:tcPr>
          <w:p w:rsidR="007347C4" w:rsidRPr="00305BA6" w:rsidRDefault="007347C4" w:rsidP="00DD5E20">
            <w:pPr>
              <w:jc w:val="right"/>
            </w:pPr>
          </w:p>
        </w:tc>
        <w:tc>
          <w:tcPr>
            <w:tcW w:w="1715" w:type="dxa"/>
            <w:shd w:val="clear" w:color="auto" w:fill="EAEAEA"/>
            <w:vAlign w:val="bottom"/>
          </w:tcPr>
          <w:p w:rsidR="007347C4" w:rsidRPr="00305BA6" w:rsidRDefault="007347C4" w:rsidP="00DD5E20">
            <w:pPr>
              <w:pStyle w:val="xl19"/>
              <w:jc w:val="right"/>
            </w:pPr>
          </w:p>
        </w:tc>
        <w:tc>
          <w:tcPr>
            <w:tcW w:w="1410" w:type="dxa"/>
            <w:shd w:val="clear" w:color="auto" w:fill="EAEAEA"/>
            <w:vAlign w:val="bottom"/>
          </w:tcPr>
          <w:p w:rsidR="007347C4" w:rsidRPr="00305BA6" w:rsidRDefault="007347C4" w:rsidP="00DD5E20">
            <w:pPr>
              <w:jc w:val="right"/>
            </w:pPr>
          </w:p>
        </w:tc>
        <w:tc>
          <w:tcPr>
            <w:tcW w:w="1633" w:type="dxa"/>
            <w:shd w:val="clear" w:color="auto" w:fill="EAEAEA"/>
            <w:vAlign w:val="bottom"/>
          </w:tcPr>
          <w:p w:rsidR="007347C4" w:rsidRPr="00305BA6" w:rsidRDefault="007347C4" w:rsidP="00DD5E20">
            <w:pPr>
              <w:jc w:val="right"/>
            </w:pPr>
          </w:p>
        </w:tc>
        <w:tc>
          <w:tcPr>
            <w:tcW w:w="1440" w:type="dxa"/>
            <w:shd w:val="clear" w:color="auto" w:fill="E0E0E0"/>
            <w:vAlign w:val="bottom"/>
          </w:tcPr>
          <w:p w:rsidR="007347C4" w:rsidRPr="00305BA6" w:rsidRDefault="007347C4" w:rsidP="00DD5E20">
            <w:pPr>
              <w:jc w:val="right"/>
            </w:pPr>
          </w:p>
        </w:tc>
        <w:tc>
          <w:tcPr>
            <w:tcW w:w="1530" w:type="dxa"/>
            <w:shd w:val="clear" w:color="auto" w:fill="E0E0E0"/>
            <w:vAlign w:val="bottom"/>
          </w:tcPr>
          <w:p w:rsidR="007347C4" w:rsidRPr="00305BA6" w:rsidRDefault="007347C4" w:rsidP="00DD5E20">
            <w:pPr>
              <w:jc w:val="right"/>
            </w:pPr>
          </w:p>
        </w:tc>
      </w:tr>
      <w:tr w:rsidR="007347C4" w:rsidRPr="0035143D" w:rsidTr="00EF0D2F">
        <w:tc>
          <w:tcPr>
            <w:tcW w:w="1740" w:type="dxa"/>
            <w:vAlign w:val="center"/>
          </w:tcPr>
          <w:p w:rsidR="007347C4" w:rsidRPr="00E16F1D" w:rsidRDefault="007347C4" w:rsidP="00DD5E20"/>
        </w:tc>
        <w:tc>
          <w:tcPr>
            <w:tcW w:w="1715" w:type="dxa"/>
            <w:vAlign w:val="bottom"/>
          </w:tcPr>
          <w:p w:rsidR="007347C4" w:rsidRDefault="007347C4" w:rsidP="00DD5E20">
            <w:pPr>
              <w:pStyle w:val="xl19"/>
              <w:jc w:val="right"/>
            </w:pPr>
          </w:p>
        </w:tc>
        <w:tc>
          <w:tcPr>
            <w:tcW w:w="1410" w:type="dxa"/>
            <w:vAlign w:val="bottom"/>
          </w:tcPr>
          <w:p w:rsidR="007347C4" w:rsidRDefault="007347C4" w:rsidP="00DD5E20">
            <w:pPr>
              <w:jc w:val="right"/>
              <w:rPr>
                <w:bCs/>
              </w:rPr>
            </w:pPr>
          </w:p>
        </w:tc>
        <w:tc>
          <w:tcPr>
            <w:tcW w:w="1633" w:type="dxa"/>
            <w:vAlign w:val="bottom"/>
          </w:tcPr>
          <w:p w:rsidR="007347C4" w:rsidRDefault="007347C4" w:rsidP="00DD5E20">
            <w:pPr>
              <w:jc w:val="right"/>
            </w:pPr>
          </w:p>
        </w:tc>
        <w:tc>
          <w:tcPr>
            <w:tcW w:w="1440" w:type="dxa"/>
            <w:shd w:val="clear" w:color="auto" w:fill="auto"/>
            <w:vAlign w:val="bottom"/>
          </w:tcPr>
          <w:p w:rsidR="007347C4" w:rsidRDefault="007347C4" w:rsidP="00DD5E20">
            <w:pPr>
              <w:jc w:val="right"/>
            </w:pPr>
          </w:p>
        </w:tc>
        <w:tc>
          <w:tcPr>
            <w:tcW w:w="1530" w:type="dxa"/>
            <w:shd w:val="clear" w:color="auto" w:fill="auto"/>
            <w:vAlign w:val="bottom"/>
          </w:tcPr>
          <w:p w:rsidR="007347C4" w:rsidRDefault="007347C4" w:rsidP="00DD5E20">
            <w:pPr>
              <w:jc w:val="right"/>
            </w:pPr>
          </w:p>
        </w:tc>
      </w:tr>
      <w:tr w:rsidR="007347C4" w:rsidRPr="0035143D" w:rsidTr="00EF0D2F">
        <w:tc>
          <w:tcPr>
            <w:tcW w:w="1740" w:type="dxa"/>
            <w:shd w:val="clear" w:color="auto" w:fill="E0E0E0"/>
            <w:vAlign w:val="center"/>
          </w:tcPr>
          <w:p w:rsidR="007347C4" w:rsidRPr="00AE5137" w:rsidRDefault="007347C4" w:rsidP="00DD5E20">
            <w:pPr>
              <w:jc w:val="right"/>
              <w:rPr>
                <w:b/>
              </w:rPr>
            </w:pPr>
            <w:r w:rsidRPr="00AE5137">
              <w:rPr>
                <w:b/>
                <w:sz w:val="22"/>
                <w:szCs w:val="22"/>
              </w:rPr>
              <w:t>Total Personnel</w:t>
            </w:r>
          </w:p>
        </w:tc>
        <w:tc>
          <w:tcPr>
            <w:tcW w:w="1715" w:type="dxa"/>
            <w:shd w:val="clear" w:color="auto" w:fill="E0E0E0"/>
            <w:vAlign w:val="bottom"/>
          </w:tcPr>
          <w:p w:rsidR="007347C4" w:rsidRPr="00AE5137" w:rsidRDefault="007347C4" w:rsidP="00DD5E20">
            <w:pPr>
              <w:pStyle w:val="xl19"/>
              <w:jc w:val="right"/>
              <w:rPr>
                <w:b/>
              </w:rPr>
            </w:pPr>
          </w:p>
        </w:tc>
        <w:tc>
          <w:tcPr>
            <w:tcW w:w="1410" w:type="dxa"/>
            <w:shd w:val="clear" w:color="auto" w:fill="E0E0E0"/>
            <w:vAlign w:val="bottom"/>
          </w:tcPr>
          <w:p w:rsidR="007347C4" w:rsidRPr="00AE5137" w:rsidRDefault="007347C4" w:rsidP="00DD5E20">
            <w:pPr>
              <w:jc w:val="right"/>
              <w:rPr>
                <w:b/>
              </w:rPr>
            </w:pPr>
          </w:p>
        </w:tc>
        <w:tc>
          <w:tcPr>
            <w:tcW w:w="1633" w:type="dxa"/>
            <w:shd w:val="clear" w:color="auto" w:fill="E0E0E0"/>
            <w:vAlign w:val="bottom"/>
          </w:tcPr>
          <w:p w:rsidR="007347C4" w:rsidRPr="00AE5137" w:rsidRDefault="007347C4" w:rsidP="00DD5E20">
            <w:pPr>
              <w:jc w:val="right"/>
              <w:rPr>
                <w:b/>
              </w:rPr>
            </w:pPr>
          </w:p>
        </w:tc>
        <w:tc>
          <w:tcPr>
            <w:tcW w:w="1440" w:type="dxa"/>
            <w:shd w:val="clear" w:color="auto" w:fill="E0E0E0"/>
            <w:vAlign w:val="bottom"/>
          </w:tcPr>
          <w:p w:rsidR="007347C4" w:rsidRPr="00AE5137" w:rsidRDefault="007347C4" w:rsidP="00DD5E20">
            <w:pPr>
              <w:jc w:val="right"/>
              <w:rPr>
                <w:b/>
              </w:rPr>
            </w:pPr>
          </w:p>
        </w:tc>
        <w:tc>
          <w:tcPr>
            <w:tcW w:w="1530" w:type="dxa"/>
            <w:shd w:val="clear" w:color="auto" w:fill="E0E0E0"/>
            <w:vAlign w:val="bottom"/>
          </w:tcPr>
          <w:p w:rsidR="007347C4" w:rsidRPr="00AE5137" w:rsidRDefault="007347C4" w:rsidP="00DD5E20">
            <w:pPr>
              <w:jc w:val="right"/>
              <w:rPr>
                <w:b/>
              </w:rPr>
            </w:pPr>
          </w:p>
        </w:tc>
      </w:tr>
    </w:tbl>
    <w:p w:rsidR="00D0196A" w:rsidRPr="0035143D" w:rsidRDefault="00D0196A" w:rsidP="00D0196A">
      <w:pPr>
        <w:rPr>
          <w:highlight w:val="yellow"/>
        </w:rPr>
      </w:pPr>
    </w:p>
    <w:p w:rsidR="00D0196A" w:rsidRPr="00F65EDB" w:rsidRDefault="00D0196A" w:rsidP="00D0196A">
      <w:pPr>
        <w:outlineLvl w:val="0"/>
        <w:rPr>
          <w:u w:val="single"/>
        </w:rPr>
      </w:pPr>
      <w:r w:rsidRPr="00F65EDB">
        <w:rPr>
          <w:u w:val="single"/>
        </w:rPr>
        <w:t xml:space="preserve">Non-Personnel Increase Cost Summary </w:t>
      </w:r>
    </w:p>
    <w:p w:rsidR="00D0196A" w:rsidRPr="00F65EDB" w:rsidRDefault="00D0196A" w:rsidP="00D0196A"/>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1080"/>
        <w:gridCol w:w="1006"/>
        <w:gridCol w:w="1244"/>
        <w:gridCol w:w="1890"/>
        <w:gridCol w:w="1890"/>
      </w:tblGrid>
      <w:tr w:rsidR="007347C4" w:rsidRPr="00F65EDB" w:rsidTr="007347C4">
        <w:tc>
          <w:tcPr>
            <w:tcW w:w="2340" w:type="dxa"/>
            <w:shd w:val="clear" w:color="auto" w:fill="E6E6E6"/>
            <w:vAlign w:val="center"/>
          </w:tcPr>
          <w:p w:rsidR="007347C4" w:rsidRPr="007347C4" w:rsidRDefault="007347C4" w:rsidP="00DD5E20">
            <w:pPr>
              <w:jc w:val="center"/>
              <w:rPr>
                <w:sz w:val="20"/>
                <w:szCs w:val="20"/>
              </w:rPr>
            </w:pPr>
            <w:r w:rsidRPr="007347C4">
              <w:rPr>
                <w:sz w:val="20"/>
                <w:szCs w:val="20"/>
              </w:rPr>
              <w:t>Non-Personnel Item</w:t>
            </w:r>
          </w:p>
        </w:tc>
        <w:tc>
          <w:tcPr>
            <w:tcW w:w="1080" w:type="dxa"/>
            <w:vAlign w:val="center"/>
          </w:tcPr>
          <w:p w:rsidR="007347C4" w:rsidRPr="007347C4" w:rsidRDefault="007347C4" w:rsidP="00DD5E20">
            <w:pPr>
              <w:jc w:val="center"/>
              <w:rPr>
                <w:sz w:val="20"/>
                <w:szCs w:val="20"/>
              </w:rPr>
            </w:pPr>
            <w:r w:rsidRPr="007347C4">
              <w:rPr>
                <w:sz w:val="20"/>
                <w:szCs w:val="20"/>
              </w:rPr>
              <w:t>Unit Cost</w:t>
            </w:r>
            <w:r>
              <w:rPr>
                <w:sz w:val="20"/>
                <w:szCs w:val="20"/>
              </w:rPr>
              <w:t xml:space="preserve"> </w:t>
            </w:r>
            <w:r w:rsidRPr="007347C4">
              <w:rPr>
                <w:sz w:val="20"/>
                <w:szCs w:val="20"/>
              </w:rPr>
              <w:t>($000)</w:t>
            </w:r>
          </w:p>
        </w:tc>
        <w:tc>
          <w:tcPr>
            <w:tcW w:w="1006" w:type="dxa"/>
            <w:vAlign w:val="center"/>
          </w:tcPr>
          <w:p w:rsidR="007347C4" w:rsidRPr="007347C4" w:rsidRDefault="007347C4" w:rsidP="00DD5E20">
            <w:pPr>
              <w:jc w:val="center"/>
              <w:rPr>
                <w:sz w:val="20"/>
                <w:szCs w:val="20"/>
              </w:rPr>
            </w:pPr>
            <w:r w:rsidRPr="007347C4">
              <w:rPr>
                <w:sz w:val="20"/>
                <w:szCs w:val="20"/>
              </w:rPr>
              <w:t>Quantity</w:t>
            </w:r>
          </w:p>
        </w:tc>
        <w:tc>
          <w:tcPr>
            <w:tcW w:w="1244" w:type="dxa"/>
            <w:vAlign w:val="center"/>
          </w:tcPr>
          <w:p w:rsidR="007347C4" w:rsidRPr="007347C4" w:rsidRDefault="007347C4" w:rsidP="00DD5E20">
            <w:pPr>
              <w:jc w:val="center"/>
              <w:rPr>
                <w:sz w:val="20"/>
                <w:szCs w:val="20"/>
              </w:rPr>
            </w:pPr>
            <w:r w:rsidRPr="007347C4">
              <w:rPr>
                <w:sz w:val="20"/>
                <w:szCs w:val="20"/>
              </w:rPr>
              <w:t>FY 2012 Request</w:t>
            </w:r>
            <w:r>
              <w:rPr>
                <w:sz w:val="20"/>
                <w:szCs w:val="20"/>
              </w:rPr>
              <w:t xml:space="preserve"> </w:t>
            </w:r>
            <w:r w:rsidRPr="007347C4">
              <w:rPr>
                <w:sz w:val="20"/>
                <w:szCs w:val="20"/>
              </w:rPr>
              <w:t>($000)</w:t>
            </w:r>
          </w:p>
        </w:tc>
        <w:tc>
          <w:tcPr>
            <w:tcW w:w="1890" w:type="dxa"/>
            <w:vAlign w:val="center"/>
          </w:tcPr>
          <w:p w:rsidR="007347C4" w:rsidRPr="007347C4" w:rsidRDefault="007347C4" w:rsidP="00DD5E20">
            <w:pPr>
              <w:jc w:val="center"/>
              <w:rPr>
                <w:sz w:val="20"/>
                <w:szCs w:val="20"/>
              </w:rPr>
            </w:pPr>
            <w:r w:rsidRPr="007347C4">
              <w:rPr>
                <w:sz w:val="20"/>
                <w:szCs w:val="20"/>
              </w:rPr>
              <w:t>FY 2013 Net</w:t>
            </w:r>
          </w:p>
          <w:p w:rsidR="007347C4" w:rsidRPr="007347C4" w:rsidRDefault="007347C4" w:rsidP="007347C4">
            <w:pPr>
              <w:jc w:val="center"/>
              <w:rPr>
                <w:sz w:val="20"/>
                <w:szCs w:val="20"/>
              </w:rPr>
            </w:pPr>
            <w:r w:rsidRPr="007347C4">
              <w:rPr>
                <w:sz w:val="20"/>
                <w:szCs w:val="20"/>
              </w:rPr>
              <w:t>Annualization</w:t>
            </w:r>
            <w:r>
              <w:rPr>
                <w:sz w:val="20"/>
                <w:szCs w:val="20"/>
              </w:rPr>
              <w:t xml:space="preserve"> </w:t>
            </w:r>
            <w:r w:rsidRPr="007347C4">
              <w:rPr>
                <w:sz w:val="20"/>
                <w:szCs w:val="20"/>
              </w:rPr>
              <w:t>(Change from 201</w:t>
            </w:r>
            <w:r>
              <w:rPr>
                <w:sz w:val="20"/>
                <w:szCs w:val="20"/>
              </w:rPr>
              <w:t>2</w:t>
            </w:r>
            <w:r w:rsidRPr="007347C4">
              <w:rPr>
                <w:sz w:val="20"/>
                <w:szCs w:val="20"/>
              </w:rPr>
              <w:t>)</w:t>
            </w:r>
            <w:r>
              <w:rPr>
                <w:sz w:val="20"/>
                <w:szCs w:val="20"/>
              </w:rPr>
              <w:t xml:space="preserve"> </w:t>
            </w:r>
            <w:r w:rsidRPr="007347C4">
              <w:rPr>
                <w:sz w:val="20"/>
                <w:szCs w:val="20"/>
              </w:rPr>
              <w:t>($000)</w:t>
            </w:r>
          </w:p>
        </w:tc>
        <w:tc>
          <w:tcPr>
            <w:tcW w:w="1890" w:type="dxa"/>
            <w:vAlign w:val="center"/>
          </w:tcPr>
          <w:p w:rsidR="007347C4" w:rsidRPr="007347C4" w:rsidRDefault="007347C4" w:rsidP="007347C4">
            <w:pPr>
              <w:jc w:val="center"/>
              <w:rPr>
                <w:sz w:val="20"/>
                <w:szCs w:val="20"/>
              </w:rPr>
            </w:pPr>
            <w:r w:rsidRPr="007347C4">
              <w:rPr>
                <w:sz w:val="20"/>
                <w:szCs w:val="20"/>
              </w:rPr>
              <w:t>FY 201</w:t>
            </w:r>
            <w:r>
              <w:rPr>
                <w:sz w:val="20"/>
                <w:szCs w:val="20"/>
              </w:rPr>
              <w:t>4</w:t>
            </w:r>
            <w:r w:rsidRPr="007347C4">
              <w:rPr>
                <w:sz w:val="20"/>
                <w:szCs w:val="20"/>
              </w:rPr>
              <w:t xml:space="preserve"> Net</w:t>
            </w:r>
          </w:p>
          <w:p w:rsidR="007347C4" w:rsidRPr="007347C4" w:rsidRDefault="007347C4" w:rsidP="00DD5E20">
            <w:pPr>
              <w:jc w:val="center"/>
              <w:rPr>
                <w:sz w:val="20"/>
                <w:szCs w:val="20"/>
              </w:rPr>
            </w:pPr>
            <w:r w:rsidRPr="007347C4">
              <w:rPr>
                <w:sz w:val="20"/>
                <w:szCs w:val="20"/>
              </w:rPr>
              <w:t>Annualization</w:t>
            </w:r>
            <w:r>
              <w:rPr>
                <w:sz w:val="20"/>
                <w:szCs w:val="20"/>
              </w:rPr>
              <w:t xml:space="preserve"> </w:t>
            </w:r>
            <w:r w:rsidRPr="007347C4">
              <w:rPr>
                <w:sz w:val="20"/>
                <w:szCs w:val="20"/>
              </w:rPr>
              <w:t>(Change from 2013)</w:t>
            </w:r>
            <w:r>
              <w:rPr>
                <w:sz w:val="20"/>
                <w:szCs w:val="20"/>
              </w:rPr>
              <w:t xml:space="preserve"> </w:t>
            </w:r>
            <w:r w:rsidRPr="007347C4">
              <w:rPr>
                <w:sz w:val="20"/>
                <w:szCs w:val="20"/>
              </w:rPr>
              <w:t>($000)</w:t>
            </w:r>
            <w:r w:rsidRPr="007347C4" w:rsidDel="007347C4">
              <w:rPr>
                <w:sz w:val="20"/>
                <w:szCs w:val="20"/>
              </w:rPr>
              <w:t xml:space="preserve"> </w:t>
            </w:r>
          </w:p>
        </w:tc>
      </w:tr>
      <w:tr w:rsidR="007347C4" w:rsidRPr="00927AC8" w:rsidTr="007347C4">
        <w:trPr>
          <w:trHeight w:val="305"/>
        </w:trPr>
        <w:tc>
          <w:tcPr>
            <w:tcW w:w="2340" w:type="dxa"/>
            <w:vAlign w:val="center"/>
          </w:tcPr>
          <w:p w:rsidR="007347C4" w:rsidRPr="007347C4" w:rsidRDefault="00FA39E8" w:rsidP="00DD5E20">
            <w:pPr>
              <w:autoSpaceDE w:val="0"/>
              <w:autoSpaceDN w:val="0"/>
              <w:adjustRightInd w:val="0"/>
              <w:rPr>
                <w:sz w:val="20"/>
                <w:szCs w:val="20"/>
              </w:rPr>
            </w:pPr>
            <w:r>
              <w:rPr>
                <w:sz w:val="20"/>
                <w:szCs w:val="20"/>
              </w:rPr>
              <w:t>Contracts and Services</w:t>
            </w:r>
          </w:p>
        </w:tc>
        <w:tc>
          <w:tcPr>
            <w:tcW w:w="1080" w:type="dxa"/>
            <w:vAlign w:val="bottom"/>
          </w:tcPr>
          <w:p w:rsidR="007347C4" w:rsidRPr="007347C4" w:rsidRDefault="007347C4" w:rsidP="00DD5E20">
            <w:pPr>
              <w:pStyle w:val="xl19"/>
              <w:jc w:val="right"/>
              <w:rPr>
                <w:sz w:val="20"/>
                <w:szCs w:val="20"/>
              </w:rPr>
            </w:pPr>
          </w:p>
        </w:tc>
        <w:tc>
          <w:tcPr>
            <w:tcW w:w="1006" w:type="dxa"/>
            <w:vAlign w:val="bottom"/>
          </w:tcPr>
          <w:p w:rsidR="007347C4" w:rsidRPr="007347C4" w:rsidRDefault="007347C4" w:rsidP="00DD5E20">
            <w:pPr>
              <w:jc w:val="right"/>
              <w:rPr>
                <w:sz w:val="20"/>
                <w:szCs w:val="20"/>
              </w:rPr>
            </w:pPr>
          </w:p>
        </w:tc>
        <w:tc>
          <w:tcPr>
            <w:tcW w:w="1244" w:type="dxa"/>
            <w:vAlign w:val="bottom"/>
          </w:tcPr>
          <w:p w:rsidR="007347C4" w:rsidRPr="007347C4" w:rsidRDefault="00AD7245" w:rsidP="00DD5E20">
            <w:pPr>
              <w:jc w:val="right"/>
              <w:rPr>
                <w:sz w:val="20"/>
                <w:szCs w:val="20"/>
              </w:rPr>
            </w:pPr>
            <w:r>
              <w:rPr>
                <w:sz w:val="20"/>
                <w:szCs w:val="20"/>
              </w:rPr>
              <w:t>(</w:t>
            </w:r>
            <w:r w:rsidR="007347C4" w:rsidRPr="007347C4">
              <w:rPr>
                <w:sz w:val="20"/>
                <w:szCs w:val="20"/>
              </w:rPr>
              <w:t>1,000</w:t>
            </w:r>
            <w:r>
              <w:rPr>
                <w:sz w:val="20"/>
                <w:szCs w:val="20"/>
              </w:rPr>
              <w:t>)</w:t>
            </w:r>
          </w:p>
        </w:tc>
        <w:tc>
          <w:tcPr>
            <w:tcW w:w="1890" w:type="dxa"/>
            <w:vAlign w:val="bottom"/>
          </w:tcPr>
          <w:p w:rsidR="007347C4" w:rsidRPr="007347C4" w:rsidRDefault="007347C4" w:rsidP="00DD5E20">
            <w:pPr>
              <w:jc w:val="right"/>
              <w:rPr>
                <w:sz w:val="20"/>
                <w:szCs w:val="20"/>
              </w:rPr>
            </w:pPr>
            <w:r w:rsidRPr="007347C4">
              <w:rPr>
                <w:sz w:val="20"/>
                <w:szCs w:val="20"/>
              </w:rPr>
              <w:t>0</w:t>
            </w:r>
          </w:p>
        </w:tc>
        <w:tc>
          <w:tcPr>
            <w:tcW w:w="1890" w:type="dxa"/>
            <w:vAlign w:val="bottom"/>
          </w:tcPr>
          <w:p w:rsidR="007347C4" w:rsidRPr="007347C4" w:rsidRDefault="00AD7245" w:rsidP="00DD5E20">
            <w:pPr>
              <w:jc w:val="right"/>
              <w:rPr>
                <w:sz w:val="20"/>
                <w:szCs w:val="20"/>
              </w:rPr>
            </w:pPr>
            <w:r>
              <w:rPr>
                <w:sz w:val="20"/>
                <w:szCs w:val="20"/>
              </w:rPr>
              <w:t>0</w:t>
            </w:r>
          </w:p>
        </w:tc>
      </w:tr>
      <w:tr w:rsidR="007347C4" w:rsidRPr="00F65EDB" w:rsidTr="007347C4">
        <w:trPr>
          <w:trHeight w:val="350"/>
        </w:trPr>
        <w:tc>
          <w:tcPr>
            <w:tcW w:w="2340" w:type="dxa"/>
            <w:shd w:val="pct10" w:color="auto" w:fill="auto"/>
            <w:vAlign w:val="center"/>
          </w:tcPr>
          <w:p w:rsidR="007347C4" w:rsidRPr="007347C4" w:rsidRDefault="007347C4" w:rsidP="00DD5E20">
            <w:pPr>
              <w:rPr>
                <w:b/>
                <w:sz w:val="20"/>
                <w:szCs w:val="20"/>
              </w:rPr>
            </w:pPr>
            <w:r w:rsidRPr="007347C4">
              <w:rPr>
                <w:b/>
                <w:sz w:val="20"/>
                <w:szCs w:val="20"/>
              </w:rPr>
              <w:t>Total Non-Personnel</w:t>
            </w:r>
          </w:p>
        </w:tc>
        <w:tc>
          <w:tcPr>
            <w:tcW w:w="1080" w:type="dxa"/>
            <w:shd w:val="pct10" w:color="auto" w:fill="auto"/>
            <w:vAlign w:val="bottom"/>
          </w:tcPr>
          <w:p w:rsidR="007347C4" w:rsidRPr="007347C4" w:rsidRDefault="007347C4" w:rsidP="00DD5E20">
            <w:pPr>
              <w:pStyle w:val="xl19"/>
              <w:jc w:val="right"/>
              <w:rPr>
                <w:b/>
                <w:sz w:val="20"/>
                <w:szCs w:val="20"/>
              </w:rPr>
            </w:pPr>
          </w:p>
        </w:tc>
        <w:tc>
          <w:tcPr>
            <w:tcW w:w="1006" w:type="dxa"/>
            <w:shd w:val="pct10" w:color="auto" w:fill="auto"/>
            <w:vAlign w:val="bottom"/>
          </w:tcPr>
          <w:p w:rsidR="007347C4" w:rsidRPr="007347C4" w:rsidRDefault="007347C4" w:rsidP="00DD5E20">
            <w:pPr>
              <w:jc w:val="right"/>
              <w:rPr>
                <w:b/>
                <w:sz w:val="20"/>
                <w:szCs w:val="20"/>
              </w:rPr>
            </w:pPr>
          </w:p>
        </w:tc>
        <w:tc>
          <w:tcPr>
            <w:tcW w:w="1244" w:type="dxa"/>
            <w:shd w:val="pct10" w:color="auto" w:fill="auto"/>
            <w:vAlign w:val="bottom"/>
          </w:tcPr>
          <w:p w:rsidR="007347C4" w:rsidRPr="007347C4" w:rsidRDefault="00AD7245" w:rsidP="00DD5E20">
            <w:pPr>
              <w:jc w:val="right"/>
              <w:rPr>
                <w:b/>
                <w:sz w:val="20"/>
                <w:szCs w:val="20"/>
              </w:rPr>
            </w:pPr>
            <w:r>
              <w:rPr>
                <w:b/>
                <w:sz w:val="20"/>
                <w:szCs w:val="20"/>
              </w:rPr>
              <w:t>(</w:t>
            </w:r>
            <w:r w:rsidR="007347C4" w:rsidRPr="007347C4">
              <w:rPr>
                <w:b/>
                <w:sz w:val="20"/>
                <w:szCs w:val="20"/>
              </w:rPr>
              <w:t>1,000</w:t>
            </w:r>
            <w:r>
              <w:rPr>
                <w:b/>
                <w:sz w:val="20"/>
                <w:szCs w:val="20"/>
              </w:rPr>
              <w:t>)</w:t>
            </w:r>
          </w:p>
        </w:tc>
        <w:tc>
          <w:tcPr>
            <w:tcW w:w="1890" w:type="dxa"/>
            <w:shd w:val="pct10" w:color="auto" w:fill="auto"/>
            <w:vAlign w:val="bottom"/>
          </w:tcPr>
          <w:p w:rsidR="007347C4" w:rsidRPr="007347C4" w:rsidRDefault="007347C4" w:rsidP="00DD5E20">
            <w:pPr>
              <w:jc w:val="right"/>
              <w:rPr>
                <w:b/>
                <w:sz w:val="20"/>
                <w:szCs w:val="20"/>
              </w:rPr>
            </w:pPr>
            <w:r w:rsidRPr="007347C4">
              <w:rPr>
                <w:b/>
                <w:sz w:val="20"/>
                <w:szCs w:val="20"/>
              </w:rPr>
              <w:t>0</w:t>
            </w:r>
          </w:p>
        </w:tc>
        <w:tc>
          <w:tcPr>
            <w:tcW w:w="1890" w:type="dxa"/>
            <w:shd w:val="pct10" w:color="auto" w:fill="auto"/>
            <w:vAlign w:val="bottom"/>
          </w:tcPr>
          <w:p w:rsidR="007347C4" w:rsidRPr="007347C4" w:rsidRDefault="00AD7245" w:rsidP="00DD5E20">
            <w:pPr>
              <w:jc w:val="right"/>
              <w:rPr>
                <w:b/>
                <w:sz w:val="20"/>
                <w:szCs w:val="20"/>
              </w:rPr>
            </w:pPr>
            <w:r>
              <w:rPr>
                <w:b/>
                <w:sz w:val="20"/>
                <w:szCs w:val="20"/>
              </w:rPr>
              <w:t>0</w:t>
            </w:r>
          </w:p>
        </w:tc>
      </w:tr>
    </w:tbl>
    <w:p w:rsidR="00D0196A" w:rsidRDefault="00D0196A" w:rsidP="00D0196A">
      <w:pPr>
        <w:pStyle w:val="xl24"/>
        <w:tabs>
          <w:tab w:val="left" w:pos="3240"/>
        </w:tabs>
        <w:spacing w:before="0" w:beforeAutospacing="0" w:after="0" w:afterAutospacing="0"/>
        <w:outlineLvl w:val="0"/>
        <w:rPr>
          <w:u w:val="single"/>
        </w:rPr>
      </w:pPr>
    </w:p>
    <w:p w:rsidR="00D0196A" w:rsidRPr="00902EB4" w:rsidRDefault="00D0196A" w:rsidP="00D0196A">
      <w:pPr>
        <w:pStyle w:val="xl24"/>
        <w:tabs>
          <w:tab w:val="left" w:pos="3240"/>
        </w:tabs>
        <w:spacing w:before="0" w:beforeAutospacing="0" w:after="0" w:afterAutospacing="0"/>
        <w:outlineLvl w:val="0"/>
        <w:rPr>
          <w:u w:val="single"/>
        </w:rPr>
      </w:pPr>
      <w:r w:rsidRPr="00902EB4">
        <w:rPr>
          <w:u w:val="single"/>
        </w:rPr>
        <w:t>Total Request for this Item</w:t>
      </w:r>
    </w:p>
    <w:p w:rsidR="00D0196A" w:rsidRPr="00880707" w:rsidRDefault="00D0196A" w:rsidP="00D0196A">
      <w:pPr>
        <w:pStyle w:val="xl24"/>
        <w:spacing w:before="0" w:beforeAutospacing="0" w:after="0" w:afterAutospacing="0"/>
        <w:rPr>
          <w:b/>
          <w:highlight w:val="yellow"/>
          <w:u w:val="singl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5"/>
        <w:gridCol w:w="631"/>
        <w:gridCol w:w="609"/>
        <w:gridCol w:w="675"/>
        <w:gridCol w:w="1057"/>
        <w:gridCol w:w="1142"/>
        <w:gridCol w:w="939"/>
        <w:gridCol w:w="1710"/>
        <w:gridCol w:w="1638"/>
      </w:tblGrid>
      <w:tr w:rsidR="00AD7245" w:rsidRPr="00CC5993" w:rsidTr="007347C4">
        <w:trPr>
          <w:trHeight w:val="332"/>
        </w:trPr>
        <w:tc>
          <w:tcPr>
            <w:tcW w:w="1175" w:type="dxa"/>
            <w:shd w:val="clear" w:color="auto" w:fill="E6E6E6"/>
          </w:tcPr>
          <w:p w:rsidR="007347C4" w:rsidRPr="007347C4" w:rsidRDefault="007347C4" w:rsidP="00DD5E20">
            <w:pPr>
              <w:rPr>
                <w:sz w:val="20"/>
                <w:szCs w:val="20"/>
              </w:rPr>
            </w:pPr>
          </w:p>
        </w:tc>
        <w:tc>
          <w:tcPr>
            <w:tcW w:w="631" w:type="dxa"/>
            <w:vAlign w:val="center"/>
          </w:tcPr>
          <w:p w:rsidR="007347C4" w:rsidRPr="007347C4" w:rsidRDefault="007347C4" w:rsidP="00DD5E20">
            <w:pPr>
              <w:jc w:val="center"/>
              <w:rPr>
                <w:sz w:val="20"/>
                <w:szCs w:val="20"/>
              </w:rPr>
            </w:pPr>
            <w:r w:rsidRPr="007347C4">
              <w:rPr>
                <w:sz w:val="20"/>
                <w:szCs w:val="20"/>
              </w:rPr>
              <w:t>Pos</w:t>
            </w:r>
          </w:p>
        </w:tc>
        <w:tc>
          <w:tcPr>
            <w:tcW w:w="609" w:type="dxa"/>
            <w:vAlign w:val="center"/>
          </w:tcPr>
          <w:p w:rsidR="007347C4" w:rsidRPr="007347C4" w:rsidRDefault="007347C4" w:rsidP="00DD5E20">
            <w:pPr>
              <w:jc w:val="center"/>
              <w:rPr>
                <w:sz w:val="20"/>
                <w:szCs w:val="20"/>
              </w:rPr>
            </w:pPr>
            <w:proofErr w:type="spellStart"/>
            <w:r w:rsidRPr="007347C4">
              <w:rPr>
                <w:sz w:val="20"/>
                <w:szCs w:val="20"/>
              </w:rPr>
              <w:t>Agt</w:t>
            </w:r>
            <w:proofErr w:type="spellEnd"/>
          </w:p>
        </w:tc>
        <w:tc>
          <w:tcPr>
            <w:tcW w:w="675" w:type="dxa"/>
            <w:vAlign w:val="center"/>
          </w:tcPr>
          <w:p w:rsidR="007347C4" w:rsidRPr="007347C4" w:rsidRDefault="007347C4" w:rsidP="00DD5E20">
            <w:pPr>
              <w:jc w:val="center"/>
              <w:rPr>
                <w:sz w:val="20"/>
                <w:szCs w:val="20"/>
              </w:rPr>
            </w:pPr>
            <w:r w:rsidRPr="007347C4">
              <w:rPr>
                <w:sz w:val="20"/>
                <w:szCs w:val="20"/>
              </w:rPr>
              <w:t>FTE</w:t>
            </w:r>
          </w:p>
        </w:tc>
        <w:tc>
          <w:tcPr>
            <w:tcW w:w="1057" w:type="dxa"/>
            <w:vAlign w:val="center"/>
          </w:tcPr>
          <w:p w:rsidR="007347C4" w:rsidRPr="007347C4" w:rsidRDefault="007347C4" w:rsidP="00DD5E20">
            <w:pPr>
              <w:jc w:val="center"/>
              <w:rPr>
                <w:sz w:val="20"/>
                <w:szCs w:val="20"/>
              </w:rPr>
            </w:pPr>
            <w:r w:rsidRPr="007347C4">
              <w:rPr>
                <w:sz w:val="20"/>
                <w:szCs w:val="20"/>
              </w:rPr>
              <w:t>Personnel</w:t>
            </w:r>
            <w:r>
              <w:rPr>
                <w:sz w:val="20"/>
                <w:szCs w:val="20"/>
              </w:rPr>
              <w:t xml:space="preserve"> </w:t>
            </w:r>
            <w:r w:rsidRPr="007347C4">
              <w:rPr>
                <w:sz w:val="20"/>
                <w:szCs w:val="20"/>
              </w:rPr>
              <w:t>($000)</w:t>
            </w:r>
          </w:p>
        </w:tc>
        <w:tc>
          <w:tcPr>
            <w:tcW w:w="1142" w:type="dxa"/>
            <w:vAlign w:val="center"/>
          </w:tcPr>
          <w:p w:rsidR="007347C4" w:rsidRPr="007347C4" w:rsidRDefault="007347C4" w:rsidP="00DD5E20">
            <w:pPr>
              <w:jc w:val="center"/>
              <w:rPr>
                <w:sz w:val="20"/>
                <w:szCs w:val="20"/>
              </w:rPr>
            </w:pPr>
            <w:r w:rsidRPr="007347C4">
              <w:rPr>
                <w:sz w:val="20"/>
                <w:szCs w:val="20"/>
              </w:rPr>
              <w:t>Non-Personnel</w:t>
            </w:r>
            <w:r>
              <w:rPr>
                <w:sz w:val="20"/>
                <w:szCs w:val="20"/>
              </w:rPr>
              <w:t xml:space="preserve"> </w:t>
            </w:r>
            <w:r w:rsidRPr="007347C4">
              <w:rPr>
                <w:sz w:val="20"/>
                <w:szCs w:val="20"/>
              </w:rPr>
              <w:t>($000)</w:t>
            </w:r>
          </w:p>
        </w:tc>
        <w:tc>
          <w:tcPr>
            <w:tcW w:w="939" w:type="dxa"/>
            <w:vAlign w:val="center"/>
          </w:tcPr>
          <w:p w:rsidR="007347C4" w:rsidRPr="007347C4" w:rsidRDefault="007347C4" w:rsidP="00DD5E20">
            <w:pPr>
              <w:jc w:val="center"/>
              <w:rPr>
                <w:sz w:val="20"/>
                <w:szCs w:val="20"/>
              </w:rPr>
            </w:pPr>
            <w:r w:rsidRPr="007347C4">
              <w:rPr>
                <w:sz w:val="20"/>
                <w:szCs w:val="20"/>
              </w:rPr>
              <w:t>Total</w:t>
            </w:r>
            <w:r>
              <w:rPr>
                <w:sz w:val="20"/>
                <w:szCs w:val="20"/>
              </w:rPr>
              <w:t xml:space="preserve"> </w:t>
            </w:r>
            <w:r w:rsidRPr="007347C4">
              <w:rPr>
                <w:sz w:val="20"/>
                <w:szCs w:val="20"/>
              </w:rPr>
              <w:t>($000)</w:t>
            </w:r>
          </w:p>
        </w:tc>
        <w:tc>
          <w:tcPr>
            <w:tcW w:w="1710" w:type="dxa"/>
          </w:tcPr>
          <w:p w:rsidR="007347C4" w:rsidRPr="007347C4" w:rsidRDefault="007347C4" w:rsidP="007347C4">
            <w:pPr>
              <w:jc w:val="center"/>
              <w:rPr>
                <w:sz w:val="20"/>
                <w:szCs w:val="20"/>
              </w:rPr>
            </w:pPr>
            <w:r w:rsidRPr="007347C4">
              <w:rPr>
                <w:sz w:val="20"/>
                <w:szCs w:val="20"/>
              </w:rPr>
              <w:t>FY 2013 Net</w:t>
            </w:r>
          </w:p>
          <w:p w:rsidR="007347C4" w:rsidRPr="007347C4" w:rsidRDefault="007347C4" w:rsidP="007347C4">
            <w:pPr>
              <w:jc w:val="center"/>
              <w:rPr>
                <w:sz w:val="20"/>
                <w:szCs w:val="20"/>
              </w:rPr>
            </w:pPr>
            <w:r w:rsidRPr="007347C4">
              <w:rPr>
                <w:sz w:val="20"/>
                <w:szCs w:val="20"/>
              </w:rPr>
              <w:t>Annualization</w:t>
            </w:r>
            <w:r>
              <w:rPr>
                <w:sz w:val="20"/>
                <w:szCs w:val="20"/>
              </w:rPr>
              <w:t xml:space="preserve"> </w:t>
            </w:r>
            <w:r w:rsidRPr="007347C4">
              <w:rPr>
                <w:sz w:val="20"/>
                <w:szCs w:val="20"/>
              </w:rPr>
              <w:t>(Change from 201</w:t>
            </w:r>
            <w:r>
              <w:rPr>
                <w:sz w:val="20"/>
                <w:szCs w:val="20"/>
              </w:rPr>
              <w:t>2</w:t>
            </w:r>
            <w:r w:rsidRPr="007347C4">
              <w:rPr>
                <w:sz w:val="20"/>
                <w:szCs w:val="20"/>
              </w:rPr>
              <w:t>)</w:t>
            </w:r>
            <w:r>
              <w:rPr>
                <w:sz w:val="20"/>
                <w:szCs w:val="20"/>
              </w:rPr>
              <w:t xml:space="preserve"> </w:t>
            </w:r>
            <w:r w:rsidRPr="007347C4">
              <w:rPr>
                <w:sz w:val="20"/>
                <w:szCs w:val="20"/>
              </w:rPr>
              <w:t>($000)</w:t>
            </w:r>
          </w:p>
        </w:tc>
        <w:tc>
          <w:tcPr>
            <w:tcW w:w="1638" w:type="dxa"/>
          </w:tcPr>
          <w:p w:rsidR="007347C4" w:rsidRPr="007347C4" w:rsidRDefault="007347C4" w:rsidP="007347C4">
            <w:pPr>
              <w:jc w:val="center"/>
              <w:rPr>
                <w:sz w:val="20"/>
                <w:szCs w:val="20"/>
              </w:rPr>
            </w:pPr>
            <w:r w:rsidRPr="007347C4">
              <w:rPr>
                <w:sz w:val="20"/>
                <w:szCs w:val="20"/>
              </w:rPr>
              <w:t>FY 201</w:t>
            </w:r>
            <w:r>
              <w:rPr>
                <w:sz w:val="20"/>
                <w:szCs w:val="20"/>
              </w:rPr>
              <w:t>4</w:t>
            </w:r>
            <w:r w:rsidRPr="007347C4">
              <w:rPr>
                <w:sz w:val="20"/>
                <w:szCs w:val="20"/>
              </w:rPr>
              <w:t xml:space="preserve"> Net</w:t>
            </w:r>
          </w:p>
          <w:p w:rsidR="007347C4" w:rsidRPr="007347C4" w:rsidRDefault="007347C4" w:rsidP="007347C4">
            <w:pPr>
              <w:jc w:val="center"/>
              <w:rPr>
                <w:sz w:val="20"/>
                <w:szCs w:val="20"/>
              </w:rPr>
            </w:pPr>
            <w:r w:rsidRPr="007347C4">
              <w:rPr>
                <w:sz w:val="20"/>
                <w:szCs w:val="20"/>
              </w:rPr>
              <w:t>Annualization</w:t>
            </w:r>
            <w:r>
              <w:rPr>
                <w:sz w:val="20"/>
                <w:szCs w:val="20"/>
              </w:rPr>
              <w:t xml:space="preserve"> </w:t>
            </w:r>
            <w:r w:rsidRPr="007347C4">
              <w:rPr>
                <w:sz w:val="20"/>
                <w:szCs w:val="20"/>
              </w:rPr>
              <w:t>(Change from 2013)</w:t>
            </w:r>
            <w:r>
              <w:rPr>
                <w:sz w:val="20"/>
                <w:szCs w:val="20"/>
              </w:rPr>
              <w:t xml:space="preserve"> </w:t>
            </w:r>
            <w:r w:rsidRPr="007347C4">
              <w:rPr>
                <w:sz w:val="20"/>
                <w:szCs w:val="20"/>
              </w:rPr>
              <w:t>($000)</w:t>
            </w:r>
          </w:p>
        </w:tc>
      </w:tr>
      <w:tr w:rsidR="00AD7245" w:rsidRPr="00CC5993" w:rsidTr="00AD7245">
        <w:trPr>
          <w:trHeight w:val="215"/>
        </w:trPr>
        <w:tc>
          <w:tcPr>
            <w:tcW w:w="1175" w:type="dxa"/>
          </w:tcPr>
          <w:p w:rsidR="007347C4" w:rsidRPr="007347C4" w:rsidRDefault="007347C4" w:rsidP="00DD5E20">
            <w:pPr>
              <w:rPr>
                <w:sz w:val="20"/>
                <w:szCs w:val="20"/>
              </w:rPr>
            </w:pPr>
            <w:r w:rsidRPr="007347C4">
              <w:rPr>
                <w:sz w:val="20"/>
                <w:szCs w:val="20"/>
              </w:rPr>
              <w:t>Current Services</w:t>
            </w:r>
          </w:p>
        </w:tc>
        <w:tc>
          <w:tcPr>
            <w:tcW w:w="631" w:type="dxa"/>
            <w:vAlign w:val="center"/>
          </w:tcPr>
          <w:p w:rsidR="007347C4" w:rsidRPr="007347C4" w:rsidRDefault="00AD7245" w:rsidP="00AD7245">
            <w:pPr>
              <w:jc w:val="right"/>
              <w:rPr>
                <w:sz w:val="20"/>
                <w:szCs w:val="20"/>
              </w:rPr>
            </w:pPr>
            <w:r>
              <w:rPr>
                <w:sz w:val="20"/>
                <w:szCs w:val="20"/>
              </w:rPr>
              <w:t>93</w:t>
            </w:r>
          </w:p>
        </w:tc>
        <w:tc>
          <w:tcPr>
            <w:tcW w:w="609" w:type="dxa"/>
            <w:vAlign w:val="center"/>
          </w:tcPr>
          <w:p w:rsidR="007347C4" w:rsidRPr="007347C4" w:rsidRDefault="00AD7245" w:rsidP="00AD7245">
            <w:pPr>
              <w:jc w:val="right"/>
              <w:rPr>
                <w:sz w:val="20"/>
                <w:szCs w:val="20"/>
              </w:rPr>
            </w:pPr>
            <w:r>
              <w:rPr>
                <w:sz w:val="20"/>
                <w:szCs w:val="20"/>
              </w:rPr>
              <w:t>50</w:t>
            </w:r>
          </w:p>
        </w:tc>
        <w:tc>
          <w:tcPr>
            <w:tcW w:w="675" w:type="dxa"/>
            <w:vAlign w:val="center"/>
          </w:tcPr>
          <w:p w:rsidR="007347C4" w:rsidRPr="007347C4" w:rsidRDefault="00AD7245" w:rsidP="00DD5E20">
            <w:pPr>
              <w:jc w:val="right"/>
              <w:rPr>
                <w:sz w:val="20"/>
                <w:szCs w:val="20"/>
              </w:rPr>
            </w:pPr>
            <w:r>
              <w:rPr>
                <w:sz w:val="20"/>
                <w:szCs w:val="20"/>
              </w:rPr>
              <w:t>9</w:t>
            </w:r>
            <w:r w:rsidR="007347C4" w:rsidRPr="007347C4">
              <w:rPr>
                <w:sz w:val="20"/>
                <w:szCs w:val="20"/>
              </w:rPr>
              <w:t>0</w:t>
            </w:r>
          </w:p>
        </w:tc>
        <w:tc>
          <w:tcPr>
            <w:tcW w:w="1057" w:type="dxa"/>
            <w:vAlign w:val="center"/>
          </w:tcPr>
          <w:p w:rsidR="007347C4" w:rsidRPr="007347C4" w:rsidRDefault="00AD7245" w:rsidP="00AD7245">
            <w:pPr>
              <w:jc w:val="right"/>
              <w:rPr>
                <w:sz w:val="20"/>
                <w:szCs w:val="20"/>
              </w:rPr>
            </w:pPr>
            <w:r>
              <w:rPr>
                <w:sz w:val="20"/>
                <w:szCs w:val="20"/>
              </w:rPr>
              <w:t>16,200</w:t>
            </w:r>
          </w:p>
        </w:tc>
        <w:tc>
          <w:tcPr>
            <w:tcW w:w="1142" w:type="dxa"/>
            <w:vAlign w:val="center"/>
          </w:tcPr>
          <w:p w:rsidR="007347C4" w:rsidRPr="007347C4" w:rsidRDefault="00AD7245" w:rsidP="00AD7245">
            <w:pPr>
              <w:jc w:val="right"/>
              <w:rPr>
                <w:sz w:val="20"/>
                <w:szCs w:val="20"/>
              </w:rPr>
            </w:pPr>
            <w:r>
              <w:rPr>
                <w:sz w:val="20"/>
                <w:szCs w:val="20"/>
              </w:rPr>
              <w:t>8,041</w:t>
            </w:r>
          </w:p>
        </w:tc>
        <w:tc>
          <w:tcPr>
            <w:tcW w:w="939" w:type="dxa"/>
            <w:vAlign w:val="center"/>
          </w:tcPr>
          <w:p w:rsidR="007347C4" w:rsidRPr="007347C4" w:rsidRDefault="00AD7245" w:rsidP="00AD7245">
            <w:pPr>
              <w:jc w:val="right"/>
              <w:rPr>
                <w:sz w:val="20"/>
                <w:szCs w:val="20"/>
              </w:rPr>
            </w:pPr>
            <w:r>
              <w:rPr>
                <w:sz w:val="20"/>
                <w:szCs w:val="20"/>
              </w:rPr>
              <w:t>24,241</w:t>
            </w:r>
          </w:p>
        </w:tc>
        <w:tc>
          <w:tcPr>
            <w:tcW w:w="1710" w:type="dxa"/>
            <w:vAlign w:val="center"/>
          </w:tcPr>
          <w:p w:rsidR="007347C4" w:rsidRPr="007347C4" w:rsidRDefault="00AD7245" w:rsidP="00AD7245">
            <w:pPr>
              <w:jc w:val="right"/>
              <w:rPr>
                <w:sz w:val="20"/>
                <w:szCs w:val="20"/>
              </w:rPr>
            </w:pPr>
            <w:r>
              <w:rPr>
                <w:sz w:val="20"/>
                <w:szCs w:val="20"/>
              </w:rPr>
              <w:t>0</w:t>
            </w:r>
          </w:p>
        </w:tc>
        <w:tc>
          <w:tcPr>
            <w:tcW w:w="1638" w:type="dxa"/>
            <w:vAlign w:val="center"/>
          </w:tcPr>
          <w:p w:rsidR="007347C4" w:rsidRPr="007347C4" w:rsidRDefault="00AD7245" w:rsidP="00AD7245">
            <w:pPr>
              <w:jc w:val="right"/>
              <w:rPr>
                <w:sz w:val="20"/>
                <w:szCs w:val="20"/>
              </w:rPr>
            </w:pPr>
            <w:r>
              <w:rPr>
                <w:sz w:val="20"/>
                <w:szCs w:val="20"/>
              </w:rPr>
              <w:t>0</w:t>
            </w:r>
          </w:p>
        </w:tc>
      </w:tr>
      <w:tr w:rsidR="00AD7245" w:rsidRPr="00CC5993" w:rsidTr="0045061A">
        <w:trPr>
          <w:trHeight w:val="377"/>
        </w:trPr>
        <w:tc>
          <w:tcPr>
            <w:tcW w:w="1175" w:type="dxa"/>
          </w:tcPr>
          <w:p w:rsidR="007347C4" w:rsidRPr="007347C4" w:rsidRDefault="00AD7245" w:rsidP="00DD5E20">
            <w:pPr>
              <w:rPr>
                <w:sz w:val="20"/>
                <w:szCs w:val="20"/>
              </w:rPr>
            </w:pPr>
            <w:r>
              <w:rPr>
                <w:sz w:val="20"/>
                <w:szCs w:val="20"/>
              </w:rPr>
              <w:t>Decreases</w:t>
            </w:r>
          </w:p>
        </w:tc>
        <w:tc>
          <w:tcPr>
            <w:tcW w:w="631" w:type="dxa"/>
            <w:vAlign w:val="center"/>
          </w:tcPr>
          <w:p w:rsidR="007347C4" w:rsidRPr="007347C4" w:rsidRDefault="007347C4" w:rsidP="00DD5E20">
            <w:pPr>
              <w:jc w:val="right"/>
              <w:rPr>
                <w:sz w:val="20"/>
                <w:szCs w:val="20"/>
              </w:rPr>
            </w:pPr>
            <w:r w:rsidRPr="007347C4">
              <w:rPr>
                <w:sz w:val="20"/>
                <w:szCs w:val="20"/>
              </w:rPr>
              <w:t>0</w:t>
            </w:r>
          </w:p>
        </w:tc>
        <w:tc>
          <w:tcPr>
            <w:tcW w:w="609" w:type="dxa"/>
            <w:vAlign w:val="center"/>
          </w:tcPr>
          <w:p w:rsidR="007347C4" w:rsidRPr="007347C4" w:rsidRDefault="007347C4" w:rsidP="0045061A">
            <w:pPr>
              <w:jc w:val="right"/>
              <w:rPr>
                <w:sz w:val="20"/>
                <w:szCs w:val="20"/>
              </w:rPr>
            </w:pPr>
            <w:r w:rsidRPr="007347C4">
              <w:rPr>
                <w:sz w:val="20"/>
                <w:szCs w:val="20"/>
              </w:rPr>
              <w:t>0</w:t>
            </w:r>
          </w:p>
        </w:tc>
        <w:tc>
          <w:tcPr>
            <w:tcW w:w="675" w:type="dxa"/>
            <w:vAlign w:val="center"/>
          </w:tcPr>
          <w:p w:rsidR="007347C4" w:rsidRPr="007347C4" w:rsidRDefault="007347C4" w:rsidP="00DD5E20">
            <w:pPr>
              <w:jc w:val="right"/>
              <w:rPr>
                <w:sz w:val="20"/>
                <w:szCs w:val="20"/>
              </w:rPr>
            </w:pPr>
            <w:r w:rsidRPr="007347C4">
              <w:rPr>
                <w:sz w:val="20"/>
                <w:szCs w:val="20"/>
              </w:rPr>
              <w:t>0</w:t>
            </w:r>
          </w:p>
        </w:tc>
        <w:tc>
          <w:tcPr>
            <w:tcW w:w="1057" w:type="dxa"/>
            <w:vAlign w:val="center"/>
          </w:tcPr>
          <w:p w:rsidR="007347C4" w:rsidRPr="007347C4" w:rsidRDefault="00AD7245" w:rsidP="00AD7245">
            <w:pPr>
              <w:jc w:val="right"/>
              <w:rPr>
                <w:sz w:val="20"/>
                <w:szCs w:val="20"/>
              </w:rPr>
            </w:pPr>
            <w:r>
              <w:rPr>
                <w:sz w:val="20"/>
                <w:szCs w:val="20"/>
              </w:rPr>
              <w:t>0</w:t>
            </w:r>
          </w:p>
        </w:tc>
        <w:tc>
          <w:tcPr>
            <w:tcW w:w="1142" w:type="dxa"/>
            <w:vAlign w:val="center"/>
          </w:tcPr>
          <w:p w:rsidR="007347C4" w:rsidRPr="007347C4" w:rsidRDefault="007347C4" w:rsidP="00DD5E20">
            <w:pPr>
              <w:jc w:val="right"/>
              <w:rPr>
                <w:sz w:val="20"/>
                <w:szCs w:val="20"/>
              </w:rPr>
            </w:pPr>
            <w:r w:rsidRPr="007347C4">
              <w:rPr>
                <w:sz w:val="20"/>
                <w:szCs w:val="20"/>
              </w:rPr>
              <w:t>(1,000)</w:t>
            </w:r>
          </w:p>
        </w:tc>
        <w:tc>
          <w:tcPr>
            <w:tcW w:w="939" w:type="dxa"/>
            <w:vAlign w:val="center"/>
          </w:tcPr>
          <w:p w:rsidR="007347C4" w:rsidRPr="007347C4" w:rsidRDefault="007347C4" w:rsidP="00DD5E20">
            <w:pPr>
              <w:jc w:val="right"/>
              <w:rPr>
                <w:sz w:val="20"/>
                <w:szCs w:val="20"/>
              </w:rPr>
            </w:pPr>
            <w:r w:rsidRPr="007347C4">
              <w:rPr>
                <w:sz w:val="20"/>
                <w:szCs w:val="20"/>
              </w:rPr>
              <w:t>(1,000)</w:t>
            </w:r>
          </w:p>
        </w:tc>
        <w:tc>
          <w:tcPr>
            <w:tcW w:w="1710" w:type="dxa"/>
            <w:vAlign w:val="center"/>
          </w:tcPr>
          <w:p w:rsidR="007347C4" w:rsidRPr="007347C4" w:rsidRDefault="00AD7245" w:rsidP="00AD7245">
            <w:pPr>
              <w:jc w:val="right"/>
              <w:rPr>
                <w:sz w:val="20"/>
                <w:szCs w:val="20"/>
              </w:rPr>
            </w:pPr>
            <w:r>
              <w:rPr>
                <w:sz w:val="20"/>
                <w:szCs w:val="20"/>
              </w:rPr>
              <w:t>0</w:t>
            </w:r>
          </w:p>
        </w:tc>
        <w:tc>
          <w:tcPr>
            <w:tcW w:w="1638" w:type="dxa"/>
            <w:vAlign w:val="center"/>
          </w:tcPr>
          <w:p w:rsidR="007347C4" w:rsidRPr="007347C4" w:rsidRDefault="00AD7245" w:rsidP="00AD7245">
            <w:pPr>
              <w:jc w:val="right"/>
              <w:rPr>
                <w:sz w:val="20"/>
                <w:szCs w:val="20"/>
              </w:rPr>
            </w:pPr>
            <w:r>
              <w:rPr>
                <w:sz w:val="20"/>
                <w:szCs w:val="20"/>
              </w:rPr>
              <w:t>0</w:t>
            </w:r>
          </w:p>
        </w:tc>
      </w:tr>
      <w:tr w:rsidR="00AD7245" w:rsidRPr="00CC5993" w:rsidTr="00AD7245">
        <w:trPr>
          <w:trHeight w:val="260"/>
        </w:trPr>
        <w:tc>
          <w:tcPr>
            <w:tcW w:w="1175" w:type="dxa"/>
          </w:tcPr>
          <w:p w:rsidR="007347C4" w:rsidRPr="007347C4" w:rsidRDefault="007347C4" w:rsidP="00DD5E20">
            <w:pPr>
              <w:rPr>
                <w:sz w:val="20"/>
                <w:szCs w:val="20"/>
              </w:rPr>
            </w:pPr>
            <w:r w:rsidRPr="007347C4">
              <w:rPr>
                <w:sz w:val="20"/>
                <w:szCs w:val="20"/>
              </w:rPr>
              <w:t>Grand Total</w:t>
            </w:r>
          </w:p>
        </w:tc>
        <w:tc>
          <w:tcPr>
            <w:tcW w:w="631" w:type="dxa"/>
            <w:vAlign w:val="center"/>
          </w:tcPr>
          <w:p w:rsidR="007347C4" w:rsidRPr="007347C4" w:rsidRDefault="00AD7245" w:rsidP="00AD7245">
            <w:pPr>
              <w:jc w:val="right"/>
              <w:rPr>
                <w:sz w:val="20"/>
                <w:szCs w:val="20"/>
              </w:rPr>
            </w:pPr>
            <w:r>
              <w:rPr>
                <w:sz w:val="20"/>
                <w:szCs w:val="20"/>
              </w:rPr>
              <w:t>93</w:t>
            </w:r>
          </w:p>
        </w:tc>
        <w:tc>
          <w:tcPr>
            <w:tcW w:w="609" w:type="dxa"/>
            <w:vAlign w:val="center"/>
          </w:tcPr>
          <w:p w:rsidR="007347C4" w:rsidRPr="007347C4" w:rsidRDefault="00AD7245" w:rsidP="00DD5E20">
            <w:pPr>
              <w:jc w:val="right"/>
              <w:rPr>
                <w:sz w:val="20"/>
                <w:szCs w:val="20"/>
              </w:rPr>
            </w:pPr>
            <w:r>
              <w:rPr>
                <w:sz w:val="20"/>
                <w:szCs w:val="20"/>
              </w:rPr>
              <w:t>5</w:t>
            </w:r>
            <w:r w:rsidR="007347C4" w:rsidRPr="007347C4">
              <w:rPr>
                <w:sz w:val="20"/>
                <w:szCs w:val="20"/>
              </w:rPr>
              <w:t>0</w:t>
            </w:r>
          </w:p>
        </w:tc>
        <w:tc>
          <w:tcPr>
            <w:tcW w:w="675" w:type="dxa"/>
            <w:vAlign w:val="center"/>
          </w:tcPr>
          <w:p w:rsidR="007347C4" w:rsidRPr="007347C4" w:rsidRDefault="00AD7245" w:rsidP="00DD5E20">
            <w:pPr>
              <w:jc w:val="right"/>
              <w:rPr>
                <w:sz w:val="20"/>
                <w:szCs w:val="20"/>
              </w:rPr>
            </w:pPr>
            <w:r>
              <w:rPr>
                <w:sz w:val="20"/>
                <w:szCs w:val="20"/>
              </w:rPr>
              <w:t>9</w:t>
            </w:r>
            <w:r w:rsidR="007347C4" w:rsidRPr="007347C4">
              <w:rPr>
                <w:sz w:val="20"/>
                <w:szCs w:val="20"/>
              </w:rPr>
              <w:t>0</w:t>
            </w:r>
          </w:p>
        </w:tc>
        <w:tc>
          <w:tcPr>
            <w:tcW w:w="1057" w:type="dxa"/>
            <w:vAlign w:val="center"/>
          </w:tcPr>
          <w:p w:rsidR="007347C4" w:rsidRPr="007347C4" w:rsidRDefault="00AD7245" w:rsidP="00AD7245">
            <w:pPr>
              <w:jc w:val="right"/>
              <w:rPr>
                <w:sz w:val="20"/>
                <w:szCs w:val="20"/>
              </w:rPr>
            </w:pPr>
            <w:r>
              <w:rPr>
                <w:sz w:val="20"/>
                <w:szCs w:val="20"/>
              </w:rPr>
              <w:t>16,200</w:t>
            </w:r>
          </w:p>
        </w:tc>
        <w:tc>
          <w:tcPr>
            <w:tcW w:w="1142" w:type="dxa"/>
            <w:vAlign w:val="center"/>
          </w:tcPr>
          <w:p w:rsidR="007347C4" w:rsidRPr="007347C4" w:rsidRDefault="00AD7245" w:rsidP="00AD7245">
            <w:pPr>
              <w:jc w:val="right"/>
              <w:rPr>
                <w:sz w:val="20"/>
                <w:szCs w:val="20"/>
              </w:rPr>
            </w:pPr>
            <w:r>
              <w:rPr>
                <w:sz w:val="20"/>
                <w:szCs w:val="20"/>
              </w:rPr>
              <w:t>7</w:t>
            </w:r>
            <w:r w:rsidR="007347C4" w:rsidRPr="007347C4">
              <w:rPr>
                <w:sz w:val="20"/>
                <w:szCs w:val="20"/>
              </w:rPr>
              <w:t>,0</w:t>
            </w:r>
            <w:r>
              <w:rPr>
                <w:sz w:val="20"/>
                <w:szCs w:val="20"/>
              </w:rPr>
              <w:t>41</w:t>
            </w:r>
          </w:p>
        </w:tc>
        <w:tc>
          <w:tcPr>
            <w:tcW w:w="939" w:type="dxa"/>
            <w:vAlign w:val="center"/>
          </w:tcPr>
          <w:p w:rsidR="007347C4" w:rsidRPr="007347C4" w:rsidRDefault="00AD7245" w:rsidP="00DD5E20">
            <w:pPr>
              <w:jc w:val="right"/>
              <w:rPr>
                <w:sz w:val="20"/>
                <w:szCs w:val="20"/>
              </w:rPr>
            </w:pPr>
            <w:r>
              <w:rPr>
                <w:sz w:val="20"/>
                <w:szCs w:val="20"/>
              </w:rPr>
              <w:t>23,241</w:t>
            </w:r>
          </w:p>
        </w:tc>
        <w:tc>
          <w:tcPr>
            <w:tcW w:w="1710" w:type="dxa"/>
            <w:vAlign w:val="center"/>
          </w:tcPr>
          <w:p w:rsidR="007347C4" w:rsidRPr="007347C4" w:rsidRDefault="00AD7245" w:rsidP="00AD7245">
            <w:pPr>
              <w:jc w:val="right"/>
              <w:rPr>
                <w:sz w:val="20"/>
                <w:szCs w:val="20"/>
              </w:rPr>
            </w:pPr>
            <w:r>
              <w:rPr>
                <w:sz w:val="20"/>
                <w:szCs w:val="20"/>
              </w:rPr>
              <w:t>0</w:t>
            </w:r>
          </w:p>
        </w:tc>
        <w:tc>
          <w:tcPr>
            <w:tcW w:w="1638" w:type="dxa"/>
            <w:vAlign w:val="center"/>
          </w:tcPr>
          <w:p w:rsidR="007347C4" w:rsidRPr="007347C4" w:rsidRDefault="00AD7245" w:rsidP="00AD7245">
            <w:pPr>
              <w:jc w:val="right"/>
              <w:rPr>
                <w:sz w:val="20"/>
                <w:szCs w:val="20"/>
              </w:rPr>
            </w:pPr>
            <w:r>
              <w:rPr>
                <w:sz w:val="20"/>
                <w:szCs w:val="20"/>
              </w:rPr>
              <w:t>0</w:t>
            </w:r>
          </w:p>
        </w:tc>
      </w:tr>
    </w:tbl>
    <w:p w:rsidR="008B4417" w:rsidRDefault="008B4417" w:rsidP="008B4417">
      <w:pPr>
        <w:pStyle w:val="xl19"/>
        <w:tabs>
          <w:tab w:val="left" w:pos="3420"/>
          <w:tab w:val="right" w:pos="8640"/>
        </w:tabs>
        <w:outlineLvl w:val="0"/>
      </w:pPr>
    </w:p>
    <w:p w:rsidR="00792AD1" w:rsidRDefault="00792AD1">
      <w:pPr>
        <w:rPr>
          <w:rFonts w:cs="Arial"/>
          <w:b/>
        </w:rPr>
      </w:pPr>
      <w:r>
        <w:rPr>
          <w:rFonts w:cs="Arial"/>
          <w:b/>
        </w:rPr>
        <w:br w:type="page"/>
      </w:r>
    </w:p>
    <w:p w:rsidR="00792AD1" w:rsidRPr="000C1B36" w:rsidRDefault="00792AD1" w:rsidP="00792AD1">
      <w:pPr>
        <w:pStyle w:val="xl19"/>
        <w:tabs>
          <w:tab w:val="left" w:pos="3420"/>
          <w:tab w:val="right" w:pos="8640"/>
        </w:tabs>
        <w:outlineLvl w:val="0"/>
        <w:rPr>
          <w:b/>
          <w:bCs/>
        </w:rPr>
      </w:pPr>
      <w:r w:rsidRPr="00426C49">
        <w:rPr>
          <w:b/>
          <w:bCs/>
        </w:rPr>
        <w:lastRenderedPageBreak/>
        <w:t>Item Name:</w:t>
      </w:r>
      <w:r w:rsidRPr="00426C49">
        <w:rPr>
          <w:b/>
          <w:bCs/>
        </w:rPr>
        <w:tab/>
      </w:r>
      <w:r>
        <w:rPr>
          <w:b/>
          <w:bCs/>
        </w:rPr>
        <w:t>Adjustment for Technology Refresh</w:t>
      </w:r>
    </w:p>
    <w:p w:rsidR="00792AD1" w:rsidRPr="00426C49" w:rsidRDefault="00792AD1" w:rsidP="00792AD1">
      <w:pPr>
        <w:pStyle w:val="xl19"/>
        <w:tabs>
          <w:tab w:val="left" w:pos="3420"/>
          <w:tab w:val="right" w:pos="8640"/>
        </w:tabs>
      </w:pPr>
      <w:r w:rsidRPr="00426C49">
        <w:t xml:space="preserve">                                     </w:t>
      </w:r>
    </w:p>
    <w:p w:rsidR="00792AD1" w:rsidRPr="00C16770" w:rsidRDefault="00792AD1" w:rsidP="00792AD1">
      <w:pPr>
        <w:pStyle w:val="xl19"/>
        <w:tabs>
          <w:tab w:val="left" w:pos="3420"/>
          <w:tab w:val="right" w:pos="8640"/>
        </w:tabs>
        <w:ind w:left="3420" w:hanging="3420"/>
      </w:pPr>
      <w:r w:rsidRPr="00C16770">
        <w:rPr>
          <w:bCs/>
        </w:rPr>
        <w:t>Budget Decision Unit(s):</w:t>
      </w:r>
      <w:r w:rsidRPr="00C16770">
        <w:t xml:space="preserve"> </w:t>
      </w:r>
      <w:r w:rsidRPr="00C16770">
        <w:tab/>
      </w:r>
      <w:r>
        <w:t>Bureau-wide</w:t>
      </w:r>
    </w:p>
    <w:p w:rsidR="00792AD1" w:rsidRPr="00C16770" w:rsidRDefault="00792AD1" w:rsidP="00792AD1">
      <w:pPr>
        <w:pStyle w:val="xl19"/>
        <w:tabs>
          <w:tab w:val="left" w:pos="3420"/>
          <w:tab w:val="right" w:pos="8640"/>
        </w:tabs>
      </w:pPr>
      <w:r w:rsidRPr="00C16770">
        <w:tab/>
        <w:t xml:space="preserve">                                                     </w:t>
      </w:r>
    </w:p>
    <w:p w:rsidR="00792AD1" w:rsidRPr="00C16770" w:rsidRDefault="00792AD1" w:rsidP="00792AD1">
      <w:pPr>
        <w:pStyle w:val="xl19"/>
        <w:tabs>
          <w:tab w:val="left" w:pos="3420"/>
          <w:tab w:val="right" w:pos="8640"/>
        </w:tabs>
        <w:ind w:left="3420" w:hanging="3420"/>
      </w:pPr>
      <w:r w:rsidRPr="00C16770">
        <w:rPr>
          <w:bCs/>
        </w:rPr>
        <w:t>Strategic Goal(s) &amp; Objective(s):</w:t>
      </w:r>
      <w:r w:rsidRPr="00C16770">
        <w:t xml:space="preserve"> </w:t>
      </w:r>
      <w:r w:rsidRPr="00C16770">
        <w:tab/>
        <w:t xml:space="preserve">Strategic Goal 1: Prevent Terrorism and Promote the Nation’s Security, Objectives 1.1 and 1.2; </w:t>
      </w:r>
      <w:r w:rsidRPr="00C16770">
        <w:tab/>
      </w:r>
    </w:p>
    <w:p w:rsidR="00792AD1" w:rsidRPr="00C16770" w:rsidRDefault="00792AD1" w:rsidP="00792AD1">
      <w:pPr>
        <w:pStyle w:val="xl19"/>
        <w:tabs>
          <w:tab w:val="left" w:pos="3420"/>
          <w:tab w:val="right" w:pos="8640"/>
        </w:tabs>
        <w:ind w:left="3420" w:hanging="3420"/>
      </w:pPr>
    </w:p>
    <w:p w:rsidR="00792AD1" w:rsidRPr="00C16770" w:rsidRDefault="00792AD1" w:rsidP="00792AD1">
      <w:pPr>
        <w:pStyle w:val="xl19"/>
        <w:tabs>
          <w:tab w:val="left" w:pos="3420"/>
          <w:tab w:val="right" w:pos="8640"/>
        </w:tabs>
        <w:ind w:left="3420"/>
      </w:pPr>
      <w:r w:rsidRPr="00C16770">
        <w:t>Strategic Goal 2: Prevent Crime, Enforce Federal Laws, and Represent the Rights and Interests of the American People, Objectives 2.1, 2.2</w:t>
      </w:r>
    </w:p>
    <w:p w:rsidR="00792AD1" w:rsidRPr="00C16770" w:rsidRDefault="00792AD1" w:rsidP="00792AD1">
      <w:pPr>
        <w:pStyle w:val="xl19"/>
        <w:tabs>
          <w:tab w:val="left" w:pos="3420"/>
          <w:tab w:val="right" w:pos="8640"/>
        </w:tabs>
      </w:pPr>
    </w:p>
    <w:p w:rsidR="00792AD1" w:rsidRPr="00C16770" w:rsidRDefault="00792AD1" w:rsidP="00792AD1">
      <w:pPr>
        <w:pStyle w:val="xl19"/>
        <w:tabs>
          <w:tab w:val="left" w:pos="3420"/>
          <w:tab w:val="right" w:pos="8640"/>
        </w:tabs>
      </w:pPr>
      <w:r w:rsidRPr="00C16770">
        <w:rPr>
          <w:bCs/>
        </w:rPr>
        <w:t>Organizational Program</w:t>
      </w:r>
      <w:r w:rsidRPr="00C16770">
        <w:t>:</w:t>
      </w:r>
      <w:r w:rsidRPr="00C16770">
        <w:tab/>
      </w:r>
      <w:r>
        <w:t>Bureau-wide</w:t>
      </w:r>
    </w:p>
    <w:p w:rsidR="00792AD1" w:rsidRPr="00C16770" w:rsidRDefault="00792AD1" w:rsidP="00792AD1">
      <w:pPr>
        <w:pStyle w:val="xl19"/>
        <w:tabs>
          <w:tab w:val="left" w:pos="3420"/>
          <w:tab w:val="right" w:pos="8640"/>
        </w:tabs>
      </w:pPr>
      <w:r w:rsidRPr="00C16770">
        <w:tab/>
      </w:r>
    </w:p>
    <w:p w:rsidR="00792AD1" w:rsidRPr="00C16770" w:rsidRDefault="00792AD1" w:rsidP="00792AD1">
      <w:pPr>
        <w:pStyle w:val="xl19"/>
        <w:tabs>
          <w:tab w:val="left" w:pos="3420"/>
          <w:tab w:val="right" w:pos="8640"/>
        </w:tabs>
      </w:pPr>
      <w:r w:rsidRPr="00C16770">
        <w:t>Component Ranking of Item:</w:t>
      </w:r>
      <w:r w:rsidRPr="00C16770">
        <w:tab/>
        <w:t xml:space="preserve">Item </w:t>
      </w:r>
      <w:r>
        <w:t>6</w:t>
      </w:r>
      <w:r w:rsidRPr="00C16770">
        <w:t xml:space="preserve"> of </w:t>
      </w:r>
      <w:r>
        <w:t>8</w:t>
      </w:r>
    </w:p>
    <w:p w:rsidR="00792AD1" w:rsidRPr="00C16770" w:rsidRDefault="00792AD1" w:rsidP="00792AD1">
      <w:pPr>
        <w:pStyle w:val="xl19"/>
        <w:tabs>
          <w:tab w:val="left" w:pos="3420"/>
          <w:tab w:val="right" w:pos="8640"/>
        </w:tabs>
        <w:rPr>
          <w:u w:val="single"/>
        </w:rPr>
      </w:pPr>
    </w:p>
    <w:p w:rsidR="00792AD1" w:rsidRPr="00CA4EC0" w:rsidRDefault="00792AD1" w:rsidP="00792AD1">
      <w:pPr>
        <w:pStyle w:val="xl19"/>
        <w:tabs>
          <w:tab w:val="left" w:pos="2340"/>
          <w:tab w:val="right" w:pos="3060"/>
          <w:tab w:val="left" w:pos="3420"/>
          <w:tab w:val="right" w:pos="4500"/>
          <w:tab w:val="left" w:pos="5310"/>
          <w:tab w:val="right" w:pos="6300"/>
        </w:tabs>
      </w:pPr>
      <w:r w:rsidRPr="00C16770">
        <w:rPr>
          <w:bCs/>
        </w:rPr>
        <w:t xml:space="preserve">Program </w:t>
      </w:r>
      <w:r w:rsidR="00A86176">
        <w:rPr>
          <w:bCs/>
        </w:rPr>
        <w:t>Offset</w:t>
      </w:r>
      <w:r w:rsidRPr="00C16770">
        <w:t>:</w:t>
      </w:r>
      <w:r w:rsidRPr="00426C49">
        <w:rPr>
          <w:b/>
        </w:rPr>
        <w:t xml:space="preserve"> </w:t>
      </w:r>
      <w:r w:rsidRPr="00426C49">
        <w:t xml:space="preserve"> </w:t>
      </w:r>
      <w:r w:rsidR="0045061A">
        <w:tab/>
      </w:r>
      <w:r w:rsidR="0045061A">
        <w:tab/>
      </w:r>
      <w:r w:rsidR="0045061A">
        <w:tab/>
      </w:r>
      <w:r w:rsidRPr="00426C49">
        <w:t xml:space="preserve">Positions: </w:t>
      </w:r>
      <w:r w:rsidRPr="00426C49">
        <w:rPr>
          <w:u w:val="single"/>
        </w:rPr>
        <w:t xml:space="preserve"> </w:t>
      </w:r>
      <w:proofErr w:type="gramStart"/>
      <w:r>
        <w:rPr>
          <w:u w:val="single"/>
        </w:rPr>
        <w:t>0</w:t>
      </w:r>
      <w:r w:rsidRPr="00426C49">
        <w:t xml:space="preserve">   Agent</w:t>
      </w:r>
      <w:proofErr w:type="gramEnd"/>
      <w:r w:rsidRPr="00426C49">
        <w:t xml:space="preserve">: </w:t>
      </w:r>
      <w:r w:rsidRPr="00426C49">
        <w:rPr>
          <w:u w:val="single"/>
        </w:rPr>
        <w:t xml:space="preserve"> </w:t>
      </w:r>
      <w:r>
        <w:rPr>
          <w:u w:val="single"/>
        </w:rPr>
        <w:t>0</w:t>
      </w:r>
      <w:r w:rsidRPr="00426C49">
        <w:rPr>
          <w:u w:val="single"/>
        </w:rPr>
        <w:t xml:space="preserve"> </w:t>
      </w:r>
      <w:r w:rsidRPr="00426C49">
        <w:t xml:space="preserve">  FTE: </w:t>
      </w:r>
      <w:r w:rsidRPr="00426C49">
        <w:rPr>
          <w:u w:val="single"/>
        </w:rPr>
        <w:t xml:space="preserve"> </w:t>
      </w:r>
      <w:r>
        <w:rPr>
          <w:u w:val="single"/>
        </w:rPr>
        <w:t>0</w:t>
      </w:r>
      <w:r w:rsidRPr="00426C49">
        <w:t xml:space="preserve">  </w:t>
      </w:r>
      <w:r>
        <w:t xml:space="preserve"> </w:t>
      </w:r>
      <w:r w:rsidRPr="00426C49">
        <w:t xml:space="preserve">Dollars </w:t>
      </w:r>
      <w:r>
        <w:t>(</w:t>
      </w:r>
      <w:r w:rsidRPr="00F172BE">
        <w:rPr>
          <w:u w:val="single"/>
        </w:rPr>
        <w:t>$</w:t>
      </w:r>
      <w:r>
        <w:rPr>
          <w:u w:val="single"/>
        </w:rPr>
        <w:t>373,000)</w:t>
      </w:r>
    </w:p>
    <w:p w:rsidR="00792AD1" w:rsidRPr="00426C49" w:rsidRDefault="00792AD1" w:rsidP="00792AD1">
      <w:pPr>
        <w:pStyle w:val="xl19"/>
        <w:tabs>
          <w:tab w:val="left" w:pos="2340"/>
          <w:tab w:val="right" w:pos="3060"/>
          <w:tab w:val="left" w:pos="3420"/>
          <w:tab w:val="right" w:pos="4500"/>
          <w:tab w:val="left" w:pos="5310"/>
          <w:tab w:val="right" w:pos="6300"/>
        </w:tabs>
      </w:pPr>
      <w:r w:rsidRPr="00426C49">
        <w:rPr>
          <w:bCs/>
        </w:rPr>
        <w:t xml:space="preserve">                          </w:t>
      </w:r>
    </w:p>
    <w:p w:rsidR="00792AD1" w:rsidRPr="003307E1" w:rsidRDefault="00792AD1" w:rsidP="00792AD1">
      <w:pPr>
        <w:pStyle w:val="Header"/>
        <w:outlineLvl w:val="0"/>
        <w:rPr>
          <w:bCs/>
          <w:u w:val="single"/>
        </w:rPr>
      </w:pPr>
      <w:r w:rsidRPr="003307E1">
        <w:rPr>
          <w:bCs/>
          <w:u w:val="single"/>
        </w:rPr>
        <w:t>Description of Item</w:t>
      </w:r>
    </w:p>
    <w:p w:rsidR="00792AD1" w:rsidRDefault="00792AD1" w:rsidP="00792AD1">
      <w:pPr>
        <w:rPr>
          <w:bCs/>
          <w:u w:val="single"/>
        </w:rPr>
      </w:pPr>
    </w:p>
    <w:p w:rsidR="00792AD1" w:rsidRPr="00B87AB5" w:rsidRDefault="00792AD1" w:rsidP="00792AD1">
      <w:r>
        <w:t>This budget reflects a Department of Justice-wide offset for DOJ components by extending the refresh rate of desktops and laptops by one year.</w:t>
      </w:r>
    </w:p>
    <w:p w:rsidR="00792AD1" w:rsidRDefault="00792AD1" w:rsidP="00792AD1">
      <w:pPr>
        <w:jc w:val="center"/>
        <w:rPr>
          <w:b/>
        </w:rPr>
      </w:pPr>
    </w:p>
    <w:p w:rsidR="00792AD1" w:rsidRPr="004E1020" w:rsidRDefault="00792AD1" w:rsidP="00792AD1">
      <w:pPr>
        <w:pStyle w:val="Header"/>
        <w:outlineLvl w:val="0"/>
        <w:rPr>
          <w:bCs/>
          <w:u w:val="single"/>
        </w:rPr>
      </w:pPr>
      <w:r w:rsidRPr="004E1020">
        <w:rPr>
          <w:bCs/>
          <w:u w:val="single"/>
        </w:rPr>
        <w:t>Justification</w:t>
      </w:r>
    </w:p>
    <w:p w:rsidR="00792AD1" w:rsidRDefault="00792AD1" w:rsidP="00792AD1">
      <w:pPr>
        <w:pStyle w:val="Header"/>
        <w:outlineLvl w:val="0"/>
        <w:rPr>
          <w:bCs/>
        </w:rPr>
      </w:pPr>
    </w:p>
    <w:p w:rsidR="00792AD1" w:rsidRDefault="00792AD1" w:rsidP="00792AD1">
      <w:pPr>
        <w:pStyle w:val="Header"/>
        <w:outlineLvl w:val="0"/>
        <w:rPr>
          <w:szCs w:val="18"/>
        </w:rPr>
      </w:pPr>
      <w:r>
        <w:rPr>
          <w:szCs w:val="18"/>
        </w:rPr>
        <w:t xml:space="preserve">As part of </w:t>
      </w:r>
      <w:r w:rsidR="00FA459E">
        <w:rPr>
          <w:szCs w:val="18"/>
        </w:rPr>
        <w:t xml:space="preserve">ongoing </w:t>
      </w:r>
      <w:r>
        <w:rPr>
          <w:szCs w:val="18"/>
        </w:rPr>
        <w:t xml:space="preserve">efforts to streamline and improve efficiency, components </w:t>
      </w:r>
      <w:r w:rsidR="00FA459E">
        <w:rPr>
          <w:szCs w:val="18"/>
        </w:rPr>
        <w:t xml:space="preserve">will </w:t>
      </w:r>
      <w:r>
        <w:rPr>
          <w:szCs w:val="18"/>
        </w:rPr>
        <w:t xml:space="preserve">extend their technology refresh cycle by one fiscal year.  </w:t>
      </w:r>
    </w:p>
    <w:p w:rsidR="008D2ECC" w:rsidRDefault="008D2ECC" w:rsidP="00792AD1">
      <w:pPr>
        <w:pStyle w:val="Header"/>
        <w:outlineLvl w:val="0"/>
      </w:pPr>
    </w:p>
    <w:p w:rsidR="00792AD1" w:rsidRPr="004E1020" w:rsidRDefault="00792AD1" w:rsidP="00792AD1">
      <w:pPr>
        <w:pStyle w:val="Header"/>
        <w:outlineLvl w:val="0"/>
        <w:rPr>
          <w:bCs/>
          <w:u w:val="single"/>
        </w:rPr>
      </w:pPr>
      <w:r w:rsidRPr="004E1020">
        <w:rPr>
          <w:bCs/>
          <w:u w:val="single"/>
        </w:rPr>
        <w:t>Impact on Performance (Relationship of Increase to Strategic Goals)</w:t>
      </w:r>
    </w:p>
    <w:p w:rsidR="00792AD1" w:rsidRPr="004E1020" w:rsidRDefault="00792AD1" w:rsidP="00792AD1">
      <w:pPr>
        <w:pStyle w:val="Header"/>
        <w:outlineLvl w:val="0"/>
        <w:rPr>
          <w:bCs/>
        </w:rPr>
      </w:pPr>
    </w:p>
    <w:p w:rsidR="00792AD1" w:rsidRPr="00A5477B" w:rsidRDefault="00792AD1" w:rsidP="00792AD1">
      <w:pPr>
        <w:pStyle w:val="NormalWeb"/>
        <w:rPr>
          <w:rFonts w:ascii="Times New Roman" w:eastAsia="Times New Roman" w:hAnsi="Times New Roman"/>
          <w:szCs w:val="18"/>
        </w:rPr>
      </w:pPr>
      <w:r w:rsidRPr="00A5477B">
        <w:rPr>
          <w:rFonts w:ascii="Times New Roman" w:eastAsia="Times New Roman" w:hAnsi="Times New Roman"/>
          <w:szCs w:val="18"/>
        </w:rPr>
        <w:t>The Department is continually evaluating its programs and operations with the goal of achieving across-the-board economies of scale that result in increased efficiencies and cost savings. In FY 201</w:t>
      </w:r>
      <w:r>
        <w:rPr>
          <w:rFonts w:ascii="Times New Roman" w:eastAsia="Times New Roman" w:hAnsi="Times New Roman"/>
          <w:szCs w:val="18"/>
        </w:rPr>
        <w:t>2</w:t>
      </w:r>
      <w:r w:rsidRPr="00A5477B">
        <w:rPr>
          <w:rFonts w:ascii="Times New Roman" w:eastAsia="Times New Roman" w:hAnsi="Times New Roman"/>
          <w:szCs w:val="18"/>
        </w:rPr>
        <w:t xml:space="preserve">, DOJ is focusing on </w:t>
      </w:r>
      <w:r>
        <w:rPr>
          <w:rFonts w:ascii="Times New Roman" w:eastAsia="Times New Roman" w:hAnsi="Times New Roman"/>
          <w:szCs w:val="18"/>
        </w:rPr>
        <w:t>extend the technical refresh cycle by one fiscal year</w:t>
      </w:r>
      <w:r w:rsidRPr="00A5477B">
        <w:rPr>
          <w:rFonts w:ascii="Times New Roman" w:eastAsia="Times New Roman" w:hAnsi="Times New Roman"/>
          <w:szCs w:val="18"/>
        </w:rPr>
        <w:t xml:space="preserve"> as an area in which savings can be achieved. </w:t>
      </w:r>
      <w:r>
        <w:rPr>
          <w:rFonts w:ascii="Times New Roman" w:eastAsia="Times New Roman" w:hAnsi="Times New Roman"/>
          <w:szCs w:val="18"/>
        </w:rPr>
        <w:t xml:space="preserve"> For ATF</w:t>
      </w:r>
      <w:r w:rsidRPr="00A5477B">
        <w:rPr>
          <w:rFonts w:ascii="Times New Roman" w:eastAsia="Times New Roman" w:hAnsi="Times New Roman"/>
          <w:szCs w:val="18"/>
        </w:rPr>
        <w:t xml:space="preserve">, </w:t>
      </w:r>
      <w:r>
        <w:rPr>
          <w:rFonts w:ascii="Times New Roman" w:eastAsia="Times New Roman" w:hAnsi="Times New Roman"/>
          <w:szCs w:val="18"/>
        </w:rPr>
        <w:t>extending the technical refresh by one fiscal year</w:t>
      </w:r>
      <w:r w:rsidRPr="00A5477B">
        <w:rPr>
          <w:rFonts w:ascii="Times New Roman" w:eastAsia="Times New Roman" w:hAnsi="Times New Roman"/>
          <w:szCs w:val="18"/>
        </w:rPr>
        <w:t xml:space="preserve"> will</w:t>
      </w:r>
      <w:r>
        <w:rPr>
          <w:rFonts w:ascii="Times New Roman" w:eastAsia="Times New Roman" w:hAnsi="Times New Roman"/>
          <w:szCs w:val="18"/>
        </w:rPr>
        <w:t xml:space="preserve"> result in offsets of $373,000</w:t>
      </w:r>
      <w:r w:rsidRPr="00A5477B">
        <w:rPr>
          <w:rFonts w:ascii="Times New Roman" w:eastAsia="Times New Roman" w:hAnsi="Times New Roman"/>
          <w:szCs w:val="18"/>
        </w:rPr>
        <w:t xml:space="preserve">. This offset will be applied in a manner that will allow the continuation of effective law enforcement program efforts.  </w:t>
      </w:r>
    </w:p>
    <w:p w:rsidR="00792AD1" w:rsidRPr="00F172BE" w:rsidRDefault="00792AD1" w:rsidP="00792AD1">
      <w:pPr>
        <w:jc w:val="center"/>
        <w:rPr>
          <w:b/>
        </w:rPr>
      </w:pPr>
      <w:r w:rsidRPr="006B1E04">
        <w:br w:type="page"/>
      </w:r>
      <w:r w:rsidRPr="00F172BE">
        <w:rPr>
          <w:b/>
        </w:rPr>
        <w:lastRenderedPageBreak/>
        <w:t>Funding</w:t>
      </w:r>
    </w:p>
    <w:p w:rsidR="00792AD1" w:rsidRDefault="00792AD1" w:rsidP="00792AD1"/>
    <w:p w:rsidR="00792AD1" w:rsidRPr="00426C49" w:rsidRDefault="00792AD1" w:rsidP="00792AD1">
      <w:pPr>
        <w:pStyle w:val="Header"/>
        <w:tabs>
          <w:tab w:val="left" w:pos="1440"/>
          <w:tab w:val="left" w:pos="1980"/>
          <w:tab w:val="right" w:pos="9360"/>
        </w:tabs>
        <w:outlineLvl w:val="0"/>
        <w:rPr>
          <w:u w:val="single"/>
        </w:rPr>
      </w:pPr>
      <w:r w:rsidRPr="00426C49">
        <w:rPr>
          <w:u w:val="single"/>
        </w:rPr>
        <w:t>Base Funding</w:t>
      </w:r>
    </w:p>
    <w:p w:rsidR="00792AD1" w:rsidRDefault="00792AD1" w:rsidP="00792AD1">
      <w:pPr>
        <w:pStyle w:val="Header"/>
        <w:tabs>
          <w:tab w:val="left" w:pos="1440"/>
          <w:tab w:val="left" w:pos="1980"/>
          <w:tab w:val="right" w:pos="9360"/>
        </w:tabs>
        <w:rPr>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763"/>
        <w:gridCol w:w="1395"/>
        <w:gridCol w:w="603"/>
        <w:gridCol w:w="607"/>
        <w:gridCol w:w="672"/>
        <w:gridCol w:w="1358"/>
        <w:gridCol w:w="590"/>
        <w:gridCol w:w="607"/>
        <w:gridCol w:w="672"/>
        <w:gridCol w:w="1090"/>
      </w:tblGrid>
      <w:tr w:rsidR="00792AD1" w:rsidRPr="00CC5993" w:rsidTr="00C021A7">
        <w:tc>
          <w:tcPr>
            <w:tcW w:w="3359" w:type="dxa"/>
            <w:gridSpan w:val="4"/>
            <w:shd w:val="clear" w:color="auto" w:fill="E6E6E6"/>
          </w:tcPr>
          <w:p w:rsidR="00792AD1" w:rsidRPr="001E1CC3" w:rsidRDefault="00792AD1" w:rsidP="00DD5E20">
            <w:pPr>
              <w:pStyle w:val="Heading7"/>
              <w:rPr>
                <w:b w:val="0"/>
                <w:szCs w:val="24"/>
              </w:rPr>
            </w:pPr>
            <w:r w:rsidRPr="001E1CC3">
              <w:rPr>
                <w:b w:val="0"/>
                <w:szCs w:val="24"/>
              </w:rPr>
              <w:t>FY 20</w:t>
            </w:r>
            <w:r>
              <w:rPr>
                <w:b w:val="0"/>
                <w:szCs w:val="24"/>
              </w:rPr>
              <w:t>10</w:t>
            </w:r>
            <w:r w:rsidRPr="001E1CC3">
              <w:rPr>
                <w:b w:val="0"/>
                <w:szCs w:val="24"/>
              </w:rPr>
              <w:t xml:space="preserve"> Enacted </w:t>
            </w:r>
          </w:p>
        </w:tc>
        <w:tc>
          <w:tcPr>
            <w:tcW w:w="3240" w:type="dxa"/>
            <w:gridSpan w:val="4"/>
            <w:shd w:val="clear" w:color="auto" w:fill="E6E6E6"/>
          </w:tcPr>
          <w:p w:rsidR="00792AD1" w:rsidRPr="001E1CC3" w:rsidRDefault="00792AD1" w:rsidP="00DD5E20">
            <w:pPr>
              <w:pStyle w:val="Heading7"/>
              <w:rPr>
                <w:b w:val="0"/>
                <w:szCs w:val="24"/>
              </w:rPr>
            </w:pPr>
            <w:r w:rsidRPr="001E1CC3">
              <w:rPr>
                <w:b w:val="0"/>
                <w:szCs w:val="24"/>
              </w:rPr>
              <w:t>FY 201</w:t>
            </w:r>
            <w:r>
              <w:rPr>
                <w:b w:val="0"/>
                <w:szCs w:val="24"/>
              </w:rPr>
              <w:t>1</w:t>
            </w:r>
            <w:r w:rsidRPr="001E1CC3">
              <w:rPr>
                <w:b w:val="0"/>
                <w:szCs w:val="24"/>
              </w:rPr>
              <w:t xml:space="preserve"> </w:t>
            </w:r>
            <w:r>
              <w:rPr>
                <w:b w:val="0"/>
                <w:szCs w:val="24"/>
              </w:rPr>
              <w:t>Enacted</w:t>
            </w:r>
          </w:p>
        </w:tc>
        <w:tc>
          <w:tcPr>
            <w:tcW w:w="2959" w:type="dxa"/>
            <w:gridSpan w:val="4"/>
            <w:shd w:val="clear" w:color="auto" w:fill="E6E6E6"/>
          </w:tcPr>
          <w:p w:rsidR="00792AD1" w:rsidRPr="001E1CC3" w:rsidRDefault="00792AD1" w:rsidP="00DD5E20">
            <w:pPr>
              <w:pStyle w:val="Heading7"/>
              <w:rPr>
                <w:b w:val="0"/>
                <w:szCs w:val="24"/>
              </w:rPr>
            </w:pPr>
            <w:r w:rsidRPr="001E1CC3">
              <w:rPr>
                <w:b w:val="0"/>
                <w:szCs w:val="24"/>
              </w:rPr>
              <w:t>FY 201</w:t>
            </w:r>
            <w:r>
              <w:rPr>
                <w:b w:val="0"/>
                <w:szCs w:val="24"/>
              </w:rPr>
              <w:t>2</w:t>
            </w:r>
            <w:r w:rsidRPr="001E1CC3">
              <w:rPr>
                <w:b w:val="0"/>
                <w:szCs w:val="24"/>
              </w:rPr>
              <w:t xml:space="preserve"> Current Services</w:t>
            </w:r>
          </w:p>
        </w:tc>
      </w:tr>
      <w:tr w:rsidR="00792AD1" w:rsidRPr="00CC5993" w:rsidTr="00C021A7">
        <w:trPr>
          <w:trHeight w:val="170"/>
        </w:trPr>
        <w:tc>
          <w:tcPr>
            <w:tcW w:w="594" w:type="dxa"/>
          </w:tcPr>
          <w:p w:rsidR="00792AD1" w:rsidRPr="00CC5993" w:rsidRDefault="00792AD1" w:rsidP="00DD5E20">
            <w:pPr>
              <w:pStyle w:val="xl24"/>
              <w:spacing w:before="0" w:after="0"/>
              <w:jc w:val="center"/>
            </w:pPr>
            <w:r w:rsidRPr="00CC5993">
              <w:t>Pos</w:t>
            </w:r>
          </w:p>
        </w:tc>
        <w:tc>
          <w:tcPr>
            <w:tcW w:w="607" w:type="dxa"/>
          </w:tcPr>
          <w:p w:rsidR="00792AD1" w:rsidRPr="00CC5993" w:rsidRDefault="00792AD1" w:rsidP="00DD5E20">
            <w:pPr>
              <w:pStyle w:val="xl24"/>
              <w:spacing w:before="0" w:after="0"/>
              <w:jc w:val="center"/>
            </w:pPr>
            <w:proofErr w:type="spellStart"/>
            <w:r w:rsidRPr="00CC5993">
              <w:t>Agt</w:t>
            </w:r>
            <w:proofErr w:type="spellEnd"/>
          </w:p>
        </w:tc>
        <w:tc>
          <w:tcPr>
            <w:tcW w:w="763" w:type="dxa"/>
          </w:tcPr>
          <w:p w:rsidR="00792AD1" w:rsidRPr="00CC5993" w:rsidRDefault="00792AD1" w:rsidP="00DD5E20">
            <w:pPr>
              <w:pStyle w:val="xl24"/>
              <w:spacing w:before="0" w:after="0"/>
              <w:jc w:val="center"/>
            </w:pPr>
            <w:r w:rsidRPr="00CC5993">
              <w:t>FTE</w:t>
            </w:r>
          </w:p>
        </w:tc>
        <w:tc>
          <w:tcPr>
            <w:tcW w:w="1395" w:type="dxa"/>
          </w:tcPr>
          <w:p w:rsidR="00792AD1" w:rsidRPr="00CC5993" w:rsidRDefault="00792AD1" w:rsidP="00DD5E20">
            <w:pPr>
              <w:pStyle w:val="xl24"/>
              <w:spacing w:before="0" w:after="0"/>
              <w:jc w:val="center"/>
            </w:pPr>
            <w:r w:rsidRPr="00CC5993">
              <w:t>$(000)</w:t>
            </w:r>
          </w:p>
        </w:tc>
        <w:tc>
          <w:tcPr>
            <w:tcW w:w="603" w:type="dxa"/>
          </w:tcPr>
          <w:p w:rsidR="00792AD1" w:rsidRPr="00CC5993" w:rsidRDefault="00792AD1" w:rsidP="00DD5E20">
            <w:pPr>
              <w:pStyle w:val="xl24"/>
              <w:spacing w:before="0" w:after="0"/>
              <w:jc w:val="center"/>
            </w:pPr>
            <w:r w:rsidRPr="00CC5993">
              <w:t>Pos</w:t>
            </w:r>
          </w:p>
        </w:tc>
        <w:tc>
          <w:tcPr>
            <w:tcW w:w="607" w:type="dxa"/>
          </w:tcPr>
          <w:p w:rsidR="00792AD1" w:rsidRPr="00CC5993" w:rsidRDefault="00792AD1" w:rsidP="00DD5E20">
            <w:pPr>
              <w:pStyle w:val="xl24"/>
              <w:spacing w:before="0" w:after="0"/>
              <w:jc w:val="center"/>
            </w:pPr>
            <w:proofErr w:type="spellStart"/>
            <w:r w:rsidRPr="00CC5993">
              <w:t>Agt</w:t>
            </w:r>
            <w:proofErr w:type="spellEnd"/>
          </w:p>
        </w:tc>
        <w:tc>
          <w:tcPr>
            <w:tcW w:w="672" w:type="dxa"/>
          </w:tcPr>
          <w:p w:rsidR="00792AD1" w:rsidRPr="00CC5993" w:rsidRDefault="00792AD1" w:rsidP="00DD5E20">
            <w:pPr>
              <w:pStyle w:val="xl24"/>
              <w:spacing w:before="0" w:after="0"/>
              <w:jc w:val="center"/>
            </w:pPr>
            <w:r w:rsidRPr="00CC5993">
              <w:t>FTE</w:t>
            </w:r>
          </w:p>
        </w:tc>
        <w:tc>
          <w:tcPr>
            <w:tcW w:w="1358" w:type="dxa"/>
          </w:tcPr>
          <w:p w:rsidR="00792AD1" w:rsidRPr="00CC5993" w:rsidRDefault="00792AD1" w:rsidP="00DD5E20">
            <w:pPr>
              <w:pStyle w:val="xl24"/>
              <w:spacing w:before="0" w:after="0"/>
              <w:jc w:val="center"/>
            </w:pPr>
            <w:r w:rsidRPr="00CC5993">
              <w:t>$(000)</w:t>
            </w:r>
          </w:p>
        </w:tc>
        <w:tc>
          <w:tcPr>
            <w:tcW w:w="590" w:type="dxa"/>
          </w:tcPr>
          <w:p w:rsidR="00792AD1" w:rsidRPr="00CC5993" w:rsidRDefault="00792AD1" w:rsidP="00DD5E20">
            <w:pPr>
              <w:pStyle w:val="xl24"/>
              <w:spacing w:before="0" w:after="0"/>
              <w:jc w:val="center"/>
            </w:pPr>
            <w:r w:rsidRPr="00CC5993">
              <w:t>Pos</w:t>
            </w:r>
          </w:p>
        </w:tc>
        <w:tc>
          <w:tcPr>
            <w:tcW w:w="607" w:type="dxa"/>
          </w:tcPr>
          <w:p w:rsidR="00792AD1" w:rsidRPr="00CC5993" w:rsidRDefault="00792AD1" w:rsidP="00DD5E20">
            <w:pPr>
              <w:pStyle w:val="xl24"/>
              <w:spacing w:before="0" w:after="0"/>
              <w:jc w:val="center"/>
            </w:pPr>
            <w:proofErr w:type="spellStart"/>
            <w:r w:rsidRPr="00CC5993">
              <w:t>Agt</w:t>
            </w:r>
            <w:proofErr w:type="spellEnd"/>
          </w:p>
        </w:tc>
        <w:tc>
          <w:tcPr>
            <w:tcW w:w="672" w:type="dxa"/>
          </w:tcPr>
          <w:p w:rsidR="00792AD1" w:rsidRPr="00CC5993" w:rsidRDefault="00792AD1" w:rsidP="00DD5E20">
            <w:pPr>
              <w:pStyle w:val="xl24"/>
              <w:spacing w:before="0" w:after="0"/>
              <w:jc w:val="center"/>
            </w:pPr>
            <w:r w:rsidRPr="00CC5993">
              <w:t>FTE</w:t>
            </w:r>
          </w:p>
        </w:tc>
        <w:tc>
          <w:tcPr>
            <w:tcW w:w="1090" w:type="dxa"/>
          </w:tcPr>
          <w:p w:rsidR="00792AD1" w:rsidRPr="00CC5993" w:rsidRDefault="00792AD1" w:rsidP="00DD5E20">
            <w:pPr>
              <w:pStyle w:val="xl24"/>
              <w:spacing w:before="0" w:after="0"/>
              <w:jc w:val="center"/>
            </w:pPr>
            <w:r w:rsidRPr="00CC5993">
              <w:t>$(000)</w:t>
            </w:r>
          </w:p>
        </w:tc>
      </w:tr>
      <w:tr w:rsidR="00792AD1" w:rsidRPr="00CC5993" w:rsidTr="00C021A7">
        <w:tc>
          <w:tcPr>
            <w:tcW w:w="594" w:type="dxa"/>
          </w:tcPr>
          <w:p w:rsidR="00792AD1" w:rsidRPr="00CC5993" w:rsidRDefault="00792AD1" w:rsidP="00DD5E20">
            <w:pPr>
              <w:pStyle w:val="xl24"/>
              <w:spacing w:before="0" w:after="0"/>
              <w:jc w:val="right"/>
            </w:pPr>
            <w:r>
              <w:t>0</w:t>
            </w:r>
          </w:p>
        </w:tc>
        <w:tc>
          <w:tcPr>
            <w:tcW w:w="607" w:type="dxa"/>
          </w:tcPr>
          <w:p w:rsidR="00792AD1" w:rsidRPr="00CC5993" w:rsidRDefault="00792AD1" w:rsidP="00DD5E20">
            <w:pPr>
              <w:pStyle w:val="xl24"/>
              <w:spacing w:before="0" w:after="0"/>
              <w:jc w:val="right"/>
            </w:pPr>
            <w:r>
              <w:t>0</w:t>
            </w:r>
          </w:p>
        </w:tc>
        <w:tc>
          <w:tcPr>
            <w:tcW w:w="763" w:type="dxa"/>
          </w:tcPr>
          <w:p w:rsidR="00792AD1" w:rsidRPr="00CC5993" w:rsidRDefault="00792AD1" w:rsidP="00DD5E20">
            <w:pPr>
              <w:pStyle w:val="xl24"/>
              <w:spacing w:before="0" w:after="0"/>
              <w:jc w:val="right"/>
            </w:pPr>
            <w:r>
              <w:t>0</w:t>
            </w:r>
          </w:p>
        </w:tc>
        <w:tc>
          <w:tcPr>
            <w:tcW w:w="1395" w:type="dxa"/>
          </w:tcPr>
          <w:p w:rsidR="00792AD1" w:rsidRPr="00CC5993" w:rsidRDefault="00792AD1" w:rsidP="00DD5E20">
            <w:pPr>
              <w:pStyle w:val="xl24"/>
              <w:tabs>
                <w:tab w:val="left" w:pos="200"/>
                <w:tab w:val="center" w:pos="589"/>
              </w:tabs>
              <w:spacing w:before="0" w:after="0"/>
              <w:jc w:val="right"/>
            </w:pPr>
            <w:r>
              <w:t>0</w:t>
            </w:r>
          </w:p>
        </w:tc>
        <w:tc>
          <w:tcPr>
            <w:tcW w:w="603" w:type="dxa"/>
          </w:tcPr>
          <w:p w:rsidR="00792AD1" w:rsidRPr="00CC5993" w:rsidRDefault="00792AD1" w:rsidP="00DD5E20">
            <w:pPr>
              <w:pStyle w:val="xl24"/>
              <w:spacing w:before="0" w:after="0"/>
              <w:jc w:val="right"/>
            </w:pPr>
            <w:r>
              <w:t>0</w:t>
            </w:r>
          </w:p>
        </w:tc>
        <w:tc>
          <w:tcPr>
            <w:tcW w:w="607" w:type="dxa"/>
          </w:tcPr>
          <w:p w:rsidR="00792AD1" w:rsidRPr="00CC5993" w:rsidRDefault="00792AD1" w:rsidP="00DD5E20">
            <w:pPr>
              <w:pStyle w:val="xl24"/>
              <w:spacing w:before="0" w:after="0"/>
              <w:jc w:val="right"/>
            </w:pPr>
            <w:r>
              <w:t>0</w:t>
            </w:r>
          </w:p>
        </w:tc>
        <w:tc>
          <w:tcPr>
            <w:tcW w:w="672" w:type="dxa"/>
          </w:tcPr>
          <w:p w:rsidR="00792AD1" w:rsidRPr="00CC5993" w:rsidRDefault="00792AD1" w:rsidP="00DD5E20">
            <w:pPr>
              <w:pStyle w:val="xl24"/>
              <w:spacing w:before="0" w:after="0"/>
              <w:jc w:val="right"/>
            </w:pPr>
            <w:r>
              <w:t>0</w:t>
            </w:r>
          </w:p>
        </w:tc>
        <w:tc>
          <w:tcPr>
            <w:tcW w:w="1358" w:type="dxa"/>
          </w:tcPr>
          <w:p w:rsidR="00792AD1" w:rsidRPr="00CC5993" w:rsidRDefault="00792AD1" w:rsidP="00DD5E20">
            <w:pPr>
              <w:pStyle w:val="xl24"/>
              <w:spacing w:before="0" w:after="0"/>
              <w:jc w:val="right"/>
            </w:pPr>
            <w:r>
              <w:t>0</w:t>
            </w:r>
          </w:p>
        </w:tc>
        <w:tc>
          <w:tcPr>
            <w:tcW w:w="590" w:type="dxa"/>
          </w:tcPr>
          <w:p w:rsidR="00792AD1" w:rsidRPr="00CC5993" w:rsidRDefault="00792AD1" w:rsidP="00DD5E20">
            <w:pPr>
              <w:pStyle w:val="xl24"/>
              <w:spacing w:before="0" w:after="0"/>
              <w:jc w:val="right"/>
            </w:pPr>
            <w:r>
              <w:t>0</w:t>
            </w:r>
          </w:p>
        </w:tc>
        <w:tc>
          <w:tcPr>
            <w:tcW w:w="607" w:type="dxa"/>
          </w:tcPr>
          <w:p w:rsidR="00792AD1" w:rsidRPr="00CC5993" w:rsidRDefault="00792AD1" w:rsidP="00DD5E20">
            <w:pPr>
              <w:pStyle w:val="xl24"/>
              <w:spacing w:before="0" w:after="0"/>
              <w:jc w:val="right"/>
            </w:pPr>
            <w:r>
              <w:t>0</w:t>
            </w:r>
          </w:p>
        </w:tc>
        <w:tc>
          <w:tcPr>
            <w:tcW w:w="672" w:type="dxa"/>
          </w:tcPr>
          <w:p w:rsidR="00792AD1" w:rsidRPr="00CC5993" w:rsidRDefault="00792AD1" w:rsidP="00DD5E20">
            <w:pPr>
              <w:pStyle w:val="xl24"/>
              <w:spacing w:before="0" w:after="0"/>
              <w:jc w:val="right"/>
            </w:pPr>
            <w:r>
              <w:t>0</w:t>
            </w:r>
          </w:p>
        </w:tc>
        <w:tc>
          <w:tcPr>
            <w:tcW w:w="1090" w:type="dxa"/>
          </w:tcPr>
          <w:p w:rsidR="00792AD1" w:rsidRPr="00CC5993" w:rsidRDefault="00792AD1" w:rsidP="00DD5E20">
            <w:pPr>
              <w:pStyle w:val="xl24"/>
              <w:spacing w:before="0" w:after="0"/>
              <w:jc w:val="right"/>
            </w:pPr>
            <w:r>
              <w:t>0</w:t>
            </w:r>
          </w:p>
        </w:tc>
      </w:tr>
    </w:tbl>
    <w:p w:rsidR="00792AD1" w:rsidRDefault="00792AD1" w:rsidP="00792AD1">
      <w:pPr>
        <w:pStyle w:val="xl24"/>
        <w:tabs>
          <w:tab w:val="left" w:pos="3240"/>
        </w:tabs>
        <w:spacing w:before="0" w:beforeAutospacing="0" w:after="0" w:afterAutospacing="0"/>
        <w:outlineLvl w:val="0"/>
        <w:rPr>
          <w:u w:val="single"/>
        </w:rPr>
      </w:pPr>
    </w:p>
    <w:p w:rsidR="00792AD1" w:rsidRPr="0048501E" w:rsidRDefault="00792AD1" w:rsidP="00792AD1">
      <w:pPr>
        <w:pStyle w:val="BodyText"/>
        <w:rPr>
          <w:u w:val="single"/>
        </w:rPr>
      </w:pPr>
      <w:r w:rsidRPr="0048501E">
        <w:rPr>
          <w:u w:val="single"/>
        </w:rPr>
        <w:t>Personnel Increase Cost Summary</w:t>
      </w:r>
    </w:p>
    <w:p w:rsidR="00792AD1" w:rsidRPr="0035143D" w:rsidRDefault="00792AD1" w:rsidP="00792AD1">
      <w:pPr>
        <w:pStyle w:val="BodyText"/>
        <w:rPr>
          <w:highlight w:val="yellow"/>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9"/>
        <w:gridCol w:w="1459"/>
        <w:gridCol w:w="1260"/>
        <w:gridCol w:w="1530"/>
        <w:gridCol w:w="1890"/>
        <w:gridCol w:w="1818"/>
      </w:tblGrid>
      <w:tr w:rsidR="007347C4" w:rsidRPr="0035143D" w:rsidTr="007347C4">
        <w:tc>
          <w:tcPr>
            <w:tcW w:w="1619" w:type="dxa"/>
            <w:shd w:val="clear" w:color="auto" w:fill="E0E0E0"/>
            <w:vAlign w:val="center"/>
          </w:tcPr>
          <w:p w:rsidR="007347C4" w:rsidRPr="0035143D" w:rsidRDefault="007347C4" w:rsidP="00DD5E20">
            <w:pPr>
              <w:jc w:val="center"/>
              <w:rPr>
                <w:sz w:val="20"/>
                <w:highlight w:val="yellow"/>
              </w:rPr>
            </w:pPr>
            <w:r w:rsidRPr="00147C21">
              <w:rPr>
                <w:sz w:val="20"/>
              </w:rPr>
              <w:t>Type of Position</w:t>
            </w:r>
          </w:p>
        </w:tc>
        <w:tc>
          <w:tcPr>
            <w:tcW w:w="1459" w:type="dxa"/>
            <w:shd w:val="clear" w:color="auto" w:fill="E0E0E0"/>
            <w:vAlign w:val="center"/>
          </w:tcPr>
          <w:p w:rsidR="007347C4" w:rsidRPr="0035143D" w:rsidRDefault="007347C4" w:rsidP="00DD5E20">
            <w:pPr>
              <w:jc w:val="center"/>
              <w:rPr>
                <w:sz w:val="20"/>
                <w:highlight w:val="yellow"/>
              </w:rPr>
            </w:pPr>
            <w:r w:rsidRPr="00147C21">
              <w:rPr>
                <w:sz w:val="20"/>
              </w:rPr>
              <w:t>Modular Cost</w:t>
            </w:r>
            <w:r>
              <w:rPr>
                <w:sz w:val="20"/>
              </w:rPr>
              <w:t xml:space="preserve"> </w:t>
            </w:r>
            <w:r w:rsidRPr="00147C21">
              <w:rPr>
                <w:sz w:val="20"/>
              </w:rPr>
              <w:t>per Position ($000)</w:t>
            </w:r>
          </w:p>
        </w:tc>
        <w:tc>
          <w:tcPr>
            <w:tcW w:w="1260" w:type="dxa"/>
            <w:shd w:val="clear" w:color="auto" w:fill="E0E0E0"/>
            <w:vAlign w:val="center"/>
          </w:tcPr>
          <w:p w:rsidR="007347C4" w:rsidRPr="0035143D" w:rsidRDefault="007347C4" w:rsidP="00DD5E20">
            <w:pPr>
              <w:jc w:val="center"/>
              <w:rPr>
                <w:sz w:val="20"/>
                <w:highlight w:val="yellow"/>
              </w:rPr>
            </w:pPr>
            <w:r w:rsidRPr="00147C21">
              <w:rPr>
                <w:sz w:val="20"/>
              </w:rPr>
              <w:t>Number of</w:t>
            </w:r>
            <w:r>
              <w:rPr>
                <w:sz w:val="20"/>
              </w:rPr>
              <w:t xml:space="preserve"> </w:t>
            </w:r>
            <w:r w:rsidRPr="00147C21">
              <w:rPr>
                <w:sz w:val="20"/>
              </w:rPr>
              <w:t>Positions</w:t>
            </w:r>
            <w:r>
              <w:rPr>
                <w:sz w:val="20"/>
              </w:rPr>
              <w:t xml:space="preserve"> </w:t>
            </w:r>
            <w:r w:rsidRPr="00147C21">
              <w:rPr>
                <w:sz w:val="20"/>
              </w:rPr>
              <w:t>Requested</w:t>
            </w:r>
          </w:p>
        </w:tc>
        <w:tc>
          <w:tcPr>
            <w:tcW w:w="1530" w:type="dxa"/>
            <w:shd w:val="clear" w:color="auto" w:fill="E0E0E0"/>
            <w:vAlign w:val="center"/>
          </w:tcPr>
          <w:p w:rsidR="007347C4" w:rsidRPr="0035143D" w:rsidRDefault="007347C4" w:rsidP="00DD5E20">
            <w:pPr>
              <w:jc w:val="center"/>
              <w:rPr>
                <w:sz w:val="20"/>
                <w:highlight w:val="yellow"/>
              </w:rPr>
            </w:pPr>
            <w:r w:rsidRPr="00147C21">
              <w:rPr>
                <w:sz w:val="20"/>
              </w:rPr>
              <w:t>FY 201</w:t>
            </w:r>
            <w:r>
              <w:rPr>
                <w:sz w:val="20"/>
              </w:rPr>
              <w:t xml:space="preserve">2 </w:t>
            </w:r>
            <w:r w:rsidRPr="00147C21">
              <w:rPr>
                <w:sz w:val="20"/>
              </w:rPr>
              <w:t>Request ($000)</w:t>
            </w:r>
          </w:p>
        </w:tc>
        <w:tc>
          <w:tcPr>
            <w:tcW w:w="1890" w:type="dxa"/>
            <w:shd w:val="clear" w:color="auto" w:fill="E0E0E0"/>
            <w:vAlign w:val="center"/>
          </w:tcPr>
          <w:p w:rsidR="007347C4" w:rsidRPr="00147C21" w:rsidRDefault="007347C4" w:rsidP="00DD5E20">
            <w:pPr>
              <w:jc w:val="center"/>
              <w:rPr>
                <w:sz w:val="20"/>
              </w:rPr>
            </w:pPr>
            <w:r w:rsidRPr="00147C21">
              <w:rPr>
                <w:sz w:val="20"/>
              </w:rPr>
              <w:t>FY 201</w:t>
            </w:r>
            <w:r>
              <w:rPr>
                <w:sz w:val="20"/>
              </w:rPr>
              <w:t>3</w:t>
            </w:r>
            <w:r w:rsidRPr="00147C21">
              <w:rPr>
                <w:sz w:val="20"/>
              </w:rPr>
              <w:t xml:space="preserve"> Net Annualization</w:t>
            </w:r>
          </w:p>
          <w:p w:rsidR="007347C4" w:rsidRPr="0035143D" w:rsidRDefault="007347C4" w:rsidP="00DD5E20">
            <w:pPr>
              <w:jc w:val="center"/>
              <w:rPr>
                <w:sz w:val="20"/>
                <w:highlight w:val="yellow"/>
              </w:rPr>
            </w:pPr>
            <w:r w:rsidRPr="00147C21">
              <w:rPr>
                <w:sz w:val="20"/>
              </w:rPr>
              <w:t>(change from 201</w:t>
            </w:r>
            <w:r>
              <w:rPr>
                <w:sz w:val="20"/>
              </w:rPr>
              <w:t>2</w:t>
            </w:r>
            <w:r w:rsidRPr="00147C21">
              <w:rPr>
                <w:sz w:val="20"/>
              </w:rPr>
              <w:t>)</w:t>
            </w:r>
            <w:r>
              <w:rPr>
                <w:sz w:val="20"/>
              </w:rPr>
              <w:t xml:space="preserve"> </w:t>
            </w:r>
            <w:r w:rsidRPr="00147C21">
              <w:rPr>
                <w:sz w:val="20"/>
              </w:rPr>
              <w:t>($000)</w:t>
            </w:r>
          </w:p>
        </w:tc>
        <w:tc>
          <w:tcPr>
            <w:tcW w:w="1818" w:type="dxa"/>
            <w:shd w:val="clear" w:color="auto" w:fill="E0E0E0"/>
          </w:tcPr>
          <w:p w:rsidR="007347C4" w:rsidRPr="00147C21" w:rsidRDefault="007347C4" w:rsidP="007347C4">
            <w:pPr>
              <w:jc w:val="center"/>
              <w:rPr>
                <w:sz w:val="20"/>
              </w:rPr>
            </w:pPr>
            <w:r w:rsidRPr="00147C21">
              <w:rPr>
                <w:sz w:val="20"/>
              </w:rPr>
              <w:t>FY 201</w:t>
            </w:r>
            <w:r>
              <w:rPr>
                <w:sz w:val="20"/>
              </w:rPr>
              <w:t>4</w:t>
            </w:r>
            <w:r w:rsidRPr="00147C21">
              <w:rPr>
                <w:sz w:val="20"/>
              </w:rPr>
              <w:t xml:space="preserve"> Net Annualization</w:t>
            </w:r>
          </w:p>
          <w:p w:rsidR="007347C4" w:rsidRPr="00147C21" w:rsidRDefault="007347C4" w:rsidP="007347C4">
            <w:pPr>
              <w:jc w:val="center"/>
              <w:rPr>
                <w:sz w:val="20"/>
              </w:rPr>
            </w:pPr>
            <w:r w:rsidRPr="00147C21">
              <w:rPr>
                <w:sz w:val="20"/>
              </w:rPr>
              <w:t>(change from 201</w:t>
            </w:r>
            <w:r>
              <w:rPr>
                <w:sz w:val="20"/>
              </w:rPr>
              <w:t>3</w:t>
            </w:r>
            <w:r w:rsidRPr="00147C21">
              <w:rPr>
                <w:sz w:val="20"/>
              </w:rPr>
              <w:t>)</w:t>
            </w:r>
            <w:r>
              <w:rPr>
                <w:sz w:val="20"/>
              </w:rPr>
              <w:t xml:space="preserve"> </w:t>
            </w:r>
            <w:r w:rsidRPr="00147C21">
              <w:rPr>
                <w:sz w:val="20"/>
              </w:rPr>
              <w:t>($000)</w:t>
            </w:r>
          </w:p>
        </w:tc>
      </w:tr>
      <w:tr w:rsidR="007347C4" w:rsidRPr="0035143D" w:rsidTr="007347C4">
        <w:tc>
          <w:tcPr>
            <w:tcW w:w="1619" w:type="dxa"/>
            <w:vAlign w:val="center"/>
          </w:tcPr>
          <w:p w:rsidR="007347C4" w:rsidRPr="00E16F1D" w:rsidRDefault="007347C4" w:rsidP="00DD5E20">
            <w:pPr>
              <w:rPr>
                <w:b/>
                <w:bCs/>
                <w:i/>
                <w:iCs/>
              </w:rPr>
            </w:pPr>
          </w:p>
        </w:tc>
        <w:tc>
          <w:tcPr>
            <w:tcW w:w="1459" w:type="dxa"/>
            <w:vAlign w:val="bottom"/>
          </w:tcPr>
          <w:p w:rsidR="007347C4" w:rsidRPr="00FA7857" w:rsidRDefault="007347C4" w:rsidP="00DD5E20">
            <w:pPr>
              <w:pStyle w:val="xl19"/>
              <w:jc w:val="right"/>
            </w:pPr>
          </w:p>
        </w:tc>
        <w:tc>
          <w:tcPr>
            <w:tcW w:w="1260" w:type="dxa"/>
            <w:vAlign w:val="bottom"/>
          </w:tcPr>
          <w:p w:rsidR="007347C4" w:rsidRPr="00FA7857" w:rsidRDefault="007347C4" w:rsidP="00DD5E20">
            <w:pPr>
              <w:jc w:val="right"/>
            </w:pPr>
          </w:p>
        </w:tc>
        <w:tc>
          <w:tcPr>
            <w:tcW w:w="1530" w:type="dxa"/>
            <w:vAlign w:val="bottom"/>
          </w:tcPr>
          <w:p w:rsidR="007347C4" w:rsidRPr="00FA7857" w:rsidRDefault="007347C4" w:rsidP="00DD5E20">
            <w:pPr>
              <w:jc w:val="right"/>
            </w:pPr>
          </w:p>
        </w:tc>
        <w:tc>
          <w:tcPr>
            <w:tcW w:w="1890" w:type="dxa"/>
            <w:vAlign w:val="bottom"/>
          </w:tcPr>
          <w:p w:rsidR="007347C4" w:rsidRPr="00FA7857" w:rsidRDefault="007347C4" w:rsidP="00DD5E20">
            <w:pPr>
              <w:jc w:val="right"/>
            </w:pPr>
          </w:p>
        </w:tc>
        <w:tc>
          <w:tcPr>
            <w:tcW w:w="1818" w:type="dxa"/>
          </w:tcPr>
          <w:p w:rsidR="007347C4" w:rsidRPr="00FA7857" w:rsidRDefault="007347C4" w:rsidP="00DD5E20">
            <w:pPr>
              <w:jc w:val="right"/>
            </w:pPr>
          </w:p>
        </w:tc>
      </w:tr>
      <w:tr w:rsidR="007347C4" w:rsidRPr="0035143D" w:rsidTr="007347C4">
        <w:tc>
          <w:tcPr>
            <w:tcW w:w="1619" w:type="dxa"/>
            <w:shd w:val="clear" w:color="auto" w:fill="EAEAEA"/>
            <w:vAlign w:val="center"/>
          </w:tcPr>
          <w:p w:rsidR="007347C4" w:rsidRPr="00305BA6" w:rsidRDefault="007347C4" w:rsidP="00DD5E20">
            <w:pPr>
              <w:jc w:val="right"/>
            </w:pPr>
          </w:p>
        </w:tc>
        <w:tc>
          <w:tcPr>
            <w:tcW w:w="1459" w:type="dxa"/>
            <w:shd w:val="clear" w:color="auto" w:fill="EAEAEA"/>
            <w:vAlign w:val="bottom"/>
          </w:tcPr>
          <w:p w:rsidR="007347C4" w:rsidRPr="00305BA6" w:rsidRDefault="007347C4" w:rsidP="00DD5E20">
            <w:pPr>
              <w:pStyle w:val="xl19"/>
              <w:jc w:val="right"/>
            </w:pPr>
          </w:p>
        </w:tc>
        <w:tc>
          <w:tcPr>
            <w:tcW w:w="1260" w:type="dxa"/>
            <w:shd w:val="clear" w:color="auto" w:fill="EAEAEA"/>
            <w:vAlign w:val="bottom"/>
          </w:tcPr>
          <w:p w:rsidR="007347C4" w:rsidRPr="00305BA6" w:rsidRDefault="007347C4" w:rsidP="00DD5E20">
            <w:pPr>
              <w:jc w:val="right"/>
            </w:pPr>
          </w:p>
        </w:tc>
        <w:tc>
          <w:tcPr>
            <w:tcW w:w="1530" w:type="dxa"/>
            <w:shd w:val="clear" w:color="auto" w:fill="EAEAEA"/>
            <w:vAlign w:val="bottom"/>
          </w:tcPr>
          <w:p w:rsidR="007347C4" w:rsidRPr="00305BA6" w:rsidRDefault="007347C4" w:rsidP="00DD5E20">
            <w:pPr>
              <w:jc w:val="right"/>
            </w:pPr>
          </w:p>
        </w:tc>
        <w:tc>
          <w:tcPr>
            <w:tcW w:w="1890" w:type="dxa"/>
            <w:shd w:val="clear" w:color="auto" w:fill="EAEAEA"/>
            <w:vAlign w:val="bottom"/>
          </w:tcPr>
          <w:p w:rsidR="007347C4" w:rsidRPr="00305BA6" w:rsidRDefault="007347C4" w:rsidP="00DD5E20">
            <w:pPr>
              <w:jc w:val="right"/>
            </w:pPr>
          </w:p>
        </w:tc>
        <w:tc>
          <w:tcPr>
            <w:tcW w:w="1818" w:type="dxa"/>
            <w:shd w:val="clear" w:color="auto" w:fill="EAEAEA"/>
          </w:tcPr>
          <w:p w:rsidR="007347C4" w:rsidRPr="00305BA6" w:rsidRDefault="007347C4" w:rsidP="00DD5E20">
            <w:pPr>
              <w:jc w:val="right"/>
            </w:pPr>
          </w:p>
        </w:tc>
      </w:tr>
      <w:tr w:rsidR="007347C4" w:rsidRPr="0035143D" w:rsidTr="007347C4">
        <w:tc>
          <w:tcPr>
            <w:tcW w:w="1619" w:type="dxa"/>
            <w:vAlign w:val="center"/>
          </w:tcPr>
          <w:p w:rsidR="007347C4" w:rsidRPr="00E16F1D" w:rsidRDefault="007347C4" w:rsidP="00DD5E20"/>
        </w:tc>
        <w:tc>
          <w:tcPr>
            <w:tcW w:w="1459" w:type="dxa"/>
            <w:vAlign w:val="bottom"/>
          </w:tcPr>
          <w:p w:rsidR="007347C4" w:rsidRDefault="007347C4" w:rsidP="00DD5E20">
            <w:pPr>
              <w:pStyle w:val="xl19"/>
              <w:jc w:val="right"/>
            </w:pPr>
          </w:p>
        </w:tc>
        <w:tc>
          <w:tcPr>
            <w:tcW w:w="1260" w:type="dxa"/>
            <w:vAlign w:val="bottom"/>
          </w:tcPr>
          <w:p w:rsidR="007347C4" w:rsidRDefault="007347C4" w:rsidP="00DD5E20">
            <w:pPr>
              <w:jc w:val="right"/>
              <w:rPr>
                <w:bCs/>
              </w:rPr>
            </w:pPr>
          </w:p>
        </w:tc>
        <w:tc>
          <w:tcPr>
            <w:tcW w:w="1530" w:type="dxa"/>
            <w:vAlign w:val="bottom"/>
          </w:tcPr>
          <w:p w:rsidR="007347C4" w:rsidRDefault="007347C4" w:rsidP="00DD5E20">
            <w:pPr>
              <w:jc w:val="right"/>
            </w:pPr>
          </w:p>
        </w:tc>
        <w:tc>
          <w:tcPr>
            <w:tcW w:w="1890" w:type="dxa"/>
            <w:vAlign w:val="bottom"/>
          </w:tcPr>
          <w:p w:rsidR="007347C4" w:rsidRDefault="007347C4" w:rsidP="00DD5E20">
            <w:pPr>
              <w:jc w:val="right"/>
            </w:pPr>
          </w:p>
        </w:tc>
        <w:tc>
          <w:tcPr>
            <w:tcW w:w="1818" w:type="dxa"/>
          </w:tcPr>
          <w:p w:rsidR="007347C4" w:rsidRDefault="007347C4" w:rsidP="00DD5E20">
            <w:pPr>
              <w:jc w:val="right"/>
            </w:pPr>
          </w:p>
        </w:tc>
      </w:tr>
      <w:tr w:rsidR="007347C4" w:rsidRPr="0035143D" w:rsidTr="007347C4">
        <w:tc>
          <w:tcPr>
            <w:tcW w:w="1619" w:type="dxa"/>
            <w:shd w:val="clear" w:color="auto" w:fill="E0E0E0"/>
            <w:vAlign w:val="center"/>
          </w:tcPr>
          <w:p w:rsidR="007347C4" w:rsidRPr="00AE5137" w:rsidRDefault="007347C4" w:rsidP="00DD5E20">
            <w:pPr>
              <w:jc w:val="right"/>
              <w:rPr>
                <w:b/>
              </w:rPr>
            </w:pPr>
            <w:r w:rsidRPr="00AE5137">
              <w:rPr>
                <w:b/>
                <w:sz w:val="22"/>
                <w:szCs w:val="22"/>
              </w:rPr>
              <w:t>Total Personnel</w:t>
            </w:r>
          </w:p>
        </w:tc>
        <w:tc>
          <w:tcPr>
            <w:tcW w:w="1459" w:type="dxa"/>
            <w:shd w:val="clear" w:color="auto" w:fill="E0E0E0"/>
            <w:vAlign w:val="bottom"/>
          </w:tcPr>
          <w:p w:rsidR="007347C4" w:rsidRPr="00AE5137" w:rsidRDefault="007347C4" w:rsidP="00DD5E20">
            <w:pPr>
              <w:pStyle w:val="xl19"/>
              <w:jc w:val="right"/>
              <w:rPr>
                <w:b/>
              </w:rPr>
            </w:pPr>
          </w:p>
        </w:tc>
        <w:tc>
          <w:tcPr>
            <w:tcW w:w="1260" w:type="dxa"/>
            <w:shd w:val="clear" w:color="auto" w:fill="E0E0E0"/>
            <w:vAlign w:val="bottom"/>
          </w:tcPr>
          <w:p w:rsidR="007347C4" w:rsidRPr="00AE5137" w:rsidRDefault="007347C4" w:rsidP="00DD5E20">
            <w:pPr>
              <w:jc w:val="right"/>
              <w:rPr>
                <w:b/>
              </w:rPr>
            </w:pPr>
          </w:p>
        </w:tc>
        <w:tc>
          <w:tcPr>
            <w:tcW w:w="1530" w:type="dxa"/>
            <w:shd w:val="clear" w:color="auto" w:fill="E0E0E0"/>
            <w:vAlign w:val="bottom"/>
          </w:tcPr>
          <w:p w:rsidR="007347C4" w:rsidRPr="00AE5137" w:rsidRDefault="007347C4" w:rsidP="00DD5E20">
            <w:pPr>
              <w:jc w:val="right"/>
              <w:rPr>
                <w:b/>
              </w:rPr>
            </w:pPr>
          </w:p>
        </w:tc>
        <w:tc>
          <w:tcPr>
            <w:tcW w:w="1890" w:type="dxa"/>
            <w:shd w:val="clear" w:color="auto" w:fill="E0E0E0"/>
            <w:vAlign w:val="bottom"/>
          </w:tcPr>
          <w:p w:rsidR="007347C4" w:rsidRPr="00AE5137" w:rsidRDefault="007347C4" w:rsidP="00DD5E20">
            <w:pPr>
              <w:jc w:val="right"/>
              <w:rPr>
                <w:b/>
              </w:rPr>
            </w:pPr>
          </w:p>
        </w:tc>
        <w:tc>
          <w:tcPr>
            <w:tcW w:w="1818" w:type="dxa"/>
            <w:shd w:val="clear" w:color="auto" w:fill="E0E0E0"/>
          </w:tcPr>
          <w:p w:rsidR="007347C4" w:rsidRPr="00AE5137" w:rsidRDefault="007347C4" w:rsidP="00DD5E20">
            <w:pPr>
              <w:jc w:val="right"/>
              <w:rPr>
                <w:b/>
              </w:rPr>
            </w:pPr>
          </w:p>
        </w:tc>
      </w:tr>
    </w:tbl>
    <w:p w:rsidR="00792AD1" w:rsidRPr="0035143D" w:rsidRDefault="00792AD1" w:rsidP="00792AD1">
      <w:pPr>
        <w:rPr>
          <w:highlight w:val="yellow"/>
        </w:rPr>
      </w:pPr>
    </w:p>
    <w:p w:rsidR="00792AD1" w:rsidRPr="00F65EDB" w:rsidRDefault="00792AD1" w:rsidP="00792AD1">
      <w:pPr>
        <w:outlineLvl w:val="0"/>
        <w:rPr>
          <w:u w:val="single"/>
        </w:rPr>
      </w:pPr>
      <w:r w:rsidRPr="00F65EDB">
        <w:rPr>
          <w:u w:val="single"/>
        </w:rPr>
        <w:t xml:space="preserve">Non-Personnel Increase Cost Summary </w:t>
      </w:r>
    </w:p>
    <w:p w:rsidR="00792AD1" w:rsidRPr="00F65EDB" w:rsidRDefault="00792AD1" w:rsidP="00792AD1"/>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2"/>
        <w:gridCol w:w="1049"/>
        <w:gridCol w:w="1049"/>
        <w:gridCol w:w="1530"/>
        <w:gridCol w:w="1980"/>
        <w:gridCol w:w="1980"/>
      </w:tblGrid>
      <w:tr w:rsidR="00005511" w:rsidRPr="00F65EDB" w:rsidTr="00C431B3">
        <w:tc>
          <w:tcPr>
            <w:tcW w:w="1952" w:type="dxa"/>
            <w:shd w:val="clear" w:color="auto" w:fill="E6E6E6"/>
            <w:vAlign w:val="center"/>
          </w:tcPr>
          <w:p w:rsidR="007347C4" w:rsidRPr="007347C4" w:rsidRDefault="007347C4" w:rsidP="00DD5E20">
            <w:pPr>
              <w:jc w:val="center"/>
              <w:rPr>
                <w:sz w:val="20"/>
                <w:szCs w:val="20"/>
              </w:rPr>
            </w:pPr>
            <w:r w:rsidRPr="007347C4">
              <w:rPr>
                <w:sz w:val="20"/>
                <w:szCs w:val="20"/>
              </w:rPr>
              <w:t>Non-Personnel Item</w:t>
            </w:r>
          </w:p>
        </w:tc>
        <w:tc>
          <w:tcPr>
            <w:tcW w:w="1049" w:type="dxa"/>
            <w:vAlign w:val="center"/>
          </w:tcPr>
          <w:p w:rsidR="007347C4" w:rsidRPr="007347C4" w:rsidRDefault="007347C4" w:rsidP="00DD5E20">
            <w:pPr>
              <w:jc w:val="center"/>
              <w:rPr>
                <w:sz w:val="20"/>
                <w:szCs w:val="20"/>
              </w:rPr>
            </w:pPr>
            <w:r w:rsidRPr="007347C4">
              <w:rPr>
                <w:sz w:val="20"/>
                <w:szCs w:val="20"/>
              </w:rPr>
              <w:t>Unit Cost</w:t>
            </w:r>
            <w:r>
              <w:rPr>
                <w:sz w:val="20"/>
                <w:szCs w:val="20"/>
              </w:rPr>
              <w:t xml:space="preserve"> </w:t>
            </w:r>
            <w:r w:rsidRPr="007347C4">
              <w:rPr>
                <w:sz w:val="20"/>
                <w:szCs w:val="20"/>
              </w:rPr>
              <w:t>($000)</w:t>
            </w:r>
          </w:p>
        </w:tc>
        <w:tc>
          <w:tcPr>
            <w:tcW w:w="1049" w:type="dxa"/>
            <w:vAlign w:val="center"/>
          </w:tcPr>
          <w:p w:rsidR="007347C4" w:rsidRPr="007347C4" w:rsidRDefault="007347C4" w:rsidP="00DD5E20">
            <w:pPr>
              <w:jc w:val="center"/>
              <w:rPr>
                <w:sz w:val="20"/>
                <w:szCs w:val="20"/>
              </w:rPr>
            </w:pPr>
            <w:r w:rsidRPr="007347C4">
              <w:rPr>
                <w:sz w:val="20"/>
                <w:szCs w:val="20"/>
              </w:rPr>
              <w:t>Quantity</w:t>
            </w:r>
          </w:p>
        </w:tc>
        <w:tc>
          <w:tcPr>
            <w:tcW w:w="1530" w:type="dxa"/>
            <w:vAlign w:val="center"/>
          </w:tcPr>
          <w:p w:rsidR="007347C4" w:rsidRPr="007347C4" w:rsidRDefault="007347C4" w:rsidP="00DD5E20">
            <w:pPr>
              <w:jc w:val="center"/>
              <w:rPr>
                <w:sz w:val="20"/>
                <w:szCs w:val="20"/>
              </w:rPr>
            </w:pPr>
            <w:r w:rsidRPr="007347C4">
              <w:rPr>
                <w:sz w:val="20"/>
                <w:szCs w:val="20"/>
              </w:rPr>
              <w:t>FY 2012 Request</w:t>
            </w:r>
            <w:r>
              <w:rPr>
                <w:sz w:val="20"/>
                <w:szCs w:val="20"/>
              </w:rPr>
              <w:t xml:space="preserve"> </w:t>
            </w:r>
            <w:r w:rsidRPr="007347C4">
              <w:rPr>
                <w:sz w:val="20"/>
                <w:szCs w:val="20"/>
              </w:rPr>
              <w:t>($000)</w:t>
            </w:r>
          </w:p>
        </w:tc>
        <w:tc>
          <w:tcPr>
            <w:tcW w:w="1980" w:type="dxa"/>
            <w:vAlign w:val="center"/>
          </w:tcPr>
          <w:p w:rsidR="007347C4" w:rsidRPr="007347C4" w:rsidRDefault="007347C4" w:rsidP="00DD5E20">
            <w:pPr>
              <w:jc w:val="center"/>
              <w:rPr>
                <w:sz w:val="20"/>
                <w:szCs w:val="20"/>
              </w:rPr>
            </w:pPr>
            <w:r w:rsidRPr="007347C4">
              <w:rPr>
                <w:sz w:val="20"/>
                <w:szCs w:val="20"/>
              </w:rPr>
              <w:t>FY 2013 Net</w:t>
            </w:r>
          </w:p>
          <w:p w:rsidR="007347C4" w:rsidRPr="007347C4" w:rsidRDefault="007347C4" w:rsidP="00DD5E20">
            <w:pPr>
              <w:jc w:val="center"/>
              <w:rPr>
                <w:sz w:val="20"/>
                <w:szCs w:val="20"/>
              </w:rPr>
            </w:pPr>
            <w:r w:rsidRPr="007347C4">
              <w:rPr>
                <w:sz w:val="20"/>
                <w:szCs w:val="20"/>
              </w:rPr>
              <w:t>Annualization</w:t>
            </w:r>
          </w:p>
          <w:p w:rsidR="007347C4" w:rsidRPr="007347C4" w:rsidRDefault="007347C4" w:rsidP="00DD5E20">
            <w:pPr>
              <w:jc w:val="center"/>
              <w:rPr>
                <w:sz w:val="20"/>
                <w:szCs w:val="20"/>
              </w:rPr>
            </w:pPr>
            <w:r w:rsidRPr="007347C4">
              <w:rPr>
                <w:sz w:val="20"/>
                <w:szCs w:val="20"/>
              </w:rPr>
              <w:t>(Change from 2013)</w:t>
            </w:r>
            <w:r>
              <w:rPr>
                <w:sz w:val="20"/>
                <w:szCs w:val="20"/>
              </w:rPr>
              <w:t xml:space="preserve"> </w:t>
            </w:r>
            <w:r w:rsidRPr="007347C4">
              <w:rPr>
                <w:sz w:val="20"/>
                <w:szCs w:val="20"/>
              </w:rPr>
              <w:t>($000)</w:t>
            </w:r>
          </w:p>
        </w:tc>
        <w:tc>
          <w:tcPr>
            <w:tcW w:w="1980" w:type="dxa"/>
          </w:tcPr>
          <w:p w:rsidR="00005511" w:rsidRPr="00147C21" w:rsidRDefault="00005511" w:rsidP="00005511">
            <w:pPr>
              <w:jc w:val="center"/>
              <w:rPr>
                <w:sz w:val="20"/>
              </w:rPr>
            </w:pPr>
            <w:r w:rsidRPr="00147C21">
              <w:rPr>
                <w:sz w:val="20"/>
              </w:rPr>
              <w:t>FY 201</w:t>
            </w:r>
            <w:r>
              <w:rPr>
                <w:sz w:val="20"/>
              </w:rPr>
              <w:t>4</w:t>
            </w:r>
            <w:r w:rsidRPr="00147C21">
              <w:rPr>
                <w:sz w:val="20"/>
              </w:rPr>
              <w:t xml:space="preserve"> Net Annualization</w:t>
            </w:r>
          </w:p>
          <w:p w:rsidR="007347C4" w:rsidRPr="007347C4" w:rsidRDefault="00005511" w:rsidP="00005511">
            <w:pPr>
              <w:jc w:val="center"/>
              <w:rPr>
                <w:sz w:val="20"/>
                <w:szCs w:val="20"/>
              </w:rPr>
            </w:pPr>
            <w:r w:rsidRPr="00147C21">
              <w:rPr>
                <w:sz w:val="20"/>
              </w:rPr>
              <w:t>(change from 201</w:t>
            </w:r>
            <w:r>
              <w:rPr>
                <w:sz w:val="20"/>
              </w:rPr>
              <w:t>3</w:t>
            </w:r>
            <w:r w:rsidRPr="00147C21">
              <w:rPr>
                <w:sz w:val="20"/>
              </w:rPr>
              <w:t>)</w:t>
            </w:r>
            <w:r>
              <w:rPr>
                <w:sz w:val="20"/>
              </w:rPr>
              <w:t xml:space="preserve"> </w:t>
            </w:r>
            <w:r w:rsidRPr="00147C21">
              <w:rPr>
                <w:sz w:val="20"/>
              </w:rPr>
              <w:t>($000)</w:t>
            </w:r>
          </w:p>
        </w:tc>
      </w:tr>
      <w:tr w:rsidR="00005511" w:rsidRPr="00927AC8" w:rsidTr="00C431B3">
        <w:trPr>
          <w:trHeight w:val="305"/>
        </w:trPr>
        <w:tc>
          <w:tcPr>
            <w:tcW w:w="1952" w:type="dxa"/>
            <w:vAlign w:val="center"/>
          </w:tcPr>
          <w:p w:rsidR="007347C4" w:rsidRPr="007347C4" w:rsidRDefault="007347C4" w:rsidP="00DD5E20">
            <w:pPr>
              <w:autoSpaceDE w:val="0"/>
              <w:autoSpaceDN w:val="0"/>
              <w:adjustRightInd w:val="0"/>
              <w:rPr>
                <w:sz w:val="20"/>
                <w:szCs w:val="20"/>
              </w:rPr>
            </w:pPr>
            <w:r w:rsidRPr="007347C4">
              <w:rPr>
                <w:sz w:val="20"/>
                <w:szCs w:val="20"/>
              </w:rPr>
              <w:t>Supplies and Materials</w:t>
            </w:r>
          </w:p>
        </w:tc>
        <w:tc>
          <w:tcPr>
            <w:tcW w:w="1049" w:type="dxa"/>
            <w:vAlign w:val="bottom"/>
          </w:tcPr>
          <w:p w:rsidR="007347C4" w:rsidRPr="007347C4" w:rsidRDefault="007347C4" w:rsidP="00DD5E20">
            <w:pPr>
              <w:pStyle w:val="xl19"/>
              <w:jc w:val="right"/>
              <w:rPr>
                <w:sz w:val="20"/>
                <w:szCs w:val="20"/>
              </w:rPr>
            </w:pPr>
          </w:p>
        </w:tc>
        <w:tc>
          <w:tcPr>
            <w:tcW w:w="1049" w:type="dxa"/>
            <w:vAlign w:val="bottom"/>
          </w:tcPr>
          <w:p w:rsidR="007347C4" w:rsidRPr="007347C4" w:rsidRDefault="007347C4" w:rsidP="00DD5E20">
            <w:pPr>
              <w:jc w:val="right"/>
              <w:rPr>
                <w:sz w:val="20"/>
                <w:szCs w:val="20"/>
              </w:rPr>
            </w:pPr>
          </w:p>
        </w:tc>
        <w:tc>
          <w:tcPr>
            <w:tcW w:w="1530" w:type="dxa"/>
            <w:vAlign w:val="bottom"/>
          </w:tcPr>
          <w:p w:rsidR="007347C4" w:rsidRPr="007347C4" w:rsidRDefault="007347C4" w:rsidP="00DD5E20">
            <w:pPr>
              <w:jc w:val="right"/>
              <w:rPr>
                <w:sz w:val="20"/>
                <w:szCs w:val="20"/>
              </w:rPr>
            </w:pPr>
            <w:r w:rsidRPr="007347C4">
              <w:rPr>
                <w:sz w:val="20"/>
                <w:szCs w:val="20"/>
              </w:rPr>
              <w:t>(373)</w:t>
            </w:r>
          </w:p>
        </w:tc>
        <w:tc>
          <w:tcPr>
            <w:tcW w:w="1980" w:type="dxa"/>
            <w:vAlign w:val="bottom"/>
          </w:tcPr>
          <w:p w:rsidR="007347C4" w:rsidRPr="007347C4" w:rsidRDefault="007347C4" w:rsidP="00DD5E20">
            <w:pPr>
              <w:jc w:val="right"/>
              <w:rPr>
                <w:sz w:val="20"/>
                <w:szCs w:val="20"/>
              </w:rPr>
            </w:pPr>
            <w:r w:rsidRPr="007347C4">
              <w:rPr>
                <w:sz w:val="20"/>
                <w:szCs w:val="20"/>
              </w:rPr>
              <w:t>0</w:t>
            </w:r>
          </w:p>
        </w:tc>
        <w:tc>
          <w:tcPr>
            <w:tcW w:w="1980" w:type="dxa"/>
          </w:tcPr>
          <w:p w:rsidR="007347C4" w:rsidRPr="007347C4" w:rsidRDefault="007347C4" w:rsidP="00DD5E20">
            <w:pPr>
              <w:jc w:val="right"/>
              <w:rPr>
                <w:sz w:val="20"/>
                <w:szCs w:val="20"/>
              </w:rPr>
            </w:pPr>
          </w:p>
        </w:tc>
      </w:tr>
      <w:tr w:rsidR="00005511" w:rsidRPr="00F65EDB" w:rsidTr="00C431B3">
        <w:trPr>
          <w:trHeight w:val="350"/>
        </w:trPr>
        <w:tc>
          <w:tcPr>
            <w:tcW w:w="1952" w:type="dxa"/>
            <w:shd w:val="pct10" w:color="auto" w:fill="auto"/>
            <w:vAlign w:val="center"/>
          </w:tcPr>
          <w:p w:rsidR="007347C4" w:rsidRPr="007347C4" w:rsidRDefault="007347C4" w:rsidP="00DD5E20">
            <w:pPr>
              <w:rPr>
                <w:b/>
                <w:sz w:val="20"/>
                <w:szCs w:val="20"/>
              </w:rPr>
            </w:pPr>
            <w:r w:rsidRPr="007347C4">
              <w:rPr>
                <w:b/>
                <w:sz w:val="20"/>
                <w:szCs w:val="20"/>
              </w:rPr>
              <w:t>Total Non-Personnel</w:t>
            </w:r>
          </w:p>
        </w:tc>
        <w:tc>
          <w:tcPr>
            <w:tcW w:w="1049" w:type="dxa"/>
            <w:shd w:val="pct10" w:color="auto" w:fill="auto"/>
            <w:vAlign w:val="bottom"/>
          </w:tcPr>
          <w:p w:rsidR="007347C4" w:rsidRPr="007347C4" w:rsidRDefault="007347C4" w:rsidP="00DD5E20">
            <w:pPr>
              <w:pStyle w:val="xl19"/>
              <w:jc w:val="right"/>
              <w:rPr>
                <w:b/>
                <w:sz w:val="20"/>
                <w:szCs w:val="20"/>
              </w:rPr>
            </w:pPr>
          </w:p>
        </w:tc>
        <w:tc>
          <w:tcPr>
            <w:tcW w:w="1049" w:type="dxa"/>
            <w:shd w:val="pct10" w:color="auto" w:fill="auto"/>
            <w:vAlign w:val="bottom"/>
          </w:tcPr>
          <w:p w:rsidR="007347C4" w:rsidRPr="007347C4" w:rsidRDefault="007347C4" w:rsidP="00DD5E20">
            <w:pPr>
              <w:jc w:val="right"/>
              <w:rPr>
                <w:b/>
                <w:sz w:val="20"/>
                <w:szCs w:val="20"/>
              </w:rPr>
            </w:pPr>
          </w:p>
        </w:tc>
        <w:tc>
          <w:tcPr>
            <w:tcW w:w="1530" w:type="dxa"/>
            <w:shd w:val="pct10" w:color="auto" w:fill="auto"/>
            <w:vAlign w:val="bottom"/>
          </w:tcPr>
          <w:p w:rsidR="007347C4" w:rsidRPr="007347C4" w:rsidRDefault="007347C4" w:rsidP="00DD5E20">
            <w:pPr>
              <w:jc w:val="right"/>
              <w:rPr>
                <w:b/>
                <w:sz w:val="20"/>
                <w:szCs w:val="20"/>
              </w:rPr>
            </w:pPr>
            <w:r w:rsidRPr="007347C4">
              <w:rPr>
                <w:b/>
                <w:sz w:val="20"/>
                <w:szCs w:val="20"/>
              </w:rPr>
              <w:t>(373)</w:t>
            </w:r>
          </w:p>
        </w:tc>
        <w:tc>
          <w:tcPr>
            <w:tcW w:w="1980" w:type="dxa"/>
            <w:shd w:val="pct10" w:color="auto" w:fill="auto"/>
            <w:vAlign w:val="bottom"/>
          </w:tcPr>
          <w:p w:rsidR="007347C4" w:rsidRPr="007347C4" w:rsidRDefault="007347C4" w:rsidP="00DD5E20">
            <w:pPr>
              <w:jc w:val="right"/>
              <w:rPr>
                <w:b/>
                <w:sz w:val="20"/>
                <w:szCs w:val="20"/>
              </w:rPr>
            </w:pPr>
            <w:r w:rsidRPr="007347C4">
              <w:rPr>
                <w:b/>
                <w:sz w:val="20"/>
                <w:szCs w:val="20"/>
              </w:rPr>
              <w:t>0</w:t>
            </w:r>
          </w:p>
        </w:tc>
        <w:tc>
          <w:tcPr>
            <w:tcW w:w="1980" w:type="dxa"/>
            <w:shd w:val="pct10" w:color="auto" w:fill="auto"/>
          </w:tcPr>
          <w:p w:rsidR="007347C4" w:rsidRPr="007347C4" w:rsidRDefault="007347C4" w:rsidP="00DD5E20">
            <w:pPr>
              <w:jc w:val="right"/>
              <w:rPr>
                <w:b/>
                <w:sz w:val="20"/>
                <w:szCs w:val="20"/>
              </w:rPr>
            </w:pPr>
          </w:p>
        </w:tc>
      </w:tr>
    </w:tbl>
    <w:p w:rsidR="00792AD1" w:rsidRDefault="00792AD1" w:rsidP="00792AD1">
      <w:pPr>
        <w:pStyle w:val="xl24"/>
        <w:tabs>
          <w:tab w:val="left" w:pos="3240"/>
        </w:tabs>
        <w:spacing w:before="0" w:beforeAutospacing="0" w:after="0" w:afterAutospacing="0"/>
        <w:outlineLvl w:val="0"/>
        <w:rPr>
          <w:u w:val="single"/>
        </w:rPr>
      </w:pPr>
    </w:p>
    <w:p w:rsidR="00792AD1" w:rsidRPr="00902EB4" w:rsidRDefault="00792AD1" w:rsidP="00792AD1">
      <w:pPr>
        <w:pStyle w:val="xl24"/>
        <w:tabs>
          <w:tab w:val="left" w:pos="3240"/>
        </w:tabs>
        <w:spacing w:before="0" w:beforeAutospacing="0" w:after="0" w:afterAutospacing="0"/>
        <w:outlineLvl w:val="0"/>
        <w:rPr>
          <w:u w:val="single"/>
        </w:rPr>
      </w:pPr>
      <w:r w:rsidRPr="00902EB4">
        <w:rPr>
          <w:u w:val="single"/>
        </w:rPr>
        <w:t>Total Request for this Item</w:t>
      </w:r>
    </w:p>
    <w:p w:rsidR="00792AD1" w:rsidRPr="00880707" w:rsidRDefault="00792AD1" w:rsidP="00792AD1">
      <w:pPr>
        <w:pStyle w:val="xl24"/>
        <w:spacing w:before="0" w:beforeAutospacing="0" w:after="0" w:afterAutospacing="0"/>
        <w:rPr>
          <w:b/>
          <w:highlight w:val="yellow"/>
          <w:u w:val="singl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5"/>
        <w:gridCol w:w="513"/>
        <w:gridCol w:w="540"/>
        <w:gridCol w:w="572"/>
        <w:gridCol w:w="1138"/>
        <w:gridCol w:w="1005"/>
        <w:gridCol w:w="795"/>
        <w:gridCol w:w="1890"/>
        <w:gridCol w:w="1818"/>
      </w:tblGrid>
      <w:tr w:rsidR="00005511" w:rsidRPr="00CC5993" w:rsidTr="00005511">
        <w:trPr>
          <w:trHeight w:val="332"/>
        </w:trPr>
        <w:tc>
          <w:tcPr>
            <w:tcW w:w="1305" w:type="dxa"/>
            <w:shd w:val="clear" w:color="auto" w:fill="E6E6E6"/>
          </w:tcPr>
          <w:p w:rsidR="00005511" w:rsidRPr="00005511" w:rsidRDefault="00005511" w:rsidP="00DD5E20">
            <w:pPr>
              <w:rPr>
                <w:sz w:val="20"/>
                <w:szCs w:val="20"/>
              </w:rPr>
            </w:pPr>
          </w:p>
        </w:tc>
        <w:tc>
          <w:tcPr>
            <w:tcW w:w="513" w:type="dxa"/>
            <w:vAlign w:val="center"/>
          </w:tcPr>
          <w:p w:rsidR="00005511" w:rsidRPr="00005511" w:rsidRDefault="00005511" w:rsidP="00DD5E20">
            <w:pPr>
              <w:jc w:val="center"/>
              <w:rPr>
                <w:sz w:val="20"/>
                <w:szCs w:val="20"/>
              </w:rPr>
            </w:pPr>
            <w:r w:rsidRPr="00005511">
              <w:rPr>
                <w:sz w:val="20"/>
                <w:szCs w:val="20"/>
              </w:rPr>
              <w:t>Pos</w:t>
            </w:r>
          </w:p>
        </w:tc>
        <w:tc>
          <w:tcPr>
            <w:tcW w:w="540" w:type="dxa"/>
            <w:vAlign w:val="center"/>
          </w:tcPr>
          <w:p w:rsidR="00005511" w:rsidRPr="00005511" w:rsidRDefault="00005511" w:rsidP="00DD5E20">
            <w:pPr>
              <w:jc w:val="center"/>
              <w:rPr>
                <w:sz w:val="20"/>
                <w:szCs w:val="20"/>
              </w:rPr>
            </w:pPr>
            <w:proofErr w:type="spellStart"/>
            <w:r w:rsidRPr="00005511">
              <w:rPr>
                <w:sz w:val="20"/>
                <w:szCs w:val="20"/>
              </w:rPr>
              <w:t>Agt</w:t>
            </w:r>
            <w:proofErr w:type="spellEnd"/>
          </w:p>
        </w:tc>
        <w:tc>
          <w:tcPr>
            <w:tcW w:w="572" w:type="dxa"/>
            <w:vAlign w:val="center"/>
          </w:tcPr>
          <w:p w:rsidR="00005511" w:rsidRPr="00005511" w:rsidRDefault="00005511" w:rsidP="00DD5E20">
            <w:pPr>
              <w:jc w:val="center"/>
              <w:rPr>
                <w:sz w:val="20"/>
                <w:szCs w:val="20"/>
              </w:rPr>
            </w:pPr>
            <w:r w:rsidRPr="00005511">
              <w:rPr>
                <w:sz w:val="20"/>
                <w:szCs w:val="20"/>
              </w:rPr>
              <w:t>FTE</w:t>
            </w:r>
          </w:p>
        </w:tc>
        <w:tc>
          <w:tcPr>
            <w:tcW w:w="1138" w:type="dxa"/>
            <w:vAlign w:val="center"/>
          </w:tcPr>
          <w:p w:rsidR="00005511" w:rsidRPr="00005511" w:rsidRDefault="00005511" w:rsidP="00DD5E20">
            <w:pPr>
              <w:jc w:val="center"/>
              <w:rPr>
                <w:sz w:val="20"/>
                <w:szCs w:val="20"/>
              </w:rPr>
            </w:pPr>
            <w:r w:rsidRPr="00005511">
              <w:rPr>
                <w:sz w:val="20"/>
                <w:szCs w:val="20"/>
              </w:rPr>
              <w:t>Personnel</w:t>
            </w:r>
            <w:r>
              <w:rPr>
                <w:sz w:val="20"/>
                <w:szCs w:val="20"/>
              </w:rPr>
              <w:t xml:space="preserve"> </w:t>
            </w:r>
            <w:r w:rsidRPr="00005511">
              <w:rPr>
                <w:sz w:val="20"/>
                <w:szCs w:val="20"/>
              </w:rPr>
              <w:t>($000)</w:t>
            </w:r>
          </w:p>
        </w:tc>
        <w:tc>
          <w:tcPr>
            <w:tcW w:w="1005" w:type="dxa"/>
            <w:vAlign w:val="center"/>
          </w:tcPr>
          <w:p w:rsidR="00005511" w:rsidRPr="00005511" w:rsidRDefault="00005511" w:rsidP="00DD5E20">
            <w:pPr>
              <w:jc w:val="center"/>
              <w:rPr>
                <w:sz w:val="20"/>
                <w:szCs w:val="20"/>
              </w:rPr>
            </w:pPr>
            <w:r w:rsidRPr="00005511">
              <w:rPr>
                <w:sz w:val="20"/>
                <w:szCs w:val="20"/>
              </w:rPr>
              <w:t>Non-Personnel</w:t>
            </w:r>
            <w:r>
              <w:rPr>
                <w:sz w:val="20"/>
                <w:szCs w:val="20"/>
              </w:rPr>
              <w:t xml:space="preserve"> </w:t>
            </w:r>
            <w:r w:rsidRPr="00005511">
              <w:rPr>
                <w:sz w:val="20"/>
                <w:szCs w:val="20"/>
              </w:rPr>
              <w:t>($000)</w:t>
            </w:r>
          </w:p>
        </w:tc>
        <w:tc>
          <w:tcPr>
            <w:tcW w:w="795" w:type="dxa"/>
            <w:vAlign w:val="center"/>
          </w:tcPr>
          <w:p w:rsidR="00005511" w:rsidRPr="00005511" w:rsidRDefault="00005511" w:rsidP="00DD5E20">
            <w:pPr>
              <w:jc w:val="center"/>
              <w:rPr>
                <w:sz w:val="20"/>
                <w:szCs w:val="20"/>
              </w:rPr>
            </w:pPr>
            <w:r w:rsidRPr="00005511">
              <w:rPr>
                <w:sz w:val="20"/>
                <w:szCs w:val="20"/>
              </w:rPr>
              <w:t>Total</w:t>
            </w:r>
            <w:r>
              <w:rPr>
                <w:sz w:val="20"/>
                <w:szCs w:val="20"/>
              </w:rPr>
              <w:t xml:space="preserve"> </w:t>
            </w:r>
            <w:r w:rsidRPr="00005511">
              <w:rPr>
                <w:sz w:val="20"/>
                <w:szCs w:val="20"/>
              </w:rPr>
              <w:t>($000)</w:t>
            </w:r>
          </w:p>
        </w:tc>
        <w:tc>
          <w:tcPr>
            <w:tcW w:w="1890" w:type="dxa"/>
          </w:tcPr>
          <w:p w:rsidR="00005511" w:rsidRPr="007347C4" w:rsidRDefault="00005511" w:rsidP="00005511">
            <w:pPr>
              <w:jc w:val="center"/>
              <w:rPr>
                <w:sz w:val="20"/>
                <w:szCs w:val="20"/>
              </w:rPr>
            </w:pPr>
            <w:r w:rsidRPr="007347C4">
              <w:rPr>
                <w:sz w:val="20"/>
                <w:szCs w:val="20"/>
              </w:rPr>
              <w:t>FY 2013 Net</w:t>
            </w:r>
          </w:p>
          <w:p w:rsidR="00005511" w:rsidRPr="007347C4" w:rsidRDefault="00005511" w:rsidP="00005511">
            <w:pPr>
              <w:jc w:val="center"/>
              <w:rPr>
                <w:sz w:val="20"/>
                <w:szCs w:val="20"/>
              </w:rPr>
            </w:pPr>
            <w:r w:rsidRPr="007347C4">
              <w:rPr>
                <w:sz w:val="20"/>
                <w:szCs w:val="20"/>
              </w:rPr>
              <w:t>Annualization</w:t>
            </w:r>
          </w:p>
          <w:p w:rsidR="00005511" w:rsidRPr="00005511" w:rsidRDefault="00005511" w:rsidP="00005511">
            <w:pPr>
              <w:jc w:val="center"/>
              <w:rPr>
                <w:sz w:val="20"/>
                <w:szCs w:val="20"/>
              </w:rPr>
            </w:pPr>
            <w:r w:rsidRPr="007347C4">
              <w:rPr>
                <w:sz w:val="20"/>
                <w:szCs w:val="20"/>
              </w:rPr>
              <w:t>(Change from 2013)</w:t>
            </w:r>
            <w:r>
              <w:rPr>
                <w:sz w:val="20"/>
                <w:szCs w:val="20"/>
              </w:rPr>
              <w:t xml:space="preserve"> </w:t>
            </w:r>
            <w:r w:rsidRPr="007347C4">
              <w:rPr>
                <w:sz w:val="20"/>
                <w:szCs w:val="20"/>
              </w:rPr>
              <w:t>($000)</w:t>
            </w:r>
          </w:p>
        </w:tc>
        <w:tc>
          <w:tcPr>
            <w:tcW w:w="1818" w:type="dxa"/>
          </w:tcPr>
          <w:p w:rsidR="00005511" w:rsidRPr="00147C21" w:rsidRDefault="00005511" w:rsidP="00005511">
            <w:pPr>
              <w:jc w:val="center"/>
              <w:rPr>
                <w:sz w:val="20"/>
              </w:rPr>
            </w:pPr>
            <w:r w:rsidRPr="00147C21">
              <w:rPr>
                <w:sz w:val="20"/>
              </w:rPr>
              <w:t>FY 201</w:t>
            </w:r>
            <w:r>
              <w:rPr>
                <w:sz w:val="20"/>
              </w:rPr>
              <w:t>4</w:t>
            </w:r>
            <w:r w:rsidRPr="00147C21">
              <w:rPr>
                <w:sz w:val="20"/>
              </w:rPr>
              <w:t xml:space="preserve"> Net Annualization</w:t>
            </w:r>
          </w:p>
          <w:p w:rsidR="00005511" w:rsidRPr="007347C4" w:rsidRDefault="00005511" w:rsidP="00005511">
            <w:pPr>
              <w:jc w:val="center"/>
              <w:rPr>
                <w:sz w:val="20"/>
                <w:szCs w:val="20"/>
              </w:rPr>
            </w:pPr>
            <w:r w:rsidRPr="00147C21">
              <w:rPr>
                <w:sz w:val="20"/>
              </w:rPr>
              <w:t>(change from 201</w:t>
            </w:r>
            <w:r>
              <w:rPr>
                <w:sz w:val="20"/>
              </w:rPr>
              <w:t>3</w:t>
            </w:r>
            <w:r w:rsidRPr="00147C21">
              <w:rPr>
                <w:sz w:val="20"/>
              </w:rPr>
              <w:t>)</w:t>
            </w:r>
            <w:r>
              <w:rPr>
                <w:sz w:val="20"/>
              </w:rPr>
              <w:t xml:space="preserve"> </w:t>
            </w:r>
            <w:r w:rsidRPr="00147C21">
              <w:rPr>
                <w:sz w:val="20"/>
              </w:rPr>
              <w:t>($000)</w:t>
            </w:r>
          </w:p>
        </w:tc>
      </w:tr>
      <w:tr w:rsidR="00005511" w:rsidRPr="00CC5993" w:rsidTr="00E370B4">
        <w:trPr>
          <w:trHeight w:val="215"/>
        </w:trPr>
        <w:tc>
          <w:tcPr>
            <w:tcW w:w="1305" w:type="dxa"/>
          </w:tcPr>
          <w:p w:rsidR="00005511" w:rsidRPr="00005511" w:rsidRDefault="00005511" w:rsidP="00DD5E20">
            <w:pPr>
              <w:rPr>
                <w:sz w:val="20"/>
                <w:szCs w:val="20"/>
              </w:rPr>
            </w:pPr>
            <w:r w:rsidRPr="00005511">
              <w:rPr>
                <w:sz w:val="20"/>
                <w:szCs w:val="20"/>
              </w:rPr>
              <w:t>Current Services</w:t>
            </w:r>
          </w:p>
        </w:tc>
        <w:tc>
          <w:tcPr>
            <w:tcW w:w="513" w:type="dxa"/>
            <w:vAlign w:val="center"/>
          </w:tcPr>
          <w:p w:rsidR="00005511" w:rsidRPr="00005511" w:rsidRDefault="00005511" w:rsidP="00DD5E20">
            <w:pPr>
              <w:jc w:val="right"/>
              <w:rPr>
                <w:sz w:val="20"/>
                <w:szCs w:val="20"/>
              </w:rPr>
            </w:pPr>
            <w:r w:rsidRPr="00005511">
              <w:rPr>
                <w:sz w:val="20"/>
                <w:szCs w:val="20"/>
              </w:rPr>
              <w:t>0</w:t>
            </w:r>
          </w:p>
        </w:tc>
        <w:tc>
          <w:tcPr>
            <w:tcW w:w="540" w:type="dxa"/>
            <w:vAlign w:val="center"/>
          </w:tcPr>
          <w:p w:rsidR="00005511" w:rsidRPr="00005511" w:rsidRDefault="00005511" w:rsidP="00DD5E20">
            <w:pPr>
              <w:jc w:val="right"/>
              <w:rPr>
                <w:sz w:val="20"/>
                <w:szCs w:val="20"/>
              </w:rPr>
            </w:pPr>
            <w:r w:rsidRPr="00005511">
              <w:rPr>
                <w:sz w:val="20"/>
                <w:szCs w:val="20"/>
              </w:rPr>
              <w:t>0</w:t>
            </w:r>
          </w:p>
        </w:tc>
        <w:tc>
          <w:tcPr>
            <w:tcW w:w="572" w:type="dxa"/>
            <w:vAlign w:val="center"/>
          </w:tcPr>
          <w:p w:rsidR="00005511" w:rsidRPr="00005511" w:rsidRDefault="00005511" w:rsidP="00DD5E20">
            <w:pPr>
              <w:jc w:val="right"/>
              <w:rPr>
                <w:sz w:val="20"/>
                <w:szCs w:val="20"/>
              </w:rPr>
            </w:pPr>
            <w:r w:rsidRPr="00005511">
              <w:rPr>
                <w:sz w:val="20"/>
                <w:szCs w:val="20"/>
              </w:rPr>
              <w:t>0</w:t>
            </w:r>
          </w:p>
        </w:tc>
        <w:tc>
          <w:tcPr>
            <w:tcW w:w="1138" w:type="dxa"/>
            <w:vAlign w:val="center"/>
          </w:tcPr>
          <w:p w:rsidR="00005511" w:rsidRPr="00005511" w:rsidRDefault="00005511" w:rsidP="00DD5E20">
            <w:pPr>
              <w:jc w:val="right"/>
              <w:rPr>
                <w:sz w:val="20"/>
                <w:szCs w:val="20"/>
              </w:rPr>
            </w:pPr>
            <w:r w:rsidRPr="00005511">
              <w:rPr>
                <w:sz w:val="20"/>
                <w:szCs w:val="20"/>
              </w:rPr>
              <w:t>0</w:t>
            </w:r>
          </w:p>
        </w:tc>
        <w:tc>
          <w:tcPr>
            <w:tcW w:w="1005" w:type="dxa"/>
            <w:vAlign w:val="center"/>
          </w:tcPr>
          <w:p w:rsidR="00005511" w:rsidRPr="00005511" w:rsidRDefault="00005511" w:rsidP="00DD5E20">
            <w:pPr>
              <w:jc w:val="right"/>
              <w:rPr>
                <w:sz w:val="20"/>
                <w:szCs w:val="20"/>
              </w:rPr>
            </w:pPr>
            <w:r w:rsidRPr="00005511">
              <w:rPr>
                <w:sz w:val="20"/>
                <w:szCs w:val="20"/>
              </w:rPr>
              <w:t>0</w:t>
            </w:r>
          </w:p>
        </w:tc>
        <w:tc>
          <w:tcPr>
            <w:tcW w:w="795" w:type="dxa"/>
            <w:vAlign w:val="center"/>
          </w:tcPr>
          <w:p w:rsidR="00005511" w:rsidRPr="00005511" w:rsidRDefault="00005511" w:rsidP="00DD5E20">
            <w:pPr>
              <w:jc w:val="right"/>
              <w:rPr>
                <w:sz w:val="20"/>
                <w:szCs w:val="20"/>
              </w:rPr>
            </w:pPr>
            <w:r w:rsidRPr="00005511">
              <w:rPr>
                <w:sz w:val="20"/>
                <w:szCs w:val="20"/>
              </w:rPr>
              <w:t>0</w:t>
            </w:r>
          </w:p>
        </w:tc>
        <w:tc>
          <w:tcPr>
            <w:tcW w:w="1890" w:type="dxa"/>
            <w:vAlign w:val="center"/>
          </w:tcPr>
          <w:p w:rsidR="00005511" w:rsidRPr="00005511" w:rsidRDefault="00E370B4" w:rsidP="00E370B4">
            <w:pPr>
              <w:jc w:val="right"/>
              <w:rPr>
                <w:sz w:val="20"/>
                <w:szCs w:val="20"/>
              </w:rPr>
            </w:pPr>
            <w:r>
              <w:rPr>
                <w:sz w:val="20"/>
                <w:szCs w:val="20"/>
              </w:rPr>
              <w:t>0</w:t>
            </w:r>
          </w:p>
        </w:tc>
        <w:tc>
          <w:tcPr>
            <w:tcW w:w="1818" w:type="dxa"/>
            <w:vAlign w:val="center"/>
          </w:tcPr>
          <w:p w:rsidR="00005511" w:rsidRPr="00005511" w:rsidRDefault="00E370B4" w:rsidP="00E370B4">
            <w:pPr>
              <w:jc w:val="right"/>
              <w:rPr>
                <w:sz w:val="20"/>
                <w:szCs w:val="20"/>
              </w:rPr>
            </w:pPr>
            <w:r>
              <w:rPr>
                <w:sz w:val="20"/>
                <w:szCs w:val="20"/>
              </w:rPr>
              <w:t>0</w:t>
            </w:r>
          </w:p>
        </w:tc>
      </w:tr>
      <w:tr w:rsidR="00005511" w:rsidRPr="00CC5993" w:rsidTr="00E370B4">
        <w:trPr>
          <w:trHeight w:val="377"/>
        </w:trPr>
        <w:tc>
          <w:tcPr>
            <w:tcW w:w="1305" w:type="dxa"/>
            <w:vAlign w:val="center"/>
          </w:tcPr>
          <w:p w:rsidR="00005511" w:rsidRPr="00005511" w:rsidRDefault="00A86176" w:rsidP="00A86176">
            <w:pPr>
              <w:rPr>
                <w:sz w:val="20"/>
                <w:szCs w:val="20"/>
              </w:rPr>
            </w:pPr>
            <w:r>
              <w:rPr>
                <w:sz w:val="20"/>
                <w:szCs w:val="20"/>
              </w:rPr>
              <w:t>Decreases</w:t>
            </w:r>
          </w:p>
        </w:tc>
        <w:tc>
          <w:tcPr>
            <w:tcW w:w="513" w:type="dxa"/>
            <w:vAlign w:val="center"/>
          </w:tcPr>
          <w:p w:rsidR="00005511" w:rsidRPr="00005511" w:rsidRDefault="00005511" w:rsidP="00DD5E20">
            <w:pPr>
              <w:jc w:val="right"/>
              <w:rPr>
                <w:sz w:val="20"/>
                <w:szCs w:val="20"/>
              </w:rPr>
            </w:pPr>
            <w:r w:rsidRPr="00005511">
              <w:rPr>
                <w:sz w:val="20"/>
                <w:szCs w:val="20"/>
              </w:rPr>
              <w:t>0</w:t>
            </w:r>
          </w:p>
        </w:tc>
        <w:tc>
          <w:tcPr>
            <w:tcW w:w="540" w:type="dxa"/>
            <w:vAlign w:val="center"/>
          </w:tcPr>
          <w:p w:rsidR="00005511" w:rsidRPr="00005511" w:rsidRDefault="00005511" w:rsidP="00A86176">
            <w:pPr>
              <w:jc w:val="right"/>
              <w:rPr>
                <w:sz w:val="20"/>
                <w:szCs w:val="20"/>
              </w:rPr>
            </w:pPr>
            <w:r w:rsidRPr="00005511">
              <w:rPr>
                <w:sz w:val="20"/>
                <w:szCs w:val="20"/>
              </w:rPr>
              <w:t>0</w:t>
            </w:r>
          </w:p>
        </w:tc>
        <w:tc>
          <w:tcPr>
            <w:tcW w:w="572" w:type="dxa"/>
            <w:vAlign w:val="center"/>
          </w:tcPr>
          <w:p w:rsidR="00005511" w:rsidRPr="00005511" w:rsidRDefault="00005511" w:rsidP="00DD5E20">
            <w:pPr>
              <w:jc w:val="right"/>
              <w:rPr>
                <w:sz w:val="20"/>
                <w:szCs w:val="20"/>
              </w:rPr>
            </w:pPr>
            <w:r w:rsidRPr="00005511">
              <w:rPr>
                <w:sz w:val="20"/>
                <w:szCs w:val="20"/>
              </w:rPr>
              <w:t>0</w:t>
            </w:r>
          </w:p>
        </w:tc>
        <w:tc>
          <w:tcPr>
            <w:tcW w:w="1138" w:type="dxa"/>
            <w:vAlign w:val="center"/>
          </w:tcPr>
          <w:p w:rsidR="00005511" w:rsidRPr="00005511" w:rsidRDefault="00005511" w:rsidP="00DD5E20">
            <w:pPr>
              <w:jc w:val="right"/>
              <w:rPr>
                <w:sz w:val="20"/>
                <w:szCs w:val="20"/>
              </w:rPr>
            </w:pPr>
            <w:r w:rsidRPr="00005511">
              <w:rPr>
                <w:sz w:val="20"/>
                <w:szCs w:val="20"/>
              </w:rPr>
              <w:t>0</w:t>
            </w:r>
          </w:p>
        </w:tc>
        <w:tc>
          <w:tcPr>
            <w:tcW w:w="1005" w:type="dxa"/>
            <w:vAlign w:val="center"/>
          </w:tcPr>
          <w:p w:rsidR="00005511" w:rsidRPr="00005511" w:rsidRDefault="00005511" w:rsidP="00DD5E20">
            <w:pPr>
              <w:jc w:val="right"/>
              <w:rPr>
                <w:sz w:val="20"/>
                <w:szCs w:val="20"/>
              </w:rPr>
            </w:pPr>
            <w:r w:rsidRPr="00005511">
              <w:rPr>
                <w:sz w:val="20"/>
                <w:szCs w:val="20"/>
              </w:rPr>
              <w:t>(373)</w:t>
            </w:r>
          </w:p>
        </w:tc>
        <w:tc>
          <w:tcPr>
            <w:tcW w:w="795" w:type="dxa"/>
            <w:vAlign w:val="center"/>
          </w:tcPr>
          <w:p w:rsidR="00005511" w:rsidRPr="00005511" w:rsidRDefault="00005511" w:rsidP="00DD5E20">
            <w:pPr>
              <w:jc w:val="right"/>
              <w:rPr>
                <w:sz w:val="20"/>
                <w:szCs w:val="20"/>
              </w:rPr>
            </w:pPr>
            <w:r w:rsidRPr="00005511">
              <w:rPr>
                <w:sz w:val="20"/>
                <w:szCs w:val="20"/>
              </w:rPr>
              <w:t>(373)</w:t>
            </w:r>
          </w:p>
        </w:tc>
        <w:tc>
          <w:tcPr>
            <w:tcW w:w="1890" w:type="dxa"/>
            <w:vAlign w:val="center"/>
          </w:tcPr>
          <w:p w:rsidR="00005511" w:rsidRPr="00005511" w:rsidRDefault="00E370B4" w:rsidP="00E370B4">
            <w:pPr>
              <w:jc w:val="right"/>
              <w:rPr>
                <w:sz w:val="20"/>
                <w:szCs w:val="20"/>
              </w:rPr>
            </w:pPr>
            <w:r>
              <w:rPr>
                <w:sz w:val="20"/>
                <w:szCs w:val="20"/>
              </w:rPr>
              <w:t>0</w:t>
            </w:r>
          </w:p>
        </w:tc>
        <w:tc>
          <w:tcPr>
            <w:tcW w:w="1818" w:type="dxa"/>
            <w:vAlign w:val="center"/>
          </w:tcPr>
          <w:p w:rsidR="00005511" w:rsidRPr="00005511" w:rsidRDefault="00E370B4" w:rsidP="00E370B4">
            <w:pPr>
              <w:jc w:val="right"/>
              <w:rPr>
                <w:sz w:val="20"/>
                <w:szCs w:val="20"/>
              </w:rPr>
            </w:pPr>
            <w:r>
              <w:rPr>
                <w:sz w:val="20"/>
                <w:szCs w:val="20"/>
              </w:rPr>
              <w:t>0</w:t>
            </w:r>
          </w:p>
        </w:tc>
      </w:tr>
      <w:tr w:rsidR="00005511" w:rsidRPr="00CC5993" w:rsidTr="00E370B4">
        <w:trPr>
          <w:trHeight w:val="260"/>
        </w:trPr>
        <w:tc>
          <w:tcPr>
            <w:tcW w:w="1305" w:type="dxa"/>
          </w:tcPr>
          <w:p w:rsidR="00005511" w:rsidRPr="00005511" w:rsidRDefault="00005511" w:rsidP="00DD5E20">
            <w:pPr>
              <w:rPr>
                <w:sz w:val="20"/>
                <w:szCs w:val="20"/>
              </w:rPr>
            </w:pPr>
            <w:r w:rsidRPr="00005511">
              <w:rPr>
                <w:sz w:val="20"/>
                <w:szCs w:val="20"/>
              </w:rPr>
              <w:t>Grand Total</w:t>
            </w:r>
          </w:p>
        </w:tc>
        <w:tc>
          <w:tcPr>
            <w:tcW w:w="513" w:type="dxa"/>
            <w:vAlign w:val="center"/>
          </w:tcPr>
          <w:p w:rsidR="00005511" w:rsidRPr="00005511" w:rsidRDefault="00005511" w:rsidP="00DD5E20">
            <w:pPr>
              <w:jc w:val="right"/>
              <w:rPr>
                <w:sz w:val="20"/>
                <w:szCs w:val="20"/>
              </w:rPr>
            </w:pPr>
            <w:r w:rsidRPr="00005511">
              <w:rPr>
                <w:sz w:val="20"/>
                <w:szCs w:val="20"/>
              </w:rPr>
              <w:t>0</w:t>
            </w:r>
          </w:p>
        </w:tc>
        <w:tc>
          <w:tcPr>
            <w:tcW w:w="540" w:type="dxa"/>
            <w:vAlign w:val="center"/>
          </w:tcPr>
          <w:p w:rsidR="00005511" w:rsidRPr="00005511" w:rsidRDefault="00005511" w:rsidP="00DD5E20">
            <w:pPr>
              <w:jc w:val="right"/>
              <w:rPr>
                <w:sz w:val="20"/>
                <w:szCs w:val="20"/>
              </w:rPr>
            </w:pPr>
            <w:r w:rsidRPr="00005511">
              <w:rPr>
                <w:sz w:val="20"/>
                <w:szCs w:val="20"/>
              </w:rPr>
              <w:t>0</w:t>
            </w:r>
          </w:p>
        </w:tc>
        <w:tc>
          <w:tcPr>
            <w:tcW w:w="572" w:type="dxa"/>
            <w:vAlign w:val="center"/>
          </w:tcPr>
          <w:p w:rsidR="00005511" w:rsidRPr="00005511" w:rsidRDefault="00005511" w:rsidP="00DD5E20">
            <w:pPr>
              <w:jc w:val="right"/>
              <w:rPr>
                <w:sz w:val="20"/>
                <w:szCs w:val="20"/>
              </w:rPr>
            </w:pPr>
            <w:r w:rsidRPr="00005511">
              <w:rPr>
                <w:sz w:val="20"/>
                <w:szCs w:val="20"/>
              </w:rPr>
              <w:t>0</w:t>
            </w:r>
          </w:p>
        </w:tc>
        <w:tc>
          <w:tcPr>
            <w:tcW w:w="1138" w:type="dxa"/>
            <w:vAlign w:val="center"/>
          </w:tcPr>
          <w:p w:rsidR="00005511" w:rsidRPr="00005511" w:rsidRDefault="00005511" w:rsidP="00DD5E20">
            <w:pPr>
              <w:jc w:val="right"/>
              <w:rPr>
                <w:sz w:val="20"/>
                <w:szCs w:val="20"/>
              </w:rPr>
            </w:pPr>
            <w:r w:rsidRPr="00005511">
              <w:rPr>
                <w:sz w:val="20"/>
                <w:szCs w:val="20"/>
              </w:rPr>
              <w:t>0</w:t>
            </w:r>
          </w:p>
        </w:tc>
        <w:tc>
          <w:tcPr>
            <w:tcW w:w="1005" w:type="dxa"/>
            <w:vAlign w:val="center"/>
          </w:tcPr>
          <w:p w:rsidR="00005511" w:rsidRPr="00005511" w:rsidRDefault="00005511" w:rsidP="00DD5E20">
            <w:pPr>
              <w:jc w:val="right"/>
              <w:rPr>
                <w:sz w:val="20"/>
                <w:szCs w:val="20"/>
              </w:rPr>
            </w:pPr>
            <w:r w:rsidRPr="00005511">
              <w:rPr>
                <w:sz w:val="20"/>
                <w:szCs w:val="20"/>
              </w:rPr>
              <w:t>(373)</w:t>
            </w:r>
          </w:p>
        </w:tc>
        <w:tc>
          <w:tcPr>
            <w:tcW w:w="795" w:type="dxa"/>
            <w:vAlign w:val="center"/>
          </w:tcPr>
          <w:p w:rsidR="00005511" w:rsidRPr="00005511" w:rsidRDefault="00005511" w:rsidP="00DD5E20">
            <w:pPr>
              <w:jc w:val="right"/>
              <w:rPr>
                <w:sz w:val="20"/>
                <w:szCs w:val="20"/>
              </w:rPr>
            </w:pPr>
            <w:r w:rsidRPr="00005511">
              <w:rPr>
                <w:sz w:val="20"/>
                <w:szCs w:val="20"/>
              </w:rPr>
              <w:t>(373)</w:t>
            </w:r>
          </w:p>
        </w:tc>
        <w:tc>
          <w:tcPr>
            <w:tcW w:w="1890" w:type="dxa"/>
            <w:vAlign w:val="center"/>
          </w:tcPr>
          <w:p w:rsidR="00005511" w:rsidRPr="00005511" w:rsidRDefault="00E370B4" w:rsidP="00E370B4">
            <w:pPr>
              <w:jc w:val="right"/>
              <w:rPr>
                <w:sz w:val="20"/>
                <w:szCs w:val="20"/>
              </w:rPr>
            </w:pPr>
            <w:r>
              <w:rPr>
                <w:sz w:val="20"/>
                <w:szCs w:val="20"/>
              </w:rPr>
              <w:t>0</w:t>
            </w:r>
          </w:p>
        </w:tc>
        <w:tc>
          <w:tcPr>
            <w:tcW w:w="1818" w:type="dxa"/>
            <w:vAlign w:val="center"/>
          </w:tcPr>
          <w:p w:rsidR="00005511" w:rsidRPr="00005511" w:rsidRDefault="00E370B4" w:rsidP="00E370B4">
            <w:pPr>
              <w:jc w:val="right"/>
              <w:rPr>
                <w:sz w:val="20"/>
                <w:szCs w:val="20"/>
              </w:rPr>
            </w:pPr>
            <w:r>
              <w:rPr>
                <w:sz w:val="20"/>
                <w:szCs w:val="20"/>
              </w:rPr>
              <w:t>0</w:t>
            </w:r>
          </w:p>
        </w:tc>
      </w:tr>
    </w:tbl>
    <w:p w:rsidR="00792AD1" w:rsidRDefault="00792AD1">
      <w:pPr>
        <w:rPr>
          <w:rFonts w:cs="Arial"/>
          <w:b/>
        </w:rPr>
      </w:pPr>
    </w:p>
    <w:p w:rsidR="00792AD1" w:rsidRDefault="00792AD1">
      <w:pPr>
        <w:rPr>
          <w:rFonts w:cs="Arial"/>
          <w:b/>
        </w:rPr>
      </w:pPr>
      <w:r>
        <w:rPr>
          <w:rFonts w:cs="Arial"/>
          <w:b/>
        </w:rPr>
        <w:br w:type="page"/>
      </w:r>
    </w:p>
    <w:p w:rsidR="00792AD1" w:rsidRPr="000C1B36" w:rsidRDefault="00792AD1" w:rsidP="00792AD1">
      <w:pPr>
        <w:pStyle w:val="xl19"/>
        <w:tabs>
          <w:tab w:val="left" w:pos="3420"/>
          <w:tab w:val="right" w:pos="8640"/>
        </w:tabs>
        <w:outlineLvl w:val="0"/>
        <w:rPr>
          <w:b/>
          <w:bCs/>
        </w:rPr>
      </w:pPr>
      <w:r w:rsidRPr="00426C49">
        <w:rPr>
          <w:b/>
          <w:bCs/>
        </w:rPr>
        <w:lastRenderedPageBreak/>
        <w:t>Item Name:</w:t>
      </w:r>
      <w:r w:rsidRPr="00426C49">
        <w:rPr>
          <w:b/>
          <w:bCs/>
        </w:rPr>
        <w:tab/>
      </w:r>
      <w:r>
        <w:rPr>
          <w:b/>
          <w:bCs/>
        </w:rPr>
        <w:t>Adjustment for Reduce Physical Footprint</w:t>
      </w:r>
    </w:p>
    <w:p w:rsidR="00792AD1" w:rsidRPr="00426C49" w:rsidRDefault="00792AD1" w:rsidP="00792AD1">
      <w:pPr>
        <w:pStyle w:val="xl19"/>
        <w:tabs>
          <w:tab w:val="left" w:pos="3420"/>
          <w:tab w:val="right" w:pos="8640"/>
        </w:tabs>
      </w:pPr>
      <w:r w:rsidRPr="00426C49">
        <w:t xml:space="preserve">                                     </w:t>
      </w:r>
    </w:p>
    <w:p w:rsidR="00792AD1" w:rsidRPr="00C16770" w:rsidRDefault="00792AD1" w:rsidP="00792AD1">
      <w:pPr>
        <w:pStyle w:val="xl19"/>
        <w:tabs>
          <w:tab w:val="left" w:pos="3420"/>
          <w:tab w:val="right" w:pos="8640"/>
        </w:tabs>
        <w:ind w:left="3420" w:hanging="3420"/>
      </w:pPr>
      <w:r w:rsidRPr="00C16770">
        <w:rPr>
          <w:bCs/>
        </w:rPr>
        <w:t>Budget Decision Unit(s):</w:t>
      </w:r>
      <w:r w:rsidRPr="00C16770">
        <w:t xml:space="preserve"> </w:t>
      </w:r>
      <w:r w:rsidRPr="00C16770">
        <w:tab/>
      </w:r>
      <w:r>
        <w:t>Bureau-wide</w:t>
      </w:r>
    </w:p>
    <w:p w:rsidR="00792AD1" w:rsidRPr="00C16770" w:rsidRDefault="00792AD1" w:rsidP="00792AD1">
      <w:pPr>
        <w:pStyle w:val="xl19"/>
        <w:tabs>
          <w:tab w:val="left" w:pos="3420"/>
          <w:tab w:val="right" w:pos="8640"/>
        </w:tabs>
      </w:pPr>
      <w:r w:rsidRPr="00C16770">
        <w:tab/>
        <w:t xml:space="preserve">                                                     </w:t>
      </w:r>
    </w:p>
    <w:p w:rsidR="00792AD1" w:rsidRPr="00C16770" w:rsidRDefault="00792AD1" w:rsidP="00792AD1">
      <w:pPr>
        <w:pStyle w:val="xl19"/>
        <w:tabs>
          <w:tab w:val="left" w:pos="3420"/>
          <w:tab w:val="right" w:pos="8640"/>
        </w:tabs>
        <w:ind w:left="3420" w:hanging="3420"/>
      </w:pPr>
      <w:r w:rsidRPr="00C16770">
        <w:rPr>
          <w:bCs/>
        </w:rPr>
        <w:t>Strategic Goal(s) &amp; Objective(s):</w:t>
      </w:r>
      <w:r w:rsidRPr="00C16770">
        <w:t xml:space="preserve"> </w:t>
      </w:r>
      <w:r w:rsidRPr="00C16770">
        <w:tab/>
        <w:t xml:space="preserve">Strategic Goal 1: Prevent Terrorism and Promote the Nation’s Security, Objectives 1.1 and 1.2; </w:t>
      </w:r>
      <w:r w:rsidRPr="00C16770">
        <w:tab/>
      </w:r>
    </w:p>
    <w:p w:rsidR="00792AD1" w:rsidRPr="00C16770" w:rsidRDefault="00792AD1" w:rsidP="00792AD1">
      <w:pPr>
        <w:pStyle w:val="xl19"/>
        <w:tabs>
          <w:tab w:val="left" w:pos="3420"/>
          <w:tab w:val="right" w:pos="8640"/>
        </w:tabs>
        <w:ind w:left="3420" w:hanging="3420"/>
      </w:pPr>
    </w:p>
    <w:p w:rsidR="00792AD1" w:rsidRPr="00C16770" w:rsidRDefault="00792AD1" w:rsidP="00792AD1">
      <w:pPr>
        <w:pStyle w:val="xl19"/>
        <w:tabs>
          <w:tab w:val="left" w:pos="3420"/>
          <w:tab w:val="right" w:pos="8640"/>
        </w:tabs>
        <w:ind w:left="3420"/>
      </w:pPr>
      <w:r w:rsidRPr="00C16770">
        <w:t>Strategic Goal 2: Prevent Crime, Enforce Federal Laws, and Represent the Rights and Interests of the American People, Objectives 2.1, 2.2</w:t>
      </w:r>
    </w:p>
    <w:p w:rsidR="00792AD1" w:rsidRPr="00C16770" w:rsidRDefault="00792AD1" w:rsidP="00792AD1">
      <w:pPr>
        <w:pStyle w:val="xl19"/>
        <w:tabs>
          <w:tab w:val="left" w:pos="3420"/>
          <w:tab w:val="right" w:pos="8640"/>
        </w:tabs>
      </w:pPr>
    </w:p>
    <w:p w:rsidR="00792AD1" w:rsidRPr="00C16770" w:rsidRDefault="00792AD1" w:rsidP="00792AD1">
      <w:pPr>
        <w:pStyle w:val="xl19"/>
        <w:tabs>
          <w:tab w:val="left" w:pos="3420"/>
          <w:tab w:val="right" w:pos="8640"/>
        </w:tabs>
      </w:pPr>
      <w:r w:rsidRPr="00C16770">
        <w:rPr>
          <w:bCs/>
        </w:rPr>
        <w:t>Organizational Program</w:t>
      </w:r>
      <w:r w:rsidRPr="00C16770">
        <w:t>:</w:t>
      </w:r>
      <w:r w:rsidRPr="00C16770">
        <w:tab/>
      </w:r>
      <w:r>
        <w:t>Bureau-wide</w:t>
      </w:r>
    </w:p>
    <w:p w:rsidR="00792AD1" w:rsidRPr="00C16770" w:rsidRDefault="00792AD1" w:rsidP="00792AD1">
      <w:pPr>
        <w:pStyle w:val="xl19"/>
        <w:tabs>
          <w:tab w:val="left" w:pos="3420"/>
          <w:tab w:val="right" w:pos="8640"/>
        </w:tabs>
      </w:pPr>
      <w:r w:rsidRPr="00C16770">
        <w:tab/>
      </w:r>
    </w:p>
    <w:p w:rsidR="00792AD1" w:rsidRPr="00C16770" w:rsidRDefault="00792AD1" w:rsidP="00792AD1">
      <w:pPr>
        <w:pStyle w:val="xl19"/>
        <w:tabs>
          <w:tab w:val="left" w:pos="3420"/>
          <w:tab w:val="right" w:pos="8640"/>
        </w:tabs>
      </w:pPr>
      <w:r w:rsidRPr="00C16770">
        <w:t>Component Ranking of Item:</w:t>
      </w:r>
      <w:r w:rsidRPr="00C16770">
        <w:tab/>
        <w:t xml:space="preserve">Item </w:t>
      </w:r>
      <w:r>
        <w:t>7</w:t>
      </w:r>
      <w:r w:rsidRPr="00C16770">
        <w:t xml:space="preserve"> of </w:t>
      </w:r>
      <w:r>
        <w:t>8</w:t>
      </w:r>
    </w:p>
    <w:p w:rsidR="00792AD1" w:rsidRPr="00C16770" w:rsidRDefault="00792AD1" w:rsidP="00792AD1">
      <w:pPr>
        <w:pStyle w:val="xl19"/>
        <w:tabs>
          <w:tab w:val="left" w:pos="3420"/>
          <w:tab w:val="right" w:pos="8640"/>
        </w:tabs>
        <w:rPr>
          <w:u w:val="single"/>
        </w:rPr>
      </w:pPr>
    </w:p>
    <w:p w:rsidR="00792AD1" w:rsidRPr="00CA4EC0" w:rsidRDefault="00792AD1" w:rsidP="00792AD1">
      <w:pPr>
        <w:pStyle w:val="xl19"/>
        <w:tabs>
          <w:tab w:val="left" w:pos="2340"/>
          <w:tab w:val="right" w:pos="3060"/>
          <w:tab w:val="left" w:pos="3420"/>
          <w:tab w:val="right" w:pos="4500"/>
          <w:tab w:val="left" w:pos="5310"/>
          <w:tab w:val="right" w:pos="6300"/>
        </w:tabs>
      </w:pPr>
      <w:r w:rsidRPr="00C16770">
        <w:rPr>
          <w:bCs/>
        </w:rPr>
        <w:t xml:space="preserve">Program </w:t>
      </w:r>
      <w:r w:rsidR="00A86176">
        <w:rPr>
          <w:bCs/>
        </w:rPr>
        <w:t>Offset</w:t>
      </w:r>
      <w:r w:rsidRPr="00C16770">
        <w:t>:</w:t>
      </w:r>
      <w:r w:rsidRPr="00426C49">
        <w:rPr>
          <w:b/>
        </w:rPr>
        <w:t xml:space="preserve"> </w:t>
      </w:r>
      <w:r w:rsidRPr="00426C49">
        <w:t xml:space="preserve"> </w:t>
      </w:r>
      <w:r w:rsidR="00A86176">
        <w:tab/>
      </w:r>
      <w:r w:rsidR="00A86176">
        <w:tab/>
      </w:r>
      <w:r w:rsidR="00A86176">
        <w:tab/>
      </w:r>
      <w:r w:rsidRPr="00426C49">
        <w:t xml:space="preserve">Positions: </w:t>
      </w:r>
      <w:r w:rsidRPr="00426C49">
        <w:rPr>
          <w:u w:val="single"/>
        </w:rPr>
        <w:t xml:space="preserve"> </w:t>
      </w:r>
      <w:proofErr w:type="gramStart"/>
      <w:r>
        <w:rPr>
          <w:u w:val="single"/>
        </w:rPr>
        <w:t>0</w:t>
      </w:r>
      <w:r w:rsidRPr="00426C49">
        <w:t xml:space="preserve">   Agent</w:t>
      </w:r>
      <w:proofErr w:type="gramEnd"/>
      <w:r w:rsidRPr="00426C49">
        <w:t xml:space="preserve">: </w:t>
      </w:r>
      <w:r w:rsidRPr="00426C49">
        <w:rPr>
          <w:u w:val="single"/>
        </w:rPr>
        <w:t xml:space="preserve"> </w:t>
      </w:r>
      <w:r>
        <w:rPr>
          <w:u w:val="single"/>
        </w:rPr>
        <w:t>0</w:t>
      </w:r>
      <w:r w:rsidRPr="00426C49">
        <w:rPr>
          <w:u w:val="single"/>
        </w:rPr>
        <w:t xml:space="preserve"> </w:t>
      </w:r>
      <w:r w:rsidRPr="00426C49">
        <w:t xml:space="preserve">  FTE: </w:t>
      </w:r>
      <w:r w:rsidRPr="00426C49">
        <w:rPr>
          <w:u w:val="single"/>
        </w:rPr>
        <w:t xml:space="preserve"> </w:t>
      </w:r>
      <w:r>
        <w:rPr>
          <w:u w:val="single"/>
        </w:rPr>
        <w:t>0</w:t>
      </w:r>
      <w:r w:rsidRPr="00426C49">
        <w:t xml:space="preserve">  </w:t>
      </w:r>
      <w:r>
        <w:t xml:space="preserve"> </w:t>
      </w:r>
      <w:r w:rsidRPr="00426C49">
        <w:t xml:space="preserve">Dollars </w:t>
      </w:r>
      <w:r>
        <w:t>(</w:t>
      </w:r>
      <w:r w:rsidRPr="00F172BE">
        <w:rPr>
          <w:u w:val="single"/>
        </w:rPr>
        <w:t>$</w:t>
      </w:r>
      <w:r>
        <w:rPr>
          <w:u w:val="single"/>
        </w:rPr>
        <w:t>292,000)</w:t>
      </w:r>
    </w:p>
    <w:p w:rsidR="00792AD1" w:rsidRPr="00426C49" w:rsidRDefault="00792AD1" w:rsidP="00792AD1">
      <w:pPr>
        <w:pStyle w:val="xl19"/>
        <w:tabs>
          <w:tab w:val="left" w:pos="2340"/>
          <w:tab w:val="right" w:pos="3060"/>
          <w:tab w:val="left" w:pos="3420"/>
          <w:tab w:val="right" w:pos="4500"/>
          <w:tab w:val="left" w:pos="5310"/>
          <w:tab w:val="right" w:pos="6300"/>
        </w:tabs>
      </w:pPr>
      <w:r w:rsidRPr="00426C49">
        <w:rPr>
          <w:bCs/>
        </w:rPr>
        <w:t xml:space="preserve">                          </w:t>
      </w:r>
    </w:p>
    <w:p w:rsidR="00792AD1" w:rsidRPr="003307E1" w:rsidRDefault="00792AD1" w:rsidP="00792AD1">
      <w:pPr>
        <w:pStyle w:val="Header"/>
        <w:outlineLvl w:val="0"/>
        <w:rPr>
          <w:bCs/>
          <w:u w:val="single"/>
        </w:rPr>
      </w:pPr>
      <w:r w:rsidRPr="003307E1">
        <w:rPr>
          <w:bCs/>
          <w:u w:val="single"/>
        </w:rPr>
        <w:t>Description of Item</w:t>
      </w:r>
    </w:p>
    <w:p w:rsidR="00792AD1" w:rsidRDefault="00792AD1" w:rsidP="00792AD1">
      <w:pPr>
        <w:rPr>
          <w:bCs/>
          <w:u w:val="single"/>
        </w:rPr>
      </w:pPr>
    </w:p>
    <w:p w:rsidR="00792AD1" w:rsidRPr="00B87AB5" w:rsidRDefault="00792AD1" w:rsidP="00792AD1">
      <w:r>
        <w:t>This budget reflects a Department of Justice-wide offset for streamlining and consolidating regional offices.</w:t>
      </w:r>
    </w:p>
    <w:p w:rsidR="00792AD1" w:rsidRDefault="00792AD1" w:rsidP="00792AD1">
      <w:pPr>
        <w:jc w:val="center"/>
        <w:rPr>
          <w:b/>
        </w:rPr>
      </w:pPr>
    </w:p>
    <w:p w:rsidR="00792AD1" w:rsidRPr="004E1020" w:rsidRDefault="00792AD1" w:rsidP="00792AD1">
      <w:pPr>
        <w:pStyle w:val="Header"/>
        <w:outlineLvl w:val="0"/>
        <w:rPr>
          <w:bCs/>
          <w:u w:val="single"/>
        </w:rPr>
      </w:pPr>
      <w:r w:rsidRPr="004E1020">
        <w:rPr>
          <w:bCs/>
          <w:u w:val="single"/>
        </w:rPr>
        <w:t>Justification</w:t>
      </w:r>
    </w:p>
    <w:p w:rsidR="00792AD1" w:rsidRDefault="00792AD1" w:rsidP="00792AD1">
      <w:pPr>
        <w:pStyle w:val="Header"/>
        <w:outlineLvl w:val="0"/>
        <w:rPr>
          <w:bCs/>
        </w:rPr>
      </w:pPr>
    </w:p>
    <w:p w:rsidR="00792AD1" w:rsidRDefault="00792AD1" w:rsidP="00792AD1">
      <w:pPr>
        <w:pStyle w:val="Header"/>
        <w:outlineLvl w:val="0"/>
      </w:pPr>
      <w:r>
        <w:rPr>
          <w:szCs w:val="18"/>
        </w:rPr>
        <w:t xml:space="preserve">As part of its efforts to streamline and improve efficiency, the Department has asked components to consolidate their regional and sub-offices as part of a way to better utilize existing workspace, as well as enhance information sharing and the ability of regional offices to avoid duplicative work. </w:t>
      </w:r>
    </w:p>
    <w:p w:rsidR="00792AD1" w:rsidRDefault="00792AD1" w:rsidP="00792AD1">
      <w:pPr>
        <w:pStyle w:val="Header"/>
        <w:outlineLvl w:val="0"/>
      </w:pPr>
    </w:p>
    <w:p w:rsidR="00792AD1" w:rsidRPr="004E1020" w:rsidRDefault="00792AD1" w:rsidP="00792AD1">
      <w:pPr>
        <w:pStyle w:val="Header"/>
        <w:outlineLvl w:val="0"/>
        <w:rPr>
          <w:bCs/>
          <w:u w:val="single"/>
        </w:rPr>
      </w:pPr>
      <w:r w:rsidRPr="004E1020">
        <w:rPr>
          <w:bCs/>
          <w:u w:val="single"/>
        </w:rPr>
        <w:t>Impact on Performance (Relationship of Increase to Strategic Goals)</w:t>
      </w:r>
    </w:p>
    <w:p w:rsidR="00792AD1" w:rsidRPr="004E1020" w:rsidRDefault="00792AD1" w:rsidP="00792AD1">
      <w:pPr>
        <w:pStyle w:val="Header"/>
        <w:outlineLvl w:val="0"/>
        <w:rPr>
          <w:bCs/>
        </w:rPr>
      </w:pPr>
    </w:p>
    <w:p w:rsidR="00792AD1" w:rsidRPr="00A5477B" w:rsidRDefault="00792AD1" w:rsidP="00792AD1">
      <w:pPr>
        <w:pStyle w:val="NormalWeb"/>
        <w:rPr>
          <w:rFonts w:ascii="Times New Roman" w:eastAsia="Times New Roman" w:hAnsi="Times New Roman"/>
          <w:szCs w:val="18"/>
        </w:rPr>
      </w:pPr>
      <w:r w:rsidRPr="00A5477B">
        <w:rPr>
          <w:rFonts w:ascii="Times New Roman" w:eastAsia="Times New Roman" w:hAnsi="Times New Roman"/>
          <w:szCs w:val="18"/>
        </w:rPr>
        <w:t>The Department is continually evaluating its programs and operations with the goal of achieving across-the-board economies of scale that result in increased efficiencies and cost savings. In FY 201</w:t>
      </w:r>
      <w:r>
        <w:rPr>
          <w:rFonts w:ascii="Times New Roman" w:eastAsia="Times New Roman" w:hAnsi="Times New Roman"/>
          <w:szCs w:val="18"/>
        </w:rPr>
        <w:t>2</w:t>
      </w:r>
      <w:r w:rsidRPr="00A5477B">
        <w:rPr>
          <w:rFonts w:ascii="Times New Roman" w:eastAsia="Times New Roman" w:hAnsi="Times New Roman"/>
          <w:szCs w:val="18"/>
        </w:rPr>
        <w:t xml:space="preserve">, DOJ is focusing on </w:t>
      </w:r>
      <w:r>
        <w:rPr>
          <w:rFonts w:ascii="Times New Roman" w:eastAsia="Times New Roman" w:hAnsi="Times New Roman"/>
          <w:szCs w:val="18"/>
        </w:rPr>
        <w:t>reducing duplicative work by consolidating regional and sub-offices</w:t>
      </w:r>
      <w:r w:rsidRPr="00A5477B">
        <w:rPr>
          <w:rFonts w:ascii="Times New Roman" w:eastAsia="Times New Roman" w:hAnsi="Times New Roman"/>
          <w:szCs w:val="18"/>
        </w:rPr>
        <w:t xml:space="preserve"> as an area in which savings can be achieved. </w:t>
      </w:r>
      <w:r>
        <w:rPr>
          <w:rFonts w:ascii="Times New Roman" w:eastAsia="Times New Roman" w:hAnsi="Times New Roman"/>
          <w:szCs w:val="18"/>
        </w:rPr>
        <w:t xml:space="preserve"> For ATF</w:t>
      </w:r>
      <w:r w:rsidRPr="00A5477B">
        <w:rPr>
          <w:rFonts w:ascii="Times New Roman" w:eastAsia="Times New Roman" w:hAnsi="Times New Roman"/>
          <w:szCs w:val="18"/>
        </w:rPr>
        <w:t xml:space="preserve">, </w:t>
      </w:r>
      <w:r>
        <w:rPr>
          <w:rFonts w:ascii="Times New Roman" w:eastAsia="Times New Roman" w:hAnsi="Times New Roman"/>
          <w:szCs w:val="18"/>
        </w:rPr>
        <w:t>reducing its physical footprint</w:t>
      </w:r>
      <w:r w:rsidRPr="00A5477B">
        <w:rPr>
          <w:rFonts w:ascii="Times New Roman" w:eastAsia="Times New Roman" w:hAnsi="Times New Roman"/>
          <w:szCs w:val="18"/>
        </w:rPr>
        <w:t xml:space="preserve"> will</w:t>
      </w:r>
      <w:r>
        <w:rPr>
          <w:rFonts w:ascii="Times New Roman" w:eastAsia="Times New Roman" w:hAnsi="Times New Roman"/>
          <w:szCs w:val="18"/>
        </w:rPr>
        <w:t xml:space="preserve"> result in offsets of $</w:t>
      </w:r>
      <w:r w:rsidR="00E370B4">
        <w:rPr>
          <w:rFonts w:ascii="Times New Roman" w:eastAsia="Times New Roman" w:hAnsi="Times New Roman"/>
          <w:szCs w:val="18"/>
        </w:rPr>
        <w:t>292,000</w:t>
      </w:r>
      <w:r w:rsidRPr="00A5477B">
        <w:rPr>
          <w:rFonts w:ascii="Times New Roman" w:eastAsia="Times New Roman" w:hAnsi="Times New Roman"/>
          <w:szCs w:val="18"/>
        </w:rPr>
        <w:t xml:space="preserve">. This offset will be applied in a manner that will allow the continuation of effective law enforcement program efforts.  </w:t>
      </w:r>
    </w:p>
    <w:p w:rsidR="00792AD1" w:rsidRPr="00F172BE" w:rsidRDefault="00792AD1" w:rsidP="00792AD1">
      <w:pPr>
        <w:jc w:val="center"/>
        <w:rPr>
          <w:b/>
        </w:rPr>
      </w:pPr>
      <w:r w:rsidRPr="006B1E04">
        <w:br w:type="page"/>
      </w:r>
      <w:r w:rsidRPr="00F172BE">
        <w:rPr>
          <w:b/>
        </w:rPr>
        <w:lastRenderedPageBreak/>
        <w:t>Funding</w:t>
      </w:r>
    </w:p>
    <w:p w:rsidR="00792AD1" w:rsidRDefault="00792AD1" w:rsidP="00792AD1"/>
    <w:p w:rsidR="00792AD1" w:rsidRPr="00426C49" w:rsidRDefault="00792AD1" w:rsidP="00792AD1">
      <w:pPr>
        <w:pStyle w:val="Header"/>
        <w:tabs>
          <w:tab w:val="left" w:pos="1440"/>
          <w:tab w:val="left" w:pos="1980"/>
          <w:tab w:val="right" w:pos="9360"/>
        </w:tabs>
        <w:outlineLvl w:val="0"/>
        <w:rPr>
          <w:u w:val="single"/>
        </w:rPr>
      </w:pPr>
      <w:r w:rsidRPr="00426C49">
        <w:rPr>
          <w:u w:val="single"/>
        </w:rPr>
        <w:t>Base Funding</w:t>
      </w:r>
    </w:p>
    <w:p w:rsidR="00792AD1" w:rsidRDefault="00792AD1" w:rsidP="00792AD1">
      <w:pPr>
        <w:pStyle w:val="Header"/>
        <w:tabs>
          <w:tab w:val="left" w:pos="1440"/>
          <w:tab w:val="left" w:pos="1980"/>
          <w:tab w:val="right" w:pos="9360"/>
        </w:tabs>
        <w:rPr>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763"/>
        <w:gridCol w:w="1395"/>
        <w:gridCol w:w="603"/>
        <w:gridCol w:w="607"/>
        <w:gridCol w:w="672"/>
        <w:gridCol w:w="1358"/>
        <w:gridCol w:w="590"/>
        <w:gridCol w:w="607"/>
        <w:gridCol w:w="672"/>
        <w:gridCol w:w="1090"/>
      </w:tblGrid>
      <w:tr w:rsidR="00792AD1" w:rsidRPr="00CC5993" w:rsidTr="00C021A7">
        <w:tc>
          <w:tcPr>
            <w:tcW w:w="3359" w:type="dxa"/>
            <w:gridSpan w:val="4"/>
            <w:shd w:val="clear" w:color="auto" w:fill="E6E6E6"/>
          </w:tcPr>
          <w:p w:rsidR="00792AD1" w:rsidRPr="001E1CC3" w:rsidRDefault="00792AD1" w:rsidP="00DD5E20">
            <w:pPr>
              <w:pStyle w:val="Heading7"/>
              <w:rPr>
                <w:b w:val="0"/>
                <w:szCs w:val="24"/>
              </w:rPr>
            </w:pPr>
            <w:r w:rsidRPr="001E1CC3">
              <w:rPr>
                <w:b w:val="0"/>
                <w:szCs w:val="24"/>
              </w:rPr>
              <w:t>FY 20</w:t>
            </w:r>
            <w:r>
              <w:rPr>
                <w:b w:val="0"/>
                <w:szCs w:val="24"/>
              </w:rPr>
              <w:t>10</w:t>
            </w:r>
            <w:r w:rsidRPr="001E1CC3">
              <w:rPr>
                <w:b w:val="0"/>
                <w:szCs w:val="24"/>
              </w:rPr>
              <w:t xml:space="preserve"> Enacted </w:t>
            </w:r>
          </w:p>
        </w:tc>
        <w:tc>
          <w:tcPr>
            <w:tcW w:w="3240" w:type="dxa"/>
            <w:gridSpan w:val="4"/>
            <w:shd w:val="clear" w:color="auto" w:fill="E6E6E6"/>
          </w:tcPr>
          <w:p w:rsidR="00792AD1" w:rsidRPr="001E1CC3" w:rsidRDefault="00792AD1" w:rsidP="00DD5E20">
            <w:pPr>
              <w:pStyle w:val="Heading7"/>
              <w:rPr>
                <w:b w:val="0"/>
                <w:szCs w:val="24"/>
              </w:rPr>
            </w:pPr>
            <w:r w:rsidRPr="001E1CC3">
              <w:rPr>
                <w:b w:val="0"/>
                <w:szCs w:val="24"/>
              </w:rPr>
              <w:t>FY 201</w:t>
            </w:r>
            <w:r>
              <w:rPr>
                <w:b w:val="0"/>
                <w:szCs w:val="24"/>
              </w:rPr>
              <w:t>1</w:t>
            </w:r>
            <w:r w:rsidRPr="001E1CC3">
              <w:rPr>
                <w:b w:val="0"/>
                <w:szCs w:val="24"/>
              </w:rPr>
              <w:t xml:space="preserve"> </w:t>
            </w:r>
            <w:r>
              <w:rPr>
                <w:b w:val="0"/>
                <w:szCs w:val="24"/>
              </w:rPr>
              <w:t>Enacted</w:t>
            </w:r>
          </w:p>
        </w:tc>
        <w:tc>
          <w:tcPr>
            <w:tcW w:w="2959" w:type="dxa"/>
            <w:gridSpan w:val="4"/>
            <w:shd w:val="clear" w:color="auto" w:fill="E6E6E6"/>
          </w:tcPr>
          <w:p w:rsidR="00792AD1" w:rsidRPr="001E1CC3" w:rsidRDefault="00792AD1" w:rsidP="00DD5E20">
            <w:pPr>
              <w:pStyle w:val="Heading7"/>
              <w:rPr>
                <w:b w:val="0"/>
                <w:szCs w:val="24"/>
              </w:rPr>
            </w:pPr>
            <w:r w:rsidRPr="001E1CC3">
              <w:rPr>
                <w:b w:val="0"/>
                <w:szCs w:val="24"/>
              </w:rPr>
              <w:t>FY 201</w:t>
            </w:r>
            <w:r>
              <w:rPr>
                <w:b w:val="0"/>
                <w:szCs w:val="24"/>
              </w:rPr>
              <w:t>2</w:t>
            </w:r>
            <w:r w:rsidRPr="001E1CC3">
              <w:rPr>
                <w:b w:val="0"/>
                <w:szCs w:val="24"/>
              </w:rPr>
              <w:t xml:space="preserve"> Current Services</w:t>
            </w:r>
          </w:p>
        </w:tc>
      </w:tr>
      <w:tr w:rsidR="00792AD1" w:rsidRPr="00CC5993" w:rsidTr="00C021A7">
        <w:trPr>
          <w:trHeight w:val="170"/>
        </w:trPr>
        <w:tc>
          <w:tcPr>
            <w:tcW w:w="594" w:type="dxa"/>
          </w:tcPr>
          <w:p w:rsidR="00792AD1" w:rsidRPr="00CC5993" w:rsidRDefault="00792AD1" w:rsidP="00DD5E20">
            <w:pPr>
              <w:pStyle w:val="xl24"/>
              <w:spacing w:before="0" w:after="0"/>
              <w:jc w:val="center"/>
            </w:pPr>
            <w:r w:rsidRPr="00CC5993">
              <w:t>Pos</w:t>
            </w:r>
          </w:p>
        </w:tc>
        <w:tc>
          <w:tcPr>
            <w:tcW w:w="607" w:type="dxa"/>
          </w:tcPr>
          <w:p w:rsidR="00792AD1" w:rsidRPr="00CC5993" w:rsidRDefault="00792AD1" w:rsidP="00DD5E20">
            <w:pPr>
              <w:pStyle w:val="xl24"/>
              <w:spacing w:before="0" w:after="0"/>
              <w:jc w:val="center"/>
            </w:pPr>
            <w:proofErr w:type="spellStart"/>
            <w:r w:rsidRPr="00CC5993">
              <w:t>Agt</w:t>
            </w:r>
            <w:proofErr w:type="spellEnd"/>
          </w:p>
        </w:tc>
        <w:tc>
          <w:tcPr>
            <w:tcW w:w="763" w:type="dxa"/>
          </w:tcPr>
          <w:p w:rsidR="00792AD1" w:rsidRPr="00CC5993" w:rsidRDefault="00792AD1" w:rsidP="00DD5E20">
            <w:pPr>
              <w:pStyle w:val="xl24"/>
              <w:spacing w:before="0" w:after="0"/>
              <w:jc w:val="center"/>
            </w:pPr>
            <w:r w:rsidRPr="00CC5993">
              <w:t>FTE</w:t>
            </w:r>
          </w:p>
        </w:tc>
        <w:tc>
          <w:tcPr>
            <w:tcW w:w="1395" w:type="dxa"/>
          </w:tcPr>
          <w:p w:rsidR="00792AD1" w:rsidRPr="00CC5993" w:rsidRDefault="00792AD1" w:rsidP="00DD5E20">
            <w:pPr>
              <w:pStyle w:val="xl24"/>
              <w:spacing w:before="0" w:after="0"/>
              <w:jc w:val="center"/>
            </w:pPr>
            <w:r w:rsidRPr="00CC5993">
              <w:t>$(000)</w:t>
            </w:r>
          </w:p>
        </w:tc>
        <w:tc>
          <w:tcPr>
            <w:tcW w:w="603" w:type="dxa"/>
          </w:tcPr>
          <w:p w:rsidR="00792AD1" w:rsidRPr="00CC5993" w:rsidRDefault="00792AD1" w:rsidP="00DD5E20">
            <w:pPr>
              <w:pStyle w:val="xl24"/>
              <w:spacing w:before="0" w:after="0"/>
              <w:jc w:val="center"/>
            </w:pPr>
            <w:r w:rsidRPr="00CC5993">
              <w:t>Pos</w:t>
            </w:r>
          </w:p>
        </w:tc>
        <w:tc>
          <w:tcPr>
            <w:tcW w:w="607" w:type="dxa"/>
          </w:tcPr>
          <w:p w:rsidR="00792AD1" w:rsidRPr="00CC5993" w:rsidRDefault="00792AD1" w:rsidP="00DD5E20">
            <w:pPr>
              <w:pStyle w:val="xl24"/>
              <w:spacing w:before="0" w:after="0"/>
              <w:jc w:val="center"/>
            </w:pPr>
            <w:proofErr w:type="spellStart"/>
            <w:r w:rsidRPr="00CC5993">
              <w:t>Agt</w:t>
            </w:r>
            <w:proofErr w:type="spellEnd"/>
          </w:p>
        </w:tc>
        <w:tc>
          <w:tcPr>
            <w:tcW w:w="672" w:type="dxa"/>
          </w:tcPr>
          <w:p w:rsidR="00792AD1" w:rsidRPr="00CC5993" w:rsidRDefault="00792AD1" w:rsidP="00DD5E20">
            <w:pPr>
              <w:pStyle w:val="xl24"/>
              <w:spacing w:before="0" w:after="0"/>
              <w:jc w:val="center"/>
            </w:pPr>
            <w:r w:rsidRPr="00CC5993">
              <w:t>FTE</w:t>
            </w:r>
          </w:p>
        </w:tc>
        <w:tc>
          <w:tcPr>
            <w:tcW w:w="1358" w:type="dxa"/>
          </w:tcPr>
          <w:p w:rsidR="00792AD1" w:rsidRPr="00CC5993" w:rsidRDefault="00792AD1" w:rsidP="00DD5E20">
            <w:pPr>
              <w:pStyle w:val="xl24"/>
              <w:spacing w:before="0" w:after="0"/>
              <w:jc w:val="center"/>
            </w:pPr>
            <w:r w:rsidRPr="00CC5993">
              <w:t>$(000)</w:t>
            </w:r>
          </w:p>
        </w:tc>
        <w:tc>
          <w:tcPr>
            <w:tcW w:w="590" w:type="dxa"/>
          </w:tcPr>
          <w:p w:rsidR="00792AD1" w:rsidRPr="00CC5993" w:rsidRDefault="00792AD1" w:rsidP="00DD5E20">
            <w:pPr>
              <w:pStyle w:val="xl24"/>
              <w:spacing w:before="0" w:after="0"/>
              <w:jc w:val="center"/>
            </w:pPr>
            <w:r w:rsidRPr="00CC5993">
              <w:t>Pos</w:t>
            </w:r>
          </w:p>
        </w:tc>
        <w:tc>
          <w:tcPr>
            <w:tcW w:w="607" w:type="dxa"/>
          </w:tcPr>
          <w:p w:rsidR="00792AD1" w:rsidRPr="00CC5993" w:rsidRDefault="00792AD1" w:rsidP="00DD5E20">
            <w:pPr>
              <w:pStyle w:val="xl24"/>
              <w:spacing w:before="0" w:after="0"/>
              <w:jc w:val="center"/>
            </w:pPr>
            <w:proofErr w:type="spellStart"/>
            <w:r w:rsidRPr="00CC5993">
              <w:t>Agt</w:t>
            </w:r>
            <w:proofErr w:type="spellEnd"/>
          </w:p>
        </w:tc>
        <w:tc>
          <w:tcPr>
            <w:tcW w:w="672" w:type="dxa"/>
          </w:tcPr>
          <w:p w:rsidR="00792AD1" w:rsidRPr="00CC5993" w:rsidRDefault="00792AD1" w:rsidP="00DD5E20">
            <w:pPr>
              <w:pStyle w:val="xl24"/>
              <w:spacing w:before="0" w:after="0"/>
              <w:jc w:val="center"/>
            </w:pPr>
            <w:r w:rsidRPr="00CC5993">
              <w:t>FTE</w:t>
            </w:r>
          </w:p>
        </w:tc>
        <w:tc>
          <w:tcPr>
            <w:tcW w:w="1090" w:type="dxa"/>
          </w:tcPr>
          <w:p w:rsidR="00792AD1" w:rsidRPr="00CC5993" w:rsidRDefault="00792AD1" w:rsidP="00DD5E20">
            <w:pPr>
              <w:pStyle w:val="xl24"/>
              <w:spacing w:before="0" w:after="0"/>
              <w:jc w:val="center"/>
            </w:pPr>
            <w:r w:rsidRPr="00CC5993">
              <w:t>$(000)</w:t>
            </w:r>
          </w:p>
        </w:tc>
      </w:tr>
      <w:tr w:rsidR="00792AD1" w:rsidRPr="00CC5993" w:rsidTr="00C021A7">
        <w:tc>
          <w:tcPr>
            <w:tcW w:w="594" w:type="dxa"/>
          </w:tcPr>
          <w:p w:rsidR="00792AD1" w:rsidRPr="00CC5993" w:rsidRDefault="00792AD1" w:rsidP="00DD5E20">
            <w:pPr>
              <w:pStyle w:val="xl24"/>
              <w:spacing w:before="0" w:after="0"/>
              <w:jc w:val="right"/>
            </w:pPr>
            <w:r>
              <w:t>0</w:t>
            </w:r>
          </w:p>
        </w:tc>
        <w:tc>
          <w:tcPr>
            <w:tcW w:w="607" w:type="dxa"/>
          </w:tcPr>
          <w:p w:rsidR="00792AD1" w:rsidRPr="00CC5993" w:rsidRDefault="00792AD1" w:rsidP="00DD5E20">
            <w:pPr>
              <w:pStyle w:val="xl24"/>
              <w:spacing w:before="0" w:after="0"/>
              <w:jc w:val="right"/>
            </w:pPr>
            <w:r>
              <w:t>0</w:t>
            </w:r>
          </w:p>
        </w:tc>
        <w:tc>
          <w:tcPr>
            <w:tcW w:w="763" w:type="dxa"/>
          </w:tcPr>
          <w:p w:rsidR="00792AD1" w:rsidRPr="00CC5993" w:rsidRDefault="00792AD1" w:rsidP="00DD5E20">
            <w:pPr>
              <w:pStyle w:val="xl24"/>
              <w:spacing w:before="0" w:after="0"/>
              <w:jc w:val="right"/>
            </w:pPr>
            <w:r>
              <w:t>0</w:t>
            </w:r>
          </w:p>
        </w:tc>
        <w:tc>
          <w:tcPr>
            <w:tcW w:w="1395" w:type="dxa"/>
          </w:tcPr>
          <w:p w:rsidR="00792AD1" w:rsidRPr="00CC5993" w:rsidRDefault="00792AD1" w:rsidP="00DD5E20">
            <w:pPr>
              <w:pStyle w:val="xl24"/>
              <w:tabs>
                <w:tab w:val="left" w:pos="200"/>
                <w:tab w:val="center" w:pos="589"/>
              </w:tabs>
              <w:spacing w:before="0" w:after="0"/>
              <w:jc w:val="right"/>
            </w:pPr>
            <w:r>
              <w:t>0</w:t>
            </w:r>
          </w:p>
        </w:tc>
        <w:tc>
          <w:tcPr>
            <w:tcW w:w="603" w:type="dxa"/>
          </w:tcPr>
          <w:p w:rsidR="00792AD1" w:rsidRPr="00CC5993" w:rsidRDefault="00792AD1" w:rsidP="00DD5E20">
            <w:pPr>
              <w:pStyle w:val="xl24"/>
              <w:spacing w:before="0" w:after="0"/>
              <w:jc w:val="right"/>
            </w:pPr>
            <w:r>
              <w:t>0</w:t>
            </w:r>
          </w:p>
        </w:tc>
        <w:tc>
          <w:tcPr>
            <w:tcW w:w="607" w:type="dxa"/>
          </w:tcPr>
          <w:p w:rsidR="00792AD1" w:rsidRPr="00CC5993" w:rsidRDefault="00792AD1" w:rsidP="00DD5E20">
            <w:pPr>
              <w:pStyle w:val="xl24"/>
              <w:spacing w:before="0" w:after="0"/>
              <w:jc w:val="right"/>
            </w:pPr>
            <w:r>
              <w:t>0</w:t>
            </w:r>
          </w:p>
        </w:tc>
        <w:tc>
          <w:tcPr>
            <w:tcW w:w="672" w:type="dxa"/>
          </w:tcPr>
          <w:p w:rsidR="00792AD1" w:rsidRPr="00CC5993" w:rsidRDefault="00792AD1" w:rsidP="00DD5E20">
            <w:pPr>
              <w:pStyle w:val="xl24"/>
              <w:spacing w:before="0" w:after="0"/>
              <w:jc w:val="right"/>
            </w:pPr>
            <w:r>
              <w:t>0</w:t>
            </w:r>
          </w:p>
        </w:tc>
        <w:tc>
          <w:tcPr>
            <w:tcW w:w="1358" w:type="dxa"/>
          </w:tcPr>
          <w:p w:rsidR="00792AD1" w:rsidRPr="00CC5993" w:rsidRDefault="00792AD1" w:rsidP="00DD5E20">
            <w:pPr>
              <w:pStyle w:val="xl24"/>
              <w:spacing w:before="0" w:after="0"/>
              <w:jc w:val="right"/>
            </w:pPr>
            <w:r>
              <w:t>0</w:t>
            </w:r>
          </w:p>
        </w:tc>
        <w:tc>
          <w:tcPr>
            <w:tcW w:w="590" w:type="dxa"/>
          </w:tcPr>
          <w:p w:rsidR="00792AD1" w:rsidRPr="00CC5993" w:rsidRDefault="00792AD1" w:rsidP="00DD5E20">
            <w:pPr>
              <w:pStyle w:val="xl24"/>
              <w:spacing w:before="0" w:after="0"/>
              <w:jc w:val="right"/>
            </w:pPr>
            <w:r>
              <w:t>0</w:t>
            </w:r>
          </w:p>
        </w:tc>
        <w:tc>
          <w:tcPr>
            <w:tcW w:w="607" w:type="dxa"/>
          </w:tcPr>
          <w:p w:rsidR="00792AD1" w:rsidRPr="00CC5993" w:rsidRDefault="00792AD1" w:rsidP="00DD5E20">
            <w:pPr>
              <w:pStyle w:val="xl24"/>
              <w:spacing w:before="0" w:after="0"/>
              <w:jc w:val="right"/>
            </w:pPr>
            <w:r>
              <w:t>0</w:t>
            </w:r>
          </w:p>
        </w:tc>
        <w:tc>
          <w:tcPr>
            <w:tcW w:w="672" w:type="dxa"/>
          </w:tcPr>
          <w:p w:rsidR="00792AD1" w:rsidRPr="00CC5993" w:rsidRDefault="00792AD1" w:rsidP="00DD5E20">
            <w:pPr>
              <w:pStyle w:val="xl24"/>
              <w:spacing w:before="0" w:after="0"/>
              <w:jc w:val="right"/>
            </w:pPr>
            <w:r>
              <w:t>0</w:t>
            </w:r>
          </w:p>
        </w:tc>
        <w:tc>
          <w:tcPr>
            <w:tcW w:w="1090" w:type="dxa"/>
          </w:tcPr>
          <w:p w:rsidR="00792AD1" w:rsidRPr="00CC5993" w:rsidRDefault="00792AD1" w:rsidP="00DD5E20">
            <w:pPr>
              <w:pStyle w:val="xl24"/>
              <w:spacing w:before="0" w:after="0"/>
              <w:jc w:val="right"/>
            </w:pPr>
            <w:r>
              <w:t>0</w:t>
            </w:r>
          </w:p>
        </w:tc>
      </w:tr>
    </w:tbl>
    <w:p w:rsidR="00792AD1" w:rsidRDefault="00792AD1" w:rsidP="00792AD1">
      <w:pPr>
        <w:pStyle w:val="xl24"/>
        <w:tabs>
          <w:tab w:val="left" w:pos="3240"/>
        </w:tabs>
        <w:spacing w:before="0" w:beforeAutospacing="0" w:after="0" w:afterAutospacing="0"/>
        <w:outlineLvl w:val="0"/>
        <w:rPr>
          <w:u w:val="single"/>
        </w:rPr>
      </w:pPr>
    </w:p>
    <w:p w:rsidR="00792AD1" w:rsidRPr="0048501E" w:rsidRDefault="00792AD1" w:rsidP="00792AD1">
      <w:pPr>
        <w:pStyle w:val="BodyText"/>
        <w:rPr>
          <w:u w:val="single"/>
        </w:rPr>
      </w:pPr>
      <w:r w:rsidRPr="0048501E">
        <w:rPr>
          <w:u w:val="single"/>
        </w:rPr>
        <w:t>Personnel Increase Cost Summary</w:t>
      </w:r>
    </w:p>
    <w:p w:rsidR="00792AD1" w:rsidRPr="0035143D" w:rsidRDefault="00792AD1" w:rsidP="00792AD1">
      <w:pPr>
        <w:pStyle w:val="BodyText"/>
        <w:rPr>
          <w:highlight w:val="yellow"/>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8"/>
        <w:gridCol w:w="1506"/>
        <w:gridCol w:w="1317"/>
        <w:gridCol w:w="1356"/>
        <w:gridCol w:w="1901"/>
        <w:gridCol w:w="1908"/>
      </w:tblGrid>
      <w:tr w:rsidR="00005511" w:rsidRPr="0035143D" w:rsidTr="00005511">
        <w:tc>
          <w:tcPr>
            <w:tcW w:w="1588" w:type="dxa"/>
            <w:shd w:val="clear" w:color="auto" w:fill="E0E0E0"/>
            <w:vAlign w:val="center"/>
          </w:tcPr>
          <w:p w:rsidR="00005511" w:rsidRPr="0035143D" w:rsidRDefault="00005511" w:rsidP="00DD5E20">
            <w:pPr>
              <w:jc w:val="center"/>
              <w:rPr>
                <w:sz w:val="20"/>
                <w:highlight w:val="yellow"/>
              </w:rPr>
            </w:pPr>
            <w:r w:rsidRPr="00147C21">
              <w:rPr>
                <w:sz w:val="20"/>
              </w:rPr>
              <w:t>Type of Position</w:t>
            </w:r>
          </w:p>
        </w:tc>
        <w:tc>
          <w:tcPr>
            <w:tcW w:w="1506" w:type="dxa"/>
            <w:shd w:val="clear" w:color="auto" w:fill="E0E0E0"/>
            <w:vAlign w:val="center"/>
          </w:tcPr>
          <w:p w:rsidR="00005511" w:rsidRPr="00147C21" w:rsidRDefault="00005511" w:rsidP="00DD5E20">
            <w:pPr>
              <w:jc w:val="center"/>
              <w:rPr>
                <w:sz w:val="20"/>
              </w:rPr>
            </w:pPr>
            <w:r w:rsidRPr="00147C21">
              <w:rPr>
                <w:sz w:val="20"/>
              </w:rPr>
              <w:t>Modular Cost</w:t>
            </w:r>
          </w:p>
          <w:p w:rsidR="00005511" w:rsidRPr="0035143D" w:rsidRDefault="00005511" w:rsidP="00DD5E20">
            <w:pPr>
              <w:jc w:val="center"/>
              <w:rPr>
                <w:sz w:val="20"/>
                <w:highlight w:val="yellow"/>
              </w:rPr>
            </w:pPr>
            <w:r w:rsidRPr="00147C21">
              <w:rPr>
                <w:sz w:val="20"/>
              </w:rPr>
              <w:t>per Position ($000)</w:t>
            </w:r>
          </w:p>
        </w:tc>
        <w:tc>
          <w:tcPr>
            <w:tcW w:w="1317" w:type="dxa"/>
            <w:shd w:val="clear" w:color="auto" w:fill="E0E0E0"/>
            <w:vAlign w:val="center"/>
          </w:tcPr>
          <w:p w:rsidR="00005511" w:rsidRPr="00147C21" w:rsidRDefault="00005511" w:rsidP="00DD5E20">
            <w:pPr>
              <w:jc w:val="center"/>
              <w:rPr>
                <w:sz w:val="20"/>
              </w:rPr>
            </w:pPr>
            <w:r w:rsidRPr="00147C21">
              <w:rPr>
                <w:sz w:val="20"/>
              </w:rPr>
              <w:t>Number of</w:t>
            </w:r>
          </w:p>
          <w:p w:rsidR="00005511" w:rsidRPr="00147C21" w:rsidRDefault="00005511" w:rsidP="00DD5E20">
            <w:pPr>
              <w:jc w:val="center"/>
              <w:rPr>
                <w:sz w:val="20"/>
              </w:rPr>
            </w:pPr>
            <w:r w:rsidRPr="00147C21">
              <w:rPr>
                <w:sz w:val="20"/>
              </w:rPr>
              <w:t>Positions</w:t>
            </w:r>
          </w:p>
          <w:p w:rsidR="00005511" w:rsidRPr="0035143D" w:rsidRDefault="00005511" w:rsidP="00DD5E20">
            <w:pPr>
              <w:jc w:val="center"/>
              <w:rPr>
                <w:sz w:val="20"/>
                <w:highlight w:val="yellow"/>
              </w:rPr>
            </w:pPr>
            <w:r w:rsidRPr="00147C21">
              <w:rPr>
                <w:sz w:val="20"/>
              </w:rPr>
              <w:t>Requested</w:t>
            </w:r>
          </w:p>
        </w:tc>
        <w:tc>
          <w:tcPr>
            <w:tcW w:w="1356" w:type="dxa"/>
            <w:shd w:val="clear" w:color="auto" w:fill="E0E0E0"/>
            <w:vAlign w:val="center"/>
          </w:tcPr>
          <w:p w:rsidR="00005511" w:rsidRPr="0035143D" w:rsidRDefault="00005511" w:rsidP="00DD5E20">
            <w:pPr>
              <w:jc w:val="center"/>
              <w:rPr>
                <w:sz w:val="20"/>
                <w:highlight w:val="yellow"/>
              </w:rPr>
            </w:pPr>
            <w:r w:rsidRPr="00147C21">
              <w:rPr>
                <w:sz w:val="20"/>
              </w:rPr>
              <w:t>FY 201</w:t>
            </w:r>
            <w:r>
              <w:rPr>
                <w:sz w:val="20"/>
              </w:rPr>
              <w:t xml:space="preserve">2 </w:t>
            </w:r>
            <w:r w:rsidRPr="00147C21">
              <w:rPr>
                <w:sz w:val="20"/>
              </w:rPr>
              <w:t>Request ($000)</w:t>
            </w:r>
          </w:p>
        </w:tc>
        <w:tc>
          <w:tcPr>
            <w:tcW w:w="1901" w:type="dxa"/>
            <w:shd w:val="clear" w:color="auto" w:fill="E0E0E0"/>
            <w:vAlign w:val="center"/>
          </w:tcPr>
          <w:p w:rsidR="00005511" w:rsidRPr="00147C21" w:rsidRDefault="00005511" w:rsidP="00DD5E20">
            <w:pPr>
              <w:jc w:val="center"/>
              <w:rPr>
                <w:sz w:val="20"/>
              </w:rPr>
            </w:pPr>
            <w:r w:rsidRPr="00147C21">
              <w:rPr>
                <w:sz w:val="20"/>
              </w:rPr>
              <w:t>FY 201</w:t>
            </w:r>
            <w:r>
              <w:rPr>
                <w:sz w:val="20"/>
              </w:rPr>
              <w:t>3</w:t>
            </w:r>
            <w:r w:rsidRPr="00147C21">
              <w:rPr>
                <w:sz w:val="20"/>
              </w:rPr>
              <w:t xml:space="preserve"> Net Annualization</w:t>
            </w:r>
          </w:p>
          <w:p w:rsidR="00005511" w:rsidRPr="0035143D" w:rsidRDefault="00005511" w:rsidP="00DD5E20">
            <w:pPr>
              <w:jc w:val="center"/>
              <w:rPr>
                <w:sz w:val="20"/>
                <w:highlight w:val="yellow"/>
              </w:rPr>
            </w:pPr>
            <w:r w:rsidRPr="00147C21">
              <w:rPr>
                <w:sz w:val="20"/>
              </w:rPr>
              <w:t>(change from 201</w:t>
            </w:r>
            <w:r>
              <w:rPr>
                <w:sz w:val="20"/>
              </w:rPr>
              <w:t>2</w:t>
            </w:r>
            <w:r w:rsidRPr="00147C21">
              <w:rPr>
                <w:sz w:val="20"/>
              </w:rPr>
              <w:t>)</w:t>
            </w:r>
            <w:r>
              <w:rPr>
                <w:sz w:val="20"/>
              </w:rPr>
              <w:t xml:space="preserve"> </w:t>
            </w:r>
            <w:r w:rsidRPr="00147C21">
              <w:rPr>
                <w:sz w:val="20"/>
              </w:rPr>
              <w:t>($000)</w:t>
            </w:r>
          </w:p>
        </w:tc>
        <w:tc>
          <w:tcPr>
            <w:tcW w:w="1908" w:type="dxa"/>
            <w:shd w:val="clear" w:color="auto" w:fill="E0E0E0"/>
          </w:tcPr>
          <w:p w:rsidR="00005511" w:rsidRPr="00147C21" w:rsidRDefault="00005511" w:rsidP="00005511">
            <w:pPr>
              <w:jc w:val="center"/>
              <w:rPr>
                <w:sz w:val="20"/>
              </w:rPr>
            </w:pPr>
            <w:r w:rsidRPr="00147C21">
              <w:rPr>
                <w:sz w:val="20"/>
              </w:rPr>
              <w:t>FY 201</w:t>
            </w:r>
            <w:r>
              <w:rPr>
                <w:sz w:val="20"/>
              </w:rPr>
              <w:t>4</w:t>
            </w:r>
            <w:r w:rsidRPr="00147C21">
              <w:rPr>
                <w:sz w:val="20"/>
              </w:rPr>
              <w:t xml:space="preserve"> Net Annualization</w:t>
            </w:r>
          </w:p>
          <w:p w:rsidR="00005511" w:rsidRPr="00147C21" w:rsidRDefault="00005511" w:rsidP="00005511">
            <w:pPr>
              <w:jc w:val="center"/>
              <w:rPr>
                <w:sz w:val="20"/>
              </w:rPr>
            </w:pPr>
            <w:r w:rsidRPr="00147C21">
              <w:rPr>
                <w:sz w:val="20"/>
              </w:rPr>
              <w:t>(change from 201</w:t>
            </w:r>
            <w:r>
              <w:rPr>
                <w:sz w:val="20"/>
              </w:rPr>
              <w:t>3</w:t>
            </w:r>
            <w:r w:rsidRPr="00147C21">
              <w:rPr>
                <w:sz w:val="20"/>
              </w:rPr>
              <w:t>)</w:t>
            </w:r>
            <w:r>
              <w:rPr>
                <w:sz w:val="20"/>
              </w:rPr>
              <w:t xml:space="preserve"> </w:t>
            </w:r>
            <w:r w:rsidRPr="00147C21">
              <w:rPr>
                <w:sz w:val="20"/>
              </w:rPr>
              <w:t>($000)</w:t>
            </w:r>
          </w:p>
        </w:tc>
      </w:tr>
      <w:tr w:rsidR="00005511" w:rsidRPr="0035143D" w:rsidTr="00005511">
        <w:tc>
          <w:tcPr>
            <w:tcW w:w="1588" w:type="dxa"/>
            <w:vAlign w:val="center"/>
          </w:tcPr>
          <w:p w:rsidR="00005511" w:rsidRPr="00E16F1D" w:rsidRDefault="00005511" w:rsidP="00DD5E20">
            <w:pPr>
              <w:rPr>
                <w:b/>
                <w:bCs/>
                <w:i/>
                <w:iCs/>
              </w:rPr>
            </w:pPr>
          </w:p>
        </w:tc>
        <w:tc>
          <w:tcPr>
            <w:tcW w:w="1506" w:type="dxa"/>
            <w:vAlign w:val="bottom"/>
          </w:tcPr>
          <w:p w:rsidR="00005511" w:rsidRPr="00FA7857" w:rsidRDefault="00005511" w:rsidP="00DD5E20">
            <w:pPr>
              <w:pStyle w:val="xl19"/>
              <w:jc w:val="right"/>
            </w:pPr>
          </w:p>
        </w:tc>
        <w:tc>
          <w:tcPr>
            <w:tcW w:w="1317" w:type="dxa"/>
            <w:vAlign w:val="bottom"/>
          </w:tcPr>
          <w:p w:rsidR="00005511" w:rsidRPr="00FA7857" w:rsidRDefault="00005511" w:rsidP="00DD5E20">
            <w:pPr>
              <w:jc w:val="right"/>
            </w:pPr>
          </w:p>
        </w:tc>
        <w:tc>
          <w:tcPr>
            <w:tcW w:w="1356" w:type="dxa"/>
            <w:vAlign w:val="bottom"/>
          </w:tcPr>
          <w:p w:rsidR="00005511" w:rsidRPr="00FA7857" w:rsidRDefault="00005511" w:rsidP="00DD5E20">
            <w:pPr>
              <w:jc w:val="right"/>
            </w:pPr>
          </w:p>
        </w:tc>
        <w:tc>
          <w:tcPr>
            <w:tcW w:w="1901" w:type="dxa"/>
            <w:vAlign w:val="bottom"/>
          </w:tcPr>
          <w:p w:rsidR="00005511" w:rsidRPr="00FA7857" w:rsidRDefault="00005511" w:rsidP="00DD5E20">
            <w:pPr>
              <w:jc w:val="right"/>
            </w:pPr>
          </w:p>
        </w:tc>
        <w:tc>
          <w:tcPr>
            <w:tcW w:w="1908" w:type="dxa"/>
          </w:tcPr>
          <w:p w:rsidR="00005511" w:rsidRPr="00FA7857" w:rsidRDefault="00005511" w:rsidP="00DD5E20">
            <w:pPr>
              <w:jc w:val="right"/>
            </w:pPr>
          </w:p>
        </w:tc>
      </w:tr>
      <w:tr w:rsidR="00005511" w:rsidRPr="0035143D" w:rsidTr="00005511">
        <w:tc>
          <w:tcPr>
            <w:tcW w:w="1588" w:type="dxa"/>
            <w:shd w:val="clear" w:color="auto" w:fill="EAEAEA"/>
            <w:vAlign w:val="center"/>
          </w:tcPr>
          <w:p w:rsidR="00005511" w:rsidRPr="00305BA6" w:rsidRDefault="00005511" w:rsidP="00DD5E20">
            <w:pPr>
              <w:jc w:val="right"/>
            </w:pPr>
          </w:p>
        </w:tc>
        <w:tc>
          <w:tcPr>
            <w:tcW w:w="1506" w:type="dxa"/>
            <w:shd w:val="clear" w:color="auto" w:fill="EAEAEA"/>
            <w:vAlign w:val="bottom"/>
          </w:tcPr>
          <w:p w:rsidR="00005511" w:rsidRPr="00305BA6" w:rsidRDefault="00005511" w:rsidP="00DD5E20">
            <w:pPr>
              <w:pStyle w:val="xl19"/>
              <w:jc w:val="right"/>
            </w:pPr>
          </w:p>
        </w:tc>
        <w:tc>
          <w:tcPr>
            <w:tcW w:w="1317" w:type="dxa"/>
            <w:shd w:val="clear" w:color="auto" w:fill="EAEAEA"/>
            <w:vAlign w:val="bottom"/>
          </w:tcPr>
          <w:p w:rsidR="00005511" w:rsidRPr="00305BA6" w:rsidRDefault="00005511" w:rsidP="00DD5E20">
            <w:pPr>
              <w:jc w:val="right"/>
            </w:pPr>
          </w:p>
        </w:tc>
        <w:tc>
          <w:tcPr>
            <w:tcW w:w="1356" w:type="dxa"/>
            <w:shd w:val="clear" w:color="auto" w:fill="EAEAEA"/>
            <w:vAlign w:val="bottom"/>
          </w:tcPr>
          <w:p w:rsidR="00005511" w:rsidRPr="00305BA6" w:rsidRDefault="00005511" w:rsidP="00DD5E20">
            <w:pPr>
              <w:jc w:val="right"/>
            </w:pPr>
          </w:p>
        </w:tc>
        <w:tc>
          <w:tcPr>
            <w:tcW w:w="1901" w:type="dxa"/>
            <w:shd w:val="clear" w:color="auto" w:fill="EAEAEA"/>
            <w:vAlign w:val="bottom"/>
          </w:tcPr>
          <w:p w:rsidR="00005511" w:rsidRPr="00305BA6" w:rsidRDefault="00005511" w:rsidP="00DD5E20">
            <w:pPr>
              <w:jc w:val="right"/>
            </w:pPr>
          </w:p>
        </w:tc>
        <w:tc>
          <w:tcPr>
            <w:tcW w:w="1908" w:type="dxa"/>
            <w:shd w:val="clear" w:color="auto" w:fill="EAEAEA"/>
          </w:tcPr>
          <w:p w:rsidR="00005511" w:rsidRPr="00305BA6" w:rsidRDefault="00005511" w:rsidP="00DD5E20">
            <w:pPr>
              <w:jc w:val="right"/>
            </w:pPr>
          </w:p>
        </w:tc>
      </w:tr>
      <w:tr w:rsidR="00005511" w:rsidRPr="0035143D" w:rsidTr="00005511">
        <w:tc>
          <w:tcPr>
            <w:tcW w:w="1588" w:type="dxa"/>
            <w:vAlign w:val="center"/>
          </w:tcPr>
          <w:p w:rsidR="00005511" w:rsidRPr="00E16F1D" w:rsidRDefault="00005511" w:rsidP="00DD5E20"/>
        </w:tc>
        <w:tc>
          <w:tcPr>
            <w:tcW w:w="1506" w:type="dxa"/>
            <w:vAlign w:val="bottom"/>
          </w:tcPr>
          <w:p w:rsidR="00005511" w:rsidRDefault="00005511" w:rsidP="00DD5E20">
            <w:pPr>
              <w:pStyle w:val="xl19"/>
              <w:jc w:val="right"/>
            </w:pPr>
          </w:p>
        </w:tc>
        <w:tc>
          <w:tcPr>
            <w:tcW w:w="1317" w:type="dxa"/>
            <w:vAlign w:val="bottom"/>
          </w:tcPr>
          <w:p w:rsidR="00005511" w:rsidRDefault="00005511" w:rsidP="00DD5E20">
            <w:pPr>
              <w:jc w:val="right"/>
              <w:rPr>
                <w:bCs/>
              </w:rPr>
            </w:pPr>
          </w:p>
        </w:tc>
        <w:tc>
          <w:tcPr>
            <w:tcW w:w="1356" w:type="dxa"/>
            <w:vAlign w:val="bottom"/>
          </w:tcPr>
          <w:p w:rsidR="00005511" w:rsidRDefault="00005511" w:rsidP="00DD5E20">
            <w:pPr>
              <w:jc w:val="right"/>
            </w:pPr>
          </w:p>
        </w:tc>
        <w:tc>
          <w:tcPr>
            <w:tcW w:w="1901" w:type="dxa"/>
            <w:vAlign w:val="bottom"/>
          </w:tcPr>
          <w:p w:rsidR="00005511" w:rsidRDefault="00005511" w:rsidP="00DD5E20">
            <w:pPr>
              <w:jc w:val="right"/>
            </w:pPr>
          </w:p>
        </w:tc>
        <w:tc>
          <w:tcPr>
            <w:tcW w:w="1908" w:type="dxa"/>
          </w:tcPr>
          <w:p w:rsidR="00005511" w:rsidRDefault="00005511" w:rsidP="00DD5E20">
            <w:pPr>
              <w:jc w:val="right"/>
            </w:pPr>
          </w:p>
        </w:tc>
      </w:tr>
      <w:tr w:rsidR="00005511" w:rsidRPr="0035143D" w:rsidTr="00005511">
        <w:tc>
          <w:tcPr>
            <w:tcW w:w="1588" w:type="dxa"/>
            <w:shd w:val="clear" w:color="auto" w:fill="E0E0E0"/>
            <w:vAlign w:val="center"/>
          </w:tcPr>
          <w:p w:rsidR="00005511" w:rsidRPr="00AE5137" w:rsidRDefault="00005511" w:rsidP="00DD5E20">
            <w:pPr>
              <w:jc w:val="right"/>
              <w:rPr>
                <w:b/>
              </w:rPr>
            </w:pPr>
            <w:r w:rsidRPr="00AE5137">
              <w:rPr>
                <w:b/>
                <w:sz w:val="22"/>
                <w:szCs w:val="22"/>
              </w:rPr>
              <w:t>Total Personnel</w:t>
            </w:r>
          </w:p>
        </w:tc>
        <w:tc>
          <w:tcPr>
            <w:tcW w:w="1506" w:type="dxa"/>
            <w:shd w:val="clear" w:color="auto" w:fill="E0E0E0"/>
            <w:vAlign w:val="bottom"/>
          </w:tcPr>
          <w:p w:rsidR="00005511" w:rsidRPr="00AE5137" w:rsidRDefault="00005511" w:rsidP="00DD5E20">
            <w:pPr>
              <w:pStyle w:val="xl19"/>
              <w:jc w:val="right"/>
              <w:rPr>
                <w:b/>
              </w:rPr>
            </w:pPr>
          </w:p>
        </w:tc>
        <w:tc>
          <w:tcPr>
            <w:tcW w:w="1317" w:type="dxa"/>
            <w:shd w:val="clear" w:color="auto" w:fill="E0E0E0"/>
            <w:vAlign w:val="bottom"/>
          </w:tcPr>
          <w:p w:rsidR="00005511" w:rsidRPr="00AE5137" w:rsidRDefault="00005511" w:rsidP="00DD5E20">
            <w:pPr>
              <w:jc w:val="right"/>
              <w:rPr>
                <w:b/>
              </w:rPr>
            </w:pPr>
          </w:p>
        </w:tc>
        <w:tc>
          <w:tcPr>
            <w:tcW w:w="1356" w:type="dxa"/>
            <w:shd w:val="clear" w:color="auto" w:fill="E0E0E0"/>
            <w:vAlign w:val="bottom"/>
          </w:tcPr>
          <w:p w:rsidR="00005511" w:rsidRPr="00AE5137" w:rsidRDefault="00005511" w:rsidP="00DD5E20">
            <w:pPr>
              <w:jc w:val="right"/>
              <w:rPr>
                <w:b/>
              </w:rPr>
            </w:pPr>
          </w:p>
        </w:tc>
        <w:tc>
          <w:tcPr>
            <w:tcW w:w="1901" w:type="dxa"/>
            <w:shd w:val="clear" w:color="auto" w:fill="E0E0E0"/>
            <w:vAlign w:val="bottom"/>
          </w:tcPr>
          <w:p w:rsidR="00005511" w:rsidRPr="00AE5137" w:rsidRDefault="00005511" w:rsidP="00DD5E20">
            <w:pPr>
              <w:jc w:val="right"/>
              <w:rPr>
                <w:b/>
              </w:rPr>
            </w:pPr>
          </w:p>
        </w:tc>
        <w:tc>
          <w:tcPr>
            <w:tcW w:w="1908" w:type="dxa"/>
            <w:shd w:val="clear" w:color="auto" w:fill="E0E0E0"/>
          </w:tcPr>
          <w:p w:rsidR="00005511" w:rsidRPr="00AE5137" w:rsidRDefault="00005511" w:rsidP="00DD5E20">
            <w:pPr>
              <w:jc w:val="right"/>
              <w:rPr>
                <w:b/>
              </w:rPr>
            </w:pPr>
          </w:p>
        </w:tc>
      </w:tr>
    </w:tbl>
    <w:p w:rsidR="00792AD1" w:rsidRPr="0035143D" w:rsidRDefault="00792AD1" w:rsidP="00792AD1">
      <w:pPr>
        <w:rPr>
          <w:highlight w:val="yellow"/>
        </w:rPr>
      </w:pPr>
    </w:p>
    <w:p w:rsidR="00792AD1" w:rsidRPr="00F65EDB" w:rsidRDefault="00792AD1" w:rsidP="00792AD1">
      <w:pPr>
        <w:outlineLvl w:val="0"/>
        <w:rPr>
          <w:u w:val="single"/>
        </w:rPr>
      </w:pPr>
      <w:r w:rsidRPr="00F65EDB">
        <w:rPr>
          <w:u w:val="single"/>
        </w:rPr>
        <w:t xml:space="preserve">Non-Personnel Increase Cost Summary </w:t>
      </w:r>
    </w:p>
    <w:p w:rsidR="00792AD1" w:rsidRPr="00F65EDB" w:rsidRDefault="00792AD1" w:rsidP="00792AD1"/>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1170"/>
        <w:gridCol w:w="1170"/>
        <w:gridCol w:w="1350"/>
        <w:gridCol w:w="1980"/>
        <w:gridCol w:w="1908"/>
      </w:tblGrid>
      <w:tr w:rsidR="00005511" w:rsidRPr="00F65EDB" w:rsidTr="00C431B3">
        <w:tc>
          <w:tcPr>
            <w:tcW w:w="1980" w:type="dxa"/>
            <w:shd w:val="clear" w:color="auto" w:fill="E6E6E6"/>
            <w:vAlign w:val="center"/>
          </w:tcPr>
          <w:p w:rsidR="00005511" w:rsidRPr="00005511" w:rsidRDefault="00005511" w:rsidP="00DD5E20">
            <w:pPr>
              <w:jc w:val="center"/>
              <w:rPr>
                <w:sz w:val="20"/>
                <w:szCs w:val="20"/>
              </w:rPr>
            </w:pPr>
            <w:r w:rsidRPr="00005511">
              <w:rPr>
                <w:sz w:val="20"/>
                <w:szCs w:val="20"/>
              </w:rPr>
              <w:t>Non-Personnel Item</w:t>
            </w:r>
          </w:p>
        </w:tc>
        <w:tc>
          <w:tcPr>
            <w:tcW w:w="1170" w:type="dxa"/>
            <w:vAlign w:val="center"/>
          </w:tcPr>
          <w:p w:rsidR="00005511" w:rsidRPr="00005511" w:rsidRDefault="00005511" w:rsidP="00DD5E20">
            <w:pPr>
              <w:jc w:val="center"/>
              <w:rPr>
                <w:sz w:val="20"/>
                <w:szCs w:val="20"/>
              </w:rPr>
            </w:pPr>
            <w:r w:rsidRPr="00005511">
              <w:rPr>
                <w:sz w:val="20"/>
                <w:szCs w:val="20"/>
              </w:rPr>
              <w:t>Unit Cost</w:t>
            </w:r>
          </w:p>
          <w:p w:rsidR="00005511" w:rsidRPr="00005511" w:rsidRDefault="00005511" w:rsidP="00DD5E20">
            <w:pPr>
              <w:jc w:val="center"/>
              <w:rPr>
                <w:sz w:val="20"/>
                <w:szCs w:val="20"/>
              </w:rPr>
            </w:pPr>
            <w:r w:rsidRPr="00005511">
              <w:rPr>
                <w:sz w:val="20"/>
                <w:szCs w:val="20"/>
              </w:rPr>
              <w:t>($000)</w:t>
            </w:r>
          </w:p>
        </w:tc>
        <w:tc>
          <w:tcPr>
            <w:tcW w:w="1170" w:type="dxa"/>
            <w:vAlign w:val="center"/>
          </w:tcPr>
          <w:p w:rsidR="00005511" w:rsidRPr="00005511" w:rsidRDefault="00005511" w:rsidP="00DD5E20">
            <w:pPr>
              <w:jc w:val="center"/>
              <w:rPr>
                <w:sz w:val="20"/>
                <w:szCs w:val="20"/>
              </w:rPr>
            </w:pPr>
            <w:r w:rsidRPr="00005511">
              <w:rPr>
                <w:sz w:val="20"/>
                <w:szCs w:val="20"/>
              </w:rPr>
              <w:t>Quantity</w:t>
            </w:r>
          </w:p>
        </w:tc>
        <w:tc>
          <w:tcPr>
            <w:tcW w:w="1350" w:type="dxa"/>
            <w:vAlign w:val="center"/>
          </w:tcPr>
          <w:p w:rsidR="00005511" w:rsidRPr="00005511" w:rsidRDefault="00005511" w:rsidP="00DD5E20">
            <w:pPr>
              <w:jc w:val="center"/>
              <w:rPr>
                <w:sz w:val="20"/>
                <w:szCs w:val="20"/>
              </w:rPr>
            </w:pPr>
            <w:r w:rsidRPr="00005511">
              <w:rPr>
                <w:sz w:val="20"/>
                <w:szCs w:val="20"/>
              </w:rPr>
              <w:t>FY 2012 Request</w:t>
            </w:r>
            <w:r w:rsidR="003C34A1">
              <w:rPr>
                <w:sz w:val="20"/>
                <w:szCs w:val="20"/>
              </w:rPr>
              <w:t xml:space="preserve"> </w:t>
            </w:r>
            <w:r w:rsidRPr="00005511">
              <w:rPr>
                <w:sz w:val="20"/>
                <w:szCs w:val="20"/>
              </w:rPr>
              <w:t>($000)</w:t>
            </w:r>
          </w:p>
        </w:tc>
        <w:tc>
          <w:tcPr>
            <w:tcW w:w="1980" w:type="dxa"/>
            <w:vAlign w:val="center"/>
          </w:tcPr>
          <w:p w:rsidR="00005511" w:rsidRPr="00005511" w:rsidRDefault="00005511" w:rsidP="00DD5E20">
            <w:pPr>
              <w:jc w:val="center"/>
              <w:rPr>
                <w:sz w:val="20"/>
                <w:szCs w:val="20"/>
              </w:rPr>
            </w:pPr>
            <w:r w:rsidRPr="00005511">
              <w:rPr>
                <w:sz w:val="20"/>
                <w:szCs w:val="20"/>
              </w:rPr>
              <w:t>FY 2013 Net</w:t>
            </w:r>
          </w:p>
          <w:p w:rsidR="00005511" w:rsidRPr="00005511" w:rsidRDefault="00005511" w:rsidP="00DD5E20">
            <w:pPr>
              <w:jc w:val="center"/>
              <w:rPr>
                <w:sz w:val="20"/>
                <w:szCs w:val="20"/>
              </w:rPr>
            </w:pPr>
            <w:r w:rsidRPr="00005511">
              <w:rPr>
                <w:sz w:val="20"/>
                <w:szCs w:val="20"/>
              </w:rPr>
              <w:t>Annualization</w:t>
            </w:r>
          </w:p>
          <w:p w:rsidR="00005511" w:rsidRPr="00005511" w:rsidRDefault="00005511" w:rsidP="00DD5E20">
            <w:pPr>
              <w:jc w:val="center"/>
              <w:rPr>
                <w:sz w:val="20"/>
                <w:szCs w:val="20"/>
              </w:rPr>
            </w:pPr>
            <w:r w:rsidRPr="00005511">
              <w:rPr>
                <w:sz w:val="20"/>
                <w:szCs w:val="20"/>
              </w:rPr>
              <w:t>(Change from 201</w:t>
            </w:r>
            <w:r>
              <w:rPr>
                <w:sz w:val="20"/>
                <w:szCs w:val="20"/>
              </w:rPr>
              <w:t>2</w:t>
            </w:r>
            <w:r w:rsidRPr="00005511">
              <w:rPr>
                <w:sz w:val="20"/>
                <w:szCs w:val="20"/>
              </w:rPr>
              <w:t>)</w:t>
            </w:r>
          </w:p>
          <w:p w:rsidR="00005511" w:rsidRPr="00005511" w:rsidRDefault="00005511" w:rsidP="00DD5E20">
            <w:pPr>
              <w:jc w:val="center"/>
              <w:rPr>
                <w:sz w:val="20"/>
                <w:szCs w:val="20"/>
              </w:rPr>
            </w:pPr>
            <w:r w:rsidRPr="00005511">
              <w:rPr>
                <w:sz w:val="20"/>
                <w:szCs w:val="20"/>
              </w:rPr>
              <w:t>($000)</w:t>
            </w:r>
          </w:p>
        </w:tc>
        <w:tc>
          <w:tcPr>
            <w:tcW w:w="1908" w:type="dxa"/>
          </w:tcPr>
          <w:p w:rsidR="00005511" w:rsidRPr="00005511" w:rsidRDefault="00005511" w:rsidP="00005511">
            <w:pPr>
              <w:jc w:val="center"/>
              <w:rPr>
                <w:sz w:val="20"/>
                <w:szCs w:val="20"/>
              </w:rPr>
            </w:pPr>
            <w:r w:rsidRPr="00005511">
              <w:rPr>
                <w:sz w:val="20"/>
                <w:szCs w:val="20"/>
              </w:rPr>
              <w:t>FY 201</w:t>
            </w:r>
            <w:r>
              <w:rPr>
                <w:sz w:val="20"/>
                <w:szCs w:val="20"/>
              </w:rPr>
              <w:t>4</w:t>
            </w:r>
            <w:r w:rsidRPr="00005511">
              <w:rPr>
                <w:sz w:val="20"/>
                <w:szCs w:val="20"/>
              </w:rPr>
              <w:t xml:space="preserve"> Net</w:t>
            </w:r>
          </w:p>
          <w:p w:rsidR="00005511" w:rsidRPr="00005511" w:rsidRDefault="00005511" w:rsidP="00005511">
            <w:pPr>
              <w:jc w:val="center"/>
              <w:rPr>
                <w:sz w:val="20"/>
                <w:szCs w:val="20"/>
              </w:rPr>
            </w:pPr>
            <w:r w:rsidRPr="00005511">
              <w:rPr>
                <w:sz w:val="20"/>
                <w:szCs w:val="20"/>
              </w:rPr>
              <w:t>Annualization</w:t>
            </w:r>
          </w:p>
          <w:p w:rsidR="00005511" w:rsidRPr="00005511" w:rsidRDefault="00005511" w:rsidP="00005511">
            <w:pPr>
              <w:jc w:val="center"/>
              <w:rPr>
                <w:sz w:val="20"/>
                <w:szCs w:val="20"/>
              </w:rPr>
            </w:pPr>
            <w:r w:rsidRPr="00005511">
              <w:rPr>
                <w:sz w:val="20"/>
                <w:szCs w:val="20"/>
              </w:rPr>
              <w:t>(Change from 2013)</w:t>
            </w:r>
          </w:p>
          <w:p w:rsidR="00005511" w:rsidRPr="00005511" w:rsidRDefault="00005511" w:rsidP="00005511">
            <w:pPr>
              <w:jc w:val="center"/>
              <w:rPr>
                <w:sz w:val="20"/>
                <w:szCs w:val="20"/>
              </w:rPr>
            </w:pPr>
            <w:r w:rsidRPr="00005511">
              <w:rPr>
                <w:sz w:val="20"/>
                <w:szCs w:val="20"/>
              </w:rPr>
              <w:t>($000)</w:t>
            </w:r>
          </w:p>
        </w:tc>
      </w:tr>
      <w:tr w:rsidR="00005511" w:rsidRPr="00927AC8" w:rsidTr="00C431B3">
        <w:trPr>
          <w:trHeight w:val="305"/>
        </w:trPr>
        <w:tc>
          <w:tcPr>
            <w:tcW w:w="1980" w:type="dxa"/>
            <w:vAlign w:val="center"/>
          </w:tcPr>
          <w:p w:rsidR="00005511" w:rsidRPr="00005511" w:rsidRDefault="00005511" w:rsidP="00DD5E20">
            <w:pPr>
              <w:autoSpaceDE w:val="0"/>
              <w:autoSpaceDN w:val="0"/>
              <w:adjustRightInd w:val="0"/>
              <w:rPr>
                <w:sz w:val="20"/>
                <w:szCs w:val="20"/>
              </w:rPr>
            </w:pPr>
            <w:r w:rsidRPr="00005511">
              <w:rPr>
                <w:sz w:val="20"/>
                <w:szCs w:val="20"/>
              </w:rPr>
              <w:t>Rent</w:t>
            </w:r>
          </w:p>
        </w:tc>
        <w:tc>
          <w:tcPr>
            <w:tcW w:w="1170" w:type="dxa"/>
            <w:vAlign w:val="bottom"/>
          </w:tcPr>
          <w:p w:rsidR="00005511" w:rsidRPr="00005511" w:rsidRDefault="00005511" w:rsidP="00DD5E20">
            <w:pPr>
              <w:pStyle w:val="xl19"/>
              <w:jc w:val="right"/>
              <w:rPr>
                <w:sz w:val="20"/>
                <w:szCs w:val="20"/>
              </w:rPr>
            </w:pPr>
          </w:p>
        </w:tc>
        <w:tc>
          <w:tcPr>
            <w:tcW w:w="1170" w:type="dxa"/>
            <w:vAlign w:val="bottom"/>
          </w:tcPr>
          <w:p w:rsidR="00005511" w:rsidRPr="00005511" w:rsidRDefault="00005511" w:rsidP="00DD5E20">
            <w:pPr>
              <w:jc w:val="right"/>
              <w:rPr>
                <w:sz w:val="20"/>
                <w:szCs w:val="20"/>
              </w:rPr>
            </w:pPr>
          </w:p>
        </w:tc>
        <w:tc>
          <w:tcPr>
            <w:tcW w:w="1350" w:type="dxa"/>
            <w:vAlign w:val="bottom"/>
          </w:tcPr>
          <w:p w:rsidR="00005511" w:rsidRPr="00005511" w:rsidRDefault="00005511" w:rsidP="00DD5E20">
            <w:pPr>
              <w:jc w:val="right"/>
              <w:rPr>
                <w:sz w:val="20"/>
                <w:szCs w:val="20"/>
              </w:rPr>
            </w:pPr>
            <w:r w:rsidRPr="00005511">
              <w:rPr>
                <w:sz w:val="20"/>
                <w:szCs w:val="20"/>
              </w:rPr>
              <w:t>(292)</w:t>
            </w:r>
          </w:p>
        </w:tc>
        <w:tc>
          <w:tcPr>
            <w:tcW w:w="1980" w:type="dxa"/>
            <w:vAlign w:val="bottom"/>
          </w:tcPr>
          <w:p w:rsidR="00005511" w:rsidRPr="00005511" w:rsidRDefault="00005511" w:rsidP="00DD5E20">
            <w:pPr>
              <w:jc w:val="right"/>
              <w:rPr>
                <w:sz w:val="20"/>
                <w:szCs w:val="20"/>
              </w:rPr>
            </w:pPr>
            <w:r w:rsidRPr="00005511">
              <w:rPr>
                <w:sz w:val="20"/>
                <w:szCs w:val="20"/>
              </w:rPr>
              <w:t>0</w:t>
            </w:r>
          </w:p>
        </w:tc>
        <w:tc>
          <w:tcPr>
            <w:tcW w:w="1908" w:type="dxa"/>
          </w:tcPr>
          <w:p w:rsidR="00005511" w:rsidRPr="00005511" w:rsidRDefault="00005511" w:rsidP="00DD5E20">
            <w:pPr>
              <w:jc w:val="right"/>
              <w:rPr>
                <w:sz w:val="20"/>
                <w:szCs w:val="20"/>
              </w:rPr>
            </w:pPr>
          </w:p>
        </w:tc>
      </w:tr>
      <w:tr w:rsidR="00005511" w:rsidRPr="00F65EDB" w:rsidTr="00C431B3">
        <w:trPr>
          <w:trHeight w:val="350"/>
        </w:trPr>
        <w:tc>
          <w:tcPr>
            <w:tcW w:w="1980" w:type="dxa"/>
            <w:shd w:val="pct10" w:color="auto" w:fill="auto"/>
            <w:vAlign w:val="center"/>
          </w:tcPr>
          <w:p w:rsidR="00005511" w:rsidRPr="00005511" w:rsidRDefault="00005511" w:rsidP="00DD5E20">
            <w:pPr>
              <w:rPr>
                <w:b/>
                <w:sz w:val="20"/>
                <w:szCs w:val="20"/>
              </w:rPr>
            </w:pPr>
            <w:r w:rsidRPr="00005511">
              <w:rPr>
                <w:b/>
                <w:sz w:val="20"/>
                <w:szCs w:val="20"/>
              </w:rPr>
              <w:t>Total Non-Personnel</w:t>
            </w:r>
          </w:p>
        </w:tc>
        <w:tc>
          <w:tcPr>
            <w:tcW w:w="1170" w:type="dxa"/>
            <w:shd w:val="pct10" w:color="auto" w:fill="auto"/>
            <w:vAlign w:val="bottom"/>
          </w:tcPr>
          <w:p w:rsidR="00005511" w:rsidRPr="00005511" w:rsidRDefault="00005511" w:rsidP="00DD5E20">
            <w:pPr>
              <w:pStyle w:val="xl19"/>
              <w:jc w:val="right"/>
              <w:rPr>
                <w:b/>
                <w:sz w:val="20"/>
                <w:szCs w:val="20"/>
              </w:rPr>
            </w:pPr>
          </w:p>
        </w:tc>
        <w:tc>
          <w:tcPr>
            <w:tcW w:w="1170" w:type="dxa"/>
            <w:shd w:val="pct10" w:color="auto" w:fill="auto"/>
            <w:vAlign w:val="bottom"/>
          </w:tcPr>
          <w:p w:rsidR="00005511" w:rsidRPr="00005511" w:rsidRDefault="00005511" w:rsidP="00DD5E20">
            <w:pPr>
              <w:jc w:val="right"/>
              <w:rPr>
                <w:b/>
                <w:sz w:val="20"/>
                <w:szCs w:val="20"/>
              </w:rPr>
            </w:pPr>
          </w:p>
        </w:tc>
        <w:tc>
          <w:tcPr>
            <w:tcW w:w="1350" w:type="dxa"/>
            <w:shd w:val="pct10" w:color="auto" w:fill="auto"/>
            <w:vAlign w:val="bottom"/>
          </w:tcPr>
          <w:p w:rsidR="00005511" w:rsidRPr="00005511" w:rsidRDefault="00005511" w:rsidP="00DD5E20">
            <w:pPr>
              <w:jc w:val="right"/>
              <w:rPr>
                <w:b/>
                <w:sz w:val="20"/>
                <w:szCs w:val="20"/>
              </w:rPr>
            </w:pPr>
            <w:r w:rsidRPr="00005511">
              <w:rPr>
                <w:b/>
                <w:sz w:val="20"/>
                <w:szCs w:val="20"/>
              </w:rPr>
              <w:t>(292)</w:t>
            </w:r>
          </w:p>
        </w:tc>
        <w:tc>
          <w:tcPr>
            <w:tcW w:w="1980" w:type="dxa"/>
            <w:shd w:val="pct10" w:color="auto" w:fill="auto"/>
            <w:vAlign w:val="bottom"/>
          </w:tcPr>
          <w:p w:rsidR="00005511" w:rsidRPr="00005511" w:rsidRDefault="00005511" w:rsidP="00DD5E20">
            <w:pPr>
              <w:jc w:val="right"/>
              <w:rPr>
                <w:b/>
                <w:sz w:val="20"/>
                <w:szCs w:val="20"/>
              </w:rPr>
            </w:pPr>
            <w:r w:rsidRPr="00005511">
              <w:rPr>
                <w:b/>
                <w:sz w:val="20"/>
                <w:szCs w:val="20"/>
              </w:rPr>
              <w:t>0</w:t>
            </w:r>
          </w:p>
        </w:tc>
        <w:tc>
          <w:tcPr>
            <w:tcW w:w="1908" w:type="dxa"/>
            <w:shd w:val="pct10" w:color="auto" w:fill="auto"/>
          </w:tcPr>
          <w:p w:rsidR="00005511" w:rsidRPr="00005511" w:rsidRDefault="00005511" w:rsidP="00DD5E20">
            <w:pPr>
              <w:jc w:val="right"/>
              <w:rPr>
                <w:b/>
                <w:sz w:val="20"/>
                <w:szCs w:val="20"/>
              </w:rPr>
            </w:pPr>
          </w:p>
        </w:tc>
      </w:tr>
    </w:tbl>
    <w:p w:rsidR="00792AD1" w:rsidRDefault="00792AD1" w:rsidP="00792AD1">
      <w:pPr>
        <w:pStyle w:val="xl24"/>
        <w:tabs>
          <w:tab w:val="left" w:pos="3240"/>
        </w:tabs>
        <w:spacing w:before="0" w:beforeAutospacing="0" w:after="0" w:afterAutospacing="0"/>
        <w:outlineLvl w:val="0"/>
        <w:rPr>
          <w:u w:val="single"/>
        </w:rPr>
      </w:pPr>
    </w:p>
    <w:p w:rsidR="00792AD1" w:rsidRPr="00902EB4" w:rsidRDefault="00792AD1" w:rsidP="00792AD1">
      <w:pPr>
        <w:pStyle w:val="xl24"/>
        <w:tabs>
          <w:tab w:val="left" w:pos="3240"/>
        </w:tabs>
        <w:spacing w:before="0" w:beforeAutospacing="0" w:after="0" w:afterAutospacing="0"/>
        <w:outlineLvl w:val="0"/>
        <w:rPr>
          <w:u w:val="single"/>
        </w:rPr>
      </w:pPr>
      <w:r w:rsidRPr="00902EB4">
        <w:rPr>
          <w:u w:val="single"/>
        </w:rPr>
        <w:t>Total Request for this Item</w:t>
      </w:r>
    </w:p>
    <w:p w:rsidR="00792AD1" w:rsidRPr="00880707" w:rsidRDefault="00792AD1" w:rsidP="00792AD1">
      <w:pPr>
        <w:pStyle w:val="xl24"/>
        <w:spacing w:before="0" w:beforeAutospacing="0" w:after="0" w:afterAutospacing="0"/>
        <w:rPr>
          <w:b/>
          <w:highlight w:val="yellow"/>
          <w:u w:val="single"/>
        </w:rPr>
      </w:pP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4"/>
        <w:gridCol w:w="508"/>
        <w:gridCol w:w="591"/>
        <w:gridCol w:w="696"/>
        <w:gridCol w:w="1021"/>
        <w:gridCol w:w="1005"/>
        <w:gridCol w:w="795"/>
        <w:gridCol w:w="1890"/>
        <w:gridCol w:w="1908"/>
      </w:tblGrid>
      <w:tr w:rsidR="00C431B3" w:rsidRPr="00CC5993" w:rsidTr="00C431B3">
        <w:trPr>
          <w:trHeight w:val="332"/>
        </w:trPr>
        <w:tc>
          <w:tcPr>
            <w:tcW w:w="1144" w:type="dxa"/>
            <w:shd w:val="clear" w:color="auto" w:fill="E6E6E6"/>
          </w:tcPr>
          <w:p w:rsidR="003C34A1" w:rsidRPr="003C34A1" w:rsidRDefault="003C34A1" w:rsidP="00DD5E20">
            <w:pPr>
              <w:rPr>
                <w:sz w:val="20"/>
                <w:szCs w:val="20"/>
              </w:rPr>
            </w:pPr>
          </w:p>
        </w:tc>
        <w:tc>
          <w:tcPr>
            <w:tcW w:w="508" w:type="dxa"/>
            <w:vAlign w:val="center"/>
          </w:tcPr>
          <w:p w:rsidR="003C34A1" w:rsidRPr="003C34A1" w:rsidRDefault="003C34A1" w:rsidP="00DD5E20">
            <w:pPr>
              <w:jc w:val="center"/>
              <w:rPr>
                <w:sz w:val="20"/>
                <w:szCs w:val="20"/>
              </w:rPr>
            </w:pPr>
            <w:r w:rsidRPr="003C34A1">
              <w:rPr>
                <w:sz w:val="20"/>
                <w:szCs w:val="20"/>
              </w:rPr>
              <w:t>Pos</w:t>
            </w:r>
          </w:p>
        </w:tc>
        <w:tc>
          <w:tcPr>
            <w:tcW w:w="591" w:type="dxa"/>
            <w:vAlign w:val="center"/>
          </w:tcPr>
          <w:p w:rsidR="003C34A1" w:rsidRPr="003C34A1" w:rsidRDefault="003C34A1" w:rsidP="00DD5E20">
            <w:pPr>
              <w:jc w:val="center"/>
              <w:rPr>
                <w:sz w:val="20"/>
                <w:szCs w:val="20"/>
              </w:rPr>
            </w:pPr>
            <w:proofErr w:type="spellStart"/>
            <w:r w:rsidRPr="003C34A1">
              <w:rPr>
                <w:sz w:val="20"/>
                <w:szCs w:val="20"/>
              </w:rPr>
              <w:t>Agt</w:t>
            </w:r>
            <w:proofErr w:type="spellEnd"/>
          </w:p>
        </w:tc>
        <w:tc>
          <w:tcPr>
            <w:tcW w:w="696" w:type="dxa"/>
            <w:vAlign w:val="center"/>
          </w:tcPr>
          <w:p w:rsidR="003C34A1" w:rsidRPr="003C34A1" w:rsidRDefault="003C34A1" w:rsidP="00DD5E20">
            <w:pPr>
              <w:jc w:val="center"/>
              <w:rPr>
                <w:sz w:val="20"/>
                <w:szCs w:val="20"/>
              </w:rPr>
            </w:pPr>
            <w:r w:rsidRPr="003C34A1">
              <w:rPr>
                <w:sz w:val="20"/>
                <w:szCs w:val="20"/>
              </w:rPr>
              <w:t>FTE</w:t>
            </w:r>
          </w:p>
        </w:tc>
        <w:tc>
          <w:tcPr>
            <w:tcW w:w="1021" w:type="dxa"/>
            <w:vAlign w:val="center"/>
          </w:tcPr>
          <w:p w:rsidR="003C34A1" w:rsidRPr="003C34A1" w:rsidRDefault="003C34A1" w:rsidP="00DD5E20">
            <w:pPr>
              <w:jc w:val="center"/>
              <w:rPr>
                <w:sz w:val="20"/>
                <w:szCs w:val="20"/>
              </w:rPr>
            </w:pPr>
            <w:r w:rsidRPr="003C34A1">
              <w:rPr>
                <w:sz w:val="20"/>
                <w:szCs w:val="20"/>
              </w:rPr>
              <w:t>Personnel</w:t>
            </w:r>
            <w:r>
              <w:rPr>
                <w:sz w:val="20"/>
                <w:szCs w:val="20"/>
              </w:rPr>
              <w:t xml:space="preserve"> </w:t>
            </w:r>
            <w:r w:rsidRPr="003C34A1">
              <w:rPr>
                <w:sz w:val="20"/>
                <w:szCs w:val="20"/>
              </w:rPr>
              <w:t>($000)</w:t>
            </w:r>
          </w:p>
        </w:tc>
        <w:tc>
          <w:tcPr>
            <w:tcW w:w="1005" w:type="dxa"/>
            <w:vAlign w:val="center"/>
          </w:tcPr>
          <w:p w:rsidR="003C34A1" w:rsidRPr="003C34A1" w:rsidRDefault="003C34A1" w:rsidP="00DD5E20">
            <w:pPr>
              <w:jc w:val="center"/>
              <w:rPr>
                <w:sz w:val="20"/>
                <w:szCs w:val="20"/>
              </w:rPr>
            </w:pPr>
            <w:r w:rsidRPr="003C34A1">
              <w:rPr>
                <w:sz w:val="20"/>
                <w:szCs w:val="20"/>
              </w:rPr>
              <w:t>Non-Personnel</w:t>
            </w:r>
            <w:r>
              <w:rPr>
                <w:sz w:val="20"/>
                <w:szCs w:val="20"/>
              </w:rPr>
              <w:t xml:space="preserve"> </w:t>
            </w:r>
            <w:r w:rsidRPr="003C34A1">
              <w:rPr>
                <w:sz w:val="20"/>
                <w:szCs w:val="20"/>
              </w:rPr>
              <w:t>($000)</w:t>
            </w:r>
          </w:p>
        </w:tc>
        <w:tc>
          <w:tcPr>
            <w:tcW w:w="795" w:type="dxa"/>
            <w:vAlign w:val="center"/>
          </w:tcPr>
          <w:p w:rsidR="003C34A1" w:rsidRPr="003C34A1" w:rsidRDefault="003C34A1" w:rsidP="00DD5E20">
            <w:pPr>
              <w:jc w:val="center"/>
              <w:rPr>
                <w:sz w:val="20"/>
                <w:szCs w:val="20"/>
              </w:rPr>
            </w:pPr>
            <w:r w:rsidRPr="003C34A1">
              <w:rPr>
                <w:sz w:val="20"/>
                <w:szCs w:val="20"/>
              </w:rPr>
              <w:t>Total</w:t>
            </w:r>
            <w:r>
              <w:rPr>
                <w:sz w:val="20"/>
                <w:szCs w:val="20"/>
              </w:rPr>
              <w:t xml:space="preserve"> </w:t>
            </w:r>
            <w:r w:rsidRPr="003C34A1">
              <w:rPr>
                <w:sz w:val="20"/>
                <w:szCs w:val="20"/>
              </w:rPr>
              <w:t>($000)</w:t>
            </w:r>
          </w:p>
        </w:tc>
        <w:tc>
          <w:tcPr>
            <w:tcW w:w="1890" w:type="dxa"/>
          </w:tcPr>
          <w:p w:rsidR="003C34A1" w:rsidRPr="00005511" w:rsidRDefault="003C34A1" w:rsidP="003C34A1">
            <w:pPr>
              <w:jc w:val="center"/>
              <w:rPr>
                <w:sz w:val="20"/>
                <w:szCs w:val="20"/>
              </w:rPr>
            </w:pPr>
            <w:r w:rsidRPr="00005511">
              <w:rPr>
                <w:sz w:val="20"/>
                <w:szCs w:val="20"/>
              </w:rPr>
              <w:t>FY 2013 Net</w:t>
            </w:r>
          </w:p>
          <w:p w:rsidR="003C34A1" w:rsidRPr="00005511" w:rsidRDefault="003C34A1" w:rsidP="003C34A1">
            <w:pPr>
              <w:jc w:val="center"/>
              <w:rPr>
                <w:sz w:val="20"/>
                <w:szCs w:val="20"/>
              </w:rPr>
            </w:pPr>
            <w:r w:rsidRPr="00005511">
              <w:rPr>
                <w:sz w:val="20"/>
                <w:szCs w:val="20"/>
              </w:rPr>
              <w:t>Annualization</w:t>
            </w:r>
          </w:p>
          <w:p w:rsidR="003C34A1" w:rsidRPr="003C34A1" w:rsidRDefault="003C34A1" w:rsidP="003C34A1">
            <w:pPr>
              <w:jc w:val="center"/>
              <w:rPr>
                <w:sz w:val="20"/>
                <w:szCs w:val="20"/>
              </w:rPr>
            </w:pPr>
            <w:r w:rsidRPr="00005511">
              <w:rPr>
                <w:sz w:val="20"/>
                <w:szCs w:val="20"/>
              </w:rPr>
              <w:t>(Change from 201</w:t>
            </w:r>
            <w:r>
              <w:rPr>
                <w:sz w:val="20"/>
                <w:szCs w:val="20"/>
              </w:rPr>
              <w:t>2</w:t>
            </w:r>
            <w:r w:rsidRPr="00005511">
              <w:rPr>
                <w:sz w:val="20"/>
                <w:szCs w:val="20"/>
              </w:rPr>
              <w:t>)</w:t>
            </w:r>
            <w:r>
              <w:rPr>
                <w:sz w:val="20"/>
                <w:szCs w:val="20"/>
              </w:rPr>
              <w:t xml:space="preserve"> </w:t>
            </w:r>
            <w:r w:rsidRPr="00005511">
              <w:rPr>
                <w:sz w:val="20"/>
                <w:szCs w:val="20"/>
              </w:rPr>
              <w:t>($000)</w:t>
            </w:r>
          </w:p>
        </w:tc>
        <w:tc>
          <w:tcPr>
            <w:tcW w:w="1908" w:type="dxa"/>
          </w:tcPr>
          <w:p w:rsidR="003C34A1" w:rsidRPr="00005511" w:rsidRDefault="003C34A1" w:rsidP="003C34A1">
            <w:pPr>
              <w:jc w:val="center"/>
              <w:rPr>
                <w:sz w:val="20"/>
                <w:szCs w:val="20"/>
              </w:rPr>
            </w:pPr>
            <w:r w:rsidRPr="00005511">
              <w:rPr>
                <w:sz w:val="20"/>
                <w:szCs w:val="20"/>
              </w:rPr>
              <w:t>FY 201</w:t>
            </w:r>
            <w:r>
              <w:rPr>
                <w:sz w:val="20"/>
                <w:szCs w:val="20"/>
              </w:rPr>
              <w:t>4</w:t>
            </w:r>
            <w:r w:rsidRPr="00005511">
              <w:rPr>
                <w:sz w:val="20"/>
                <w:szCs w:val="20"/>
              </w:rPr>
              <w:t xml:space="preserve"> Net</w:t>
            </w:r>
          </w:p>
          <w:p w:rsidR="003C34A1" w:rsidRPr="00005511" w:rsidRDefault="003C34A1" w:rsidP="003C34A1">
            <w:pPr>
              <w:jc w:val="center"/>
              <w:rPr>
                <w:sz w:val="20"/>
                <w:szCs w:val="20"/>
              </w:rPr>
            </w:pPr>
            <w:r w:rsidRPr="00005511">
              <w:rPr>
                <w:sz w:val="20"/>
                <w:szCs w:val="20"/>
              </w:rPr>
              <w:t>Annualization</w:t>
            </w:r>
          </w:p>
          <w:p w:rsidR="003C34A1" w:rsidRPr="00005511" w:rsidRDefault="003C34A1" w:rsidP="003C34A1">
            <w:pPr>
              <w:jc w:val="center"/>
              <w:rPr>
                <w:sz w:val="20"/>
                <w:szCs w:val="20"/>
              </w:rPr>
            </w:pPr>
            <w:r w:rsidRPr="00005511">
              <w:rPr>
                <w:sz w:val="20"/>
                <w:szCs w:val="20"/>
              </w:rPr>
              <w:t>(Change from 2013)</w:t>
            </w:r>
            <w:r>
              <w:rPr>
                <w:sz w:val="20"/>
                <w:szCs w:val="20"/>
              </w:rPr>
              <w:t xml:space="preserve"> </w:t>
            </w:r>
            <w:r w:rsidRPr="00005511">
              <w:rPr>
                <w:sz w:val="20"/>
                <w:szCs w:val="20"/>
              </w:rPr>
              <w:t>($000)</w:t>
            </w:r>
          </w:p>
        </w:tc>
      </w:tr>
      <w:tr w:rsidR="00C431B3" w:rsidRPr="00CC5993" w:rsidTr="00C431B3">
        <w:trPr>
          <w:trHeight w:val="215"/>
        </w:trPr>
        <w:tc>
          <w:tcPr>
            <w:tcW w:w="1144" w:type="dxa"/>
          </w:tcPr>
          <w:p w:rsidR="003C34A1" w:rsidRPr="003C34A1" w:rsidRDefault="003C34A1" w:rsidP="00DD5E20">
            <w:pPr>
              <w:rPr>
                <w:sz w:val="20"/>
                <w:szCs w:val="20"/>
              </w:rPr>
            </w:pPr>
            <w:r w:rsidRPr="003C34A1">
              <w:rPr>
                <w:sz w:val="20"/>
                <w:szCs w:val="20"/>
              </w:rPr>
              <w:t>Current Services</w:t>
            </w:r>
          </w:p>
        </w:tc>
        <w:tc>
          <w:tcPr>
            <w:tcW w:w="508" w:type="dxa"/>
            <w:vAlign w:val="center"/>
          </w:tcPr>
          <w:p w:rsidR="003C34A1" w:rsidRPr="003C34A1" w:rsidRDefault="003C34A1" w:rsidP="00DD5E20">
            <w:pPr>
              <w:jc w:val="right"/>
              <w:rPr>
                <w:sz w:val="20"/>
                <w:szCs w:val="20"/>
              </w:rPr>
            </w:pPr>
            <w:r w:rsidRPr="003C34A1">
              <w:rPr>
                <w:sz w:val="20"/>
                <w:szCs w:val="20"/>
              </w:rPr>
              <w:t>0</w:t>
            </w:r>
          </w:p>
        </w:tc>
        <w:tc>
          <w:tcPr>
            <w:tcW w:w="591" w:type="dxa"/>
            <w:vAlign w:val="center"/>
          </w:tcPr>
          <w:p w:rsidR="003C34A1" w:rsidRPr="003C34A1" w:rsidRDefault="003C34A1" w:rsidP="00DD5E20">
            <w:pPr>
              <w:jc w:val="right"/>
              <w:rPr>
                <w:sz w:val="20"/>
                <w:szCs w:val="20"/>
              </w:rPr>
            </w:pPr>
            <w:r w:rsidRPr="003C34A1">
              <w:rPr>
                <w:sz w:val="20"/>
                <w:szCs w:val="20"/>
              </w:rPr>
              <w:t>0</w:t>
            </w:r>
          </w:p>
        </w:tc>
        <w:tc>
          <w:tcPr>
            <w:tcW w:w="696" w:type="dxa"/>
            <w:vAlign w:val="center"/>
          </w:tcPr>
          <w:p w:rsidR="003C34A1" w:rsidRPr="003C34A1" w:rsidRDefault="003C34A1" w:rsidP="00DD5E20">
            <w:pPr>
              <w:jc w:val="right"/>
              <w:rPr>
                <w:sz w:val="20"/>
                <w:szCs w:val="20"/>
              </w:rPr>
            </w:pPr>
            <w:r w:rsidRPr="003C34A1">
              <w:rPr>
                <w:sz w:val="20"/>
                <w:szCs w:val="20"/>
              </w:rPr>
              <w:t>0</w:t>
            </w:r>
          </w:p>
        </w:tc>
        <w:tc>
          <w:tcPr>
            <w:tcW w:w="1021" w:type="dxa"/>
            <w:vAlign w:val="center"/>
          </w:tcPr>
          <w:p w:rsidR="003C34A1" w:rsidRPr="003C34A1" w:rsidRDefault="003C34A1" w:rsidP="00DD5E20">
            <w:pPr>
              <w:jc w:val="right"/>
              <w:rPr>
                <w:sz w:val="20"/>
                <w:szCs w:val="20"/>
              </w:rPr>
            </w:pPr>
            <w:r w:rsidRPr="003C34A1">
              <w:rPr>
                <w:sz w:val="20"/>
                <w:szCs w:val="20"/>
              </w:rPr>
              <w:t>0</w:t>
            </w:r>
          </w:p>
        </w:tc>
        <w:tc>
          <w:tcPr>
            <w:tcW w:w="1005" w:type="dxa"/>
            <w:vAlign w:val="center"/>
          </w:tcPr>
          <w:p w:rsidR="003C34A1" w:rsidRPr="003C34A1" w:rsidRDefault="003C34A1" w:rsidP="00DD5E20">
            <w:pPr>
              <w:jc w:val="right"/>
              <w:rPr>
                <w:sz w:val="20"/>
                <w:szCs w:val="20"/>
              </w:rPr>
            </w:pPr>
            <w:r w:rsidRPr="003C34A1">
              <w:rPr>
                <w:sz w:val="20"/>
                <w:szCs w:val="20"/>
              </w:rPr>
              <w:t>0</w:t>
            </w:r>
          </w:p>
        </w:tc>
        <w:tc>
          <w:tcPr>
            <w:tcW w:w="795" w:type="dxa"/>
            <w:vAlign w:val="center"/>
          </w:tcPr>
          <w:p w:rsidR="003C34A1" w:rsidRPr="003C34A1" w:rsidRDefault="003C34A1" w:rsidP="00DD5E20">
            <w:pPr>
              <w:jc w:val="right"/>
              <w:rPr>
                <w:sz w:val="20"/>
                <w:szCs w:val="20"/>
              </w:rPr>
            </w:pPr>
            <w:r w:rsidRPr="003C34A1">
              <w:rPr>
                <w:sz w:val="20"/>
                <w:szCs w:val="20"/>
              </w:rPr>
              <w:t>0</w:t>
            </w:r>
          </w:p>
        </w:tc>
        <w:tc>
          <w:tcPr>
            <w:tcW w:w="1890" w:type="dxa"/>
          </w:tcPr>
          <w:p w:rsidR="003C34A1" w:rsidRPr="003C34A1" w:rsidRDefault="003C34A1" w:rsidP="00DD5E20">
            <w:pPr>
              <w:jc w:val="right"/>
              <w:rPr>
                <w:sz w:val="20"/>
                <w:szCs w:val="20"/>
              </w:rPr>
            </w:pPr>
          </w:p>
        </w:tc>
        <w:tc>
          <w:tcPr>
            <w:tcW w:w="1908" w:type="dxa"/>
          </w:tcPr>
          <w:p w:rsidR="003C34A1" w:rsidRPr="003C34A1" w:rsidRDefault="003C34A1" w:rsidP="00DD5E20">
            <w:pPr>
              <w:jc w:val="right"/>
              <w:rPr>
                <w:sz w:val="20"/>
                <w:szCs w:val="20"/>
              </w:rPr>
            </w:pPr>
          </w:p>
        </w:tc>
      </w:tr>
      <w:tr w:rsidR="00C431B3" w:rsidRPr="00CC5993" w:rsidTr="00C431B3">
        <w:trPr>
          <w:trHeight w:val="377"/>
        </w:trPr>
        <w:tc>
          <w:tcPr>
            <w:tcW w:w="1144" w:type="dxa"/>
          </w:tcPr>
          <w:p w:rsidR="003C34A1" w:rsidRPr="003C34A1" w:rsidRDefault="00A86176" w:rsidP="00DD5E20">
            <w:pPr>
              <w:rPr>
                <w:sz w:val="20"/>
                <w:szCs w:val="20"/>
              </w:rPr>
            </w:pPr>
            <w:r>
              <w:rPr>
                <w:sz w:val="20"/>
                <w:szCs w:val="20"/>
              </w:rPr>
              <w:t>Decreases</w:t>
            </w:r>
          </w:p>
        </w:tc>
        <w:tc>
          <w:tcPr>
            <w:tcW w:w="508" w:type="dxa"/>
            <w:vAlign w:val="center"/>
          </w:tcPr>
          <w:p w:rsidR="003C34A1" w:rsidRPr="003C34A1" w:rsidRDefault="003C34A1" w:rsidP="00DD5E20">
            <w:pPr>
              <w:jc w:val="right"/>
              <w:rPr>
                <w:sz w:val="20"/>
                <w:szCs w:val="20"/>
              </w:rPr>
            </w:pPr>
            <w:r w:rsidRPr="003C34A1">
              <w:rPr>
                <w:sz w:val="20"/>
                <w:szCs w:val="20"/>
              </w:rPr>
              <w:t>0</w:t>
            </w:r>
          </w:p>
        </w:tc>
        <w:tc>
          <w:tcPr>
            <w:tcW w:w="591" w:type="dxa"/>
          </w:tcPr>
          <w:p w:rsidR="003C34A1" w:rsidRPr="003C34A1" w:rsidRDefault="003C34A1" w:rsidP="00DD5E20">
            <w:pPr>
              <w:jc w:val="right"/>
              <w:rPr>
                <w:sz w:val="20"/>
                <w:szCs w:val="20"/>
              </w:rPr>
            </w:pPr>
            <w:r w:rsidRPr="003C34A1">
              <w:rPr>
                <w:sz w:val="20"/>
                <w:szCs w:val="20"/>
              </w:rPr>
              <w:t>0</w:t>
            </w:r>
          </w:p>
        </w:tc>
        <w:tc>
          <w:tcPr>
            <w:tcW w:w="696" w:type="dxa"/>
            <w:vAlign w:val="center"/>
          </w:tcPr>
          <w:p w:rsidR="003C34A1" w:rsidRPr="003C34A1" w:rsidRDefault="003C34A1" w:rsidP="00DD5E20">
            <w:pPr>
              <w:jc w:val="right"/>
              <w:rPr>
                <w:sz w:val="20"/>
                <w:szCs w:val="20"/>
              </w:rPr>
            </w:pPr>
            <w:r w:rsidRPr="003C34A1">
              <w:rPr>
                <w:sz w:val="20"/>
                <w:szCs w:val="20"/>
              </w:rPr>
              <w:t>0</w:t>
            </w:r>
          </w:p>
        </w:tc>
        <w:tc>
          <w:tcPr>
            <w:tcW w:w="1021" w:type="dxa"/>
            <w:vAlign w:val="center"/>
          </w:tcPr>
          <w:p w:rsidR="003C34A1" w:rsidRPr="003C34A1" w:rsidRDefault="003C34A1" w:rsidP="00DD5E20">
            <w:pPr>
              <w:jc w:val="right"/>
              <w:rPr>
                <w:sz w:val="20"/>
                <w:szCs w:val="20"/>
              </w:rPr>
            </w:pPr>
            <w:r w:rsidRPr="003C34A1">
              <w:rPr>
                <w:sz w:val="20"/>
                <w:szCs w:val="20"/>
              </w:rPr>
              <w:t>0</w:t>
            </w:r>
          </w:p>
        </w:tc>
        <w:tc>
          <w:tcPr>
            <w:tcW w:w="1005" w:type="dxa"/>
            <w:vAlign w:val="center"/>
          </w:tcPr>
          <w:p w:rsidR="003C34A1" w:rsidRPr="003C34A1" w:rsidRDefault="003C34A1" w:rsidP="00DD5E20">
            <w:pPr>
              <w:jc w:val="right"/>
              <w:rPr>
                <w:sz w:val="20"/>
                <w:szCs w:val="20"/>
              </w:rPr>
            </w:pPr>
            <w:r w:rsidRPr="003C34A1">
              <w:rPr>
                <w:sz w:val="20"/>
                <w:szCs w:val="20"/>
              </w:rPr>
              <w:t>(292)</w:t>
            </w:r>
          </w:p>
        </w:tc>
        <w:tc>
          <w:tcPr>
            <w:tcW w:w="795" w:type="dxa"/>
            <w:vAlign w:val="center"/>
          </w:tcPr>
          <w:p w:rsidR="003C34A1" w:rsidRPr="003C34A1" w:rsidRDefault="003C34A1" w:rsidP="00DD5E20">
            <w:pPr>
              <w:jc w:val="right"/>
              <w:rPr>
                <w:sz w:val="20"/>
                <w:szCs w:val="20"/>
              </w:rPr>
            </w:pPr>
            <w:r w:rsidRPr="003C34A1">
              <w:rPr>
                <w:sz w:val="20"/>
                <w:szCs w:val="20"/>
              </w:rPr>
              <w:t>(292)</w:t>
            </w:r>
          </w:p>
        </w:tc>
        <w:tc>
          <w:tcPr>
            <w:tcW w:w="1890" w:type="dxa"/>
          </w:tcPr>
          <w:p w:rsidR="003C34A1" w:rsidRPr="003C34A1" w:rsidRDefault="003C34A1" w:rsidP="00DD5E20">
            <w:pPr>
              <w:jc w:val="right"/>
              <w:rPr>
                <w:sz w:val="20"/>
                <w:szCs w:val="20"/>
              </w:rPr>
            </w:pPr>
          </w:p>
        </w:tc>
        <w:tc>
          <w:tcPr>
            <w:tcW w:w="1908" w:type="dxa"/>
          </w:tcPr>
          <w:p w:rsidR="003C34A1" w:rsidRPr="003C34A1" w:rsidRDefault="003C34A1" w:rsidP="00DD5E20">
            <w:pPr>
              <w:jc w:val="right"/>
              <w:rPr>
                <w:sz w:val="20"/>
                <w:szCs w:val="20"/>
              </w:rPr>
            </w:pPr>
          </w:p>
        </w:tc>
      </w:tr>
      <w:tr w:rsidR="00C431B3" w:rsidRPr="00CC5993" w:rsidTr="00C431B3">
        <w:trPr>
          <w:trHeight w:val="260"/>
        </w:trPr>
        <w:tc>
          <w:tcPr>
            <w:tcW w:w="1144" w:type="dxa"/>
          </w:tcPr>
          <w:p w:rsidR="003C34A1" w:rsidRPr="003C34A1" w:rsidRDefault="003C34A1" w:rsidP="00DD5E20">
            <w:pPr>
              <w:rPr>
                <w:sz w:val="20"/>
                <w:szCs w:val="20"/>
              </w:rPr>
            </w:pPr>
            <w:r w:rsidRPr="003C34A1">
              <w:rPr>
                <w:sz w:val="20"/>
                <w:szCs w:val="20"/>
              </w:rPr>
              <w:t>Grand Total</w:t>
            </w:r>
          </w:p>
        </w:tc>
        <w:tc>
          <w:tcPr>
            <w:tcW w:w="508" w:type="dxa"/>
            <w:vAlign w:val="center"/>
          </w:tcPr>
          <w:p w:rsidR="003C34A1" w:rsidRPr="003C34A1" w:rsidRDefault="003C34A1" w:rsidP="00DD5E20">
            <w:pPr>
              <w:jc w:val="right"/>
              <w:rPr>
                <w:sz w:val="20"/>
                <w:szCs w:val="20"/>
              </w:rPr>
            </w:pPr>
            <w:r w:rsidRPr="003C34A1">
              <w:rPr>
                <w:sz w:val="20"/>
                <w:szCs w:val="20"/>
              </w:rPr>
              <w:t>0</w:t>
            </w:r>
          </w:p>
        </w:tc>
        <w:tc>
          <w:tcPr>
            <w:tcW w:w="591" w:type="dxa"/>
            <w:vAlign w:val="center"/>
          </w:tcPr>
          <w:p w:rsidR="003C34A1" w:rsidRPr="003C34A1" w:rsidRDefault="003C34A1" w:rsidP="00DD5E20">
            <w:pPr>
              <w:jc w:val="right"/>
              <w:rPr>
                <w:sz w:val="20"/>
                <w:szCs w:val="20"/>
              </w:rPr>
            </w:pPr>
            <w:r w:rsidRPr="003C34A1">
              <w:rPr>
                <w:sz w:val="20"/>
                <w:szCs w:val="20"/>
              </w:rPr>
              <w:t>0</w:t>
            </w:r>
          </w:p>
        </w:tc>
        <w:tc>
          <w:tcPr>
            <w:tcW w:w="696" w:type="dxa"/>
            <w:vAlign w:val="center"/>
          </w:tcPr>
          <w:p w:rsidR="003C34A1" w:rsidRPr="003C34A1" w:rsidRDefault="003C34A1" w:rsidP="00DD5E20">
            <w:pPr>
              <w:jc w:val="right"/>
              <w:rPr>
                <w:sz w:val="20"/>
                <w:szCs w:val="20"/>
              </w:rPr>
            </w:pPr>
            <w:r w:rsidRPr="003C34A1">
              <w:rPr>
                <w:sz w:val="20"/>
                <w:szCs w:val="20"/>
              </w:rPr>
              <w:t>0</w:t>
            </w:r>
          </w:p>
        </w:tc>
        <w:tc>
          <w:tcPr>
            <w:tcW w:w="1021" w:type="dxa"/>
            <w:vAlign w:val="center"/>
          </w:tcPr>
          <w:p w:rsidR="003C34A1" w:rsidRPr="003C34A1" w:rsidRDefault="003C34A1" w:rsidP="00DD5E20">
            <w:pPr>
              <w:jc w:val="right"/>
              <w:rPr>
                <w:sz w:val="20"/>
                <w:szCs w:val="20"/>
              </w:rPr>
            </w:pPr>
            <w:r w:rsidRPr="003C34A1">
              <w:rPr>
                <w:sz w:val="20"/>
                <w:szCs w:val="20"/>
              </w:rPr>
              <w:t>0</w:t>
            </w:r>
          </w:p>
        </w:tc>
        <w:tc>
          <w:tcPr>
            <w:tcW w:w="1005" w:type="dxa"/>
            <w:vAlign w:val="center"/>
          </w:tcPr>
          <w:p w:rsidR="003C34A1" w:rsidRPr="003C34A1" w:rsidRDefault="003C34A1" w:rsidP="00DD5E20">
            <w:pPr>
              <w:jc w:val="right"/>
              <w:rPr>
                <w:sz w:val="20"/>
                <w:szCs w:val="20"/>
              </w:rPr>
            </w:pPr>
            <w:r w:rsidRPr="003C34A1">
              <w:rPr>
                <w:sz w:val="20"/>
                <w:szCs w:val="20"/>
              </w:rPr>
              <w:t>(292)</w:t>
            </w:r>
          </w:p>
        </w:tc>
        <w:tc>
          <w:tcPr>
            <w:tcW w:w="795" w:type="dxa"/>
            <w:vAlign w:val="center"/>
          </w:tcPr>
          <w:p w:rsidR="003C34A1" w:rsidRPr="003C34A1" w:rsidRDefault="003C34A1" w:rsidP="00DD5E20">
            <w:pPr>
              <w:jc w:val="right"/>
              <w:rPr>
                <w:sz w:val="20"/>
                <w:szCs w:val="20"/>
              </w:rPr>
            </w:pPr>
            <w:r w:rsidRPr="003C34A1">
              <w:rPr>
                <w:sz w:val="20"/>
                <w:szCs w:val="20"/>
              </w:rPr>
              <w:t>(292)</w:t>
            </w:r>
          </w:p>
        </w:tc>
        <w:tc>
          <w:tcPr>
            <w:tcW w:w="1890" w:type="dxa"/>
          </w:tcPr>
          <w:p w:rsidR="003C34A1" w:rsidRPr="003C34A1" w:rsidRDefault="003C34A1" w:rsidP="00DD5E20">
            <w:pPr>
              <w:jc w:val="right"/>
              <w:rPr>
                <w:sz w:val="20"/>
                <w:szCs w:val="20"/>
              </w:rPr>
            </w:pPr>
          </w:p>
        </w:tc>
        <w:tc>
          <w:tcPr>
            <w:tcW w:w="1908" w:type="dxa"/>
          </w:tcPr>
          <w:p w:rsidR="003C34A1" w:rsidRPr="003C34A1" w:rsidRDefault="003C34A1" w:rsidP="00DD5E20">
            <w:pPr>
              <w:jc w:val="right"/>
              <w:rPr>
                <w:sz w:val="20"/>
                <w:szCs w:val="20"/>
              </w:rPr>
            </w:pPr>
          </w:p>
        </w:tc>
      </w:tr>
    </w:tbl>
    <w:p w:rsidR="002F0E82" w:rsidRDefault="002F0E82">
      <w:pPr>
        <w:rPr>
          <w:rFonts w:cs="Arial"/>
          <w:b/>
        </w:rPr>
      </w:pPr>
    </w:p>
    <w:p w:rsidR="002F0E82" w:rsidRDefault="002F0E82">
      <w:pPr>
        <w:rPr>
          <w:rFonts w:cs="Arial"/>
          <w:b/>
        </w:rPr>
      </w:pPr>
      <w:r>
        <w:rPr>
          <w:rFonts w:cs="Arial"/>
          <w:b/>
        </w:rPr>
        <w:br w:type="page"/>
      </w:r>
    </w:p>
    <w:p w:rsidR="002F0E82" w:rsidRPr="000C1B36" w:rsidRDefault="002F0E82" w:rsidP="002F0E82">
      <w:pPr>
        <w:pStyle w:val="xl19"/>
        <w:tabs>
          <w:tab w:val="left" w:pos="3420"/>
          <w:tab w:val="right" w:pos="8640"/>
        </w:tabs>
        <w:outlineLvl w:val="0"/>
        <w:rPr>
          <w:b/>
          <w:bCs/>
        </w:rPr>
      </w:pPr>
      <w:r w:rsidRPr="00426C49">
        <w:rPr>
          <w:b/>
          <w:bCs/>
        </w:rPr>
        <w:lastRenderedPageBreak/>
        <w:t>Item Name:</w:t>
      </w:r>
      <w:r w:rsidRPr="00426C49">
        <w:rPr>
          <w:b/>
          <w:bCs/>
        </w:rPr>
        <w:tab/>
      </w:r>
      <w:r>
        <w:rPr>
          <w:b/>
          <w:bCs/>
        </w:rPr>
        <w:t>Adjustment to Consolidate Task Forces</w:t>
      </w:r>
    </w:p>
    <w:p w:rsidR="002F0E82" w:rsidRPr="00426C49" w:rsidRDefault="002F0E82" w:rsidP="002F0E82">
      <w:pPr>
        <w:pStyle w:val="xl19"/>
        <w:tabs>
          <w:tab w:val="left" w:pos="3420"/>
          <w:tab w:val="right" w:pos="8640"/>
        </w:tabs>
      </w:pPr>
      <w:r w:rsidRPr="00426C49">
        <w:t xml:space="preserve">                                     </w:t>
      </w:r>
    </w:p>
    <w:p w:rsidR="002F0E82" w:rsidRPr="00C16770" w:rsidRDefault="002F0E82" w:rsidP="002F0E82">
      <w:pPr>
        <w:pStyle w:val="xl19"/>
        <w:tabs>
          <w:tab w:val="left" w:pos="3420"/>
          <w:tab w:val="right" w:pos="8640"/>
        </w:tabs>
        <w:ind w:left="3420" w:hanging="3420"/>
      </w:pPr>
      <w:r w:rsidRPr="00C16770">
        <w:rPr>
          <w:bCs/>
        </w:rPr>
        <w:t>Budget Decision Unit(s):</w:t>
      </w:r>
      <w:r w:rsidRPr="00C16770">
        <w:t xml:space="preserve"> </w:t>
      </w:r>
      <w:r w:rsidRPr="00C16770">
        <w:tab/>
      </w:r>
      <w:r>
        <w:t>Bureau-wide</w:t>
      </w:r>
    </w:p>
    <w:p w:rsidR="002F0E82" w:rsidRPr="00C16770" w:rsidRDefault="002F0E82" w:rsidP="002F0E82">
      <w:pPr>
        <w:pStyle w:val="xl19"/>
        <w:tabs>
          <w:tab w:val="left" w:pos="3420"/>
          <w:tab w:val="right" w:pos="8640"/>
        </w:tabs>
      </w:pPr>
      <w:r w:rsidRPr="00C16770">
        <w:tab/>
        <w:t xml:space="preserve">                                                     </w:t>
      </w:r>
    </w:p>
    <w:p w:rsidR="002F0E82" w:rsidRPr="00C16770" w:rsidRDefault="002F0E82" w:rsidP="002F0E82">
      <w:pPr>
        <w:pStyle w:val="xl19"/>
        <w:tabs>
          <w:tab w:val="left" w:pos="3420"/>
          <w:tab w:val="right" w:pos="8640"/>
        </w:tabs>
        <w:ind w:left="3420" w:hanging="3420"/>
      </w:pPr>
      <w:r w:rsidRPr="00C16770">
        <w:rPr>
          <w:bCs/>
        </w:rPr>
        <w:t>Strategic Goal(s) &amp; Objective(s):</w:t>
      </w:r>
      <w:r w:rsidRPr="00C16770">
        <w:t xml:space="preserve"> </w:t>
      </w:r>
      <w:r w:rsidRPr="00C16770">
        <w:tab/>
        <w:t xml:space="preserve">Strategic Goal 1: Prevent Terrorism and Promote the Nation’s Security, Objectives 1.1 and 1.2; </w:t>
      </w:r>
      <w:r w:rsidRPr="00C16770">
        <w:tab/>
      </w:r>
    </w:p>
    <w:p w:rsidR="002F0E82" w:rsidRPr="00C16770" w:rsidRDefault="002F0E82" w:rsidP="002F0E82">
      <w:pPr>
        <w:pStyle w:val="xl19"/>
        <w:tabs>
          <w:tab w:val="left" w:pos="3420"/>
          <w:tab w:val="right" w:pos="8640"/>
        </w:tabs>
        <w:ind w:left="3420" w:hanging="3420"/>
      </w:pPr>
    </w:p>
    <w:p w:rsidR="002F0E82" w:rsidRPr="00C16770" w:rsidRDefault="002F0E82" w:rsidP="002F0E82">
      <w:pPr>
        <w:pStyle w:val="xl19"/>
        <w:tabs>
          <w:tab w:val="left" w:pos="3420"/>
          <w:tab w:val="right" w:pos="8640"/>
        </w:tabs>
        <w:ind w:left="3420"/>
      </w:pPr>
      <w:r w:rsidRPr="00C16770">
        <w:t>Strategic Goal 2: Prevent Crime, Enforce Federal Laws, and Represent the Rights and Interests of the American People, Objectives 2.1, 2.2</w:t>
      </w:r>
    </w:p>
    <w:p w:rsidR="002F0E82" w:rsidRPr="00C16770" w:rsidRDefault="002F0E82" w:rsidP="002F0E82">
      <w:pPr>
        <w:pStyle w:val="xl19"/>
        <w:tabs>
          <w:tab w:val="left" w:pos="3420"/>
          <w:tab w:val="right" w:pos="8640"/>
        </w:tabs>
      </w:pPr>
    </w:p>
    <w:p w:rsidR="002F0E82" w:rsidRPr="00C16770" w:rsidRDefault="002F0E82" w:rsidP="002F0E82">
      <w:pPr>
        <w:pStyle w:val="xl19"/>
        <w:tabs>
          <w:tab w:val="left" w:pos="3420"/>
          <w:tab w:val="right" w:pos="8640"/>
        </w:tabs>
      </w:pPr>
      <w:r w:rsidRPr="00C16770">
        <w:rPr>
          <w:bCs/>
        </w:rPr>
        <w:t>Organizational Program</w:t>
      </w:r>
      <w:r w:rsidRPr="00C16770">
        <w:t>:</w:t>
      </w:r>
      <w:r w:rsidRPr="00C16770">
        <w:tab/>
      </w:r>
      <w:r>
        <w:t>Bureau-wide</w:t>
      </w:r>
    </w:p>
    <w:p w:rsidR="002F0E82" w:rsidRPr="00C16770" w:rsidRDefault="002F0E82" w:rsidP="002F0E82">
      <w:pPr>
        <w:pStyle w:val="xl19"/>
        <w:tabs>
          <w:tab w:val="left" w:pos="3420"/>
          <w:tab w:val="right" w:pos="8640"/>
        </w:tabs>
      </w:pPr>
      <w:r w:rsidRPr="00C16770">
        <w:tab/>
      </w:r>
    </w:p>
    <w:p w:rsidR="002F0E82" w:rsidRPr="00C16770" w:rsidRDefault="002F0E82" w:rsidP="002F0E82">
      <w:pPr>
        <w:pStyle w:val="xl19"/>
        <w:tabs>
          <w:tab w:val="left" w:pos="3420"/>
          <w:tab w:val="right" w:pos="8640"/>
        </w:tabs>
      </w:pPr>
      <w:r w:rsidRPr="00C16770">
        <w:t>Component Ranking of Item:</w:t>
      </w:r>
      <w:r w:rsidRPr="00C16770">
        <w:tab/>
        <w:t xml:space="preserve">Item </w:t>
      </w:r>
      <w:r>
        <w:t>8</w:t>
      </w:r>
      <w:r w:rsidRPr="00C16770">
        <w:t xml:space="preserve"> of </w:t>
      </w:r>
      <w:r>
        <w:t>8</w:t>
      </w:r>
    </w:p>
    <w:p w:rsidR="002F0E82" w:rsidRPr="00C16770" w:rsidRDefault="002F0E82" w:rsidP="002F0E82">
      <w:pPr>
        <w:pStyle w:val="xl19"/>
        <w:tabs>
          <w:tab w:val="left" w:pos="3420"/>
          <w:tab w:val="right" w:pos="8640"/>
        </w:tabs>
        <w:rPr>
          <w:u w:val="single"/>
        </w:rPr>
      </w:pPr>
    </w:p>
    <w:p w:rsidR="002F0E82" w:rsidRPr="00CA4EC0" w:rsidRDefault="002F0E82" w:rsidP="002F0E82">
      <w:pPr>
        <w:pStyle w:val="xl19"/>
        <w:tabs>
          <w:tab w:val="left" w:pos="2340"/>
          <w:tab w:val="right" w:pos="3060"/>
          <w:tab w:val="left" w:pos="3420"/>
          <w:tab w:val="right" w:pos="4500"/>
          <w:tab w:val="left" w:pos="5310"/>
          <w:tab w:val="right" w:pos="6300"/>
        </w:tabs>
      </w:pPr>
      <w:r w:rsidRPr="00C16770">
        <w:rPr>
          <w:bCs/>
        </w:rPr>
        <w:t xml:space="preserve">Program </w:t>
      </w:r>
      <w:r w:rsidR="00A86176">
        <w:rPr>
          <w:bCs/>
        </w:rPr>
        <w:t>Offset</w:t>
      </w:r>
      <w:r w:rsidRPr="00C16770">
        <w:t>:</w:t>
      </w:r>
      <w:r w:rsidRPr="00426C49">
        <w:rPr>
          <w:b/>
        </w:rPr>
        <w:t xml:space="preserve"> </w:t>
      </w:r>
      <w:r w:rsidRPr="00426C49">
        <w:t xml:space="preserve"> </w:t>
      </w:r>
      <w:r w:rsidR="00A86176">
        <w:tab/>
      </w:r>
      <w:r w:rsidR="00A86176">
        <w:tab/>
      </w:r>
      <w:r w:rsidR="00A86176">
        <w:tab/>
      </w:r>
      <w:r w:rsidRPr="00426C49">
        <w:t xml:space="preserve">Positions: </w:t>
      </w:r>
      <w:r w:rsidRPr="00426C49">
        <w:rPr>
          <w:u w:val="single"/>
        </w:rPr>
        <w:t xml:space="preserve"> </w:t>
      </w:r>
      <w:proofErr w:type="gramStart"/>
      <w:r>
        <w:rPr>
          <w:u w:val="single"/>
        </w:rPr>
        <w:t>0</w:t>
      </w:r>
      <w:r w:rsidRPr="00426C49">
        <w:t xml:space="preserve">   Agent</w:t>
      </w:r>
      <w:proofErr w:type="gramEnd"/>
      <w:r w:rsidRPr="00426C49">
        <w:t xml:space="preserve">: </w:t>
      </w:r>
      <w:r w:rsidRPr="00426C49">
        <w:rPr>
          <w:u w:val="single"/>
        </w:rPr>
        <w:t xml:space="preserve"> </w:t>
      </w:r>
      <w:r>
        <w:rPr>
          <w:u w:val="single"/>
        </w:rPr>
        <w:t>0</w:t>
      </w:r>
      <w:r w:rsidRPr="00426C49">
        <w:rPr>
          <w:u w:val="single"/>
        </w:rPr>
        <w:t xml:space="preserve"> </w:t>
      </w:r>
      <w:r w:rsidRPr="00426C49">
        <w:t xml:space="preserve">  FTE: </w:t>
      </w:r>
      <w:r w:rsidRPr="00426C49">
        <w:rPr>
          <w:u w:val="single"/>
        </w:rPr>
        <w:t xml:space="preserve"> </w:t>
      </w:r>
      <w:r>
        <w:rPr>
          <w:u w:val="single"/>
        </w:rPr>
        <w:t>0</w:t>
      </w:r>
      <w:r w:rsidRPr="00426C49">
        <w:t xml:space="preserve">  </w:t>
      </w:r>
      <w:r>
        <w:t xml:space="preserve"> </w:t>
      </w:r>
      <w:r w:rsidRPr="00426C49">
        <w:t xml:space="preserve">Dollars </w:t>
      </w:r>
      <w:r>
        <w:t>(</w:t>
      </w:r>
      <w:r w:rsidRPr="00F172BE">
        <w:rPr>
          <w:u w:val="single"/>
        </w:rPr>
        <w:t>$</w:t>
      </w:r>
      <w:r>
        <w:rPr>
          <w:u w:val="single"/>
        </w:rPr>
        <w:t>136,000)</w:t>
      </w:r>
    </w:p>
    <w:p w:rsidR="002F0E82" w:rsidRPr="00426C49" w:rsidRDefault="002F0E82" w:rsidP="002F0E82">
      <w:pPr>
        <w:pStyle w:val="xl19"/>
        <w:tabs>
          <w:tab w:val="left" w:pos="2340"/>
          <w:tab w:val="right" w:pos="3060"/>
          <w:tab w:val="left" w:pos="3420"/>
          <w:tab w:val="right" w:pos="4500"/>
          <w:tab w:val="left" w:pos="5310"/>
          <w:tab w:val="right" w:pos="6300"/>
        </w:tabs>
      </w:pPr>
      <w:r w:rsidRPr="00426C49">
        <w:rPr>
          <w:bCs/>
        </w:rPr>
        <w:t xml:space="preserve">                          </w:t>
      </w:r>
    </w:p>
    <w:p w:rsidR="002F0E82" w:rsidRPr="003307E1" w:rsidRDefault="002F0E82" w:rsidP="002F0E82">
      <w:pPr>
        <w:pStyle w:val="Header"/>
        <w:outlineLvl w:val="0"/>
        <w:rPr>
          <w:bCs/>
          <w:u w:val="single"/>
        </w:rPr>
      </w:pPr>
      <w:r w:rsidRPr="003307E1">
        <w:rPr>
          <w:bCs/>
          <w:u w:val="single"/>
        </w:rPr>
        <w:t>Description of Item</w:t>
      </w:r>
    </w:p>
    <w:p w:rsidR="002F0E82" w:rsidRDefault="002F0E82" w:rsidP="002F0E82">
      <w:pPr>
        <w:rPr>
          <w:bCs/>
          <w:u w:val="single"/>
        </w:rPr>
      </w:pPr>
    </w:p>
    <w:p w:rsidR="002F0E82" w:rsidRPr="00B87AB5" w:rsidRDefault="002F0E82" w:rsidP="002F0E82">
      <w:r>
        <w:t>This budget reflects a Department of Justice-wide offset to consolidate and eliminate duplication in the number of Department of Justice funded task forces throughout the country.</w:t>
      </w:r>
    </w:p>
    <w:p w:rsidR="002F0E82" w:rsidRDefault="002F0E82" w:rsidP="002F0E82">
      <w:pPr>
        <w:jc w:val="center"/>
        <w:rPr>
          <w:b/>
        </w:rPr>
      </w:pPr>
    </w:p>
    <w:p w:rsidR="002F0E82" w:rsidRPr="004E1020" w:rsidRDefault="002F0E82" w:rsidP="002F0E82">
      <w:pPr>
        <w:pStyle w:val="Header"/>
        <w:outlineLvl w:val="0"/>
        <w:rPr>
          <w:bCs/>
          <w:u w:val="single"/>
        </w:rPr>
      </w:pPr>
      <w:r w:rsidRPr="004E1020">
        <w:rPr>
          <w:bCs/>
          <w:u w:val="single"/>
        </w:rPr>
        <w:t>Justification</w:t>
      </w:r>
    </w:p>
    <w:p w:rsidR="002F0E82" w:rsidRDefault="002F0E82" w:rsidP="002F0E82">
      <w:pPr>
        <w:pStyle w:val="Header"/>
        <w:outlineLvl w:val="0"/>
        <w:rPr>
          <w:bCs/>
        </w:rPr>
      </w:pPr>
    </w:p>
    <w:p w:rsidR="002F0E82" w:rsidRDefault="002F0E82" w:rsidP="002F0E82">
      <w:pPr>
        <w:pStyle w:val="Header"/>
        <w:outlineLvl w:val="0"/>
      </w:pPr>
      <w:r>
        <w:rPr>
          <w:szCs w:val="18"/>
        </w:rPr>
        <w:t xml:space="preserve">The Department of Justice seeks to reduce the overall Federal task force footprint by eliminating 335 task force locations that are in close geographic proximity and target the same crime problem.  This offset will consolidate resources to increase efficiency within the overall task force structure.  </w:t>
      </w:r>
    </w:p>
    <w:p w:rsidR="002F0E82" w:rsidRDefault="002F0E82" w:rsidP="002F0E82">
      <w:pPr>
        <w:pStyle w:val="Header"/>
        <w:outlineLvl w:val="0"/>
      </w:pPr>
    </w:p>
    <w:p w:rsidR="002F0E82" w:rsidRPr="004E1020" w:rsidRDefault="002F0E82" w:rsidP="002F0E82">
      <w:pPr>
        <w:pStyle w:val="Header"/>
        <w:outlineLvl w:val="0"/>
        <w:rPr>
          <w:bCs/>
          <w:u w:val="single"/>
        </w:rPr>
      </w:pPr>
      <w:r w:rsidRPr="004E1020">
        <w:rPr>
          <w:bCs/>
          <w:u w:val="single"/>
        </w:rPr>
        <w:t>Impact on Performance (Relationship of Increase to Strategic Goals)</w:t>
      </w:r>
    </w:p>
    <w:p w:rsidR="002F0E82" w:rsidRPr="004E1020" w:rsidRDefault="002F0E82" w:rsidP="002F0E82">
      <w:pPr>
        <w:pStyle w:val="Header"/>
        <w:outlineLvl w:val="0"/>
        <w:rPr>
          <w:bCs/>
        </w:rPr>
      </w:pPr>
    </w:p>
    <w:p w:rsidR="002F0E82" w:rsidRPr="00A5477B" w:rsidRDefault="002F0E82" w:rsidP="002F0E82">
      <w:pPr>
        <w:pStyle w:val="NormalWeb"/>
        <w:rPr>
          <w:rFonts w:ascii="Times New Roman" w:eastAsia="Times New Roman" w:hAnsi="Times New Roman"/>
          <w:szCs w:val="18"/>
        </w:rPr>
      </w:pPr>
      <w:r w:rsidRPr="00A5477B">
        <w:rPr>
          <w:rFonts w:ascii="Times New Roman" w:eastAsia="Times New Roman" w:hAnsi="Times New Roman"/>
          <w:szCs w:val="18"/>
        </w:rPr>
        <w:t xml:space="preserve">The Department is </w:t>
      </w:r>
      <w:r>
        <w:rPr>
          <w:rFonts w:ascii="Times New Roman" w:eastAsia="Times New Roman" w:hAnsi="Times New Roman"/>
          <w:szCs w:val="18"/>
        </w:rPr>
        <w:t>responding to a 2007 OIG report that found duplication and inadequate coordination among the Department’s task forces.  As a result, the Department examined the spending associated with task forces and believes a reduction could be taken that increases efficiency without sacrificing investigative capacity.  Therefore, task forces will be consolidated to increase efficiency within the overall task force structure.  This reduction will continue to target federal crimes in each jurisdiction, while retaining all federal agent and support positions.  For ATF</w:t>
      </w:r>
      <w:r w:rsidRPr="00A5477B">
        <w:rPr>
          <w:rFonts w:ascii="Times New Roman" w:eastAsia="Times New Roman" w:hAnsi="Times New Roman"/>
          <w:szCs w:val="18"/>
        </w:rPr>
        <w:t xml:space="preserve">, </w:t>
      </w:r>
      <w:r>
        <w:rPr>
          <w:rFonts w:ascii="Times New Roman" w:eastAsia="Times New Roman" w:hAnsi="Times New Roman"/>
          <w:szCs w:val="18"/>
        </w:rPr>
        <w:t>task force reductions</w:t>
      </w:r>
      <w:r w:rsidRPr="00A5477B">
        <w:rPr>
          <w:rFonts w:ascii="Times New Roman" w:eastAsia="Times New Roman" w:hAnsi="Times New Roman"/>
          <w:szCs w:val="18"/>
        </w:rPr>
        <w:t xml:space="preserve"> will</w:t>
      </w:r>
      <w:r>
        <w:rPr>
          <w:rFonts w:ascii="Times New Roman" w:eastAsia="Times New Roman" w:hAnsi="Times New Roman"/>
          <w:szCs w:val="18"/>
        </w:rPr>
        <w:t xml:space="preserve"> result in offsets of $136,000</w:t>
      </w:r>
      <w:r w:rsidRPr="00A5477B">
        <w:rPr>
          <w:rFonts w:ascii="Times New Roman" w:eastAsia="Times New Roman" w:hAnsi="Times New Roman"/>
          <w:szCs w:val="18"/>
        </w:rPr>
        <w:t xml:space="preserve">. This offset will be applied in a manner that will allow the continuation of effective law enforcement program efforts.  </w:t>
      </w:r>
    </w:p>
    <w:p w:rsidR="002F0E82" w:rsidRPr="00F172BE" w:rsidRDefault="002F0E82" w:rsidP="002F0E82">
      <w:pPr>
        <w:jc w:val="center"/>
        <w:rPr>
          <w:b/>
        </w:rPr>
      </w:pPr>
      <w:r w:rsidRPr="006B1E04">
        <w:br w:type="page"/>
      </w:r>
      <w:r w:rsidRPr="00F172BE">
        <w:rPr>
          <w:b/>
        </w:rPr>
        <w:lastRenderedPageBreak/>
        <w:t>Funding</w:t>
      </w:r>
    </w:p>
    <w:p w:rsidR="002F0E82" w:rsidRDefault="002F0E82" w:rsidP="002F0E82"/>
    <w:p w:rsidR="002F0E82" w:rsidRPr="00426C49" w:rsidRDefault="002F0E82" w:rsidP="002F0E82">
      <w:pPr>
        <w:pStyle w:val="Header"/>
        <w:tabs>
          <w:tab w:val="left" w:pos="1440"/>
          <w:tab w:val="left" w:pos="1980"/>
          <w:tab w:val="right" w:pos="9360"/>
        </w:tabs>
        <w:outlineLvl w:val="0"/>
        <w:rPr>
          <w:u w:val="single"/>
        </w:rPr>
      </w:pPr>
      <w:r w:rsidRPr="00426C49">
        <w:rPr>
          <w:u w:val="single"/>
        </w:rPr>
        <w:t>Base Funding</w:t>
      </w:r>
    </w:p>
    <w:p w:rsidR="002F0E82" w:rsidRDefault="002F0E82" w:rsidP="002F0E82">
      <w:pPr>
        <w:pStyle w:val="Header"/>
        <w:tabs>
          <w:tab w:val="left" w:pos="1440"/>
          <w:tab w:val="left" w:pos="1980"/>
          <w:tab w:val="right" w:pos="9360"/>
        </w:tabs>
        <w:rPr>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763"/>
        <w:gridCol w:w="1395"/>
        <w:gridCol w:w="603"/>
        <w:gridCol w:w="607"/>
        <w:gridCol w:w="672"/>
        <w:gridCol w:w="1358"/>
        <w:gridCol w:w="590"/>
        <w:gridCol w:w="607"/>
        <w:gridCol w:w="672"/>
        <w:gridCol w:w="1090"/>
      </w:tblGrid>
      <w:tr w:rsidR="002F0E82" w:rsidRPr="00CC5993" w:rsidTr="00C021A7">
        <w:tc>
          <w:tcPr>
            <w:tcW w:w="3359" w:type="dxa"/>
            <w:gridSpan w:val="4"/>
            <w:shd w:val="clear" w:color="auto" w:fill="E6E6E6"/>
          </w:tcPr>
          <w:p w:rsidR="002F0E82" w:rsidRPr="001E1CC3" w:rsidRDefault="002F0E82" w:rsidP="00DD5E20">
            <w:pPr>
              <w:pStyle w:val="Heading7"/>
              <w:rPr>
                <w:b w:val="0"/>
                <w:szCs w:val="24"/>
              </w:rPr>
            </w:pPr>
            <w:r w:rsidRPr="001E1CC3">
              <w:rPr>
                <w:b w:val="0"/>
                <w:szCs w:val="24"/>
              </w:rPr>
              <w:t>FY 20</w:t>
            </w:r>
            <w:r>
              <w:rPr>
                <w:b w:val="0"/>
                <w:szCs w:val="24"/>
              </w:rPr>
              <w:t>10</w:t>
            </w:r>
            <w:r w:rsidRPr="001E1CC3">
              <w:rPr>
                <w:b w:val="0"/>
                <w:szCs w:val="24"/>
              </w:rPr>
              <w:t xml:space="preserve"> Enacted </w:t>
            </w:r>
          </w:p>
        </w:tc>
        <w:tc>
          <w:tcPr>
            <w:tcW w:w="3240" w:type="dxa"/>
            <w:gridSpan w:val="4"/>
            <w:shd w:val="clear" w:color="auto" w:fill="E6E6E6"/>
          </w:tcPr>
          <w:p w:rsidR="002F0E82" w:rsidRPr="001E1CC3" w:rsidRDefault="002F0E82" w:rsidP="00DD5E20">
            <w:pPr>
              <w:pStyle w:val="Heading7"/>
              <w:rPr>
                <w:b w:val="0"/>
                <w:szCs w:val="24"/>
              </w:rPr>
            </w:pPr>
            <w:r w:rsidRPr="001E1CC3">
              <w:rPr>
                <w:b w:val="0"/>
                <w:szCs w:val="24"/>
              </w:rPr>
              <w:t>FY 201</w:t>
            </w:r>
            <w:r>
              <w:rPr>
                <w:b w:val="0"/>
                <w:szCs w:val="24"/>
              </w:rPr>
              <w:t>1</w:t>
            </w:r>
            <w:r w:rsidRPr="001E1CC3">
              <w:rPr>
                <w:b w:val="0"/>
                <w:szCs w:val="24"/>
              </w:rPr>
              <w:t xml:space="preserve"> </w:t>
            </w:r>
            <w:r>
              <w:rPr>
                <w:b w:val="0"/>
                <w:szCs w:val="24"/>
              </w:rPr>
              <w:t>Enacted</w:t>
            </w:r>
          </w:p>
        </w:tc>
        <w:tc>
          <w:tcPr>
            <w:tcW w:w="2959" w:type="dxa"/>
            <w:gridSpan w:val="4"/>
            <w:shd w:val="clear" w:color="auto" w:fill="E6E6E6"/>
          </w:tcPr>
          <w:p w:rsidR="002F0E82" w:rsidRPr="001E1CC3" w:rsidRDefault="002F0E82" w:rsidP="00DD5E20">
            <w:pPr>
              <w:pStyle w:val="Heading7"/>
              <w:rPr>
                <w:b w:val="0"/>
                <w:szCs w:val="24"/>
              </w:rPr>
            </w:pPr>
            <w:r w:rsidRPr="001E1CC3">
              <w:rPr>
                <w:b w:val="0"/>
                <w:szCs w:val="24"/>
              </w:rPr>
              <w:t>FY 201</w:t>
            </w:r>
            <w:r>
              <w:rPr>
                <w:b w:val="0"/>
                <w:szCs w:val="24"/>
              </w:rPr>
              <w:t>2</w:t>
            </w:r>
            <w:r w:rsidRPr="001E1CC3">
              <w:rPr>
                <w:b w:val="0"/>
                <w:szCs w:val="24"/>
              </w:rPr>
              <w:t xml:space="preserve"> Current Services</w:t>
            </w:r>
          </w:p>
        </w:tc>
      </w:tr>
      <w:tr w:rsidR="002F0E82" w:rsidRPr="00CC5993" w:rsidTr="00C021A7">
        <w:trPr>
          <w:trHeight w:val="170"/>
        </w:trPr>
        <w:tc>
          <w:tcPr>
            <w:tcW w:w="594" w:type="dxa"/>
          </w:tcPr>
          <w:p w:rsidR="002F0E82" w:rsidRPr="00CC5993" w:rsidRDefault="002F0E82" w:rsidP="00DD5E20">
            <w:pPr>
              <w:pStyle w:val="xl24"/>
              <w:spacing w:before="0" w:after="0"/>
              <w:jc w:val="center"/>
            </w:pPr>
            <w:r w:rsidRPr="00CC5993">
              <w:t>Pos</w:t>
            </w:r>
          </w:p>
        </w:tc>
        <w:tc>
          <w:tcPr>
            <w:tcW w:w="607" w:type="dxa"/>
          </w:tcPr>
          <w:p w:rsidR="002F0E82" w:rsidRPr="00CC5993" w:rsidRDefault="002F0E82" w:rsidP="00DD5E20">
            <w:pPr>
              <w:pStyle w:val="xl24"/>
              <w:spacing w:before="0" w:after="0"/>
              <w:jc w:val="center"/>
            </w:pPr>
            <w:proofErr w:type="spellStart"/>
            <w:r w:rsidRPr="00CC5993">
              <w:t>Agt</w:t>
            </w:r>
            <w:proofErr w:type="spellEnd"/>
          </w:p>
        </w:tc>
        <w:tc>
          <w:tcPr>
            <w:tcW w:w="763" w:type="dxa"/>
          </w:tcPr>
          <w:p w:rsidR="002F0E82" w:rsidRPr="00CC5993" w:rsidRDefault="002F0E82" w:rsidP="00DD5E20">
            <w:pPr>
              <w:pStyle w:val="xl24"/>
              <w:spacing w:before="0" w:after="0"/>
              <w:jc w:val="center"/>
            </w:pPr>
            <w:r w:rsidRPr="00CC5993">
              <w:t>FTE</w:t>
            </w:r>
          </w:p>
        </w:tc>
        <w:tc>
          <w:tcPr>
            <w:tcW w:w="1395" w:type="dxa"/>
          </w:tcPr>
          <w:p w:rsidR="002F0E82" w:rsidRPr="00CC5993" w:rsidRDefault="002F0E82" w:rsidP="00DD5E20">
            <w:pPr>
              <w:pStyle w:val="xl24"/>
              <w:spacing w:before="0" w:after="0"/>
              <w:jc w:val="center"/>
            </w:pPr>
            <w:r w:rsidRPr="00CC5993">
              <w:t>$(000)</w:t>
            </w:r>
          </w:p>
        </w:tc>
        <w:tc>
          <w:tcPr>
            <w:tcW w:w="603" w:type="dxa"/>
          </w:tcPr>
          <w:p w:rsidR="002F0E82" w:rsidRPr="00CC5993" w:rsidRDefault="002F0E82" w:rsidP="00DD5E20">
            <w:pPr>
              <w:pStyle w:val="xl24"/>
              <w:spacing w:before="0" w:after="0"/>
              <w:jc w:val="center"/>
            </w:pPr>
            <w:r w:rsidRPr="00CC5993">
              <w:t>Pos</w:t>
            </w:r>
          </w:p>
        </w:tc>
        <w:tc>
          <w:tcPr>
            <w:tcW w:w="607" w:type="dxa"/>
          </w:tcPr>
          <w:p w:rsidR="002F0E82" w:rsidRPr="00CC5993" w:rsidRDefault="002F0E82" w:rsidP="00DD5E20">
            <w:pPr>
              <w:pStyle w:val="xl24"/>
              <w:spacing w:before="0" w:after="0"/>
              <w:jc w:val="center"/>
            </w:pPr>
            <w:proofErr w:type="spellStart"/>
            <w:r w:rsidRPr="00CC5993">
              <w:t>Agt</w:t>
            </w:r>
            <w:proofErr w:type="spellEnd"/>
          </w:p>
        </w:tc>
        <w:tc>
          <w:tcPr>
            <w:tcW w:w="672" w:type="dxa"/>
          </w:tcPr>
          <w:p w:rsidR="002F0E82" w:rsidRPr="00CC5993" w:rsidRDefault="002F0E82" w:rsidP="00DD5E20">
            <w:pPr>
              <w:pStyle w:val="xl24"/>
              <w:spacing w:before="0" w:after="0"/>
              <w:jc w:val="center"/>
            </w:pPr>
            <w:r w:rsidRPr="00CC5993">
              <w:t>FTE</w:t>
            </w:r>
          </w:p>
        </w:tc>
        <w:tc>
          <w:tcPr>
            <w:tcW w:w="1358" w:type="dxa"/>
          </w:tcPr>
          <w:p w:rsidR="002F0E82" w:rsidRPr="00CC5993" w:rsidRDefault="002F0E82" w:rsidP="00DD5E20">
            <w:pPr>
              <w:pStyle w:val="xl24"/>
              <w:spacing w:before="0" w:after="0"/>
              <w:jc w:val="center"/>
            </w:pPr>
            <w:r w:rsidRPr="00CC5993">
              <w:t>$(000)</w:t>
            </w:r>
          </w:p>
        </w:tc>
        <w:tc>
          <w:tcPr>
            <w:tcW w:w="590" w:type="dxa"/>
          </w:tcPr>
          <w:p w:rsidR="002F0E82" w:rsidRPr="00CC5993" w:rsidRDefault="002F0E82" w:rsidP="00DD5E20">
            <w:pPr>
              <w:pStyle w:val="xl24"/>
              <w:spacing w:before="0" w:after="0"/>
              <w:jc w:val="center"/>
            </w:pPr>
            <w:r w:rsidRPr="00CC5993">
              <w:t>Pos</w:t>
            </w:r>
          </w:p>
        </w:tc>
        <w:tc>
          <w:tcPr>
            <w:tcW w:w="607" w:type="dxa"/>
          </w:tcPr>
          <w:p w:rsidR="002F0E82" w:rsidRPr="00CC5993" w:rsidRDefault="002F0E82" w:rsidP="00DD5E20">
            <w:pPr>
              <w:pStyle w:val="xl24"/>
              <w:spacing w:before="0" w:after="0"/>
              <w:jc w:val="center"/>
            </w:pPr>
            <w:proofErr w:type="spellStart"/>
            <w:r w:rsidRPr="00CC5993">
              <w:t>Agt</w:t>
            </w:r>
            <w:proofErr w:type="spellEnd"/>
          </w:p>
        </w:tc>
        <w:tc>
          <w:tcPr>
            <w:tcW w:w="672" w:type="dxa"/>
          </w:tcPr>
          <w:p w:rsidR="002F0E82" w:rsidRPr="00CC5993" w:rsidRDefault="002F0E82" w:rsidP="00DD5E20">
            <w:pPr>
              <w:pStyle w:val="xl24"/>
              <w:spacing w:before="0" w:after="0"/>
              <w:jc w:val="center"/>
            </w:pPr>
            <w:r w:rsidRPr="00CC5993">
              <w:t>FTE</w:t>
            </w:r>
          </w:p>
        </w:tc>
        <w:tc>
          <w:tcPr>
            <w:tcW w:w="1090" w:type="dxa"/>
          </w:tcPr>
          <w:p w:rsidR="002F0E82" w:rsidRPr="00CC5993" w:rsidRDefault="002F0E82" w:rsidP="00DD5E20">
            <w:pPr>
              <w:pStyle w:val="xl24"/>
              <w:spacing w:before="0" w:after="0"/>
              <w:jc w:val="center"/>
            </w:pPr>
            <w:r w:rsidRPr="00CC5993">
              <w:t>$(000)</w:t>
            </w:r>
          </w:p>
        </w:tc>
      </w:tr>
      <w:tr w:rsidR="002F0E82" w:rsidRPr="00CC5993" w:rsidTr="00C021A7">
        <w:tc>
          <w:tcPr>
            <w:tcW w:w="594" w:type="dxa"/>
          </w:tcPr>
          <w:p w:rsidR="002F0E82" w:rsidRPr="00CC5993" w:rsidRDefault="002F0E82" w:rsidP="00DD5E20">
            <w:pPr>
              <w:pStyle w:val="xl24"/>
              <w:spacing w:before="0" w:after="0"/>
              <w:jc w:val="right"/>
            </w:pPr>
            <w:r>
              <w:t>0</w:t>
            </w:r>
          </w:p>
        </w:tc>
        <w:tc>
          <w:tcPr>
            <w:tcW w:w="607" w:type="dxa"/>
          </w:tcPr>
          <w:p w:rsidR="002F0E82" w:rsidRPr="00CC5993" w:rsidRDefault="002F0E82" w:rsidP="00DD5E20">
            <w:pPr>
              <w:pStyle w:val="xl24"/>
              <w:spacing w:before="0" w:after="0"/>
              <w:jc w:val="right"/>
            </w:pPr>
            <w:r>
              <w:t>0</w:t>
            </w:r>
          </w:p>
        </w:tc>
        <w:tc>
          <w:tcPr>
            <w:tcW w:w="763" w:type="dxa"/>
          </w:tcPr>
          <w:p w:rsidR="002F0E82" w:rsidRPr="00CC5993" w:rsidRDefault="002F0E82" w:rsidP="00DD5E20">
            <w:pPr>
              <w:pStyle w:val="xl24"/>
              <w:spacing w:before="0" w:after="0"/>
              <w:jc w:val="right"/>
            </w:pPr>
            <w:r>
              <w:t>0</w:t>
            </w:r>
          </w:p>
        </w:tc>
        <w:tc>
          <w:tcPr>
            <w:tcW w:w="1395" w:type="dxa"/>
          </w:tcPr>
          <w:p w:rsidR="002F0E82" w:rsidRPr="00CC5993" w:rsidRDefault="002F0E82" w:rsidP="00DD5E20">
            <w:pPr>
              <w:pStyle w:val="xl24"/>
              <w:tabs>
                <w:tab w:val="left" w:pos="200"/>
                <w:tab w:val="center" w:pos="589"/>
              </w:tabs>
              <w:spacing w:before="0" w:after="0"/>
              <w:jc w:val="right"/>
            </w:pPr>
            <w:r>
              <w:t>0</w:t>
            </w:r>
          </w:p>
        </w:tc>
        <w:tc>
          <w:tcPr>
            <w:tcW w:w="603" w:type="dxa"/>
          </w:tcPr>
          <w:p w:rsidR="002F0E82" w:rsidRPr="00CC5993" w:rsidRDefault="002F0E82" w:rsidP="00DD5E20">
            <w:pPr>
              <w:pStyle w:val="xl24"/>
              <w:spacing w:before="0" w:after="0"/>
              <w:jc w:val="right"/>
            </w:pPr>
            <w:r>
              <w:t>0</w:t>
            </w:r>
          </w:p>
        </w:tc>
        <w:tc>
          <w:tcPr>
            <w:tcW w:w="607" w:type="dxa"/>
          </w:tcPr>
          <w:p w:rsidR="002F0E82" w:rsidRPr="00CC5993" w:rsidRDefault="002F0E82" w:rsidP="00DD5E20">
            <w:pPr>
              <w:pStyle w:val="xl24"/>
              <w:spacing w:before="0" w:after="0"/>
              <w:jc w:val="right"/>
            </w:pPr>
            <w:r>
              <w:t>0</w:t>
            </w:r>
          </w:p>
        </w:tc>
        <w:tc>
          <w:tcPr>
            <w:tcW w:w="672" w:type="dxa"/>
          </w:tcPr>
          <w:p w:rsidR="002F0E82" w:rsidRPr="00CC5993" w:rsidRDefault="002F0E82" w:rsidP="00DD5E20">
            <w:pPr>
              <w:pStyle w:val="xl24"/>
              <w:spacing w:before="0" w:after="0"/>
              <w:jc w:val="right"/>
            </w:pPr>
            <w:r>
              <w:t>0</w:t>
            </w:r>
          </w:p>
        </w:tc>
        <w:tc>
          <w:tcPr>
            <w:tcW w:w="1358" w:type="dxa"/>
          </w:tcPr>
          <w:p w:rsidR="002F0E82" w:rsidRPr="00CC5993" w:rsidRDefault="002F0E82" w:rsidP="00DD5E20">
            <w:pPr>
              <w:pStyle w:val="xl24"/>
              <w:spacing w:before="0" w:after="0"/>
              <w:jc w:val="right"/>
            </w:pPr>
            <w:r>
              <w:t>0</w:t>
            </w:r>
          </w:p>
        </w:tc>
        <w:tc>
          <w:tcPr>
            <w:tcW w:w="590" w:type="dxa"/>
          </w:tcPr>
          <w:p w:rsidR="002F0E82" w:rsidRPr="00CC5993" w:rsidRDefault="002F0E82" w:rsidP="00DD5E20">
            <w:pPr>
              <w:pStyle w:val="xl24"/>
              <w:spacing w:before="0" w:after="0"/>
              <w:jc w:val="right"/>
            </w:pPr>
            <w:r>
              <w:t>0</w:t>
            </w:r>
          </w:p>
        </w:tc>
        <w:tc>
          <w:tcPr>
            <w:tcW w:w="607" w:type="dxa"/>
          </w:tcPr>
          <w:p w:rsidR="002F0E82" w:rsidRPr="00CC5993" w:rsidRDefault="002F0E82" w:rsidP="00DD5E20">
            <w:pPr>
              <w:pStyle w:val="xl24"/>
              <w:spacing w:before="0" w:after="0"/>
              <w:jc w:val="right"/>
            </w:pPr>
            <w:r>
              <w:t>0</w:t>
            </w:r>
          </w:p>
        </w:tc>
        <w:tc>
          <w:tcPr>
            <w:tcW w:w="672" w:type="dxa"/>
          </w:tcPr>
          <w:p w:rsidR="002F0E82" w:rsidRPr="00CC5993" w:rsidRDefault="002F0E82" w:rsidP="00DD5E20">
            <w:pPr>
              <w:pStyle w:val="xl24"/>
              <w:spacing w:before="0" w:after="0"/>
              <w:jc w:val="right"/>
            </w:pPr>
            <w:r>
              <w:t>0</w:t>
            </w:r>
          </w:p>
        </w:tc>
        <w:tc>
          <w:tcPr>
            <w:tcW w:w="1090" w:type="dxa"/>
          </w:tcPr>
          <w:p w:rsidR="002F0E82" w:rsidRPr="00CC5993" w:rsidRDefault="002F0E82" w:rsidP="00DD5E20">
            <w:pPr>
              <w:pStyle w:val="xl24"/>
              <w:spacing w:before="0" w:after="0"/>
              <w:jc w:val="right"/>
            </w:pPr>
            <w:r>
              <w:t>0</w:t>
            </w:r>
          </w:p>
        </w:tc>
      </w:tr>
    </w:tbl>
    <w:p w:rsidR="002F0E82" w:rsidRDefault="002F0E82" w:rsidP="002F0E82">
      <w:pPr>
        <w:pStyle w:val="xl24"/>
        <w:tabs>
          <w:tab w:val="left" w:pos="3240"/>
        </w:tabs>
        <w:spacing w:before="0" w:beforeAutospacing="0" w:after="0" w:afterAutospacing="0"/>
        <w:outlineLvl w:val="0"/>
        <w:rPr>
          <w:u w:val="single"/>
        </w:rPr>
      </w:pPr>
    </w:p>
    <w:p w:rsidR="002F0E82" w:rsidRPr="0048501E" w:rsidRDefault="002F0E82" w:rsidP="002F0E82">
      <w:pPr>
        <w:pStyle w:val="BodyText"/>
        <w:rPr>
          <w:u w:val="single"/>
        </w:rPr>
      </w:pPr>
      <w:r w:rsidRPr="0048501E">
        <w:rPr>
          <w:u w:val="single"/>
        </w:rPr>
        <w:t>Personnel Increase Cost Summary</w:t>
      </w:r>
    </w:p>
    <w:p w:rsidR="002F0E82" w:rsidRPr="0035143D" w:rsidRDefault="002F0E82" w:rsidP="002F0E82">
      <w:pPr>
        <w:pStyle w:val="BodyText"/>
        <w:rPr>
          <w:highlight w:val="yellow"/>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0"/>
        <w:gridCol w:w="1497"/>
        <w:gridCol w:w="1313"/>
        <w:gridCol w:w="1286"/>
        <w:gridCol w:w="1992"/>
        <w:gridCol w:w="1908"/>
      </w:tblGrid>
      <w:tr w:rsidR="00B573BC" w:rsidRPr="0035143D" w:rsidTr="00A21F80">
        <w:tc>
          <w:tcPr>
            <w:tcW w:w="1580" w:type="dxa"/>
            <w:shd w:val="clear" w:color="auto" w:fill="E0E0E0"/>
            <w:vAlign w:val="center"/>
          </w:tcPr>
          <w:p w:rsidR="00B573BC" w:rsidRPr="0035143D" w:rsidRDefault="00B573BC" w:rsidP="00DD5E20">
            <w:pPr>
              <w:jc w:val="center"/>
              <w:rPr>
                <w:sz w:val="20"/>
                <w:highlight w:val="yellow"/>
              </w:rPr>
            </w:pPr>
            <w:r w:rsidRPr="00147C21">
              <w:rPr>
                <w:sz w:val="20"/>
              </w:rPr>
              <w:t>Type of Position</w:t>
            </w:r>
          </w:p>
        </w:tc>
        <w:tc>
          <w:tcPr>
            <w:tcW w:w="1497" w:type="dxa"/>
            <w:shd w:val="clear" w:color="auto" w:fill="E0E0E0"/>
            <w:vAlign w:val="center"/>
          </w:tcPr>
          <w:p w:rsidR="00B573BC" w:rsidRPr="00147C21" w:rsidRDefault="00B573BC" w:rsidP="00DD5E20">
            <w:pPr>
              <w:jc w:val="center"/>
              <w:rPr>
                <w:sz w:val="20"/>
              </w:rPr>
            </w:pPr>
            <w:r w:rsidRPr="00147C21">
              <w:rPr>
                <w:sz w:val="20"/>
              </w:rPr>
              <w:t>Modular Cost</w:t>
            </w:r>
          </w:p>
          <w:p w:rsidR="00B573BC" w:rsidRPr="0035143D" w:rsidRDefault="00B573BC" w:rsidP="00DD5E20">
            <w:pPr>
              <w:jc w:val="center"/>
              <w:rPr>
                <w:sz w:val="20"/>
                <w:highlight w:val="yellow"/>
              </w:rPr>
            </w:pPr>
            <w:r w:rsidRPr="00147C21">
              <w:rPr>
                <w:sz w:val="20"/>
              </w:rPr>
              <w:t>per Position ($000)</w:t>
            </w:r>
          </w:p>
        </w:tc>
        <w:tc>
          <w:tcPr>
            <w:tcW w:w="1313" w:type="dxa"/>
            <w:shd w:val="clear" w:color="auto" w:fill="E0E0E0"/>
            <w:vAlign w:val="center"/>
          </w:tcPr>
          <w:p w:rsidR="00B573BC" w:rsidRPr="00147C21" w:rsidRDefault="00B573BC" w:rsidP="00DD5E20">
            <w:pPr>
              <w:jc w:val="center"/>
              <w:rPr>
                <w:sz w:val="20"/>
              </w:rPr>
            </w:pPr>
            <w:r w:rsidRPr="00147C21">
              <w:rPr>
                <w:sz w:val="20"/>
              </w:rPr>
              <w:t>Number of</w:t>
            </w:r>
          </w:p>
          <w:p w:rsidR="00B573BC" w:rsidRPr="00147C21" w:rsidRDefault="00B573BC" w:rsidP="00DD5E20">
            <w:pPr>
              <w:jc w:val="center"/>
              <w:rPr>
                <w:sz w:val="20"/>
              </w:rPr>
            </w:pPr>
            <w:r w:rsidRPr="00147C21">
              <w:rPr>
                <w:sz w:val="20"/>
              </w:rPr>
              <w:t>Positions</w:t>
            </w:r>
          </w:p>
          <w:p w:rsidR="00B573BC" w:rsidRPr="0035143D" w:rsidRDefault="00B573BC" w:rsidP="00DD5E20">
            <w:pPr>
              <w:jc w:val="center"/>
              <w:rPr>
                <w:sz w:val="20"/>
                <w:highlight w:val="yellow"/>
              </w:rPr>
            </w:pPr>
            <w:r w:rsidRPr="00147C21">
              <w:rPr>
                <w:sz w:val="20"/>
              </w:rPr>
              <w:t>Requested</w:t>
            </w:r>
          </w:p>
        </w:tc>
        <w:tc>
          <w:tcPr>
            <w:tcW w:w="1286" w:type="dxa"/>
            <w:shd w:val="clear" w:color="auto" w:fill="E0E0E0"/>
            <w:vAlign w:val="center"/>
          </w:tcPr>
          <w:p w:rsidR="00B573BC" w:rsidRPr="00147C21" w:rsidRDefault="00B573BC" w:rsidP="00DD5E20">
            <w:pPr>
              <w:jc w:val="center"/>
              <w:rPr>
                <w:sz w:val="20"/>
              </w:rPr>
            </w:pPr>
            <w:r w:rsidRPr="00147C21">
              <w:rPr>
                <w:sz w:val="20"/>
              </w:rPr>
              <w:t>FY 201</w:t>
            </w:r>
            <w:r>
              <w:rPr>
                <w:sz w:val="20"/>
              </w:rPr>
              <w:t>2</w:t>
            </w:r>
          </w:p>
          <w:p w:rsidR="00B573BC" w:rsidRPr="0035143D" w:rsidRDefault="00B573BC" w:rsidP="00DD5E20">
            <w:pPr>
              <w:jc w:val="center"/>
              <w:rPr>
                <w:sz w:val="20"/>
                <w:highlight w:val="yellow"/>
              </w:rPr>
            </w:pPr>
            <w:r w:rsidRPr="00147C21">
              <w:rPr>
                <w:sz w:val="20"/>
              </w:rPr>
              <w:t>Request ($000)</w:t>
            </w:r>
          </w:p>
        </w:tc>
        <w:tc>
          <w:tcPr>
            <w:tcW w:w="1992" w:type="dxa"/>
            <w:shd w:val="clear" w:color="auto" w:fill="E0E0E0"/>
            <w:vAlign w:val="center"/>
          </w:tcPr>
          <w:p w:rsidR="00B573BC" w:rsidRPr="00147C21" w:rsidRDefault="00B573BC" w:rsidP="00DD5E20">
            <w:pPr>
              <w:jc w:val="center"/>
              <w:rPr>
                <w:sz w:val="20"/>
              </w:rPr>
            </w:pPr>
            <w:r w:rsidRPr="00147C21">
              <w:rPr>
                <w:sz w:val="20"/>
              </w:rPr>
              <w:t>FY 201</w:t>
            </w:r>
            <w:r>
              <w:rPr>
                <w:sz w:val="20"/>
              </w:rPr>
              <w:t>3</w:t>
            </w:r>
            <w:r w:rsidRPr="00147C21">
              <w:rPr>
                <w:sz w:val="20"/>
              </w:rPr>
              <w:t xml:space="preserve"> Net Annualization</w:t>
            </w:r>
          </w:p>
          <w:p w:rsidR="00B573BC" w:rsidRPr="0035143D" w:rsidRDefault="00B573BC" w:rsidP="00DD5E20">
            <w:pPr>
              <w:jc w:val="center"/>
              <w:rPr>
                <w:sz w:val="20"/>
                <w:highlight w:val="yellow"/>
              </w:rPr>
            </w:pPr>
            <w:r w:rsidRPr="00147C21">
              <w:rPr>
                <w:sz w:val="20"/>
              </w:rPr>
              <w:t>(change from 201</w:t>
            </w:r>
            <w:r>
              <w:rPr>
                <w:sz w:val="20"/>
              </w:rPr>
              <w:t>2</w:t>
            </w:r>
            <w:r w:rsidRPr="00147C21">
              <w:rPr>
                <w:sz w:val="20"/>
              </w:rPr>
              <w:t>)</w:t>
            </w:r>
            <w:r>
              <w:rPr>
                <w:sz w:val="20"/>
              </w:rPr>
              <w:t xml:space="preserve"> </w:t>
            </w:r>
            <w:r w:rsidRPr="00147C21">
              <w:rPr>
                <w:sz w:val="20"/>
              </w:rPr>
              <w:t>($000)</w:t>
            </w:r>
          </w:p>
        </w:tc>
        <w:tc>
          <w:tcPr>
            <w:tcW w:w="1908" w:type="dxa"/>
            <w:shd w:val="clear" w:color="auto" w:fill="E0E0E0"/>
          </w:tcPr>
          <w:p w:rsidR="00B573BC" w:rsidRPr="00147C21" w:rsidRDefault="00B573BC" w:rsidP="00B573BC">
            <w:pPr>
              <w:jc w:val="center"/>
              <w:rPr>
                <w:sz w:val="20"/>
              </w:rPr>
            </w:pPr>
            <w:r w:rsidRPr="00147C21">
              <w:rPr>
                <w:sz w:val="20"/>
              </w:rPr>
              <w:t>FY 201</w:t>
            </w:r>
            <w:r>
              <w:rPr>
                <w:sz w:val="20"/>
              </w:rPr>
              <w:t>4</w:t>
            </w:r>
            <w:r w:rsidRPr="00147C21">
              <w:rPr>
                <w:sz w:val="20"/>
              </w:rPr>
              <w:t xml:space="preserve"> Net Annualization</w:t>
            </w:r>
          </w:p>
          <w:p w:rsidR="00B573BC" w:rsidRPr="00147C21" w:rsidRDefault="00B573BC" w:rsidP="00B573BC">
            <w:pPr>
              <w:jc w:val="center"/>
              <w:rPr>
                <w:sz w:val="20"/>
              </w:rPr>
            </w:pPr>
            <w:r w:rsidRPr="00147C21">
              <w:rPr>
                <w:sz w:val="20"/>
              </w:rPr>
              <w:t>(change from 201</w:t>
            </w:r>
            <w:r>
              <w:rPr>
                <w:sz w:val="20"/>
              </w:rPr>
              <w:t>3</w:t>
            </w:r>
            <w:r w:rsidRPr="00147C21">
              <w:rPr>
                <w:sz w:val="20"/>
              </w:rPr>
              <w:t>)</w:t>
            </w:r>
            <w:r>
              <w:rPr>
                <w:sz w:val="20"/>
              </w:rPr>
              <w:t xml:space="preserve"> </w:t>
            </w:r>
            <w:r w:rsidRPr="00147C21">
              <w:rPr>
                <w:sz w:val="20"/>
              </w:rPr>
              <w:t>($000)</w:t>
            </w:r>
          </w:p>
        </w:tc>
      </w:tr>
      <w:tr w:rsidR="00B573BC" w:rsidRPr="0035143D" w:rsidTr="00A21F80">
        <w:tc>
          <w:tcPr>
            <w:tcW w:w="1580" w:type="dxa"/>
            <w:vAlign w:val="center"/>
          </w:tcPr>
          <w:p w:rsidR="00B573BC" w:rsidRPr="00E16F1D" w:rsidRDefault="00B573BC" w:rsidP="00DD5E20">
            <w:pPr>
              <w:rPr>
                <w:b/>
                <w:bCs/>
                <w:i/>
                <w:iCs/>
              </w:rPr>
            </w:pPr>
          </w:p>
        </w:tc>
        <w:tc>
          <w:tcPr>
            <w:tcW w:w="1497" w:type="dxa"/>
            <w:vAlign w:val="bottom"/>
          </w:tcPr>
          <w:p w:rsidR="00B573BC" w:rsidRPr="00FA7857" w:rsidRDefault="00B573BC" w:rsidP="00DD5E20">
            <w:pPr>
              <w:pStyle w:val="xl19"/>
              <w:jc w:val="right"/>
            </w:pPr>
          </w:p>
        </w:tc>
        <w:tc>
          <w:tcPr>
            <w:tcW w:w="1313" w:type="dxa"/>
            <w:vAlign w:val="bottom"/>
          </w:tcPr>
          <w:p w:rsidR="00B573BC" w:rsidRPr="00FA7857" w:rsidRDefault="00B573BC" w:rsidP="00DD5E20">
            <w:pPr>
              <w:jc w:val="right"/>
            </w:pPr>
          </w:p>
        </w:tc>
        <w:tc>
          <w:tcPr>
            <w:tcW w:w="1286" w:type="dxa"/>
            <w:vAlign w:val="bottom"/>
          </w:tcPr>
          <w:p w:rsidR="00B573BC" w:rsidRPr="00FA7857" w:rsidRDefault="00B573BC" w:rsidP="00DD5E20">
            <w:pPr>
              <w:jc w:val="right"/>
            </w:pPr>
          </w:p>
        </w:tc>
        <w:tc>
          <w:tcPr>
            <w:tcW w:w="1992" w:type="dxa"/>
            <w:vAlign w:val="bottom"/>
          </w:tcPr>
          <w:p w:rsidR="00B573BC" w:rsidRPr="00FA7857" w:rsidRDefault="00B573BC" w:rsidP="00DD5E20">
            <w:pPr>
              <w:jc w:val="right"/>
            </w:pPr>
          </w:p>
        </w:tc>
        <w:tc>
          <w:tcPr>
            <w:tcW w:w="1908" w:type="dxa"/>
          </w:tcPr>
          <w:p w:rsidR="00B573BC" w:rsidRPr="00FA7857" w:rsidRDefault="00B573BC" w:rsidP="00DD5E20">
            <w:pPr>
              <w:jc w:val="right"/>
            </w:pPr>
          </w:p>
        </w:tc>
      </w:tr>
      <w:tr w:rsidR="00B573BC" w:rsidRPr="0035143D" w:rsidTr="00A21F80">
        <w:tc>
          <w:tcPr>
            <w:tcW w:w="1580" w:type="dxa"/>
            <w:shd w:val="clear" w:color="auto" w:fill="EAEAEA"/>
            <w:vAlign w:val="center"/>
          </w:tcPr>
          <w:p w:rsidR="00B573BC" w:rsidRPr="00305BA6" w:rsidRDefault="00B573BC" w:rsidP="00DD5E20">
            <w:pPr>
              <w:jc w:val="right"/>
            </w:pPr>
          </w:p>
        </w:tc>
        <w:tc>
          <w:tcPr>
            <w:tcW w:w="1497" w:type="dxa"/>
            <w:shd w:val="clear" w:color="auto" w:fill="EAEAEA"/>
            <w:vAlign w:val="bottom"/>
          </w:tcPr>
          <w:p w:rsidR="00B573BC" w:rsidRPr="00305BA6" w:rsidRDefault="00B573BC" w:rsidP="00DD5E20">
            <w:pPr>
              <w:pStyle w:val="xl19"/>
              <w:jc w:val="right"/>
            </w:pPr>
          </w:p>
        </w:tc>
        <w:tc>
          <w:tcPr>
            <w:tcW w:w="1313" w:type="dxa"/>
            <w:shd w:val="clear" w:color="auto" w:fill="EAEAEA"/>
            <w:vAlign w:val="bottom"/>
          </w:tcPr>
          <w:p w:rsidR="00B573BC" w:rsidRPr="00305BA6" w:rsidRDefault="00B573BC" w:rsidP="00DD5E20">
            <w:pPr>
              <w:jc w:val="right"/>
            </w:pPr>
          </w:p>
        </w:tc>
        <w:tc>
          <w:tcPr>
            <w:tcW w:w="1286" w:type="dxa"/>
            <w:shd w:val="clear" w:color="auto" w:fill="EAEAEA"/>
            <w:vAlign w:val="bottom"/>
          </w:tcPr>
          <w:p w:rsidR="00B573BC" w:rsidRPr="00305BA6" w:rsidRDefault="00B573BC" w:rsidP="00DD5E20">
            <w:pPr>
              <w:jc w:val="right"/>
            </w:pPr>
          </w:p>
        </w:tc>
        <w:tc>
          <w:tcPr>
            <w:tcW w:w="1992" w:type="dxa"/>
            <w:shd w:val="clear" w:color="auto" w:fill="EAEAEA"/>
            <w:vAlign w:val="bottom"/>
          </w:tcPr>
          <w:p w:rsidR="00B573BC" w:rsidRPr="00305BA6" w:rsidRDefault="00B573BC" w:rsidP="00DD5E20">
            <w:pPr>
              <w:jc w:val="right"/>
            </w:pPr>
          </w:p>
        </w:tc>
        <w:tc>
          <w:tcPr>
            <w:tcW w:w="1908" w:type="dxa"/>
            <w:shd w:val="clear" w:color="auto" w:fill="EAEAEA"/>
          </w:tcPr>
          <w:p w:rsidR="00B573BC" w:rsidRPr="00305BA6" w:rsidRDefault="00B573BC" w:rsidP="00DD5E20">
            <w:pPr>
              <w:jc w:val="right"/>
            </w:pPr>
          </w:p>
        </w:tc>
      </w:tr>
      <w:tr w:rsidR="00B573BC" w:rsidRPr="0035143D" w:rsidTr="00A21F80">
        <w:tc>
          <w:tcPr>
            <w:tcW w:w="1580" w:type="dxa"/>
            <w:vAlign w:val="center"/>
          </w:tcPr>
          <w:p w:rsidR="00B573BC" w:rsidRPr="00E16F1D" w:rsidRDefault="00B573BC" w:rsidP="00DD5E20"/>
        </w:tc>
        <w:tc>
          <w:tcPr>
            <w:tcW w:w="1497" w:type="dxa"/>
            <w:vAlign w:val="bottom"/>
          </w:tcPr>
          <w:p w:rsidR="00B573BC" w:rsidRDefault="00B573BC" w:rsidP="00DD5E20">
            <w:pPr>
              <w:pStyle w:val="xl19"/>
              <w:jc w:val="right"/>
            </w:pPr>
          </w:p>
        </w:tc>
        <w:tc>
          <w:tcPr>
            <w:tcW w:w="1313" w:type="dxa"/>
            <w:vAlign w:val="bottom"/>
          </w:tcPr>
          <w:p w:rsidR="00B573BC" w:rsidRDefault="00B573BC" w:rsidP="00DD5E20">
            <w:pPr>
              <w:jc w:val="right"/>
              <w:rPr>
                <w:bCs/>
              </w:rPr>
            </w:pPr>
          </w:p>
        </w:tc>
        <w:tc>
          <w:tcPr>
            <w:tcW w:w="1286" w:type="dxa"/>
            <w:vAlign w:val="bottom"/>
          </w:tcPr>
          <w:p w:rsidR="00B573BC" w:rsidRDefault="00B573BC" w:rsidP="00DD5E20">
            <w:pPr>
              <w:jc w:val="right"/>
            </w:pPr>
          </w:p>
        </w:tc>
        <w:tc>
          <w:tcPr>
            <w:tcW w:w="1992" w:type="dxa"/>
            <w:vAlign w:val="bottom"/>
          </w:tcPr>
          <w:p w:rsidR="00B573BC" w:rsidRDefault="00B573BC" w:rsidP="00DD5E20">
            <w:pPr>
              <w:jc w:val="right"/>
            </w:pPr>
          </w:p>
        </w:tc>
        <w:tc>
          <w:tcPr>
            <w:tcW w:w="1908" w:type="dxa"/>
          </w:tcPr>
          <w:p w:rsidR="00B573BC" w:rsidRDefault="00B573BC" w:rsidP="00DD5E20">
            <w:pPr>
              <w:jc w:val="right"/>
            </w:pPr>
          </w:p>
        </w:tc>
      </w:tr>
      <w:tr w:rsidR="00B573BC" w:rsidRPr="0035143D" w:rsidTr="00A21F80">
        <w:tc>
          <w:tcPr>
            <w:tcW w:w="1580" w:type="dxa"/>
            <w:shd w:val="clear" w:color="auto" w:fill="E0E0E0"/>
            <w:vAlign w:val="center"/>
          </w:tcPr>
          <w:p w:rsidR="00B573BC" w:rsidRPr="00AE5137" w:rsidRDefault="00B573BC" w:rsidP="00DD5E20">
            <w:pPr>
              <w:jc w:val="right"/>
              <w:rPr>
                <w:b/>
              </w:rPr>
            </w:pPr>
            <w:r w:rsidRPr="00AE5137">
              <w:rPr>
                <w:b/>
                <w:sz w:val="22"/>
                <w:szCs w:val="22"/>
              </w:rPr>
              <w:t>Total Personnel</w:t>
            </w:r>
          </w:p>
        </w:tc>
        <w:tc>
          <w:tcPr>
            <w:tcW w:w="1497" w:type="dxa"/>
            <w:shd w:val="clear" w:color="auto" w:fill="E0E0E0"/>
            <w:vAlign w:val="bottom"/>
          </w:tcPr>
          <w:p w:rsidR="00B573BC" w:rsidRPr="00AE5137" w:rsidRDefault="00B573BC" w:rsidP="00DD5E20">
            <w:pPr>
              <w:pStyle w:val="xl19"/>
              <w:jc w:val="right"/>
              <w:rPr>
                <w:b/>
              </w:rPr>
            </w:pPr>
          </w:p>
        </w:tc>
        <w:tc>
          <w:tcPr>
            <w:tcW w:w="1313" w:type="dxa"/>
            <w:shd w:val="clear" w:color="auto" w:fill="E0E0E0"/>
            <w:vAlign w:val="bottom"/>
          </w:tcPr>
          <w:p w:rsidR="00B573BC" w:rsidRPr="00AE5137" w:rsidRDefault="00B573BC" w:rsidP="00DD5E20">
            <w:pPr>
              <w:jc w:val="right"/>
              <w:rPr>
                <w:b/>
              </w:rPr>
            </w:pPr>
          </w:p>
        </w:tc>
        <w:tc>
          <w:tcPr>
            <w:tcW w:w="1286" w:type="dxa"/>
            <w:shd w:val="clear" w:color="auto" w:fill="E0E0E0"/>
            <w:vAlign w:val="bottom"/>
          </w:tcPr>
          <w:p w:rsidR="00B573BC" w:rsidRPr="00AE5137" w:rsidRDefault="00B573BC" w:rsidP="00DD5E20">
            <w:pPr>
              <w:jc w:val="right"/>
              <w:rPr>
                <w:b/>
              </w:rPr>
            </w:pPr>
          </w:p>
        </w:tc>
        <w:tc>
          <w:tcPr>
            <w:tcW w:w="1992" w:type="dxa"/>
            <w:shd w:val="clear" w:color="auto" w:fill="E0E0E0"/>
            <w:vAlign w:val="bottom"/>
          </w:tcPr>
          <w:p w:rsidR="00B573BC" w:rsidRPr="00AE5137" w:rsidRDefault="00B573BC" w:rsidP="00DD5E20">
            <w:pPr>
              <w:jc w:val="right"/>
              <w:rPr>
                <w:b/>
              </w:rPr>
            </w:pPr>
          </w:p>
        </w:tc>
        <w:tc>
          <w:tcPr>
            <w:tcW w:w="1908" w:type="dxa"/>
            <w:shd w:val="clear" w:color="auto" w:fill="E0E0E0"/>
          </w:tcPr>
          <w:p w:rsidR="00B573BC" w:rsidRPr="00AE5137" w:rsidRDefault="00B573BC" w:rsidP="00DD5E20">
            <w:pPr>
              <w:jc w:val="right"/>
              <w:rPr>
                <w:b/>
              </w:rPr>
            </w:pPr>
          </w:p>
        </w:tc>
      </w:tr>
    </w:tbl>
    <w:p w:rsidR="002F0E82" w:rsidRPr="0035143D" w:rsidRDefault="002F0E82" w:rsidP="002F0E82">
      <w:pPr>
        <w:rPr>
          <w:highlight w:val="yellow"/>
        </w:rPr>
      </w:pPr>
    </w:p>
    <w:p w:rsidR="002F0E82" w:rsidRPr="00F65EDB" w:rsidRDefault="002F0E82" w:rsidP="002F0E82">
      <w:pPr>
        <w:outlineLvl w:val="0"/>
        <w:rPr>
          <w:u w:val="single"/>
        </w:rPr>
      </w:pPr>
      <w:r w:rsidRPr="00F65EDB">
        <w:rPr>
          <w:u w:val="single"/>
        </w:rPr>
        <w:t xml:space="preserve">Non-Personnel Increase Cost Summary </w:t>
      </w:r>
    </w:p>
    <w:p w:rsidR="002F0E82" w:rsidRPr="00F65EDB" w:rsidRDefault="002F0E82" w:rsidP="002F0E82"/>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4"/>
        <w:gridCol w:w="1118"/>
        <w:gridCol w:w="981"/>
        <w:gridCol w:w="1368"/>
        <w:gridCol w:w="2059"/>
        <w:gridCol w:w="1918"/>
      </w:tblGrid>
      <w:tr w:rsidR="00A21F80" w:rsidRPr="00F65EDB" w:rsidTr="00A21F80">
        <w:tc>
          <w:tcPr>
            <w:tcW w:w="2114" w:type="dxa"/>
            <w:shd w:val="clear" w:color="auto" w:fill="E6E6E6"/>
            <w:vAlign w:val="center"/>
          </w:tcPr>
          <w:p w:rsidR="00A21F80" w:rsidRPr="00A21F80" w:rsidRDefault="00A21F80" w:rsidP="00506D89">
            <w:pPr>
              <w:ind w:left="162"/>
              <w:jc w:val="center"/>
              <w:rPr>
                <w:sz w:val="20"/>
                <w:szCs w:val="20"/>
              </w:rPr>
            </w:pPr>
            <w:r w:rsidRPr="00A21F80">
              <w:rPr>
                <w:sz w:val="20"/>
                <w:szCs w:val="20"/>
              </w:rPr>
              <w:t>Non-Personnel Item</w:t>
            </w:r>
          </w:p>
        </w:tc>
        <w:tc>
          <w:tcPr>
            <w:tcW w:w="1118" w:type="dxa"/>
            <w:vAlign w:val="center"/>
          </w:tcPr>
          <w:p w:rsidR="00A21F80" w:rsidRPr="00A21F80" w:rsidRDefault="00A21F80" w:rsidP="00DD5E20">
            <w:pPr>
              <w:jc w:val="center"/>
              <w:rPr>
                <w:sz w:val="20"/>
                <w:szCs w:val="20"/>
              </w:rPr>
            </w:pPr>
            <w:r w:rsidRPr="00A21F80">
              <w:rPr>
                <w:sz w:val="20"/>
                <w:szCs w:val="20"/>
              </w:rPr>
              <w:t>Unit Cost</w:t>
            </w:r>
          </w:p>
          <w:p w:rsidR="00A21F80" w:rsidRPr="00A21F80" w:rsidRDefault="00A21F80" w:rsidP="00DD5E20">
            <w:pPr>
              <w:jc w:val="center"/>
              <w:rPr>
                <w:sz w:val="20"/>
                <w:szCs w:val="20"/>
              </w:rPr>
            </w:pPr>
            <w:r w:rsidRPr="00A21F80">
              <w:rPr>
                <w:sz w:val="20"/>
                <w:szCs w:val="20"/>
              </w:rPr>
              <w:t>($000)</w:t>
            </w:r>
          </w:p>
        </w:tc>
        <w:tc>
          <w:tcPr>
            <w:tcW w:w="981" w:type="dxa"/>
            <w:vAlign w:val="center"/>
          </w:tcPr>
          <w:p w:rsidR="00A21F80" w:rsidRPr="00A21F80" w:rsidRDefault="00A21F80" w:rsidP="00DD5E20">
            <w:pPr>
              <w:jc w:val="center"/>
              <w:rPr>
                <w:sz w:val="20"/>
                <w:szCs w:val="20"/>
              </w:rPr>
            </w:pPr>
            <w:r w:rsidRPr="00A21F80">
              <w:rPr>
                <w:sz w:val="20"/>
                <w:szCs w:val="20"/>
              </w:rPr>
              <w:t>Quantity</w:t>
            </w:r>
          </w:p>
        </w:tc>
        <w:tc>
          <w:tcPr>
            <w:tcW w:w="1368" w:type="dxa"/>
            <w:vAlign w:val="center"/>
          </w:tcPr>
          <w:p w:rsidR="00A21F80" w:rsidRPr="00A21F80" w:rsidRDefault="00A21F80" w:rsidP="00DD5E20">
            <w:pPr>
              <w:jc w:val="center"/>
              <w:rPr>
                <w:sz w:val="20"/>
                <w:szCs w:val="20"/>
              </w:rPr>
            </w:pPr>
            <w:r w:rsidRPr="00A21F80">
              <w:rPr>
                <w:sz w:val="20"/>
                <w:szCs w:val="20"/>
              </w:rPr>
              <w:t>FY 2012 Request</w:t>
            </w:r>
            <w:r>
              <w:rPr>
                <w:sz w:val="20"/>
                <w:szCs w:val="20"/>
              </w:rPr>
              <w:t xml:space="preserve"> </w:t>
            </w:r>
            <w:r w:rsidRPr="00A21F80">
              <w:rPr>
                <w:sz w:val="20"/>
                <w:szCs w:val="20"/>
              </w:rPr>
              <w:t>($000)</w:t>
            </w:r>
          </w:p>
        </w:tc>
        <w:tc>
          <w:tcPr>
            <w:tcW w:w="2059" w:type="dxa"/>
            <w:vAlign w:val="center"/>
          </w:tcPr>
          <w:p w:rsidR="00A21F80" w:rsidRPr="00A21F80" w:rsidRDefault="00A21F80" w:rsidP="00DD5E20">
            <w:pPr>
              <w:jc w:val="center"/>
              <w:rPr>
                <w:sz w:val="20"/>
                <w:szCs w:val="20"/>
              </w:rPr>
            </w:pPr>
            <w:r w:rsidRPr="00A21F80">
              <w:rPr>
                <w:sz w:val="20"/>
                <w:szCs w:val="20"/>
              </w:rPr>
              <w:t>FY 2013 Net</w:t>
            </w:r>
          </w:p>
          <w:p w:rsidR="00A21F80" w:rsidRPr="00A21F80" w:rsidRDefault="00A21F80" w:rsidP="00DD5E20">
            <w:pPr>
              <w:jc w:val="center"/>
              <w:rPr>
                <w:sz w:val="20"/>
                <w:szCs w:val="20"/>
              </w:rPr>
            </w:pPr>
            <w:r w:rsidRPr="00A21F80">
              <w:rPr>
                <w:sz w:val="20"/>
                <w:szCs w:val="20"/>
              </w:rPr>
              <w:t>Annualization</w:t>
            </w:r>
          </w:p>
          <w:p w:rsidR="00A21F80" w:rsidRPr="00A21F80" w:rsidRDefault="00A21F80" w:rsidP="00A21F80">
            <w:pPr>
              <w:jc w:val="center"/>
              <w:rPr>
                <w:sz w:val="20"/>
                <w:szCs w:val="20"/>
              </w:rPr>
            </w:pPr>
            <w:r w:rsidRPr="00A21F80">
              <w:rPr>
                <w:sz w:val="20"/>
                <w:szCs w:val="20"/>
              </w:rPr>
              <w:t>(Change from 201</w:t>
            </w:r>
            <w:r>
              <w:rPr>
                <w:sz w:val="20"/>
                <w:szCs w:val="20"/>
              </w:rPr>
              <w:t>2</w:t>
            </w:r>
            <w:r w:rsidRPr="00A21F80">
              <w:rPr>
                <w:sz w:val="20"/>
                <w:szCs w:val="20"/>
              </w:rPr>
              <w:t>)</w:t>
            </w:r>
            <w:r>
              <w:rPr>
                <w:sz w:val="20"/>
                <w:szCs w:val="20"/>
              </w:rPr>
              <w:t xml:space="preserve"> </w:t>
            </w:r>
            <w:r w:rsidRPr="00A21F80">
              <w:rPr>
                <w:sz w:val="20"/>
                <w:szCs w:val="20"/>
              </w:rPr>
              <w:t>($000)</w:t>
            </w:r>
          </w:p>
        </w:tc>
        <w:tc>
          <w:tcPr>
            <w:tcW w:w="1918" w:type="dxa"/>
          </w:tcPr>
          <w:p w:rsidR="00A21F80" w:rsidRPr="00A21F80" w:rsidRDefault="00A21F80" w:rsidP="00A21F80">
            <w:pPr>
              <w:jc w:val="center"/>
              <w:rPr>
                <w:sz w:val="20"/>
                <w:szCs w:val="20"/>
              </w:rPr>
            </w:pPr>
            <w:r w:rsidRPr="00A21F80">
              <w:rPr>
                <w:sz w:val="20"/>
                <w:szCs w:val="20"/>
              </w:rPr>
              <w:t>FY 201</w:t>
            </w:r>
            <w:r>
              <w:rPr>
                <w:sz w:val="20"/>
                <w:szCs w:val="20"/>
              </w:rPr>
              <w:t>4</w:t>
            </w:r>
            <w:r w:rsidRPr="00A21F80">
              <w:rPr>
                <w:sz w:val="20"/>
                <w:szCs w:val="20"/>
              </w:rPr>
              <w:t xml:space="preserve"> Net</w:t>
            </w:r>
          </w:p>
          <w:p w:rsidR="00A21F80" w:rsidRPr="00A21F80" w:rsidRDefault="00A21F80" w:rsidP="00A21F80">
            <w:pPr>
              <w:jc w:val="center"/>
              <w:rPr>
                <w:sz w:val="20"/>
                <w:szCs w:val="20"/>
              </w:rPr>
            </w:pPr>
            <w:r w:rsidRPr="00A21F80">
              <w:rPr>
                <w:sz w:val="20"/>
                <w:szCs w:val="20"/>
              </w:rPr>
              <w:t>Annualization</w:t>
            </w:r>
          </w:p>
          <w:p w:rsidR="00A21F80" w:rsidRPr="00A21F80" w:rsidRDefault="00A21F80" w:rsidP="00A21F80">
            <w:pPr>
              <w:jc w:val="center"/>
              <w:rPr>
                <w:sz w:val="20"/>
                <w:szCs w:val="20"/>
              </w:rPr>
            </w:pPr>
            <w:r w:rsidRPr="00A21F80">
              <w:rPr>
                <w:sz w:val="20"/>
                <w:szCs w:val="20"/>
              </w:rPr>
              <w:t>(Change from 2013)</w:t>
            </w:r>
            <w:r>
              <w:rPr>
                <w:sz w:val="20"/>
                <w:szCs w:val="20"/>
              </w:rPr>
              <w:t xml:space="preserve"> </w:t>
            </w:r>
            <w:r w:rsidRPr="00A21F80">
              <w:rPr>
                <w:sz w:val="20"/>
                <w:szCs w:val="20"/>
              </w:rPr>
              <w:t>($000)</w:t>
            </w:r>
          </w:p>
        </w:tc>
      </w:tr>
      <w:tr w:rsidR="00A21F80" w:rsidRPr="00927AC8" w:rsidTr="00E370B4">
        <w:trPr>
          <w:trHeight w:val="305"/>
        </w:trPr>
        <w:tc>
          <w:tcPr>
            <w:tcW w:w="2114" w:type="dxa"/>
            <w:vAlign w:val="center"/>
          </w:tcPr>
          <w:p w:rsidR="00A21F80" w:rsidRPr="00A21F80" w:rsidRDefault="00A21F80" w:rsidP="00DD5E20">
            <w:pPr>
              <w:autoSpaceDE w:val="0"/>
              <w:autoSpaceDN w:val="0"/>
              <w:adjustRightInd w:val="0"/>
              <w:rPr>
                <w:sz w:val="20"/>
                <w:szCs w:val="20"/>
              </w:rPr>
            </w:pPr>
            <w:r w:rsidRPr="00A21F80">
              <w:rPr>
                <w:sz w:val="20"/>
                <w:szCs w:val="20"/>
              </w:rPr>
              <w:t>Postage</w:t>
            </w:r>
          </w:p>
        </w:tc>
        <w:tc>
          <w:tcPr>
            <w:tcW w:w="1118" w:type="dxa"/>
            <w:vAlign w:val="bottom"/>
          </w:tcPr>
          <w:p w:rsidR="00A21F80" w:rsidRPr="00A21F80" w:rsidRDefault="00A21F80" w:rsidP="00DD5E20">
            <w:pPr>
              <w:pStyle w:val="xl19"/>
              <w:jc w:val="right"/>
              <w:rPr>
                <w:sz w:val="20"/>
                <w:szCs w:val="20"/>
              </w:rPr>
            </w:pPr>
          </w:p>
        </w:tc>
        <w:tc>
          <w:tcPr>
            <w:tcW w:w="981" w:type="dxa"/>
            <w:vAlign w:val="bottom"/>
          </w:tcPr>
          <w:p w:rsidR="00A21F80" w:rsidRPr="00A21F80" w:rsidRDefault="00A21F80" w:rsidP="00DD5E20">
            <w:pPr>
              <w:jc w:val="right"/>
              <w:rPr>
                <w:sz w:val="20"/>
                <w:szCs w:val="20"/>
              </w:rPr>
            </w:pPr>
          </w:p>
        </w:tc>
        <w:tc>
          <w:tcPr>
            <w:tcW w:w="1368" w:type="dxa"/>
            <w:vAlign w:val="bottom"/>
          </w:tcPr>
          <w:p w:rsidR="00A21F80" w:rsidRPr="00A21F80" w:rsidRDefault="00A21F80" w:rsidP="00DD5E20">
            <w:pPr>
              <w:jc w:val="right"/>
              <w:rPr>
                <w:sz w:val="20"/>
                <w:szCs w:val="20"/>
              </w:rPr>
            </w:pPr>
            <w:r w:rsidRPr="00A21F80">
              <w:rPr>
                <w:sz w:val="20"/>
                <w:szCs w:val="20"/>
              </w:rPr>
              <w:t>(8)</w:t>
            </w:r>
          </w:p>
        </w:tc>
        <w:tc>
          <w:tcPr>
            <w:tcW w:w="2059" w:type="dxa"/>
            <w:vAlign w:val="bottom"/>
          </w:tcPr>
          <w:p w:rsidR="00A21F80" w:rsidRPr="00A21F80" w:rsidRDefault="00A21F80" w:rsidP="00DD5E20">
            <w:pPr>
              <w:jc w:val="right"/>
              <w:rPr>
                <w:sz w:val="20"/>
                <w:szCs w:val="20"/>
              </w:rPr>
            </w:pPr>
            <w:r w:rsidRPr="00A21F80">
              <w:rPr>
                <w:sz w:val="20"/>
                <w:szCs w:val="20"/>
              </w:rPr>
              <w:t>0</w:t>
            </w:r>
          </w:p>
        </w:tc>
        <w:tc>
          <w:tcPr>
            <w:tcW w:w="1918" w:type="dxa"/>
            <w:vAlign w:val="center"/>
          </w:tcPr>
          <w:p w:rsidR="00A21F80" w:rsidRPr="00A21F80" w:rsidRDefault="00E370B4" w:rsidP="00E370B4">
            <w:pPr>
              <w:jc w:val="right"/>
              <w:rPr>
                <w:sz w:val="20"/>
                <w:szCs w:val="20"/>
              </w:rPr>
            </w:pPr>
            <w:r>
              <w:rPr>
                <w:sz w:val="20"/>
                <w:szCs w:val="20"/>
              </w:rPr>
              <w:t>0</w:t>
            </w:r>
          </w:p>
        </w:tc>
      </w:tr>
      <w:tr w:rsidR="00A21F80" w:rsidRPr="00927AC8" w:rsidTr="00E370B4">
        <w:trPr>
          <w:trHeight w:val="305"/>
        </w:trPr>
        <w:tc>
          <w:tcPr>
            <w:tcW w:w="2114" w:type="dxa"/>
            <w:vAlign w:val="center"/>
          </w:tcPr>
          <w:p w:rsidR="00A21F80" w:rsidRPr="00A21F80" w:rsidRDefault="00A21F80" w:rsidP="00DD5E20">
            <w:pPr>
              <w:autoSpaceDE w:val="0"/>
              <w:autoSpaceDN w:val="0"/>
              <w:adjustRightInd w:val="0"/>
              <w:rPr>
                <w:sz w:val="20"/>
                <w:szCs w:val="20"/>
              </w:rPr>
            </w:pPr>
            <w:r w:rsidRPr="00A21F80">
              <w:rPr>
                <w:sz w:val="20"/>
                <w:szCs w:val="20"/>
              </w:rPr>
              <w:t>Utilities</w:t>
            </w:r>
          </w:p>
        </w:tc>
        <w:tc>
          <w:tcPr>
            <w:tcW w:w="1118" w:type="dxa"/>
            <w:vAlign w:val="bottom"/>
          </w:tcPr>
          <w:p w:rsidR="00A21F80" w:rsidRPr="00A21F80" w:rsidRDefault="00A21F80" w:rsidP="00DD5E20">
            <w:pPr>
              <w:pStyle w:val="xl19"/>
              <w:jc w:val="right"/>
              <w:rPr>
                <w:sz w:val="20"/>
                <w:szCs w:val="20"/>
              </w:rPr>
            </w:pPr>
          </w:p>
        </w:tc>
        <w:tc>
          <w:tcPr>
            <w:tcW w:w="981" w:type="dxa"/>
            <w:vAlign w:val="bottom"/>
          </w:tcPr>
          <w:p w:rsidR="00A21F80" w:rsidRPr="00A21F80" w:rsidRDefault="00A21F80" w:rsidP="00DD5E20">
            <w:pPr>
              <w:jc w:val="right"/>
              <w:rPr>
                <w:sz w:val="20"/>
                <w:szCs w:val="20"/>
              </w:rPr>
            </w:pPr>
          </w:p>
        </w:tc>
        <w:tc>
          <w:tcPr>
            <w:tcW w:w="1368" w:type="dxa"/>
            <w:vAlign w:val="bottom"/>
          </w:tcPr>
          <w:p w:rsidR="00A21F80" w:rsidRPr="00A21F80" w:rsidRDefault="00A21F80" w:rsidP="00DD5E20">
            <w:pPr>
              <w:jc w:val="right"/>
              <w:rPr>
                <w:sz w:val="20"/>
                <w:szCs w:val="20"/>
              </w:rPr>
            </w:pPr>
            <w:r w:rsidRPr="00A21F80">
              <w:rPr>
                <w:sz w:val="20"/>
                <w:szCs w:val="20"/>
              </w:rPr>
              <w:t>(99)</w:t>
            </w:r>
          </w:p>
        </w:tc>
        <w:tc>
          <w:tcPr>
            <w:tcW w:w="2059" w:type="dxa"/>
            <w:vAlign w:val="bottom"/>
          </w:tcPr>
          <w:p w:rsidR="00A21F80" w:rsidRPr="00A21F80" w:rsidRDefault="00E370B4" w:rsidP="00DD5E20">
            <w:pPr>
              <w:jc w:val="right"/>
              <w:rPr>
                <w:sz w:val="20"/>
                <w:szCs w:val="20"/>
              </w:rPr>
            </w:pPr>
            <w:r>
              <w:rPr>
                <w:sz w:val="20"/>
                <w:szCs w:val="20"/>
              </w:rPr>
              <w:t>0</w:t>
            </w:r>
          </w:p>
        </w:tc>
        <w:tc>
          <w:tcPr>
            <w:tcW w:w="1918" w:type="dxa"/>
            <w:vAlign w:val="center"/>
          </w:tcPr>
          <w:p w:rsidR="00A21F80" w:rsidRPr="00A21F80" w:rsidRDefault="00E370B4" w:rsidP="00E370B4">
            <w:pPr>
              <w:jc w:val="right"/>
              <w:rPr>
                <w:sz w:val="20"/>
                <w:szCs w:val="20"/>
              </w:rPr>
            </w:pPr>
            <w:r>
              <w:rPr>
                <w:sz w:val="20"/>
                <w:szCs w:val="20"/>
              </w:rPr>
              <w:t>0</w:t>
            </w:r>
          </w:p>
        </w:tc>
      </w:tr>
      <w:tr w:rsidR="00A21F80" w:rsidRPr="00927AC8" w:rsidTr="00E370B4">
        <w:trPr>
          <w:trHeight w:val="305"/>
        </w:trPr>
        <w:tc>
          <w:tcPr>
            <w:tcW w:w="2114" w:type="dxa"/>
            <w:vAlign w:val="center"/>
          </w:tcPr>
          <w:p w:rsidR="00A21F80" w:rsidRPr="00A21F80" w:rsidRDefault="00A21F80" w:rsidP="00DD5E20">
            <w:pPr>
              <w:autoSpaceDE w:val="0"/>
              <w:autoSpaceDN w:val="0"/>
              <w:adjustRightInd w:val="0"/>
              <w:rPr>
                <w:sz w:val="20"/>
                <w:szCs w:val="20"/>
              </w:rPr>
            </w:pPr>
            <w:r w:rsidRPr="00A21F80">
              <w:rPr>
                <w:sz w:val="20"/>
                <w:szCs w:val="20"/>
              </w:rPr>
              <w:t>ADP Services</w:t>
            </w:r>
          </w:p>
        </w:tc>
        <w:tc>
          <w:tcPr>
            <w:tcW w:w="1118" w:type="dxa"/>
            <w:vAlign w:val="bottom"/>
          </w:tcPr>
          <w:p w:rsidR="00A21F80" w:rsidRPr="00A21F80" w:rsidRDefault="00A21F80" w:rsidP="00DD5E20">
            <w:pPr>
              <w:pStyle w:val="xl19"/>
              <w:jc w:val="right"/>
              <w:rPr>
                <w:sz w:val="20"/>
                <w:szCs w:val="20"/>
              </w:rPr>
            </w:pPr>
          </w:p>
        </w:tc>
        <w:tc>
          <w:tcPr>
            <w:tcW w:w="981" w:type="dxa"/>
            <w:vAlign w:val="bottom"/>
          </w:tcPr>
          <w:p w:rsidR="00A21F80" w:rsidRPr="00A21F80" w:rsidRDefault="00A21F80" w:rsidP="00DD5E20">
            <w:pPr>
              <w:jc w:val="right"/>
              <w:rPr>
                <w:sz w:val="20"/>
                <w:szCs w:val="20"/>
              </w:rPr>
            </w:pPr>
          </w:p>
        </w:tc>
        <w:tc>
          <w:tcPr>
            <w:tcW w:w="1368" w:type="dxa"/>
            <w:vAlign w:val="bottom"/>
          </w:tcPr>
          <w:p w:rsidR="00A21F80" w:rsidRPr="00A21F80" w:rsidRDefault="00A21F80" w:rsidP="00DD5E20">
            <w:pPr>
              <w:jc w:val="right"/>
              <w:rPr>
                <w:sz w:val="20"/>
                <w:szCs w:val="20"/>
              </w:rPr>
            </w:pPr>
            <w:r w:rsidRPr="00A21F80">
              <w:rPr>
                <w:sz w:val="20"/>
                <w:szCs w:val="20"/>
              </w:rPr>
              <w:t>(6)</w:t>
            </w:r>
          </w:p>
        </w:tc>
        <w:tc>
          <w:tcPr>
            <w:tcW w:w="2059" w:type="dxa"/>
            <w:vAlign w:val="bottom"/>
          </w:tcPr>
          <w:p w:rsidR="00A21F80" w:rsidRPr="00A21F80" w:rsidRDefault="00E370B4" w:rsidP="00DD5E20">
            <w:pPr>
              <w:jc w:val="right"/>
              <w:rPr>
                <w:sz w:val="20"/>
                <w:szCs w:val="20"/>
              </w:rPr>
            </w:pPr>
            <w:r>
              <w:rPr>
                <w:sz w:val="20"/>
                <w:szCs w:val="20"/>
              </w:rPr>
              <w:t>0</w:t>
            </w:r>
          </w:p>
        </w:tc>
        <w:tc>
          <w:tcPr>
            <w:tcW w:w="1918" w:type="dxa"/>
            <w:vAlign w:val="center"/>
          </w:tcPr>
          <w:p w:rsidR="00A21F80" w:rsidRPr="00A21F80" w:rsidRDefault="00E370B4" w:rsidP="00E370B4">
            <w:pPr>
              <w:jc w:val="right"/>
              <w:rPr>
                <w:sz w:val="20"/>
                <w:szCs w:val="20"/>
              </w:rPr>
            </w:pPr>
            <w:r>
              <w:rPr>
                <w:sz w:val="20"/>
                <w:szCs w:val="20"/>
              </w:rPr>
              <w:t>0</w:t>
            </w:r>
          </w:p>
        </w:tc>
      </w:tr>
      <w:tr w:rsidR="00A21F80" w:rsidRPr="00927AC8" w:rsidTr="00E370B4">
        <w:trPr>
          <w:trHeight w:val="305"/>
        </w:trPr>
        <w:tc>
          <w:tcPr>
            <w:tcW w:w="2114" w:type="dxa"/>
            <w:vAlign w:val="center"/>
          </w:tcPr>
          <w:p w:rsidR="00A21F80" w:rsidRPr="00A21F80" w:rsidRDefault="00A21F80" w:rsidP="00DD5E20">
            <w:pPr>
              <w:autoSpaceDE w:val="0"/>
              <w:autoSpaceDN w:val="0"/>
              <w:adjustRightInd w:val="0"/>
              <w:rPr>
                <w:sz w:val="20"/>
                <w:szCs w:val="20"/>
              </w:rPr>
            </w:pPr>
            <w:r w:rsidRPr="00A21F80">
              <w:rPr>
                <w:sz w:val="20"/>
                <w:szCs w:val="20"/>
              </w:rPr>
              <w:t>Supplies and Materials</w:t>
            </w:r>
          </w:p>
        </w:tc>
        <w:tc>
          <w:tcPr>
            <w:tcW w:w="1118" w:type="dxa"/>
            <w:vAlign w:val="bottom"/>
          </w:tcPr>
          <w:p w:rsidR="00A21F80" w:rsidRPr="00A21F80" w:rsidRDefault="00A21F80" w:rsidP="00DD5E20">
            <w:pPr>
              <w:pStyle w:val="xl19"/>
              <w:jc w:val="right"/>
              <w:rPr>
                <w:sz w:val="20"/>
                <w:szCs w:val="20"/>
              </w:rPr>
            </w:pPr>
          </w:p>
        </w:tc>
        <w:tc>
          <w:tcPr>
            <w:tcW w:w="981" w:type="dxa"/>
            <w:vAlign w:val="bottom"/>
          </w:tcPr>
          <w:p w:rsidR="00A21F80" w:rsidRPr="00A21F80" w:rsidRDefault="00A21F80" w:rsidP="00DD5E20">
            <w:pPr>
              <w:jc w:val="right"/>
              <w:rPr>
                <w:sz w:val="20"/>
                <w:szCs w:val="20"/>
              </w:rPr>
            </w:pPr>
          </w:p>
        </w:tc>
        <w:tc>
          <w:tcPr>
            <w:tcW w:w="1368" w:type="dxa"/>
            <w:vAlign w:val="bottom"/>
          </w:tcPr>
          <w:p w:rsidR="00A21F80" w:rsidRPr="00A21F80" w:rsidRDefault="00A21F80" w:rsidP="00DD5E20">
            <w:pPr>
              <w:jc w:val="right"/>
              <w:rPr>
                <w:sz w:val="20"/>
                <w:szCs w:val="20"/>
              </w:rPr>
            </w:pPr>
            <w:r w:rsidRPr="00A21F80">
              <w:rPr>
                <w:sz w:val="20"/>
                <w:szCs w:val="20"/>
              </w:rPr>
              <w:t>(18)</w:t>
            </w:r>
          </w:p>
        </w:tc>
        <w:tc>
          <w:tcPr>
            <w:tcW w:w="2059" w:type="dxa"/>
            <w:vAlign w:val="bottom"/>
          </w:tcPr>
          <w:p w:rsidR="00A21F80" w:rsidRPr="00A21F80" w:rsidRDefault="00E370B4" w:rsidP="00DD5E20">
            <w:pPr>
              <w:jc w:val="right"/>
              <w:rPr>
                <w:sz w:val="20"/>
                <w:szCs w:val="20"/>
              </w:rPr>
            </w:pPr>
            <w:r>
              <w:rPr>
                <w:sz w:val="20"/>
                <w:szCs w:val="20"/>
              </w:rPr>
              <w:t>0</w:t>
            </w:r>
          </w:p>
        </w:tc>
        <w:tc>
          <w:tcPr>
            <w:tcW w:w="1918" w:type="dxa"/>
            <w:vAlign w:val="center"/>
          </w:tcPr>
          <w:p w:rsidR="00A21F80" w:rsidRPr="00A21F80" w:rsidRDefault="00E370B4" w:rsidP="00E370B4">
            <w:pPr>
              <w:jc w:val="right"/>
              <w:rPr>
                <w:sz w:val="20"/>
                <w:szCs w:val="20"/>
              </w:rPr>
            </w:pPr>
            <w:r>
              <w:rPr>
                <w:sz w:val="20"/>
                <w:szCs w:val="20"/>
              </w:rPr>
              <w:t>0</w:t>
            </w:r>
          </w:p>
        </w:tc>
      </w:tr>
      <w:tr w:rsidR="00A21F80" w:rsidRPr="00927AC8" w:rsidTr="00E370B4">
        <w:trPr>
          <w:trHeight w:val="305"/>
        </w:trPr>
        <w:tc>
          <w:tcPr>
            <w:tcW w:w="2114" w:type="dxa"/>
            <w:vAlign w:val="center"/>
          </w:tcPr>
          <w:p w:rsidR="00A21F80" w:rsidRPr="00A21F80" w:rsidRDefault="00A21F80" w:rsidP="00DD5E20">
            <w:pPr>
              <w:autoSpaceDE w:val="0"/>
              <w:autoSpaceDN w:val="0"/>
              <w:adjustRightInd w:val="0"/>
              <w:rPr>
                <w:sz w:val="20"/>
                <w:szCs w:val="20"/>
              </w:rPr>
            </w:pPr>
            <w:r w:rsidRPr="00A21F80">
              <w:rPr>
                <w:sz w:val="20"/>
                <w:szCs w:val="20"/>
              </w:rPr>
              <w:t>Equipment</w:t>
            </w:r>
          </w:p>
        </w:tc>
        <w:tc>
          <w:tcPr>
            <w:tcW w:w="1118" w:type="dxa"/>
            <w:vAlign w:val="bottom"/>
          </w:tcPr>
          <w:p w:rsidR="00A21F80" w:rsidRPr="00A21F80" w:rsidRDefault="00A21F80" w:rsidP="00DD5E20">
            <w:pPr>
              <w:pStyle w:val="xl19"/>
              <w:jc w:val="right"/>
              <w:rPr>
                <w:sz w:val="20"/>
                <w:szCs w:val="20"/>
              </w:rPr>
            </w:pPr>
          </w:p>
        </w:tc>
        <w:tc>
          <w:tcPr>
            <w:tcW w:w="981" w:type="dxa"/>
            <w:vAlign w:val="bottom"/>
          </w:tcPr>
          <w:p w:rsidR="00A21F80" w:rsidRPr="00A21F80" w:rsidRDefault="00A21F80" w:rsidP="00DD5E20">
            <w:pPr>
              <w:jc w:val="right"/>
              <w:rPr>
                <w:sz w:val="20"/>
                <w:szCs w:val="20"/>
              </w:rPr>
            </w:pPr>
          </w:p>
        </w:tc>
        <w:tc>
          <w:tcPr>
            <w:tcW w:w="1368" w:type="dxa"/>
            <w:vAlign w:val="bottom"/>
          </w:tcPr>
          <w:p w:rsidR="00A21F80" w:rsidRPr="00A21F80" w:rsidRDefault="00A21F80" w:rsidP="00DD5E20">
            <w:pPr>
              <w:jc w:val="right"/>
              <w:rPr>
                <w:sz w:val="20"/>
                <w:szCs w:val="20"/>
              </w:rPr>
            </w:pPr>
            <w:r w:rsidRPr="00A21F80">
              <w:rPr>
                <w:sz w:val="20"/>
                <w:szCs w:val="20"/>
              </w:rPr>
              <w:t>(5)</w:t>
            </w:r>
          </w:p>
        </w:tc>
        <w:tc>
          <w:tcPr>
            <w:tcW w:w="2059" w:type="dxa"/>
            <w:vAlign w:val="bottom"/>
          </w:tcPr>
          <w:p w:rsidR="00A21F80" w:rsidRPr="00A21F80" w:rsidRDefault="00E370B4" w:rsidP="00DD5E20">
            <w:pPr>
              <w:jc w:val="right"/>
              <w:rPr>
                <w:sz w:val="20"/>
                <w:szCs w:val="20"/>
              </w:rPr>
            </w:pPr>
            <w:r>
              <w:rPr>
                <w:sz w:val="20"/>
                <w:szCs w:val="20"/>
              </w:rPr>
              <w:t>0</w:t>
            </w:r>
          </w:p>
        </w:tc>
        <w:tc>
          <w:tcPr>
            <w:tcW w:w="1918" w:type="dxa"/>
            <w:vAlign w:val="center"/>
          </w:tcPr>
          <w:p w:rsidR="00A21F80" w:rsidRPr="00A21F80" w:rsidRDefault="00E370B4" w:rsidP="00E370B4">
            <w:pPr>
              <w:jc w:val="right"/>
              <w:rPr>
                <w:sz w:val="20"/>
                <w:szCs w:val="20"/>
              </w:rPr>
            </w:pPr>
            <w:r>
              <w:rPr>
                <w:sz w:val="20"/>
                <w:szCs w:val="20"/>
              </w:rPr>
              <w:t>0</w:t>
            </w:r>
          </w:p>
        </w:tc>
      </w:tr>
      <w:tr w:rsidR="00A21F80" w:rsidRPr="00F65EDB" w:rsidTr="00E370B4">
        <w:trPr>
          <w:trHeight w:val="350"/>
        </w:trPr>
        <w:tc>
          <w:tcPr>
            <w:tcW w:w="2114" w:type="dxa"/>
            <w:shd w:val="pct10" w:color="auto" w:fill="auto"/>
            <w:vAlign w:val="center"/>
          </w:tcPr>
          <w:p w:rsidR="00A21F80" w:rsidRPr="00A21F80" w:rsidRDefault="00A21F80" w:rsidP="00DD5E20">
            <w:pPr>
              <w:rPr>
                <w:b/>
                <w:sz w:val="20"/>
                <w:szCs w:val="20"/>
              </w:rPr>
            </w:pPr>
            <w:r w:rsidRPr="00A21F80">
              <w:rPr>
                <w:b/>
                <w:sz w:val="20"/>
                <w:szCs w:val="20"/>
              </w:rPr>
              <w:t>Total Non-Personnel</w:t>
            </w:r>
          </w:p>
        </w:tc>
        <w:tc>
          <w:tcPr>
            <w:tcW w:w="1118" w:type="dxa"/>
            <w:shd w:val="pct10" w:color="auto" w:fill="auto"/>
            <w:vAlign w:val="bottom"/>
          </w:tcPr>
          <w:p w:rsidR="00A21F80" w:rsidRPr="00A21F80" w:rsidRDefault="00A21F80" w:rsidP="00DD5E20">
            <w:pPr>
              <w:pStyle w:val="xl19"/>
              <w:jc w:val="right"/>
              <w:rPr>
                <w:b/>
                <w:sz w:val="20"/>
                <w:szCs w:val="20"/>
              </w:rPr>
            </w:pPr>
          </w:p>
        </w:tc>
        <w:tc>
          <w:tcPr>
            <w:tcW w:w="981" w:type="dxa"/>
            <w:shd w:val="pct10" w:color="auto" w:fill="auto"/>
            <w:vAlign w:val="bottom"/>
          </w:tcPr>
          <w:p w:rsidR="00A21F80" w:rsidRPr="00A21F80" w:rsidRDefault="00A21F80" w:rsidP="00DD5E20">
            <w:pPr>
              <w:jc w:val="right"/>
              <w:rPr>
                <w:b/>
                <w:sz w:val="20"/>
                <w:szCs w:val="20"/>
              </w:rPr>
            </w:pPr>
          </w:p>
        </w:tc>
        <w:tc>
          <w:tcPr>
            <w:tcW w:w="1368" w:type="dxa"/>
            <w:shd w:val="pct10" w:color="auto" w:fill="auto"/>
            <w:vAlign w:val="bottom"/>
          </w:tcPr>
          <w:p w:rsidR="00A21F80" w:rsidRPr="00A21F80" w:rsidRDefault="00A21F80" w:rsidP="00DD5E20">
            <w:pPr>
              <w:jc w:val="right"/>
              <w:rPr>
                <w:b/>
                <w:sz w:val="20"/>
                <w:szCs w:val="20"/>
              </w:rPr>
            </w:pPr>
            <w:r w:rsidRPr="00A21F80">
              <w:rPr>
                <w:b/>
                <w:sz w:val="20"/>
                <w:szCs w:val="20"/>
              </w:rPr>
              <w:t>(136)</w:t>
            </w:r>
          </w:p>
        </w:tc>
        <w:tc>
          <w:tcPr>
            <w:tcW w:w="2059" w:type="dxa"/>
            <w:shd w:val="pct10" w:color="auto" w:fill="auto"/>
            <w:vAlign w:val="bottom"/>
          </w:tcPr>
          <w:p w:rsidR="00A21F80" w:rsidRPr="00A21F80" w:rsidRDefault="00A21F80" w:rsidP="00DD5E20">
            <w:pPr>
              <w:jc w:val="right"/>
              <w:rPr>
                <w:b/>
                <w:sz w:val="20"/>
                <w:szCs w:val="20"/>
              </w:rPr>
            </w:pPr>
            <w:r w:rsidRPr="00A21F80">
              <w:rPr>
                <w:b/>
                <w:sz w:val="20"/>
                <w:szCs w:val="20"/>
              </w:rPr>
              <w:t>0</w:t>
            </w:r>
          </w:p>
        </w:tc>
        <w:tc>
          <w:tcPr>
            <w:tcW w:w="1918" w:type="dxa"/>
            <w:shd w:val="pct10" w:color="auto" w:fill="auto"/>
            <w:vAlign w:val="center"/>
          </w:tcPr>
          <w:p w:rsidR="00A21F80" w:rsidRPr="00A21F80" w:rsidRDefault="00E370B4" w:rsidP="00E370B4">
            <w:pPr>
              <w:jc w:val="right"/>
              <w:rPr>
                <w:b/>
                <w:sz w:val="20"/>
                <w:szCs w:val="20"/>
              </w:rPr>
            </w:pPr>
            <w:r>
              <w:rPr>
                <w:b/>
                <w:sz w:val="20"/>
                <w:szCs w:val="20"/>
              </w:rPr>
              <w:t>0</w:t>
            </w:r>
          </w:p>
        </w:tc>
      </w:tr>
    </w:tbl>
    <w:p w:rsidR="002F0E82" w:rsidRDefault="002F0E82" w:rsidP="002F0E82">
      <w:pPr>
        <w:pStyle w:val="xl24"/>
        <w:tabs>
          <w:tab w:val="left" w:pos="3240"/>
        </w:tabs>
        <w:spacing w:before="0" w:beforeAutospacing="0" w:after="0" w:afterAutospacing="0"/>
        <w:outlineLvl w:val="0"/>
        <w:rPr>
          <w:u w:val="single"/>
        </w:rPr>
      </w:pPr>
    </w:p>
    <w:p w:rsidR="002F0E82" w:rsidRPr="00902EB4" w:rsidRDefault="002F0E82" w:rsidP="002F0E82">
      <w:pPr>
        <w:pStyle w:val="xl24"/>
        <w:tabs>
          <w:tab w:val="left" w:pos="3240"/>
        </w:tabs>
        <w:spacing w:before="0" w:beforeAutospacing="0" w:after="0" w:afterAutospacing="0"/>
        <w:outlineLvl w:val="0"/>
        <w:rPr>
          <w:u w:val="single"/>
        </w:rPr>
      </w:pPr>
      <w:r w:rsidRPr="00902EB4">
        <w:rPr>
          <w:u w:val="single"/>
        </w:rPr>
        <w:t>Total Request for this Item</w:t>
      </w:r>
    </w:p>
    <w:p w:rsidR="002F0E82" w:rsidRPr="00880707" w:rsidRDefault="002F0E82" w:rsidP="002F0E82">
      <w:pPr>
        <w:pStyle w:val="xl24"/>
        <w:spacing w:before="0" w:beforeAutospacing="0" w:after="0" w:afterAutospacing="0"/>
        <w:rPr>
          <w:b/>
          <w:highlight w:val="yellow"/>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630"/>
        <w:gridCol w:w="630"/>
        <w:gridCol w:w="630"/>
        <w:gridCol w:w="1080"/>
        <w:gridCol w:w="1080"/>
        <w:gridCol w:w="990"/>
        <w:gridCol w:w="1440"/>
        <w:gridCol w:w="1440"/>
      </w:tblGrid>
      <w:tr w:rsidR="00A21F80" w:rsidRPr="00CC5993" w:rsidTr="00A21F80">
        <w:trPr>
          <w:trHeight w:val="332"/>
        </w:trPr>
        <w:tc>
          <w:tcPr>
            <w:tcW w:w="1638" w:type="dxa"/>
            <w:shd w:val="clear" w:color="auto" w:fill="E6E6E6"/>
          </w:tcPr>
          <w:p w:rsidR="00A21F80" w:rsidRPr="00A21F80" w:rsidRDefault="00A21F80" w:rsidP="00DD5E20">
            <w:pPr>
              <w:rPr>
                <w:sz w:val="20"/>
                <w:szCs w:val="20"/>
              </w:rPr>
            </w:pPr>
          </w:p>
        </w:tc>
        <w:tc>
          <w:tcPr>
            <w:tcW w:w="630" w:type="dxa"/>
            <w:vAlign w:val="center"/>
          </w:tcPr>
          <w:p w:rsidR="00A21F80" w:rsidRPr="00A21F80" w:rsidRDefault="00A21F80" w:rsidP="00DD5E20">
            <w:pPr>
              <w:jc w:val="center"/>
              <w:rPr>
                <w:sz w:val="20"/>
                <w:szCs w:val="20"/>
              </w:rPr>
            </w:pPr>
            <w:r w:rsidRPr="00A21F80">
              <w:rPr>
                <w:sz w:val="20"/>
                <w:szCs w:val="20"/>
              </w:rPr>
              <w:t>Pos</w:t>
            </w:r>
          </w:p>
        </w:tc>
        <w:tc>
          <w:tcPr>
            <w:tcW w:w="630" w:type="dxa"/>
            <w:vAlign w:val="center"/>
          </w:tcPr>
          <w:p w:rsidR="00A21F80" w:rsidRPr="00A21F80" w:rsidRDefault="00A21F80" w:rsidP="00DD5E20">
            <w:pPr>
              <w:jc w:val="center"/>
              <w:rPr>
                <w:sz w:val="20"/>
                <w:szCs w:val="20"/>
              </w:rPr>
            </w:pPr>
            <w:proofErr w:type="spellStart"/>
            <w:r w:rsidRPr="00A21F80">
              <w:rPr>
                <w:sz w:val="20"/>
                <w:szCs w:val="20"/>
              </w:rPr>
              <w:t>Agt</w:t>
            </w:r>
            <w:proofErr w:type="spellEnd"/>
          </w:p>
        </w:tc>
        <w:tc>
          <w:tcPr>
            <w:tcW w:w="630" w:type="dxa"/>
            <w:vAlign w:val="center"/>
          </w:tcPr>
          <w:p w:rsidR="00A21F80" w:rsidRPr="00A21F80" w:rsidRDefault="00A21F80" w:rsidP="00DD5E20">
            <w:pPr>
              <w:jc w:val="center"/>
              <w:rPr>
                <w:sz w:val="20"/>
                <w:szCs w:val="20"/>
              </w:rPr>
            </w:pPr>
            <w:r w:rsidRPr="00A21F80">
              <w:rPr>
                <w:sz w:val="20"/>
                <w:szCs w:val="20"/>
              </w:rPr>
              <w:t>FTE</w:t>
            </w:r>
          </w:p>
        </w:tc>
        <w:tc>
          <w:tcPr>
            <w:tcW w:w="1080" w:type="dxa"/>
            <w:vAlign w:val="center"/>
          </w:tcPr>
          <w:p w:rsidR="00A21F80" w:rsidRPr="00A21F80" w:rsidRDefault="00A21F80" w:rsidP="00DD5E20">
            <w:pPr>
              <w:jc w:val="center"/>
              <w:rPr>
                <w:sz w:val="20"/>
                <w:szCs w:val="20"/>
              </w:rPr>
            </w:pPr>
            <w:r w:rsidRPr="00A21F80">
              <w:rPr>
                <w:sz w:val="20"/>
                <w:szCs w:val="20"/>
              </w:rPr>
              <w:t>Personnel</w:t>
            </w:r>
            <w:r>
              <w:rPr>
                <w:sz w:val="20"/>
                <w:szCs w:val="20"/>
              </w:rPr>
              <w:t xml:space="preserve"> </w:t>
            </w:r>
            <w:r w:rsidRPr="00A21F80">
              <w:rPr>
                <w:sz w:val="20"/>
                <w:szCs w:val="20"/>
              </w:rPr>
              <w:t>($000)</w:t>
            </w:r>
          </w:p>
        </w:tc>
        <w:tc>
          <w:tcPr>
            <w:tcW w:w="1080" w:type="dxa"/>
            <w:vAlign w:val="center"/>
          </w:tcPr>
          <w:p w:rsidR="00A21F80" w:rsidRPr="00A21F80" w:rsidRDefault="00A21F80" w:rsidP="00DD5E20">
            <w:pPr>
              <w:jc w:val="center"/>
              <w:rPr>
                <w:sz w:val="20"/>
                <w:szCs w:val="20"/>
              </w:rPr>
            </w:pPr>
            <w:r w:rsidRPr="00A21F80">
              <w:rPr>
                <w:sz w:val="20"/>
                <w:szCs w:val="20"/>
              </w:rPr>
              <w:t>Non-Personnel</w:t>
            </w:r>
            <w:r>
              <w:rPr>
                <w:sz w:val="20"/>
                <w:szCs w:val="20"/>
              </w:rPr>
              <w:t xml:space="preserve"> </w:t>
            </w:r>
            <w:r w:rsidRPr="00A21F80">
              <w:rPr>
                <w:sz w:val="20"/>
                <w:szCs w:val="20"/>
              </w:rPr>
              <w:t>($000)</w:t>
            </w:r>
          </w:p>
        </w:tc>
        <w:tc>
          <w:tcPr>
            <w:tcW w:w="990" w:type="dxa"/>
            <w:vAlign w:val="center"/>
          </w:tcPr>
          <w:p w:rsidR="00A21F80" w:rsidRPr="00A21F80" w:rsidRDefault="00A21F80" w:rsidP="00DD5E20">
            <w:pPr>
              <w:jc w:val="center"/>
              <w:rPr>
                <w:sz w:val="20"/>
                <w:szCs w:val="20"/>
              </w:rPr>
            </w:pPr>
            <w:r w:rsidRPr="00A21F80">
              <w:rPr>
                <w:sz w:val="20"/>
                <w:szCs w:val="20"/>
              </w:rPr>
              <w:t>Total</w:t>
            </w:r>
            <w:r>
              <w:rPr>
                <w:sz w:val="20"/>
                <w:szCs w:val="20"/>
              </w:rPr>
              <w:t xml:space="preserve"> </w:t>
            </w:r>
            <w:r w:rsidRPr="00A21F80">
              <w:rPr>
                <w:sz w:val="20"/>
                <w:szCs w:val="20"/>
              </w:rPr>
              <w:t>($000)</w:t>
            </w:r>
          </w:p>
        </w:tc>
        <w:tc>
          <w:tcPr>
            <w:tcW w:w="1440" w:type="dxa"/>
          </w:tcPr>
          <w:p w:rsidR="00A21F80" w:rsidRPr="00A21F80" w:rsidRDefault="00A21F80" w:rsidP="00A21F80">
            <w:pPr>
              <w:jc w:val="center"/>
              <w:rPr>
                <w:sz w:val="20"/>
                <w:szCs w:val="20"/>
              </w:rPr>
            </w:pPr>
            <w:r w:rsidRPr="00A21F80">
              <w:rPr>
                <w:sz w:val="20"/>
                <w:szCs w:val="20"/>
              </w:rPr>
              <w:t>FY 2013 Net</w:t>
            </w:r>
          </w:p>
          <w:p w:rsidR="00A21F80" w:rsidRPr="00A21F80" w:rsidRDefault="00A21F80" w:rsidP="00A21F80">
            <w:pPr>
              <w:jc w:val="center"/>
              <w:rPr>
                <w:sz w:val="20"/>
                <w:szCs w:val="20"/>
              </w:rPr>
            </w:pPr>
            <w:r w:rsidRPr="00A21F80">
              <w:rPr>
                <w:sz w:val="20"/>
                <w:szCs w:val="20"/>
              </w:rPr>
              <w:t>Annualization</w:t>
            </w:r>
          </w:p>
          <w:p w:rsidR="00A21F80" w:rsidRPr="00A21F80" w:rsidRDefault="00A21F80" w:rsidP="00A21F80">
            <w:pPr>
              <w:jc w:val="center"/>
              <w:rPr>
                <w:sz w:val="20"/>
                <w:szCs w:val="20"/>
              </w:rPr>
            </w:pPr>
            <w:r w:rsidRPr="00A21F80">
              <w:rPr>
                <w:sz w:val="20"/>
                <w:szCs w:val="20"/>
              </w:rPr>
              <w:t>(Change from 201</w:t>
            </w:r>
            <w:r>
              <w:rPr>
                <w:sz w:val="20"/>
                <w:szCs w:val="20"/>
              </w:rPr>
              <w:t>2</w:t>
            </w:r>
            <w:r w:rsidRPr="00A21F80">
              <w:rPr>
                <w:sz w:val="20"/>
                <w:szCs w:val="20"/>
              </w:rPr>
              <w:t>)</w:t>
            </w:r>
            <w:r>
              <w:rPr>
                <w:sz w:val="20"/>
                <w:szCs w:val="20"/>
              </w:rPr>
              <w:t xml:space="preserve"> </w:t>
            </w:r>
            <w:r w:rsidRPr="00A21F80">
              <w:rPr>
                <w:sz w:val="20"/>
                <w:szCs w:val="20"/>
              </w:rPr>
              <w:t>($000)</w:t>
            </w:r>
          </w:p>
        </w:tc>
        <w:tc>
          <w:tcPr>
            <w:tcW w:w="1440" w:type="dxa"/>
          </w:tcPr>
          <w:p w:rsidR="00A21F80" w:rsidRPr="00A21F80" w:rsidRDefault="00A21F80" w:rsidP="00A21F80">
            <w:pPr>
              <w:jc w:val="center"/>
              <w:rPr>
                <w:sz w:val="20"/>
                <w:szCs w:val="20"/>
              </w:rPr>
            </w:pPr>
            <w:r w:rsidRPr="00A21F80">
              <w:rPr>
                <w:sz w:val="20"/>
                <w:szCs w:val="20"/>
              </w:rPr>
              <w:t>FY 201</w:t>
            </w:r>
            <w:r>
              <w:rPr>
                <w:sz w:val="20"/>
                <w:szCs w:val="20"/>
              </w:rPr>
              <w:t>4</w:t>
            </w:r>
            <w:r w:rsidRPr="00A21F80">
              <w:rPr>
                <w:sz w:val="20"/>
                <w:szCs w:val="20"/>
              </w:rPr>
              <w:t xml:space="preserve"> Net</w:t>
            </w:r>
          </w:p>
          <w:p w:rsidR="00A21F80" w:rsidRPr="00A21F80" w:rsidRDefault="00A21F80" w:rsidP="00A21F80">
            <w:pPr>
              <w:jc w:val="center"/>
              <w:rPr>
                <w:sz w:val="20"/>
                <w:szCs w:val="20"/>
              </w:rPr>
            </w:pPr>
            <w:r w:rsidRPr="00A21F80">
              <w:rPr>
                <w:sz w:val="20"/>
                <w:szCs w:val="20"/>
              </w:rPr>
              <w:t>Annualization</w:t>
            </w:r>
          </w:p>
          <w:p w:rsidR="00A21F80" w:rsidRPr="00A21F80" w:rsidRDefault="00A21F80" w:rsidP="00A21F80">
            <w:pPr>
              <w:jc w:val="center"/>
              <w:rPr>
                <w:sz w:val="20"/>
                <w:szCs w:val="20"/>
              </w:rPr>
            </w:pPr>
            <w:r w:rsidRPr="00A21F80">
              <w:rPr>
                <w:sz w:val="20"/>
                <w:szCs w:val="20"/>
              </w:rPr>
              <w:t>(Change from 2013)</w:t>
            </w:r>
            <w:r>
              <w:rPr>
                <w:sz w:val="20"/>
                <w:szCs w:val="20"/>
              </w:rPr>
              <w:t xml:space="preserve"> </w:t>
            </w:r>
            <w:r w:rsidRPr="00A21F80">
              <w:rPr>
                <w:sz w:val="20"/>
                <w:szCs w:val="20"/>
              </w:rPr>
              <w:t>($000)</w:t>
            </w:r>
          </w:p>
        </w:tc>
      </w:tr>
      <w:tr w:rsidR="00A21F80" w:rsidRPr="00CC5993" w:rsidTr="00A21F80">
        <w:trPr>
          <w:trHeight w:val="215"/>
        </w:trPr>
        <w:tc>
          <w:tcPr>
            <w:tcW w:w="1638" w:type="dxa"/>
          </w:tcPr>
          <w:p w:rsidR="00A21F80" w:rsidRPr="00A21F80" w:rsidRDefault="00A21F80" w:rsidP="00DD5E20">
            <w:pPr>
              <w:rPr>
                <w:sz w:val="20"/>
                <w:szCs w:val="20"/>
              </w:rPr>
            </w:pPr>
            <w:r w:rsidRPr="00A21F80">
              <w:rPr>
                <w:sz w:val="20"/>
                <w:szCs w:val="20"/>
              </w:rPr>
              <w:t>Current Services</w:t>
            </w:r>
          </w:p>
        </w:tc>
        <w:tc>
          <w:tcPr>
            <w:tcW w:w="630" w:type="dxa"/>
            <w:vAlign w:val="center"/>
          </w:tcPr>
          <w:p w:rsidR="00A21F80" w:rsidRPr="00A21F80" w:rsidRDefault="00A21F80" w:rsidP="00DD5E20">
            <w:pPr>
              <w:jc w:val="right"/>
              <w:rPr>
                <w:sz w:val="20"/>
                <w:szCs w:val="20"/>
              </w:rPr>
            </w:pPr>
            <w:r w:rsidRPr="00A21F80">
              <w:rPr>
                <w:sz w:val="20"/>
                <w:szCs w:val="20"/>
              </w:rPr>
              <w:t>0</w:t>
            </w:r>
          </w:p>
        </w:tc>
        <w:tc>
          <w:tcPr>
            <w:tcW w:w="630" w:type="dxa"/>
            <w:vAlign w:val="center"/>
          </w:tcPr>
          <w:p w:rsidR="00A21F80" w:rsidRPr="00A21F80" w:rsidRDefault="00A21F80" w:rsidP="00DD5E20">
            <w:pPr>
              <w:jc w:val="right"/>
              <w:rPr>
                <w:sz w:val="20"/>
                <w:szCs w:val="20"/>
              </w:rPr>
            </w:pPr>
            <w:r w:rsidRPr="00A21F80">
              <w:rPr>
                <w:sz w:val="20"/>
                <w:szCs w:val="20"/>
              </w:rPr>
              <w:t>0</w:t>
            </w:r>
          </w:p>
        </w:tc>
        <w:tc>
          <w:tcPr>
            <w:tcW w:w="630" w:type="dxa"/>
            <w:vAlign w:val="center"/>
          </w:tcPr>
          <w:p w:rsidR="00A21F80" w:rsidRPr="00A21F80" w:rsidRDefault="00A21F80" w:rsidP="00DD5E20">
            <w:pPr>
              <w:jc w:val="right"/>
              <w:rPr>
                <w:sz w:val="20"/>
                <w:szCs w:val="20"/>
              </w:rPr>
            </w:pPr>
            <w:r w:rsidRPr="00A21F80">
              <w:rPr>
                <w:sz w:val="20"/>
                <w:szCs w:val="20"/>
              </w:rPr>
              <w:t>0</w:t>
            </w:r>
          </w:p>
        </w:tc>
        <w:tc>
          <w:tcPr>
            <w:tcW w:w="1080" w:type="dxa"/>
            <w:vAlign w:val="center"/>
          </w:tcPr>
          <w:p w:rsidR="00A21F80" w:rsidRPr="00A21F80" w:rsidRDefault="00A21F80" w:rsidP="00DD5E20">
            <w:pPr>
              <w:jc w:val="right"/>
              <w:rPr>
                <w:sz w:val="20"/>
                <w:szCs w:val="20"/>
              </w:rPr>
            </w:pPr>
            <w:r w:rsidRPr="00A21F80">
              <w:rPr>
                <w:sz w:val="20"/>
                <w:szCs w:val="20"/>
              </w:rPr>
              <w:t>0</w:t>
            </w:r>
          </w:p>
        </w:tc>
        <w:tc>
          <w:tcPr>
            <w:tcW w:w="1080" w:type="dxa"/>
            <w:vAlign w:val="center"/>
          </w:tcPr>
          <w:p w:rsidR="00A21F80" w:rsidRPr="00A21F80" w:rsidRDefault="00A21F80" w:rsidP="00DD5E20">
            <w:pPr>
              <w:jc w:val="right"/>
              <w:rPr>
                <w:sz w:val="20"/>
                <w:szCs w:val="20"/>
              </w:rPr>
            </w:pPr>
            <w:r w:rsidRPr="00A21F80">
              <w:rPr>
                <w:sz w:val="20"/>
                <w:szCs w:val="20"/>
              </w:rPr>
              <w:t>0</w:t>
            </w:r>
          </w:p>
        </w:tc>
        <w:tc>
          <w:tcPr>
            <w:tcW w:w="990" w:type="dxa"/>
            <w:vAlign w:val="center"/>
          </w:tcPr>
          <w:p w:rsidR="00A21F80" w:rsidRPr="00A21F80" w:rsidRDefault="00A21F80" w:rsidP="00DD5E20">
            <w:pPr>
              <w:jc w:val="right"/>
              <w:rPr>
                <w:sz w:val="20"/>
                <w:szCs w:val="20"/>
              </w:rPr>
            </w:pPr>
            <w:r w:rsidRPr="00A21F80">
              <w:rPr>
                <w:sz w:val="20"/>
                <w:szCs w:val="20"/>
              </w:rPr>
              <w:t>0</w:t>
            </w:r>
          </w:p>
        </w:tc>
        <w:tc>
          <w:tcPr>
            <w:tcW w:w="1440" w:type="dxa"/>
          </w:tcPr>
          <w:p w:rsidR="00A21F80" w:rsidRPr="00A21F80" w:rsidRDefault="00A21F80" w:rsidP="00DD5E20">
            <w:pPr>
              <w:jc w:val="right"/>
              <w:rPr>
                <w:sz w:val="20"/>
                <w:szCs w:val="20"/>
              </w:rPr>
            </w:pPr>
          </w:p>
        </w:tc>
        <w:tc>
          <w:tcPr>
            <w:tcW w:w="1440" w:type="dxa"/>
          </w:tcPr>
          <w:p w:rsidR="00A21F80" w:rsidRPr="00A21F80" w:rsidRDefault="00A21F80" w:rsidP="00DD5E20">
            <w:pPr>
              <w:jc w:val="right"/>
              <w:rPr>
                <w:sz w:val="20"/>
                <w:szCs w:val="20"/>
              </w:rPr>
            </w:pPr>
          </w:p>
        </w:tc>
      </w:tr>
      <w:tr w:rsidR="00A21F80" w:rsidRPr="00CC5993" w:rsidTr="00A86176">
        <w:trPr>
          <w:trHeight w:val="377"/>
        </w:trPr>
        <w:tc>
          <w:tcPr>
            <w:tcW w:w="1638" w:type="dxa"/>
            <w:vAlign w:val="center"/>
          </w:tcPr>
          <w:p w:rsidR="00A21F80" w:rsidRPr="00A21F80" w:rsidRDefault="00A86176" w:rsidP="00A86176">
            <w:pPr>
              <w:rPr>
                <w:sz w:val="20"/>
                <w:szCs w:val="20"/>
              </w:rPr>
            </w:pPr>
            <w:r>
              <w:rPr>
                <w:sz w:val="20"/>
                <w:szCs w:val="20"/>
              </w:rPr>
              <w:t>Decreases</w:t>
            </w:r>
          </w:p>
        </w:tc>
        <w:tc>
          <w:tcPr>
            <w:tcW w:w="630" w:type="dxa"/>
            <w:vAlign w:val="center"/>
          </w:tcPr>
          <w:p w:rsidR="00A21F80" w:rsidRPr="00A21F80" w:rsidRDefault="00A21F80" w:rsidP="00DD5E20">
            <w:pPr>
              <w:jc w:val="right"/>
              <w:rPr>
                <w:sz w:val="20"/>
                <w:szCs w:val="20"/>
              </w:rPr>
            </w:pPr>
            <w:r w:rsidRPr="00A21F80">
              <w:rPr>
                <w:sz w:val="20"/>
                <w:szCs w:val="20"/>
              </w:rPr>
              <w:t>0</w:t>
            </w:r>
          </w:p>
        </w:tc>
        <w:tc>
          <w:tcPr>
            <w:tcW w:w="630" w:type="dxa"/>
            <w:vAlign w:val="center"/>
          </w:tcPr>
          <w:p w:rsidR="00A21F80" w:rsidRPr="00A21F80" w:rsidRDefault="00A21F80" w:rsidP="00A86176">
            <w:pPr>
              <w:jc w:val="right"/>
              <w:rPr>
                <w:sz w:val="20"/>
                <w:szCs w:val="20"/>
              </w:rPr>
            </w:pPr>
            <w:r w:rsidRPr="00A21F80">
              <w:rPr>
                <w:sz w:val="20"/>
                <w:szCs w:val="20"/>
              </w:rPr>
              <w:t>0</w:t>
            </w:r>
          </w:p>
        </w:tc>
        <w:tc>
          <w:tcPr>
            <w:tcW w:w="630" w:type="dxa"/>
            <w:vAlign w:val="center"/>
          </w:tcPr>
          <w:p w:rsidR="00A21F80" w:rsidRPr="00A21F80" w:rsidRDefault="00A21F80" w:rsidP="00DD5E20">
            <w:pPr>
              <w:jc w:val="right"/>
              <w:rPr>
                <w:sz w:val="20"/>
                <w:szCs w:val="20"/>
              </w:rPr>
            </w:pPr>
            <w:r w:rsidRPr="00A21F80">
              <w:rPr>
                <w:sz w:val="20"/>
                <w:szCs w:val="20"/>
              </w:rPr>
              <w:t>0</w:t>
            </w:r>
          </w:p>
        </w:tc>
        <w:tc>
          <w:tcPr>
            <w:tcW w:w="1080" w:type="dxa"/>
            <w:vAlign w:val="center"/>
          </w:tcPr>
          <w:p w:rsidR="00A21F80" w:rsidRPr="00A21F80" w:rsidRDefault="00A21F80" w:rsidP="00DD5E20">
            <w:pPr>
              <w:jc w:val="right"/>
              <w:rPr>
                <w:sz w:val="20"/>
                <w:szCs w:val="20"/>
              </w:rPr>
            </w:pPr>
            <w:r w:rsidRPr="00A21F80">
              <w:rPr>
                <w:sz w:val="20"/>
                <w:szCs w:val="20"/>
              </w:rPr>
              <w:t>0</w:t>
            </w:r>
          </w:p>
        </w:tc>
        <w:tc>
          <w:tcPr>
            <w:tcW w:w="1080" w:type="dxa"/>
            <w:vAlign w:val="center"/>
          </w:tcPr>
          <w:p w:rsidR="00A21F80" w:rsidRPr="00A21F80" w:rsidRDefault="00A21F80" w:rsidP="00DD5E20">
            <w:pPr>
              <w:jc w:val="right"/>
              <w:rPr>
                <w:sz w:val="20"/>
                <w:szCs w:val="20"/>
              </w:rPr>
            </w:pPr>
            <w:r w:rsidRPr="00A21F80">
              <w:rPr>
                <w:sz w:val="20"/>
                <w:szCs w:val="20"/>
              </w:rPr>
              <w:t>(136)</w:t>
            </w:r>
          </w:p>
        </w:tc>
        <w:tc>
          <w:tcPr>
            <w:tcW w:w="990" w:type="dxa"/>
            <w:vAlign w:val="center"/>
          </w:tcPr>
          <w:p w:rsidR="00A21F80" w:rsidRPr="00A21F80" w:rsidRDefault="00A21F80" w:rsidP="00DD5E20">
            <w:pPr>
              <w:jc w:val="right"/>
              <w:rPr>
                <w:sz w:val="20"/>
                <w:szCs w:val="20"/>
              </w:rPr>
            </w:pPr>
            <w:r w:rsidRPr="00A21F80">
              <w:rPr>
                <w:sz w:val="20"/>
                <w:szCs w:val="20"/>
              </w:rPr>
              <w:t>(136)</w:t>
            </w:r>
          </w:p>
        </w:tc>
        <w:tc>
          <w:tcPr>
            <w:tcW w:w="1440" w:type="dxa"/>
          </w:tcPr>
          <w:p w:rsidR="00A21F80" w:rsidRPr="00A21F80" w:rsidRDefault="00A21F80" w:rsidP="00DD5E20">
            <w:pPr>
              <w:jc w:val="right"/>
              <w:rPr>
                <w:sz w:val="20"/>
                <w:szCs w:val="20"/>
              </w:rPr>
            </w:pPr>
          </w:p>
        </w:tc>
        <w:tc>
          <w:tcPr>
            <w:tcW w:w="1440" w:type="dxa"/>
          </w:tcPr>
          <w:p w:rsidR="00A21F80" w:rsidRPr="00A21F80" w:rsidRDefault="00A21F80" w:rsidP="00DD5E20">
            <w:pPr>
              <w:jc w:val="right"/>
              <w:rPr>
                <w:sz w:val="20"/>
                <w:szCs w:val="20"/>
              </w:rPr>
            </w:pPr>
          </w:p>
        </w:tc>
      </w:tr>
      <w:tr w:rsidR="00A21F80" w:rsidRPr="00CC5993" w:rsidTr="00A21F80">
        <w:trPr>
          <w:trHeight w:val="260"/>
        </w:trPr>
        <w:tc>
          <w:tcPr>
            <w:tcW w:w="1638" w:type="dxa"/>
          </w:tcPr>
          <w:p w:rsidR="00A21F80" w:rsidRPr="00A21F80" w:rsidRDefault="00A21F80" w:rsidP="00DD5E20">
            <w:pPr>
              <w:rPr>
                <w:sz w:val="20"/>
                <w:szCs w:val="20"/>
              </w:rPr>
            </w:pPr>
            <w:r w:rsidRPr="00A21F80">
              <w:rPr>
                <w:sz w:val="20"/>
                <w:szCs w:val="20"/>
              </w:rPr>
              <w:t>Grand Total</w:t>
            </w:r>
          </w:p>
        </w:tc>
        <w:tc>
          <w:tcPr>
            <w:tcW w:w="630" w:type="dxa"/>
            <w:vAlign w:val="center"/>
          </w:tcPr>
          <w:p w:rsidR="00A21F80" w:rsidRPr="00A21F80" w:rsidRDefault="00A21F80" w:rsidP="00DD5E20">
            <w:pPr>
              <w:jc w:val="right"/>
              <w:rPr>
                <w:sz w:val="20"/>
                <w:szCs w:val="20"/>
              </w:rPr>
            </w:pPr>
            <w:r w:rsidRPr="00A21F80">
              <w:rPr>
                <w:sz w:val="20"/>
                <w:szCs w:val="20"/>
              </w:rPr>
              <w:t>0</w:t>
            </w:r>
          </w:p>
        </w:tc>
        <w:tc>
          <w:tcPr>
            <w:tcW w:w="630" w:type="dxa"/>
            <w:vAlign w:val="center"/>
          </w:tcPr>
          <w:p w:rsidR="00A21F80" w:rsidRPr="00A21F80" w:rsidRDefault="00A21F80" w:rsidP="00DD5E20">
            <w:pPr>
              <w:jc w:val="right"/>
              <w:rPr>
                <w:sz w:val="20"/>
                <w:szCs w:val="20"/>
              </w:rPr>
            </w:pPr>
            <w:r w:rsidRPr="00A21F80">
              <w:rPr>
                <w:sz w:val="20"/>
                <w:szCs w:val="20"/>
              </w:rPr>
              <w:t>0</w:t>
            </w:r>
          </w:p>
        </w:tc>
        <w:tc>
          <w:tcPr>
            <w:tcW w:w="630" w:type="dxa"/>
            <w:vAlign w:val="center"/>
          </w:tcPr>
          <w:p w:rsidR="00A21F80" w:rsidRPr="00A21F80" w:rsidRDefault="00A21F80" w:rsidP="00DD5E20">
            <w:pPr>
              <w:jc w:val="right"/>
              <w:rPr>
                <w:sz w:val="20"/>
                <w:szCs w:val="20"/>
              </w:rPr>
            </w:pPr>
            <w:r w:rsidRPr="00A21F80">
              <w:rPr>
                <w:sz w:val="20"/>
                <w:szCs w:val="20"/>
              </w:rPr>
              <w:t>0</w:t>
            </w:r>
          </w:p>
        </w:tc>
        <w:tc>
          <w:tcPr>
            <w:tcW w:w="1080" w:type="dxa"/>
            <w:vAlign w:val="center"/>
          </w:tcPr>
          <w:p w:rsidR="00A21F80" w:rsidRPr="00A21F80" w:rsidRDefault="00A21F80" w:rsidP="00DD5E20">
            <w:pPr>
              <w:jc w:val="right"/>
              <w:rPr>
                <w:sz w:val="20"/>
                <w:szCs w:val="20"/>
              </w:rPr>
            </w:pPr>
            <w:r w:rsidRPr="00A21F80">
              <w:rPr>
                <w:sz w:val="20"/>
                <w:szCs w:val="20"/>
              </w:rPr>
              <w:t>0</w:t>
            </w:r>
          </w:p>
        </w:tc>
        <w:tc>
          <w:tcPr>
            <w:tcW w:w="1080" w:type="dxa"/>
            <w:vAlign w:val="center"/>
          </w:tcPr>
          <w:p w:rsidR="00A21F80" w:rsidRPr="00A21F80" w:rsidRDefault="00A21F80" w:rsidP="00DD5E20">
            <w:pPr>
              <w:jc w:val="right"/>
              <w:rPr>
                <w:sz w:val="20"/>
                <w:szCs w:val="20"/>
              </w:rPr>
            </w:pPr>
            <w:r w:rsidRPr="00A21F80">
              <w:rPr>
                <w:sz w:val="20"/>
                <w:szCs w:val="20"/>
              </w:rPr>
              <w:t>(136)</w:t>
            </w:r>
          </w:p>
        </w:tc>
        <w:tc>
          <w:tcPr>
            <w:tcW w:w="990" w:type="dxa"/>
            <w:vAlign w:val="center"/>
          </w:tcPr>
          <w:p w:rsidR="00A21F80" w:rsidRPr="00A21F80" w:rsidRDefault="00A21F80" w:rsidP="00DD5E20">
            <w:pPr>
              <w:jc w:val="right"/>
              <w:rPr>
                <w:sz w:val="20"/>
                <w:szCs w:val="20"/>
              </w:rPr>
            </w:pPr>
            <w:r w:rsidRPr="00A21F80">
              <w:rPr>
                <w:sz w:val="20"/>
                <w:szCs w:val="20"/>
              </w:rPr>
              <w:t>(136)</w:t>
            </w:r>
          </w:p>
        </w:tc>
        <w:tc>
          <w:tcPr>
            <w:tcW w:w="1440" w:type="dxa"/>
          </w:tcPr>
          <w:p w:rsidR="00A21F80" w:rsidRPr="00A21F80" w:rsidRDefault="00A21F80" w:rsidP="00DD5E20">
            <w:pPr>
              <w:jc w:val="right"/>
              <w:rPr>
                <w:sz w:val="20"/>
                <w:szCs w:val="20"/>
              </w:rPr>
            </w:pPr>
          </w:p>
        </w:tc>
        <w:tc>
          <w:tcPr>
            <w:tcW w:w="1440" w:type="dxa"/>
          </w:tcPr>
          <w:p w:rsidR="00A21F80" w:rsidRPr="00A21F80" w:rsidRDefault="00A21F80" w:rsidP="00DD5E20">
            <w:pPr>
              <w:jc w:val="right"/>
              <w:rPr>
                <w:sz w:val="20"/>
                <w:szCs w:val="20"/>
              </w:rPr>
            </w:pPr>
          </w:p>
        </w:tc>
      </w:tr>
    </w:tbl>
    <w:p w:rsidR="00FA2AAB" w:rsidRDefault="00FA2AAB" w:rsidP="00506D89"/>
    <w:sectPr w:rsidR="00FA2AAB" w:rsidSect="00AC32BE">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151" w:rsidRDefault="00104151">
      <w:r>
        <w:separator/>
      </w:r>
    </w:p>
  </w:endnote>
  <w:endnote w:type="continuationSeparator" w:id="0">
    <w:p w:rsidR="00104151" w:rsidRDefault="001041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51" w:rsidRDefault="00273F9D" w:rsidP="005027FD">
    <w:pPr>
      <w:pStyle w:val="Footer"/>
      <w:framePr w:wrap="around" w:vAnchor="text" w:hAnchor="margin" w:xAlign="center" w:y="1"/>
      <w:rPr>
        <w:rStyle w:val="PageNumber"/>
      </w:rPr>
    </w:pPr>
    <w:r>
      <w:rPr>
        <w:rStyle w:val="PageNumber"/>
      </w:rPr>
      <w:fldChar w:fldCharType="begin"/>
    </w:r>
    <w:r w:rsidR="00104151">
      <w:rPr>
        <w:rStyle w:val="PageNumber"/>
      </w:rPr>
      <w:instrText xml:space="preserve">PAGE  </w:instrText>
    </w:r>
    <w:r>
      <w:rPr>
        <w:rStyle w:val="PageNumber"/>
      </w:rPr>
      <w:fldChar w:fldCharType="separate"/>
    </w:r>
    <w:r w:rsidR="00104151">
      <w:rPr>
        <w:rStyle w:val="PageNumber"/>
        <w:noProof/>
      </w:rPr>
      <w:t>123</w:t>
    </w:r>
    <w:r>
      <w:rPr>
        <w:rStyle w:val="PageNumber"/>
      </w:rPr>
      <w:fldChar w:fldCharType="end"/>
    </w:r>
    <w:r>
      <w:rPr>
        <w:rStyle w:val="PageNumber"/>
      </w:rPr>
      <w:fldChar w:fldCharType="begin"/>
    </w:r>
    <w:r w:rsidR="00104151">
      <w:rPr>
        <w:rStyle w:val="PageNumber"/>
      </w:rPr>
      <w:instrText xml:space="preserve">PAGE  </w:instrText>
    </w:r>
    <w:r>
      <w:rPr>
        <w:rStyle w:val="PageNumber"/>
      </w:rPr>
      <w:fldChar w:fldCharType="end"/>
    </w:r>
  </w:p>
  <w:p w:rsidR="00104151" w:rsidRDefault="001041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51" w:rsidRDefault="00104151" w:rsidP="005027FD">
    <w:pPr>
      <w:pStyle w:val="Footer"/>
      <w:framePr w:wrap="around" w:vAnchor="text" w:hAnchor="margin" w:xAlign="center" w:y="1"/>
      <w:rPr>
        <w:rStyle w:val="PageNumber"/>
      </w:rPr>
    </w:pPr>
  </w:p>
  <w:p w:rsidR="00104151" w:rsidRPr="00477590" w:rsidRDefault="00104151" w:rsidP="005027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51" w:rsidRPr="00D54214" w:rsidRDefault="00273F9D" w:rsidP="005027FD">
    <w:pPr>
      <w:pStyle w:val="Footer"/>
      <w:jc w:val="center"/>
      <w:rPr>
        <w:sz w:val="18"/>
        <w:szCs w:val="18"/>
      </w:rPr>
    </w:pPr>
    <w:r>
      <w:rPr>
        <w:rStyle w:val="PageNumber"/>
      </w:rPr>
      <w:fldChar w:fldCharType="begin"/>
    </w:r>
    <w:r w:rsidR="00104151">
      <w:rPr>
        <w:rStyle w:val="PageNumber"/>
      </w:rPr>
      <w:instrText xml:space="preserve"> PAGE </w:instrText>
    </w:r>
    <w:r>
      <w:rPr>
        <w:rStyle w:val="PageNumber"/>
      </w:rPr>
      <w:fldChar w:fldCharType="separate"/>
    </w:r>
    <w:r w:rsidR="003D671B">
      <w:rPr>
        <w:rStyle w:val="PageNumber"/>
        <w:noProof/>
      </w:rPr>
      <w:t>42</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51" w:rsidRDefault="00273F9D" w:rsidP="005027FD">
    <w:pPr>
      <w:pStyle w:val="Footer"/>
      <w:framePr w:wrap="around" w:vAnchor="text" w:hAnchor="margin" w:xAlign="center" w:y="1"/>
      <w:rPr>
        <w:rStyle w:val="PageNumber"/>
      </w:rPr>
    </w:pPr>
    <w:r>
      <w:rPr>
        <w:rStyle w:val="PageNumber"/>
      </w:rPr>
      <w:fldChar w:fldCharType="begin"/>
    </w:r>
    <w:r w:rsidR="00104151">
      <w:rPr>
        <w:rStyle w:val="PageNumber"/>
      </w:rPr>
      <w:instrText xml:space="preserve">PAGE  </w:instrText>
    </w:r>
    <w:r>
      <w:rPr>
        <w:rStyle w:val="PageNumber"/>
      </w:rPr>
      <w:fldChar w:fldCharType="separate"/>
    </w:r>
    <w:r w:rsidR="003D671B">
      <w:rPr>
        <w:rStyle w:val="PageNumber"/>
        <w:noProof/>
      </w:rPr>
      <w:t>59</w:t>
    </w:r>
    <w:r>
      <w:rPr>
        <w:rStyle w:val="PageNumber"/>
      </w:rPr>
      <w:fldChar w:fldCharType="end"/>
    </w:r>
  </w:p>
  <w:p w:rsidR="00104151" w:rsidRDefault="001041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151" w:rsidRDefault="00104151">
      <w:r>
        <w:separator/>
      </w:r>
    </w:p>
  </w:footnote>
  <w:footnote w:type="continuationSeparator" w:id="0">
    <w:p w:rsidR="00104151" w:rsidRDefault="00104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51" w:rsidRDefault="00273F9D" w:rsidP="005027FD">
    <w:pPr>
      <w:pStyle w:val="Header"/>
      <w:framePr w:wrap="around" w:vAnchor="text" w:hAnchor="margin" w:xAlign="center" w:y="1"/>
      <w:rPr>
        <w:rStyle w:val="PageNumber"/>
      </w:rPr>
    </w:pPr>
    <w:r>
      <w:rPr>
        <w:rStyle w:val="PageNumber"/>
      </w:rPr>
      <w:fldChar w:fldCharType="begin"/>
    </w:r>
    <w:r w:rsidR="00104151">
      <w:rPr>
        <w:rStyle w:val="PageNumber"/>
      </w:rPr>
      <w:instrText xml:space="preserve">PAGE  </w:instrText>
    </w:r>
    <w:r>
      <w:rPr>
        <w:rStyle w:val="PageNumber"/>
      </w:rPr>
      <w:fldChar w:fldCharType="separate"/>
    </w:r>
    <w:r w:rsidR="00104151">
      <w:rPr>
        <w:rStyle w:val="PageNumber"/>
        <w:noProof/>
      </w:rPr>
      <w:t>123</w:t>
    </w:r>
    <w:r>
      <w:rPr>
        <w:rStyle w:val="PageNumber"/>
      </w:rPr>
      <w:fldChar w:fldCharType="end"/>
    </w:r>
    <w:r>
      <w:rPr>
        <w:rStyle w:val="PageNumber"/>
      </w:rPr>
      <w:fldChar w:fldCharType="begin"/>
    </w:r>
    <w:r w:rsidR="00104151">
      <w:rPr>
        <w:rStyle w:val="PageNumber"/>
      </w:rPr>
      <w:instrText xml:space="preserve">PAGE  </w:instrText>
    </w:r>
    <w:r>
      <w:rPr>
        <w:rStyle w:val="PageNumber"/>
      </w:rPr>
      <w:fldChar w:fldCharType="end"/>
    </w:r>
  </w:p>
  <w:p w:rsidR="00104151" w:rsidRDefault="001041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51" w:rsidRPr="00A163EA" w:rsidRDefault="00104151" w:rsidP="005027FD">
    <w:pPr>
      <w:pStyle w:val="Header"/>
      <w:jc w:val="center"/>
      <w:rPr>
        <w:rFonts w:ascii="Times New Roman Bold" w:hAnsi="Times New Roman Bold"/>
        <w:b/>
        <w:color w:val="FF0000"/>
        <w:sz w:val="36"/>
        <w:szCs w:val="4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51" w:rsidRPr="00477008" w:rsidRDefault="00104151" w:rsidP="00477008">
    <w:pPr>
      <w:pStyle w:val="Header"/>
      <w:jc w:val="center"/>
      <w:rPr>
        <w:b/>
        <w:color w:val="FF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DC6"/>
    <w:multiLevelType w:val="hybridMultilevel"/>
    <w:tmpl w:val="738AD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794AFA"/>
    <w:multiLevelType w:val="hybridMultilevel"/>
    <w:tmpl w:val="56F456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9933B2"/>
    <w:multiLevelType w:val="hybridMultilevel"/>
    <w:tmpl w:val="E7009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813706E"/>
    <w:multiLevelType w:val="hybridMultilevel"/>
    <w:tmpl w:val="5A2C9B9C"/>
    <w:lvl w:ilvl="0" w:tplc="0409000F">
      <w:start w:val="1"/>
      <w:numFmt w:val="decimal"/>
      <w:lvlText w:val="%1."/>
      <w:lvlJc w:val="left"/>
      <w:pPr>
        <w:tabs>
          <w:tab w:val="num" w:pos="1080"/>
        </w:tabs>
        <w:ind w:left="1080" w:hanging="360"/>
      </w:pPr>
      <w:rPr>
        <w:rFonts w:cs="Times New Roman"/>
      </w:rPr>
    </w:lvl>
    <w:lvl w:ilvl="1" w:tplc="5B30B2DA">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89D2E89"/>
    <w:multiLevelType w:val="hybridMultilevel"/>
    <w:tmpl w:val="45D8EB6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8D63B35"/>
    <w:multiLevelType w:val="hybridMultilevel"/>
    <w:tmpl w:val="52E0D2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90C54E9"/>
    <w:multiLevelType w:val="hybridMultilevel"/>
    <w:tmpl w:val="66F40D68"/>
    <w:lvl w:ilvl="0" w:tplc="5B30B2DA">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F737D8"/>
    <w:multiLevelType w:val="hybridMultilevel"/>
    <w:tmpl w:val="70504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09661A"/>
    <w:multiLevelType w:val="hybridMultilevel"/>
    <w:tmpl w:val="8FFA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102C17"/>
    <w:multiLevelType w:val="hybridMultilevel"/>
    <w:tmpl w:val="A21480D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E6305D0"/>
    <w:multiLevelType w:val="hybridMultilevel"/>
    <w:tmpl w:val="6FCA1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A92535"/>
    <w:multiLevelType w:val="hybridMultilevel"/>
    <w:tmpl w:val="916C6EB6"/>
    <w:lvl w:ilvl="0" w:tplc="0409000F">
      <w:start w:val="1"/>
      <w:numFmt w:val="decimal"/>
      <w:lvlText w:val="%1."/>
      <w:lvlJc w:val="left"/>
      <w:pPr>
        <w:tabs>
          <w:tab w:val="num" w:pos="1080"/>
        </w:tabs>
        <w:ind w:left="1080" w:hanging="360"/>
      </w:pPr>
      <w:rPr>
        <w:rFonts w:cs="Times New Roman"/>
      </w:rPr>
    </w:lvl>
    <w:lvl w:ilvl="1" w:tplc="F6FE2D2E">
      <w:start w:val="4"/>
      <w:numFmt w:val="upperRoman"/>
      <w:lvlText w:val="%2."/>
      <w:lvlJc w:val="left"/>
      <w:pPr>
        <w:tabs>
          <w:tab w:val="num" w:pos="2160"/>
        </w:tabs>
        <w:ind w:left="2160" w:hanging="720"/>
      </w:pPr>
      <w:rPr>
        <w:rFonts w:cs="Times New Roman" w:hint="default"/>
      </w:rPr>
    </w:lvl>
    <w:lvl w:ilvl="2" w:tplc="CCF0B4F2">
      <w:start w:val="17"/>
      <w:numFmt w:val="upperLetter"/>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DA66C37"/>
    <w:multiLevelType w:val="hybridMultilevel"/>
    <w:tmpl w:val="8B106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C04944"/>
    <w:multiLevelType w:val="hybridMultilevel"/>
    <w:tmpl w:val="BFB6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D9285A"/>
    <w:multiLevelType w:val="hybridMultilevel"/>
    <w:tmpl w:val="6FE8A6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3D7A9D"/>
    <w:multiLevelType w:val="hybridMultilevel"/>
    <w:tmpl w:val="AE1049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330B6EAC"/>
    <w:multiLevelType w:val="hybridMultilevel"/>
    <w:tmpl w:val="66D6A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A30AB7"/>
    <w:multiLevelType w:val="hybridMultilevel"/>
    <w:tmpl w:val="1DFA534C"/>
    <w:lvl w:ilvl="0" w:tplc="04090001">
      <w:start w:val="1"/>
      <w:numFmt w:val="bullet"/>
      <w:lvlText w:val=""/>
      <w:lvlJc w:val="left"/>
      <w:pPr>
        <w:tabs>
          <w:tab w:val="num" w:pos="1080"/>
        </w:tabs>
        <w:ind w:left="1080" w:hanging="360"/>
      </w:pPr>
      <w:rPr>
        <w:rFonts w:ascii="Symbol" w:hAnsi="Symbol" w:hint="default"/>
      </w:rPr>
    </w:lvl>
    <w:lvl w:ilvl="1" w:tplc="F6A47FAC">
      <w:start w:val="1"/>
      <w:numFmt w:val="bullet"/>
      <w:lvlText w:val=""/>
      <w:lvlJc w:val="left"/>
      <w:pPr>
        <w:tabs>
          <w:tab w:val="num" w:pos="180"/>
        </w:tabs>
        <w:ind w:left="180" w:hanging="360"/>
      </w:pPr>
      <w:rPr>
        <w:rFonts w:ascii="Symbol" w:hAnsi="Symbol" w:hint="default"/>
      </w:rPr>
    </w:lvl>
    <w:lvl w:ilvl="2" w:tplc="04090005">
      <w:start w:val="1"/>
      <w:numFmt w:val="bullet"/>
      <w:lvlText w:val=""/>
      <w:lvlJc w:val="left"/>
      <w:pPr>
        <w:tabs>
          <w:tab w:val="num" w:pos="900"/>
        </w:tabs>
        <w:ind w:left="900" w:hanging="360"/>
      </w:pPr>
      <w:rPr>
        <w:rFonts w:ascii="Wingdings" w:hAnsi="Wingdings" w:hint="default"/>
      </w:rPr>
    </w:lvl>
    <w:lvl w:ilvl="3" w:tplc="04090003">
      <w:start w:val="1"/>
      <w:numFmt w:val="bullet"/>
      <w:lvlText w:val="o"/>
      <w:lvlJc w:val="left"/>
      <w:pPr>
        <w:tabs>
          <w:tab w:val="num" w:pos="1620"/>
        </w:tabs>
        <w:ind w:left="1620" w:hanging="360"/>
      </w:pPr>
      <w:rPr>
        <w:rFonts w:ascii="Courier New" w:hAnsi="Courier New" w:cs="Courier New"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8">
    <w:nsid w:val="34E61E26"/>
    <w:multiLevelType w:val="hybridMultilevel"/>
    <w:tmpl w:val="72AC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882E54"/>
    <w:multiLevelType w:val="hybridMultilevel"/>
    <w:tmpl w:val="245E7E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A20CB7"/>
    <w:multiLevelType w:val="hybridMultilevel"/>
    <w:tmpl w:val="154ECE04"/>
    <w:lvl w:ilvl="0" w:tplc="56A2E96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1">
    <w:nsid w:val="41744D28"/>
    <w:multiLevelType w:val="hybridMultilevel"/>
    <w:tmpl w:val="D3B8CB9E"/>
    <w:lvl w:ilvl="0" w:tplc="EFF63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7601D5"/>
    <w:multiLevelType w:val="hybridMultilevel"/>
    <w:tmpl w:val="2C808800"/>
    <w:lvl w:ilvl="0" w:tplc="729E7548">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24E6456"/>
    <w:multiLevelType w:val="multilevel"/>
    <w:tmpl w:val="08563F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482039B"/>
    <w:multiLevelType w:val="hybridMultilevel"/>
    <w:tmpl w:val="5CC2FB86"/>
    <w:lvl w:ilvl="0" w:tplc="04090019">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8A69B8">
      <w:start w:val="1"/>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458077CA"/>
    <w:multiLevelType w:val="hybridMultilevel"/>
    <w:tmpl w:val="0610D3F0"/>
    <w:lvl w:ilvl="0" w:tplc="4FE209D2">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66556BB"/>
    <w:multiLevelType w:val="hybridMultilevel"/>
    <w:tmpl w:val="2316569A"/>
    <w:lvl w:ilvl="0" w:tplc="5B30B2DA">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80501B"/>
    <w:multiLevelType w:val="hybridMultilevel"/>
    <w:tmpl w:val="C4DCD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0B38A7"/>
    <w:multiLevelType w:val="hybridMultilevel"/>
    <w:tmpl w:val="1F12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6B41B8"/>
    <w:multiLevelType w:val="hybridMultilevel"/>
    <w:tmpl w:val="47A86F24"/>
    <w:lvl w:ilvl="0" w:tplc="FA6227E8">
      <w:start w:val="1"/>
      <w:numFmt w:val="upperRoman"/>
      <w:pStyle w:val="BudgetHeading1"/>
      <w:lvlText w:val="%1."/>
      <w:lvlJc w:val="right"/>
      <w:pPr>
        <w:ind w:left="720" w:hanging="360"/>
      </w:pPr>
      <w:rPr>
        <w:rFonts w:hint="default"/>
      </w:rPr>
    </w:lvl>
    <w:lvl w:ilvl="1" w:tplc="A21A5F00">
      <w:start w:val="1"/>
      <w:numFmt w:val="upperLetter"/>
      <w:pStyle w:val="BudgetHeading2"/>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3B08F4"/>
    <w:multiLevelType w:val="hybridMultilevel"/>
    <w:tmpl w:val="45F8C826"/>
    <w:lvl w:ilvl="0" w:tplc="729E7548">
      <w:start w:val="1"/>
      <w:numFmt w:val="bullet"/>
      <w:lvlText w:val=""/>
      <w:lvlJc w:val="left"/>
      <w:pPr>
        <w:tabs>
          <w:tab w:val="num" w:pos="1080"/>
        </w:tabs>
        <w:ind w:left="1080" w:hanging="360"/>
      </w:pPr>
      <w:rPr>
        <w:rFonts w:ascii="Symbol" w:hAnsi="Symbol" w:hint="default"/>
      </w:rPr>
    </w:lvl>
    <w:lvl w:ilvl="1" w:tplc="729E7548">
      <w:start w:val="1"/>
      <w:numFmt w:val="bullet"/>
      <w:lvlText w:val=""/>
      <w:lvlJc w:val="left"/>
      <w:pPr>
        <w:tabs>
          <w:tab w:val="num" w:pos="2250"/>
        </w:tabs>
        <w:ind w:left="225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5835A7A"/>
    <w:multiLevelType w:val="hybridMultilevel"/>
    <w:tmpl w:val="9DD8F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E875D2"/>
    <w:multiLevelType w:val="hybridMultilevel"/>
    <w:tmpl w:val="9B8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7574FD"/>
    <w:multiLevelType w:val="hybridMultilevel"/>
    <w:tmpl w:val="9954A0CE"/>
    <w:lvl w:ilvl="0" w:tplc="B9908136">
      <w:start w:val="1"/>
      <w:numFmt w:val="lowerLetter"/>
      <w:lvlText w:val="%1."/>
      <w:lvlJc w:val="left"/>
      <w:pPr>
        <w:tabs>
          <w:tab w:val="num" w:pos="420"/>
        </w:tabs>
        <w:ind w:left="420" w:hanging="360"/>
      </w:pPr>
      <w:rPr>
        <w:rFonts w:cs="Times New Roman" w:hint="default"/>
      </w:rPr>
    </w:lvl>
    <w:lvl w:ilvl="1" w:tplc="0F72C858">
      <w:start w:val="3"/>
      <w:numFmt w:val="upperRoman"/>
      <w:lvlText w:val="%2."/>
      <w:lvlJc w:val="right"/>
      <w:pPr>
        <w:tabs>
          <w:tab w:val="num" w:pos="960"/>
        </w:tabs>
        <w:ind w:left="960" w:hanging="180"/>
      </w:pPr>
      <w:rPr>
        <w:rFonts w:cs="Times New Roman" w:hint="default"/>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34">
    <w:nsid w:val="59E14583"/>
    <w:multiLevelType w:val="hybridMultilevel"/>
    <w:tmpl w:val="C7709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AF709B6"/>
    <w:multiLevelType w:val="hybridMultilevel"/>
    <w:tmpl w:val="8D2A1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B144DA2"/>
    <w:multiLevelType w:val="hybridMultilevel"/>
    <w:tmpl w:val="2AA68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DD0FBA"/>
    <w:multiLevelType w:val="hybridMultilevel"/>
    <w:tmpl w:val="EA847CF4"/>
    <w:lvl w:ilvl="0" w:tplc="39AE555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38">
    <w:nsid w:val="60501DAB"/>
    <w:multiLevelType w:val="hybridMultilevel"/>
    <w:tmpl w:val="E3BEB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078252B"/>
    <w:multiLevelType w:val="hybridMultilevel"/>
    <w:tmpl w:val="3A40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6E3C99"/>
    <w:multiLevelType w:val="hybridMultilevel"/>
    <w:tmpl w:val="1584C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C891C8F"/>
    <w:multiLevelType w:val="hybridMultilevel"/>
    <w:tmpl w:val="96C0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AB7B79"/>
    <w:multiLevelType w:val="hybridMultilevel"/>
    <w:tmpl w:val="B790A2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8581125"/>
    <w:multiLevelType w:val="hybridMultilevel"/>
    <w:tmpl w:val="C08C59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9656882"/>
    <w:multiLevelType w:val="hybridMultilevel"/>
    <w:tmpl w:val="459E1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272E82"/>
    <w:multiLevelType w:val="hybridMultilevel"/>
    <w:tmpl w:val="EE747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C521BC4"/>
    <w:multiLevelType w:val="hybridMultilevel"/>
    <w:tmpl w:val="B1D6F0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E321E94"/>
    <w:multiLevelType w:val="hybridMultilevel"/>
    <w:tmpl w:val="4378D848"/>
    <w:lvl w:ilvl="0" w:tplc="0409000F">
      <w:start w:val="1"/>
      <w:numFmt w:val="decimal"/>
      <w:lvlText w:val="%1."/>
      <w:lvlJc w:val="left"/>
      <w:pPr>
        <w:tabs>
          <w:tab w:val="num" w:pos="1080"/>
        </w:tabs>
        <w:ind w:left="1080" w:hanging="360"/>
      </w:pPr>
      <w:rPr>
        <w:rFonts w:cs="Times New Roman"/>
      </w:rPr>
    </w:lvl>
    <w:lvl w:ilvl="1" w:tplc="E130875A">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47"/>
  </w:num>
  <w:num w:numId="2">
    <w:abstractNumId w:val="3"/>
  </w:num>
  <w:num w:numId="3">
    <w:abstractNumId w:val="11"/>
  </w:num>
  <w:num w:numId="4">
    <w:abstractNumId w:val="24"/>
  </w:num>
  <w:num w:numId="5">
    <w:abstractNumId w:val="33"/>
  </w:num>
  <w:num w:numId="6">
    <w:abstractNumId w:val="9"/>
  </w:num>
  <w:num w:numId="7">
    <w:abstractNumId w:val="22"/>
  </w:num>
  <w:num w:numId="8">
    <w:abstractNumId w:val="12"/>
  </w:num>
  <w:num w:numId="9">
    <w:abstractNumId w:val="14"/>
  </w:num>
  <w:num w:numId="10">
    <w:abstractNumId w:val="34"/>
  </w:num>
  <w:num w:numId="11">
    <w:abstractNumId w:val="0"/>
  </w:num>
  <w:num w:numId="12">
    <w:abstractNumId w:val="27"/>
  </w:num>
  <w:num w:numId="13">
    <w:abstractNumId w:val="38"/>
  </w:num>
  <w:num w:numId="14">
    <w:abstractNumId w:val="31"/>
  </w:num>
  <w:num w:numId="15">
    <w:abstractNumId w:val="36"/>
  </w:num>
  <w:num w:numId="16">
    <w:abstractNumId w:val="7"/>
  </w:num>
  <w:num w:numId="17">
    <w:abstractNumId w:val="40"/>
  </w:num>
  <w:num w:numId="18">
    <w:abstractNumId w:val="35"/>
  </w:num>
  <w:num w:numId="19">
    <w:abstractNumId w:val="16"/>
  </w:num>
  <w:num w:numId="20">
    <w:abstractNumId w:val="10"/>
  </w:num>
  <w:num w:numId="21">
    <w:abstractNumId w:val="45"/>
  </w:num>
  <w:num w:numId="22">
    <w:abstractNumId w:val="41"/>
  </w:num>
  <w:num w:numId="23">
    <w:abstractNumId w:val="1"/>
  </w:num>
  <w:num w:numId="24">
    <w:abstractNumId w:val="19"/>
  </w:num>
  <w:num w:numId="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6"/>
  </w:num>
  <w:num w:numId="29">
    <w:abstractNumId w:val="39"/>
  </w:num>
  <w:num w:numId="30">
    <w:abstractNumId w:val="29"/>
  </w:num>
  <w:num w:numId="31">
    <w:abstractNumId w:val="30"/>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2"/>
  </w:num>
  <w:num w:numId="41">
    <w:abstractNumId w:val="25"/>
  </w:num>
  <w:num w:numId="42">
    <w:abstractNumId w:val="37"/>
  </w:num>
  <w:num w:numId="43">
    <w:abstractNumId w:val="20"/>
  </w:num>
  <w:num w:numId="44">
    <w:abstractNumId w:val="17"/>
  </w:num>
  <w:num w:numId="45">
    <w:abstractNumId w:val="2"/>
  </w:num>
  <w:num w:numId="46">
    <w:abstractNumId w:val="46"/>
  </w:num>
  <w:num w:numId="47">
    <w:abstractNumId w:val="43"/>
  </w:num>
  <w:num w:numId="48">
    <w:abstractNumId w:val="5"/>
  </w:num>
  <w:num w:numId="49">
    <w:abstractNumId w:val="42"/>
  </w:num>
  <w:num w:numId="50">
    <w:abstractNumId w:val="26"/>
  </w:num>
  <w:num w:numId="51">
    <w:abstractNumId w:val="8"/>
  </w:num>
  <w:num w:numId="52">
    <w:abstractNumId w:val="28"/>
  </w:num>
  <w:num w:numId="53">
    <w:abstractNumId w:val="18"/>
  </w:num>
  <w:num w:numId="54">
    <w:abstractNumId w:val="2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trackRevisions/>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numStart w:val="8"/>
    <w:footnote w:id="-1"/>
    <w:footnote w:id="0"/>
  </w:footnotePr>
  <w:endnotePr>
    <w:endnote w:id="-1"/>
    <w:endnote w:id="0"/>
  </w:endnotePr>
  <w:compat/>
  <w:rsids>
    <w:rsidRoot w:val="005027FD"/>
    <w:rsid w:val="00000622"/>
    <w:rsid w:val="00000D34"/>
    <w:rsid w:val="000012A4"/>
    <w:rsid w:val="000013B6"/>
    <w:rsid w:val="00001D61"/>
    <w:rsid w:val="00001E61"/>
    <w:rsid w:val="00002658"/>
    <w:rsid w:val="00002ADE"/>
    <w:rsid w:val="00002C26"/>
    <w:rsid w:val="00002C85"/>
    <w:rsid w:val="00004332"/>
    <w:rsid w:val="0000434B"/>
    <w:rsid w:val="00004641"/>
    <w:rsid w:val="00005459"/>
    <w:rsid w:val="00005511"/>
    <w:rsid w:val="0000568C"/>
    <w:rsid w:val="00006257"/>
    <w:rsid w:val="00006356"/>
    <w:rsid w:val="00006CDB"/>
    <w:rsid w:val="00006DC5"/>
    <w:rsid w:val="000071DF"/>
    <w:rsid w:val="000071EE"/>
    <w:rsid w:val="0000720D"/>
    <w:rsid w:val="0000765D"/>
    <w:rsid w:val="00007700"/>
    <w:rsid w:val="00007900"/>
    <w:rsid w:val="00007F0A"/>
    <w:rsid w:val="00010144"/>
    <w:rsid w:val="00010455"/>
    <w:rsid w:val="00010641"/>
    <w:rsid w:val="000114F5"/>
    <w:rsid w:val="00011804"/>
    <w:rsid w:val="00012260"/>
    <w:rsid w:val="000123D3"/>
    <w:rsid w:val="00012433"/>
    <w:rsid w:val="000126CB"/>
    <w:rsid w:val="0001307E"/>
    <w:rsid w:val="0001368F"/>
    <w:rsid w:val="00013C5C"/>
    <w:rsid w:val="00013D6B"/>
    <w:rsid w:val="00013E12"/>
    <w:rsid w:val="00014458"/>
    <w:rsid w:val="00014515"/>
    <w:rsid w:val="00014863"/>
    <w:rsid w:val="0001531E"/>
    <w:rsid w:val="0001684B"/>
    <w:rsid w:val="00017D89"/>
    <w:rsid w:val="00020F8B"/>
    <w:rsid w:val="00021165"/>
    <w:rsid w:val="000212E7"/>
    <w:rsid w:val="0002351E"/>
    <w:rsid w:val="00023782"/>
    <w:rsid w:val="000237C4"/>
    <w:rsid w:val="00025585"/>
    <w:rsid w:val="00025E48"/>
    <w:rsid w:val="0002618F"/>
    <w:rsid w:val="00027DE2"/>
    <w:rsid w:val="00027FBC"/>
    <w:rsid w:val="00030B46"/>
    <w:rsid w:val="00030F44"/>
    <w:rsid w:val="00031E74"/>
    <w:rsid w:val="00031F2E"/>
    <w:rsid w:val="00031FFC"/>
    <w:rsid w:val="00032787"/>
    <w:rsid w:val="00033A51"/>
    <w:rsid w:val="00033ED7"/>
    <w:rsid w:val="00034CF3"/>
    <w:rsid w:val="00035597"/>
    <w:rsid w:val="00035A8F"/>
    <w:rsid w:val="00035B47"/>
    <w:rsid w:val="000366C5"/>
    <w:rsid w:val="00036A74"/>
    <w:rsid w:val="00037171"/>
    <w:rsid w:val="00037E6E"/>
    <w:rsid w:val="00040051"/>
    <w:rsid w:val="00040179"/>
    <w:rsid w:val="0004042D"/>
    <w:rsid w:val="0004085C"/>
    <w:rsid w:val="000408EA"/>
    <w:rsid w:val="000409EB"/>
    <w:rsid w:val="00040A89"/>
    <w:rsid w:val="000414DE"/>
    <w:rsid w:val="0004175E"/>
    <w:rsid w:val="00043547"/>
    <w:rsid w:val="000438B2"/>
    <w:rsid w:val="00043CDC"/>
    <w:rsid w:val="000445DF"/>
    <w:rsid w:val="00044B3F"/>
    <w:rsid w:val="00044D11"/>
    <w:rsid w:val="000450ED"/>
    <w:rsid w:val="000457A3"/>
    <w:rsid w:val="00045964"/>
    <w:rsid w:val="00046607"/>
    <w:rsid w:val="00046856"/>
    <w:rsid w:val="000474B0"/>
    <w:rsid w:val="000478CC"/>
    <w:rsid w:val="00047D04"/>
    <w:rsid w:val="00050244"/>
    <w:rsid w:val="00050889"/>
    <w:rsid w:val="00050E93"/>
    <w:rsid w:val="00051247"/>
    <w:rsid w:val="000513F1"/>
    <w:rsid w:val="00051656"/>
    <w:rsid w:val="000516E3"/>
    <w:rsid w:val="00052286"/>
    <w:rsid w:val="0005249D"/>
    <w:rsid w:val="00052592"/>
    <w:rsid w:val="00053087"/>
    <w:rsid w:val="00053246"/>
    <w:rsid w:val="000532A5"/>
    <w:rsid w:val="000532CE"/>
    <w:rsid w:val="00053A54"/>
    <w:rsid w:val="00054A97"/>
    <w:rsid w:val="00055392"/>
    <w:rsid w:val="000559A0"/>
    <w:rsid w:val="000559AF"/>
    <w:rsid w:val="00055B3A"/>
    <w:rsid w:val="00055D70"/>
    <w:rsid w:val="00056A4E"/>
    <w:rsid w:val="00056D3B"/>
    <w:rsid w:val="00057E93"/>
    <w:rsid w:val="000603C2"/>
    <w:rsid w:val="000604B7"/>
    <w:rsid w:val="000606E4"/>
    <w:rsid w:val="0006082A"/>
    <w:rsid w:val="0006084A"/>
    <w:rsid w:val="0006132B"/>
    <w:rsid w:val="00061721"/>
    <w:rsid w:val="00061BFF"/>
    <w:rsid w:val="00061E6D"/>
    <w:rsid w:val="00062274"/>
    <w:rsid w:val="000629D9"/>
    <w:rsid w:val="00063DAF"/>
    <w:rsid w:val="00063F15"/>
    <w:rsid w:val="00064CC2"/>
    <w:rsid w:val="00064EDA"/>
    <w:rsid w:val="000655E4"/>
    <w:rsid w:val="00065726"/>
    <w:rsid w:val="000658F4"/>
    <w:rsid w:val="00065F1F"/>
    <w:rsid w:val="000663CF"/>
    <w:rsid w:val="00066449"/>
    <w:rsid w:val="000667C3"/>
    <w:rsid w:val="00066DF2"/>
    <w:rsid w:val="00066E5E"/>
    <w:rsid w:val="0006795D"/>
    <w:rsid w:val="00067D7A"/>
    <w:rsid w:val="0007043E"/>
    <w:rsid w:val="00070C6F"/>
    <w:rsid w:val="000711D6"/>
    <w:rsid w:val="000713FE"/>
    <w:rsid w:val="000716DD"/>
    <w:rsid w:val="00071FED"/>
    <w:rsid w:val="0007357C"/>
    <w:rsid w:val="00073711"/>
    <w:rsid w:val="00074473"/>
    <w:rsid w:val="0007453E"/>
    <w:rsid w:val="000749A2"/>
    <w:rsid w:val="0007595C"/>
    <w:rsid w:val="0007663C"/>
    <w:rsid w:val="000766C9"/>
    <w:rsid w:val="00076881"/>
    <w:rsid w:val="00076B5E"/>
    <w:rsid w:val="00076BD9"/>
    <w:rsid w:val="00077033"/>
    <w:rsid w:val="00080EFA"/>
    <w:rsid w:val="00081053"/>
    <w:rsid w:val="000816FC"/>
    <w:rsid w:val="000817D2"/>
    <w:rsid w:val="00081B48"/>
    <w:rsid w:val="00081E30"/>
    <w:rsid w:val="00081EB2"/>
    <w:rsid w:val="0008296F"/>
    <w:rsid w:val="000831E3"/>
    <w:rsid w:val="0008373A"/>
    <w:rsid w:val="000838F8"/>
    <w:rsid w:val="00084127"/>
    <w:rsid w:val="00084E3C"/>
    <w:rsid w:val="000851DD"/>
    <w:rsid w:val="00085DB1"/>
    <w:rsid w:val="00085FAE"/>
    <w:rsid w:val="00086196"/>
    <w:rsid w:val="000900E7"/>
    <w:rsid w:val="00090330"/>
    <w:rsid w:val="000912FC"/>
    <w:rsid w:val="000914D7"/>
    <w:rsid w:val="0009194F"/>
    <w:rsid w:val="00092041"/>
    <w:rsid w:val="000921E1"/>
    <w:rsid w:val="00092352"/>
    <w:rsid w:val="00092A3A"/>
    <w:rsid w:val="00092BDE"/>
    <w:rsid w:val="00093857"/>
    <w:rsid w:val="00094208"/>
    <w:rsid w:val="000948CB"/>
    <w:rsid w:val="00094A0A"/>
    <w:rsid w:val="00095311"/>
    <w:rsid w:val="00095B48"/>
    <w:rsid w:val="00095FE7"/>
    <w:rsid w:val="0009706B"/>
    <w:rsid w:val="0009731C"/>
    <w:rsid w:val="00097574"/>
    <w:rsid w:val="000A0030"/>
    <w:rsid w:val="000A051C"/>
    <w:rsid w:val="000A062D"/>
    <w:rsid w:val="000A07B7"/>
    <w:rsid w:val="000A0808"/>
    <w:rsid w:val="000A0DF2"/>
    <w:rsid w:val="000A0FFE"/>
    <w:rsid w:val="000A28FC"/>
    <w:rsid w:val="000A2E1E"/>
    <w:rsid w:val="000A3ACB"/>
    <w:rsid w:val="000A3AE9"/>
    <w:rsid w:val="000A4ABF"/>
    <w:rsid w:val="000A4DE1"/>
    <w:rsid w:val="000A6AFA"/>
    <w:rsid w:val="000A6D56"/>
    <w:rsid w:val="000A709B"/>
    <w:rsid w:val="000A7AC6"/>
    <w:rsid w:val="000A7FDC"/>
    <w:rsid w:val="000B00C6"/>
    <w:rsid w:val="000B0329"/>
    <w:rsid w:val="000B035C"/>
    <w:rsid w:val="000B0556"/>
    <w:rsid w:val="000B08AE"/>
    <w:rsid w:val="000B1154"/>
    <w:rsid w:val="000B1270"/>
    <w:rsid w:val="000B1B74"/>
    <w:rsid w:val="000B1E40"/>
    <w:rsid w:val="000B201B"/>
    <w:rsid w:val="000B38B9"/>
    <w:rsid w:val="000B47E9"/>
    <w:rsid w:val="000B5D83"/>
    <w:rsid w:val="000B61EB"/>
    <w:rsid w:val="000B6248"/>
    <w:rsid w:val="000B6DB3"/>
    <w:rsid w:val="000B6E2F"/>
    <w:rsid w:val="000C007B"/>
    <w:rsid w:val="000C0422"/>
    <w:rsid w:val="000C065D"/>
    <w:rsid w:val="000C0747"/>
    <w:rsid w:val="000C13CD"/>
    <w:rsid w:val="000C1B36"/>
    <w:rsid w:val="000C1D1C"/>
    <w:rsid w:val="000C1EAA"/>
    <w:rsid w:val="000C32BA"/>
    <w:rsid w:val="000C3307"/>
    <w:rsid w:val="000C4430"/>
    <w:rsid w:val="000C4AD3"/>
    <w:rsid w:val="000C4F8C"/>
    <w:rsid w:val="000C5140"/>
    <w:rsid w:val="000C5232"/>
    <w:rsid w:val="000C52A7"/>
    <w:rsid w:val="000C56F3"/>
    <w:rsid w:val="000C575F"/>
    <w:rsid w:val="000C6191"/>
    <w:rsid w:val="000C6824"/>
    <w:rsid w:val="000C6990"/>
    <w:rsid w:val="000C7CB3"/>
    <w:rsid w:val="000D090C"/>
    <w:rsid w:val="000D0CF6"/>
    <w:rsid w:val="000D155F"/>
    <w:rsid w:val="000D2456"/>
    <w:rsid w:val="000D25E7"/>
    <w:rsid w:val="000D2E25"/>
    <w:rsid w:val="000D36EF"/>
    <w:rsid w:val="000D38FA"/>
    <w:rsid w:val="000D3D6B"/>
    <w:rsid w:val="000D3FE7"/>
    <w:rsid w:val="000D427D"/>
    <w:rsid w:val="000D48C2"/>
    <w:rsid w:val="000D4912"/>
    <w:rsid w:val="000D4D9F"/>
    <w:rsid w:val="000D583F"/>
    <w:rsid w:val="000D5CE1"/>
    <w:rsid w:val="000D5EA0"/>
    <w:rsid w:val="000D6B65"/>
    <w:rsid w:val="000E0DB5"/>
    <w:rsid w:val="000E2874"/>
    <w:rsid w:val="000E3293"/>
    <w:rsid w:val="000E3B2D"/>
    <w:rsid w:val="000E41AA"/>
    <w:rsid w:val="000E4234"/>
    <w:rsid w:val="000E48E8"/>
    <w:rsid w:val="000E49FE"/>
    <w:rsid w:val="000E4E87"/>
    <w:rsid w:val="000E523C"/>
    <w:rsid w:val="000E54A1"/>
    <w:rsid w:val="000E54C7"/>
    <w:rsid w:val="000E5B09"/>
    <w:rsid w:val="000E5ED9"/>
    <w:rsid w:val="000E66F2"/>
    <w:rsid w:val="000E7428"/>
    <w:rsid w:val="000E7649"/>
    <w:rsid w:val="000E76A4"/>
    <w:rsid w:val="000E7C82"/>
    <w:rsid w:val="000F00F5"/>
    <w:rsid w:val="000F03A1"/>
    <w:rsid w:val="000F0CAC"/>
    <w:rsid w:val="000F0CD1"/>
    <w:rsid w:val="000F1162"/>
    <w:rsid w:val="000F1187"/>
    <w:rsid w:val="000F120B"/>
    <w:rsid w:val="000F16BF"/>
    <w:rsid w:val="000F170E"/>
    <w:rsid w:val="000F2045"/>
    <w:rsid w:val="000F22CD"/>
    <w:rsid w:val="000F24B2"/>
    <w:rsid w:val="000F2E8E"/>
    <w:rsid w:val="000F3AE3"/>
    <w:rsid w:val="000F3D38"/>
    <w:rsid w:val="000F3D8E"/>
    <w:rsid w:val="000F3DE9"/>
    <w:rsid w:val="000F43DB"/>
    <w:rsid w:val="000F48E8"/>
    <w:rsid w:val="000F4BAB"/>
    <w:rsid w:val="000F50AA"/>
    <w:rsid w:val="000F5EDD"/>
    <w:rsid w:val="000F6815"/>
    <w:rsid w:val="000F70EE"/>
    <w:rsid w:val="000F7727"/>
    <w:rsid w:val="000F77C1"/>
    <w:rsid w:val="000F7814"/>
    <w:rsid w:val="000F7D14"/>
    <w:rsid w:val="000F7D73"/>
    <w:rsid w:val="0010017D"/>
    <w:rsid w:val="00100C0F"/>
    <w:rsid w:val="00100F7D"/>
    <w:rsid w:val="001019C8"/>
    <w:rsid w:val="0010210D"/>
    <w:rsid w:val="00102472"/>
    <w:rsid w:val="001025A5"/>
    <w:rsid w:val="001028B8"/>
    <w:rsid w:val="00103468"/>
    <w:rsid w:val="001037DE"/>
    <w:rsid w:val="0010410B"/>
    <w:rsid w:val="00104151"/>
    <w:rsid w:val="001046DB"/>
    <w:rsid w:val="00104A37"/>
    <w:rsid w:val="00104F29"/>
    <w:rsid w:val="00104F53"/>
    <w:rsid w:val="00105B46"/>
    <w:rsid w:val="00105EF8"/>
    <w:rsid w:val="001063BB"/>
    <w:rsid w:val="00106741"/>
    <w:rsid w:val="0010691C"/>
    <w:rsid w:val="00106C0B"/>
    <w:rsid w:val="00107205"/>
    <w:rsid w:val="001076DF"/>
    <w:rsid w:val="00107832"/>
    <w:rsid w:val="001103AB"/>
    <w:rsid w:val="00110B68"/>
    <w:rsid w:val="001115EC"/>
    <w:rsid w:val="00112064"/>
    <w:rsid w:val="00112546"/>
    <w:rsid w:val="001126E7"/>
    <w:rsid w:val="0011281D"/>
    <w:rsid w:val="00112B55"/>
    <w:rsid w:val="00112E79"/>
    <w:rsid w:val="00113334"/>
    <w:rsid w:val="001135C3"/>
    <w:rsid w:val="001145F2"/>
    <w:rsid w:val="0011478D"/>
    <w:rsid w:val="00115B7A"/>
    <w:rsid w:val="00115D7C"/>
    <w:rsid w:val="0011657D"/>
    <w:rsid w:val="00116BBF"/>
    <w:rsid w:val="00116FD5"/>
    <w:rsid w:val="001176C3"/>
    <w:rsid w:val="00117A54"/>
    <w:rsid w:val="00117E63"/>
    <w:rsid w:val="001204F8"/>
    <w:rsid w:val="00120D00"/>
    <w:rsid w:val="00121D2D"/>
    <w:rsid w:val="0012290C"/>
    <w:rsid w:val="00122AC6"/>
    <w:rsid w:val="00123E5B"/>
    <w:rsid w:val="00124288"/>
    <w:rsid w:val="001248B2"/>
    <w:rsid w:val="00125E4F"/>
    <w:rsid w:val="00126060"/>
    <w:rsid w:val="001263A4"/>
    <w:rsid w:val="00126F07"/>
    <w:rsid w:val="001271F8"/>
    <w:rsid w:val="00127253"/>
    <w:rsid w:val="00130218"/>
    <w:rsid w:val="0013044F"/>
    <w:rsid w:val="00130541"/>
    <w:rsid w:val="00130B44"/>
    <w:rsid w:val="00130D87"/>
    <w:rsid w:val="001312B4"/>
    <w:rsid w:val="0013136D"/>
    <w:rsid w:val="001318B4"/>
    <w:rsid w:val="001319DF"/>
    <w:rsid w:val="001333DE"/>
    <w:rsid w:val="0013355D"/>
    <w:rsid w:val="0013459C"/>
    <w:rsid w:val="001346E0"/>
    <w:rsid w:val="00134A2A"/>
    <w:rsid w:val="00134ACE"/>
    <w:rsid w:val="001352A6"/>
    <w:rsid w:val="00135476"/>
    <w:rsid w:val="0013620B"/>
    <w:rsid w:val="0013719B"/>
    <w:rsid w:val="00137423"/>
    <w:rsid w:val="0013784C"/>
    <w:rsid w:val="00137B25"/>
    <w:rsid w:val="001404BA"/>
    <w:rsid w:val="00141127"/>
    <w:rsid w:val="001411FC"/>
    <w:rsid w:val="00143009"/>
    <w:rsid w:val="001437CA"/>
    <w:rsid w:val="00143E20"/>
    <w:rsid w:val="00143E46"/>
    <w:rsid w:val="00144086"/>
    <w:rsid w:val="001446DD"/>
    <w:rsid w:val="001449AF"/>
    <w:rsid w:val="00144F94"/>
    <w:rsid w:val="001450D9"/>
    <w:rsid w:val="0014533E"/>
    <w:rsid w:val="0014571D"/>
    <w:rsid w:val="001462C3"/>
    <w:rsid w:val="00146AEF"/>
    <w:rsid w:val="00146C17"/>
    <w:rsid w:val="00146CA4"/>
    <w:rsid w:val="00147C21"/>
    <w:rsid w:val="0015021A"/>
    <w:rsid w:val="00150B2F"/>
    <w:rsid w:val="0015180C"/>
    <w:rsid w:val="00151B07"/>
    <w:rsid w:val="00152E42"/>
    <w:rsid w:val="00152EF2"/>
    <w:rsid w:val="00153167"/>
    <w:rsid w:val="00153EAD"/>
    <w:rsid w:val="00153F90"/>
    <w:rsid w:val="00154293"/>
    <w:rsid w:val="00154ED8"/>
    <w:rsid w:val="001550CC"/>
    <w:rsid w:val="00157FD9"/>
    <w:rsid w:val="001608E8"/>
    <w:rsid w:val="00161301"/>
    <w:rsid w:val="00161588"/>
    <w:rsid w:val="00162740"/>
    <w:rsid w:val="00162D70"/>
    <w:rsid w:val="001639BA"/>
    <w:rsid w:val="00163C5F"/>
    <w:rsid w:val="0016431F"/>
    <w:rsid w:val="00165B3A"/>
    <w:rsid w:val="00165DCF"/>
    <w:rsid w:val="001667AC"/>
    <w:rsid w:val="00166DEB"/>
    <w:rsid w:val="00166E53"/>
    <w:rsid w:val="00166FFC"/>
    <w:rsid w:val="001679CE"/>
    <w:rsid w:val="001714AA"/>
    <w:rsid w:val="00171567"/>
    <w:rsid w:val="00172D12"/>
    <w:rsid w:val="00173331"/>
    <w:rsid w:val="00173E25"/>
    <w:rsid w:val="00174069"/>
    <w:rsid w:val="001754BC"/>
    <w:rsid w:val="00175A25"/>
    <w:rsid w:val="00175C56"/>
    <w:rsid w:val="00175D6E"/>
    <w:rsid w:val="00175F9A"/>
    <w:rsid w:val="0017615F"/>
    <w:rsid w:val="001767CF"/>
    <w:rsid w:val="00176864"/>
    <w:rsid w:val="00176A85"/>
    <w:rsid w:val="00176AE6"/>
    <w:rsid w:val="0017794C"/>
    <w:rsid w:val="0018003B"/>
    <w:rsid w:val="001800C3"/>
    <w:rsid w:val="00180B67"/>
    <w:rsid w:val="00180DE5"/>
    <w:rsid w:val="00181582"/>
    <w:rsid w:val="0018158A"/>
    <w:rsid w:val="00182A22"/>
    <w:rsid w:val="00183A9F"/>
    <w:rsid w:val="00183CF8"/>
    <w:rsid w:val="0018410E"/>
    <w:rsid w:val="00184A55"/>
    <w:rsid w:val="00184F26"/>
    <w:rsid w:val="00184F2F"/>
    <w:rsid w:val="00185211"/>
    <w:rsid w:val="001854CA"/>
    <w:rsid w:val="00186049"/>
    <w:rsid w:val="001860C0"/>
    <w:rsid w:val="00186E18"/>
    <w:rsid w:val="001877D0"/>
    <w:rsid w:val="00187AF4"/>
    <w:rsid w:val="00187FCF"/>
    <w:rsid w:val="00190A7E"/>
    <w:rsid w:val="00191510"/>
    <w:rsid w:val="00192342"/>
    <w:rsid w:val="00192504"/>
    <w:rsid w:val="001928B5"/>
    <w:rsid w:val="00192BA3"/>
    <w:rsid w:val="0019306B"/>
    <w:rsid w:val="00193712"/>
    <w:rsid w:val="00193A5C"/>
    <w:rsid w:val="00193CE6"/>
    <w:rsid w:val="00194336"/>
    <w:rsid w:val="001944D8"/>
    <w:rsid w:val="001945B7"/>
    <w:rsid w:val="00195942"/>
    <w:rsid w:val="00195DF5"/>
    <w:rsid w:val="001960D9"/>
    <w:rsid w:val="0019746F"/>
    <w:rsid w:val="00197DC7"/>
    <w:rsid w:val="001A007F"/>
    <w:rsid w:val="001A08EB"/>
    <w:rsid w:val="001A09DA"/>
    <w:rsid w:val="001A0B1D"/>
    <w:rsid w:val="001A0FCD"/>
    <w:rsid w:val="001A22D4"/>
    <w:rsid w:val="001A29A3"/>
    <w:rsid w:val="001A2C75"/>
    <w:rsid w:val="001A2D16"/>
    <w:rsid w:val="001A2DA2"/>
    <w:rsid w:val="001A4266"/>
    <w:rsid w:val="001A455D"/>
    <w:rsid w:val="001A48F7"/>
    <w:rsid w:val="001A4CF5"/>
    <w:rsid w:val="001A6223"/>
    <w:rsid w:val="001A68DC"/>
    <w:rsid w:val="001A6E16"/>
    <w:rsid w:val="001A7027"/>
    <w:rsid w:val="001B0C27"/>
    <w:rsid w:val="001B1CC0"/>
    <w:rsid w:val="001B3341"/>
    <w:rsid w:val="001B3B26"/>
    <w:rsid w:val="001B4050"/>
    <w:rsid w:val="001B41CC"/>
    <w:rsid w:val="001B49BA"/>
    <w:rsid w:val="001B50EE"/>
    <w:rsid w:val="001B514B"/>
    <w:rsid w:val="001B53AF"/>
    <w:rsid w:val="001B5E22"/>
    <w:rsid w:val="001B67A1"/>
    <w:rsid w:val="001B6DFC"/>
    <w:rsid w:val="001B73A6"/>
    <w:rsid w:val="001B746B"/>
    <w:rsid w:val="001B7A72"/>
    <w:rsid w:val="001B7D6A"/>
    <w:rsid w:val="001C1436"/>
    <w:rsid w:val="001C183E"/>
    <w:rsid w:val="001C1D60"/>
    <w:rsid w:val="001C2ADC"/>
    <w:rsid w:val="001C2B9A"/>
    <w:rsid w:val="001C2BEE"/>
    <w:rsid w:val="001C30A9"/>
    <w:rsid w:val="001C4463"/>
    <w:rsid w:val="001C49E4"/>
    <w:rsid w:val="001C4E3E"/>
    <w:rsid w:val="001C5C93"/>
    <w:rsid w:val="001C5FBF"/>
    <w:rsid w:val="001C60DC"/>
    <w:rsid w:val="001C63D0"/>
    <w:rsid w:val="001C6439"/>
    <w:rsid w:val="001C6640"/>
    <w:rsid w:val="001C6AB6"/>
    <w:rsid w:val="001C6D16"/>
    <w:rsid w:val="001C7256"/>
    <w:rsid w:val="001C769E"/>
    <w:rsid w:val="001C775F"/>
    <w:rsid w:val="001C7C26"/>
    <w:rsid w:val="001D00A0"/>
    <w:rsid w:val="001D0F24"/>
    <w:rsid w:val="001D10C5"/>
    <w:rsid w:val="001D13CF"/>
    <w:rsid w:val="001D1C39"/>
    <w:rsid w:val="001D22C0"/>
    <w:rsid w:val="001D25AF"/>
    <w:rsid w:val="001D3ADF"/>
    <w:rsid w:val="001D42BF"/>
    <w:rsid w:val="001D45E9"/>
    <w:rsid w:val="001D5117"/>
    <w:rsid w:val="001D5875"/>
    <w:rsid w:val="001D591E"/>
    <w:rsid w:val="001D6B17"/>
    <w:rsid w:val="001D6D8B"/>
    <w:rsid w:val="001D72D2"/>
    <w:rsid w:val="001D78B0"/>
    <w:rsid w:val="001E0254"/>
    <w:rsid w:val="001E04C1"/>
    <w:rsid w:val="001E052A"/>
    <w:rsid w:val="001E0E28"/>
    <w:rsid w:val="001E1CC3"/>
    <w:rsid w:val="001E2927"/>
    <w:rsid w:val="001E2C28"/>
    <w:rsid w:val="001E3747"/>
    <w:rsid w:val="001E3B68"/>
    <w:rsid w:val="001E3DF4"/>
    <w:rsid w:val="001E4F28"/>
    <w:rsid w:val="001E5D34"/>
    <w:rsid w:val="001E6149"/>
    <w:rsid w:val="001E61E6"/>
    <w:rsid w:val="001E6484"/>
    <w:rsid w:val="001E7347"/>
    <w:rsid w:val="001E76EB"/>
    <w:rsid w:val="001F00B0"/>
    <w:rsid w:val="001F16DA"/>
    <w:rsid w:val="001F204B"/>
    <w:rsid w:val="001F21D7"/>
    <w:rsid w:val="001F29E9"/>
    <w:rsid w:val="001F2F4B"/>
    <w:rsid w:val="001F317E"/>
    <w:rsid w:val="001F3224"/>
    <w:rsid w:val="001F3494"/>
    <w:rsid w:val="001F3533"/>
    <w:rsid w:val="001F39DC"/>
    <w:rsid w:val="001F4720"/>
    <w:rsid w:val="001F4DEE"/>
    <w:rsid w:val="001F53C4"/>
    <w:rsid w:val="001F5EA4"/>
    <w:rsid w:val="001F69D8"/>
    <w:rsid w:val="001F6BE5"/>
    <w:rsid w:val="001F6E0C"/>
    <w:rsid w:val="001F71A9"/>
    <w:rsid w:val="001F72DE"/>
    <w:rsid w:val="001F748D"/>
    <w:rsid w:val="001F7D2C"/>
    <w:rsid w:val="001F7F5E"/>
    <w:rsid w:val="00200195"/>
    <w:rsid w:val="002001EF"/>
    <w:rsid w:val="00201FFB"/>
    <w:rsid w:val="00202F05"/>
    <w:rsid w:val="00203EF0"/>
    <w:rsid w:val="00204A06"/>
    <w:rsid w:val="00204E96"/>
    <w:rsid w:val="00205900"/>
    <w:rsid w:val="00205DE7"/>
    <w:rsid w:val="00206402"/>
    <w:rsid w:val="002064AE"/>
    <w:rsid w:val="00206A84"/>
    <w:rsid w:val="00207AFF"/>
    <w:rsid w:val="00207DA9"/>
    <w:rsid w:val="00212F78"/>
    <w:rsid w:val="0021393C"/>
    <w:rsid w:val="002144F3"/>
    <w:rsid w:val="0021491A"/>
    <w:rsid w:val="0021623B"/>
    <w:rsid w:val="00216352"/>
    <w:rsid w:val="0021717E"/>
    <w:rsid w:val="0021776B"/>
    <w:rsid w:val="00217B89"/>
    <w:rsid w:val="00217BFE"/>
    <w:rsid w:val="002202BF"/>
    <w:rsid w:val="00220A55"/>
    <w:rsid w:val="00221230"/>
    <w:rsid w:val="00221501"/>
    <w:rsid w:val="00221682"/>
    <w:rsid w:val="002219D0"/>
    <w:rsid w:val="002221CB"/>
    <w:rsid w:val="002236AF"/>
    <w:rsid w:val="00223700"/>
    <w:rsid w:val="00223703"/>
    <w:rsid w:val="00223AA2"/>
    <w:rsid w:val="00224133"/>
    <w:rsid w:val="0022457A"/>
    <w:rsid w:val="002250F4"/>
    <w:rsid w:val="00225126"/>
    <w:rsid w:val="002255FB"/>
    <w:rsid w:val="002257AC"/>
    <w:rsid w:val="00225C19"/>
    <w:rsid w:val="00226724"/>
    <w:rsid w:val="002267B1"/>
    <w:rsid w:val="00227B00"/>
    <w:rsid w:val="00227E46"/>
    <w:rsid w:val="00230E51"/>
    <w:rsid w:val="00232655"/>
    <w:rsid w:val="00232C05"/>
    <w:rsid w:val="0023332C"/>
    <w:rsid w:val="002338EB"/>
    <w:rsid w:val="00233BD4"/>
    <w:rsid w:val="002344CE"/>
    <w:rsid w:val="002355A2"/>
    <w:rsid w:val="0023574A"/>
    <w:rsid w:val="002357BA"/>
    <w:rsid w:val="00235930"/>
    <w:rsid w:val="0023644C"/>
    <w:rsid w:val="00236AA5"/>
    <w:rsid w:val="00237537"/>
    <w:rsid w:val="00237766"/>
    <w:rsid w:val="00237ABC"/>
    <w:rsid w:val="00237CA0"/>
    <w:rsid w:val="00237FBB"/>
    <w:rsid w:val="00240BCA"/>
    <w:rsid w:val="00240FCD"/>
    <w:rsid w:val="00240FEA"/>
    <w:rsid w:val="002410C1"/>
    <w:rsid w:val="00241724"/>
    <w:rsid w:val="00241B10"/>
    <w:rsid w:val="00242E62"/>
    <w:rsid w:val="00242EA9"/>
    <w:rsid w:val="002433BE"/>
    <w:rsid w:val="002442F2"/>
    <w:rsid w:val="00244AFA"/>
    <w:rsid w:val="00244C84"/>
    <w:rsid w:val="00245735"/>
    <w:rsid w:val="00245A61"/>
    <w:rsid w:val="00245B1A"/>
    <w:rsid w:val="00245DA2"/>
    <w:rsid w:val="00246E16"/>
    <w:rsid w:val="00247775"/>
    <w:rsid w:val="0025015F"/>
    <w:rsid w:val="00251A61"/>
    <w:rsid w:val="00252148"/>
    <w:rsid w:val="002526F9"/>
    <w:rsid w:val="0025295F"/>
    <w:rsid w:val="00252EE3"/>
    <w:rsid w:val="00253077"/>
    <w:rsid w:val="00253A49"/>
    <w:rsid w:val="00254724"/>
    <w:rsid w:val="00254BE8"/>
    <w:rsid w:val="00254D2D"/>
    <w:rsid w:val="0025572F"/>
    <w:rsid w:val="00255AB5"/>
    <w:rsid w:val="002566A6"/>
    <w:rsid w:val="0025739B"/>
    <w:rsid w:val="0025774A"/>
    <w:rsid w:val="002578CD"/>
    <w:rsid w:val="00260207"/>
    <w:rsid w:val="00260930"/>
    <w:rsid w:val="00260A63"/>
    <w:rsid w:val="00260CBD"/>
    <w:rsid w:val="00260CD2"/>
    <w:rsid w:val="00260E63"/>
    <w:rsid w:val="00261102"/>
    <w:rsid w:val="00261633"/>
    <w:rsid w:val="0026199A"/>
    <w:rsid w:val="00261BFE"/>
    <w:rsid w:val="002627B1"/>
    <w:rsid w:val="002628B1"/>
    <w:rsid w:val="00262BEA"/>
    <w:rsid w:val="002637D1"/>
    <w:rsid w:val="002642ED"/>
    <w:rsid w:val="00264392"/>
    <w:rsid w:val="00264465"/>
    <w:rsid w:val="002644AC"/>
    <w:rsid w:val="002648AE"/>
    <w:rsid w:val="00264E55"/>
    <w:rsid w:val="002651D5"/>
    <w:rsid w:val="002652E3"/>
    <w:rsid w:val="002653BB"/>
    <w:rsid w:val="002656A9"/>
    <w:rsid w:val="002657B4"/>
    <w:rsid w:val="00265E3F"/>
    <w:rsid w:val="00265EC1"/>
    <w:rsid w:val="002669B4"/>
    <w:rsid w:val="00266E73"/>
    <w:rsid w:val="002708A1"/>
    <w:rsid w:val="00270E1B"/>
    <w:rsid w:val="00271280"/>
    <w:rsid w:val="00272640"/>
    <w:rsid w:val="00272767"/>
    <w:rsid w:val="00272FFA"/>
    <w:rsid w:val="0027342E"/>
    <w:rsid w:val="00273836"/>
    <w:rsid w:val="00273E46"/>
    <w:rsid w:val="00273F9D"/>
    <w:rsid w:val="00274A00"/>
    <w:rsid w:val="00274A78"/>
    <w:rsid w:val="00275093"/>
    <w:rsid w:val="0027529A"/>
    <w:rsid w:val="00275555"/>
    <w:rsid w:val="00275D2C"/>
    <w:rsid w:val="00275FAE"/>
    <w:rsid w:val="002761D0"/>
    <w:rsid w:val="00276413"/>
    <w:rsid w:val="002765AD"/>
    <w:rsid w:val="00276E70"/>
    <w:rsid w:val="00276F60"/>
    <w:rsid w:val="00277AB5"/>
    <w:rsid w:val="00280544"/>
    <w:rsid w:val="002805F3"/>
    <w:rsid w:val="0028088E"/>
    <w:rsid w:val="00280ADE"/>
    <w:rsid w:val="00280D98"/>
    <w:rsid w:val="00281517"/>
    <w:rsid w:val="0028154E"/>
    <w:rsid w:val="002815FB"/>
    <w:rsid w:val="00281841"/>
    <w:rsid w:val="0028192A"/>
    <w:rsid w:val="00281E14"/>
    <w:rsid w:val="00281F1E"/>
    <w:rsid w:val="00282384"/>
    <w:rsid w:val="002827B6"/>
    <w:rsid w:val="0028284C"/>
    <w:rsid w:val="00282C36"/>
    <w:rsid w:val="002847A6"/>
    <w:rsid w:val="002852F2"/>
    <w:rsid w:val="00285D6B"/>
    <w:rsid w:val="00285F51"/>
    <w:rsid w:val="002860A8"/>
    <w:rsid w:val="00286383"/>
    <w:rsid w:val="0028642E"/>
    <w:rsid w:val="00286F7F"/>
    <w:rsid w:val="00287324"/>
    <w:rsid w:val="002875C7"/>
    <w:rsid w:val="00287AA1"/>
    <w:rsid w:val="00287E27"/>
    <w:rsid w:val="0029183C"/>
    <w:rsid w:val="00291AD6"/>
    <w:rsid w:val="00292400"/>
    <w:rsid w:val="00292A63"/>
    <w:rsid w:val="00292DDB"/>
    <w:rsid w:val="00293198"/>
    <w:rsid w:val="0029373C"/>
    <w:rsid w:val="002941A2"/>
    <w:rsid w:val="0029440E"/>
    <w:rsid w:val="00294490"/>
    <w:rsid w:val="00294AB0"/>
    <w:rsid w:val="00294C40"/>
    <w:rsid w:val="002959A8"/>
    <w:rsid w:val="00295DA3"/>
    <w:rsid w:val="00297285"/>
    <w:rsid w:val="0029795A"/>
    <w:rsid w:val="002A039F"/>
    <w:rsid w:val="002A057E"/>
    <w:rsid w:val="002A0663"/>
    <w:rsid w:val="002A081A"/>
    <w:rsid w:val="002A0C7F"/>
    <w:rsid w:val="002A0D5D"/>
    <w:rsid w:val="002A0D69"/>
    <w:rsid w:val="002A1F6A"/>
    <w:rsid w:val="002A20D5"/>
    <w:rsid w:val="002A21C3"/>
    <w:rsid w:val="002A26B3"/>
    <w:rsid w:val="002A288F"/>
    <w:rsid w:val="002A2F31"/>
    <w:rsid w:val="002A2F45"/>
    <w:rsid w:val="002A2F95"/>
    <w:rsid w:val="002A3039"/>
    <w:rsid w:val="002A3A2B"/>
    <w:rsid w:val="002A3AF7"/>
    <w:rsid w:val="002A3D11"/>
    <w:rsid w:val="002A44E4"/>
    <w:rsid w:val="002A4B1E"/>
    <w:rsid w:val="002A5010"/>
    <w:rsid w:val="002A5160"/>
    <w:rsid w:val="002A51C1"/>
    <w:rsid w:val="002A5328"/>
    <w:rsid w:val="002A5418"/>
    <w:rsid w:val="002A55A3"/>
    <w:rsid w:val="002A5BA0"/>
    <w:rsid w:val="002A6112"/>
    <w:rsid w:val="002A6CA3"/>
    <w:rsid w:val="002A740A"/>
    <w:rsid w:val="002A75AA"/>
    <w:rsid w:val="002A7812"/>
    <w:rsid w:val="002B0334"/>
    <w:rsid w:val="002B106E"/>
    <w:rsid w:val="002B10D2"/>
    <w:rsid w:val="002B1564"/>
    <w:rsid w:val="002B1626"/>
    <w:rsid w:val="002B179C"/>
    <w:rsid w:val="002B1985"/>
    <w:rsid w:val="002B21A2"/>
    <w:rsid w:val="002B2599"/>
    <w:rsid w:val="002B263C"/>
    <w:rsid w:val="002B2802"/>
    <w:rsid w:val="002B3F14"/>
    <w:rsid w:val="002B414E"/>
    <w:rsid w:val="002B4384"/>
    <w:rsid w:val="002B43D3"/>
    <w:rsid w:val="002B4BC3"/>
    <w:rsid w:val="002B4E7E"/>
    <w:rsid w:val="002B5156"/>
    <w:rsid w:val="002B5AEC"/>
    <w:rsid w:val="002B5DD6"/>
    <w:rsid w:val="002B6CF4"/>
    <w:rsid w:val="002B6EEE"/>
    <w:rsid w:val="002B7FF6"/>
    <w:rsid w:val="002C0052"/>
    <w:rsid w:val="002C0093"/>
    <w:rsid w:val="002C0301"/>
    <w:rsid w:val="002C0C0F"/>
    <w:rsid w:val="002C0C83"/>
    <w:rsid w:val="002C15C6"/>
    <w:rsid w:val="002C1E85"/>
    <w:rsid w:val="002C3C72"/>
    <w:rsid w:val="002C3E86"/>
    <w:rsid w:val="002C45AD"/>
    <w:rsid w:val="002C46FE"/>
    <w:rsid w:val="002C47CF"/>
    <w:rsid w:val="002C5C38"/>
    <w:rsid w:val="002C5C9D"/>
    <w:rsid w:val="002C674D"/>
    <w:rsid w:val="002C73C3"/>
    <w:rsid w:val="002D012D"/>
    <w:rsid w:val="002D09FC"/>
    <w:rsid w:val="002D115E"/>
    <w:rsid w:val="002D146B"/>
    <w:rsid w:val="002D1DE0"/>
    <w:rsid w:val="002D1EB3"/>
    <w:rsid w:val="002D1F18"/>
    <w:rsid w:val="002D25FE"/>
    <w:rsid w:val="002D3BB9"/>
    <w:rsid w:val="002D3BDA"/>
    <w:rsid w:val="002D3C12"/>
    <w:rsid w:val="002D3C9E"/>
    <w:rsid w:val="002D477C"/>
    <w:rsid w:val="002D4A86"/>
    <w:rsid w:val="002D4CDF"/>
    <w:rsid w:val="002D55D4"/>
    <w:rsid w:val="002D5EC0"/>
    <w:rsid w:val="002D68C4"/>
    <w:rsid w:val="002D69EE"/>
    <w:rsid w:val="002D6B59"/>
    <w:rsid w:val="002D7B47"/>
    <w:rsid w:val="002E008D"/>
    <w:rsid w:val="002E02BB"/>
    <w:rsid w:val="002E07B6"/>
    <w:rsid w:val="002E0981"/>
    <w:rsid w:val="002E0C11"/>
    <w:rsid w:val="002E10D9"/>
    <w:rsid w:val="002E1902"/>
    <w:rsid w:val="002E2287"/>
    <w:rsid w:val="002E35B0"/>
    <w:rsid w:val="002E3E7E"/>
    <w:rsid w:val="002E4341"/>
    <w:rsid w:val="002E4778"/>
    <w:rsid w:val="002E4F94"/>
    <w:rsid w:val="002E5F94"/>
    <w:rsid w:val="002E63A2"/>
    <w:rsid w:val="002E77EE"/>
    <w:rsid w:val="002E7E5E"/>
    <w:rsid w:val="002E7F0A"/>
    <w:rsid w:val="002E7FAF"/>
    <w:rsid w:val="002F0E6A"/>
    <w:rsid w:val="002F0E82"/>
    <w:rsid w:val="002F11E6"/>
    <w:rsid w:val="002F1702"/>
    <w:rsid w:val="002F23B1"/>
    <w:rsid w:val="002F3905"/>
    <w:rsid w:val="002F39AE"/>
    <w:rsid w:val="002F3C8C"/>
    <w:rsid w:val="002F3CFE"/>
    <w:rsid w:val="002F4614"/>
    <w:rsid w:val="002F482F"/>
    <w:rsid w:val="002F493D"/>
    <w:rsid w:val="002F517D"/>
    <w:rsid w:val="002F550B"/>
    <w:rsid w:val="002F5AC3"/>
    <w:rsid w:val="002F5B2A"/>
    <w:rsid w:val="002F5C21"/>
    <w:rsid w:val="002F62C8"/>
    <w:rsid w:val="002F6AAE"/>
    <w:rsid w:val="002F6FDA"/>
    <w:rsid w:val="002F71E9"/>
    <w:rsid w:val="003019AD"/>
    <w:rsid w:val="00301DE5"/>
    <w:rsid w:val="0030232B"/>
    <w:rsid w:val="0030275B"/>
    <w:rsid w:val="00302A97"/>
    <w:rsid w:val="00302B50"/>
    <w:rsid w:val="00303223"/>
    <w:rsid w:val="003037BB"/>
    <w:rsid w:val="00304602"/>
    <w:rsid w:val="003047A2"/>
    <w:rsid w:val="003048EF"/>
    <w:rsid w:val="00305074"/>
    <w:rsid w:val="00305841"/>
    <w:rsid w:val="0030590E"/>
    <w:rsid w:val="00305B31"/>
    <w:rsid w:val="00305BA6"/>
    <w:rsid w:val="00305D7B"/>
    <w:rsid w:val="00306B8F"/>
    <w:rsid w:val="0030748B"/>
    <w:rsid w:val="003075DA"/>
    <w:rsid w:val="00310116"/>
    <w:rsid w:val="003106D5"/>
    <w:rsid w:val="0031095C"/>
    <w:rsid w:val="00310CB7"/>
    <w:rsid w:val="00310DCB"/>
    <w:rsid w:val="00310FD7"/>
    <w:rsid w:val="003114A9"/>
    <w:rsid w:val="003119F9"/>
    <w:rsid w:val="00311A47"/>
    <w:rsid w:val="00311C9A"/>
    <w:rsid w:val="00311FE0"/>
    <w:rsid w:val="00312198"/>
    <w:rsid w:val="003123D2"/>
    <w:rsid w:val="003128CB"/>
    <w:rsid w:val="00313F6A"/>
    <w:rsid w:val="0031426C"/>
    <w:rsid w:val="003146D7"/>
    <w:rsid w:val="0031497B"/>
    <w:rsid w:val="00314A23"/>
    <w:rsid w:val="00314A74"/>
    <w:rsid w:val="0031621C"/>
    <w:rsid w:val="0031685A"/>
    <w:rsid w:val="003169AD"/>
    <w:rsid w:val="003169D2"/>
    <w:rsid w:val="003170AC"/>
    <w:rsid w:val="003172CD"/>
    <w:rsid w:val="0031732D"/>
    <w:rsid w:val="003176A6"/>
    <w:rsid w:val="00320FC1"/>
    <w:rsid w:val="0032128C"/>
    <w:rsid w:val="00321596"/>
    <w:rsid w:val="0032161D"/>
    <w:rsid w:val="00321867"/>
    <w:rsid w:val="00321BB7"/>
    <w:rsid w:val="003223F4"/>
    <w:rsid w:val="0032361C"/>
    <w:rsid w:val="00323737"/>
    <w:rsid w:val="00323868"/>
    <w:rsid w:val="00323A28"/>
    <w:rsid w:val="00323B48"/>
    <w:rsid w:val="00323BB3"/>
    <w:rsid w:val="00323E9D"/>
    <w:rsid w:val="00323F42"/>
    <w:rsid w:val="003241BF"/>
    <w:rsid w:val="003251EF"/>
    <w:rsid w:val="00327018"/>
    <w:rsid w:val="003277E9"/>
    <w:rsid w:val="00330166"/>
    <w:rsid w:val="003305A8"/>
    <w:rsid w:val="0033071B"/>
    <w:rsid w:val="003307E1"/>
    <w:rsid w:val="00330F2C"/>
    <w:rsid w:val="00333BD9"/>
    <w:rsid w:val="00333CA6"/>
    <w:rsid w:val="00334142"/>
    <w:rsid w:val="00334875"/>
    <w:rsid w:val="00335007"/>
    <w:rsid w:val="0033521B"/>
    <w:rsid w:val="00335570"/>
    <w:rsid w:val="003356D5"/>
    <w:rsid w:val="003357C3"/>
    <w:rsid w:val="00335B6C"/>
    <w:rsid w:val="00335C41"/>
    <w:rsid w:val="00335C79"/>
    <w:rsid w:val="00335C88"/>
    <w:rsid w:val="00335FFE"/>
    <w:rsid w:val="003366ED"/>
    <w:rsid w:val="00336A7A"/>
    <w:rsid w:val="00337AAD"/>
    <w:rsid w:val="00340949"/>
    <w:rsid w:val="00341FD7"/>
    <w:rsid w:val="00342418"/>
    <w:rsid w:val="00342AF0"/>
    <w:rsid w:val="00343396"/>
    <w:rsid w:val="0034360E"/>
    <w:rsid w:val="00344CFD"/>
    <w:rsid w:val="00344E26"/>
    <w:rsid w:val="0034530A"/>
    <w:rsid w:val="00345F6D"/>
    <w:rsid w:val="003460A2"/>
    <w:rsid w:val="003462D8"/>
    <w:rsid w:val="00346B93"/>
    <w:rsid w:val="00346E5C"/>
    <w:rsid w:val="003477DE"/>
    <w:rsid w:val="0034784C"/>
    <w:rsid w:val="00347BB9"/>
    <w:rsid w:val="00347F5C"/>
    <w:rsid w:val="00350437"/>
    <w:rsid w:val="003505EF"/>
    <w:rsid w:val="0035143D"/>
    <w:rsid w:val="003514CB"/>
    <w:rsid w:val="003516D6"/>
    <w:rsid w:val="00351975"/>
    <w:rsid w:val="00352A6E"/>
    <w:rsid w:val="00352C8D"/>
    <w:rsid w:val="00352CA4"/>
    <w:rsid w:val="003532EA"/>
    <w:rsid w:val="00353FD8"/>
    <w:rsid w:val="00354450"/>
    <w:rsid w:val="00354617"/>
    <w:rsid w:val="0035483E"/>
    <w:rsid w:val="00355450"/>
    <w:rsid w:val="00355E2D"/>
    <w:rsid w:val="00356013"/>
    <w:rsid w:val="00356238"/>
    <w:rsid w:val="00356942"/>
    <w:rsid w:val="00360963"/>
    <w:rsid w:val="00360A7E"/>
    <w:rsid w:val="00360F67"/>
    <w:rsid w:val="00361664"/>
    <w:rsid w:val="003617A0"/>
    <w:rsid w:val="00361A06"/>
    <w:rsid w:val="003620D0"/>
    <w:rsid w:val="00362DFF"/>
    <w:rsid w:val="00362E8D"/>
    <w:rsid w:val="003636E7"/>
    <w:rsid w:val="00363CAB"/>
    <w:rsid w:val="003661EE"/>
    <w:rsid w:val="00366280"/>
    <w:rsid w:val="003662B1"/>
    <w:rsid w:val="00366A78"/>
    <w:rsid w:val="00366C4A"/>
    <w:rsid w:val="00366E63"/>
    <w:rsid w:val="00367005"/>
    <w:rsid w:val="003671A1"/>
    <w:rsid w:val="00367B31"/>
    <w:rsid w:val="00370174"/>
    <w:rsid w:val="0037050A"/>
    <w:rsid w:val="003706AC"/>
    <w:rsid w:val="00370C94"/>
    <w:rsid w:val="00370DD5"/>
    <w:rsid w:val="00370E03"/>
    <w:rsid w:val="0037180C"/>
    <w:rsid w:val="003719A8"/>
    <w:rsid w:val="00371EB8"/>
    <w:rsid w:val="00372870"/>
    <w:rsid w:val="00372DBA"/>
    <w:rsid w:val="00372EC4"/>
    <w:rsid w:val="003733AF"/>
    <w:rsid w:val="00373C70"/>
    <w:rsid w:val="00373CF2"/>
    <w:rsid w:val="00373DD1"/>
    <w:rsid w:val="00374616"/>
    <w:rsid w:val="00374AF6"/>
    <w:rsid w:val="00374B81"/>
    <w:rsid w:val="00374D84"/>
    <w:rsid w:val="0037584E"/>
    <w:rsid w:val="0037595C"/>
    <w:rsid w:val="00375E50"/>
    <w:rsid w:val="00377217"/>
    <w:rsid w:val="00377656"/>
    <w:rsid w:val="003802DD"/>
    <w:rsid w:val="00380736"/>
    <w:rsid w:val="0038080D"/>
    <w:rsid w:val="00380A1F"/>
    <w:rsid w:val="00380C6E"/>
    <w:rsid w:val="00380E62"/>
    <w:rsid w:val="00380EF0"/>
    <w:rsid w:val="00381903"/>
    <w:rsid w:val="00381C4E"/>
    <w:rsid w:val="0038250C"/>
    <w:rsid w:val="00382C7E"/>
    <w:rsid w:val="00382D78"/>
    <w:rsid w:val="003840CB"/>
    <w:rsid w:val="00384C61"/>
    <w:rsid w:val="00384D88"/>
    <w:rsid w:val="00384EA6"/>
    <w:rsid w:val="0038624E"/>
    <w:rsid w:val="0038661E"/>
    <w:rsid w:val="003866EF"/>
    <w:rsid w:val="003867CD"/>
    <w:rsid w:val="00386875"/>
    <w:rsid w:val="00386C13"/>
    <w:rsid w:val="00386D09"/>
    <w:rsid w:val="00387505"/>
    <w:rsid w:val="00387FA7"/>
    <w:rsid w:val="00391939"/>
    <w:rsid w:val="003927C0"/>
    <w:rsid w:val="00393E0B"/>
    <w:rsid w:val="00393E52"/>
    <w:rsid w:val="00394287"/>
    <w:rsid w:val="00394315"/>
    <w:rsid w:val="00394666"/>
    <w:rsid w:val="003947F1"/>
    <w:rsid w:val="00394EDD"/>
    <w:rsid w:val="00395168"/>
    <w:rsid w:val="00395C48"/>
    <w:rsid w:val="00395FB8"/>
    <w:rsid w:val="00396DE1"/>
    <w:rsid w:val="00396E5F"/>
    <w:rsid w:val="0039719E"/>
    <w:rsid w:val="003976CB"/>
    <w:rsid w:val="003976D4"/>
    <w:rsid w:val="003A01C9"/>
    <w:rsid w:val="003A05FE"/>
    <w:rsid w:val="003A0D3A"/>
    <w:rsid w:val="003A0E3F"/>
    <w:rsid w:val="003A0EDA"/>
    <w:rsid w:val="003A127D"/>
    <w:rsid w:val="003A14A5"/>
    <w:rsid w:val="003A14F6"/>
    <w:rsid w:val="003A1DEB"/>
    <w:rsid w:val="003A2007"/>
    <w:rsid w:val="003A2131"/>
    <w:rsid w:val="003A2FA2"/>
    <w:rsid w:val="003A31C5"/>
    <w:rsid w:val="003A39C6"/>
    <w:rsid w:val="003A3EE3"/>
    <w:rsid w:val="003A4395"/>
    <w:rsid w:val="003A4422"/>
    <w:rsid w:val="003A4C87"/>
    <w:rsid w:val="003A4D99"/>
    <w:rsid w:val="003A55B2"/>
    <w:rsid w:val="003A5938"/>
    <w:rsid w:val="003A6FE7"/>
    <w:rsid w:val="003A79A0"/>
    <w:rsid w:val="003A79D3"/>
    <w:rsid w:val="003A7EBA"/>
    <w:rsid w:val="003B059A"/>
    <w:rsid w:val="003B1349"/>
    <w:rsid w:val="003B137B"/>
    <w:rsid w:val="003B1411"/>
    <w:rsid w:val="003B1DC2"/>
    <w:rsid w:val="003B2543"/>
    <w:rsid w:val="003B267C"/>
    <w:rsid w:val="003B2920"/>
    <w:rsid w:val="003B2D7D"/>
    <w:rsid w:val="003B39BB"/>
    <w:rsid w:val="003B3A40"/>
    <w:rsid w:val="003B3BE9"/>
    <w:rsid w:val="003B4CA7"/>
    <w:rsid w:val="003B52C9"/>
    <w:rsid w:val="003B5D60"/>
    <w:rsid w:val="003B5D72"/>
    <w:rsid w:val="003B7070"/>
    <w:rsid w:val="003B7695"/>
    <w:rsid w:val="003C0C93"/>
    <w:rsid w:val="003C0EB1"/>
    <w:rsid w:val="003C0FB6"/>
    <w:rsid w:val="003C13BF"/>
    <w:rsid w:val="003C1CD7"/>
    <w:rsid w:val="003C1F37"/>
    <w:rsid w:val="003C20BD"/>
    <w:rsid w:val="003C2856"/>
    <w:rsid w:val="003C2B91"/>
    <w:rsid w:val="003C34A1"/>
    <w:rsid w:val="003C35D4"/>
    <w:rsid w:val="003C4F1F"/>
    <w:rsid w:val="003C5F3C"/>
    <w:rsid w:val="003C6024"/>
    <w:rsid w:val="003C6CBF"/>
    <w:rsid w:val="003C71CA"/>
    <w:rsid w:val="003C71F4"/>
    <w:rsid w:val="003D00D8"/>
    <w:rsid w:val="003D04B2"/>
    <w:rsid w:val="003D0CF4"/>
    <w:rsid w:val="003D0F57"/>
    <w:rsid w:val="003D10D0"/>
    <w:rsid w:val="003D13A8"/>
    <w:rsid w:val="003D1488"/>
    <w:rsid w:val="003D16D4"/>
    <w:rsid w:val="003D2239"/>
    <w:rsid w:val="003D226B"/>
    <w:rsid w:val="003D251A"/>
    <w:rsid w:val="003D321F"/>
    <w:rsid w:val="003D3D35"/>
    <w:rsid w:val="003D3E51"/>
    <w:rsid w:val="003D4458"/>
    <w:rsid w:val="003D585B"/>
    <w:rsid w:val="003D5932"/>
    <w:rsid w:val="003D671B"/>
    <w:rsid w:val="003D68BF"/>
    <w:rsid w:val="003E0019"/>
    <w:rsid w:val="003E040E"/>
    <w:rsid w:val="003E0699"/>
    <w:rsid w:val="003E14B1"/>
    <w:rsid w:val="003E1594"/>
    <w:rsid w:val="003E1B41"/>
    <w:rsid w:val="003E1C64"/>
    <w:rsid w:val="003E2094"/>
    <w:rsid w:val="003E265D"/>
    <w:rsid w:val="003E2E8F"/>
    <w:rsid w:val="003E2F33"/>
    <w:rsid w:val="003E354B"/>
    <w:rsid w:val="003E36C4"/>
    <w:rsid w:val="003E4275"/>
    <w:rsid w:val="003E42DB"/>
    <w:rsid w:val="003E518B"/>
    <w:rsid w:val="003E68B9"/>
    <w:rsid w:val="003E6A5C"/>
    <w:rsid w:val="003E6E66"/>
    <w:rsid w:val="003E6F02"/>
    <w:rsid w:val="003E7289"/>
    <w:rsid w:val="003E76E6"/>
    <w:rsid w:val="003E7910"/>
    <w:rsid w:val="003E7993"/>
    <w:rsid w:val="003E7EF6"/>
    <w:rsid w:val="003E7F90"/>
    <w:rsid w:val="003F0CF6"/>
    <w:rsid w:val="003F17DB"/>
    <w:rsid w:val="003F20A1"/>
    <w:rsid w:val="003F2CDB"/>
    <w:rsid w:val="003F2F20"/>
    <w:rsid w:val="003F2F66"/>
    <w:rsid w:val="003F362B"/>
    <w:rsid w:val="003F3BCC"/>
    <w:rsid w:val="003F5533"/>
    <w:rsid w:val="003F597D"/>
    <w:rsid w:val="003F7022"/>
    <w:rsid w:val="003F7BFF"/>
    <w:rsid w:val="00401306"/>
    <w:rsid w:val="00401564"/>
    <w:rsid w:val="00402091"/>
    <w:rsid w:val="00402172"/>
    <w:rsid w:val="004026C4"/>
    <w:rsid w:val="00402DEF"/>
    <w:rsid w:val="00402E95"/>
    <w:rsid w:val="00403891"/>
    <w:rsid w:val="004043D4"/>
    <w:rsid w:val="00404BD4"/>
    <w:rsid w:val="00404F39"/>
    <w:rsid w:val="00405204"/>
    <w:rsid w:val="0040602C"/>
    <w:rsid w:val="00406366"/>
    <w:rsid w:val="004107B1"/>
    <w:rsid w:val="00410A8C"/>
    <w:rsid w:val="00410F98"/>
    <w:rsid w:val="004117FD"/>
    <w:rsid w:val="00411B7E"/>
    <w:rsid w:val="00412B77"/>
    <w:rsid w:val="00412F45"/>
    <w:rsid w:val="00413406"/>
    <w:rsid w:val="00413AF0"/>
    <w:rsid w:val="004144D7"/>
    <w:rsid w:val="004146EB"/>
    <w:rsid w:val="004156D9"/>
    <w:rsid w:val="00415BB9"/>
    <w:rsid w:val="00417E8B"/>
    <w:rsid w:val="00420EC4"/>
    <w:rsid w:val="004227C6"/>
    <w:rsid w:val="00422EDD"/>
    <w:rsid w:val="004230B9"/>
    <w:rsid w:val="0042357D"/>
    <w:rsid w:val="00423CBF"/>
    <w:rsid w:val="0042417E"/>
    <w:rsid w:val="00424751"/>
    <w:rsid w:val="0042479F"/>
    <w:rsid w:val="00424C7D"/>
    <w:rsid w:val="00425FB6"/>
    <w:rsid w:val="004267A1"/>
    <w:rsid w:val="00426BDA"/>
    <w:rsid w:val="00426C49"/>
    <w:rsid w:val="00426F00"/>
    <w:rsid w:val="0042770C"/>
    <w:rsid w:val="00427CC2"/>
    <w:rsid w:val="00427E43"/>
    <w:rsid w:val="004305F9"/>
    <w:rsid w:val="00430775"/>
    <w:rsid w:val="004309D3"/>
    <w:rsid w:val="00430A35"/>
    <w:rsid w:val="00430CE4"/>
    <w:rsid w:val="0043185B"/>
    <w:rsid w:val="00431CE3"/>
    <w:rsid w:val="004323C5"/>
    <w:rsid w:val="004328E4"/>
    <w:rsid w:val="00433183"/>
    <w:rsid w:val="0043365D"/>
    <w:rsid w:val="00433D70"/>
    <w:rsid w:val="004340A8"/>
    <w:rsid w:val="004340CB"/>
    <w:rsid w:val="00434215"/>
    <w:rsid w:val="004351C2"/>
    <w:rsid w:val="004358B9"/>
    <w:rsid w:val="00435B88"/>
    <w:rsid w:val="00435E2E"/>
    <w:rsid w:val="00436075"/>
    <w:rsid w:val="00436A31"/>
    <w:rsid w:val="00436BBB"/>
    <w:rsid w:val="00437E32"/>
    <w:rsid w:val="00437ECA"/>
    <w:rsid w:val="004409BC"/>
    <w:rsid w:val="004409E9"/>
    <w:rsid w:val="00441ADB"/>
    <w:rsid w:val="004429A1"/>
    <w:rsid w:val="00443784"/>
    <w:rsid w:val="00443D56"/>
    <w:rsid w:val="0044468A"/>
    <w:rsid w:val="004446E3"/>
    <w:rsid w:val="00444929"/>
    <w:rsid w:val="00444BC9"/>
    <w:rsid w:val="004456C3"/>
    <w:rsid w:val="00445788"/>
    <w:rsid w:val="0044581B"/>
    <w:rsid w:val="004459BE"/>
    <w:rsid w:val="00445B54"/>
    <w:rsid w:val="00445C99"/>
    <w:rsid w:val="00446796"/>
    <w:rsid w:val="00446A1D"/>
    <w:rsid w:val="004477F4"/>
    <w:rsid w:val="004479CD"/>
    <w:rsid w:val="00447CB6"/>
    <w:rsid w:val="00447D1A"/>
    <w:rsid w:val="00447F46"/>
    <w:rsid w:val="0045004F"/>
    <w:rsid w:val="00450374"/>
    <w:rsid w:val="0045061A"/>
    <w:rsid w:val="00450975"/>
    <w:rsid w:val="00451B38"/>
    <w:rsid w:val="0045227E"/>
    <w:rsid w:val="0045307F"/>
    <w:rsid w:val="004533BE"/>
    <w:rsid w:val="00453871"/>
    <w:rsid w:val="004548CB"/>
    <w:rsid w:val="00454932"/>
    <w:rsid w:val="004552D0"/>
    <w:rsid w:val="00455383"/>
    <w:rsid w:val="004554A3"/>
    <w:rsid w:val="0045566A"/>
    <w:rsid w:val="00455925"/>
    <w:rsid w:val="00455B94"/>
    <w:rsid w:val="00456322"/>
    <w:rsid w:val="00456426"/>
    <w:rsid w:val="00456704"/>
    <w:rsid w:val="00456F87"/>
    <w:rsid w:val="00456FB5"/>
    <w:rsid w:val="00457247"/>
    <w:rsid w:val="00457E37"/>
    <w:rsid w:val="00457F37"/>
    <w:rsid w:val="004604A8"/>
    <w:rsid w:val="0046065C"/>
    <w:rsid w:val="004607A9"/>
    <w:rsid w:val="00460929"/>
    <w:rsid w:val="0046094C"/>
    <w:rsid w:val="00460A61"/>
    <w:rsid w:val="00460AB0"/>
    <w:rsid w:val="00460F15"/>
    <w:rsid w:val="00460F38"/>
    <w:rsid w:val="00461002"/>
    <w:rsid w:val="00461261"/>
    <w:rsid w:val="004612A4"/>
    <w:rsid w:val="00461D8C"/>
    <w:rsid w:val="00461E99"/>
    <w:rsid w:val="00462980"/>
    <w:rsid w:val="00462BB9"/>
    <w:rsid w:val="004637CC"/>
    <w:rsid w:val="00463DAF"/>
    <w:rsid w:val="0046448F"/>
    <w:rsid w:val="00465648"/>
    <w:rsid w:val="00465E02"/>
    <w:rsid w:val="00465EC5"/>
    <w:rsid w:val="0046632C"/>
    <w:rsid w:val="00466468"/>
    <w:rsid w:val="00467163"/>
    <w:rsid w:val="0046745F"/>
    <w:rsid w:val="004676E6"/>
    <w:rsid w:val="00467BD3"/>
    <w:rsid w:val="00467F4E"/>
    <w:rsid w:val="00470009"/>
    <w:rsid w:val="00470858"/>
    <w:rsid w:val="00471021"/>
    <w:rsid w:val="0047118C"/>
    <w:rsid w:val="004713CA"/>
    <w:rsid w:val="00471D0A"/>
    <w:rsid w:val="00472037"/>
    <w:rsid w:val="00472EA7"/>
    <w:rsid w:val="00473146"/>
    <w:rsid w:val="0047355D"/>
    <w:rsid w:val="004739A5"/>
    <w:rsid w:val="004746CD"/>
    <w:rsid w:val="0047481A"/>
    <w:rsid w:val="00474E77"/>
    <w:rsid w:val="00474F82"/>
    <w:rsid w:val="0047515E"/>
    <w:rsid w:val="00475F12"/>
    <w:rsid w:val="004769FC"/>
    <w:rsid w:val="00476BC7"/>
    <w:rsid w:val="00477008"/>
    <w:rsid w:val="00477033"/>
    <w:rsid w:val="00477590"/>
    <w:rsid w:val="00477A23"/>
    <w:rsid w:val="004802B3"/>
    <w:rsid w:val="004807C4"/>
    <w:rsid w:val="00480929"/>
    <w:rsid w:val="0048114E"/>
    <w:rsid w:val="0048154B"/>
    <w:rsid w:val="004817DB"/>
    <w:rsid w:val="004818B5"/>
    <w:rsid w:val="00481CB1"/>
    <w:rsid w:val="00481D69"/>
    <w:rsid w:val="004821D0"/>
    <w:rsid w:val="00482DCA"/>
    <w:rsid w:val="004832FE"/>
    <w:rsid w:val="004836A9"/>
    <w:rsid w:val="00483A22"/>
    <w:rsid w:val="0048420D"/>
    <w:rsid w:val="00484A35"/>
    <w:rsid w:val="0048501E"/>
    <w:rsid w:val="004856C4"/>
    <w:rsid w:val="0048571E"/>
    <w:rsid w:val="00486199"/>
    <w:rsid w:val="0048668D"/>
    <w:rsid w:val="00486793"/>
    <w:rsid w:val="00487288"/>
    <w:rsid w:val="00487941"/>
    <w:rsid w:val="004879B3"/>
    <w:rsid w:val="00487FA1"/>
    <w:rsid w:val="00490416"/>
    <w:rsid w:val="00490467"/>
    <w:rsid w:val="00491DE0"/>
    <w:rsid w:val="00493F15"/>
    <w:rsid w:val="004943F3"/>
    <w:rsid w:val="00494920"/>
    <w:rsid w:val="004950EF"/>
    <w:rsid w:val="0049579A"/>
    <w:rsid w:val="00496513"/>
    <w:rsid w:val="0049653A"/>
    <w:rsid w:val="00497276"/>
    <w:rsid w:val="004A04AF"/>
    <w:rsid w:val="004A0B15"/>
    <w:rsid w:val="004A1275"/>
    <w:rsid w:val="004A1B71"/>
    <w:rsid w:val="004A1FEE"/>
    <w:rsid w:val="004A21F4"/>
    <w:rsid w:val="004A271E"/>
    <w:rsid w:val="004A2766"/>
    <w:rsid w:val="004A2794"/>
    <w:rsid w:val="004A2C96"/>
    <w:rsid w:val="004A2F6D"/>
    <w:rsid w:val="004A34DF"/>
    <w:rsid w:val="004A355A"/>
    <w:rsid w:val="004A44F9"/>
    <w:rsid w:val="004A4BD1"/>
    <w:rsid w:val="004A527A"/>
    <w:rsid w:val="004A5911"/>
    <w:rsid w:val="004A6389"/>
    <w:rsid w:val="004A64B5"/>
    <w:rsid w:val="004A69B2"/>
    <w:rsid w:val="004A70B5"/>
    <w:rsid w:val="004A71AF"/>
    <w:rsid w:val="004A73A5"/>
    <w:rsid w:val="004A7D98"/>
    <w:rsid w:val="004B00CB"/>
    <w:rsid w:val="004B03E1"/>
    <w:rsid w:val="004B0550"/>
    <w:rsid w:val="004B0807"/>
    <w:rsid w:val="004B0B95"/>
    <w:rsid w:val="004B0C00"/>
    <w:rsid w:val="004B1735"/>
    <w:rsid w:val="004B197C"/>
    <w:rsid w:val="004B1A13"/>
    <w:rsid w:val="004B2327"/>
    <w:rsid w:val="004B2A0A"/>
    <w:rsid w:val="004B3468"/>
    <w:rsid w:val="004B363C"/>
    <w:rsid w:val="004B3D75"/>
    <w:rsid w:val="004B491B"/>
    <w:rsid w:val="004B4EFB"/>
    <w:rsid w:val="004B659F"/>
    <w:rsid w:val="004B6623"/>
    <w:rsid w:val="004B714F"/>
    <w:rsid w:val="004B73D4"/>
    <w:rsid w:val="004B79AA"/>
    <w:rsid w:val="004B7A61"/>
    <w:rsid w:val="004C03A6"/>
    <w:rsid w:val="004C0760"/>
    <w:rsid w:val="004C118D"/>
    <w:rsid w:val="004C125B"/>
    <w:rsid w:val="004C237E"/>
    <w:rsid w:val="004C27E7"/>
    <w:rsid w:val="004C28C8"/>
    <w:rsid w:val="004C4AB2"/>
    <w:rsid w:val="004C5E97"/>
    <w:rsid w:val="004C629C"/>
    <w:rsid w:val="004C662E"/>
    <w:rsid w:val="004C66FB"/>
    <w:rsid w:val="004C71AB"/>
    <w:rsid w:val="004C72D2"/>
    <w:rsid w:val="004D04D1"/>
    <w:rsid w:val="004D0C81"/>
    <w:rsid w:val="004D162C"/>
    <w:rsid w:val="004D1B52"/>
    <w:rsid w:val="004D1BB4"/>
    <w:rsid w:val="004D247F"/>
    <w:rsid w:val="004D268D"/>
    <w:rsid w:val="004D2E3C"/>
    <w:rsid w:val="004D3046"/>
    <w:rsid w:val="004D37BB"/>
    <w:rsid w:val="004D3B74"/>
    <w:rsid w:val="004D3C57"/>
    <w:rsid w:val="004D4BB5"/>
    <w:rsid w:val="004D515B"/>
    <w:rsid w:val="004D5A33"/>
    <w:rsid w:val="004D6B01"/>
    <w:rsid w:val="004E002D"/>
    <w:rsid w:val="004E00A2"/>
    <w:rsid w:val="004E0AC7"/>
    <w:rsid w:val="004E0BA2"/>
    <w:rsid w:val="004E0F39"/>
    <w:rsid w:val="004E1020"/>
    <w:rsid w:val="004E2E1E"/>
    <w:rsid w:val="004E45F7"/>
    <w:rsid w:val="004E48B6"/>
    <w:rsid w:val="004E4BAF"/>
    <w:rsid w:val="004E4E89"/>
    <w:rsid w:val="004E5107"/>
    <w:rsid w:val="004E5C6E"/>
    <w:rsid w:val="004E6F0E"/>
    <w:rsid w:val="004E6F27"/>
    <w:rsid w:val="004E6F59"/>
    <w:rsid w:val="004E7DC9"/>
    <w:rsid w:val="004F0644"/>
    <w:rsid w:val="004F0905"/>
    <w:rsid w:val="004F217A"/>
    <w:rsid w:val="004F2718"/>
    <w:rsid w:val="004F3643"/>
    <w:rsid w:val="004F3E58"/>
    <w:rsid w:val="004F414C"/>
    <w:rsid w:val="004F434D"/>
    <w:rsid w:val="004F4AEF"/>
    <w:rsid w:val="004F4B76"/>
    <w:rsid w:val="004F58FB"/>
    <w:rsid w:val="004F5C6D"/>
    <w:rsid w:val="004F6D9A"/>
    <w:rsid w:val="004F6FD7"/>
    <w:rsid w:val="004F78C3"/>
    <w:rsid w:val="004F7B62"/>
    <w:rsid w:val="004F7B6E"/>
    <w:rsid w:val="005009F3"/>
    <w:rsid w:val="00500B0B"/>
    <w:rsid w:val="00500D34"/>
    <w:rsid w:val="00500D81"/>
    <w:rsid w:val="00502196"/>
    <w:rsid w:val="0050225D"/>
    <w:rsid w:val="005027FD"/>
    <w:rsid w:val="0050306F"/>
    <w:rsid w:val="005037DF"/>
    <w:rsid w:val="00503CAE"/>
    <w:rsid w:val="00503F01"/>
    <w:rsid w:val="00505089"/>
    <w:rsid w:val="00505532"/>
    <w:rsid w:val="00505C06"/>
    <w:rsid w:val="0050663D"/>
    <w:rsid w:val="0050677D"/>
    <w:rsid w:val="005067EF"/>
    <w:rsid w:val="00506D89"/>
    <w:rsid w:val="00507293"/>
    <w:rsid w:val="00507554"/>
    <w:rsid w:val="005075CE"/>
    <w:rsid w:val="00507FFE"/>
    <w:rsid w:val="00510156"/>
    <w:rsid w:val="005115FC"/>
    <w:rsid w:val="00511CFF"/>
    <w:rsid w:val="005122DA"/>
    <w:rsid w:val="005128E1"/>
    <w:rsid w:val="0051314A"/>
    <w:rsid w:val="00513156"/>
    <w:rsid w:val="005134C3"/>
    <w:rsid w:val="005141CF"/>
    <w:rsid w:val="005143EA"/>
    <w:rsid w:val="00514DB2"/>
    <w:rsid w:val="00516025"/>
    <w:rsid w:val="005163D2"/>
    <w:rsid w:val="00516673"/>
    <w:rsid w:val="0051703A"/>
    <w:rsid w:val="005170B0"/>
    <w:rsid w:val="00517209"/>
    <w:rsid w:val="005173B1"/>
    <w:rsid w:val="00517417"/>
    <w:rsid w:val="0051749C"/>
    <w:rsid w:val="00517542"/>
    <w:rsid w:val="0051787E"/>
    <w:rsid w:val="0051793D"/>
    <w:rsid w:val="00517953"/>
    <w:rsid w:val="00517D6D"/>
    <w:rsid w:val="00517DB9"/>
    <w:rsid w:val="0052051A"/>
    <w:rsid w:val="005206C1"/>
    <w:rsid w:val="00520D43"/>
    <w:rsid w:val="00520D6D"/>
    <w:rsid w:val="00521134"/>
    <w:rsid w:val="005214AE"/>
    <w:rsid w:val="00521924"/>
    <w:rsid w:val="00521F91"/>
    <w:rsid w:val="00522274"/>
    <w:rsid w:val="00522B34"/>
    <w:rsid w:val="00522D1E"/>
    <w:rsid w:val="00523605"/>
    <w:rsid w:val="00523E66"/>
    <w:rsid w:val="00524BDC"/>
    <w:rsid w:val="00524F65"/>
    <w:rsid w:val="005258E7"/>
    <w:rsid w:val="005258E9"/>
    <w:rsid w:val="00525997"/>
    <w:rsid w:val="00525F29"/>
    <w:rsid w:val="00526B45"/>
    <w:rsid w:val="005276C9"/>
    <w:rsid w:val="00527A38"/>
    <w:rsid w:val="00527E84"/>
    <w:rsid w:val="00527E98"/>
    <w:rsid w:val="0053065D"/>
    <w:rsid w:val="00530719"/>
    <w:rsid w:val="00531927"/>
    <w:rsid w:val="00531E71"/>
    <w:rsid w:val="00532095"/>
    <w:rsid w:val="0053220E"/>
    <w:rsid w:val="005331B0"/>
    <w:rsid w:val="0053386C"/>
    <w:rsid w:val="00533906"/>
    <w:rsid w:val="00533D18"/>
    <w:rsid w:val="0053402D"/>
    <w:rsid w:val="00534679"/>
    <w:rsid w:val="0053476E"/>
    <w:rsid w:val="005348E9"/>
    <w:rsid w:val="005354C2"/>
    <w:rsid w:val="00535BDF"/>
    <w:rsid w:val="00535F22"/>
    <w:rsid w:val="00536151"/>
    <w:rsid w:val="005363C2"/>
    <w:rsid w:val="00536623"/>
    <w:rsid w:val="00536C6B"/>
    <w:rsid w:val="0053751B"/>
    <w:rsid w:val="00537C6D"/>
    <w:rsid w:val="00537ED2"/>
    <w:rsid w:val="0054024D"/>
    <w:rsid w:val="0054085F"/>
    <w:rsid w:val="00541634"/>
    <w:rsid w:val="00541FA4"/>
    <w:rsid w:val="00542A63"/>
    <w:rsid w:val="00542ED4"/>
    <w:rsid w:val="00543327"/>
    <w:rsid w:val="0054359D"/>
    <w:rsid w:val="0054373C"/>
    <w:rsid w:val="00543AF2"/>
    <w:rsid w:val="0054465F"/>
    <w:rsid w:val="005446F3"/>
    <w:rsid w:val="00544900"/>
    <w:rsid w:val="00545127"/>
    <w:rsid w:val="00545E1B"/>
    <w:rsid w:val="00546D87"/>
    <w:rsid w:val="00547718"/>
    <w:rsid w:val="00547BD4"/>
    <w:rsid w:val="00547D03"/>
    <w:rsid w:val="005505ED"/>
    <w:rsid w:val="00550E9D"/>
    <w:rsid w:val="00551F89"/>
    <w:rsid w:val="00552184"/>
    <w:rsid w:val="005529CC"/>
    <w:rsid w:val="00552F16"/>
    <w:rsid w:val="00553ACF"/>
    <w:rsid w:val="00553AE9"/>
    <w:rsid w:val="0055452E"/>
    <w:rsid w:val="005547FE"/>
    <w:rsid w:val="0055491C"/>
    <w:rsid w:val="00554C6C"/>
    <w:rsid w:val="00555048"/>
    <w:rsid w:val="0055510A"/>
    <w:rsid w:val="005563BB"/>
    <w:rsid w:val="0055647B"/>
    <w:rsid w:val="0055654A"/>
    <w:rsid w:val="0055727B"/>
    <w:rsid w:val="00557E34"/>
    <w:rsid w:val="005617B7"/>
    <w:rsid w:val="00562285"/>
    <w:rsid w:val="00562FBF"/>
    <w:rsid w:val="00563617"/>
    <w:rsid w:val="00563D27"/>
    <w:rsid w:val="005645D4"/>
    <w:rsid w:val="00564D59"/>
    <w:rsid w:val="00564F52"/>
    <w:rsid w:val="0056512F"/>
    <w:rsid w:val="00565538"/>
    <w:rsid w:val="00565A16"/>
    <w:rsid w:val="00565F2E"/>
    <w:rsid w:val="005662C4"/>
    <w:rsid w:val="0056632D"/>
    <w:rsid w:val="00566434"/>
    <w:rsid w:val="00566591"/>
    <w:rsid w:val="0056660B"/>
    <w:rsid w:val="00566A91"/>
    <w:rsid w:val="005672BB"/>
    <w:rsid w:val="0056764E"/>
    <w:rsid w:val="00567969"/>
    <w:rsid w:val="0056798F"/>
    <w:rsid w:val="00567D45"/>
    <w:rsid w:val="00567DBC"/>
    <w:rsid w:val="00571AF4"/>
    <w:rsid w:val="005723A2"/>
    <w:rsid w:val="00572F38"/>
    <w:rsid w:val="00573018"/>
    <w:rsid w:val="00573480"/>
    <w:rsid w:val="005738AB"/>
    <w:rsid w:val="00573B42"/>
    <w:rsid w:val="00573BA5"/>
    <w:rsid w:val="00573DF5"/>
    <w:rsid w:val="00573FA4"/>
    <w:rsid w:val="005749E2"/>
    <w:rsid w:val="00574DEA"/>
    <w:rsid w:val="00575239"/>
    <w:rsid w:val="00575644"/>
    <w:rsid w:val="0057698C"/>
    <w:rsid w:val="00576B3D"/>
    <w:rsid w:val="00577038"/>
    <w:rsid w:val="00577AD5"/>
    <w:rsid w:val="00577BA4"/>
    <w:rsid w:val="0058011F"/>
    <w:rsid w:val="005802C3"/>
    <w:rsid w:val="005804DE"/>
    <w:rsid w:val="005804E9"/>
    <w:rsid w:val="00581902"/>
    <w:rsid w:val="005819AE"/>
    <w:rsid w:val="0058297A"/>
    <w:rsid w:val="005829C5"/>
    <w:rsid w:val="005834F0"/>
    <w:rsid w:val="00583634"/>
    <w:rsid w:val="005838EC"/>
    <w:rsid w:val="00583BE7"/>
    <w:rsid w:val="00584BB2"/>
    <w:rsid w:val="00584D04"/>
    <w:rsid w:val="00585135"/>
    <w:rsid w:val="005851DA"/>
    <w:rsid w:val="00585232"/>
    <w:rsid w:val="00585825"/>
    <w:rsid w:val="00585DB2"/>
    <w:rsid w:val="00586008"/>
    <w:rsid w:val="0058649F"/>
    <w:rsid w:val="00586588"/>
    <w:rsid w:val="00586A5A"/>
    <w:rsid w:val="005879C3"/>
    <w:rsid w:val="00590542"/>
    <w:rsid w:val="0059067A"/>
    <w:rsid w:val="0059082E"/>
    <w:rsid w:val="00590B73"/>
    <w:rsid w:val="00590BA6"/>
    <w:rsid w:val="00590CAC"/>
    <w:rsid w:val="00591613"/>
    <w:rsid w:val="0059209E"/>
    <w:rsid w:val="0059295A"/>
    <w:rsid w:val="00592E38"/>
    <w:rsid w:val="00594479"/>
    <w:rsid w:val="00595B91"/>
    <w:rsid w:val="005964B6"/>
    <w:rsid w:val="00597006"/>
    <w:rsid w:val="00597120"/>
    <w:rsid w:val="00597330"/>
    <w:rsid w:val="005A0094"/>
    <w:rsid w:val="005A047F"/>
    <w:rsid w:val="005A0885"/>
    <w:rsid w:val="005A0A0D"/>
    <w:rsid w:val="005A0B4E"/>
    <w:rsid w:val="005A0CD2"/>
    <w:rsid w:val="005A2512"/>
    <w:rsid w:val="005A2C38"/>
    <w:rsid w:val="005A3884"/>
    <w:rsid w:val="005A4216"/>
    <w:rsid w:val="005A49CC"/>
    <w:rsid w:val="005A4B5F"/>
    <w:rsid w:val="005A4C26"/>
    <w:rsid w:val="005A518F"/>
    <w:rsid w:val="005A5302"/>
    <w:rsid w:val="005A5342"/>
    <w:rsid w:val="005A5AD2"/>
    <w:rsid w:val="005A5C1C"/>
    <w:rsid w:val="005A5D0E"/>
    <w:rsid w:val="005A617A"/>
    <w:rsid w:val="005A6858"/>
    <w:rsid w:val="005A6A83"/>
    <w:rsid w:val="005A6FC0"/>
    <w:rsid w:val="005A72BC"/>
    <w:rsid w:val="005A788E"/>
    <w:rsid w:val="005B0396"/>
    <w:rsid w:val="005B12D5"/>
    <w:rsid w:val="005B1689"/>
    <w:rsid w:val="005B19A1"/>
    <w:rsid w:val="005B23FB"/>
    <w:rsid w:val="005B3360"/>
    <w:rsid w:val="005B3882"/>
    <w:rsid w:val="005B3F26"/>
    <w:rsid w:val="005B474F"/>
    <w:rsid w:val="005B4CDD"/>
    <w:rsid w:val="005B4F34"/>
    <w:rsid w:val="005B57BD"/>
    <w:rsid w:val="005B5EB6"/>
    <w:rsid w:val="005B66BB"/>
    <w:rsid w:val="005B708E"/>
    <w:rsid w:val="005B74ED"/>
    <w:rsid w:val="005B76DE"/>
    <w:rsid w:val="005B7717"/>
    <w:rsid w:val="005C0CF5"/>
    <w:rsid w:val="005C0DE0"/>
    <w:rsid w:val="005C0EA6"/>
    <w:rsid w:val="005C0F6A"/>
    <w:rsid w:val="005C1126"/>
    <w:rsid w:val="005C1640"/>
    <w:rsid w:val="005C206D"/>
    <w:rsid w:val="005C2799"/>
    <w:rsid w:val="005C2CD3"/>
    <w:rsid w:val="005C3005"/>
    <w:rsid w:val="005C3152"/>
    <w:rsid w:val="005C34E1"/>
    <w:rsid w:val="005C3795"/>
    <w:rsid w:val="005C3A74"/>
    <w:rsid w:val="005C3E84"/>
    <w:rsid w:val="005C3EDC"/>
    <w:rsid w:val="005C41A8"/>
    <w:rsid w:val="005C43EF"/>
    <w:rsid w:val="005C497D"/>
    <w:rsid w:val="005C5405"/>
    <w:rsid w:val="005C570C"/>
    <w:rsid w:val="005C5C17"/>
    <w:rsid w:val="005C5C9E"/>
    <w:rsid w:val="005C6609"/>
    <w:rsid w:val="005C6E3D"/>
    <w:rsid w:val="005C7997"/>
    <w:rsid w:val="005C7D1C"/>
    <w:rsid w:val="005D0C9D"/>
    <w:rsid w:val="005D0FB1"/>
    <w:rsid w:val="005D18D9"/>
    <w:rsid w:val="005D1F55"/>
    <w:rsid w:val="005D2AE1"/>
    <w:rsid w:val="005D2E68"/>
    <w:rsid w:val="005D2FB2"/>
    <w:rsid w:val="005D301A"/>
    <w:rsid w:val="005D3488"/>
    <w:rsid w:val="005D3974"/>
    <w:rsid w:val="005D39AE"/>
    <w:rsid w:val="005D3A24"/>
    <w:rsid w:val="005D3A6C"/>
    <w:rsid w:val="005D3E82"/>
    <w:rsid w:val="005D4ABD"/>
    <w:rsid w:val="005D4D00"/>
    <w:rsid w:val="005D5492"/>
    <w:rsid w:val="005D5FAE"/>
    <w:rsid w:val="005D667A"/>
    <w:rsid w:val="005D7457"/>
    <w:rsid w:val="005D7847"/>
    <w:rsid w:val="005D7B51"/>
    <w:rsid w:val="005E0BE9"/>
    <w:rsid w:val="005E0BEB"/>
    <w:rsid w:val="005E1BCC"/>
    <w:rsid w:val="005E23B9"/>
    <w:rsid w:val="005E245E"/>
    <w:rsid w:val="005E3337"/>
    <w:rsid w:val="005E33F0"/>
    <w:rsid w:val="005E3885"/>
    <w:rsid w:val="005E3E89"/>
    <w:rsid w:val="005E3F9B"/>
    <w:rsid w:val="005E4759"/>
    <w:rsid w:val="005E5E93"/>
    <w:rsid w:val="005E5FFE"/>
    <w:rsid w:val="005E671B"/>
    <w:rsid w:val="005E6B33"/>
    <w:rsid w:val="005E6F21"/>
    <w:rsid w:val="005E6FDF"/>
    <w:rsid w:val="005E746B"/>
    <w:rsid w:val="005E7E5E"/>
    <w:rsid w:val="005E7EB7"/>
    <w:rsid w:val="005F0A38"/>
    <w:rsid w:val="005F169C"/>
    <w:rsid w:val="005F23D1"/>
    <w:rsid w:val="005F25FD"/>
    <w:rsid w:val="005F30E3"/>
    <w:rsid w:val="005F32E2"/>
    <w:rsid w:val="005F36F3"/>
    <w:rsid w:val="005F3C14"/>
    <w:rsid w:val="005F3F4A"/>
    <w:rsid w:val="005F3FED"/>
    <w:rsid w:val="005F4643"/>
    <w:rsid w:val="005F5031"/>
    <w:rsid w:val="005F50ED"/>
    <w:rsid w:val="005F5442"/>
    <w:rsid w:val="005F5907"/>
    <w:rsid w:val="005F5E26"/>
    <w:rsid w:val="005F5FD0"/>
    <w:rsid w:val="005F6145"/>
    <w:rsid w:val="005F63AF"/>
    <w:rsid w:val="005F66E9"/>
    <w:rsid w:val="005F6A0E"/>
    <w:rsid w:val="005F6B7E"/>
    <w:rsid w:val="005F768E"/>
    <w:rsid w:val="005F7BA6"/>
    <w:rsid w:val="005F7E3D"/>
    <w:rsid w:val="00600484"/>
    <w:rsid w:val="006012F8"/>
    <w:rsid w:val="006013E2"/>
    <w:rsid w:val="00601472"/>
    <w:rsid w:val="0060149E"/>
    <w:rsid w:val="00601E01"/>
    <w:rsid w:val="006020ED"/>
    <w:rsid w:val="00602B73"/>
    <w:rsid w:val="00602E92"/>
    <w:rsid w:val="006030E3"/>
    <w:rsid w:val="006045E7"/>
    <w:rsid w:val="00604605"/>
    <w:rsid w:val="00604A53"/>
    <w:rsid w:val="00605444"/>
    <w:rsid w:val="0060589B"/>
    <w:rsid w:val="00605A23"/>
    <w:rsid w:val="00605C80"/>
    <w:rsid w:val="006064E7"/>
    <w:rsid w:val="0060777E"/>
    <w:rsid w:val="00607E1B"/>
    <w:rsid w:val="0061027C"/>
    <w:rsid w:val="00610CCB"/>
    <w:rsid w:val="006110A6"/>
    <w:rsid w:val="0061164B"/>
    <w:rsid w:val="006119CB"/>
    <w:rsid w:val="00611C0C"/>
    <w:rsid w:val="006129E8"/>
    <w:rsid w:val="00612A04"/>
    <w:rsid w:val="00612A95"/>
    <w:rsid w:val="00612B83"/>
    <w:rsid w:val="00613352"/>
    <w:rsid w:val="006133D5"/>
    <w:rsid w:val="006134E6"/>
    <w:rsid w:val="0061353C"/>
    <w:rsid w:val="006144A7"/>
    <w:rsid w:val="00614E2B"/>
    <w:rsid w:val="00615100"/>
    <w:rsid w:val="006152E9"/>
    <w:rsid w:val="00616817"/>
    <w:rsid w:val="006168AD"/>
    <w:rsid w:val="00617030"/>
    <w:rsid w:val="0061757F"/>
    <w:rsid w:val="006176FD"/>
    <w:rsid w:val="00617F44"/>
    <w:rsid w:val="006201A6"/>
    <w:rsid w:val="00620E89"/>
    <w:rsid w:val="00620EE8"/>
    <w:rsid w:val="006215FE"/>
    <w:rsid w:val="00621714"/>
    <w:rsid w:val="006226F5"/>
    <w:rsid w:val="00622936"/>
    <w:rsid w:val="00622CE6"/>
    <w:rsid w:val="00623299"/>
    <w:rsid w:val="0062349C"/>
    <w:rsid w:val="00623E69"/>
    <w:rsid w:val="006247F0"/>
    <w:rsid w:val="00625457"/>
    <w:rsid w:val="006254AD"/>
    <w:rsid w:val="0062627D"/>
    <w:rsid w:val="00626725"/>
    <w:rsid w:val="0062684B"/>
    <w:rsid w:val="00626C54"/>
    <w:rsid w:val="00626D76"/>
    <w:rsid w:val="00626DDC"/>
    <w:rsid w:val="00627CAA"/>
    <w:rsid w:val="00630315"/>
    <w:rsid w:val="0063036C"/>
    <w:rsid w:val="00631FEB"/>
    <w:rsid w:val="006321FC"/>
    <w:rsid w:val="0063335A"/>
    <w:rsid w:val="006335FE"/>
    <w:rsid w:val="00633A6C"/>
    <w:rsid w:val="00634209"/>
    <w:rsid w:val="006343F2"/>
    <w:rsid w:val="00634B09"/>
    <w:rsid w:val="00635503"/>
    <w:rsid w:val="00635953"/>
    <w:rsid w:val="00635A78"/>
    <w:rsid w:val="00636480"/>
    <w:rsid w:val="006365B3"/>
    <w:rsid w:val="00636B4F"/>
    <w:rsid w:val="0063730F"/>
    <w:rsid w:val="00637887"/>
    <w:rsid w:val="00637C1F"/>
    <w:rsid w:val="006406EF"/>
    <w:rsid w:val="006416A2"/>
    <w:rsid w:val="00641C6F"/>
    <w:rsid w:val="0064331A"/>
    <w:rsid w:val="00643BC4"/>
    <w:rsid w:val="0064462A"/>
    <w:rsid w:val="0064481D"/>
    <w:rsid w:val="00645EA0"/>
    <w:rsid w:val="0064616B"/>
    <w:rsid w:val="006462C5"/>
    <w:rsid w:val="00646769"/>
    <w:rsid w:val="00646A13"/>
    <w:rsid w:val="00647DCF"/>
    <w:rsid w:val="00650838"/>
    <w:rsid w:val="00650E16"/>
    <w:rsid w:val="00650F0D"/>
    <w:rsid w:val="00651890"/>
    <w:rsid w:val="00651FC4"/>
    <w:rsid w:val="006527EF"/>
    <w:rsid w:val="0065298F"/>
    <w:rsid w:val="00652FF6"/>
    <w:rsid w:val="00653244"/>
    <w:rsid w:val="00653E7A"/>
    <w:rsid w:val="00654269"/>
    <w:rsid w:val="00654ACD"/>
    <w:rsid w:val="00654C83"/>
    <w:rsid w:val="00654DE3"/>
    <w:rsid w:val="006553CF"/>
    <w:rsid w:val="006554F6"/>
    <w:rsid w:val="006558B9"/>
    <w:rsid w:val="00655F6B"/>
    <w:rsid w:val="00656A77"/>
    <w:rsid w:val="00656ADE"/>
    <w:rsid w:val="006571BE"/>
    <w:rsid w:val="0065756D"/>
    <w:rsid w:val="00660BE8"/>
    <w:rsid w:val="00661C60"/>
    <w:rsid w:val="006633C1"/>
    <w:rsid w:val="00664ACD"/>
    <w:rsid w:val="00664E3A"/>
    <w:rsid w:val="0066588C"/>
    <w:rsid w:val="00666313"/>
    <w:rsid w:val="00667AFE"/>
    <w:rsid w:val="00670681"/>
    <w:rsid w:val="006706C2"/>
    <w:rsid w:val="00670828"/>
    <w:rsid w:val="006713C1"/>
    <w:rsid w:val="00671758"/>
    <w:rsid w:val="00671829"/>
    <w:rsid w:val="00671852"/>
    <w:rsid w:val="00671967"/>
    <w:rsid w:val="00671C9C"/>
    <w:rsid w:val="00672581"/>
    <w:rsid w:val="00672888"/>
    <w:rsid w:val="00672DC0"/>
    <w:rsid w:val="00673062"/>
    <w:rsid w:val="00673EF3"/>
    <w:rsid w:val="0067428B"/>
    <w:rsid w:val="0067496F"/>
    <w:rsid w:val="00675C35"/>
    <w:rsid w:val="00676091"/>
    <w:rsid w:val="00676B81"/>
    <w:rsid w:val="00676C34"/>
    <w:rsid w:val="00676C5D"/>
    <w:rsid w:val="00676F32"/>
    <w:rsid w:val="0067707F"/>
    <w:rsid w:val="006773DE"/>
    <w:rsid w:val="0067754E"/>
    <w:rsid w:val="006775E2"/>
    <w:rsid w:val="00677E93"/>
    <w:rsid w:val="006802EC"/>
    <w:rsid w:val="00680573"/>
    <w:rsid w:val="00680605"/>
    <w:rsid w:val="00680CBD"/>
    <w:rsid w:val="00682B3B"/>
    <w:rsid w:val="006832CF"/>
    <w:rsid w:val="00683604"/>
    <w:rsid w:val="00683887"/>
    <w:rsid w:val="00683A6A"/>
    <w:rsid w:val="006846C4"/>
    <w:rsid w:val="00684825"/>
    <w:rsid w:val="006857E4"/>
    <w:rsid w:val="0068604E"/>
    <w:rsid w:val="0068738A"/>
    <w:rsid w:val="00687D02"/>
    <w:rsid w:val="00687D3D"/>
    <w:rsid w:val="00690DFF"/>
    <w:rsid w:val="00691280"/>
    <w:rsid w:val="006916EA"/>
    <w:rsid w:val="0069267A"/>
    <w:rsid w:val="006927F2"/>
    <w:rsid w:val="006929CC"/>
    <w:rsid w:val="00692A6E"/>
    <w:rsid w:val="00692A7B"/>
    <w:rsid w:val="00692AAD"/>
    <w:rsid w:val="00692C1F"/>
    <w:rsid w:val="00692C3D"/>
    <w:rsid w:val="00692C90"/>
    <w:rsid w:val="00692CAA"/>
    <w:rsid w:val="00692DED"/>
    <w:rsid w:val="006937CF"/>
    <w:rsid w:val="006941F9"/>
    <w:rsid w:val="006942ED"/>
    <w:rsid w:val="006943AF"/>
    <w:rsid w:val="006943D0"/>
    <w:rsid w:val="00694707"/>
    <w:rsid w:val="0069547C"/>
    <w:rsid w:val="00695544"/>
    <w:rsid w:val="006961D8"/>
    <w:rsid w:val="00696251"/>
    <w:rsid w:val="00696CC5"/>
    <w:rsid w:val="00697316"/>
    <w:rsid w:val="00697440"/>
    <w:rsid w:val="0069752B"/>
    <w:rsid w:val="006976B2"/>
    <w:rsid w:val="00697742"/>
    <w:rsid w:val="00697FDA"/>
    <w:rsid w:val="006A0546"/>
    <w:rsid w:val="006A057B"/>
    <w:rsid w:val="006A098C"/>
    <w:rsid w:val="006A1126"/>
    <w:rsid w:val="006A115F"/>
    <w:rsid w:val="006A14A4"/>
    <w:rsid w:val="006A156D"/>
    <w:rsid w:val="006A1E6E"/>
    <w:rsid w:val="006A2303"/>
    <w:rsid w:val="006A2582"/>
    <w:rsid w:val="006A266D"/>
    <w:rsid w:val="006A2770"/>
    <w:rsid w:val="006A30E2"/>
    <w:rsid w:val="006A4CF0"/>
    <w:rsid w:val="006A53DF"/>
    <w:rsid w:val="006A561A"/>
    <w:rsid w:val="006A5CF9"/>
    <w:rsid w:val="006A6DED"/>
    <w:rsid w:val="006A74F5"/>
    <w:rsid w:val="006A77FB"/>
    <w:rsid w:val="006B00F7"/>
    <w:rsid w:val="006B08D3"/>
    <w:rsid w:val="006B0B7D"/>
    <w:rsid w:val="006B0E7F"/>
    <w:rsid w:val="006B10EB"/>
    <w:rsid w:val="006B1557"/>
    <w:rsid w:val="006B1A34"/>
    <w:rsid w:val="006B1E04"/>
    <w:rsid w:val="006B2174"/>
    <w:rsid w:val="006B2596"/>
    <w:rsid w:val="006B2607"/>
    <w:rsid w:val="006B2B2C"/>
    <w:rsid w:val="006B2EFD"/>
    <w:rsid w:val="006B362A"/>
    <w:rsid w:val="006B3A94"/>
    <w:rsid w:val="006B3A9D"/>
    <w:rsid w:val="006B3ACA"/>
    <w:rsid w:val="006B45E7"/>
    <w:rsid w:val="006B478D"/>
    <w:rsid w:val="006B4895"/>
    <w:rsid w:val="006B4BC5"/>
    <w:rsid w:val="006B51D3"/>
    <w:rsid w:val="006B523F"/>
    <w:rsid w:val="006B5BCB"/>
    <w:rsid w:val="006B5E1C"/>
    <w:rsid w:val="006B6508"/>
    <w:rsid w:val="006B652E"/>
    <w:rsid w:val="006B6CB0"/>
    <w:rsid w:val="006B7185"/>
    <w:rsid w:val="006B7396"/>
    <w:rsid w:val="006B73B6"/>
    <w:rsid w:val="006C038F"/>
    <w:rsid w:val="006C03FE"/>
    <w:rsid w:val="006C0435"/>
    <w:rsid w:val="006C0D4A"/>
    <w:rsid w:val="006C143F"/>
    <w:rsid w:val="006C2E3E"/>
    <w:rsid w:val="006C32A0"/>
    <w:rsid w:val="006C34FB"/>
    <w:rsid w:val="006C5146"/>
    <w:rsid w:val="006C52F5"/>
    <w:rsid w:val="006C5859"/>
    <w:rsid w:val="006C59FC"/>
    <w:rsid w:val="006C5B9B"/>
    <w:rsid w:val="006C634C"/>
    <w:rsid w:val="006C63F1"/>
    <w:rsid w:val="006C683A"/>
    <w:rsid w:val="006C6E19"/>
    <w:rsid w:val="006C71BE"/>
    <w:rsid w:val="006C723C"/>
    <w:rsid w:val="006C7C88"/>
    <w:rsid w:val="006C7DF9"/>
    <w:rsid w:val="006D0A87"/>
    <w:rsid w:val="006D0D3E"/>
    <w:rsid w:val="006D13D0"/>
    <w:rsid w:val="006D1B6A"/>
    <w:rsid w:val="006D233E"/>
    <w:rsid w:val="006D2904"/>
    <w:rsid w:val="006D2CB5"/>
    <w:rsid w:val="006D2E49"/>
    <w:rsid w:val="006D3156"/>
    <w:rsid w:val="006D3C10"/>
    <w:rsid w:val="006D3E1F"/>
    <w:rsid w:val="006D3ED7"/>
    <w:rsid w:val="006D40E1"/>
    <w:rsid w:val="006D4223"/>
    <w:rsid w:val="006D4994"/>
    <w:rsid w:val="006D5618"/>
    <w:rsid w:val="006D63ED"/>
    <w:rsid w:val="006D794C"/>
    <w:rsid w:val="006D7B0B"/>
    <w:rsid w:val="006D7B0E"/>
    <w:rsid w:val="006D7B2F"/>
    <w:rsid w:val="006D7F10"/>
    <w:rsid w:val="006E0110"/>
    <w:rsid w:val="006E0362"/>
    <w:rsid w:val="006E0EF1"/>
    <w:rsid w:val="006E232F"/>
    <w:rsid w:val="006E3223"/>
    <w:rsid w:val="006E33E0"/>
    <w:rsid w:val="006E3614"/>
    <w:rsid w:val="006E3A76"/>
    <w:rsid w:val="006E4ABE"/>
    <w:rsid w:val="006E5DCE"/>
    <w:rsid w:val="006E5EF1"/>
    <w:rsid w:val="006E6B37"/>
    <w:rsid w:val="006E79E2"/>
    <w:rsid w:val="006E7CA2"/>
    <w:rsid w:val="006E7DBE"/>
    <w:rsid w:val="006F0F61"/>
    <w:rsid w:val="006F1020"/>
    <w:rsid w:val="006F108C"/>
    <w:rsid w:val="006F1267"/>
    <w:rsid w:val="006F1A8F"/>
    <w:rsid w:val="006F1C94"/>
    <w:rsid w:val="006F1F5A"/>
    <w:rsid w:val="006F27BC"/>
    <w:rsid w:val="006F462D"/>
    <w:rsid w:val="006F487A"/>
    <w:rsid w:val="006F487E"/>
    <w:rsid w:val="006F4A36"/>
    <w:rsid w:val="006F4E0E"/>
    <w:rsid w:val="006F5277"/>
    <w:rsid w:val="006F57E1"/>
    <w:rsid w:val="006F5FDF"/>
    <w:rsid w:val="006F601D"/>
    <w:rsid w:val="006F650D"/>
    <w:rsid w:val="006F729E"/>
    <w:rsid w:val="006F733A"/>
    <w:rsid w:val="006F747D"/>
    <w:rsid w:val="006F7D78"/>
    <w:rsid w:val="006F7F4E"/>
    <w:rsid w:val="007008EC"/>
    <w:rsid w:val="007012DB"/>
    <w:rsid w:val="00703930"/>
    <w:rsid w:val="00703AE0"/>
    <w:rsid w:val="00703CD0"/>
    <w:rsid w:val="00703DA2"/>
    <w:rsid w:val="00703F6F"/>
    <w:rsid w:val="007041E7"/>
    <w:rsid w:val="00704318"/>
    <w:rsid w:val="00704EC9"/>
    <w:rsid w:val="00705006"/>
    <w:rsid w:val="00705475"/>
    <w:rsid w:val="00705BD0"/>
    <w:rsid w:val="00705BE2"/>
    <w:rsid w:val="00705DC0"/>
    <w:rsid w:val="007062E3"/>
    <w:rsid w:val="00706438"/>
    <w:rsid w:val="00707739"/>
    <w:rsid w:val="00710ED6"/>
    <w:rsid w:val="007110A9"/>
    <w:rsid w:val="007112FF"/>
    <w:rsid w:val="00711656"/>
    <w:rsid w:val="00711811"/>
    <w:rsid w:val="00711D28"/>
    <w:rsid w:val="00712026"/>
    <w:rsid w:val="00712031"/>
    <w:rsid w:val="00712074"/>
    <w:rsid w:val="007127AC"/>
    <w:rsid w:val="0071293D"/>
    <w:rsid w:val="00712A6C"/>
    <w:rsid w:val="00713321"/>
    <w:rsid w:val="00713560"/>
    <w:rsid w:val="007136D0"/>
    <w:rsid w:val="00713C02"/>
    <w:rsid w:val="007148F1"/>
    <w:rsid w:val="00714B34"/>
    <w:rsid w:val="00715158"/>
    <w:rsid w:val="00715A57"/>
    <w:rsid w:val="00715EDA"/>
    <w:rsid w:val="00716AF8"/>
    <w:rsid w:val="00716CBB"/>
    <w:rsid w:val="00717977"/>
    <w:rsid w:val="00717CF7"/>
    <w:rsid w:val="007208D1"/>
    <w:rsid w:val="007209F7"/>
    <w:rsid w:val="00723439"/>
    <w:rsid w:val="00723A3F"/>
    <w:rsid w:val="007244C6"/>
    <w:rsid w:val="0072455E"/>
    <w:rsid w:val="00724B05"/>
    <w:rsid w:val="007250D8"/>
    <w:rsid w:val="007253A2"/>
    <w:rsid w:val="00726890"/>
    <w:rsid w:val="00726EE1"/>
    <w:rsid w:val="00727129"/>
    <w:rsid w:val="0073029C"/>
    <w:rsid w:val="0073069A"/>
    <w:rsid w:val="007309EA"/>
    <w:rsid w:val="00730A46"/>
    <w:rsid w:val="00730A63"/>
    <w:rsid w:val="00732B8F"/>
    <w:rsid w:val="0073467D"/>
    <w:rsid w:val="007347C4"/>
    <w:rsid w:val="00734DD7"/>
    <w:rsid w:val="00735716"/>
    <w:rsid w:val="00735773"/>
    <w:rsid w:val="007357BD"/>
    <w:rsid w:val="00735879"/>
    <w:rsid w:val="00735B97"/>
    <w:rsid w:val="00737321"/>
    <w:rsid w:val="0073770A"/>
    <w:rsid w:val="007378E2"/>
    <w:rsid w:val="00737B25"/>
    <w:rsid w:val="00740167"/>
    <w:rsid w:val="007407BD"/>
    <w:rsid w:val="00740BAC"/>
    <w:rsid w:val="00740C9C"/>
    <w:rsid w:val="00740EF0"/>
    <w:rsid w:val="007410D8"/>
    <w:rsid w:val="007415D1"/>
    <w:rsid w:val="0074195F"/>
    <w:rsid w:val="00741994"/>
    <w:rsid w:val="00741FF2"/>
    <w:rsid w:val="0074227D"/>
    <w:rsid w:val="00742412"/>
    <w:rsid w:val="00742941"/>
    <w:rsid w:val="00742A8B"/>
    <w:rsid w:val="00742DEA"/>
    <w:rsid w:val="00743B24"/>
    <w:rsid w:val="00743E6E"/>
    <w:rsid w:val="007442BB"/>
    <w:rsid w:val="0074577F"/>
    <w:rsid w:val="00746B17"/>
    <w:rsid w:val="007470FD"/>
    <w:rsid w:val="007473F5"/>
    <w:rsid w:val="00747ADB"/>
    <w:rsid w:val="0075072D"/>
    <w:rsid w:val="00750E43"/>
    <w:rsid w:val="007515A1"/>
    <w:rsid w:val="00751BEE"/>
    <w:rsid w:val="00752054"/>
    <w:rsid w:val="007524F7"/>
    <w:rsid w:val="00752643"/>
    <w:rsid w:val="007532EF"/>
    <w:rsid w:val="007537AB"/>
    <w:rsid w:val="00753FB5"/>
    <w:rsid w:val="00754444"/>
    <w:rsid w:val="00754EF3"/>
    <w:rsid w:val="00755287"/>
    <w:rsid w:val="0075539B"/>
    <w:rsid w:val="00756129"/>
    <w:rsid w:val="00756AB9"/>
    <w:rsid w:val="00756DD0"/>
    <w:rsid w:val="007616C3"/>
    <w:rsid w:val="00761CE6"/>
    <w:rsid w:val="00761D07"/>
    <w:rsid w:val="0076229E"/>
    <w:rsid w:val="007622C7"/>
    <w:rsid w:val="0076230D"/>
    <w:rsid w:val="0076238D"/>
    <w:rsid w:val="00762998"/>
    <w:rsid w:val="00762E8C"/>
    <w:rsid w:val="00762F09"/>
    <w:rsid w:val="0076396D"/>
    <w:rsid w:val="00763FF1"/>
    <w:rsid w:val="0076413D"/>
    <w:rsid w:val="00764472"/>
    <w:rsid w:val="0076482C"/>
    <w:rsid w:val="00764F7D"/>
    <w:rsid w:val="00765B43"/>
    <w:rsid w:val="00765B5A"/>
    <w:rsid w:val="00765FCB"/>
    <w:rsid w:val="00766508"/>
    <w:rsid w:val="0076752F"/>
    <w:rsid w:val="007675DB"/>
    <w:rsid w:val="0077011B"/>
    <w:rsid w:val="0077080C"/>
    <w:rsid w:val="00772432"/>
    <w:rsid w:val="007725A2"/>
    <w:rsid w:val="00772A05"/>
    <w:rsid w:val="00772B66"/>
    <w:rsid w:val="00773E86"/>
    <w:rsid w:val="00773FD1"/>
    <w:rsid w:val="00774A3F"/>
    <w:rsid w:val="00774D95"/>
    <w:rsid w:val="00776289"/>
    <w:rsid w:val="007764A4"/>
    <w:rsid w:val="00776B7D"/>
    <w:rsid w:val="0077751C"/>
    <w:rsid w:val="00777A09"/>
    <w:rsid w:val="0078023D"/>
    <w:rsid w:val="007805BB"/>
    <w:rsid w:val="007808F3"/>
    <w:rsid w:val="0078178B"/>
    <w:rsid w:val="007821FD"/>
    <w:rsid w:val="00782632"/>
    <w:rsid w:val="0078271E"/>
    <w:rsid w:val="00782959"/>
    <w:rsid w:val="007831F9"/>
    <w:rsid w:val="00783250"/>
    <w:rsid w:val="007833CD"/>
    <w:rsid w:val="007838BA"/>
    <w:rsid w:val="007840ED"/>
    <w:rsid w:val="0078569B"/>
    <w:rsid w:val="007869BE"/>
    <w:rsid w:val="00786FBB"/>
    <w:rsid w:val="0078730A"/>
    <w:rsid w:val="00787823"/>
    <w:rsid w:val="00787DD2"/>
    <w:rsid w:val="007908C5"/>
    <w:rsid w:val="007914B2"/>
    <w:rsid w:val="00791892"/>
    <w:rsid w:val="007919B1"/>
    <w:rsid w:val="00792AD1"/>
    <w:rsid w:val="007934A5"/>
    <w:rsid w:val="007937DE"/>
    <w:rsid w:val="0079477D"/>
    <w:rsid w:val="007947E4"/>
    <w:rsid w:val="00795D3F"/>
    <w:rsid w:val="007966AF"/>
    <w:rsid w:val="0079673B"/>
    <w:rsid w:val="00797594"/>
    <w:rsid w:val="0079781D"/>
    <w:rsid w:val="00797DDF"/>
    <w:rsid w:val="00797FD4"/>
    <w:rsid w:val="007A027D"/>
    <w:rsid w:val="007A08F0"/>
    <w:rsid w:val="007A0D2A"/>
    <w:rsid w:val="007A0D68"/>
    <w:rsid w:val="007A0F7F"/>
    <w:rsid w:val="007A115C"/>
    <w:rsid w:val="007A128C"/>
    <w:rsid w:val="007A1FE9"/>
    <w:rsid w:val="007A20AD"/>
    <w:rsid w:val="007A339C"/>
    <w:rsid w:val="007A3536"/>
    <w:rsid w:val="007A3788"/>
    <w:rsid w:val="007A4796"/>
    <w:rsid w:val="007A47E4"/>
    <w:rsid w:val="007A47E5"/>
    <w:rsid w:val="007A4820"/>
    <w:rsid w:val="007A4AAD"/>
    <w:rsid w:val="007A52C1"/>
    <w:rsid w:val="007A5578"/>
    <w:rsid w:val="007A5885"/>
    <w:rsid w:val="007A5B75"/>
    <w:rsid w:val="007A6623"/>
    <w:rsid w:val="007A7D76"/>
    <w:rsid w:val="007B032C"/>
    <w:rsid w:val="007B0AFC"/>
    <w:rsid w:val="007B0DBE"/>
    <w:rsid w:val="007B0DFC"/>
    <w:rsid w:val="007B1587"/>
    <w:rsid w:val="007B1B0D"/>
    <w:rsid w:val="007B21C2"/>
    <w:rsid w:val="007B23C4"/>
    <w:rsid w:val="007B2C53"/>
    <w:rsid w:val="007B31AE"/>
    <w:rsid w:val="007B341A"/>
    <w:rsid w:val="007B3526"/>
    <w:rsid w:val="007B4032"/>
    <w:rsid w:val="007B4241"/>
    <w:rsid w:val="007B4320"/>
    <w:rsid w:val="007B53BC"/>
    <w:rsid w:val="007B5FDF"/>
    <w:rsid w:val="007B698C"/>
    <w:rsid w:val="007B6CA5"/>
    <w:rsid w:val="007B76B3"/>
    <w:rsid w:val="007C0026"/>
    <w:rsid w:val="007C01BC"/>
    <w:rsid w:val="007C091E"/>
    <w:rsid w:val="007C0BB8"/>
    <w:rsid w:val="007C0C78"/>
    <w:rsid w:val="007C0CC1"/>
    <w:rsid w:val="007C0DAC"/>
    <w:rsid w:val="007C1BB9"/>
    <w:rsid w:val="007C269F"/>
    <w:rsid w:val="007C2C3B"/>
    <w:rsid w:val="007C349A"/>
    <w:rsid w:val="007C39E1"/>
    <w:rsid w:val="007C3DAD"/>
    <w:rsid w:val="007C42D9"/>
    <w:rsid w:val="007C4846"/>
    <w:rsid w:val="007C4C44"/>
    <w:rsid w:val="007C4E3D"/>
    <w:rsid w:val="007C505E"/>
    <w:rsid w:val="007C5345"/>
    <w:rsid w:val="007C5712"/>
    <w:rsid w:val="007C5E78"/>
    <w:rsid w:val="007C60E0"/>
    <w:rsid w:val="007C65EF"/>
    <w:rsid w:val="007C77F2"/>
    <w:rsid w:val="007C7A10"/>
    <w:rsid w:val="007D0897"/>
    <w:rsid w:val="007D0ABD"/>
    <w:rsid w:val="007D0C8C"/>
    <w:rsid w:val="007D1530"/>
    <w:rsid w:val="007D155E"/>
    <w:rsid w:val="007D1C62"/>
    <w:rsid w:val="007D22EC"/>
    <w:rsid w:val="007D2A9F"/>
    <w:rsid w:val="007D2F1D"/>
    <w:rsid w:val="007D3AA0"/>
    <w:rsid w:val="007D4A8C"/>
    <w:rsid w:val="007D4E6D"/>
    <w:rsid w:val="007D4EE4"/>
    <w:rsid w:val="007D542E"/>
    <w:rsid w:val="007D61AF"/>
    <w:rsid w:val="007D649E"/>
    <w:rsid w:val="007D68A7"/>
    <w:rsid w:val="007D690B"/>
    <w:rsid w:val="007D6E53"/>
    <w:rsid w:val="007D711E"/>
    <w:rsid w:val="007E05FE"/>
    <w:rsid w:val="007E0AD7"/>
    <w:rsid w:val="007E12D8"/>
    <w:rsid w:val="007E1B8D"/>
    <w:rsid w:val="007E1D02"/>
    <w:rsid w:val="007E1DDB"/>
    <w:rsid w:val="007E2704"/>
    <w:rsid w:val="007E2E7B"/>
    <w:rsid w:val="007E2F93"/>
    <w:rsid w:val="007E3366"/>
    <w:rsid w:val="007E5FBE"/>
    <w:rsid w:val="007E7337"/>
    <w:rsid w:val="007F055D"/>
    <w:rsid w:val="007F0D9D"/>
    <w:rsid w:val="007F10C4"/>
    <w:rsid w:val="007F1440"/>
    <w:rsid w:val="007F190D"/>
    <w:rsid w:val="007F1CF8"/>
    <w:rsid w:val="007F1FA3"/>
    <w:rsid w:val="007F248C"/>
    <w:rsid w:val="007F2654"/>
    <w:rsid w:val="007F2DAC"/>
    <w:rsid w:val="007F2F7B"/>
    <w:rsid w:val="007F3FCA"/>
    <w:rsid w:val="007F406C"/>
    <w:rsid w:val="007F4225"/>
    <w:rsid w:val="007F4FEE"/>
    <w:rsid w:val="007F6A6C"/>
    <w:rsid w:val="007F7592"/>
    <w:rsid w:val="007F7A9B"/>
    <w:rsid w:val="00800535"/>
    <w:rsid w:val="00802178"/>
    <w:rsid w:val="0080245C"/>
    <w:rsid w:val="0080287D"/>
    <w:rsid w:val="00802C33"/>
    <w:rsid w:val="00802FA1"/>
    <w:rsid w:val="00803290"/>
    <w:rsid w:val="00803B49"/>
    <w:rsid w:val="00803B58"/>
    <w:rsid w:val="00803C49"/>
    <w:rsid w:val="00804052"/>
    <w:rsid w:val="00804A02"/>
    <w:rsid w:val="0080500A"/>
    <w:rsid w:val="00805656"/>
    <w:rsid w:val="00806097"/>
    <w:rsid w:val="00806668"/>
    <w:rsid w:val="00806BCA"/>
    <w:rsid w:val="00806D48"/>
    <w:rsid w:val="00807C22"/>
    <w:rsid w:val="00810FB1"/>
    <w:rsid w:val="00811FBD"/>
    <w:rsid w:val="0081319F"/>
    <w:rsid w:val="00814031"/>
    <w:rsid w:val="008151EA"/>
    <w:rsid w:val="008156DD"/>
    <w:rsid w:val="0081635D"/>
    <w:rsid w:val="00816CFD"/>
    <w:rsid w:val="0081705E"/>
    <w:rsid w:val="00817186"/>
    <w:rsid w:val="00820160"/>
    <w:rsid w:val="00820378"/>
    <w:rsid w:val="0082068B"/>
    <w:rsid w:val="008216C3"/>
    <w:rsid w:val="00822059"/>
    <w:rsid w:val="00822DCE"/>
    <w:rsid w:val="00823582"/>
    <w:rsid w:val="0082437F"/>
    <w:rsid w:val="0082466A"/>
    <w:rsid w:val="00825792"/>
    <w:rsid w:val="00825B2D"/>
    <w:rsid w:val="008262E5"/>
    <w:rsid w:val="00826FA9"/>
    <w:rsid w:val="008271F6"/>
    <w:rsid w:val="00827671"/>
    <w:rsid w:val="0082782A"/>
    <w:rsid w:val="00830062"/>
    <w:rsid w:val="008300C7"/>
    <w:rsid w:val="00830315"/>
    <w:rsid w:val="00830322"/>
    <w:rsid w:val="00830AD4"/>
    <w:rsid w:val="00830B25"/>
    <w:rsid w:val="0083164F"/>
    <w:rsid w:val="0083211D"/>
    <w:rsid w:val="008324A8"/>
    <w:rsid w:val="008326F7"/>
    <w:rsid w:val="0083300E"/>
    <w:rsid w:val="0083346E"/>
    <w:rsid w:val="008335DE"/>
    <w:rsid w:val="00833888"/>
    <w:rsid w:val="00833B91"/>
    <w:rsid w:val="00833C26"/>
    <w:rsid w:val="00833DF3"/>
    <w:rsid w:val="0083494E"/>
    <w:rsid w:val="008355D1"/>
    <w:rsid w:val="00835934"/>
    <w:rsid w:val="00836128"/>
    <w:rsid w:val="00837CF0"/>
    <w:rsid w:val="00840407"/>
    <w:rsid w:val="00840934"/>
    <w:rsid w:val="00840EA3"/>
    <w:rsid w:val="008413AB"/>
    <w:rsid w:val="008422AC"/>
    <w:rsid w:val="00842BD4"/>
    <w:rsid w:val="00843CF4"/>
    <w:rsid w:val="00843D01"/>
    <w:rsid w:val="00844313"/>
    <w:rsid w:val="008445B7"/>
    <w:rsid w:val="0084480B"/>
    <w:rsid w:val="00844916"/>
    <w:rsid w:val="00844AB5"/>
    <w:rsid w:val="00844CBC"/>
    <w:rsid w:val="0084576A"/>
    <w:rsid w:val="008457DC"/>
    <w:rsid w:val="00845961"/>
    <w:rsid w:val="00846114"/>
    <w:rsid w:val="008464EA"/>
    <w:rsid w:val="0084730D"/>
    <w:rsid w:val="0084738E"/>
    <w:rsid w:val="00847394"/>
    <w:rsid w:val="00847846"/>
    <w:rsid w:val="008479C4"/>
    <w:rsid w:val="0085074C"/>
    <w:rsid w:val="0085172B"/>
    <w:rsid w:val="00852450"/>
    <w:rsid w:val="008527FC"/>
    <w:rsid w:val="00852B50"/>
    <w:rsid w:val="00852C5D"/>
    <w:rsid w:val="00852DE5"/>
    <w:rsid w:val="00853672"/>
    <w:rsid w:val="00854076"/>
    <w:rsid w:val="00854183"/>
    <w:rsid w:val="008542AC"/>
    <w:rsid w:val="008542E5"/>
    <w:rsid w:val="0085435B"/>
    <w:rsid w:val="00855391"/>
    <w:rsid w:val="0085594B"/>
    <w:rsid w:val="00855BF1"/>
    <w:rsid w:val="008560C0"/>
    <w:rsid w:val="00856559"/>
    <w:rsid w:val="008565F4"/>
    <w:rsid w:val="00856A4D"/>
    <w:rsid w:val="008574D3"/>
    <w:rsid w:val="008574E9"/>
    <w:rsid w:val="00857B92"/>
    <w:rsid w:val="00857D02"/>
    <w:rsid w:val="00857DA4"/>
    <w:rsid w:val="00857F3A"/>
    <w:rsid w:val="00860318"/>
    <w:rsid w:val="0086139D"/>
    <w:rsid w:val="00863158"/>
    <w:rsid w:val="0086342E"/>
    <w:rsid w:val="00863498"/>
    <w:rsid w:val="00863A9F"/>
    <w:rsid w:val="00863B2D"/>
    <w:rsid w:val="00864473"/>
    <w:rsid w:val="008653F7"/>
    <w:rsid w:val="00865B9E"/>
    <w:rsid w:val="00866D96"/>
    <w:rsid w:val="00867131"/>
    <w:rsid w:val="00867B49"/>
    <w:rsid w:val="0087072B"/>
    <w:rsid w:val="00872B22"/>
    <w:rsid w:val="00872DB8"/>
    <w:rsid w:val="00872FB8"/>
    <w:rsid w:val="008739D2"/>
    <w:rsid w:val="00873E51"/>
    <w:rsid w:val="008742E1"/>
    <w:rsid w:val="00875813"/>
    <w:rsid w:val="00875D5D"/>
    <w:rsid w:val="00875E17"/>
    <w:rsid w:val="00876A42"/>
    <w:rsid w:val="008772A5"/>
    <w:rsid w:val="0087761B"/>
    <w:rsid w:val="0087763B"/>
    <w:rsid w:val="00877AAA"/>
    <w:rsid w:val="00877BE9"/>
    <w:rsid w:val="00880072"/>
    <w:rsid w:val="00880396"/>
    <w:rsid w:val="00880707"/>
    <w:rsid w:val="00880BA7"/>
    <w:rsid w:val="00880EB3"/>
    <w:rsid w:val="008819B2"/>
    <w:rsid w:val="00881F7C"/>
    <w:rsid w:val="00881FEA"/>
    <w:rsid w:val="0088268F"/>
    <w:rsid w:val="00882E63"/>
    <w:rsid w:val="008835E3"/>
    <w:rsid w:val="00883BC3"/>
    <w:rsid w:val="00883E91"/>
    <w:rsid w:val="00884378"/>
    <w:rsid w:val="008848BF"/>
    <w:rsid w:val="00884CE7"/>
    <w:rsid w:val="00885F4B"/>
    <w:rsid w:val="0088614E"/>
    <w:rsid w:val="008870FE"/>
    <w:rsid w:val="008902C5"/>
    <w:rsid w:val="008907EF"/>
    <w:rsid w:val="00891305"/>
    <w:rsid w:val="008915CE"/>
    <w:rsid w:val="008917EB"/>
    <w:rsid w:val="00891A64"/>
    <w:rsid w:val="0089202E"/>
    <w:rsid w:val="008925B9"/>
    <w:rsid w:val="00892672"/>
    <w:rsid w:val="00892B21"/>
    <w:rsid w:val="008931A7"/>
    <w:rsid w:val="00893391"/>
    <w:rsid w:val="00893494"/>
    <w:rsid w:val="00893A14"/>
    <w:rsid w:val="00894925"/>
    <w:rsid w:val="00894F38"/>
    <w:rsid w:val="00895A31"/>
    <w:rsid w:val="00895E9D"/>
    <w:rsid w:val="00896338"/>
    <w:rsid w:val="00896366"/>
    <w:rsid w:val="00897339"/>
    <w:rsid w:val="00897D32"/>
    <w:rsid w:val="008A0210"/>
    <w:rsid w:val="008A0397"/>
    <w:rsid w:val="008A0C6A"/>
    <w:rsid w:val="008A1849"/>
    <w:rsid w:val="008A1E37"/>
    <w:rsid w:val="008A2B82"/>
    <w:rsid w:val="008A347B"/>
    <w:rsid w:val="008A3AFF"/>
    <w:rsid w:val="008A4011"/>
    <w:rsid w:val="008A4072"/>
    <w:rsid w:val="008A41A1"/>
    <w:rsid w:val="008A54BB"/>
    <w:rsid w:val="008A562A"/>
    <w:rsid w:val="008A5852"/>
    <w:rsid w:val="008A5F67"/>
    <w:rsid w:val="008A642C"/>
    <w:rsid w:val="008A6D46"/>
    <w:rsid w:val="008A702C"/>
    <w:rsid w:val="008A7A92"/>
    <w:rsid w:val="008B08E3"/>
    <w:rsid w:val="008B09CF"/>
    <w:rsid w:val="008B0B9A"/>
    <w:rsid w:val="008B1143"/>
    <w:rsid w:val="008B13FF"/>
    <w:rsid w:val="008B1A5F"/>
    <w:rsid w:val="008B2739"/>
    <w:rsid w:val="008B28F8"/>
    <w:rsid w:val="008B29B6"/>
    <w:rsid w:val="008B2BF2"/>
    <w:rsid w:val="008B2C1B"/>
    <w:rsid w:val="008B302C"/>
    <w:rsid w:val="008B34C3"/>
    <w:rsid w:val="008B3B7F"/>
    <w:rsid w:val="008B3E8C"/>
    <w:rsid w:val="008B4417"/>
    <w:rsid w:val="008B45E9"/>
    <w:rsid w:val="008B4D50"/>
    <w:rsid w:val="008B5209"/>
    <w:rsid w:val="008B54B9"/>
    <w:rsid w:val="008B5B80"/>
    <w:rsid w:val="008B5F42"/>
    <w:rsid w:val="008B6026"/>
    <w:rsid w:val="008B66AC"/>
    <w:rsid w:val="008B7671"/>
    <w:rsid w:val="008C0979"/>
    <w:rsid w:val="008C0ABA"/>
    <w:rsid w:val="008C0CE5"/>
    <w:rsid w:val="008C0F3C"/>
    <w:rsid w:val="008C10D2"/>
    <w:rsid w:val="008C14A4"/>
    <w:rsid w:val="008C1622"/>
    <w:rsid w:val="008C2518"/>
    <w:rsid w:val="008C296A"/>
    <w:rsid w:val="008C2DDF"/>
    <w:rsid w:val="008C3A2C"/>
    <w:rsid w:val="008C429D"/>
    <w:rsid w:val="008C4362"/>
    <w:rsid w:val="008C4470"/>
    <w:rsid w:val="008C4630"/>
    <w:rsid w:val="008C48D4"/>
    <w:rsid w:val="008C4CEF"/>
    <w:rsid w:val="008C51E6"/>
    <w:rsid w:val="008C584C"/>
    <w:rsid w:val="008C5F8F"/>
    <w:rsid w:val="008C6493"/>
    <w:rsid w:val="008C6A4A"/>
    <w:rsid w:val="008C6EE9"/>
    <w:rsid w:val="008C6F06"/>
    <w:rsid w:val="008C7132"/>
    <w:rsid w:val="008C724B"/>
    <w:rsid w:val="008C732F"/>
    <w:rsid w:val="008C7430"/>
    <w:rsid w:val="008C758C"/>
    <w:rsid w:val="008C76C6"/>
    <w:rsid w:val="008C76DD"/>
    <w:rsid w:val="008C7E90"/>
    <w:rsid w:val="008D08EB"/>
    <w:rsid w:val="008D0B25"/>
    <w:rsid w:val="008D12D2"/>
    <w:rsid w:val="008D1469"/>
    <w:rsid w:val="008D2C4B"/>
    <w:rsid w:val="008D2ECC"/>
    <w:rsid w:val="008D306C"/>
    <w:rsid w:val="008D35D1"/>
    <w:rsid w:val="008D37D1"/>
    <w:rsid w:val="008D3D8A"/>
    <w:rsid w:val="008D3FEF"/>
    <w:rsid w:val="008D4651"/>
    <w:rsid w:val="008D46D8"/>
    <w:rsid w:val="008D4B35"/>
    <w:rsid w:val="008D4FF6"/>
    <w:rsid w:val="008D5312"/>
    <w:rsid w:val="008D537B"/>
    <w:rsid w:val="008D56CD"/>
    <w:rsid w:val="008D5977"/>
    <w:rsid w:val="008D59B5"/>
    <w:rsid w:val="008D6209"/>
    <w:rsid w:val="008D70C2"/>
    <w:rsid w:val="008D7102"/>
    <w:rsid w:val="008D737C"/>
    <w:rsid w:val="008D7A65"/>
    <w:rsid w:val="008E0384"/>
    <w:rsid w:val="008E0A50"/>
    <w:rsid w:val="008E0AC1"/>
    <w:rsid w:val="008E1622"/>
    <w:rsid w:val="008E1963"/>
    <w:rsid w:val="008E1BD1"/>
    <w:rsid w:val="008E2A69"/>
    <w:rsid w:val="008E39CA"/>
    <w:rsid w:val="008E4402"/>
    <w:rsid w:val="008E4501"/>
    <w:rsid w:val="008E5305"/>
    <w:rsid w:val="008E5729"/>
    <w:rsid w:val="008E5AAF"/>
    <w:rsid w:val="008E5DB9"/>
    <w:rsid w:val="008E6086"/>
    <w:rsid w:val="008E61B3"/>
    <w:rsid w:val="008E6D87"/>
    <w:rsid w:val="008E708D"/>
    <w:rsid w:val="008E73A6"/>
    <w:rsid w:val="008E7C4E"/>
    <w:rsid w:val="008F019A"/>
    <w:rsid w:val="008F0BF6"/>
    <w:rsid w:val="008F1C4D"/>
    <w:rsid w:val="008F1CE7"/>
    <w:rsid w:val="008F1F54"/>
    <w:rsid w:val="008F20CC"/>
    <w:rsid w:val="008F2988"/>
    <w:rsid w:val="008F31B9"/>
    <w:rsid w:val="008F3D8C"/>
    <w:rsid w:val="008F5325"/>
    <w:rsid w:val="008F5586"/>
    <w:rsid w:val="008F6009"/>
    <w:rsid w:val="008F6205"/>
    <w:rsid w:val="008F68A8"/>
    <w:rsid w:val="008F6B6A"/>
    <w:rsid w:val="008F70A0"/>
    <w:rsid w:val="008F745A"/>
    <w:rsid w:val="008F7E6B"/>
    <w:rsid w:val="009000C8"/>
    <w:rsid w:val="009007BE"/>
    <w:rsid w:val="009015D8"/>
    <w:rsid w:val="0090164A"/>
    <w:rsid w:val="0090267F"/>
    <w:rsid w:val="00902973"/>
    <w:rsid w:val="00902E1F"/>
    <w:rsid w:val="00902EB4"/>
    <w:rsid w:val="009031FA"/>
    <w:rsid w:val="00903A71"/>
    <w:rsid w:val="00903C42"/>
    <w:rsid w:val="009041CE"/>
    <w:rsid w:val="00904C9C"/>
    <w:rsid w:val="009057DA"/>
    <w:rsid w:val="00905B7C"/>
    <w:rsid w:val="0090621D"/>
    <w:rsid w:val="0090733B"/>
    <w:rsid w:val="009076EA"/>
    <w:rsid w:val="009077D6"/>
    <w:rsid w:val="009104A5"/>
    <w:rsid w:val="00911850"/>
    <w:rsid w:val="0091189D"/>
    <w:rsid w:val="009119C6"/>
    <w:rsid w:val="0091262F"/>
    <w:rsid w:val="00914140"/>
    <w:rsid w:val="00914705"/>
    <w:rsid w:val="0091475F"/>
    <w:rsid w:val="009148BA"/>
    <w:rsid w:val="009150A9"/>
    <w:rsid w:val="0091530E"/>
    <w:rsid w:val="00915860"/>
    <w:rsid w:val="00915A56"/>
    <w:rsid w:val="00915C9E"/>
    <w:rsid w:val="00917254"/>
    <w:rsid w:val="00917A52"/>
    <w:rsid w:val="00917D80"/>
    <w:rsid w:val="00920821"/>
    <w:rsid w:val="00920905"/>
    <w:rsid w:val="00920BC8"/>
    <w:rsid w:val="00921619"/>
    <w:rsid w:val="0092195D"/>
    <w:rsid w:val="00922086"/>
    <w:rsid w:val="00922D76"/>
    <w:rsid w:val="00922E9B"/>
    <w:rsid w:val="00922FDD"/>
    <w:rsid w:val="00923340"/>
    <w:rsid w:val="00923565"/>
    <w:rsid w:val="0092360B"/>
    <w:rsid w:val="00923937"/>
    <w:rsid w:val="00923D03"/>
    <w:rsid w:val="00923FAC"/>
    <w:rsid w:val="00924471"/>
    <w:rsid w:val="00924589"/>
    <w:rsid w:val="00924DB8"/>
    <w:rsid w:val="00924E09"/>
    <w:rsid w:val="00925127"/>
    <w:rsid w:val="00925494"/>
    <w:rsid w:val="0092591F"/>
    <w:rsid w:val="00925FAF"/>
    <w:rsid w:val="00926A12"/>
    <w:rsid w:val="00927060"/>
    <w:rsid w:val="00927269"/>
    <w:rsid w:val="00927385"/>
    <w:rsid w:val="00927779"/>
    <w:rsid w:val="00927AC8"/>
    <w:rsid w:val="00930438"/>
    <w:rsid w:val="00930777"/>
    <w:rsid w:val="00931381"/>
    <w:rsid w:val="00932C9E"/>
    <w:rsid w:val="00932ECC"/>
    <w:rsid w:val="00933BA8"/>
    <w:rsid w:val="00933C52"/>
    <w:rsid w:val="00934417"/>
    <w:rsid w:val="00934818"/>
    <w:rsid w:val="00934C9B"/>
    <w:rsid w:val="00934DF5"/>
    <w:rsid w:val="009350A1"/>
    <w:rsid w:val="009352D7"/>
    <w:rsid w:val="009361AF"/>
    <w:rsid w:val="009364AD"/>
    <w:rsid w:val="00936C0B"/>
    <w:rsid w:val="00936D1D"/>
    <w:rsid w:val="0093719C"/>
    <w:rsid w:val="009371C2"/>
    <w:rsid w:val="00937DC2"/>
    <w:rsid w:val="00937F5C"/>
    <w:rsid w:val="00940AF0"/>
    <w:rsid w:val="00941546"/>
    <w:rsid w:val="00941C35"/>
    <w:rsid w:val="00941D47"/>
    <w:rsid w:val="00944258"/>
    <w:rsid w:val="00944AEB"/>
    <w:rsid w:val="009451C7"/>
    <w:rsid w:val="00945573"/>
    <w:rsid w:val="00946620"/>
    <w:rsid w:val="00946935"/>
    <w:rsid w:val="0094697C"/>
    <w:rsid w:val="00946D2F"/>
    <w:rsid w:val="00947C9A"/>
    <w:rsid w:val="009513D8"/>
    <w:rsid w:val="0095166D"/>
    <w:rsid w:val="00951FD8"/>
    <w:rsid w:val="009522C9"/>
    <w:rsid w:val="00952E4F"/>
    <w:rsid w:val="00953B47"/>
    <w:rsid w:val="00954564"/>
    <w:rsid w:val="0095467D"/>
    <w:rsid w:val="009551F8"/>
    <w:rsid w:val="009559E2"/>
    <w:rsid w:val="00955CC6"/>
    <w:rsid w:val="00955D0C"/>
    <w:rsid w:val="0095663A"/>
    <w:rsid w:val="00956C5B"/>
    <w:rsid w:val="00956D39"/>
    <w:rsid w:val="00956E82"/>
    <w:rsid w:val="0095774E"/>
    <w:rsid w:val="00957E43"/>
    <w:rsid w:val="009601CE"/>
    <w:rsid w:val="00960337"/>
    <w:rsid w:val="00960880"/>
    <w:rsid w:val="009608A1"/>
    <w:rsid w:val="0096091B"/>
    <w:rsid w:val="00960A0B"/>
    <w:rsid w:val="00960D9A"/>
    <w:rsid w:val="00960DAB"/>
    <w:rsid w:val="00961001"/>
    <w:rsid w:val="00961FB8"/>
    <w:rsid w:val="00961FB9"/>
    <w:rsid w:val="0096356F"/>
    <w:rsid w:val="0096360E"/>
    <w:rsid w:val="009638B7"/>
    <w:rsid w:val="00963A89"/>
    <w:rsid w:val="00965185"/>
    <w:rsid w:val="00965702"/>
    <w:rsid w:val="00965744"/>
    <w:rsid w:val="00966545"/>
    <w:rsid w:val="00966B5E"/>
    <w:rsid w:val="009671ED"/>
    <w:rsid w:val="0096727B"/>
    <w:rsid w:val="00967866"/>
    <w:rsid w:val="00967DED"/>
    <w:rsid w:val="00970684"/>
    <w:rsid w:val="0097093E"/>
    <w:rsid w:val="00971899"/>
    <w:rsid w:val="00971945"/>
    <w:rsid w:val="00973177"/>
    <w:rsid w:val="009734EF"/>
    <w:rsid w:val="00973B7B"/>
    <w:rsid w:val="009744BE"/>
    <w:rsid w:val="0097504E"/>
    <w:rsid w:val="00975350"/>
    <w:rsid w:val="00975BC5"/>
    <w:rsid w:val="00976CB6"/>
    <w:rsid w:val="00976D34"/>
    <w:rsid w:val="009771BF"/>
    <w:rsid w:val="0097723F"/>
    <w:rsid w:val="0098030C"/>
    <w:rsid w:val="00980B9E"/>
    <w:rsid w:val="00980E7B"/>
    <w:rsid w:val="009813EA"/>
    <w:rsid w:val="00981417"/>
    <w:rsid w:val="00981765"/>
    <w:rsid w:val="009817D7"/>
    <w:rsid w:val="009818CA"/>
    <w:rsid w:val="00981AFE"/>
    <w:rsid w:val="009828DC"/>
    <w:rsid w:val="00982FBC"/>
    <w:rsid w:val="0098352E"/>
    <w:rsid w:val="00983722"/>
    <w:rsid w:val="00983847"/>
    <w:rsid w:val="00983F68"/>
    <w:rsid w:val="009843A5"/>
    <w:rsid w:val="009843E4"/>
    <w:rsid w:val="009845E1"/>
    <w:rsid w:val="009847B1"/>
    <w:rsid w:val="009847D4"/>
    <w:rsid w:val="009854F1"/>
    <w:rsid w:val="00985F2F"/>
    <w:rsid w:val="00986242"/>
    <w:rsid w:val="00986523"/>
    <w:rsid w:val="00986735"/>
    <w:rsid w:val="00986768"/>
    <w:rsid w:val="00987076"/>
    <w:rsid w:val="00987889"/>
    <w:rsid w:val="0098795E"/>
    <w:rsid w:val="00987C59"/>
    <w:rsid w:val="00987C82"/>
    <w:rsid w:val="00987F87"/>
    <w:rsid w:val="009908D4"/>
    <w:rsid w:val="00990CA7"/>
    <w:rsid w:val="00990EA0"/>
    <w:rsid w:val="009910AF"/>
    <w:rsid w:val="00991290"/>
    <w:rsid w:val="00991F0B"/>
    <w:rsid w:val="00992371"/>
    <w:rsid w:val="00992492"/>
    <w:rsid w:val="0099353B"/>
    <w:rsid w:val="00993E73"/>
    <w:rsid w:val="00994617"/>
    <w:rsid w:val="009947AE"/>
    <w:rsid w:val="00994E05"/>
    <w:rsid w:val="009951BA"/>
    <w:rsid w:val="009951D6"/>
    <w:rsid w:val="009962D5"/>
    <w:rsid w:val="00996468"/>
    <w:rsid w:val="009965C4"/>
    <w:rsid w:val="009967A8"/>
    <w:rsid w:val="0099681C"/>
    <w:rsid w:val="00996DAE"/>
    <w:rsid w:val="00996E06"/>
    <w:rsid w:val="00997151"/>
    <w:rsid w:val="0099769B"/>
    <w:rsid w:val="00997969"/>
    <w:rsid w:val="00997B4B"/>
    <w:rsid w:val="009A1D93"/>
    <w:rsid w:val="009A2184"/>
    <w:rsid w:val="009A2412"/>
    <w:rsid w:val="009A24F6"/>
    <w:rsid w:val="009A2C2A"/>
    <w:rsid w:val="009A33F0"/>
    <w:rsid w:val="009A3A15"/>
    <w:rsid w:val="009A48F1"/>
    <w:rsid w:val="009A50AC"/>
    <w:rsid w:val="009A5285"/>
    <w:rsid w:val="009A52C0"/>
    <w:rsid w:val="009A54B4"/>
    <w:rsid w:val="009A56F5"/>
    <w:rsid w:val="009A5997"/>
    <w:rsid w:val="009A5B76"/>
    <w:rsid w:val="009A5B78"/>
    <w:rsid w:val="009A5C81"/>
    <w:rsid w:val="009A5F5D"/>
    <w:rsid w:val="009A6224"/>
    <w:rsid w:val="009A63DA"/>
    <w:rsid w:val="009A6400"/>
    <w:rsid w:val="009A6B71"/>
    <w:rsid w:val="009A6D67"/>
    <w:rsid w:val="009A7425"/>
    <w:rsid w:val="009A786C"/>
    <w:rsid w:val="009B09BA"/>
    <w:rsid w:val="009B0A89"/>
    <w:rsid w:val="009B105C"/>
    <w:rsid w:val="009B123D"/>
    <w:rsid w:val="009B1487"/>
    <w:rsid w:val="009B2FC1"/>
    <w:rsid w:val="009B3407"/>
    <w:rsid w:val="009B370D"/>
    <w:rsid w:val="009B3835"/>
    <w:rsid w:val="009B3ABA"/>
    <w:rsid w:val="009B3ECA"/>
    <w:rsid w:val="009B3FF2"/>
    <w:rsid w:val="009B4A6C"/>
    <w:rsid w:val="009B55FD"/>
    <w:rsid w:val="009B5DAC"/>
    <w:rsid w:val="009B5DB8"/>
    <w:rsid w:val="009B5E1B"/>
    <w:rsid w:val="009B6B65"/>
    <w:rsid w:val="009B6CFB"/>
    <w:rsid w:val="009B7375"/>
    <w:rsid w:val="009B77F7"/>
    <w:rsid w:val="009B7CE8"/>
    <w:rsid w:val="009B7F04"/>
    <w:rsid w:val="009C03F8"/>
    <w:rsid w:val="009C17A9"/>
    <w:rsid w:val="009C18F4"/>
    <w:rsid w:val="009C1BE9"/>
    <w:rsid w:val="009C1F16"/>
    <w:rsid w:val="009C295F"/>
    <w:rsid w:val="009C2B04"/>
    <w:rsid w:val="009C2D64"/>
    <w:rsid w:val="009C2E53"/>
    <w:rsid w:val="009C3BCB"/>
    <w:rsid w:val="009C4231"/>
    <w:rsid w:val="009C49BC"/>
    <w:rsid w:val="009C49F0"/>
    <w:rsid w:val="009C52F5"/>
    <w:rsid w:val="009C5B95"/>
    <w:rsid w:val="009C5C04"/>
    <w:rsid w:val="009C60A4"/>
    <w:rsid w:val="009C632C"/>
    <w:rsid w:val="009C65DC"/>
    <w:rsid w:val="009C6739"/>
    <w:rsid w:val="009C6B4F"/>
    <w:rsid w:val="009C6DDD"/>
    <w:rsid w:val="009C71AE"/>
    <w:rsid w:val="009C74AF"/>
    <w:rsid w:val="009D145D"/>
    <w:rsid w:val="009D17E1"/>
    <w:rsid w:val="009D2E0E"/>
    <w:rsid w:val="009D3B79"/>
    <w:rsid w:val="009D4C58"/>
    <w:rsid w:val="009D4CB6"/>
    <w:rsid w:val="009D4D23"/>
    <w:rsid w:val="009D50A5"/>
    <w:rsid w:val="009D5A17"/>
    <w:rsid w:val="009D5FA7"/>
    <w:rsid w:val="009D6BDE"/>
    <w:rsid w:val="009D6ED0"/>
    <w:rsid w:val="009D72D2"/>
    <w:rsid w:val="009D75D7"/>
    <w:rsid w:val="009D788F"/>
    <w:rsid w:val="009E000F"/>
    <w:rsid w:val="009E08E1"/>
    <w:rsid w:val="009E093C"/>
    <w:rsid w:val="009E11AC"/>
    <w:rsid w:val="009E1534"/>
    <w:rsid w:val="009E188E"/>
    <w:rsid w:val="009E18B6"/>
    <w:rsid w:val="009E21A3"/>
    <w:rsid w:val="009E2718"/>
    <w:rsid w:val="009E2E46"/>
    <w:rsid w:val="009E2F34"/>
    <w:rsid w:val="009E3391"/>
    <w:rsid w:val="009E3AC1"/>
    <w:rsid w:val="009E3D9C"/>
    <w:rsid w:val="009E3E1B"/>
    <w:rsid w:val="009E3F4F"/>
    <w:rsid w:val="009E456A"/>
    <w:rsid w:val="009E4599"/>
    <w:rsid w:val="009E4A30"/>
    <w:rsid w:val="009E5027"/>
    <w:rsid w:val="009E514F"/>
    <w:rsid w:val="009E5415"/>
    <w:rsid w:val="009E5585"/>
    <w:rsid w:val="009E564C"/>
    <w:rsid w:val="009E597E"/>
    <w:rsid w:val="009E66A9"/>
    <w:rsid w:val="009E6CFD"/>
    <w:rsid w:val="009E6D5B"/>
    <w:rsid w:val="009E704A"/>
    <w:rsid w:val="009E7206"/>
    <w:rsid w:val="009E725E"/>
    <w:rsid w:val="009E7C8C"/>
    <w:rsid w:val="009E7E8B"/>
    <w:rsid w:val="009F0177"/>
    <w:rsid w:val="009F1366"/>
    <w:rsid w:val="009F17E5"/>
    <w:rsid w:val="009F18E6"/>
    <w:rsid w:val="009F237F"/>
    <w:rsid w:val="009F23AB"/>
    <w:rsid w:val="009F290B"/>
    <w:rsid w:val="009F2E23"/>
    <w:rsid w:val="009F3424"/>
    <w:rsid w:val="009F419C"/>
    <w:rsid w:val="009F46F1"/>
    <w:rsid w:val="009F5033"/>
    <w:rsid w:val="009F534A"/>
    <w:rsid w:val="009F599E"/>
    <w:rsid w:val="009F5B29"/>
    <w:rsid w:val="009F5E65"/>
    <w:rsid w:val="009F64DC"/>
    <w:rsid w:val="009F6734"/>
    <w:rsid w:val="009F7A75"/>
    <w:rsid w:val="00A00165"/>
    <w:rsid w:val="00A00AD3"/>
    <w:rsid w:val="00A01139"/>
    <w:rsid w:val="00A014A3"/>
    <w:rsid w:val="00A01A87"/>
    <w:rsid w:val="00A0222C"/>
    <w:rsid w:val="00A022D5"/>
    <w:rsid w:val="00A027C4"/>
    <w:rsid w:val="00A03F93"/>
    <w:rsid w:val="00A0413C"/>
    <w:rsid w:val="00A04746"/>
    <w:rsid w:val="00A05056"/>
    <w:rsid w:val="00A052E3"/>
    <w:rsid w:val="00A05A6E"/>
    <w:rsid w:val="00A060D5"/>
    <w:rsid w:val="00A0668C"/>
    <w:rsid w:val="00A066C9"/>
    <w:rsid w:val="00A066D1"/>
    <w:rsid w:val="00A07577"/>
    <w:rsid w:val="00A1112C"/>
    <w:rsid w:val="00A11E0F"/>
    <w:rsid w:val="00A1208F"/>
    <w:rsid w:val="00A123DA"/>
    <w:rsid w:val="00A124A3"/>
    <w:rsid w:val="00A125BD"/>
    <w:rsid w:val="00A12A10"/>
    <w:rsid w:val="00A12DCB"/>
    <w:rsid w:val="00A12DFB"/>
    <w:rsid w:val="00A13617"/>
    <w:rsid w:val="00A13F4F"/>
    <w:rsid w:val="00A13F54"/>
    <w:rsid w:val="00A13FF3"/>
    <w:rsid w:val="00A1423E"/>
    <w:rsid w:val="00A14317"/>
    <w:rsid w:val="00A14AB7"/>
    <w:rsid w:val="00A14CFE"/>
    <w:rsid w:val="00A15239"/>
    <w:rsid w:val="00A152E9"/>
    <w:rsid w:val="00A15B84"/>
    <w:rsid w:val="00A15E24"/>
    <w:rsid w:val="00A1612A"/>
    <w:rsid w:val="00A162A5"/>
    <w:rsid w:val="00A163EA"/>
    <w:rsid w:val="00A176C9"/>
    <w:rsid w:val="00A179EC"/>
    <w:rsid w:val="00A17DC4"/>
    <w:rsid w:val="00A20C8C"/>
    <w:rsid w:val="00A20CB7"/>
    <w:rsid w:val="00A20EDE"/>
    <w:rsid w:val="00A20F68"/>
    <w:rsid w:val="00A21090"/>
    <w:rsid w:val="00A2115E"/>
    <w:rsid w:val="00A2121A"/>
    <w:rsid w:val="00A21BD6"/>
    <w:rsid w:val="00A21EF6"/>
    <w:rsid w:val="00A21F80"/>
    <w:rsid w:val="00A21FD9"/>
    <w:rsid w:val="00A22B8E"/>
    <w:rsid w:val="00A22C14"/>
    <w:rsid w:val="00A22FA5"/>
    <w:rsid w:val="00A22FDD"/>
    <w:rsid w:val="00A2325B"/>
    <w:rsid w:val="00A23F7B"/>
    <w:rsid w:val="00A2478F"/>
    <w:rsid w:val="00A25186"/>
    <w:rsid w:val="00A25AB4"/>
    <w:rsid w:val="00A25ADD"/>
    <w:rsid w:val="00A25B76"/>
    <w:rsid w:val="00A2699E"/>
    <w:rsid w:val="00A26B06"/>
    <w:rsid w:val="00A27301"/>
    <w:rsid w:val="00A27CEA"/>
    <w:rsid w:val="00A307AA"/>
    <w:rsid w:val="00A30D8C"/>
    <w:rsid w:val="00A310B5"/>
    <w:rsid w:val="00A3153C"/>
    <w:rsid w:val="00A32228"/>
    <w:rsid w:val="00A324F3"/>
    <w:rsid w:val="00A32CA9"/>
    <w:rsid w:val="00A33269"/>
    <w:rsid w:val="00A334DB"/>
    <w:rsid w:val="00A34594"/>
    <w:rsid w:val="00A34805"/>
    <w:rsid w:val="00A349D9"/>
    <w:rsid w:val="00A34B3F"/>
    <w:rsid w:val="00A3511E"/>
    <w:rsid w:val="00A356BA"/>
    <w:rsid w:val="00A35753"/>
    <w:rsid w:val="00A360CE"/>
    <w:rsid w:val="00A36127"/>
    <w:rsid w:val="00A36276"/>
    <w:rsid w:val="00A36D83"/>
    <w:rsid w:val="00A3700F"/>
    <w:rsid w:val="00A4012B"/>
    <w:rsid w:val="00A401F0"/>
    <w:rsid w:val="00A4030C"/>
    <w:rsid w:val="00A42203"/>
    <w:rsid w:val="00A42377"/>
    <w:rsid w:val="00A42434"/>
    <w:rsid w:val="00A4325F"/>
    <w:rsid w:val="00A43976"/>
    <w:rsid w:val="00A43AAE"/>
    <w:rsid w:val="00A43D34"/>
    <w:rsid w:val="00A43DED"/>
    <w:rsid w:val="00A44104"/>
    <w:rsid w:val="00A4421F"/>
    <w:rsid w:val="00A45058"/>
    <w:rsid w:val="00A4613F"/>
    <w:rsid w:val="00A46219"/>
    <w:rsid w:val="00A463FB"/>
    <w:rsid w:val="00A46986"/>
    <w:rsid w:val="00A47A4A"/>
    <w:rsid w:val="00A47A72"/>
    <w:rsid w:val="00A50ED5"/>
    <w:rsid w:val="00A524A1"/>
    <w:rsid w:val="00A52B10"/>
    <w:rsid w:val="00A5345C"/>
    <w:rsid w:val="00A538EF"/>
    <w:rsid w:val="00A53CF5"/>
    <w:rsid w:val="00A53E85"/>
    <w:rsid w:val="00A53F3F"/>
    <w:rsid w:val="00A546B6"/>
    <w:rsid w:val="00A5477B"/>
    <w:rsid w:val="00A54802"/>
    <w:rsid w:val="00A54D0D"/>
    <w:rsid w:val="00A55061"/>
    <w:rsid w:val="00A55F25"/>
    <w:rsid w:val="00A562A6"/>
    <w:rsid w:val="00A56373"/>
    <w:rsid w:val="00A5644A"/>
    <w:rsid w:val="00A57604"/>
    <w:rsid w:val="00A6077B"/>
    <w:rsid w:val="00A60786"/>
    <w:rsid w:val="00A61CB0"/>
    <w:rsid w:val="00A61D37"/>
    <w:rsid w:val="00A623FD"/>
    <w:rsid w:val="00A63470"/>
    <w:rsid w:val="00A63833"/>
    <w:rsid w:val="00A63F08"/>
    <w:rsid w:val="00A64097"/>
    <w:rsid w:val="00A64E58"/>
    <w:rsid w:val="00A650F0"/>
    <w:rsid w:val="00A65181"/>
    <w:rsid w:val="00A6569E"/>
    <w:rsid w:val="00A6627B"/>
    <w:rsid w:val="00A662B4"/>
    <w:rsid w:val="00A666F2"/>
    <w:rsid w:val="00A66A87"/>
    <w:rsid w:val="00A66B3F"/>
    <w:rsid w:val="00A66DA6"/>
    <w:rsid w:val="00A66DF8"/>
    <w:rsid w:val="00A66E4E"/>
    <w:rsid w:val="00A67BE6"/>
    <w:rsid w:val="00A67C99"/>
    <w:rsid w:val="00A70075"/>
    <w:rsid w:val="00A7082A"/>
    <w:rsid w:val="00A709E2"/>
    <w:rsid w:val="00A7106C"/>
    <w:rsid w:val="00A711E9"/>
    <w:rsid w:val="00A71274"/>
    <w:rsid w:val="00A71473"/>
    <w:rsid w:val="00A71555"/>
    <w:rsid w:val="00A71794"/>
    <w:rsid w:val="00A719C6"/>
    <w:rsid w:val="00A72ECA"/>
    <w:rsid w:val="00A738BC"/>
    <w:rsid w:val="00A739E5"/>
    <w:rsid w:val="00A73C9D"/>
    <w:rsid w:val="00A74079"/>
    <w:rsid w:val="00A74362"/>
    <w:rsid w:val="00A7466A"/>
    <w:rsid w:val="00A748BA"/>
    <w:rsid w:val="00A7623F"/>
    <w:rsid w:val="00A76350"/>
    <w:rsid w:val="00A77AE8"/>
    <w:rsid w:val="00A77E19"/>
    <w:rsid w:val="00A801DC"/>
    <w:rsid w:val="00A814B9"/>
    <w:rsid w:val="00A816B9"/>
    <w:rsid w:val="00A8309E"/>
    <w:rsid w:val="00A8324E"/>
    <w:rsid w:val="00A834D0"/>
    <w:rsid w:val="00A83B41"/>
    <w:rsid w:val="00A83ED0"/>
    <w:rsid w:val="00A8427E"/>
    <w:rsid w:val="00A84E68"/>
    <w:rsid w:val="00A85A81"/>
    <w:rsid w:val="00A86176"/>
    <w:rsid w:val="00A8617E"/>
    <w:rsid w:val="00A86969"/>
    <w:rsid w:val="00A9031A"/>
    <w:rsid w:val="00A9042E"/>
    <w:rsid w:val="00A9152B"/>
    <w:rsid w:val="00A9256A"/>
    <w:rsid w:val="00A92B6E"/>
    <w:rsid w:val="00A95522"/>
    <w:rsid w:val="00A95554"/>
    <w:rsid w:val="00A957BC"/>
    <w:rsid w:val="00A95808"/>
    <w:rsid w:val="00A95AE2"/>
    <w:rsid w:val="00A95D37"/>
    <w:rsid w:val="00A965F5"/>
    <w:rsid w:val="00A97300"/>
    <w:rsid w:val="00AA0056"/>
    <w:rsid w:val="00AA052E"/>
    <w:rsid w:val="00AA09B2"/>
    <w:rsid w:val="00AA0CFD"/>
    <w:rsid w:val="00AA11C2"/>
    <w:rsid w:val="00AA1408"/>
    <w:rsid w:val="00AA2400"/>
    <w:rsid w:val="00AA2476"/>
    <w:rsid w:val="00AA25BD"/>
    <w:rsid w:val="00AA2B5C"/>
    <w:rsid w:val="00AA2BBD"/>
    <w:rsid w:val="00AA3428"/>
    <w:rsid w:val="00AA3DC2"/>
    <w:rsid w:val="00AA42BD"/>
    <w:rsid w:val="00AA6040"/>
    <w:rsid w:val="00AA6BCA"/>
    <w:rsid w:val="00AA6E9C"/>
    <w:rsid w:val="00AA7254"/>
    <w:rsid w:val="00AA77BA"/>
    <w:rsid w:val="00AA79C8"/>
    <w:rsid w:val="00AA7ABB"/>
    <w:rsid w:val="00AA7E16"/>
    <w:rsid w:val="00AB03A1"/>
    <w:rsid w:val="00AB0570"/>
    <w:rsid w:val="00AB0639"/>
    <w:rsid w:val="00AB0B93"/>
    <w:rsid w:val="00AB0F3A"/>
    <w:rsid w:val="00AB1FF5"/>
    <w:rsid w:val="00AB2436"/>
    <w:rsid w:val="00AB2EF6"/>
    <w:rsid w:val="00AB2FEB"/>
    <w:rsid w:val="00AB3448"/>
    <w:rsid w:val="00AB372D"/>
    <w:rsid w:val="00AB3BD0"/>
    <w:rsid w:val="00AB4008"/>
    <w:rsid w:val="00AB4093"/>
    <w:rsid w:val="00AB4A8B"/>
    <w:rsid w:val="00AB50B6"/>
    <w:rsid w:val="00AB51EC"/>
    <w:rsid w:val="00AB574F"/>
    <w:rsid w:val="00AB579B"/>
    <w:rsid w:val="00AB62FA"/>
    <w:rsid w:val="00AB651E"/>
    <w:rsid w:val="00AB6CA1"/>
    <w:rsid w:val="00AB74E2"/>
    <w:rsid w:val="00AB7AC4"/>
    <w:rsid w:val="00AB7C45"/>
    <w:rsid w:val="00AC0A82"/>
    <w:rsid w:val="00AC111D"/>
    <w:rsid w:val="00AC129F"/>
    <w:rsid w:val="00AC1B69"/>
    <w:rsid w:val="00AC2687"/>
    <w:rsid w:val="00AC298D"/>
    <w:rsid w:val="00AC3271"/>
    <w:rsid w:val="00AC32BE"/>
    <w:rsid w:val="00AC32EC"/>
    <w:rsid w:val="00AC356A"/>
    <w:rsid w:val="00AC3B20"/>
    <w:rsid w:val="00AC3D20"/>
    <w:rsid w:val="00AC3DCA"/>
    <w:rsid w:val="00AC403A"/>
    <w:rsid w:val="00AC45FC"/>
    <w:rsid w:val="00AC4803"/>
    <w:rsid w:val="00AC4C2C"/>
    <w:rsid w:val="00AC51B8"/>
    <w:rsid w:val="00AC5717"/>
    <w:rsid w:val="00AC57F2"/>
    <w:rsid w:val="00AC69C4"/>
    <w:rsid w:val="00AC6EB0"/>
    <w:rsid w:val="00AC6F06"/>
    <w:rsid w:val="00AC74B5"/>
    <w:rsid w:val="00AC7B79"/>
    <w:rsid w:val="00AC7C8A"/>
    <w:rsid w:val="00AC7FA9"/>
    <w:rsid w:val="00AD00C8"/>
    <w:rsid w:val="00AD013D"/>
    <w:rsid w:val="00AD0201"/>
    <w:rsid w:val="00AD04D8"/>
    <w:rsid w:val="00AD0824"/>
    <w:rsid w:val="00AD0928"/>
    <w:rsid w:val="00AD0E4B"/>
    <w:rsid w:val="00AD10F7"/>
    <w:rsid w:val="00AD159A"/>
    <w:rsid w:val="00AD1917"/>
    <w:rsid w:val="00AD3BF0"/>
    <w:rsid w:val="00AD46EA"/>
    <w:rsid w:val="00AD4762"/>
    <w:rsid w:val="00AD4796"/>
    <w:rsid w:val="00AD4881"/>
    <w:rsid w:val="00AD4CF8"/>
    <w:rsid w:val="00AD4DA6"/>
    <w:rsid w:val="00AD50C9"/>
    <w:rsid w:val="00AD50FB"/>
    <w:rsid w:val="00AD5131"/>
    <w:rsid w:val="00AD573B"/>
    <w:rsid w:val="00AD5DF1"/>
    <w:rsid w:val="00AD5F21"/>
    <w:rsid w:val="00AD6963"/>
    <w:rsid w:val="00AD6BA8"/>
    <w:rsid w:val="00AD6BF4"/>
    <w:rsid w:val="00AD6EDD"/>
    <w:rsid w:val="00AD7214"/>
    <w:rsid w:val="00AD7245"/>
    <w:rsid w:val="00AD7806"/>
    <w:rsid w:val="00AE018D"/>
    <w:rsid w:val="00AE0EB4"/>
    <w:rsid w:val="00AE0FE2"/>
    <w:rsid w:val="00AE137F"/>
    <w:rsid w:val="00AE15BA"/>
    <w:rsid w:val="00AE1E85"/>
    <w:rsid w:val="00AE21FE"/>
    <w:rsid w:val="00AE25EB"/>
    <w:rsid w:val="00AE2EF3"/>
    <w:rsid w:val="00AE375D"/>
    <w:rsid w:val="00AE5137"/>
    <w:rsid w:val="00AE52D3"/>
    <w:rsid w:val="00AE53B7"/>
    <w:rsid w:val="00AE5865"/>
    <w:rsid w:val="00AE5CC2"/>
    <w:rsid w:val="00AE5DFB"/>
    <w:rsid w:val="00AE635A"/>
    <w:rsid w:val="00AE6742"/>
    <w:rsid w:val="00AE7148"/>
    <w:rsid w:val="00AE7196"/>
    <w:rsid w:val="00AE732D"/>
    <w:rsid w:val="00AE779B"/>
    <w:rsid w:val="00AE7A13"/>
    <w:rsid w:val="00AE7AC5"/>
    <w:rsid w:val="00AF0006"/>
    <w:rsid w:val="00AF010A"/>
    <w:rsid w:val="00AF03C7"/>
    <w:rsid w:val="00AF03DE"/>
    <w:rsid w:val="00AF0677"/>
    <w:rsid w:val="00AF0E85"/>
    <w:rsid w:val="00AF1118"/>
    <w:rsid w:val="00AF1BF1"/>
    <w:rsid w:val="00AF1F71"/>
    <w:rsid w:val="00AF20B3"/>
    <w:rsid w:val="00AF2354"/>
    <w:rsid w:val="00AF25F6"/>
    <w:rsid w:val="00AF2696"/>
    <w:rsid w:val="00AF2A03"/>
    <w:rsid w:val="00AF31E4"/>
    <w:rsid w:val="00AF3424"/>
    <w:rsid w:val="00AF3939"/>
    <w:rsid w:val="00AF3FFF"/>
    <w:rsid w:val="00AF4D27"/>
    <w:rsid w:val="00AF4E9D"/>
    <w:rsid w:val="00AF5995"/>
    <w:rsid w:val="00AF5CAA"/>
    <w:rsid w:val="00AF5EC9"/>
    <w:rsid w:val="00AF63C3"/>
    <w:rsid w:val="00AF66BB"/>
    <w:rsid w:val="00AF7DCF"/>
    <w:rsid w:val="00AF7E9F"/>
    <w:rsid w:val="00B00C22"/>
    <w:rsid w:val="00B01817"/>
    <w:rsid w:val="00B018BC"/>
    <w:rsid w:val="00B01AF9"/>
    <w:rsid w:val="00B01AFA"/>
    <w:rsid w:val="00B02BB5"/>
    <w:rsid w:val="00B05083"/>
    <w:rsid w:val="00B05255"/>
    <w:rsid w:val="00B0566A"/>
    <w:rsid w:val="00B057F4"/>
    <w:rsid w:val="00B05A8E"/>
    <w:rsid w:val="00B0648B"/>
    <w:rsid w:val="00B06DC3"/>
    <w:rsid w:val="00B06F88"/>
    <w:rsid w:val="00B07415"/>
    <w:rsid w:val="00B07C76"/>
    <w:rsid w:val="00B100DB"/>
    <w:rsid w:val="00B10347"/>
    <w:rsid w:val="00B11322"/>
    <w:rsid w:val="00B113F6"/>
    <w:rsid w:val="00B11554"/>
    <w:rsid w:val="00B1165E"/>
    <w:rsid w:val="00B119E3"/>
    <w:rsid w:val="00B119FA"/>
    <w:rsid w:val="00B11C08"/>
    <w:rsid w:val="00B11CC5"/>
    <w:rsid w:val="00B11EB9"/>
    <w:rsid w:val="00B12186"/>
    <w:rsid w:val="00B123C9"/>
    <w:rsid w:val="00B125C2"/>
    <w:rsid w:val="00B1289D"/>
    <w:rsid w:val="00B13BB6"/>
    <w:rsid w:val="00B13EFD"/>
    <w:rsid w:val="00B14510"/>
    <w:rsid w:val="00B14D1B"/>
    <w:rsid w:val="00B152A2"/>
    <w:rsid w:val="00B15346"/>
    <w:rsid w:val="00B15566"/>
    <w:rsid w:val="00B15CC8"/>
    <w:rsid w:val="00B16C6E"/>
    <w:rsid w:val="00B17292"/>
    <w:rsid w:val="00B20360"/>
    <w:rsid w:val="00B204CC"/>
    <w:rsid w:val="00B208FB"/>
    <w:rsid w:val="00B20F48"/>
    <w:rsid w:val="00B2194C"/>
    <w:rsid w:val="00B21A59"/>
    <w:rsid w:val="00B21C03"/>
    <w:rsid w:val="00B223F5"/>
    <w:rsid w:val="00B229EA"/>
    <w:rsid w:val="00B22C6E"/>
    <w:rsid w:val="00B22D71"/>
    <w:rsid w:val="00B22E04"/>
    <w:rsid w:val="00B2324D"/>
    <w:rsid w:val="00B23447"/>
    <w:rsid w:val="00B24761"/>
    <w:rsid w:val="00B24A13"/>
    <w:rsid w:val="00B24AFF"/>
    <w:rsid w:val="00B24CD7"/>
    <w:rsid w:val="00B2536B"/>
    <w:rsid w:val="00B259A5"/>
    <w:rsid w:val="00B26722"/>
    <w:rsid w:val="00B27E81"/>
    <w:rsid w:val="00B301C1"/>
    <w:rsid w:val="00B30641"/>
    <w:rsid w:val="00B30733"/>
    <w:rsid w:val="00B30D57"/>
    <w:rsid w:val="00B311C0"/>
    <w:rsid w:val="00B3141E"/>
    <w:rsid w:val="00B31467"/>
    <w:rsid w:val="00B31535"/>
    <w:rsid w:val="00B328B4"/>
    <w:rsid w:val="00B32B58"/>
    <w:rsid w:val="00B32C3C"/>
    <w:rsid w:val="00B32D17"/>
    <w:rsid w:val="00B32E4E"/>
    <w:rsid w:val="00B33102"/>
    <w:rsid w:val="00B33753"/>
    <w:rsid w:val="00B33F4A"/>
    <w:rsid w:val="00B34706"/>
    <w:rsid w:val="00B34B7A"/>
    <w:rsid w:val="00B354EC"/>
    <w:rsid w:val="00B35745"/>
    <w:rsid w:val="00B35F77"/>
    <w:rsid w:val="00B35FB1"/>
    <w:rsid w:val="00B36278"/>
    <w:rsid w:val="00B36740"/>
    <w:rsid w:val="00B36A85"/>
    <w:rsid w:val="00B36B79"/>
    <w:rsid w:val="00B36ECB"/>
    <w:rsid w:val="00B36F83"/>
    <w:rsid w:val="00B3766A"/>
    <w:rsid w:val="00B376C4"/>
    <w:rsid w:val="00B37E22"/>
    <w:rsid w:val="00B402BC"/>
    <w:rsid w:val="00B42787"/>
    <w:rsid w:val="00B4289F"/>
    <w:rsid w:val="00B42FEF"/>
    <w:rsid w:val="00B43797"/>
    <w:rsid w:val="00B43D45"/>
    <w:rsid w:val="00B448D6"/>
    <w:rsid w:val="00B44999"/>
    <w:rsid w:val="00B44D5D"/>
    <w:rsid w:val="00B452CC"/>
    <w:rsid w:val="00B454D4"/>
    <w:rsid w:val="00B45974"/>
    <w:rsid w:val="00B46129"/>
    <w:rsid w:val="00B4618A"/>
    <w:rsid w:val="00B475D2"/>
    <w:rsid w:val="00B47677"/>
    <w:rsid w:val="00B47839"/>
    <w:rsid w:val="00B47BE8"/>
    <w:rsid w:val="00B50615"/>
    <w:rsid w:val="00B515C4"/>
    <w:rsid w:val="00B5213D"/>
    <w:rsid w:val="00B52650"/>
    <w:rsid w:val="00B53366"/>
    <w:rsid w:val="00B5336E"/>
    <w:rsid w:val="00B53540"/>
    <w:rsid w:val="00B53603"/>
    <w:rsid w:val="00B5417D"/>
    <w:rsid w:val="00B541D0"/>
    <w:rsid w:val="00B54385"/>
    <w:rsid w:val="00B55050"/>
    <w:rsid w:val="00B553F7"/>
    <w:rsid w:val="00B55CE3"/>
    <w:rsid w:val="00B56237"/>
    <w:rsid w:val="00B563BE"/>
    <w:rsid w:val="00B56CD0"/>
    <w:rsid w:val="00B56CFC"/>
    <w:rsid w:val="00B57116"/>
    <w:rsid w:val="00B57250"/>
    <w:rsid w:val="00B573BC"/>
    <w:rsid w:val="00B600E9"/>
    <w:rsid w:val="00B6042E"/>
    <w:rsid w:val="00B604C9"/>
    <w:rsid w:val="00B6122C"/>
    <w:rsid w:val="00B619E4"/>
    <w:rsid w:val="00B61C0F"/>
    <w:rsid w:val="00B61CB7"/>
    <w:rsid w:val="00B620A1"/>
    <w:rsid w:val="00B62298"/>
    <w:rsid w:val="00B62E6D"/>
    <w:rsid w:val="00B63289"/>
    <w:rsid w:val="00B638EB"/>
    <w:rsid w:val="00B63A9F"/>
    <w:rsid w:val="00B63B6D"/>
    <w:rsid w:val="00B63F42"/>
    <w:rsid w:val="00B6465A"/>
    <w:rsid w:val="00B64FC4"/>
    <w:rsid w:val="00B65500"/>
    <w:rsid w:val="00B6570D"/>
    <w:rsid w:val="00B657CB"/>
    <w:rsid w:val="00B65C10"/>
    <w:rsid w:val="00B66164"/>
    <w:rsid w:val="00B6650B"/>
    <w:rsid w:val="00B66939"/>
    <w:rsid w:val="00B66DDA"/>
    <w:rsid w:val="00B67604"/>
    <w:rsid w:val="00B67DC1"/>
    <w:rsid w:val="00B701F7"/>
    <w:rsid w:val="00B7081F"/>
    <w:rsid w:val="00B71023"/>
    <w:rsid w:val="00B71026"/>
    <w:rsid w:val="00B7115D"/>
    <w:rsid w:val="00B7141E"/>
    <w:rsid w:val="00B72030"/>
    <w:rsid w:val="00B72EEA"/>
    <w:rsid w:val="00B7386C"/>
    <w:rsid w:val="00B73C83"/>
    <w:rsid w:val="00B741BA"/>
    <w:rsid w:val="00B742D6"/>
    <w:rsid w:val="00B7544B"/>
    <w:rsid w:val="00B75994"/>
    <w:rsid w:val="00B75F62"/>
    <w:rsid w:val="00B7643E"/>
    <w:rsid w:val="00B76D8C"/>
    <w:rsid w:val="00B76DF7"/>
    <w:rsid w:val="00B76DFF"/>
    <w:rsid w:val="00B77959"/>
    <w:rsid w:val="00B77D10"/>
    <w:rsid w:val="00B80689"/>
    <w:rsid w:val="00B80B5B"/>
    <w:rsid w:val="00B80EAB"/>
    <w:rsid w:val="00B8190A"/>
    <w:rsid w:val="00B82181"/>
    <w:rsid w:val="00B827E4"/>
    <w:rsid w:val="00B83649"/>
    <w:rsid w:val="00B839F6"/>
    <w:rsid w:val="00B83E58"/>
    <w:rsid w:val="00B84604"/>
    <w:rsid w:val="00B84FF9"/>
    <w:rsid w:val="00B85372"/>
    <w:rsid w:val="00B8575F"/>
    <w:rsid w:val="00B8629C"/>
    <w:rsid w:val="00B87AB5"/>
    <w:rsid w:val="00B87C24"/>
    <w:rsid w:val="00B900EB"/>
    <w:rsid w:val="00B90131"/>
    <w:rsid w:val="00B9145D"/>
    <w:rsid w:val="00B9148C"/>
    <w:rsid w:val="00B923C9"/>
    <w:rsid w:val="00B92B25"/>
    <w:rsid w:val="00B93A16"/>
    <w:rsid w:val="00B9445D"/>
    <w:rsid w:val="00B94A09"/>
    <w:rsid w:val="00B94BB7"/>
    <w:rsid w:val="00B94D89"/>
    <w:rsid w:val="00B94F80"/>
    <w:rsid w:val="00B94F8A"/>
    <w:rsid w:val="00B9529F"/>
    <w:rsid w:val="00B95767"/>
    <w:rsid w:val="00B95D45"/>
    <w:rsid w:val="00B96141"/>
    <w:rsid w:val="00B9663F"/>
    <w:rsid w:val="00B96F7F"/>
    <w:rsid w:val="00BA0135"/>
    <w:rsid w:val="00BA0C80"/>
    <w:rsid w:val="00BA119E"/>
    <w:rsid w:val="00BA1AE3"/>
    <w:rsid w:val="00BA1D67"/>
    <w:rsid w:val="00BA23AA"/>
    <w:rsid w:val="00BA2CF3"/>
    <w:rsid w:val="00BA3658"/>
    <w:rsid w:val="00BA398E"/>
    <w:rsid w:val="00BA4187"/>
    <w:rsid w:val="00BA4685"/>
    <w:rsid w:val="00BA4892"/>
    <w:rsid w:val="00BA4BA3"/>
    <w:rsid w:val="00BA4E1C"/>
    <w:rsid w:val="00BA5DF7"/>
    <w:rsid w:val="00BA6650"/>
    <w:rsid w:val="00BA66DB"/>
    <w:rsid w:val="00BA6AA7"/>
    <w:rsid w:val="00BA71FD"/>
    <w:rsid w:val="00BA758C"/>
    <w:rsid w:val="00BA7B46"/>
    <w:rsid w:val="00BB1B06"/>
    <w:rsid w:val="00BB20C9"/>
    <w:rsid w:val="00BB281A"/>
    <w:rsid w:val="00BB359F"/>
    <w:rsid w:val="00BB3AE1"/>
    <w:rsid w:val="00BB3F7E"/>
    <w:rsid w:val="00BB4C38"/>
    <w:rsid w:val="00BB4D2C"/>
    <w:rsid w:val="00BB51FB"/>
    <w:rsid w:val="00BB6180"/>
    <w:rsid w:val="00BB7127"/>
    <w:rsid w:val="00BB73D8"/>
    <w:rsid w:val="00BB770A"/>
    <w:rsid w:val="00BC0120"/>
    <w:rsid w:val="00BC0725"/>
    <w:rsid w:val="00BC076C"/>
    <w:rsid w:val="00BC09D8"/>
    <w:rsid w:val="00BC1097"/>
    <w:rsid w:val="00BC1638"/>
    <w:rsid w:val="00BC25ED"/>
    <w:rsid w:val="00BC2848"/>
    <w:rsid w:val="00BC3036"/>
    <w:rsid w:val="00BC5288"/>
    <w:rsid w:val="00BC537B"/>
    <w:rsid w:val="00BC53F7"/>
    <w:rsid w:val="00BC56B3"/>
    <w:rsid w:val="00BC573E"/>
    <w:rsid w:val="00BC573F"/>
    <w:rsid w:val="00BC5E2C"/>
    <w:rsid w:val="00BC5FAD"/>
    <w:rsid w:val="00BC641B"/>
    <w:rsid w:val="00BC663E"/>
    <w:rsid w:val="00BC6653"/>
    <w:rsid w:val="00BC75D3"/>
    <w:rsid w:val="00BC7725"/>
    <w:rsid w:val="00BD0757"/>
    <w:rsid w:val="00BD0C54"/>
    <w:rsid w:val="00BD100B"/>
    <w:rsid w:val="00BD11AF"/>
    <w:rsid w:val="00BD216A"/>
    <w:rsid w:val="00BD2852"/>
    <w:rsid w:val="00BD28B0"/>
    <w:rsid w:val="00BD30A7"/>
    <w:rsid w:val="00BD321C"/>
    <w:rsid w:val="00BD3641"/>
    <w:rsid w:val="00BD36FC"/>
    <w:rsid w:val="00BD3830"/>
    <w:rsid w:val="00BD3DBA"/>
    <w:rsid w:val="00BD46ED"/>
    <w:rsid w:val="00BD5B76"/>
    <w:rsid w:val="00BD6F8D"/>
    <w:rsid w:val="00BE03B0"/>
    <w:rsid w:val="00BE05AA"/>
    <w:rsid w:val="00BE0B8F"/>
    <w:rsid w:val="00BE1948"/>
    <w:rsid w:val="00BE1FD6"/>
    <w:rsid w:val="00BE2CFE"/>
    <w:rsid w:val="00BE333E"/>
    <w:rsid w:val="00BE344C"/>
    <w:rsid w:val="00BE368A"/>
    <w:rsid w:val="00BE37A8"/>
    <w:rsid w:val="00BE402B"/>
    <w:rsid w:val="00BE493B"/>
    <w:rsid w:val="00BE5334"/>
    <w:rsid w:val="00BE543D"/>
    <w:rsid w:val="00BE5966"/>
    <w:rsid w:val="00BE63EC"/>
    <w:rsid w:val="00BE64B6"/>
    <w:rsid w:val="00BE6562"/>
    <w:rsid w:val="00BE6629"/>
    <w:rsid w:val="00BE6A0B"/>
    <w:rsid w:val="00BE76DD"/>
    <w:rsid w:val="00BE78CA"/>
    <w:rsid w:val="00BE7BE1"/>
    <w:rsid w:val="00BF0806"/>
    <w:rsid w:val="00BF0DDB"/>
    <w:rsid w:val="00BF13BF"/>
    <w:rsid w:val="00BF1C96"/>
    <w:rsid w:val="00BF2393"/>
    <w:rsid w:val="00BF23FF"/>
    <w:rsid w:val="00BF3445"/>
    <w:rsid w:val="00BF344A"/>
    <w:rsid w:val="00BF3569"/>
    <w:rsid w:val="00BF4ABE"/>
    <w:rsid w:val="00BF5013"/>
    <w:rsid w:val="00BF5D36"/>
    <w:rsid w:val="00BF65DA"/>
    <w:rsid w:val="00BF6E2E"/>
    <w:rsid w:val="00BF7C70"/>
    <w:rsid w:val="00C00122"/>
    <w:rsid w:val="00C017D9"/>
    <w:rsid w:val="00C01DAD"/>
    <w:rsid w:val="00C021A7"/>
    <w:rsid w:val="00C025DF"/>
    <w:rsid w:val="00C025F4"/>
    <w:rsid w:val="00C0310E"/>
    <w:rsid w:val="00C0323D"/>
    <w:rsid w:val="00C03A85"/>
    <w:rsid w:val="00C04509"/>
    <w:rsid w:val="00C04BE0"/>
    <w:rsid w:val="00C05920"/>
    <w:rsid w:val="00C061D2"/>
    <w:rsid w:val="00C07F70"/>
    <w:rsid w:val="00C100FE"/>
    <w:rsid w:val="00C10486"/>
    <w:rsid w:val="00C105F9"/>
    <w:rsid w:val="00C11673"/>
    <w:rsid w:val="00C11802"/>
    <w:rsid w:val="00C11F20"/>
    <w:rsid w:val="00C12464"/>
    <w:rsid w:val="00C12538"/>
    <w:rsid w:val="00C12E2A"/>
    <w:rsid w:val="00C12F15"/>
    <w:rsid w:val="00C13409"/>
    <w:rsid w:val="00C13A95"/>
    <w:rsid w:val="00C13DF1"/>
    <w:rsid w:val="00C14AB7"/>
    <w:rsid w:val="00C1582B"/>
    <w:rsid w:val="00C15AEC"/>
    <w:rsid w:val="00C16770"/>
    <w:rsid w:val="00C170C2"/>
    <w:rsid w:val="00C17677"/>
    <w:rsid w:val="00C20403"/>
    <w:rsid w:val="00C204E0"/>
    <w:rsid w:val="00C205CC"/>
    <w:rsid w:val="00C20660"/>
    <w:rsid w:val="00C2093B"/>
    <w:rsid w:val="00C21A37"/>
    <w:rsid w:val="00C2210A"/>
    <w:rsid w:val="00C22EC8"/>
    <w:rsid w:val="00C2313B"/>
    <w:rsid w:val="00C23226"/>
    <w:rsid w:val="00C23582"/>
    <w:rsid w:val="00C239F8"/>
    <w:rsid w:val="00C23F71"/>
    <w:rsid w:val="00C25064"/>
    <w:rsid w:val="00C258DD"/>
    <w:rsid w:val="00C26C7D"/>
    <w:rsid w:val="00C279BE"/>
    <w:rsid w:val="00C27CB0"/>
    <w:rsid w:val="00C303D7"/>
    <w:rsid w:val="00C307CE"/>
    <w:rsid w:val="00C30A16"/>
    <w:rsid w:val="00C30F44"/>
    <w:rsid w:val="00C317EA"/>
    <w:rsid w:val="00C323B6"/>
    <w:rsid w:val="00C32E8A"/>
    <w:rsid w:val="00C33796"/>
    <w:rsid w:val="00C33958"/>
    <w:rsid w:val="00C34432"/>
    <w:rsid w:val="00C34715"/>
    <w:rsid w:val="00C34BE2"/>
    <w:rsid w:val="00C34D05"/>
    <w:rsid w:val="00C350B7"/>
    <w:rsid w:val="00C354F9"/>
    <w:rsid w:val="00C3561F"/>
    <w:rsid w:val="00C36D57"/>
    <w:rsid w:val="00C37A51"/>
    <w:rsid w:val="00C40275"/>
    <w:rsid w:val="00C40440"/>
    <w:rsid w:val="00C40459"/>
    <w:rsid w:val="00C40884"/>
    <w:rsid w:val="00C4098E"/>
    <w:rsid w:val="00C40C26"/>
    <w:rsid w:val="00C40DE5"/>
    <w:rsid w:val="00C40F29"/>
    <w:rsid w:val="00C410A6"/>
    <w:rsid w:val="00C41A33"/>
    <w:rsid w:val="00C41A7B"/>
    <w:rsid w:val="00C41E65"/>
    <w:rsid w:val="00C43091"/>
    <w:rsid w:val="00C431B3"/>
    <w:rsid w:val="00C4325D"/>
    <w:rsid w:val="00C43815"/>
    <w:rsid w:val="00C44163"/>
    <w:rsid w:val="00C44523"/>
    <w:rsid w:val="00C44EF1"/>
    <w:rsid w:val="00C44F1C"/>
    <w:rsid w:val="00C44FC6"/>
    <w:rsid w:val="00C452C7"/>
    <w:rsid w:val="00C452F9"/>
    <w:rsid w:val="00C4630D"/>
    <w:rsid w:val="00C46315"/>
    <w:rsid w:val="00C46773"/>
    <w:rsid w:val="00C4779B"/>
    <w:rsid w:val="00C50933"/>
    <w:rsid w:val="00C50A44"/>
    <w:rsid w:val="00C50A93"/>
    <w:rsid w:val="00C50CDB"/>
    <w:rsid w:val="00C510D8"/>
    <w:rsid w:val="00C51132"/>
    <w:rsid w:val="00C51205"/>
    <w:rsid w:val="00C516B7"/>
    <w:rsid w:val="00C52901"/>
    <w:rsid w:val="00C52FBE"/>
    <w:rsid w:val="00C53F64"/>
    <w:rsid w:val="00C54657"/>
    <w:rsid w:val="00C54894"/>
    <w:rsid w:val="00C550B2"/>
    <w:rsid w:val="00C5514E"/>
    <w:rsid w:val="00C5528F"/>
    <w:rsid w:val="00C556B0"/>
    <w:rsid w:val="00C55B04"/>
    <w:rsid w:val="00C579B5"/>
    <w:rsid w:val="00C57A0E"/>
    <w:rsid w:val="00C57D51"/>
    <w:rsid w:val="00C60CAA"/>
    <w:rsid w:val="00C61190"/>
    <w:rsid w:val="00C61AD1"/>
    <w:rsid w:val="00C62249"/>
    <w:rsid w:val="00C635F2"/>
    <w:rsid w:val="00C63B4A"/>
    <w:rsid w:val="00C63F54"/>
    <w:rsid w:val="00C63F6C"/>
    <w:rsid w:val="00C64138"/>
    <w:rsid w:val="00C64B5B"/>
    <w:rsid w:val="00C64B5D"/>
    <w:rsid w:val="00C6519D"/>
    <w:rsid w:val="00C65369"/>
    <w:rsid w:val="00C656D2"/>
    <w:rsid w:val="00C6639C"/>
    <w:rsid w:val="00C66509"/>
    <w:rsid w:val="00C66AD6"/>
    <w:rsid w:val="00C66ECC"/>
    <w:rsid w:val="00C67097"/>
    <w:rsid w:val="00C67146"/>
    <w:rsid w:val="00C67C45"/>
    <w:rsid w:val="00C70BF1"/>
    <w:rsid w:val="00C718FF"/>
    <w:rsid w:val="00C71EBF"/>
    <w:rsid w:val="00C728A4"/>
    <w:rsid w:val="00C72CD8"/>
    <w:rsid w:val="00C72E9F"/>
    <w:rsid w:val="00C732D1"/>
    <w:rsid w:val="00C736BC"/>
    <w:rsid w:val="00C7378D"/>
    <w:rsid w:val="00C73D63"/>
    <w:rsid w:val="00C74309"/>
    <w:rsid w:val="00C748DD"/>
    <w:rsid w:val="00C74D98"/>
    <w:rsid w:val="00C757B9"/>
    <w:rsid w:val="00C763EB"/>
    <w:rsid w:val="00C76AC1"/>
    <w:rsid w:val="00C76B1A"/>
    <w:rsid w:val="00C772C3"/>
    <w:rsid w:val="00C777E7"/>
    <w:rsid w:val="00C77C7A"/>
    <w:rsid w:val="00C77EE5"/>
    <w:rsid w:val="00C82FD5"/>
    <w:rsid w:val="00C83903"/>
    <w:rsid w:val="00C83EC6"/>
    <w:rsid w:val="00C8474D"/>
    <w:rsid w:val="00C848CD"/>
    <w:rsid w:val="00C84A7B"/>
    <w:rsid w:val="00C855B6"/>
    <w:rsid w:val="00C85D75"/>
    <w:rsid w:val="00C87103"/>
    <w:rsid w:val="00C8743A"/>
    <w:rsid w:val="00C874B1"/>
    <w:rsid w:val="00C8787F"/>
    <w:rsid w:val="00C878E8"/>
    <w:rsid w:val="00C879A6"/>
    <w:rsid w:val="00C900CA"/>
    <w:rsid w:val="00C90572"/>
    <w:rsid w:val="00C90E9A"/>
    <w:rsid w:val="00C91C80"/>
    <w:rsid w:val="00C94671"/>
    <w:rsid w:val="00C94D3A"/>
    <w:rsid w:val="00C94FDE"/>
    <w:rsid w:val="00C95F0D"/>
    <w:rsid w:val="00C974C2"/>
    <w:rsid w:val="00C979C0"/>
    <w:rsid w:val="00CA00B7"/>
    <w:rsid w:val="00CA100D"/>
    <w:rsid w:val="00CA1169"/>
    <w:rsid w:val="00CA16A1"/>
    <w:rsid w:val="00CA1EB2"/>
    <w:rsid w:val="00CA1ED5"/>
    <w:rsid w:val="00CA211D"/>
    <w:rsid w:val="00CA23D5"/>
    <w:rsid w:val="00CA2B42"/>
    <w:rsid w:val="00CA2CDB"/>
    <w:rsid w:val="00CA31B8"/>
    <w:rsid w:val="00CA49DD"/>
    <w:rsid w:val="00CA4EC0"/>
    <w:rsid w:val="00CA5453"/>
    <w:rsid w:val="00CA581C"/>
    <w:rsid w:val="00CA5D35"/>
    <w:rsid w:val="00CA5E12"/>
    <w:rsid w:val="00CA6ACF"/>
    <w:rsid w:val="00CA6E1F"/>
    <w:rsid w:val="00CA7289"/>
    <w:rsid w:val="00CA759D"/>
    <w:rsid w:val="00CA7DF3"/>
    <w:rsid w:val="00CA7F13"/>
    <w:rsid w:val="00CB018B"/>
    <w:rsid w:val="00CB0714"/>
    <w:rsid w:val="00CB15BD"/>
    <w:rsid w:val="00CB1DC4"/>
    <w:rsid w:val="00CB1F62"/>
    <w:rsid w:val="00CB337B"/>
    <w:rsid w:val="00CB3F99"/>
    <w:rsid w:val="00CB45F2"/>
    <w:rsid w:val="00CB49CA"/>
    <w:rsid w:val="00CB534F"/>
    <w:rsid w:val="00CB56FF"/>
    <w:rsid w:val="00CB66C5"/>
    <w:rsid w:val="00CB6894"/>
    <w:rsid w:val="00CB6F70"/>
    <w:rsid w:val="00CB7705"/>
    <w:rsid w:val="00CB7E04"/>
    <w:rsid w:val="00CC0103"/>
    <w:rsid w:val="00CC07A3"/>
    <w:rsid w:val="00CC1A3A"/>
    <w:rsid w:val="00CC1BA7"/>
    <w:rsid w:val="00CC2517"/>
    <w:rsid w:val="00CC3378"/>
    <w:rsid w:val="00CC3B8E"/>
    <w:rsid w:val="00CC3D0F"/>
    <w:rsid w:val="00CC3EF5"/>
    <w:rsid w:val="00CC4056"/>
    <w:rsid w:val="00CC4376"/>
    <w:rsid w:val="00CC4666"/>
    <w:rsid w:val="00CC4749"/>
    <w:rsid w:val="00CC4BBC"/>
    <w:rsid w:val="00CC510C"/>
    <w:rsid w:val="00CC56E0"/>
    <w:rsid w:val="00CC5993"/>
    <w:rsid w:val="00CD0517"/>
    <w:rsid w:val="00CD0707"/>
    <w:rsid w:val="00CD0927"/>
    <w:rsid w:val="00CD2154"/>
    <w:rsid w:val="00CD2A14"/>
    <w:rsid w:val="00CD2EF7"/>
    <w:rsid w:val="00CD3335"/>
    <w:rsid w:val="00CD333A"/>
    <w:rsid w:val="00CD3D54"/>
    <w:rsid w:val="00CD3E03"/>
    <w:rsid w:val="00CD4AA2"/>
    <w:rsid w:val="00CD60EF"/>
    <w:rsid w:val="00CD6497"/>
    <w:rsid w:val="00CD65AA"/>
    <w:rsid w:val="00CD675D"/>
    <w:rsid w:val="00CD6A71"/>
    <w:rsid w:val="00CD6DA2"/>
    <w:rsid w:val="00CD752B"/>
    <w:rsid w:val="00CD791B"/>
    <w:rsid w:val="00CD7F9A"/>
    <w:rsid w:val="00CE0EA3"/>
    <w:rsid w:val="00CE102B"/>
    <w:rsid w:val="00CE142D"/>
    <w:rsid w:val="00CE1C74"/>
    <w:rsid w:val="00CE1D68"/>
    <w:rsid w:val="00CE2C5A"/>
    <w:rsid w:val="00CE2FA8"/>
    <w:rsid w:val="00CE3426"/>
    <w:rsid w:val="00CE34BB"/>
    <w:rsid w:val="00CE3F90"/>
    <w:rsid w:val="00CE4BA6"/>
    <w:rsid w:val="00CE4ED0"/>
    <w:rsid w:val="00CE504B"/>
    <w:rsid w:val="00CE644B"/>
    <w:rsid w:val="00CE7356"/>
    <w:rsid w:val="00CE74FA"/>
    <w:rsid w:val="00CE7C52"/>
    <w:rsid w:val="00CF0567"/>
    <w:rsid w:val="00CF1A20"/>
    <w:rsid w:val="00CF2190"/>
    <w:rsid w:val="00CF2B50"/>
    <w:rsid w:val="00CF2BCB"/>
    <w:rsid w:val="00CF2F7B"/>
    <w:rsid w:val="00CF36FC"/>
    <w:rsid w:val="00CF3FC3"/>
    <w:rsid w:val="00CF4101"/>
    <w:rsid w:val="00CF4111"/>
    <w:rsid w:val="00CF4DE5"/>
    <w:rsid w:val="00CF4F21"/>
    <w:rsid w:val="00CF5ED0"/>
    <w:rsid w:val="00CF66A8"/>
    <w:rsid w:val="00CF66CD"/>
    <w:rsid w:val="00CF682E"/>
    <w:rsid w:val="00CF6884"/>
    <w:rsid w:val="00CF699E"/>
    <w:rsid w:val="00CF6F4C"/>
    <w:rsid w:val="00D0049B"/>
    <w:rsid w:val="00D005C9"/>
    <w:rsid w:val="00D005EF"/>
    <w:rsid w:val="00D0078F"/>
    <w:rsid w:val="00D0196A"/>
    <w:rsid w:val="00D02A0F"/>
    <w:rsid w:val="00D02BA4"/>
    <w:rsid w:val="00D02E43"/>
    <w:rsid w:val="00D03117"/>
    <w:rsid w:val="00D033BE"/>
    <w:rsid w:val="00D03830"/>
    <w:rsid w:val="00D03B82"/>
    <w:rsid w:val="00D03F56"/>
    <w:rsid w:val="00D0409D"/>
    <w:rsid w:val="00D04875"/>
    <w:rsid w:val="00D04C1E"/>
    <w:rsid w:val="00D04C23"/>
    <w:rsid w:val="00D0536F"/>
    <w:rsid w:val="00D06819"/>
    <w:rsid w:val="00D06859"/>
    <w:rsid w:val="00D0759A"/>
    <w:rsid w:val="00D07821"/>
    <w:rsid w:val="00D10356"/>
    <w:rsid w:val="00D108BD"/>
    <w:rsid w:val="00D10F65"/>
    <w:rsid w:val="00D111D5"/>
    <w:rsid w:val="00D114F7"/>
    <w:rsid w:val="00D126E4"/>
    <w:rsid w:val="00D127BA"/>
    <w:rsid w:val="00D1297D"/>
    <w:rsid w:val="00D12F05"/>
    <w:rsid w:val="00D13713"/>
    <w:rsid w:val="00D1461F"/>
    <w:rsid w:val="00D14DB4"/>
    <w:rsid w:val="00D15CC3"/>
    <w:rsid w:val="00D1617D"/>
    <w:rsid w:val="00D16303"/>
    <w:rsid w:val="00D170F4"/>
    <w:rsid w:val="00D1797F"/>
    <w:rsid w:val="00D203A6"/>
    <w:rsid w:val="00D20E98"/>
    <w:rsid w:val="00D221BF"/>
    <w:rsid w:val="00D23FAC"/>
    <w:rsid w:val="00D24D7C"/>
    <w:rsid w:val="00D24EEE"/>
    <w:rsid w:val="00D24F30"/>
    <w:rsid w:val="00D2514E"/>
    <w:rsid w:val="00D25C6F"/>
    <w:rsid w:val="00D269C9"/>
    <w:rsid w:val="00D27B1A"/>
    <w:rsid w:val="00D310B4"/>
    <w:rsid w:val="00D31F3A"/>
    <w:rsid w:val="00D324EB"/>
    <w:rsid w:val="00D32A1A"/>
    <w:rsid w:val="00D32E87"/>
    <w:rsid w:val="00D32F8E"/>
    <w:rsid w:val="00D33370"/>
    <w:rsid w:val="00D3340E"/>
    <w:rsid w:val="00D342B4"/>
    <w:rsid w:val="00D34F26"/>
    <w:rsid w:val="00D35553"/>
    <w:rsid w:val="00D35604"/>
    <w:rsid w:val="00D35C43"/>
    <w:rsid w:val="00D40141"/>
    <w:rsid w:val="00D4115E"/>
    <w:rsid w:val="00D412F4"/>
    <w:rsid w:val="00D41580"/>
    <w:rsid w:val="00D420D2"/>
    <w:rsid w:val="00D43315"/>
    <w:rsid w:val="00D43E7D"/>
    <w:rsid w:val="00D44044"/>
    <w:rsid w:val="00D449E0"/>
    <w:rsid w:val="00D44DE5"/>
    <w:rsid w:val="00D450CA"/>
    <w:rsid w:val="00D45529"/>
    <w:rsid w:val="00D459C7"/>
    <w:rsid w:val="00D4676F"/>
    <w:rsid w:val="00D46DCA"/>
    <w:rsid w:val="00D46DD3"/>
    <w:rsid w:val="00D472EE"/>
    <w:rsid w:val="00D4760B"/>
    <w:rsid w:val="00D478BD"/>
    <w:rsid w:val="00D47EAB"/>
    <w:rsid w:val="00D47FD9"/>
    <w:rsid w:val="00D50841"/>
    <w:rsid w:val="00D50E5B"/>
    <w:rsid w:val="00D50FE2"/>
    <w:rsid w:val="00D515FE"/>
    <w:rsid w:val="00D5187A"/>
    <w:rsid w:val="00D524D5"/>
    <w:rsid w:val="00D52850"/>
    <w:rsid w:val="00D52B25"/>
    <w:rsid w:val="00D54074"/>
    <w:rsid w:val="00D54214"/>
    <w:rsid w:val="00D54AC4"/>
    <w:rsid w:val="00D5566E"/>
    <w:rsid w:val="00D55EF5"/>
    <w:rsid w:val="00D5670A"/>
    <w:rsid w:val="00D567CE"/>
    <w:rsid w:val="00D568CF"/>
    <w:rsid w:val="00D56D6E"/>
    <w:rsid w:val="00D56DDB"/>
    <w:rsid w:val="00D575FE"/>
    <w:rsid w:val="00D57C1A"/>
    <w:rsid w:val="00D6075D"/>
    <w:rsid w:val="00D60B47"/>
    <w:rsid w:val="00D60BF8"/>
    <w:rsid w:val="00D61729"/>
    <w:rsid w:val="00D621C4"/>
    <w:rsid w:val="00D62B4F"/>
    <w:rsid w:val="00D62F74"/>
    <w:rsid w:val="00D632F6"/>
    <w:rsid w:val="00D639D1"/>
    <w:rsid w:val="00D64269"/>
    <w:rsid w:val="00D645E0"/>
    <w:rsid w:val="00D64D0B"/>
    <w:rsid w:val="00D65778"/>
    <w:rsid w:val="00D65842"/>
    <w:rsid w:val="00D6640A"/>
    <w:rsid w:val="00D6650C"/>
    <w:rsid w:val="00D66697"/>
    <w:rsid w:val="00D703E7"/>
    <w:rsid w:val="00D70451"/>
    <w:rsid w:val="00D70840"/>
    <w:rsid w:val="00D70ACA"/>
    <w:rsid w:val="00D70D3E"/>
    <w:rsid w:val="00D70FF8"/>
    <w:rsid w:val="00D717DD"/>
    <w:rsid w:val="00D72A0D"/>
    <w:rsid w:val="00D72FDB"/>
    <w:rsid w:val="00D73CDA"/>
    <w:rsid w:val="00D744A5"/>
    <w:rsid w:val="00D744D0"/>
    <w:rsid w:val="00D74B94"/>
    <w:rsid w:val="00D74DED"/>
    <w:rsid w:val="00D74FE0"/>
    <w:rsid w:val="00D75EB3"/>
    <w:rsid w:val="00D75FCD"/>
    <w:rsid w:val="00D76A75"/>
    <w:rsid w:val="00D77002"/>
    <w:rsid w:val="00D77305"/>
    <w:rsid w:val="00D7737A"/>
    <w:rsid w:val="00D80ABC"/>
    <w:rsid w:val="00D80E4C"/>
    <w:rsid w:val="00D815FA"/>
    <w:rsid w:val="00D81C29"/>
    <w:rsid w:val="00D81C2E"/>
    <w:rsid w:val="00D81E81"/>
    <w:rsid w:val="00D83690"/>
    <w:rsid w:val="00D83CF8"/>
    <w:rsid w:val="00D83DF1"/>
    <w:rsid w:val="00D8693F"/>
    <w:rsid w:val="00D86E5C"/>
    <w:rsid w:val="00D873EB"/>
    <w:rsid w:val="00D875DA"/>
    <w:rsid w:val="00D9043D"/>
    <w:rsid w:val="00D90A07"/>
    <w:rsid w:val="00D90FCA"/>
    <w:rsid w:val="00D9143B"/>
    <w:rsid w:val="00D914A9"/>
    <w:rsid w:val="00D914C9"/>
    <w:rsid w:val="00D91ADC"/>
    <w:rsid w:val="00D91D00"/>
    <w:rsid w:val="00D9276A"/>
    <w:rsid w:val="00D928A5"/>
    <w:rsid w:val="00D931B3"/>
    <w:rsid w:val="00D93415"/>
    <w:rsid w:val="00D93731"/>
    <w:rsid w:val="00D94385"/>
    <w:rsid w:val="00D9443A"/>
    <w:rsid w:val="00D94C6D"/>
    <w:rsid w:val="00D94EC4"/>
    <w:rsid w:val="00D95095"/>
    <w:rsid w:val="00D9530E"/>
    <w:rsid w:val="00D95367"/>
    <w:rsid w:val="00D953D7"/>
    <w:rsid w:val="00D96158"/>
    <w:rsid w:val="00D961A9"/>
    <w:rsid w:val="00D96207"/>
    <w:rsid w:val="00D96A25"/>
    <w:rsid w:val="00D976C7"/>
    <w:rsid w:val="00D97A2D"/>
    <w:rsid w:val="00DA0B51"/>
    <w:rsid w:val="00DA199A"/>
    <w:rsid w:val="00DA1EDE"/>
    <w:rsid w:val="00DA22B1"/>
    <w:rsid w:val="00DA2377"/>
    <w:rsid w:val="00DA3C02"/>
    <w:rsid w:val="00DA3F42"/>
    <w:rsid w:val="00DA530C"/>
    <w:rsid w:val="00DA54BA"/>
    <w:rsid w:val="00DA6218"/>
    <w:rsid w:val="00DA74D0"/>
    <w:rsid w:val="00DA7E54"/>
    <w:rsid w:val="00DB0242"/>
    <w:rsid w:val="00DB0403"/>
    <w:rsid w:val="00DB102D"/>
    <w:rsid w:val="00DB11D1"/>
    <w:rsid w:val="00DB2121"/>
    <w:rsid w:val="00DB2389"/>
    <w:rsid w:val="00DB36CB"/>
    <w:rsid w:val="00DB393D"/>
    <w:rsid w:val="00DB3B6C"/>
    <w:rsid w:val="00DB412C"/>
    <w:rsid w:val="00DB4378"/>
    <w:rsid w:val="00DB4700"/>
    <w:rsid w:val="00DB4753"/>
    <w:rsid w:val="00DB4782"/>
    <w:rsid w:val="00DB526F"/>
    <w:rsid w:val="00DB57D1"/>
    <w:rsid w:val="00DB5F8E"/>
    <w:rsid w:val="00DB6910"/>
    <w:rsid w:val="00DB6DD0"/>
    <w:rsid w:val="00DB7177"/>
    <w:rsid w:val="00DB7391"/>
    <w:rsid w:val="00DB7999"/>
    <w:rsid w:val="00DC0A97"/>
    <w:rsid w:val="00DC0CA7"/>
    <w:rsid w:val="00DC0E77"/>
    <w:rsid w:val="00DC203C"/>
    <w:rsid w:val="00DC208D"/>
    <w:rsid w:val="00DC289A"/>
    <w:rsid w:val="00DC3076"/>
    <w:rsid w:val="00DC34A3"/>
    <w:rsid w:val="00DC5586"/>
    <w:rsid w:val="00DC5B94"/>
    <w:rsid w:val="00DC5E1E"/>
    <w:rsid w:val="00DC60C8"/>
    <w:rsid w:val="00DC6ABB"/>
    <w:rsid w:val="00DC748A"/>
    <w:rsid w:val="00DC772C"/>
    <w:rsid w:val="00DC7ED8"/>
    <w:rsid w:val="00DD003E"/>
    <w:rsid w:val="00DD15DF"/>
    <w:rsid w:val="00DD1F18"/>
    <w:rsid w:val="00DD28CE"/>
    <w:rsid w:val="00DD28EB"/>
    <w:rsid w:val="00DD29B8"/>
    <w:rsid w:val="00DD2D61"/>
    <w:rsid w:val="00DD3371"/>
    <w:rsid w:val="00DD37C2"/>
    <w:rsid w:val="00DD3C0A"/>
    <w:rsid w:val="00DD408F"/>
    <w:rsid w:val="00DD4874"/>
    <w:rsid w:val="00DD4E17"/>
    <w:rsid w:val="00DD520C"/>
    <w:rsid w:val="00DD5E10"/>
    <w:rsid w:val="00DD5E20"/>
    <w:rsid w:val="00DD6645"/>
    <w:rsid w:val="00DD66BD"/>
    <w:rsid w:val="00DD66EE"/>
    <w:rsid w:val="00DD707A"/>
    <w:rsid w:val="00DD70F7"/>
    <w:rsid w:val="00DD7D7F"/>
    <w:rsid w:val="00DD7DC5"/>
    <w:rsid w:val="00DE0332"/>
    <w:rsid w:val="00DE0339"/>
    <w:rsid w:val="00DE0CA8"/>
    <w:rsid w:val="00DE0E8F"/>
    <w:rsid w:val="00DE0F85"/>
    <w:rsid w:val="00DE2A3D"/>
    <w:rsid w:val="00DE3017"/>
    <w:rsid w:val="00DE32BA"/>
    <w:rsid w:val="00DE3543"/>
    <w:rsid w:val="00DE35B0"/>
    <w:rsid w:val="00DE3E8B"/>
    <w:rsid w:val="00DE4DC1"/>
    <w:rsid w:val="00DE574A"/>
    <w:rsid w:val="00DE5CB7"/>
    <w:rsid w:val="00DE5DE8"/>
    <w:rsid w:val="00DE60D4"/>
    <w:rsid w:val="00DE6A52"/>
    <w:rsid w:val="00DE7067"/>
    <w:rsid w:val="00DE76F9"/>
    <w:rsid w:val="00DE7871"/>
    <w:rsid w:val="00DE7A7D"/>
    <w:rsid w:val="00DE7CB1"/>
    <w:rsid w:val="00DE7CE9"/>
    <w:rsid w:val="00DE7F1F"/>
    <w:rsid w:val="00DF00D3"/>
    <w:rsid w:val="00DF096A"/>
    <w:rsid w:val="00DF1C15"/>
    <w:rsid w:val="00DF2F04"/>
    <w:rsid w:val="00DF3407"/>
    <w:rsid w:val="00DF3B73"/>
    <w:rsid w:val="00DF3CAB"/>
    <w:rsid w:val="00DF3FE4"/>
    <w:rsid w:val="00DF41F3"/>
    <w:rsid w:val="00DF4335"/>
    <w:rsid w:val="00DF440B"/>
    <w:rsid w:val="00DF471C"/>
    <w:rsid w:val="00DF480A"/>
    <w:rsid w:val="00DF5032"/>
    <w:rsid w:val="00DF5046"/>
    <w:rsid w:val="00DF5630"/>
    <w:rsid w:val="00DF5AC3"/>
    <w:rsid w:val="00DF6F96"/>
    <w:rsid w:val="00DF7E3A"/>
    <w:rsid w:val="00E0082B"/>
    <w:rsid w:val="00E01058"/>
    <w:rsid w:val="00E01259"/>
    <w:rsid w:val="00E0215E"/>
    <w:rsid w:val="00E02475"/>
    <w:rsid w:val="00E02858"/>
    <w:rsid w:val="00E02F71"/>
    <w:rsid w:val="00E02FBE"/>
    <w:rsid w:val="00E0370D"/>
    <w:rsid w:val="00E03CDF"/>
    <w:rsid w:val="00E03ED3"/>
    <w:rsid w:val="00E0494C"/>
    <w:rsid w:val="00E04B84"/>
    <w:rsid w:val="00E0501C"/>
    <w:rsid w:val="00E05812"/>
    <w:rsid w:val="00E05B59"/>
    <w:rsid w:val="00E05D46"/>
    <w:rsid w:val="00E05F7E"/>
    <w:rsid w:val="00E06511"/>
    <w:rsid w:val="00E06CF1"/>
    <w:rsid w:val="00E06EED"/>
    <w:rsid w:val="00E07720"/>
    <w:rsid w:val="00E078BE"/>
    <w:rsid w:val="00E1045A"/>
    <w:rsid w:val="00E1051E"/>
    <w:rsid w:val="00E106DC"/>
    <w:rsid w:val="00E10A11"/>
    <w:rsid w:val="00E10C02"/>
    <w:rsid w:val="00E11DC1"/>
    <w:rsid w:val="00E1366E"/>
    <w:rsid w:val="00E138AC"/>
    <w:rsid w:val="00E13910"/>
    <w:rsid w:val="00E141A7"/>
    <w:rsid w:val="00E1449D"/>
    <w:rsid w:val="00E1468A"/>
    <w:rsid w:val="00E153E9"/>
    <w:rsid w:val="00E15471"/>
    <w:rsid w:val="00E1580D"/>
    <w:rsid w:val="00E16105"/>
    <w:rsid w:val="00E1652D"/>
    <w:rsid w:val="00E16969"/>
    <w:rsid w:val="00E16F1D"/>
    <w:rsid w:val="00E172A8"/>
    <w:rsid w:val="00E174AA"/>
    <w:rsid w:val="00E177AB"/>
    <w:rsid w:val="00E20045"/>
    <w:rsid w:val="00E207F1"/>
    <w:rsid w:val="00E20866"/>
    <w:rsid w:val="00E20E36"/>
    <w:rsid w:val="00E21206"/>
    <w:rsid w:val="00E21847"/>
    <w:rsid w:val="00E21C22"/>
    <w:rsid w:val="00E22070"/>
    <w:rsid w:val="00E223CC"/>
    <w:rsid w:val="00E22ADA"/>
    <w:rsid w:val="00E22F1A"/>
    <w:rsid w:val="00E232D3"/>
    <w:rsid w:val="00E235F0"/>
    <w:rsid w:val="00E237CA"/>
    <w:rsid w:val="00E23C5D"/>
    <w:rsid w:val="00E2428E"/>
    <w:rsid w:val="00E24529"/>
    <w:rsid w:val="00E246A6"/>
    <w:rsid w:val="00E24976"/>
    <w:rsid w:val="00E2579D"/>
    <w:rsid w:val="00E2599E"/>
    <w:rsid w:val="00E2600C"/>
    <w:rsid w:val="00E263D3"/>
    <w:rsid w:val="00E2659C"/>
    <w:rsid w:val="00E26F74"/>
    <w:rsid w:val="00E278E7"/>
    <w:rsid w:val="00E27A60"/>
    <w:rsid w:val="00E27C4A"/>
    <w:rsid w:val="00E301B3"/>
    <w:rsid w:val="00E3067C"/>
    <w:rsid w:val="00E309C6"/>
    <w:rsid w:val="00E30DE5"/>
    <w:rsid w:val="00E3229E"/>
    <w:rsid w:val="00E322CC"/>
    <w:rsid w:val="00E327D0"/>
    <w:rsid w:val="00E32934"/>
    <w:rsid w:val="00E32BF3"/>
    <w:rsid w:val="00E32CE7"/>
    <w:rsid w:val="00E33611"/>
    <w:rsid w:val="00E33813"/>
    <w:rsid w:val="00E338B6"/>
    <w:rsid w:val="00E340A8"/>
    <w:rsid w:val="00E344F6"/>
    <w:rsid w:val="00E352EF"/>
    <w:rsid w:val="00E36B65"/>
    <w:rsid w:val="00E36BC7"/>
    <w:rsid w:val="00E37064"/>
    <w:rsid w:val="00E370B4"/>
    <w:rsid w:val="00E3773E"/>
    <w:rsid w:val="00E37AC4"/>
    <w:rsid w:val="00E37F6B"/>
    <w:rsid w:val="00E4078E"/>
    <w:rsid w:val="00E40A82"/>
    <w:rsid w:val="00E40D8D"/>
    <w:rsid w:val="00E4108C"/>
    <w:rsid w:val="00E41906"/>
    <w:rsid w:val="00E421DB"/>
    <w:rsid w:val="00E4287E"/>
    <w:rsid w:val="00E42A34"/>
    <w:rsid w:val="00E42F8E"/>
    <w:rsid w:val="00E438A0"/>
    <w:rsid w:val="00E438EE"/>
    <w:rsid w:val="00E44643"/>
    <w:rsid w:val="00E446A4"/>
    <w:rsid w:val="00E44809"/>
    <w:rsid w:val="00E44A9C"/>
    <w:rsid w:val="00E44C9E"/>
    <w:rsid w:val="00E45572"/>
    <w:rsid w:val="00E45675"/>
    <w:rsid w:val="00E4583D"/>
    <w:rsid w:val="00E4593B"/>
    <w:rsid w:val="00E45A2E"/>
    <w:rsid w:val="00E45B8F"/>
    <w:rsid w:val="00E46B71"/>
    <w:rsid w:val="00E511AC"/>
    <w:rsid w:val="00E5153E"/>
    <w:rsid w:val="00E51627"/>
    <w:rsid w:val="00E518E9"/>
    <w:rsid w:val="00E51958"/>
    <w:rsid w:val="00E519FD"/>
    <w:rsid w:val="00E521D5"/>
    <w:rsid w:val="00E52246"/>
    <w:rsid w:val="00E54C10"/>
    <w:rsid w:val="00E552DA"/>
    <w:rsid w:val="00E55325"/>
    <w:rsid w:val="00E559AF"/>
    <w:rsid w:val="00E55B3F"/>
    <w:rsid w:val="00E55B8C"/>
    <w:rsid w:val="00E55EF7"/>
    <w:rsid w:val="00E5640A"/>
    <w:rsid w:val="00E569B0"/>
    <w:rsid w:val="00E56FF9"/>
    <w:rsid w:val="00E5791B"/>
    <w:rsid w:val="00E57A49"/>
    <w:rsid w:val="00E57EF4"/>
    <w:rsid w:val="00E60121"/>
    <w:rsid w:val="00E60B6E"/>
    <w:rsid w:val="00E6195C"/>
    <w:rsid w:val="00E62181"/>
    <w:rsid w:val="00E6377A"/>
    <w:rsid w:val="00E658A5"/>
    <w:rsid w:val="00E65911"/>
    <w:rsid w:val="00E65EF4"/>
    <w:rsid w:val="00E66016"/>
    <w:rsid w:val="00E67395"/>
    <w:rsid w:val="00E679E1"/>
    <w:rsid w:val="00E67AF6"/>
    <w:rsid w:val="00E67FB5"/>
    <w:rsid w:val="00E70525"/>
    <w:rsid w:val="00E70DD6"/>
    <w:rsid w:val="00E71DD6"/>
    <w:rsid w:val="00E72B35"/>
    <w:rsid w:val="00E72D0D"/>
    <w:rsid w:val="00E73943"/>
    <w:rsid w:val="00E73C70"/>
    <w:rsid w:val="00E74069"/>
    <w:rsid w:val="00E741C1"/>
    <w:rsid w:val="00E741F1"/>
    <w:rsid w:val="00E74363"/>
    <w:rsid w:val="00E74685"/>
    <w:rsid w:val="00E74A6B"/>
    <w:rsid w:val="00E74D67"/>
    <w:rsid w:val="00E7557F"/>
    <w:rsid w:val="00E7592E"/>
    <w:rsid w:val="00E759F8"/>
    <w:rsid w:val="00E77225"/>
    <w:rsid w:val="00E80016"/>
    <w:rsid w:val="00E80664"/>
    <w:rsid w:val="00E8109B"/>
    <w:rsid w:val="00E815DF"/>
    <w:rsid w:val="00E818F1"/>
    <w:rsid w:val="00E81913"/>
    <w:rsid w:val="00E82528"/>
    <w:rsid w:val="00E826B1"/>
    <w:rsid w:val="00E835B8"/>
    <w:rsid w:val="00E83704"/>
    <w:rsid w:val="00E844A5"/>
    <w:rsid w:val="00E84C7C"/>
    <w:rsid w:val="00E85AC5"/>
    <w:rsid w:val="00E85C2D"/>
    <w:rsid w:val="00E8722E"/>
    <w:rsid w:val="00E873C9"/>
    <w:rsid w:val="00E87652"/>
    <w:rsid w:val="00E8785D"/>
    <w:rsid w:val="00E87F9A"/>
    <w:rsid w:val="00E9067D"/>
    <w:rsid w:val="00E9091D"/>
    <w:rsid w:val="00E90953"/>
    <w:rsid w:val="00E90EA9"/>
    <w:rsid w:val="00E90EDF"/>
    <w:rsid w:val="00E9133F"/>
    <w:rsid w:val="00E91A82"/>
    <w:rsid w:val="00E91D2B"/>
    <w:rsid w:val="00E91D81"/>
    <w:rsid w:val="00E93A1B"/>
    <w:rsid w:val="00E957B3"/>
    <w:rsid w:val="00E95DDA"/>
    <w:rsid w:val="00E96111"/>
    <w:rsid w:val="00E97058"/>
    <w:rsid w:val="00E977C7"/>
    <w:rsid w:val="00E97BDE"/>
    <w:rsid w:val="00EA0CE2"/>
    <w:rsid w:val="00EA154C"/>
    <w:rsid w:val="00EA202F"/>
    <w:rsid w:val="00EA29F8"/>
    <w:rsid w:val="00EA2B84"/>
    <w:rsid w:val="00EA2D07"/>
    <w:rsid w:val="00EA4610"/>
    <w:rsid w:val="00EA4EC9"/>
    <w:rsid w:val="00EA51E5"/>
    <w:rsid w:val="00EA5F19"/>
    <w:rsid w:val="00EA5FB0"/>
    <w:rsid w:val="00EA63A5"/>
    <w:rsid w:val="00EA65EC"/>
    <w:rsid w:val="00EB0759"/>
    <w:rsid w:val="00EB0B89"/>
    <w:rsid w:val="00EB1803"/>
    <w:rsid w:val="00EB1FAE"/>
    <w:rsid w:val="00EB27DD"/>
    <w:rsid w:val="00EB2D3D"/>
    <w:rsid w:val="00EB44E4"/>
    <w:rsid w:val="00EB4687"/>
    <w:rsid w:val="00EB46A1"/>
    <w:rsid w:val="00EB4B93"/>
    <w:rsid w:val="00EB4D95"/>
    <w:rsid w:val="00EB521A"/>
    <w:rsid w:val="00EB6118"/>
    <w:rsid w:val="00EB6156"/>
    <w:rsid w:val="00EB6190"/>
    <w:rsid w:val="00EB6464"/>
    <w:rsid w:val="00EB6814"/>
    <w:rsid w:val="00EB6C2B"/>
    <w:rsid w:val="00EB70EB"/>
    <w:rsid w:val="00EB772E"/>
    <w:rsid w:val="00EB79A7"/>
    <w:rsid w:val="00EB7D28"/>
    <w:rsid w:val="00EC0277"/>
    <w:rsid w:val="00EC0A49"/>
    <w:rsid w:val="00EC0CB5"/>
    <w:rsid w:val="00EC0DFE"/>
    <w:rsid w:val="00EC17D1"/>
    <w:rsid w:val="00EC1999"/>
    <w:rsid w:val="00EC349C"/>
    <w:rsid w:val="00EC39EA"/>
    <w:rsid w:val="00EC3B2D"/>
    <w:rsid w:val="00EC4242"/>
    <w:rsid w:val="00EC501B"/>
    <w:rsid w:val="00EC50F5"/>
    <w:rsid w:val="00EC5B3F"/>
    <w:rsid w:val="00EC6541"/>
    <w:rsid w:val="00EC6AF8"/>
    <w:rsid w:val="00EC71AD"/>
    <w:rsid w:val="00EC7222"/>
    <w:rsid w:val="00EC73A4"/>
    <w:rsid w:val="00EC759B"/>
    <w:rsid w:val="00EC77C1"/>
    <w:rsid w:val="00EC7BF9"/>
    <w:rsid w:val="00ED113F"/>
    <w:rsid w:val="00ED1288"/>
    <w:rsid w:val="00ED1314"/>
    <w:rsid w:val="00ED1384"/>
    <w:rsid w:val="00ED18AF"/>
    <w:rsid w:val="00ED295E"/>
    <w:rsid w:val="00ED2CC1"/>
    <w:rsid w:val="00ED3050"/>
    <w:rsid w:val="00ED3235"/>
    <w:rsid w:val="00ED333A"/>
    <w:rsid w:val="00ED360C"/>
    <w:rsid w:val="00ED3674"/>
    <w:rsid w:val="00ED39D8"/>
    <w:rsid w:val="00ED40C8"/>
    <w:rsid w:val="00ED517D"/>
    <w:rsid w:val="00ED5F94"/>
    <w:rsid w:val="00ED5FBD"/>
    <w:rsid w:val="00ED6127"/>
    <w:rsid w:val="00ED6326"/>
    <w:rsid w:val="00ED647A"/>
    <w:rsid w:val="00ED6D05"/>
    <w:rsid w:val="00ED6E56"/>
    <w:rsid w:val="00ED6FE5"/>
    <w:rsid w:val="00ED7D3D"/>
    <w:rsid w:val="00ED7E49"/>
    <w:rsid w:val="00EE08C1"/>
    <w:rsid w:val="00EE0E77"/>
    <w:rsid w:val="00EE1903"/>
    <w:rsid w:val="00EE1930"/>
    <w:rsid w:val="00EE2152"/>
    <w:rsid w:val="00EE2B9B"/>
    <w:rsid w:val="00EE39DE"/>
    <w:rsid w:val="00EE3DD0"/>
    <w:rsid w:val="00EE45E7"/>
    <w:rsid w:val="00EE466B"/>
    <w:rsid w:val="00EE5028"/>
    <w:rsid w:val="00EE5317"/>
    <w:rsid w:val="00EE5D07"/>
    <w:rsid w:val="00EE5E0B"/>
    <w:rsid w:val="00EE5EAA"/>
    <w:rsid w:val="00EE6135"/>
    <w:rsid w:val="00EE6153"/>
    <w:rsid w:val="00EE6343"/>
    <w:rsid w:val="00EE686D"/>
    <w:rsid w:val="00EE69A1"/>
    <w:rsid w:val="00EE76C1"/>
    <w:rsid w:val="00EE78AE"/>
    <w:rsid w:val="00EE7B05"/>
    <w:rsid w:val="00EF00E4"/>
    <w:rsid w:val="00EF0B39"/>
    <w:rsid w:val="00EF0D2F"/>
    <w:rsid w:val="00EF1134"/>
    <w:rsid w:val="00EF1227"/>
    <w:rsid w:val="00EF161E"/>
    <w:rsid w:val="00EF17E9"/>
    <w:rsid w:val="00EF1E86"/>
    <w:rsid w:val="00EF1F84"/>
    <w:rsid w:val="00EF21F2"/>
    <w:rsid w:val="00EF350C"/>
    <w:rsid w:val="00EF381B"/>
    <w:rsid w:val="00EF3FBC"/>
    <w:rsid w:val="00EF5048"/>
    <w:rsid w:val="00EF5A19"/>
    <w:rsid w:val="00EF5FD1"/>
    <w:rsid w:val="00EF65B9"/>
    <w:rsid w:val="00EF6971"/>
    <w:rsid w:val="00EF6B8E"/>
    <w:rsid w:val="00EF726E"/>
    <w:rsid w:val="00F01126"/>
    <w:rsid w:val="00F012FA"/>
    <w:rsid w:val="00F01786"/>
    <w:rsid w:val="00F01DBA"/>
    <w:rsid w:val="00F02245"/>
    <w:rsid w:val="00F0272B"/>
    <w:rsid w:val="00F02BDB"/>
    <w:rsid w:val="00F02DF3"/>
    <w:rsid w:val="00F03598"/>
    <w:rsid w:val="00F03D4E"/>
    <w:rsid w:val="00F044E9"/>
    <w:rsid w:val="00F0468A"/>
    <w:rsid w:val="00F06763"/>
    <w:rsid w:val="00F069D2"/>
    <w:rsid w:val="00F0711B"/>
    <w:rsid w:val="00F074BC"/>
    <w:rsid w:val="00F076C7"/>
    <w:rsid w:val="00F0776E"/>
    <w:rsid w:val="00F079AE"/>
    <w:rsid w:val="00F10C5D"/>
    <w:rsid w:val="00F10E07"/>
    <w:rsid w:val="00F10FAC"/>
    <w:rsid w:val="00F11205"/>
    <w:rsid w:val="00F115E5"/>
    <w:rsid w:val="00F123EA"/>
    <w:rsid w:val="00F12649"/>
    <w:rsid w:val="00F129F7"/>
    <w:rsid w:val="00F12E11"/>
    <w:rsid w:val="00F1320B"/>
    <w:rsid w:val="00F13774"/>
    <w:rsid w:val="00F13CDB"/>
    <w:rsid w:val="00F14441"/>
    <w:rsid w:val="00F1543D"/>
    <w:rsid w:val="00F16FA9"/>
    <w:rsid w:val="00F17115"/>
    <w:rsid w:val="00F172BE"/>
    <w:rsid w:val="00F17F67"/>
    <w:rsid w:val="00F20AA8"/>
    <w:rsid w:val="00F20E60"/>
    <w:rsid w:val="00F2141A"/>
    <w:rsid w:val="00F2186A"/>
    <w:rsid w:val="00F21B5A"/>
    <w:rsid w:val="00F2216A"/>
    <w:rsid w:val="00F221CC"/>
    <w:rsid w:val="00F22502"/>
    <w:rsid w:val="00F243DB"/>
    <w:rsid w:val="00F24528"/>
    <w:rsid w:val="00F24780"/>
    <w:rsid w:val="00F24A97"/>
    <w:rsid w:val="00F267E0"/>
    <w:rsid w:val="00F27266"/>
    <w:rsid w:val="00F27F09"/>
    <w:rsid w:val="00F30C20"/>
    <w:rsid w:val="00F31667"/>
    <w:rsid w:val="00F31AB0"/>
    <w:rsid w:val="00F31CB3"/>
    <w:rsid w:val="00F321DE"/>
    <w:rsid w:val="00F328B7"/>
    <w:rsid w:val="00F32ED9"/>
    <w:rsid w:val="00F32FB7"/>
    <w:rsid w:val="00F338E0"/>
    <w:rsid w:val="00F33B91"/>
    <w:rsid w:val="00F33F16"/>
    <w:rsid w:val="00F33FFC"/>
    <w:rsid w:val="00F34908"/>
    <w:rsid w:val="00F356FB"/>
    <w:rsid w:val="00F35A2E"/>
    <w:rsid w:val="00F35E87"/>
    <w:rsid w:val="00F36345"/>
    <w:rsid w:val="00F3666B"/>
    <w:rsid w:val="00F369CF"/>
    <w:rsid w:val="00F36C0C"/>
    <w:rsid w:val="00F37D82"/>
    <w:rsid w:val="00F409D8"/>
    <w:rsid w:val="00F40BD1"/>
    <w:rsid w:val="00F40CD6"/>
    <w:rsid w:val="00F40EA7"/>
    <w:rsid w:val="00F4114F"/>
    <w:rsid w:val="00F41D55"/>
    <w:rsid w:val="00F42300"/>
    <w:rsid w:val="00F42E1F"/>
    <w:rsid w:val="00F4367A"/>
    <w:rsid w:val="00F440B6"/>
    <w:rsid w:val="00F450C6"/>
    <w:rsid w:val="00F45532"/>
    <w:rsid w:val="00F468BF"/>
    <w:rsid w:val="00F46ED6"/>
    <w:rsid w:val="00F4749C"/>
    <w:rsid w:val="00F4778B"/>
    <w:rsid w:val="00F4791A"/>
    <w:rsid w:val="00F50DA7"/>
    <w:rsid w:val="00F50ED0"/>
    <w:rsid w:val="00F50F58"/>
    <w:rsid w:val="00F514D4"/>
    <w:rsid w:val="00F52584"/>
    <w:rsid w:val="00F527F6"/>
    <w:rsid w:val="00F52FFF"/>
    <w:rsid w:val="00F53F2C"/>
    <w:rsid w:val="00F545E8"/>
    <w:rsid w:val="00F54A84"/>
    <w:rsid w:val="00F55308"/>
    <w:rsid w:val="00F5569C"/>
    <w:rsid w:val="00F5630E"/>
    <w:rsid w:val="00F569AD"/>
    <w:rsid w:val="00F56FA4"/>
    <w:rsid w:val="00F570D0"/>
    <w:rsid w:val="00F576CE"/>
    <w:rsid w:val="00F57BE7"/>
    <w:rsid w:val="00F57CCB"/>
    <w:rsid w:val="00F57FC8"/>
    <w:rsid w:val="00F605FB"/>
    <w:rsid w:val="00F60960"/>
    <w:rsid w:val="00F62FF3"/>
    <w:rsid w:val="00F632CD"/>
    <w:rsid w:val="00F63647"/>
    <w:rsid w:val="00F636BD"/>
    <w:rsid w:val="00F63849"/>
    <w:rsid w:val="00F640AF"/>
    <w:rsid w:val="00F6446D"/>
    <w:rsid w:val="00F649E3"/>
    <w:rsid w:val="00F65149"/>
    <w:rsid w:val="00F6586A"/>
    <w:rsid w:val="00F65EDB"/>
    <w:rsid w:val="00F66182"/>
    <w:rsid w:val="00F66B87"/>
    <w:rsid w:val="00F676C6"/>
    <w:rsid w:val="00F67AE3"/>
    <w:rsid w:val="00F7052F"/>
    <w:rsid w:val="00F707A3"/>
    <w:rsid w:val="00F7081F"/>
    <w:rsid w:val="00F708EA"/>
    <w:rsid w:val="00F70DED"/>
    <w:rsid w:val="00F70FB8"/>
    <w:rsid w:val="00F7139C"/>
    <w:rsid w:val="00F7187E"/>
    <w:rsid w:val="00F71BEB"/>
    <w:rsid w:val="00F71E33"/>
    <w:rsid w:val="00F7250B"/>
    <w:rsid w:val="00F728A2"/>
    <w:rsid w:val="00F72B72"/>
    <w:rsid w:val="00F74ECE"/>
    <w:rsid w:val="00F7500A"/>
    <w:rsid w:val="00F750E5"/>
    <w:rsid w:val="00F76BEE"/>
    <w:rsid w:val="00F805E9"/>
    <w:rsid w:val="00F80B83"/>
    <w:rsid w:val="00F80F86"/>
    <w:rsid w:val="00F81410"/>
    <w:rsid w:val="00F8144D"/>
    <w:rsid w:val="00F81CE8"/>
    <w:rsid w:val="00F8224A"/>
    <w:rsid w:val="00F82B7A"/>
    <w:rsid w:val="00F839FA"/>
    <w:rsid w:val="00F8467A"/>
    <w:rsid w:val="00F84A6F"/>
    <w:rsid w:val="00F84B5A"/>
    <w:rsid w:val="00F84C0F"/>
    <w:rsid w:val="00F84F34"/>
    <w:rsid w:val="00F850BF"/>
    <w:rsid w:val="00F85670"/>
    <w:rsid w:val="00F8589A"/>
    <w:rsid w:val="00F873E6"/>
    <w:rsid w:val="00F87520"/>
    <w:rsid w:val="00F8785C"/>
    <w:rsid w:val="00F9045B"/>
    <w:rsid w:val="00F90869"/>
    <w:rsid w:val="00F90A9A"/>
    <w:rsid w:val="00F910B1"/>
    <w:rsid w:val="00F917D6"/>
    <w:rsid w:val="00F91993"/>
    <w:rsid w:val="00F91A63"/>
    <w:rsid w:val="00F92506"/>
    <w:rsid w:val="00F92E88"/>
    <w:rsid w:val="00F931CB"/>
    <w:rsid w:val="00F934AA"/>
    <w:rsid w:val="00F936AC"/>
    <w:rsid w:val="00F939B1"/>
    <w:rsid w:val="00F93B52"/>
    <w:rsid w:val="00F93C9A"/>
    <w:rsid w:val="00F943F1"/>
    <w:rsid w:val="00F9447D"/>
    <w:rsid w:val="00F94F22"/>
    <w:rsid w:val="00F9575E"/>
    <w:rsid w:val="00F9597A"/>
    <w:rsid w:val="00F9764D"/>
    <w:rsid w:val="00F979CB"/>
    <w:rsid w:val="00F97EAD"/>
    <w:rsid w:val="00FA007E"/>
    <w:rsid w:val="00FA0D67"/>
    <w:rsid w:val="00FA0DB4"/>
    <w:rsid w:val="00FA131B"/>
    <w:rsid w:val="00FA15E4"/>
    <w:rsid w:val="00FA18B3"/>
    <w:rsid w:val="00FA1BAD"/>
    <w:rsid w:val="00FA1DD7"/>
    <w:rsid w:val="00FA2290"/>
    <w:rsid w:val="00FA2645"/>
    <w:rsid w:val="00FA2AAB"/>
    <w:rsid w:val="00FA2B60"/>
    <w:rsid w:val="00FA2D75"/>
    <w:rsid w:val="00FA39DC"/>
    <w:rsid w:val="00FA39E8"/>
    <w:rsid w:val="00FA3D4B"/>
    <w:rsid w:val="00FA459E"/>
    <w:rsid w:val="00FA4E48"/>
    <w:rsid w:val="00FA5008"/>
    <w:rsid w:val="00FA5267"/>
    <w:rsid w:val="00FA56CA"/>
    <w:rsid w:val="00FA5883"/>
    <w:rsid w:val="00FA5F00"/>
    <w:rsid w:val="00FA6109"/>
    <w:rsid w:val="00FA6920"/>
    <w:rsid w:val="00FA7228"/>
    <w:rsid w:val="00FA7411"/>
    <w:rsid w:val="00FA76FF"/>
    <w:rsid w:val="00FA7857"/>
    <w:rsid w:val="00FA786B"/>
    <w:rsid w:val="00FA797D"/>
    <w:rsid w:val="00FB10D6"/>
    <w:rsid w:val="00FB14FE"/>
    <w:rsid w:val="00FB30AF"/>
    <w:rsid w:val="00FB32F4"/>
    <w:rsid w:val="00FB3603"/>
    <w:rsid w:val="00FB4170"/>
    <w:rsid w:val="00FB4AF2"/>
    <w:rsid w:val="00FB4B5C"/>
    <w:rsid w:val="00FB4BBF"/>
    <w:rsid w:val="00FB4F7D"/>
    <w:rsid w:val="00FB4FCE"/>
    <w:rsid w:val="00FB598D"/>
    <w:rsid w:val="00FB59FB"/>
    <w:rsid w:val="00FB5B15"/>
    <w:rsid w:val="00FB5C78"/>
    <w:rsid w:val="00FB6CDF"/>
    <w:rsid w:val="00FB6FFB"/>
    <w:rsid w:val="00FB7329"/>
    <w:rsid w:val="00FC00CF"/>
    <w:rsid w:val="00FC02DE"/>
    <w:rsid w:val="00FC16CD"/>
    <w:rsid w:val="00FC184F"/>
    <w:rsid w:val="00FC1CBB"/>
    <w:rsid w:val="00FC2EC6"/>
    <w:rsid w:val="00FC305F"/>
    <w:rsid w:val="00FC3499"/>
    <w:rsid w:val="00FC3887"/>
    <w:rsid w:val="00FC3E55"/>
    <w:rsid w:val="00FC3EAF"/>
    <w:rsid w:val="00FC41F1"/>
    <w:rsid w:val="00FC4297"/>
    <w:rsid w:val="00FC4B59"/>
    <w:rsid w:val="00FC4BDF"/>
    <w:rsid w:val="00FC5346"/>
    <w:rsid w:val="00FC60EE"/>
    <w:rsid w:val="00FC6F4D"/>
    <w:rsid w:val="00FC712C"/>
    <w:rsid w:val="00FD0334"/>
    <w:rsid w:val="00FD0A1E"/>
    <w:rsid w:val="00FD0CE8"/>
    <w:rsid w:val="00FD1EB5"/>
    <w:rsid w:val="00FD1FF0"/>
    <w:rsid w:val="00FD33EC"/>
    <w:rsid w:val="00FD351F"/>
    <w:rsid w:val="00FD3DAA"/>
    <w:rsid w:val="00FD40D6"/>
    <w:rsid w:val="00FD4627"/>
    <w:rsid w:val="00FD46EE"/>
    <w:rsid w:val="00FD4959"/>
    <w:rsid w:val="00FD4E95"/>
    <w:rsid w:val="00FD5948"/>
    <w:rsid w:val="00FD59E5"/>
    <w:rsid w:val="00FD5C2A"/>
    <w:rsid w:val="00FD5EFC"/>
    <w:rsid w:val="00FD611B"/>
    <w:rsid w:val="00FD7152"/>
    <w:rsid w:val="00FD719E"/>
    <w:rsid w:val="00FD74A0"/>
    <w:rsid w:val="00FD7BA8"/>
    <w:rsid w:val="00FD7BB5"/>
    <w:rsid w:val="00FE02F7"/>
    <w:rsid w:val="00FE1501"/>
    <w:rsid w:val="00FE1A11"/>
    <w:rsid w:val="00FE26F0"/>
    <w:rsid w:val="00FE2DDB"/>
    <w:rsid w:val="00FE3492"/>
    <w:rsid w:val="00FE34FB"/>
    <w:rsid w:val="00FE41B4"/>
    <w:rsid w:val="00FE449B"/>
    <w:rsid w:val="00FE5379"/>
    <w:rsid w:val="00FE5AD3"/>
    <w:rsid w:val="00FE5B05"/>
    <w:rsid w:val="00FE5B74"/>
    <w:rsid w:val="00FE5F8F"/>
    <w:rsid w:val="00FE6020"/>
    <w:rsid w:val="00FE628A"/>
    <w:rsid w:val="00FF031E"/>
    <w:rsid w:val="00FF0704"/>
    <w:rsid w:val="00FF0796"/>
    <w:rsid w:val="00FF0FF7"/>
    <w:rsid w:val="00FF1325"/>
    <w:rsid w:val="00FF13FF"/>
    <w:rsid w:val="00FF1663"/>
    <w:rsid w:val="00FF3216"/>
    <w:rsid w:val="00FF32DB"/>
    <w:rsid w:val="00FF3C7D"/>
    <w:rsid w:val="00FF44A6"/>
    <w:rsid w:val="00FF4C2E"/>
    <w:rsid w:val="00FF531F"/>
    <w:rsid w:val="00FF5F12"/>
    <w:rsid w:val="00FF6771"/>
    <w:rsid w:val="00FF6901"/>
    <w:rsid w:val="00FF7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header" w:uiPriority="99"/>
    <w:lsdException w:name="index heading" w:locked="1"/>
    <w:lsdException w:name="caption" w:qFormat="1"/>
    <w:lsdException w:name="table of figures" w:locked="1"/>
    <w:lsdException w:name="envelope address" w:locked="1"/>
    <w:lsdException w:name="envelope return" w:locked="1"/>
    <w:lsdException w:name="annotation reference"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3" w:locked="1"/>
    <w:lsdException w:name="Body Text Indent 2" w:locked="1"/>
    <w:lsdException w:name="Body Text Indent 3" w:locked="1"/>
    <w:lsdException w:name="Block Text" w:locked="1"/>
    <w:lsdException w:name="Strong" w:qFormat="1"/>
    <w:lsdException w:name="Emphasis" w:uiPriority="20" w:qFormat="1"/>
    <w:lsdException w:name="Plain Text" w:locked="1"/>
    <w:lsdException w:name="E-mail Signature" w:locked="1"/>
    <w:lsdException w:name="HTML Top of Form" w:locked="1"/>
    <w:lsdException w:name="HTML Bottom of Form" w:locked="1"/>
    <w:lsdException w:name="Normal (Web)"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Sample" w:locked="1"/>
    <w:lsdException w:name="HTML Typewriter" w:locked="1"/>
    <w:lsdException w:name="HTML Variable" w:locked="1"/>
    <w:lsdException w:name="Normal Table"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7FD"/>
    <w:rPr>
      <w:sz w:val="24"/>
      <w:szCs w:val="24"/>
    </w:rPr>
  </w:style>
  <w:style w:type="paragraph" w:styleId="Heading1">
    <w:name w:val="heading 1"/>
    <w:basedOn w:val="Normal"/>
    <w:next w:val="Normal"/>
    <w:link w:val="Heading1Char"/>
    <w:uiPriority w:val="99"/>
    <w:qFormat/>
    <w:rsid w:val="005027FD"/>
    <w:pPr>
      <w:keepNext/>
      <w:jc w:val="center"/>
      <w:outlineLvl w:val="0"/>
    </w:pPr>
    <w:rPr>
      <w:rFonts w:ascii="Courier" w:hAnsi="Courier"/>
      <w:b/>
      <w:szCs w:val="20"/>
    </w:rPr>
  </w:style>
  <w:style w:type="paragraph" w:styleId="Heading2">
    <w:name w:val="heading 2"/>
    <w:basedOn w:val="Normal"/>
    <w:next w:val="Normal"/>
    <w:link w:val="Heading2Char"/>
    <w:qFormat/>
    <w:rsid w:val="005027F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027FD"/>
    <w:pPr>
      <w:keepNext/>
      <w:outlineLvl w:val="2"/>
    </w:pPr>
    <w:rPr>
      <w:rFonts w:ascii="Arial" w:hAnsi="Arial" w:cs="Arial"/>
      <w:b/>
      <w:bCs/>
      <w:u w:val="single"/>
    </w:rPr>
  </w:style>
  <w:style w:type="paragraph" w:styleId="Heading4">
    <w:name w:val="heading 4"/>
    <w:basedOn w:val="Normal"/>
    <w:next w:val="Normal"/>
    <w:link w:val="Heading4Char"/>
    <w:qFormat/>
    <w:rsid w:val="005027FD"/>
    <w:pPr>
      <w:keepNext/>
      <w:jc w:val="center"/>
      <w:outlineLvl w:val="3"/>
    </w:pPr>
    <w:rPr>
      <w:b/>
      <w:szCs w:val="20"/>
    </w:rPr>
  </w:style>
  <w:style w:type="paragraph" w:styleId="Heading5">
    <w:name w:val="heading 5"/>
    <w:basedOn w:val="Normal"/>
    <w:next w:val="Normal"/>
    <w:link w:val="Heading5Char"/>
    <w:qFormat/>
    <w:rsid w:val="005027FD"/>
    <w:pPr>
      <w:keepNext/>
      <w:framePr w:hSpace="180" w:wrap="around" w:vAnchor="text" w:hAnchor="margin" w:x="-45" w:y="-92"/>
      <w:jc w:val="center"/>
      <w:outlineLvl w:val="4"/>
    </w:pPr>
    <w:rPr>
      <w:rFonts w:eastAsia="Arial Unicode MS"/>
      <w:b/>
      <w:bCs/>
      <w:sz w:val="22"/>
    </w:rPr>
  </w:style>
  <w:style w:type="paragraph" w:styleId="Heading6">
    <w:name w:val="heading 6"/>
    <w:basedOn w:val="Normal"/>
    <w:next w:val="Normal"/>
    <w:link w:val="Heading6Char"/>
    <w:qFormat/>
    <w:rsid w:val="005027FD"/>
    <w:pPr>
      <w:keepNext/>
      <w:jc w:val="center"/>
      <w:outlineLvl w:val="5"/>
    </w:pPr>
    <w:rPr>
      <w:rFonts w:eastAsia="Arial Unicode MS"/>
      <w:b/>
      <w:bCs/>
      <w:sz w:val="18"/>
      <w:szCs w:val="16"/>
    </w:rPr>
  </w:style>
  <w:style w:type="paragraph" w:styleId="Heading7">
    <w:name w:val="heading 7"/>
    <w:basedOn w:val="Normal"/>
    <w:next w:val="Normal"/>
    <w:link w:val="Heading7Char"/>
    <w:qFormat/>
    <w:rsid w:val="005027FD"/>
    <w:pPr>
      <w:keepNext/>
      <w:ind w:right="-18"/>
      <w:outlineLvl w:val="6"/>
    </w:pPr>
    <w:rPr>
      <w:b/>
      <w:sz w:val="18"/>
      <w:szCs w:val="20"/>
    </w:rPr>
  </w:style>
  <w:style w:type="paragraph" w:styleId="Heading8">
    <w:name w:val="heading 8"/>
    <w:basedOn w:val="Normal"/>
    <w:next w:val="Normal"/>
    <w:link w:val="Heading8Char"/>
    <w:qFormat/>
    <w:rsid w:val="005027FD"/>
    <w:pPr>
      <w:keepNext/>
      <w:outlineLvl w:val="7"/>
    </w:pPr>
    <w:rPr>
      <w:b/>
      <w:szCs w:val="20"/>
    </w:rPr>
  </w:style>
  <w:style w:type="paragraph" w:styleId="Heading9">
    <w:name w:val="heading 9"/>
    <w:basedOn w:val="Normal"/>
    <w:next w:val="Normal"/>
    <w:link w:val="Heading9Char"/>
    <w:qFormat/>
    <w:rsid w:val="005027FD"/>
    <w:pPr>
      <w:keepNext/>
      <w:ind w:left="-20"/>
      <w:jc w:val="right"/>
      <w:outlineLvl w:val="8"/>
    </w:pPr>
    <w:rPr>
      <w:b/>
      <w:bCs/>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027FD"/>
    <w:rPr>
      <w:rFonts w:ascii="Tahoma" w:hAnsi="Tahoma" w:cs="Tahoma"/>
      <w:sz w:val="16"/>
      <w:szCs w:val="16"/>
    </w:rPr>
  </w:style>
  <w:style w:type="character" w:customStyle="1" w:styleId="Heading1Char">
    <w:name w:val="Heading 1 Char"/>
    <w:basedOn w:val="DefaultParagraphFont"/>
    <w:link w:val="Heading1"/>
    <w:uiPriority w:val="99"/>
    <w:locked/>
    <w:rsid w:val="00AD7214"/>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AD7214"/>
    <w:rPr>
      <w:rFonts w:ascii="Cambria" w:hAnsi="Cambria" w:cs="Times New Roman"/>
      <w:b/>
      <w:bCs/>
      <w:i/>
      <w:iCs/>
      <w:sz w:val="28"/>
      <w:szCs w:val="28"/>
    </w:rPr>
  </w:style>
  <w:style w:type="character" w:customStyle="1" w:styleId="Heading3Char">
    <w:name w:val="Heading 3 Char"/>
    <w:basedOn w:val="DefaultParagraphFont"/>
    <w:link w:val="Heading3"/>
    <w:locked/>
    <w:rsid w:val="00AD7214"/>
    <w:rPr>
      <w:rFonts w:ascii="Cambria" w:hAnsi="Cambria" w:cs="Times New Roman"/>
      <w:b/>
      <w:bCs/>
      <w:sz w:val="26"/>
      <w:szCs w:val="26"/>
    </w:rPr>
  </w:style>
  <w:style w:type="character" w:customStyle="1" w:styleId="Heading4Char">
    <w:name w:val="Heading 4 Char"/>
    <w:basedOn w:val="DefaultParagraphFont"/>
    <w:link w:val="Heading4"/>
    <w:semiHidden/>
    <w:locked/>
    <w:rsid w:val="00AD7214"/>
    <w:rPr>
      <w:rFonts w:ascii="Calibri" w:hAnsi="Calibri" w:cs="Times New Roman"/>
      <w:b/>
      <w:bCs/>
      <w:sz w:val="28"/>
      <w:szCs w:val="28"/>
    </w:rPr>
  </w:style>
  <w:style w:type="character" w:customStyle="1" w:styleId="Heading5Char">
    <w:name w:val="Heading 5 Char"/>
    <w:basedOn w:val="DefaultParagraphFont"/>
    <w:link w:val="Heading5"/>
    <w:semiHidden/>
    <w:locked/>
    <w:rsid w:val="00AD7214"/>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AD7214"/>
    <w:rPr>
      <w:rFonts w:ascii="Calibri" w:hAnsi="Calibri" w:cs="Times New Roman"/>
      <w:b/>
      <w:bCs/>
    </w:rPr>
  </w:style>
  <w:style w:type="character" w:customStyle="1" w:styleId="Heading7Char">
    <w:name w:val="Heading 7 Char"/>
    <w:basedOn w:val="DefaultParagraphFont"/>
    <w:link w:val="Heading7"/>
    <w:locked/>
    <w:rsid w:val="00AD7214"/>
    <w:rPr>
      <w:rFonts w:ascii="Calibri" w:hAnsi="Calibri" w:cs="Times New Roman"/>
      <w:sz w:val="24"/>
      <w:szCs w:val="24"/>
    </w:rPr>
  </w:style>
  <w:style w:type="character" w:customStyle="1" w:styleId="Heading8Char">
    <w:name w:val="Heading 8 Char"/>
    <w:basedOn w:val="DefaultParagraphFont"/>
    <w:link w:val="Heading8"/>
    <w:semiHidden/>
    <w:locked/>
    <w:rsid w:val="00AD7214"/>
    <w:rPr>
      <w:rFonts w:ascii="Calibri" w:hAnsi="Calibri" w:cs="Times New Roman"/>
      <w:i/>
      <w:iCs/>
      <w:sz w:val="24"/>
      <w:szCs w:val="24"/>
    </w:rPr>
  </w:style>
  <w:style w:type="character" w:customStyle="1" w:styleId="Heading9Char">
    <w:name w:val="Heading 9 Char"/>
    <w:basedOn w:val="DefaultParagraphFont"/>
    <w:link w:val="Heading9"/>
    <w:semiHidden/>
    <w:locked/>
    <w:rsid w:val="00AD7214"/>
    <w:rPr>
      <w:rFonts w:ascii="Cambria" w:hAnsi="Cambria" w:cs="Times New Roman"/>
    </w:rPr>
  </w:style>
  <w:style w:type="paragraph" w:customStyle="1" w:styleId="xl19">
    <w:name w:val="xl19"/>
    <w:basedOn w:val="Normal"/>
    <w:rsid w:val="005027FD"/>
  </w:style>
  <w:style w:type="paragraph" w:customStyle="1" w:styleId="xl27">
    <w:name w:val="xl27"/>
    <w:basedOn w:val="Normal"/>
    <w:rsid w:val="005027FD"/>
    <w:pPr>
      <w:spacing w:before="100" w:after="100"/>
    </w:pPr>
    <w:rPr>
      <w:rFonts w:ascii="Arial" w:eastAsia="Arial Unicode MS" w:hAnsi="Arial"/>
      <w:b/>
      <w:szCs w:val="20"/>
    </w:rPr>
  </w:style>
  <w:style w:type="paragraph" w:customStyle="1" w:styleId="xl33">
    <w:name w:val="xl33"/>
    <w:basedOn w:val="Normal"/>
    <w:rsid w:val="005027FD"/>
    <w:pPr>
      <w:spacing w:before="100" w:after="100"/>
      <w:jc w:val="center"/>
    </w:pPr>
    <w:rPr>
      <w:rFonts w:ascii="Arial" w:eastAsia="Arial Unicode MS" w:hAnsi="Arial"/>
      <w:b/>
      <w:szCs w:val="20"/>
    </w:rPr>
  </w:style>
  <w:style w:type="paragraph" w:styleId="BodyText">
    <w:name w:val="Body Text"/>
    <w:aliases w:val="Hanging,body text,bt,heading3,NCDOT Body Text,1body,BodText,Body Txt,FL IND"/>
    <w:basedOn w:val="Normal"/>
    <w:link w:val="BodyTextChar"/>
    <w:rsid w:val="005027FD"/>
    <w:rPr>
      <w:szCs w:val="20"/>
    </w:rPr>
  </w:style>
  <w:style w:type="character" w:customStyle="1" w:styleId="BodyTextChar">
    <w:name w:val="Body Text Char"/>
    <w:aliases w:val="Hanging Char,body text Char,bt Char,heading3 Char,NCDOT Body Text Char,1body Char,BodText Char,Body Txt Char,FL IND Char"/>
    <w:basedOn w:val="DefaultParagraphFont"/>
    <w:link w:val="BodyText"/>
    <w:locked/>
    <w:rsid w:val="00AD7214"/>
    <w:rPr>
      <w:rFonts w:cs="Times New Roman"/>
      <w:sz w:val="24"/>
      <w:szCs w:val="24"/>
    </w:rPr>
  </w:style>
  <w:style w:type="paragraph" w:styleId="BodyTextIndent">
    <w:name w:val="Body Text Indent"/>
    <w:basedOn w:val="Normal"/>
    <w:link w:val="BodyTextIndentChar"/>
    <w:rsid w:val="005027FD"/>
    <w:pPr>
      <w:tabs>
        <w:tab w:val="left" w:leader="dot" w:pos="7920"/>
        <w:tab w:val="right" w:pos="8640"/>
      </w:tabs>
      <w:ind w:left="720"/>
    </w:pPr>
    <w:rPr>
      <w:bCs/>
      <w:i/>
      <w:iCs/>
    </w:rPr>
  </w:style>
  <w:style w:type="character" w:customStyle="1" w:styleId="BodyTextIndentChar">
    <w:name w:val="Body Text Indent Char"/>
    <w:basedOn w:val="DefaultParagraphFont"/>
    <w:link w:val="BodyTextIndent"/>
    <w:semiHidden/>
    <w:locked/>
    <w:rsid w:val="00AD7214"/>
    <w:rPr>
      <w:rFonts w:cs="Times New Roman"/>
      <w:sz w:val="24"/>
      <w:szCs w:val="24"/>
    </w:rPr>
  </w:style>
  <w:style w:type="paragraph" w:styleId="List">
    <w:name w:val="List"/>
    <w:basedOn w:val="BodyText"/>
    <w:rsid w:val="005027FD"/>
    <w:pPr>
      <w:tabs>
        <w:tab w:val="left" w:pos="720"/>
      </w:tabs>
      <w:spacing w:after="80" w:line="240" w:lineRule="atLeast"/>
      <w:ind w:left="720" w:hanging="360"/>
    </w:pPr>
    <w:rPr>
      <w:rFonts w:ascii="Garamond" w:hAnsi="Garamond"/>
      <w:spacing w:val="-5"/>
    </w:rPr>
  </w:style>
  <w:style w:type="paragraph" w:styleId="BodyText2">
    <w:name w:val="Body Text 2"/>
    <w:basedOn w:val="Normal"/>
    <w:link w:val="BodyText2Char"/>
    <w:rsid w:val="005027FD"/>
    <w:rPr>
      <w:rFonts w:ascii="Arial" w:hAnsi="Arial" w:cs="Arial"/>
      <w:color w:val="FF00FF"/>
    </w:rPr>
  </w:style>
  <w:style w:type="character" w:customStyle="1" w:styleId="BodyText2Char">
    <w:name w:val="Body Text 2 Char"/>
    <w:basedOn w:val="DefaultParagraphFont"/>
    <w:link w:val="BodyText2"/>
    <w:locked/>
    <w:rsid w:val="00AD7214"/>
    <w:rPr>
      <w:rFonts w:cs="Times New Roman"/>
      <w:sz w:val="24"/>
      <w:szCs w:val="24"/>
    </w:rPr>
  </w:style>
  <w:style w:type="paragraph" w:styleId="List2">
    <w:name w:val="List 2"/>
    <w:basedOn w:val="Normal"/>
    <w:rsid w:val="005027FD"/>
    <w:pPr>
      <w:widowControl w:val="0"/>
      <w:ind w:left="720" w:hanging="360"/>
    </w:pPr>
    <w:rPr>
      <w:szCs w:val="20"/>
    </w:rPr>
  </w:style>
  <w:style w:type="paragraph" w:styleId="BodyTextIndent2">
    <w:name w:val="Body Text Indent 2"/>
    <w:basedOn w:val="Normal"/>
    <w:link w:val="BodyTextIndent2Char"/>
    <w:rsid w:val="005027FD"/>
    <w:pPr>
      <w:ind w:left="1260"/>
    </w:pPr>
    <w:rPr>
      <w:b/>
      <w:bCs/>
      <w:i/>
      <w:iCs/>
    </w:rPr>
  </w:style>
  <w:style w:type="character" w:customStyle="1" w:styleId="BodyTextIndent2Char">
    <w:name w:val="Body Text Indent 2 Char"/>
    <w:basedOn w:val="DefaultParagraphFont"/>
    <w:link w:val="BodyTextIndent2"/>
    <w:semiHidden/>
    <w:locked/>
    <w:rsid w:val="00AD7214"/>
    <w:rPr>
      <w:rFonts w:cs="Times New Roman"/>
      <w:sz w:val="24"/>
      <w:szCs w:val="24"/>
    </w:rPr>
  </w:style>
  <w:style w:type="paragraph" w:styleId="Header">
    <w:name w:val="header"/>
    <w:basedOn w:val="Normal"/>
    <w:link w:val="HeaderChar"/>
    <w:uiPriority w:val="99"/>
    <w:rsid w:val="005027FD"/>
    <w:pPr>
      <w:tabs>
        <w:tab w:val="center" w:pos="4320"/>
        <w:tab w:val="right" w:pos="8640"/>
      </w:tabs>
    </w:pPr>
  </w:style>
  <w:style w:type="character" w:customStyle="1" w:styleId="HeaderChar">
    <w:name w:val="Header Char"/>
    <w:basedOn w:val="DefaultParagraphFont"/>
    <w:link w:val="Header"/>
    <w:uiPriority w:val="99"/>
    <w:locked/>
    <w:rsid w:val="00AD7214"/>
    <w:rPr>
      <w:rFonts w:cs="Times New Roman"/>
      <w:sz w:val="24"/>
      <w:szCs w:val="24"/>
    </w:rPr>
  </w:style>
  <w:style w:type="character" w:styleId="FootnoteReference">
    <w:name w:val="footnote reference"/>
    <w:basedOn w:val="DefaultParagraphFont"/>
    <w:semiHidden/>
    <w:rsid w:val="005027FD"/>
    <w:rPr>
      <w:rFonts w:cs="Times New Roman"/>
      <w:vertAlign w:val="superscript"/>
    </w:rPr>
  </w:style>
  <w:style w:type="paragraph" w:styleId="FootnoteText">
    <w:name w:val="footnote text"/>
    <w:basedOn w:val="Normal"/>
    <w:link w:val="FootnoteTextChar"/>
    <w:semiHidden/>
    <w:rsid w:val="005027FD"/>
    <w:rPr>
      <w:rFonts w:ascii="CG Times (W1)" w:hAnsi="CG Times (W1)"/>
      <w:sz w:val="20"/>
      <w:szCs w:val="20"/>
    </w:rPr>
  </w:style>
  <w:style w:type="character" w:customStyle="1" w:styleId="FootnoteTextChar">
    <w:name w:val="Footnote Text Char"/>
    <w:basedOn w:val="DefaultParagraphFont"/>
    <w:link w:val="FootnoteText"/>
    <w:semiHidden/>
    <w:locked/>
    <w:rsid w:val="00AD7214"/>
    <w:rPr>
      <w:rFonts w:cs="Times New Roman"/>
      <w:sz w:val="20"/>
      <w:szCs w:val="20"/>
    </w:rPr>
  </w:style>
  <w:style w:type="paragraph" w:styleId="Footer">
    <w:name w:val="footer"/>
    <w:basedOn w:val="Normal"/>
    <w:link w:val="FooterChar"/>
    <w:rsid w:val="005027FD"/>
    <w:pPr>
      <w:tabs>
        <w:tab w:val="center" w:pos="4320"/>
        <w:tab w:val="right" w:pos="8640"/>
      </w:tabs>
    </w:pPr>
  </w:style>
  <w:style w:type="character" w:customStyle="1" w:styleId="FooterChar">
    <w:name w:val="Footer Char"/>
    <w:basedOn w:val="DefaultParagraphFont"/>
    <w:link w:val="Footer"/>
    <w:locked/>
    <w:rsid w:val="00AD7214"/>
    <w:rPr>
      <w:rFonts w:cs="Times New Roman"/>
      <w:sz w:val="24"/>
      <w:szCs w:val="24"/>
    </w:rPr>
  </w:style>
  <w:style w:type="character" w:styleId="PageNumber">
    <w:name w:val="page number"/>
    <w:basedOn w:val="DefaultParagraphFont"/>
    <w:rsid w:val="005027FD"/>
    <w:rPr>
      <w:rFonts w:cs="Times New Roman"/>
    </w:rPr>
  </w:style>
  <w:style w:type="character" w:customStyle="1" w:styleId="BalloonTextChar">
    <w:name w:val="Balloon Text Char"/>
    <w:basedOn w:val="DefaultParagraphFont"/>
    <w:link w:val="BalloonText"/>
    <w:semiHidden/>
    <w:locked/>
    <w:rsid w:val="00AD7214"/>
    <w:rPr>
      <w:rFonts w:cs="Times New Roman"/>
      <w:sz w:val="2"/>
    </w:rPr>
  </w:style>
  <w:style w:type="character" w:styleId="CommentReference">
    <w:name w:val="annotation reference"/>
    <w:basedOn w:val="DefaultParagraphFont"/>
    <w:uiPriority w:val="99"/>
    <w:rsid w:val="005027FD"/>
    <w:rPr>
      <w:rFonts w:cs="Times New Roman"/>
      <w:sz w:val="16"/>
      <w:szCs w:val="16"/>
    </w:rPr>
  </w:style>
  <w:style w:type="paragraph" w:styleId="CommentText">
    <w:name w:val="annotation text"/>
    <w:basedOn w:val="Normal"/>
    <w:link w:val="CommentTextChar"/>
    <w:rsid w:val="005027FD"/>
    <w:rPr>
      <w:sz w:val="20"/>
      <w:szCs w:val="20"/>
    </w:rPr>
  </w:style>
  <w:style w:type="character" w:customStyle="1" w:styleId="CommentTextChar">
    <w:name w:val="Comment Text Char"/>
    <w:basedOn w:val="DefaultParagraphFont"/>
    <w:link w:val="CommentText"/>
    <w:semiHidden/>
    <w:locked/>
    <w:rsid w:val="00AD7214"/>
    <w:rPr>
      <w:rFonts w:cs="Times New Roman"/>
      <w:sz w:val="20"/>
      <w:szCs w:val="20"/>
    </w:rPr>
  </w:style>
  <w:style w:type="paragraph" w:styleId="CommentSubject">
    <w:name w:val="annotation subject"/>
    <w:basedOn w:val="CommentText"/>
    <w:next w:val="CommentText"/>
    <w:link w:val="CommentSubjectChar"/>
    <w:semiHidden/>
    <w:rsid w:val="005027FD"/>
    <w:rPr>
      <w:b/>
      <w:bCs/>
    </w:rPr>
  </w:style>
  <w:style w:type="character" w:customStyle="1" w:styleId="CommentSubjectChar">
    <w:name w:val="Comment Subject Char"/>
    <w:basedOn w:val="CommentTextChar"/>
    <w:link w:val="CommentSubject"/>
    <w:semiHidden/>
    <w:locked/>
    <w:rsid w:val="00AD7214"/>
    <w:rPr>
      <w:b/>
      <w:bCs/>
    </w:rPr>
  </w:style>
  <w:style w:type="paragraph" w:customStyle="1" w:styleId="BodyTextKeep">
    <w:name w:val="Body Text Keep"/>
    <w:basedOn w:val="BodyText"/>
    <w:rsid w:val="005027FD"/>
    <w:pPr>
      <w:keepNext/>
      <w:spacing w:after="160"/>
    </w:pPr>
    <w:rPr>
      <w:sz w:val="20"/>
    </w:rPr>
  </w:style>
  <w:style w:type="character" w:customStyle="1" w:styleId="arial91">
    <w:name w:val="arial91"/>
    <w:basedOn w:val="DefaultParagraphFont"/>
    <w:rsid w:val="005027FD"/>
    <w:rPr>
      <w:rFonts w:ascii="Arial" w:hAnsi="Arial" w:cs="Arial"/>
      <w:sz w:val="18"/>
      <w:szCs w:val="18"/>
    </w:rPr>
  </w:style>
  <w:style w:type="character" w:customStyle="1" w:styleId="EmailStyle541">
    <w:name w:val="EmailStyle54"/>
    <w:aliases w:val="EmailStyle54"/>
    <w:basedOn w:val="DefaultParagraphFont"/>
    <w:personal/>
    <w:rsid w:val="005027FD"/>
    <w:rPr>
      <w:rFonts w:ascii="Arial" w:hAnsi="Arial" w:cs="Arial"/>
      <w:color w:val="000000"/>
      <w:sz w:val="20"/>
      <w:szCs w:val="20"/>
    </w:rPr>
  </w:style>
  <w:style w:type="paragraph" w:customStyle="1" w:styleId="xl24">
    <w:name w:val="xl24"/>
    <w:basedOn w:val="Normal"/>
    <w:rsid w:val="005027FD"/>
    <w:pPr>
      <w:shd w:val="clear" w:color="auto" w:fill="FFFFFF"/>
      <w:spacing w:before="100" w:beforeAutospacing="1" w:after="100" w:afterAutospacing="1"/>
      <w:textAlignment w:val="center"/>
    </w:pPr>
    <w:rPr>
      <w:rFonts w:eastAsia="Arial Unicode MS"/>
    </w:rPr>
  </w:style>
  <w:style w:type="paragraph" w:customStyle="1" w:styleId="xl25">
    <w:name w:val="xl25"/>
    <w:basedOn w:val="Normal"/>
    <w:rsid w:val="005027FD"/>
    <w:pPr>
      <w:shd w:val="clear" w:color="auto" w:fill="FFFFFF"/>
      <w:spacing w:before="100" w:beforeAutospacing="1" w:after="100" w:afterAutospacing="1"/>
    </w:pPr>
    <w:rPr>
      <w:rFonts w:eastAsia="Arial Unicode MS"/>
    </w:rPr>
  </w:style>
  <w:style w:type="paragraph" w:customStyle="1" w:styleId="xl26">
    <w:name w:val="xl26"/>
    <w:basedOn w:val="Normal"/>
    <w:rsid w:val="005027FD"/>
    <w:pPr>
      <w:shd w:val="clear" w:color="auto" w:fill="FFFFFF"/>
      <w:spacing w:before="100" w:beforeAutospacing="1" w:after="100" w:afterAutospacing="1"/>
      <w:textAlignment w:val="center"/>
    </w:pPr>
    <w:rPr>
      <w:rFonts w:eastAsia="Arial Unicode MS"/>
    </w:rPr>
  </w:style>
  <w:style w:type="paragraph" w:customStyle="1" w:styleId="xl28">
    <w:name w:val="xl28"/>
    <w:basedOn w:val="Normal"/>
    <w:rsid w:val="005027FD"/>
    <w:pPr>
      <w:shd w:val="clear" w:color="auto" w:fill="FFFFFF"/>
      <w:spacing w:before="100" w:beforeAutospacing="1" w:after="100" w:afterAutospacing="1"/>
      <w:textAlignment w:val="center"/>
    </w:pPr>
    <w:rPr>
      <w:rFonts w:eastAsia="Arial Unicode MS"/>
    </w:rPr>
  </w:style>
  <w:style w:type="paragraph" w:customStyle="1" w:styleId="xl29">
    <w:name w:val="xl29"/>
    <w:basedOn w:val="Normal"/>
    <w:rsid w:val="005027FD"/>
    <w:pPr>
      <w:shd w:val="clear" w:color="auto" w:fill="FFFFFF"/>
      <w:spacing w:before="100" w:beforeAutospacing="1" w:after="100" w:afterAutospacing="1"/>
      <w:jc w:val="right"/>
      <w:textAlignment w:val="center"/>
    </w:pPr>
    <w:rPr>
      <w:rFonts w:eastAsia="Arial Unicode MS"/>
    </w:rPr>
  </w:style>
  <w:style w:type="paragraph" w:customStyle="1" w:styleId="xl30">
    <w:name w:val="xl30"/>
    <w:basedOn w:val="Normal"/>
    <w:rsid w:val="005027FD"/>
    <w:pPr>
      <w:shd w:val="clear" w:color="auto" w:fill="FFFFFF"/>
      <w:spacing w:before="100" w:beforeAutospacing="1" w:after="100" w:afterAutospacing="1"/>
    </w:pPr>
    <w:rPr>
      <w:rFonts w:eastAsia="Arial Unicode MS"/>
    </w:rPr>
  </w:style>
  <w:style w:type="paragraph" w:customStyle="1" w:styleId="xl31">
    <w:name w:val="xl31"/>
    <w:basedOn w:val="Normal"/>
    <w:rsid w:val="005027FD"/>
    <w:pPr>
      <w:shd w:val="clear" w:color="auto" w:fill="FFFFFF"/>
      <w:spacing w:before="100" w:beforeAutospacing="1" w:after="100" w:afterAutospacing="1"/>
      <w:jc w:val="center"/>
      <w:textAlignment w:val="center"/>
    </w:pPr>
    <w:rPr>
      <w:rFonts w:eastAsia="Arial Unicode MS"/>
    </w:rPr>
  </w:style>
  <w:style w:type="paragraph" w:customStyle="1" w:styleId="xl32">
    <w:name w:val="xl32"/>
    <w:basedOn w:val="Normal"/>
    <w:rsid w:val="005027FD"/>
    <w:pPr>
      <w:shd w:val="clear" w:color="auto" w:fill="FFFFFF"/>
      <w:spacing w:before="100" w:beforeAutospacing="1" w:after="100" w:afterAutospacing="1"/>
    </w:pPr>
    <w:rPr>
      <w:rFonts w:eastAsia="Arial Unicode MS"/>
    </w:rPr>
  </w:style>
  <w:style w:type="paragraph" w:customStyle="1" w:styleId="xl34">
    <w:name w:val="xl34"/>
    <w:basedOn w:val="Normal"/>
    <w:rsid w:val="005027FD"/>
    <w:pPr>
      <w:shd w:val="clear" w:color="auto" w:fill="FFFFFF"/>
      <w:spacing w:before="100" w:beforeAutospacing="1" w:after="100" w:afterAutospacing="1"/>
      <w:jc w:val="right"/>
    </w:pPr>
    <w:rPr>
      <w:rFonts w:eastAsia="Arial Unicode MS"/>
    </w:rPr>
  </w:style>
  <w:style w:type="paragraph" w:customStyle="1" w:styleId="xl35">
    <w:name w:val="xl35"/>
    <w:basedOn w:val="Normal"/>
    <w:rsid w:val="005027FD"/>
    <w:pPr>
      <w:shd w:val="clear" w:color="auto" w:fill="FFFFFF"/>
      <w:spacing w:before="100" w:beforeAutospacing="1" w:after="100" w:afterAutospacing="1"/>
    </w:pPr>
    <w:rPr>
      <w:rFonts w:eastAsia="Arial Unicode MS"/>
      <w:b/>
      <w:bCs/>
    </w:rPr>
  </w:style>
  <w:style w:type="paragraph" w:customStyle="1" w:styleId="xl36">
    <w:name w:val="xl36"/>
    <w:basedOn w:val="Normal"/>
    <w:rsid w:val="005027FD"/>
    <w:pPr>
      <w:shd w:val="clear" w:color="auto" w:fill="FFFFFF"/>
      <w:spacing w:before="100" w:beforeAutospacing="1" w:after="100" w:afterAutospacing="1"/>
      <w:textAlignment w:val="center"/>
    </w:pPr>
    <w:rPr>
      <w:rFonts w:eastAsia="Arial Unicode MS"/>
    </w:rPr>
  </w:style>
  <w:style w:type="paragraph" w:customStyle="1" w:styleId="font6">
    <w:name w:val="font6"/>
    <w:basedOn w:val="Normal"/>
    <w:rsid w:val="005027FD"/>
    <w:pPr>
      <w:spacing w:before="100" w:beforeAutospacing="1" w:after="100" w:afterAutospacing="1"/>
    </w:pPr>
    <w:rPr>
      <w:rFonts w:ascii="Arial" w:eastAsia="Arial Unicode MS" w:hAnsi="Arial" w:cs="Arial"/>
      <w:sz w:val="16"/>
      <w:szCs w:val="16"/>
    </w:rPr>
  </w:style>
  <w:style w:type="paragraph" w:styleId="BodyText3">
    <w:name w:val="Body Text 3"/>
    <w:basedOn w:val="Normal"/>
    <w:link w:val="BodyText3Char"/>
    <w:rsid w:val="005027FD"/>
    <w:rPr>
      <w:color w:val="000000"/>
      <w:szCs w:val="20"/>
    </w:rPr>
  </w:style>
  <w:style w:type="character" w:customStyle="1" w:styleId="BodyText3Char">
    <w:name w:val="Body Text 3 Char"/>
    <w:basedOn w:val="DefaultParagraphFont"/>
    <w:link w:val="BodyText3"/>
    <w:semiHidden/>
    <w:locked/>
    <w:rsid w:val="00AD7214"/>
    <w:rPr>
      <w:rFonts w:cs="Times New Roman"/>
      <w:sz w:val="16"/>
      <w:szCs w:val="16"/>
    </w:rPr>
  </w:style>
  <w:style w:type="paragraph" w:styleId="PlainText">
    <w:name w:val="Plain Text"/>
    <w:basedOn w:val="Normal"/>
    <w:link w:val="PlainTextChar"/>
    <w:rsid w:val="005027FD"/>
    <w:rPr>
      <w:rFonts w:ascii="Courier New" w:hAnsi="Courier New"/>
      <w:sz w:val="20"/>
      <w:szCs w:val="20"/>
    </w:rPr>
  </w:style>
  <w:style w:type="character" w:customStyle="1" w:styleId="PlainTextChar">
    <w:name w:val="Plain Text Char"/>
    <w:basedOn w:val="DefaultParagraphFont"/>
    <w:link w:val="PlainText"/>
    <w:locked/>
    <w:rsid w:val="00AD7214"/>
    <w:rPr>
      <w:rFonts w:ascii="Courier New" w:hAnsi="Courier New" w:cs="Courier New"/>
      <w:sz w:val="20"/>
      <w:szCs w:val="20"/>
    </w:rPr>
  </w:style>
  <w:style w:type="paragraph" w:styleId="BodyTextIndent3">
    <w:name w:val="Body Text Indent 3"/>
    <w:basedOn w:val="Normal"/>
    <w:link w:val="BodyTextIndent3Char"/>
    <w:rsid w:val="005027FD"/>
    <w:pPr>
      <w:ind w:left="4320"/>
    </w:pPr>
    <w:rPr>
      <w:rFonts w:ascii="Arial" w:hAnsi="Arial" w:cs="Arial"/>
    </w:rPr>
  </w:style>
  <w:style w:type="character" w:customStyle="1" w:styleId="BodyTextIndent3Char">
    <w:name w:val="Body Text Indent 3 Char"/>
    <w:basedOn w:val="DefaultParagraphFont"/>
    <w:link w:val="BodyTextIndent3"/>
    <w:semiHidden/>
    <w:locked/>
    <w:rsid w:val="00AD7214"/>
    <w:rPr>
      <w:rFonts w:cs="Times New Roman"/>
      <w:sz w:val="16"/>
      <w:szCs w:val="16"/>
    </w:rPr>
  </w:style>
  <w:style w:type="paragraph" w:styleId="NormalWeb">
    <w:name w:val="Normal (Web)"/>
    <w:basedOn w:val="Normal"/>
    <w:link w:val="NormalWebChar"/>
    <w:uiPriority w:val="99"/>
    <w:rsid w:val="005027FD"/>
    <w:pPr>
      <w:spacing w:before="100" w:after="100"/>
    </w:pPr>
    <w:rPr>
      <w:rFonts w:ascii="Arial Unicode MS" w:eastAsia="Arial Unicode MS" w:hAnsi="Arial Unicode MS"/>
      <w:szCs w:val="20"/>
    </w:rPr>
  </w:style>
  <w:style w:type="character" w:customStyle="1" w:styleId="NormalWebChar">
    <w:name w:val="Normal (Web) Char"/>
    <w:basedOn w:val="DefaultParagraphFont"/>
    <w:link w:val="NormalWeb"/>
    <w:uiPriority w:val="99"/>
    <w:locked/>
    <w:rsid w:val="005027FD"/>
    <w:rPr>
      <w:rFonts w:ascii="Arial Unicode MS" w:eastAsia="Arial Unicode MS" w:hAnsi="Arial Unicode MS" w:cs="Times New Roman"/>
      <w:sz w:val="24"/>
      <w:lang w:val="en-US" w:eastAsia="en-US" w:bidi="ar-SA"/>
    </w:rPr>
  </w:style>
  <w:style w:type="paragraph" w:customStyle="1" w:styleId="font5">
    <w:name w:val="font5"/>
    <w:basedOn w:val="Normal"/>
    <w:rsid w:val="005027FD"/>
    <w:pPr>
      <w:spacing w:before="100" w:beforeAutospacing="1" w:after="100" w:afterAutospacing="1"/>
    </w:pPr>
    <w:rPr>
      <w:rFonts w:ascii="Arial" w:eastAsia="Arial Unicode MS" w:hAnsi="Arial" w:cs="Arial"/>
      <w:b/>
      <w:bCs/>
      <w:sz w:val="20"/>
      <w:szCs w:val="20"/>
    </w:rPr>
  </w:style>
  <w:style w:type="paragraph" w:customStyle="1" w:styleId="font7">
    <w:name w:val="font7"/>
    <w:basedOn w:val="Normal"/>
    <w:rsid w:val="005027FD"/>
    <w:pPr>
      <w:spacing w:before="100" w:beforeAutospacing="1" w:after="100" w:afterAutospacing="1"/>
    </w:pPr>
    <w:rPr>
      <w:rFonts w:ascii="Arial" w:eastAsia="Arial Unicode MS" w:hAnsi="Arial" w:cs="Arial"/>
      <w:sz w:val="16"/>
      <w:szCs w:val="16"/>
    </w:rPr>
  </w:style>
  <w:style w:type="paragraph" w:customStyle="1" w:styleId="xl37">
    <w:name w:val="xl37"/>
    <w:basedOn w:val="Normal"/>
    <w:rsid w:val="005027F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5027FD"/>
    <w:pPr>
      <w:pBdr>
        <w:top w:val="single" w:sz="8" w:space="0" w:color="auto"/>
        <w:left w:val="single" w:sz="4" w:space="0" w:color="auto"/>
        <w:right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39">
    <w:name w:val="xl39"/>
    <w:basedOn w:val="Normal"/>
    <w:rsid w:val="005027FD"/>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w:eastAsia="Arial Unicode MS" w:hAnsi="Arial" w:cs="Arial"/>
      <w:b/>
      <w:bCs/>
    </w:rPr>
  </w:style>
  <w:style w:type="paragraph" w:customStyle="1" w:styleId="xl40">
    <w:name w:val="xl40"/>
    <w:basedOn w:val="Normal"/>
    <w:rsid w:val="005027F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5027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5027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5027F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5027FD"/>
    <w:pPr>
      <w:pBdr>
        <w:top w:val="single" w:sz="4" w:space="0" w:color="auto"/>
        <w:left w:val="single" w:sz="8" w:space="0" w:color="auto"/>
        <w:bottom w:val="double" w:sz="6" w:space="0" w:color="auto"/>
        <w:right w:val="single" w:sz="8" w:space="0" w:color="auto"/>
      </w:pBdr>
      <w:shd w:val="clear" w:color="auto" w:fill="FFFFFF"/>
      <w:spacing w:before="100" w:beforeAutospacing="1" w:after="100" w:afterAutospacing="1"/>
    </w:pPr>
    <w:rPr>
      <w:rFonts w:ascii="Arial" w:eastAsia="Arial Unicode MS" w:hAnsi="Arial" w:cs="Arial"/>
      <w:b/>
      <w:bCs/>
    </w:rPr>
  </w:style>
  <w:style w:type="paragraph" w:customStyle="1" w:styleId="xl45">
    <w:name w:val="xl45"/>
    <w:basedOn w:val="Normal"/>
    <w:rsid w:val="005027FD"/>
    <w:pPr>
      <w:pBdr>
        <w:top w:val="single" w:sz="4" w:space="0" w:color="auto"/>
        <w:left w:val="single" w:sz="8" w:space="0" w:color="auto"/>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5027FD"/>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7">
    <w:name w:val="xl47"/>
    <w:basedOn w:val="Normal"/>
    <w:rsid w:val="005027FD"/>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8">
    <w:name w:val="xl48"/>
    <w:basedOn w:val="Normal"/>
    <w:rsid w:val="005027FD"/>
    <w:pPr>
      <w:pBdr>
        <w:top w:val="single" w:sz="4" w:space="0" w:color="auto"/>
        <w:left w:val="single" w:sz="4" w:space="0" w:color="auto"/>
        <w:bottom w:val="double" w:sz="6" w:space="0" w:color="auto"/>
        <w:right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49">
    <w:name w:val="xl49"/>
    <w:basedOn w:val="Normal"/>
    <w:rsid w:val="005027FD"/>
    <w:pPr>
      <w:pBdr>
        <w:left w:val="single" w:sz="8" w:space="0" w:color="auto"/>
        <w:bottom w:val="single" w:sz="8" w:space="0" w:color="auto"/>
        <w:right w:val="single" w:sz="8"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5027FD"/>
    <w:pPr>
      <w:spacing w:before="100" w:beforeAutospacing="1" w:after="100" w:afterAutospacing="1"/>
    </w:pPr>
    <w:rPr>
      <w:rFonts w:ascii="Arial" w:eastAsia="Arial Unicode MS" w:hAnsi="Arial" w:cs="Arial"/>
    </w:rPr>
  </w:style>
  <w:style w:type="paragraph" w:customStyle="1" w:styleId="xl52">
    <w:name w:val="xl52"/>
    <w:basedOn w:val="Normal"/>
    <w:rsid w:val="005027FD"/>
    <w:pPr>
      <w:pBdr>
        <w:left w:val="single" w:sz="8"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3">
    <w:name w:val="xl53"/>
    <w:basedOn w:val="Normal"/>
    <w:rsid w:val="005027FD"/>
    <w:pPr>
      <w:pBdr>
        <w:left w:val="single" w:sz="4"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4">
    <w:name w:val="xl54"/>
    <w:basedOn w:val="Normal"/>
    <w:rsid w:val="005027FD"/>
    <w:pPr>
      <w:pBdr>
        <w:left w:val="single" w:sz="4"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5027F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56">
    <w:name w:val="xl56"/>
    <w:basedOn w:val="Normal"/>
    <w:rsid w:val="005027F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57">
    <w:name w:val="xl57"/>
    <w:basedOn w:val="Normal"/>
    <w:rsid w:val="005027FD"/>
    <w:pPr>
      <w:pBdr>
        <w:top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58">
    <w:name w:val="xl58"/>
    <w:basedOn w:val="Normal"/>
    <w:rsid w:val="005027F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59">
    <w:name w:val="xl59"/>
    <w:basedOn w:val="Normal"/>
    <w:rsid w:val="005027FD"/>
    <w:pPr>
      <w:pBdr>
        <w:left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60">
    <w:name w:val="xl60"/>
    <w:basedOn w:val="Normal"/>
    <w:rsid w:val="005027FD"/>
    <w:pPr>
      <w:shd w:val="clear" w:color="auto" w:fill="FFFFFF"/>
      <w:spacing w:before="100" w:beforeAutospacing="1" w:after="100" w:afterAutospacing="1"/>
    </w:pPr>
    <w:rPr>
      <w:rFonts w:ascii="Arial" w:eastAsia="Arial Unicode MS" w:hAnsi="Arial" w:cs="Arial"/>
      <w:b/>
      <w:bCs/>
      <w:sz w:val="28"/>
      <w:szCs w:val="28"/>
    </w:rPr>
  </w:style>
  <w:style w:type="paragraph" w:customStyle="1" w:styleId="xl61">
    <w:name w:val="xl61"/>
    <w:basedOn w:val="Normal"/>
    <w:rsid w:val="005027FD"/>
    <w:pPr>
      <w:shd w:val="clear" w:color="auto" w:fill="FFFFFF"/>
      <w:spacing w:before="100" w:beforeAutospacing="1" w:after="100" w:afterAutospacing="1"/>
    </w:pPr>
    <w:rPr>
      <w:rFonts w:ascii="Arial" w:eastAsia="Arial Unicode MS" w:hAnsi="Arial" w:cs="Arial"/>
      <w:sz w:val="28"/>
      <w:szCs w:val="28"/>
    </w:rPr>
  </w:style>
  <w:style w:type="paragraph" w:customStyle="1" w:styleId="xl62">
    <w:name w:val="xl62"/>
    <w:basedOn w:val="Normal"/>
    <w:rsid w:val="005027FD"/>
    <w:pPr>
      <w:pBdr>
        <w:right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63">
    <w:name w:val="xl63"/>
    <w:basedOn w:val="Normal"/>
    <w:rsid w:val="005027FD"/>
    <w:pPr>
      <w:pBdr>
        <w:lef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4">
    <w:name w:val="xl64"/>
    <w:basedOn w:val="Normal"/>
    <w:rsid w:val="005027F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5">
    <w:name w:val="xl65"/>
    <w:basedOn w:val="Normal"/>
    <w:rsid w:val="005027FD"/>
    <w:pPr>
      <w:pBdr>
        <w:lef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66">
    <w:name w:val="xl66"/>
    <w:basedOn w:val="Normal"/>
    <w:rsid w:val="005027FD"/>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67">
    <w:name w:val="xl67"/>
    <w:basedOn w:val="Normal"/>
    <w:rsid w:val="005027FD"/>
    <w:pPr>
      <w:pBdr>
        <w:righ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68">
    <w:name w:val="xl68"/>
    <w:basedOn w:val="Normal"/>
    <w:rsid w:val="005027FD"/>
    <w:pPr>
      <w:pBdr>
        <w:left w:val="single" w:sz="4" w:space="0" w:color="auto"/>
      </w:pBdr>
      <w:shd w:val="clear" w:color="auto" w:fill="FFFFFF"/>
      <w:spacing w:before="100" w:beforeAutospacing="1" w:after="100" w:afterAutospacing="1"/>
    </w:pPr>
    <w:rPr>
      <w:rFonts w:ascii="Arial" w:eastAsia="Arial Unicode MS" w:hAnsi="Arial" w:cs="Arial"/>
      <w:sz w:val="16"/>
      <w:szCs w:val="16"/>
    </w:rPr>
  </w:style>
  <w:style w:type="paragraph" w:customStyle="1" w:styleId="xl69">
    <w:name w:val="xl69"/>
    <w:basedOn w:val="Normal"/>
    <w:rsid w:val="005027FD"/>
    <w:pPr>
      <w:shd w:val="clear" w:color="auto" w:fill="FFFFFF"/>
      <w:spacing w:before="100" w:beforeAutospacing="1" w:after="100" w:afterAutospacing="1"/>
    </w:pPr>
    <w:rPr>
      <w:rFonts w:ascii="Arial" w:eastAsia="Arial Unicode MS" w:hAnsi="Arial" w:cs="Arial"/>
      <w:b/>
      <w:bCs/>
      <w:sz w:val="16"/>
      <w:szCs w:val="16"/>
    </w:rPr>
  </w:style>
  <w:style w:type="paragraph" w:customStyle="1" w:styleId="xl70">
    <w:name w:val="xl70"/>
    <w:basedOn w:val="Normal"/>
    <w:rsid w:val="005027FD"/>
    <w:pPr>
      <w:shd w:val="clear" w:color="auto" w:fill="FFFFFF"/>
      <w:spacing w:before="100" w:beforeAutospacing="1" w:after="100" w:afterAutospacing="1"/>
    </w:pPr>
    <w:rPr>
      <w:rFonts w:ascii="Arial" w:eastAsia="Arial Unicode MS" w:hAnsi="Arial" w:cs="Arial"/>
      <w:sz w:val="16"/>
      <w:szCs w:val="16"/>
    </w:rPr>
  </w:style>
  <w:style w:type="paragraph" w:customStyle="1" w:styleId="xl71">
    <w:name w:val="xl71"/>
    <w:basedOn w:val="Normal"/>
    <w:rsid w:val="005027FD"/>
    <w:pPr>
      <w:pBdr>
        <w:right w:val="single" w:sz="4" w:space="0" w:color="auto"/>
      </w:pBdr>
      <w:shd w:val="clear" w:color="auto" w:fill="FFFFFF"/>
      <w:spacing w:before="100" w:beforeAutospacing="1" w:after="100" w:afterAutospacing="1"/>
    </w:pPr>
    <w:rPr>
      <w:rFonts w:ascii="Arial" w:eastAsia="Arial Unicode MS" w:hAnsi="Arial" w:cs="Arial"/>
      <w:sz w:val="16"/>
      <w:szCs w:val="16"/>
    </w:rPr>
  </w:style>
  <w:style w:type="paragraph" w:customStyle="1" w:styleId="xl72">
    <w:name w:val="xl72"/>
    <w:basedOn w:val="Normal"/>
    <w:rsid w:val="005027F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73">
    <w:name w:val="xl73"/>
    <w:basedOn w:val="Normal"/>
    <w:rsid w:val="005027FD"/>
    <w:pPr>
      <w:pBdr>
        <w:bottom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74">
    <w:name w:val="xl74"/>
    <w:basedOn w:val="Normal"/>
    <w:rsid w:val="005027F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75">
    <w:name w:val="xl75"/>
    <w:basedOn w:val="Normal"/>
    <w:rsid w:val="005027F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sz w:val="16"/>
      <w:szCs w:val="16"/>
    </w:rPr>
  </w:style>
  <w:style w:type="paragraph" w:customStyle="1" w:styleId="xl76">
    <w:name w:val="xl76"/>
    <w:basedOn w:val="Normal"/>
    <w:rsid w:val="005027F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sz w:val="16"/>
      <w:szCs w:val="16"/>
    </w:rPr>
  </w:style>
  <w:style w:type="paragraph" w:customStyle="1" w:styleId="xl77">
    <w:name w:val="xl77"/>
    <w:basedOn w:val="Normal"/>
    <w:rsid w:val="005027FD"/>
    <w:pPr>
      <w:pBdr>
        <w:top w:val="single" w:sz="4" w:space="0" w:color="auto"/>
      </w:pBdr>
      <w:shd w:val="clear" w:color="auto" w:fill="FFFFFF"/>
      <w:spacing w:before="100" w:beforeAutospacing="1" w:after="100" w:afterAutospacing="1"/>
      <w:textAlignment w:val="top"/>
    </w:pPr>
    <w:rPr>
      <w:rFonts w:ascii="Arial" w:eastAsia="Arial Unicode MS" w:hAnsi="Arial" w:cs="Arial"/>
      <w:b/>
      <w:bCs/>
      <w:sz w:val="16"/>
      <w:szCs w:val="16"/>
    </w:rPr>
  </w:style>
  <w:style w:type="paragraph" w:customStyle="1" w:styleId="xl78">
    <w:name w:val="xl78"/>
    <w:basedOn w:val="Normal"/>
    <w:rsid w:val="005027FD"/>
    <w:pPr>
      <w:pBdr>
        <w:top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79">
    <w:name w:val="xl79"/>
    <w:basedOn w:val="Normal"/>
    <w:rsid w:val="005027FD"/>
    <w:pPr>
      <w:pBdr>
        <w:top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0">
    <w:name w:val="xl80"/>
    <w:basedOn w:val="Normal"/>
    <w:rsid w:val="005027FD"/>
    <w:pPr>
      <w:shd w:val="clear" w:color="auto" w:fill="FFFFFF"/>
      <w:spacing w:before="100" w:beforeAutospacing="1" w:after="100" w:afterAutospacing="1"/>
      <w:textAlignment w:val="top"/>
    </w:pPr>
    <w:rPr>
      <w:rFonts w:ascii="Arial" w:eastAsia="Arial Unicode MS" w:hAnsi="Arial" w:cs="Arial"/>
      <w:b/>
      <w:bCs/>
      <w:sz w:val="16"/>
      <w:szCs w:val="16"/>
    </w:rPr>
  </w:style>
  <w:style w:type="paragraph" w:customStyle="1" w:styleId="xl81">
    <w:name w:val="xl81"/>
    <w:basedOn w:val="Normal"/>
    <w:rsid w:val="005027FD"/>
    <w:pPr>
      <w:spacing w:before="100" w:beforeAutospacing="1" w:after="100" w:afterAutospacing="1"/>
      <w:textAlignment w:val="top"/>
    </w:pPr>
    <w:rPr>
      <w:rFonts w:ascii="Arial Unicode MS" w:eastAsia="Arial Unicode MS" w:hAnsi="Arial Unicode MS" w:cs="Arial Unicode MS"/>
    </w:rPr>
  </w:style>
  <w:style w:type="paragraph" w:customStyle="1" w:styleId="xl82">
    <w:name w:val="xl82"/>
    <w:basedOn w:val="Normal"/>
    <w:rsid w:val="005027FD"/>
    <w:pPr>
      <w:pBdr>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3">
    <w:name w:val="xl83"/>
    <w:basedOn w:val="Normal"/>
    <w:rsid w:val="005027FD"/>
    <w:pPr>
      <w:pBdr>
        <w:bottom w:val="single" w:sz="4" w:space="0" w:color="auto"/>
      </w:pBdr>
      <w:shd w:val="clear" w:color="auto" w:fill="FFFFFF"/>
      <w:spacing w:before="100" w:beforeAutospacing="1" w:after="100" w:afterAutospacing="1"/>
      <w:textAlignment w:val="top"/>
    </w:pPr>
    <w:rPr>
      <w:rFonts w:ascii="Arial" w:eastAsia="Arial Unicode MS" w:hAnsi="Arial" w:cs="Arial"/>
      <w:b/>
      <w:bCs/>
      <w:sz w:val="16"/>
      <w:szCs w:val="16"/>
    </w:rPr>
  </w:style>
  <w:style w:type="paragraph" w:customStyle="1" w:styleId="xl84">
    <w:name w:val="xl84"/>
    <w:basedOn w:val="Normal"/>
    <w:rsid w:val="005027FD"/>
    <w:pPr>
      <w:pBdr>
        <w:bottom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5">
    <w:name w:val="xl85"/>
    <w:basedOn w:val="Normal"/>
    <w:rsid w:val="005027FD"/>
    <w:pPr>
      <w:pBdr>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6">
    <w:name w:val="xl86"/>
    <w:basedOn w:val="Normal"/>
    <w:rsid w:val="005027FD"/>
    <w:pPr>
      <w:pBdr>
        <w:top w:val="single" w:sz="8"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5027FD"/>
    <w:pPr>
      <w:pBdr>
        <w:left w:val="single" w:sz="4"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88">
    <w:name w:val="xl88"/>
    <w:basedOn w:val="Normal"/>
    <w:rsid w:val="005027FD"/>
    <w:pPr>
      <w:pBdr>
        <w:top w:val="single" w:sz="8" w:space="0" w:color="auto"/>
        <w:left w:val="single" w:sz="8"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89">
    <w:name w:val="xl89"/>
    <w:basedOn w:val="Normal"/>
    <w:rsid w:val="005027FD"/>
    <w:pPr>
      <w:pBdr>
        <w:left w:val="single" w:sz="8"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90">
    <w:name w:val="xl90"/>
    <w:basedOn w:val="Normal"/>
    <w:rsid w:val="005027FD"/>
    <w:pPr>
      <w:pBdr>
        <w:top w:val="single" w:sz="8" w:space="0" w:color="auto"/>
        <w:left w:val="single" w:sz="4" w:space="0" w:color="auto"/>
        <w:right w:val="single" w:sz="8"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91">
    <w:name w:val="xl91"/>
    <w:basedOn w:val="Normal"/>
    <w:rsid w:val="005027FD"/>
    <w:pPr>
      <w:pBdr>
        <w:left w:val="single" w:sz="4" w:space="0" w:color="auto"/>
        <w:bottom w:val="single" w:sz="8" w:space="0" w:color="auto"/>
        <w:right w:val="single" w:sz="8"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92">
    <w:name w:val="xl92"/>
    <w:basedOn w:val="Normal"/>
    <w:rsid w:val="005027FD"/>
    <w:pPr>
      <w:shd w:val="clear" w:color="auto" w:fill="FFFFFF"/>
      <w:spacing w:before="100" w:beforeAutospacing="1" w:after="100" w:afterAutospacing="1"/>
      <w:jc w:val="center"/>
    </w:pPr>
    <w:rPr>
      <w:rFonts w:ascii="Arial" w:eastAsia="Arial Unicode MS" w:hAnsi="Arial" w:cs="Arial"/>
      <w:b/>
      <w:bCs/>
    </w:rPr>
  </w:style>
  <w:style w:type="paragraph" w:customStyle="1" w:styleId="xl93">
    <w:name w:val="xl93"/>
    <w:basedOn w:val="Normal"/>
    <w:rsid w:val="005027FD"/>
    <w:pPr>
      <w:spacing w:before="100" w:beforeAutospacing="1" w:after="100" w:afterAutospacing="1"/>
      <w:jc w:val="center"/>
    </w:pPr>
    <w:rPr>
      <w:rFonts w:ascii="Arial Unicode MS" w:eastAsia="Arial Unicode MS" w:hAnsi="Arial Unicode MS" w:cs="Arial Unicode MS"/>
    </w:rPr>
  </w:style>
  <w:style w:type="paragraph" w:customStyle="1" w:styleId="xl94">
    <w:name w:val="xl94"/>
    <w:basedOn w:val="Normal"/>
    <w:rsid w:val="005027FD"/>
    <w:pPr>
      <w:pBdr>
        <w:top w:val="single" w:sz="8" w:space="0" w:color="auto"/>
        <w:left w:val="single" w:sz="8" w:space="0" w:color="auto"/>
        <w:right w:val="single" w:sz="8" w:space="0" w:color="auto"/>
      </w:pBdr>
      <w:shd w:val="clear" w:color="auto" w:fill="CCFFFF"/>
      <w:spacing w:before="100" w:beforeAutospacing="1" w:after="100" w:afterAutospacing="1"/>
      <w:textAlignment w:val="center"/>
    </w:pPr>
    <w:rPr>
      <w:rFonts w:ascii="Arial" w:eastAsia="Arial Unicode MS" w:hAnsi="Arial" w:cs="Arial"/>
      <w:b/>
      <w:bCs/>
      <w:sz w:val="28"/>
      <w:szCs w:val="28"/>
    </w:rPr>
  </w:style>
  <w:style w:type="paragraph" w:customStyle="1" w:styleId="xl95">
    <w:name w:val="xl95"/>
    <w:basedOn w:val="Normal"/>
    <w:rsid w:val="005027FD"/>
    <w:pPr>
      <w:pBdr>
        <w:left w:val="single" w:sz="8" w:space="0" w:color="auto"/>
        <w:bottom w:val="single" w:sz="8" w:space="0" w:color="auto"/>
        <w:right w:val="single" w:sz="8" w:space="0" w:color="auto"/>
      </w:pBdr>
      <w:shd w:val="clear" w:color="auto" w:fill="CCFFFF"/>
      <w:spacing w:before="100" w:beforeAutospacing="1" w:after="100" w:afterAutospacing="1"/>
      <w:textAlignment w:val="center"/>
    </w:pPr>
    <w:rPr>
      <w:rFonts w:ascii="Arial" w:eastAsia="Arial Unicode MS" w:hAnsi="Arial" w:cs="Arial"/>
      <w:b/>
      <w:bCs/>
      <w:sz w:val="28"/>
      <w:szCs w:val="28"/>
    </w:rPr>
  </w:style>
  <w:style w:type="paragraph" w:customStyle="1" w:styleId="Body">
    <w:name w:val="Body"/>
    <w:rsid w:val="005027FD"/>
    <w:pPr>
      <w:keepLines/>
      <w:overflowPunct w:val="0"/>
      <w:autoSpaceDE w:val="0"/>
      <w:autoSpaceDN w:val="0"/>
      <w:adjustRightInd w:val="0"/>
      <w:spacing w:line="280" w:lineRule="exact"/>
      <w:ind w:firstLine="360"/>
      <w:textAlignment w:val="baseline"/>
    </w:pPr>
    <w:rPr>
      <w:noProof/>
    </w:rPr>
  </w:style>
  <w:style w:type="table" w:styleId="TableGrid">
    <w:name w:val="Table Grid"/>
    <w:basedOn w:val="TableNormal"/>
    <w:rsid w:val="00502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027FD"/>
    <w:pPr>
      <w:jc w:val="center"/>
    </w:pPr>
    <w:rPr>
      <w:rFonts w:ascii="CG Times (W1)" w:hAnsi="CG Times (W1)"/>
      <w:sz w:val="52"/>
    </w:rPr>
  </w:style>
  <w:style w:type="character" w:customStyle="1" w:styleId="TitleChar">
    <w:name w:val="Title Char"/>
    <w:basedOn w:val="DefaultParagraphFont"/>
    <w:link w:val="Title"/>
    <w:locked/>
    <w:rsid w:val="00AD7214"/>
    <w:rPr>
      <w:rFonts w:ascii="Cambria" w:hAnsi="Cambria" w:cs="Times New Roman"/>
      <w:b/>
      <w:bCs/>
      <w:kern w:val="28"/>
      <w:sz w:val="32"/>
      <w:szCs w:val="32"/>
    </w:rPr>
  </w:style>
  <w:style w:type="paragraph" w:styleId="Subtitle">
    <w:name w:val="Subtitle"/>
    <w:basedOn w:val="Normal"/>
    <w:link w:val="SubtitleChar"/>
    <w:qFormat/>
    <w:rsid w:val="005027FD"/>
    <w:pPr>
      <w:jc w:val="center"/>
    </w:pPr>
    <w:rPr>
      <w:rFonts w:ascii="CG Times (W1)" w:hAnsi="CG Times (W1)"/>
      <w:sz w:val="40"/>
    </w:rPr>
  </w:style>
  <w:style w:type="character" w:customStyle="1" w:styleId="SubtitleChar">
    <w:name w:val="Subtitle Char"/>
    <w:basedOn w:val="DefaultParagraphFont"/>
    <w:link w:val="Subtitle"/>
    <w:locked/>
    <w:rsid w:val="00AD7214"/>
    <w:rPr>
      <w:rFonts w:ascii="Cambria" w:hAnsi="Cambria" w:cs="Times New Roman"/>
      <w:sz w:val="24"/>
      <w:szCs w:val="24"/>
    </w:rPr>
  </w:style>
  <w:style w:type="paragraph" w:customStyle="1" w:styleId="ChapTitleChapNumber">
    <w:name w:val="ChapTitle_ChapNumber"/>
    <w:rsid w:val="005027FD"/>
    <w:pPr>
      <w:tabs>
        <w:tab w:val="center" w:pos="6299"/>
      </w:tabs>
      <w:overflowPunct w:val="0"/>
      <w:autoSpaceDE w:val="0"/>
      <w:autoSpaceDN w:val="0"/>
      <w:adjustRightInd w:val="0"/>
      <w:spacing w:line="780" w:lineRule="exact"/>
      <w:textAlignment w:val="baseline"/>
    </w:pPr>
    <w:rPr>
      <w:b/>
      <w:noProof/>
      <w:sz w:val="56"/>
    </w:rPr>
  </w:style>
  <w:style w:type="paragraph" w:customStyle="1" w:styleId="HeadB">
    <w:name w:val="HeadB"/>
    <w:rsid w:val="005027FD"/>
    <w:pPr>
      <w:keepNext/>
      <w:keepLines/>
      <w:overflowPunct w:val="0"/>
      <w:autoSpaceDE w:val="0"/>
      <w:autoSpaceDN w:val="0"/>
      <w:adjustRightInd w:val="0"/>
      <w:spacing w:before="280" w:after="120" w:line="340" w:lineRule="exact"/>
      <w:textAlignment w:val="baseline"/>
    </w:pPr>
    <w:rPr>
      <w:b/>
      <w:noProof/>
      <w:sz w:val="32"/>
    </w:rPr>
  </w:style>
  <w:style w:type="paragraph" w:customStyle="1" w:styleId="HeadC">
    <w:name w:val="HeadC"/>
    <w:rsid w:val="005027FD"/>
    <w:pPr>
      <w:keepLines/>
      <w:overflowPunct w:val="0"/>
      <w:autoSpaceDE w:val="0"/>
      <w:autoSpaceDN w:val="0"/>
      <w:adjustRightInd w:val="0"/>
      <w:spacing w:before="143" w:line="280" w:lineRule="exact"/>
      <w:textAlignment w:val="baseline"/>
    </w:pPr>
    <w:rPr>
      <w:b/>
      <w:i/>
      <w:noProof/>
      <w:sz w:val="26"/>
    </w:rPr>
  </w:style>
  <w:style w:type="character" w:styleId="Strong">
    <w:name w:val="Strong"/>
    <w:basedOn w:val="DefaultParagraphFont"/>
    <w:qFormat/>
    <w:rsid w:val="005027FD"/>
    <w:rPr>
      <w:rFonts w:cs="Times New Roman"/>
      <w:b/>
      <w:bCs/>
    </w:rPr>
  </w:style>
  <w:style w:type="character" w:styleId="Hyperlink">
    <w:name w:val="Hyperlink"/>
    <w:basedOn w:val="DefaultParagraphFont"/>
    <w:rsid w:val="005027FD"/>
    <w:rPr>
      <w:rFonts w:cs="Times New Roman"/>
      <w:color w:val="0000FF"/>
      <w:u w:val="single"/>
    </w:rPr>
  </w:style>
  <w:style w:type="paragraph" w:customStyle="1" w:styleId="Pa0">
    <w:name w:val="Pa0"/>
    <w:basedOn w:val="Normal"/>
    <w:next w:val="Normal"/>
    <w:rsid w:val="005027FD"/>
    <w:pPr>
      <w:autoSpaceDE w:val="0"/>
      <w:autoSpaceDN w:val="0"/>
      <w:adjustRightInd w:val="0"/>
      <w:spacing w:line="240" w:lineRule="atLeast"/>
    </w:pPr>
    <w:rPr>
      <w:rFonts w:ascii="Times" w:hAnsi="Times"/>
    </w:rPr>
  </w:style>
  <w:style w:type="paragraph" w:customStyle="1" w:styleId="style">
    <w:name w:val="style"/>
    <w:basedOn w:val="Normal"/>
    <w:rsid w:val="005027FD"/>
    <w:pPr>
      <w:autoSpaceDE w:val="0"/>
      <w:autoSpaceDN w:val="0"/>
    </w:pPr>
  </w:style>
  <w:style w:type="paragraph" w:customStyle="1" w:styleId="Default">
    <w:name w:val="Default"/>
    <w:rsid w:val="005027FD"/>
    <w:pPr>
      <w:autoSpaceDE w:val="0"/>
      <w:autoSpaceDN w:val="0"/>
      <w:adjustRightInd w:val="0"/>
    </w:pPr>
    <w:rPr>
      <w:rFonts w:ascii="Helvetica" w:hAnsi="Helvetica" w:cs="Helvetica"/>
      <w:color w:val="000000"/>
      <w:sz w:val="24"/>
      <w:szCs w:val="24"/>
    </w:rPr>
  </w:style>
  <w:style w:type="character" w:customStyle="1" w:styleId="A0">
    <w:name w:val="A0"/>
    <w:rsid w:val="005027FD"/>
    <w:rPr>
      <w:b/>
      <w:color w:val="000000"/>
      <w:sz w:val="28"/>
    </w:rPr>
  </w:style>
  <w:style w:type="character" w:customStyle="1" w:styleId="explanation">
    <w:name w:val="explanation"/>
    <w:basedOn w:val="DefaultParagraphFont"/>
    <w:rsid w:val="005027FD"/>
    <w:rPr>
      <w:rFonts w:cs="Times New Roman"/>
    </w:rPr>
  </w:style>
  <w:style w:type="character" w:customStyle="1" w:styleId="a">
    <w:name w:val="_"/>
    <w:basedOn w:val="DefaultParagraphFont"/>
    <w:rsid w:val="005027FD"/>
    <w:rPr>
      <w:rFonts w:cs="Times New Roman"/>
    </w:rPr>
  </w:style>
  <w:style w:type="paragraph" w:customStyle="1" w:styleId="WPFooter">
    <w:name w:val="WP_Footer"/>
    <w:basedOn w:val="Normal"/>
    <w:rsid w:val="005027FD"/>
    <w:pPr>
      <w:widowControl w:val="0"/>
      <w:tabs>
        <w:tab w:val="left" w:pos="0"/>
        <w:tab w:val="center" w:pos="4320"/>
        <w:tab w:val="right" w:pos="8640"/>
      </w:tabs>
    </w:pPr>
    <w:rPr>
      <w:szCs w:val="20"/>
    </w:rPr>
  </w:style>
  <w:style w:type="character" w:styleId="Emphasis">
    <w:name w:val="Emphasis"/>
    <w:basedOn w:val="DefaultParagraphFont"/>
    <w:uiPriority w:val="20"/>
    <w:qFormat/>
    <w:rsid w:val="007B341A"/>
    <w:rPr>
      <w:rFonts w:cs="Times New Roman"/>
      <w:i/>
      <w:iCs/>
    </w:rPr>
  </w:style>
  <w:style w:type="paragraph" w:styleId="Revision">
    <w:name w:val="Revision"/>
    <w:hidden/>
    <w:semiHidden/>
    <w:rsid w:val="00A965F5"/>
    <w:rPr>
      <w:sz w:val="24"/>
      <w:szCs w:val="24"/>
    </w:rPr>
  </w:style>
  <w:style w:type="paragraph" w:customStyle="1" w:styleId="style34">
    <w:name w:val="style34"/>
    <w:basedOn w:val="Normal"/>
    <w:rsid w:val="00F92506"/>
    <w:pPr>
      <w:spacing w:before="100" w:beforeAutospacing="1" w:after="100" w:afterAutospacing="1"/>
    </w:pPr>
    <w:rPr>
      <w:rFonts w:ascii="Verdana" w:hAnsi="Verdana"/>
      <w:color w:val="000000"/>
      <w:sz w:val="15"/>
      <w:szCs w:val="15"/>
    </w:rPr>
  </w:style>
  <w:style w:type="character" w:customStyle="1" w:styleId="a1">
    <w:name w:val="a"/>
    <w:basedOn w:val="DefaultParagraphFont"/>
    <w:rsid w:val="00F92506"/>
    <w:rPr>
      <w:rFonts w:cs="Times New Roman"/>
    </w:rPr>
  </w:style>
  <w:style w:type="paragraph" w:styleId="Caption">
    <w:name w:val="caption"/>
    <w:basedOn w:val="Normal"/>
    <w:next w:val="Normal"/>
    <w:qFormat/>
    <w:locked/>
    <w:rsid w:val="00F92506"/>
    <w:rPr>
      <w:b/>
      <w:bCs/>
      <w:sz w:val="20"/>
      <w:szCs w:val="20"/>
    </w:rPr>
  </w:style>
  <w:style w:type="paragraph" w:customStyle="1" w:styleId="ATFParagraph">
    <w:name w:val="ATF Paragraph"/>
    <w:basedOn w:val="Normal"/>
    <w:rsid w:val="00F92506"/>
    <w:pPr>
      <w:spacing w:after="240"/>
    </w:pPr>
  </w:style>
  <w:style w:type="paragraph" w:styleId="DocumentMap">
    <w:name w:val="Document Map"/>
    <w:basedOn w:val="Normal"/>
    <w:link w:val="DocumentMapChar"/>
    <w:semiHidden/>
    <w:locked/>
    <w:rsid w:val="00F9250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F92506"/>
    <w:rPr>
      <w:rFonts w:ascii="Tahoma" w:hAnsi="Tahoma" w:cs="Tahoma"/>
      <w:shd w:val="clear" w:color="auto" w:fill="000080"/>
    </w:rPr>
  </w:style>
  <w:style w:type="paragraph" w:customStyle="1" w:styleId="style10">
    <w:name w:val="style10"/>
    <w:basedOn w:val="Normal"/>
    <w:rsid w:val="00F92506"/>
    <w:pPr>
      <w:spacing w:before="100" w:beforeAutospacing="1" w:after="100" w:afterAutospacing="1"/>
    </w:pPr>
    <w:rPr>
      <w:sz w:val="20"/>
      <w:szCs w:val="20"/>
    </w:rPr>
  </w:style>
  <w:style w:type="character" w:styleId="FollowedHyperlink">
    <w:name w:val="FollowedHyperlink"/>
    <w:basedOn w:val="DefaultParagraphFont"/>
    <w:locked/>
    <w:rsid w:val="00D50841"/>
    <w:rPr>
      <w:rFonts w:cs="Times New Roman"/>
      <w:color w:val="800080"/>
      <w:u w:val="single"/>
    </w:rPr>
  </w:style>
  <w:style w:type="paragraph" w:customStyle="1" w:styleId="CM40">
    <w:name w:val="CM40"/>
    <w:basedOn w:val="Default"/>
    <w:next w:val="Default"/>
    <w:rsid w:val="00D50841"/>
    <w:pPr>
      <w:spacing w:after="248"/>
    </w:pPr>
    <w:rPr>
      <w:rFonts w:ascii="Times New Roman" w:hAnsi="Times New Roman" w:cs="Times New Roman"/>
      <w:color w:val="auto"/>
    </w:rPr>
  </w:style>
  <w:style w:type="paragraph" w:customStyle="1" w:styleId="Bullet1">
    <w:name w:val="Bullet 1"/>
    <w:basedOn w:val="Normal"/>
    <w:rsid w:val="00D50841"/>
    <w:pPr>
      <w:tabs>
        <w:tab w:val="num" w:pos="720"/>
      </w:tabs>
      <w:ind w:left="720" w:hanging="360"/>
    </w:pPr>
    <w:rPr>
      <w:rFonts w:ascii="Verdana" w:hAnsi="Verdana"/>
      <w:sz w:val="20"/>
      <w:szCs w:val="20"/>
    </w:rPr>
  </w:style>
  <w:style w:type="paragraph" w:customStyle="1" w:styleId="Pa4">
    <w:name w:val="Pa4"/>
    <w:basedOn w:val="Default"/>
    <w:next w:val="Default"/>
    <w:rsid w:val="00D50841"/>
    <w:pPr>
      <w:spacing w:after="120" w:line="217" w:lineRule="atLeast"/>
    </w:pPr>
    <w:rPr>
      <w:rFonts w:ascii="Times New Roman PS" w:hAnsi="Times New Roman PS" w:cs="Times New Roman"/>
      <w:color w:val="auto"/>
    </w:rPr>
  </w:style>
  <w:style w:type="paragraph" w:styleId="HTMLPreformatted">
    <w:name w:val="HTML Preformatted"/>
    <w:basedOn w:val="Normal"/>
    <w:link w:val="HTMLPreformattedChar"/>
    <w:locked/>
    <w:rsid w:val="005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54024D"/>
    <w:rPr>
      <w:rFonts w:ascii="Courier New" w:hAnsi="Courier New" w:cs="Courier New"/>
    </w:rPr>
  </w:style>
  <w:style w:type="paragraph" w:customStyle="1" w:styleId="bullet10">
    <w:name w:val="bullet10"/>
    <w:basedOn w:val="Normal"/>
    <w:rsid w:val="0054024D"/>
    <w:pPr>
      <w:tabs>
        <w:tab w:val="num" w:pos="1080"/>
      </w:tabs>
      <w:ind w:left="1080" w:hanging="360"/>
    </w:pPr>
    <w:rPr>
      <w:rFonts w:ascii="Verdana" w:hAnsi="Verdana"/>
      <w:sz w:val="20"/>
      <w:szCs w:val="20"/>
    </w:rPr>
  </w:style>
  <w:style w:type="paragraph" w:styleId="ListParagraph">
    <w:name w:val="List Paragraph"/>
    <w:basedOn w:val="Normal"/>
    <w:uiPriority w:val="34"/>
    <w:qFormat/>
    <w:rsid w:val="000E54A1"/>
    <w:pPr>
      <w:ind w:left="720"/>
      <w:contextualSpacing/>
    </w:pPr>
  </w:style>
  <w:style w:type="character" w:customStyle="1" w:styleId="t110">
    <w:name w:val="t110"/>
    <w:basedOn w:val="DefaultParagraphFont"/>
    <w:rsid w:val="00F72B72"/>
    <w:rPr>
      <w:color w:val="000000"/>
    </w:rPr>
  </w:style>
  <w:style w:type="paragraph" w:customStyle="1" w:styleId="BudgetHeading1">
    <w:name w:val="Budget Heading 1"/>
    <w:basedOn w:val="Normal"/>
    <w:qFormat/>
    <w:rsid w:val="002C47CF"/>
    <w:pPr>
      <w:numPr>
        <w:numId w:val="30"/>
      </w:numPr>
    </w:pPr>
    <w:rPr>
      <w:rFonts w:eastAsia="Calibri"/>
      <w:b/>
      <w:bCs/>
      <w:color w:val="000000"/>
    </w:rPr>
  </w:style>
  <w:style w:type="paragraph" w:customStyle="1" w:styleId="BudgetHeading2">
    <w:name w:val="Budget Heading 2"/>
    <w:basedOn w:val="Normal"/>
    <w:link w:val="BudgetHeading2Char"/>
    <w:qFormat/>
    <w:rsid w:val="002C47CF"/>
    <w:pPr>
      <w:numPr>
        <w:ilvl w:val="1"/>
        <w:numId w:val="30"/>
      </w:numPr>
    </w:pPr>
    <w:rPr>
      <w:rFonts w:eastAsia="Calibri"/>
      <w:b/>
      <w:bCs/>
      <w:color w:val="000000"/>
    </w:rPr>
  </w:style>
  <w:style w:type="character" w:customStyle="1" w:styleId="BudgetHeading2Char">
    <w:name w:val="Budget Heading 2 Char"/>
    <w:basedOn w:val="DefaultParagraphFont"/>
    <w:link w:val="BudgetHeading2"/>
    <w:rsid w:val="002C47CF"/>
    <w:rPr>
      <w:rFonts w:eastAsia="Calibri"/>
      <w:b/>
      <w:bCs/>
      <w:color w:val="000000"/>
      <w:sz w:val="24"/>
      <w:szCs w:val="24"/>
    </w:rPr>
  </w:style>
  <w:style w:type="character" w:customStyle="1" w:styleId="fedli">
    <w:name w:val="fed_li"/>
    <w:basedOn w:val="DefaultParagraphFont"/>
    <w:rsid w:val="00762E8C"/>
  </w:style>
  <w:style w:type="paragraph" w:customStyle="1" w:styleId="Level1">
    <w:name w:val="Level 1"/>
    <w:basedOn w:val="Normal"/>
    <w:uiPriority w:val="99"/>
    <w:rsid w:val="00186E18"/>
    <w:pPr>
      <w:widowControl w:val="0"/>
      <w:ind w:left="1440" w:hanging="720"/>
    </w:pPr>
    <w:rPr>
      <w:snapToGrid w:val="0"/>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52905160">
      <w:bodyDiv w:val="1"/>
      <w:marLeft w:val="0"/>
      <w:marRight w:val="0"/>
      <w:marTop w:val="0"/>
      <w:marBottom w:val="0"/>
      <w:divBdr>
        <w:top w:val="none" w:sz="0" w:space="0" w:color="auto"/>
        <w:left w:val="none" w:sz="0" w:space="0" w:color="auto"/>
        <w:bottom w:val="none" w:sz="0" w:space="0" w:color="auto"/>
        <w:right w:val="none" w:sz="0" w:space="0" w:color="auto"/>
      </w:divBdr>
    </w:div>
    <w:div w:id="279917176">
      <w:bodyDiv w:val="1"/>
      <w:marLeft w:val="0"/>
      <w:marRight w:val="0"/>
      <w:marTop w:val="0"/>
      <w:marBottom w:val="0"/>
      <w:divBdr>
        <w:top w:val="none" w:sz="0" w:space="0" w:color="auto"/>
        <w:left w:val="none" w:sz="0" w:space="0" w:color="auto"/>
        <w:bottom w:val="none" w:sz="0" w:space="0" w:color="auto"/>
        <w:right w:val="none" w:sz="0" w:space="0" w:color="auto"/>
      </w:divBdr>
    </w:div>
    <w:div w:id="293294748">
      <w:bodyDiv w:val="1"/>
      <w:marLeft w:val="0"/>
      <w:marRight w:val="0"/>
      <w:marTop w:val="0"/>
      <w:marBottom w:val="0"/>
      <w:divBdr>
        <w:top w:val="none" w:sz="0" w:space="0" w:color="auto"/>
        <w:left w:val="none" w:sz="0" w:space="0" w:color="auto"/>
        <w:bottom w:val="none" w:sz="0" w:space="0" w:color="auto"/>
        <w:right w:val="none" w:sz="0" w:space="0" w:color="auto"/>
      </w:divBdr>
    </w:div>
    <w:div w:id="502823355">
      <w:bodyDiv w:val="1"/>
      <w:marLeft w:val="0"/>
      <w:marRight w:val="0"/>
      <w:marTop w:val="0"/>
      <w:marBottom w:val="0"/>
      <w:divBdr>
        <w:top w:val="none" w:sz="0" w:space="0" w:color="auto"/>
        <w:left w:val="none" w:sz="0" w:space="0" w:color="auto"/>
        <w:bottom w:val="none" w:sz="0" w:space="0" w:color="auto"/>
        <w:right w:val="none" w:sz="0" w:space="0" w:color="auto"/>
      </w:divBdr>
    </w:div>
    <w:div w:id="922646151">
      <w:bodyDiv w:val="1"/>
      <w:marLeft w:val="0"/>
      <w:marRight w:val="0"/>
      <w:marTop w:val="0"/>
      <w:marBottom w:val="0"/>
      <w:divBdr>
        <w:top w:val="none" w:sz="0" w:space="0" w:color="auto"/>
        <w:left w:val="none" w:sz="0" w:space="0" w:color="auto"/>
        <w:bottom w:val="none" w:sz="0" w:space="0" w:color="auto"/>
        <w:right w:val="none" w:sz="0" w:space="0" w:color="auto"/>
      </w:divBdr>
    </w:div>
    <w:div w:id="1310405849">
      <w:bodyDiv w:val="1"/>
      <w:marLeft w:val="0"/>
      <w:marRight w:val="0"/>
      <w:marTop w:val="0"/>
      <w:marBottom w:val="0"/>
      <w:divBdr>
        <w:top w:val="none" w:sz="0" w:space="0" w:color="auto"/>
        <w:left w:val="none" w:sz="0" w:space="0" w:color="auto"/>
        <w:bottom w:val="none" w:sz="0" w:space="0" w:color="auto"/>
        <w:right w:val="none" w:sz="0" w:space="0" w:color="auto"/>
      </w:divBdr>
    </w:div>
    <w:div w:id="1395468023">
      <w:bodyDiv w:val="1"/>
      <w:marLeft w:val="0"/>
      <w:marRight w:val="0"/>
      <w:marTop w:val="0"/>
      <w:marBottom w:val="0"/>
      <w:divBdr>
        <w:top w:val="none" w:sz="0" w:space="0" w:color="auto"/>
        <w:left w:val="none" w:sz="0" w:space="0" w:color="auto"/>
        <w:bottom w:val="none" w:sz="0" w:space="0" w:color="auto"/>
        <w:right w:val="none" w:sz="0" w:space="0" w:color="auto"/>
      </w:divBdr>
    </w:div>
    <w:div w:id="17832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gov/02organizations/bpp.htm" TargetMode="External"/><Relationship Id="rId18" Type="http://schemas.openxmlformats.org/officeDocument/2006/relationships/image" Target="media/image5.gi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gi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image" Target="media/image7.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hyperlink" Target="http://www.usdoj.gov\jmd\ep"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tf.gov/publications/general/strategic-plan" TargetMode="External"/><Relationship Id="rId22" Type="http://schemas.openxmlformats.org/officeDocument/2006/relationships/hyperlink" Target="http://www.epeat.net"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CA690-9C99-4347-A748-E6A846A6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73</Pages>
  <Words>22260</Words>
  <Characters>132072</Characters>
  <Application>Microsoft Office Word</Application>
  <DocSecurity>4</DocSecurity>
  <Lines>1100</Lines>
  <Paragraphs>308</Paragraphs>
  <ScaleCrop>false</ScaleCrop>
  <HeadingPairs>
    <vt:vector size="2" baseType="variant">
      <vt:variant>
        <vt:lpstr>Title</vt:lpstr>
      </vt:variant>
      <vt:variant>
        <vt:i4>1</vt:i4>
      </vt:variant>
    </vt:vector>
  </HeadingPairs>
  <TitlesOfParts>
    <vt:vector size="1" baseType="lpstr">
      <vt:lpstr>Congressional Budget Submission</vt:lpstr>
    </vt:vector>
  </TitlesOfParts>
  <Company>EOP</Company>
  <LinksUpToDate>false</LinksUpToDate>
  <CharactersWithSpaces>154024</CharactersWithSpaces>
  <SharedDoc>false</SharedDoc>
  <HLinks>
    <vt:vector size="12" baseType="variant">
      <vt:variant>
        <vt:i4>4521994</vt:i4>
      </vt:variant>
      <vt:variant>
        <vt:i4>3</vt:i4>
      </vt:variant>
      <vt:variant>
        <vt:i4>0</vt:i4>
      </vt:variant>
      <vt:variant>
        <vt:i4>5</vt:i4>
      </vt:variant>
      <vt:variant>
        <vt:lpwstr>http://www.epeat.net/</vt:lpwstr>
      </vt:variant>
      <vt:variant>
        <vt:lpwstr/>
      </vt:variant>
      <vt:variant>
        <vt:i4>3342462</vt:i4>
      </vt:variant>
      <vt:variant>
        <vt:i4>0</vt:i4>
      </vt:variant>
      <vt:variant>
        <vt:i4>0</vt:i4>
      </vt:variant>
      <vt:variant>
        <vt:i4>5</vt:i4>
      </vt:variant>
      <vt:variant>
        <vt:lpwstr>http://www.usdoj.gov/jmd/2011justification/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Congressional Budget Submission</dc:title>
  <dc:creator>Williams_M</dc:creator>
  <cp:lastModifiedBy>ecarter</cp:lastModifiedBy>
  <cp:revision>2</cp:revision>
  <cp:lastPrinted>2011-02-09T20:50:00Z</cp:lastPrinted>
  <dcterms:created xsi:type="dcterms:W3CDTF">2011-02-09T23:20:00Z</dcterms:created>
  <dcterms:modified xsi:type="dcterms:W3CDTF">2011-02-09T23:20:00Z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