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7E5" w:rsidRPr="00A02161" w:rsidRDefault="008967E5" w:rsidP="00A02161">
      <w:pPr>
        <w:pStyle w:val="Heading1"/>
        <w:tabs>
          <w:tab w:val="left" w:leader="dot" w:pos="7920"/>
          <w:tab w:val="right" w:pos="8640"/>
        </w:tabs>
        <w:jc w:val="left"/>
      </w:pPr>
      <w:r>
        <w:t xml:space="preserve"> </w:t>
      </w:r>
    </w:p>
    <w:p w:rsidR="008967E5" w:rsidRPr="002567E4" w:rsidRDefault="008967E5" w:rsidP="0008150B">
      <w:pPr>
        <w:rPr>
          <w:sz w:val="22"/>
          <w:szCs w:val="22"/>
        </w:rPr>
      </w:pPr>
    </w:p>
    <w:p w:rsidR="008967E5" w:rsidRPr="002567E4" w:rsidRDefault="008967E5" w:rsidP="00E564C1">
      <w:pPr>
        <w:pStyle w:val="Heading1"/>
        <w:tabs>
          <w:tab w:val="left" w:leader="dot" w:pos="7920"/>
          <w:tab w:val="right" w:pos="8640"/>
        </w:tabs>
        <w:rPr>
          <w:rFonts w:ascii="Times New Roman" w:hAnsi="Times New Roman"/>
          <w:b w:val="0"/>
          <w:sz w:val="22"/>
          <w:szCs w:val="22"/>
          <w:u w:val="single"/>
        </w:rPr>
      </w:pPr>
    </w:p>
    <w:p w:rsidR="008967E5" w:rsidRPr="002567E4" w:rsidRDefault="008967E5" w:rsidP="00986DF1">
      <w:pPr>
        <w:rPr>
          <w:sz w:val="22"/>
          <w:szCs w:val="22"/>
        </w:rPr>
      </w:pPr>
    </w:p>
    <w:p w:rsidR="008967E5" w:rsidRPr="002567E4" w:rsidRDefault="008967E5" w:rsidP="00986DF1">
      <w:pPr>
        <w:rPr>
          <w:sz w:val="22"/>
          <w:szCs w:val="22"/>
        </w:rPr>
      </w:pPr>
    </w:p>
    <w:p w:rsidR="008967E5" w:rsidRPr="002567E4" w:rsidRDefault="008967E5" w:rsidP="00986DF1">
      <w:pPr>
        <w:rPr>
          <w:sz w:val="22"/>
          <w:szCs w:val="22"/>
        </w:rPr>
      </w:pPr>
    </w:p>
    <w:p w:rsidR="008967E5" w:rsidRPr="002567E4" w:rsidRDefault="008967E5" w:rsidP="00986DF1">
      <w:pPr>
        <w:rPr>
          <w:sz w:val="22"/>
          <w:szCs w:val="22"/>
        </w:rPr>
      </w:pPr>
    </w:p>
    <w:p w:rsidR="008967E5" w:rsidRPr="002567E4" w:rsidRDefault="008967E5" w:rsidP="00E564C1">
      <w:pPr>
        <w:pStyle w:val="Heading1"/>
        <w:tabs>
          <w:tab w:val="left" w:leader="dot" w:pos="7920"/>
          <w:tab w:val="right" w:pos="8640"/>
        </w:tabs>
        <w:rPr>
          <w:rFonts w:ascii="Times New Roman" w:hAnsi="Times New Roman"/>
          <w:b w:val="0"/>
          <w:sz w:val="22"/>
          <w:szCs w:val="22"/>
          <w:u w:val="single"/>
        </w:rPr>
      </w:pPr>
    </w:p>
    <w:p w:rsidR="008967E5" w:rsidRPr="002567E4" w:rsidRDefault="008967E5" w:rsidP="00E564C1">
      <w:pPr>
        <w:pStyle w:val="Heading1"/>
        <w:tabs>
          <w:tab w:val="left" w:leader="dot" w:pos="7920"/>
          <w:tab w:val="right" w:pos="8640"/>
        </w:tabs>
        <w:rPr>
          <w:rFonts w:ascii="Times New Roman" w:hAnsi="Times New Roman"/>
          <w:b w:val="0"/>
          <w:sz w:val="22"/>
          <w:szCs w:val="22"/>
          <w:u w:val="single"/>
        </w:rPr>
      </w:pPr>
    </w:p>
    <w:p w:rsidR="008967E5" w:rsidRPr="002567E4" w:rsidRDefault="008967E5" w:rsidP="00E564C1">
      <w:pPr>
        <w:pStyle w:val="Heading1"/>
        <w:tabs>
          <w:tab w:val="left" w:leader="dot" w:pos="7920"/>
          <w:tab w:val="right" w:pos="8640"/>
        </w:tabs>
        <w:rPr>
          <w:rFonts w:ascii="Times New Roman" w:hAnsi="Times New Roman"/>
          <w:b w:val="0"/>
          <w:sz w:val="22"/>
          <w:szCs w:val="22"/>
          <w:u w:val="single"/>
        </w:rPr>
      </w:pPr>
    </w:p>
    <w:p w:rsidR="008967E5" w:rsidRPr="002567E4" w:rsidRDefault="008967E5" w:rsidP="00E564C1">
      <w:pPr>
        <w:pStyle w:val="Heading1"/>
        <w:tabs>
          <w:tab w:val="left" w:leader="dot" w:pos="7920"/>
          <w:tab w:val="right" w:pos="8640"/>
        </w:tabs>
        <w:rPr>
          <w:rFonts w:ascii="Times New Roman" w:hAnsi="Times New Roman"/>
          <w:b w:val="0"/>
          <w:sz w:val="22"/>
          <w:szCs w:val="22"/>
          <w:u w:val="single"/>
        </w:rPr>
      </w:pPr>
    </w:p>
    <w:p w:rsidR="008967E5" w:rsidRPr="002567E4" w:rsidRDefault="008967E5" w:rsidP="00E564C1">
      <w:pPr>
        <w:pStyle w:val="Heading1"/>
        <w:tabs>
          <w:tab w:val="left" w:leader="dot" w:pos="7920"/>
          <w:tab w:val="right" w:pos="8640"/>
        </w:tabs>
        <w:rPr>
          <w:rFonts w:ascii="Times New Roman" w:hAnsi="Times New Roman"/>
          <w:b w:val="0"/>
          <w:sz w:val="22"/>
          <w:szCs w:val="22"/>
          <w:u w:val="single"/>
        </w:rPr>
      </w:pPr>
    </w:p>
    <w:p w:rsidR="008967E5" w:rsidRPr="002567E4" w:rsidRDefault="008967E5" w:rsidP="00E564C1">
      <w:pPr>
        <w:pStyle w:val="Heading1"/>
        <w:tabs>
          <w:tab w:val="left" w:leader="dot" w:pos="7920"/>
          <w:tab w:val="right" w:pos="8640"/>
        </w:tabs>
        <w:rPr>
          <w:rFonts w:ascii="Times New Roman" w:hAnsi="Times New Roman"/>
          <w:b w:val="0"/>
          <w:sz w:val="22"/>
          <w:szCs w:val="22"/>
          <w:u w:val="single"/>
        </w:rPr>
      </w:pPr>
    </w:p>
    <w:p w:rsidR="008967E5" w:rsidRPr="002567E4" w:rsidRDefault="008967E5" w:rsidP="00E564C1">
      <w:pPr>
        <w:pStyle w:val="Heading1"/>
        <w:tabs>
          <w:tab w:val="left" w:leader="dot" w:pos="7920"/>
          <w:tab w:val="right" w:pos="8640"/>
        </w:tabs>
        <w:rPr>
          <w:rFonts w:ascii="Times New Roman" w:hAnsi="Times New Roman"/>
          <w:b w:val="0"/>
          <w:szCs w:val="24"/>
          <w:u w:val="single"/>
        </w:rPr>
      </w:pPr>
    </w:p>
    <w:p w:rsidR="008967E5" w:rsidRPr="002567E4" w:rsidRDefault="008967E5" w:rsidP="00E564C1">
      <w:pPr>
        <w:pStyle w:val="Heading1"/>
        <w:tabs>
          <w:tab w:val="left" w:leader="dot" w:pos="7920"/>
          <w:tab w:val="right" w:pos="8640"/>
        </w:tabs>
        <w:rPr>
          <w:rFonts w:ascii="Times New Roman" w:hAnsi="Times New Roman"/>
          <w:b w:val="0"/>
          <w:sz w:val="26"/>
          <w:szCs w:val="26"/>
          <w:u w:val="single"/>
        </w:rPr>
      </w:pPr>
    </w:p>
    <w:p w:rsidR="008967E5" w:rsidRPr="002567E4" w:rsidRDefault="008967E5" w:rsidP="0062050A">
      <w:pPr>
        <w:pStyle w:val="Heading1"/>
        <w:tabs>
          <w:tab w:val="left" w:leader="dot" w:pos="7920"/>
          <w:tab w:val="right" w:pos="8640"/>
        </w:tabs>
        <w:rPr>
          <w:rFonts w:ascii="Times New Roman" w:hAnsi="Times New Roman"/>
          <w:sz w:val="26"/>
          <w:szCs w:val="26"/>
          <w:u w:val="single"/>
        </w:rPr>
      </w:pPr>
    </w:p>
    <w:p w:rsidR="008967E5" w:rsidRPr="002567E4" w:rsidRDefault="008967E5" w:rsidP="0062050A">
      <w:pPr>
        <w:jc w:val="center"/>
        <w:rPr>
          <w:sz w:val="26"/>
          <w:szCs w:val="26"/>
        </w:rPr>
      </w:pPr>
    </w:p>
    <w:p w:rsidR="008967E5" w:rsidRPr="009945D8" w:rsidRDefault="008967E5" w:rsidP="0062050A">
      <w:pPr>
        <w:pStyle w:val="Heading1"/>
        <w:tabs>
          <w:tab w:val="left" w:leader="dot" w:pos="7920"/>
          <w:tab w:val="right" w:pos="8640"/>
        </w:tabs>
        <w:rPr>
          <w:rFonts w:ascii="Times New Roman" w:hAnsi="Times New Roman"/>
          <w:sz w:val="28"/>
          <w:szCs w:val="28"/>
        </w:rPr>
      </w:pPr>
      <w:smartTag w:uri="urn:schemas-microsoft-com:office:smarttags" w:element="country-region">
        <w:smartTag w:uri="urn:schemas-microsoft-com:office:smarttags" w:element="place">
          <w:r w:rsidRPr="009945D8">
            <w:rPr>
              <w:rFonts w:ascii="Times New Roman" w:hAnsi="Times New Roman"/>
              <w:sz w:val="28"/>
              <w:szCs w:val="28"/>
            </w:rPr>
            <w:t>U.S.</w:t>
          </w:r>
        </w:smartTag>
      </w:smartTag>
      <w:r w:rsidRPr="009945D8">
        <w:rPr>
          <w:rFonts w:ascii="Times New Roman" w:hAnsi="Times New Roman"/>
          <w:sz w:val="28"/>
          <w:szCs w:val="28"/>
        </w:rPr>
        <w:t xml:space="preserve"> Department of Justice</w:t>
      </w:r>
    </w:p>
    <w:p w:rsidR="008967E5" w:rsidRPr="006F3017" w:rsidRDefault="008967E5" w:rsidP="006F3017"/>
    <w:p w:rsidR="008967E5" w:rsidRDefault="008967E5" w:rsidP="0062050A">
      <w:pPr>
        <w:pStyle w:val="Heading1"/>
        <w:tabs>
          <w:tab w:val="left" w:leader="dot" w:pos="7920"/>
          <w:tab w:val="right" w:pos="8640"/>
        </w:tabs>
        <w:rPr>
          <w:rFonts w:ascii="Times New Roman" w:hAnsi="Times New Roman"/>
          <w:sz w:val="28"/>
          <w:szCs w:val="28"/>
        </w:rPr>
      </w:pPr>
      <w:r w:rsidRPr="0086501F">
        <w:rPr>
          <w:rFonts w:ascii="Times New Roman" w:hAnsi="Times New Roman"/>
          <w:sz w:val="28"/>
          <w:szCs w:val="28"/>
        </w:rPr>
        <w:t xml:space="preserve">FY </w:t>
      </w:r>
      <w:r>
        <w:rPr>
          <w:rFonts w:ascii="Times New Roman" w:hAnsi="Times New Roman"/>
          <w:sz w:val="28"/>
          <w:szCs w:val="28"/>
        </w:rPr>
        <w:t>2012 Performance Budget</w:t>
      </w:r>
    </w:p>
    <w:p w:rsidR="008967E5" w:rsidRPr="009945D8" w:rsidRDefault="008967E5" w:rsidP="0062050A">
      <w:pPr>
        <w:pStyle w:val="Heading1"/>
        <w:tabs>
          <w:tab w:val="left" w:leader="dot" w:pos="7920"/>
          <w:tab w:val="right" w:pos="8640"/>
        </w:tabs>
        <w:rPr>
          <w:rFonts w:ascii="Times New Roman" w:hAnsi="Times New Roman"/>
          <w:sz w:val="28"/>
          <w:szCs w:val="28"/>
        </w:rPr>
      </w:pPr>
      <w:r w:rsidRPr="009945D8">
        <w:rPr>
          <w:rFonts w:ascii="Times New Roman" w:hAnsi="Times New Roman"/>
          <w:sz w:val="28"/>
          <w:szCs w:val="28"/>
        </w:rPr>
        <w:t>Congressional Justification</w:t>
      </w:r>
    </w:p>
    <w:p w:rsidR="008967E5" w:rsidRPr="002567E4" w:rsidRDefault="008967E5" w:rsidP="000A59C2">
      <w:pPr>
        <w:rPr>
          <w:b/>
          <w:sz w:val="26"/>
          <w:szCs w:val="26"/>
        </w:rPr>
      </w:pPr>
    </w:p>
    <w:p w:rsidR="008967E5" w:rsidRPr="009945D8" w:rsidRDefault="008967E5" w:rsidP="0062050A">
      <w:pPr>
        <w:pStyle w:val="Heading1"/>
        <w:tabs>
          <w:tab w:val="left" w:leader="dot" w:pos="7920"/>
          <w:tab w:val="right" w:pos="8640"/>
        </w:tabs>
        <w:rPr>
          <w:rFonts w:ascii="Times New Roman" w:hAnsi="Times New Roman"/>
          <w:b w:val="0"/>
          <w:sz w:val="36"/>
          <w:szCs w:val="36"/>
        </w:rPr>
      </w:pPr>
      <w:r w:rsidRPr="009945D8">
        <w:rPr>
          <w:rFonts w:ascii="Times New Roman" w:hAnsi="Times New Roman"/>
          <w:b w:val="0"/>
          <w:sz w:val="36"/>
          <w:szCs w:val="36"/>
        </w:rPr>
        <w:t>Justice Information Sharing Technology</w:t>
      </w:r>
    </w:p>
    <w:p w:rsidR="008967E5" w:rsidRDefault="008967E5" w:rsidP="00381E4B">
      <w:pPr>
        <w:rPr>
          <w:sz w:val="22"/>
          <w:szCs w:val="22"/>
        </w:rPr>
      </w:pPr>
    </w:p>
    <w:p w:rsidR="008967E5" w:rsidRPr="003C0FF1" w:rsidRDefault="008967E5" w:rsidP="003C0FF1">
      <w:pPr>
        <w:rPr>
          <w:sz w:val="22"/>
          <w:szCs w:val="22"/>
        </w:rPr>
      </w:pPr>
    </w:p>
    <w:p w:rsidR="008967E5" w:rsidRPr="003C0FF1" w:rsidRDefault="008967E5" w:rsidP="003C0FF1">
      <w:pPr>
        <w:rPr>
          <w:sz w:val="22"/>
          <w:szCs w:val="22"/>
        </w:rPr>
      </w:pPr>
    </w:p>
    <w:p w:rsidR="008967E5" w:rsidRPr="003C0FF1" w:rsidRDefault="008967E5" w:rsidP="003C0FF1">
      <w:pPr>
        <w:rPr>
          <w:sz w:val="22"/>
          <w:szCs w:val="22"/>
        </w:rPr>
      </w:pPr>
    </w:p>
    <w:p w:rsidR="008967E5" w:rsidRPr="003C0FF1" w:rsidRDefault="008967E5" w:rsidP="003C0FF1">
      <w:pPr>
        <w:rPr>
          <w:sz w:val="22"/>
          <w:szCs w:val="22"/>
        </w:rPr>
      </w:pPr>
    </w:p>
    <w:p w:rsidR="008967E5" w:rsidRPr="003C0FF1" w:rsidRDefault="008967E5" w:rsidP="003C0FF1">
      <w:pPr>
        <w:rPr>
          <w:sz w:val="22"/>
          <w:szCs w:val="22"/>
        </w:rPr>
      </w:pPr>
    </w:p>
    <w:p w:rsidR="008967E5" w:rsidRDefault="008967E5" w:rsidP="003C0FF1">
      <w:pPr>
        <w:rPr>
          <w:sz w:val="22"/>
          <w:szCs w:val="22"/>
        </w:rPr>
      </w:pPr>
    </w:p>
    <w:p w:rsidR="008967E5" w:rsidRDefault="008967E5" w:rsidP="003C0FF1">
      <w:pPr>
        <w:tabs>
          <w:tab w:val="left" w:pos="2190"/>
        </w:tabs>
        <w:rPr>
          <w:sz w:val="22"/>
          <w:szCs w:val="22"/>
        </w:rPr>
      </w:pPr>
      <w:r>
        <w:rPr>
          <w:sz w:val="22"/>
          <w:szCs w:val="22"/>
        </w:rPr>
        <w:tab/>
      </w:r>
    </w:p>
    <w:p w:rsidR="008967E5" w:rsidRDefault="008967E5" w:rsidP="003C0FF1">
      <w:pPr>
        <w:rPr>
          <w:sz w:val="22"/>
          <w:szCs w:val="22"/>
        </w:rPr>
      </w:pPr>
    </w:p>
    <w:p w:rsidR="008967E5" w:rsidRPr="003C0FF1" w:rsidRDefault="008967E5" w:rsidP="003C0FF1">
      <w:pPr>
        <w:rPr>
          <w:sz w:val="22"/>
          <w:szCs w:val="22"/>
        </w:rPr>
        <w:sectPr w:rsidR="008967E5" w:rsidRPr="003C0FF1" w:rsidSect="002076C9">
          <w:headerReference w:type="default" r:id="rId7"/>
          <w:footerReference w:type="even" r:id="rId8"/>
          <w:footerReference w:type="default" r:id="rId9"/>
          <w:footerReference w:type="first" r:id="rId10"/>
          <w:pgSz w:w="12240" w:h="15840" w:code="1"/>
          <w:pgMar w:top="1008" w:right="1152" w:bottom="1008" w:left="1152" w:header="432" w:footer="432" w:gutter="0"/>
          <w:cols w:space="720"/>
          <w:titlePg/>
        </w:sectPr>
      </w:pPr>
    </w:p>
    <w:p w:rsidR="008967E5" w:rsidRPr="002567E4" w:rsidRDefault="008967E5" w:rsidP="00BF134D">
      <w:pPr>
        <w:pStyle w:val="Heading1"/>
        <w:tabs>
          <w:tab w:val="left" w:leader="dot" w:pos="7920"/>
          <w:tab w:val="right" w:pos="8640"/>
        </w:tabs>
        <w:rPr>
          <w:rFonts w:ascii="Times New Roman" w:hAnsi="Times New Roman"/>
          <w:sz w:val="22"/>
          <w:szCs w:val="22"/>
        </w:rPr>
      </w:pPr>
      <w:r w:rsidRPr="002567E4">
        <w:rPr>
          <w:rFonts w:ascii="Times New Roman" w:hAnsi="Times New Roman"/>
          <w:sz w:val="22"/>
          <w:szCs w:val="22"/>
        </w:rPr>
        <w:lastRenderedPageBreak/>
        <w:t>Table of Contents</w:t>
      </w:r>
    </w:p>
    <w:p w:rsidR="008967E5" w:rsidRPr="002567E4" w:rsidRDefault="008967E5">
      <w:pPr>
        <w:tabs>
          <w:tab w:val="left" w:leader="dot" w:pos="7920"/>
          <w:tab w:val="right" w:pos="8640"/>
        </w:tabs>
        <w:rPr>
          <w:b/>
          <w:sz w:val="22"/>
          <w:szCs w:val="22"/>
        </w:rPr>
      </w:pPr>
    </w:p>
    <w:p w:rsidR="008967E5" w:rsidRPr="002567E4" w:rsidRDefault="008967E5" w:rsidP="00E0065D">
      <w:pPr>
        <w:pStyle w:val="xl19"/>
        <w:tabs>
          <w:tab w:val="right" w:pos="8730"/>
        </w:tabs>
        <w:spacing w:before="0" w:after="0"/>
        <w:outlineLvl w:val="0"/>
        <w:rPr>
          <w:bCs/>
          <w:sz w:val="22"/>
          <w:szCs w:val="22"/>
        </w:rPr>
      </w:pPr>
      <w:r w:rsidRPr="002567E4">
        <w:rPr>
          <w:bCs/>
          <w:sz w:val="22"/>
          <w:szCs w:val="22"/>
        </w:rPr>
        <w:tab/>
      </w:r>
      <w:r>
        <w:rPr>
          <w:bCs/>
          <w:sz w:val="22"/>
          <w:szCs w:val="22"/>
        </w:rPr>
        <w:t xml:space="preserve">  </w:t>
      </w:r>
      <w:r w:rsidRPr="002567E4">
        <w:rPr>
          <w:bCs/>
          <w:sz w:val="22"/>
          <w:szCs w:val="22"/>
        </w:rPr>
        <w:t>Page No.</w:t>
      </w:r>
    </w:p>
    <w:p w:rsidR="008967E5" w:rsidRDefault="008967E5" w:rsidP="00FC41F3">
      <w:pPr>
        <w:pStyle w:val="xl19"/>
        <w:tabs>
          <w:tab w:val="left" w:pos="540"/>
          <w:tab w:val="right" w:leader="dot" w:pos="7920"/>
          <w:tab w:val="left" w:pos="8460"/>
          <w:tab w:val="left" w:pos="8640"/>
          <w:tab w:val="right" w:leader="dot" w:pos="8730"/>
          <w:tab w:val="left" w:pos="8820"/>
        </w:tabs>
        <w:spacing w:before="0" w:after="0"/>
        <w:outlineLvl w:val="0"/>
        <w:rPr>
          <w:bCs/>
          <w:sz w:val="22"/>
          <w:szCs w:val="22"/>
        </w:rPr>
      </w:pPr>
    </w:p>
    <w:p w:rsidR="008967E5" w:rsidRPr="002567E4" w:rsidRDefault="008967E5" w:rsidP="009A6FBD">
      <w:pPr>
        <w:pStyle w:val="xl19"/>
        <w:tabs>
          <w:tab w:val="right" w:leader="dot" w:pos="7920"/>
          <w:tab w:val="left" w:pos="8460"/>
          <w:tab w:val="left" w:pos="8640"/>
          <w:tab w:val="right" w:leader="dot" w:pos="8730"/>
          <w:tab w:val="right" w:pos="8820"/>
        </w:tabs>
        <w:spacing w:before="0" w:after="0"/>
        <w:outlineLvl w:val="0"/>
        <w:rPr>
          <w:b/>
          <w:bCs/>
          <w:sz w:val="22"/>
          <w:szCs w:val="22"/>
        </w:rPr>
      </w:pPr>
      <w:r>
        <w:rPr>
          <w:bCs/>
          <w:sz w:val="22"/>
          <w:szCs w:val="22"/>
        </w:rPr>
        <w:t xml:space="preserve">  </w:t>
      </w:r>
      <w:r w:rsidRPr="002567E4">
        <w:rPr>
          <w:b/>
          <w:bCs/>
          <w:sz w:val="22"/>
          <w:szCs w:val="22"/>
        </w:rPr>
        <w:t xml:space="preserve">I.   </w:t>
      </w:r>
      <w:r>
        <w:rPr>
          <w:b/>
          <w:bCs/>
          <w:sz w:val="22"/>
          <w:szCs w:val="22"/>
        </w:rPr>
        <w:t xml:space="preserve"> </w:t>
      </w:r>
      <w:r w:rsidRPr="002567E4">
        <w:rPr>
          <w:b/>
          <w:bCs/>
          <w:sz w:val="22"/>
          <w:szCs w:val="22"/>
        </w:rPr>
        <w:t>Overview</w:t>
      </w:r>
      <w:r>
        <w:rPr>
          <w:bCs/>
          <w:sz w:val="22"/>
          <w:szCs w:val="22"/>
        </w:rPr>
        <w:t>……………………………………………………………………………………….</w:t>
      </w:r>
      <w:r w:rsidR="009A6FBD">
        <w:rPr>
          <w:bCs/>
          <w:sz w:val="22"/>
          <w:szCs w:val="22"/>
        </w:rPr>
        <w:tab/>
      </w:r>
      <w:r>
        <w:rPr>
          <w:bCs/>
          <w:sz w:val="22"/>
          <w:szCs w:val="22"/>
        </w:rPr>
        <w:t>3</w:t>
      </w:r>
    </w:p>
    <w:p w:rsidR="008967E5" w:rsidRDefault="008967E5" w:rsidP="009A6FBD">
      <w:pPr>
        <w:pStyle w:val="xl19"/>
        <w:tabs>
          <w:tab w:val="right" w:leader="dot" w:pos="7920"/>
          <w:tab w:val="left" w:pos="8640"/>
          <w:tab w:val="right" w:leader="dot" w:pos="8730"/>
          <w:tab w:val="right" w:pos="8820"/>
        </w:tabs>
        <w:spacing w:before="0" w:after="0"/>
        <w:outlineLvl w:val="0"/>
        <w:rPr>
          <w:b/>
          <w:bCs/>
          <w:sz w:val="22"/>
          <w:szCs w:val="22"/>
        </w:rPr>
      </w:pPr>
    </w:p>
    <w:p w:rsidR="008967E5" w:rsidRDefault="008967E5" w:rsidP="009A6FBD">
      <w:pPr>
        <w:pStyle w:val="xl19"/>
        <w:tabs>
          <w:tab w:val="left" w:pos="540"/>
          <w:tab w:val="right" w:leader="dot" w:pos="7920"/>
          <w:tab w:val="left" w:pos="8640"/>
          <w:tab w:val="right" w:leader="dot" w:pos="8730"/>
          <w:tab w:val="right" w:pos="8820"/>
        </w:tabs>
        <w:spacing w:before="0" w:after="0"/>
        <w:outlineLvl w:val="0"/>
        <w:rPr>
          <w:bCs/>
          <w:sz w:val="22"/>
          <w:szCs w:val="22"/>
        </w:rPr>
      </w:pPr>
      <w:r>
        <w:rPr>
          <w:b/>
          <w:bCs/>
          <w:sz w:val="22"/>
          <w:szCs w:val="22"/>
        </w:rPr>
        <w:t xml:space="preserve"> </w:t>
      </w:r>
      <w:r w:rsidRPr="002567E4">
        <w:rPr>
          <w:b/>
          <w:bCs/>
          <w:sz w:val="22"/>
          <w:szCs w:val="22"/>
        </w:rPr>
        <w:t>II.   Summary of Prog</w:t>
      </w:r>
      <w:r>
        <w:rPr>
          <w:b/>
          <w:bCs/>
          <w:sz w:val="22"/>
          <w:szCs w:val="22"/>
        </w:rPr>
        <w:t xml:space="preserve">ram </w:t>
      </w:r>
      <w:r w:rsidRPr="00385987">
        <w:rPr>
          <w:b/>
          <w:bCs/>
          <w:sz w:val="22"/>
          <w:szCs w:val="22"/>
        </w:rPr>
        <w:t>Changes</w:t>
      </w:r>
      <w:r>
        <w:rPr>
          <w:bCs/>
          <w:sz w:val="22"/>
          <w:szCs w:val="22"/>
        </w:rPr>
        <w:t>……………………………………………………………….</w:t>
      </w:r>
      <w:r w:rsidR="009A6FBD">
        <w:rPr>
          <w:bCs/>
          <w:sz w:val="22"/>
          <w:szCs w:val="22"/>
        </w:rPr>
        <w:tab/>
      </w:r>
      <w:r w:rsidRPr="00385987">
        <w:rPr>
          <w:bCs/>
          <w:sz w:val="22"/>
          <w:szCs w:val="22"/>
        </w:rPr>
        <w:t>4</w:t>
      </w:r>
    </w:p>
    <w:p w:rsidR="008967E5" w:rsidRDefault="008967E5" w:rsidP="009A6FBD">
      <w:pPr>
        <w:pStyle w:val="xl19"/>
        <w:tabs>
          <w:tab w:val="left" w:leader="dot" w:pos="7920"/>
          <w:tab w:val="right" w:pos="8640"/>
          <w:tab w:val="right" w:pos="8820"/>
        </w:tabs>
        <w:spacing w:before="0" w:after="0"/>
        <w:rPr>
          <w:b/>
          <w:sz w:val="22"/>
          <w:szCs w:val="22"/>
        </w:rPr>
      </w:pPr>
    </w:p>
    <w:p w:rsidR="008967E5" w:rsidRPr="002567E4" w:rsidRDefault="008967E5" w:rsidP="009A6FBD">
      <w:pPr>
        <w:pStyle w:val="xl19"/>
        <w:tabs>
          <w:tab w:val="left" w:pos="180"/>
          <w:tab w:val="left" w:pos="360"/>
          <w:tab w:val="left" w:pos="540"/>
          <w:tab w:val="left" w:leader="dot" w:pos="7920"/>
          <w:tab w:val="right" w:pos="8640"/>
          <w:tab w:val="right" w:pos="8820"/>
        </w:tabs>
        <w:spacing w:before="0" w:after="0"/>
        <w:rPr>
          <w:b/>
          <w:bCs/>
          <w:sz w:val="22"/>
          <w:szCs w:val="22"/>
        </w:rPr>
      </w:pPr>
      <w:r>
        <w:rPr>
          <w:b/>
          <w:sz w:val="22"/>
          <w:szCs w:val="22"/>
        </w:rPr>
        <w:t xml:space="preserve">III.   </w:t>
      </w:r>
      <w:r w:rsidRPr="002567E4">
        <w:rPr>
          <w:b/>
          <w:sz w:val="22"/>
          <w:szCs w:val="22"/>
        </w:rPr>
        <w:t>Appropriations Language and Analysis of Appropriations Language</w:t>
      </w:r>
      <w:r>
        <w:rPr>
          <w:sz w:val="22"/>
          <w:szCs w:val="22"/>
        </w:rPr>
        <w:t>……………………</w:t>
      </w:r>
      <w:r w:rsidRPr="00E24284">
        <w:rPr>
          <w:sz w:val="22"/>
          <w:szCs w:val="22"/>
        </w:rPr>
        <w:t>.</w:t>
      </w:r>
      <w:r w:rsidR="009A6FBD">
        <w:rPr>
          <w:sz w:val="22"/>
          <w:szCs w:val="22"/>
        </w:rPr>
        <w:tab/>
        <w:t>5</w:t>
      </w:r>
    </w:p>
    <w:p w:rsidR="008967E5" w:rsidRPr="002567E4" w:rsidRDefault="008967E5">
      <w:pPr>
        <w:pStyle w:val="xl27"/>
        <w:tabs>
          <w:tab w:val="left" w:leader="dot" w:pos="7920"/>
          <w:tab w:val="right" w:pos="8640"/>
        </w:tabs>
        <w:spacing w:before="0" w:after="0"/>
        <w:rPr>
          <w:rFonts w:ascii="Times New Roman" w:hAnsi="Times New Roman"/>
          <w:sz w:val="22"/>
          <w:szCs w:val="22"/>
        </w:rPr>
      </w:pPr>
    </w:p>
    <w:p w:rsidR="008967E5" w:rsidRDefault="008967E5" w:rsidP="00A44B98">
      <w:pPr>
        <w:pStyle w:val="xl27"/>
        <w:tabs>
          <w:tab w:val="left" w:leader="dot" w:pos="7920"/>
          <w:tab w:val="right" w:pos="8640"/>
        </w:tabs>
        <w:spacing w:before="0" w:after="0"/>
        <w:rPr>
          <w:bCs/>
          <w:sz w:val="22"/>
          <w:szCs w:val="22"/>
        </w:rPr>
      </w:pPr>
      <w:r>
        <w:rPr>
          <w:rFonts w:ascii="Times New Roman" w:hAnsi="Times New Roman"/>
          <w:sz w:val="22"/>
          <w:szCs w:val="22"/>
        </w:rPr>
        <w:t>I</w:t>
      </w:r>
      <w:r w:rsidRPr="002567E4">
        <w:rPr>
          <w:rFonts w:ascii="Times New Roman" w:hAnsi="Times New Roman"/>
          <w:sz w:val="22"/>
          <w:szCs w:val="22"/>
        </w:rPr>
        <w:t>V.   Decision Unit Justification</w:t>
      </w:r>
      <w:r>
        <w:rPr>
          <w:bCs/>
          <w:sz w:val="22"/>
          <w:szCs w:val="22"/>
        </w:rPr>
        <w:t xml:space="preserve"> </w:t>
      </w:r>
    </w:p>
    <w:p w:rsidR="008967E5" w:rsidRPr="00A44B98" w:rsidRDefault="008967E5" w:rsidP="00A44B98">
      <w:pPr>
        <w:pStyle w:val="xl27"/>
        <w:tabs>
          <w:tab w:val="left" w:leader="dot" w:pos="7920"/>
          <w:tab w:val="right" w:pos="8640"/>
        </w:tabs>
        <w:spacing w:before="0" w:after="0"/>
        <w:rPr>
          <w:rFonts w:ascii="Times New Roman" w:hAnsi="Times New Roman"/>
          <w:sz w:val="22"/>
          <w:szCs w:val="22"/>
        </w:rPr>
      </w:pPr>
    </w:p>
    <w:p w:rsidR="008967E5" w:rsidRPr="002567E4" w:rsidRDefault="008967E5" w:rsidP="009A6FBD">
      <w:pPr>
        <w:tabs>
          <w:tab w:val="left" w:leader="dot" w:pos="7920"/>
          <w:tab w:val="left" w:pos="8010"/>
          <w:tab w:val="left" w:pos="8100"/>
          <w:tab w:val="left" w:pos="8460"/>
          <w:tab w:val="left" w:pos="8640"/>
          <w:tab w:val="right" w:pos="8820"/>
        </w:tabs>
        <w:rPr>
          <w:bCs/>
          <w:sz w:val="22"/>
          <w:szCs w:val="22"/>
        </w:rPr>
      </w:pPr>
      <w:r w:rsidRPr="002567E4">
        <w:rPr>
          <w:bCs/>
          <w:sz w:val="22"/>
          <w:szCs w:val="22"/>
        </w:rPr>
        <w:t xml:space="preserve">     A.  Justice Information Sharing Technology</w:t>
      </w:r>
      <w:r>
        <w:rPr>
          <w:bCs/>
          <w:sz w:val="22"/>
          <w:szCs w:val="22"/>
        </w:rPr>
        <w:t>……………………………………………………</w:t>
      </w:r>
      <w:r w:rsidR="009A6FBD">
        <w:rPr>
          <w:bCs/>
          <w:sz w:val="22"/>
          <w:szCs w:val="22"/>
        </w:rPr>
        <w:t>.</w:t>
      </w:r>
      <w:r w:rsidR="00ED11CF">
        <w:rPr>
          <w:bCs/>
          <w:sz w:val="22"/>
          <w:szCs w:val="22"/>
        </w:rPr>
        <w:t>.</w:t>
      </w:r>
      <w:r w:rsidR="009A6FBD">
        <w:rPr>
          <w:bCs/>
          <w:sz w:val="22"/>
          <w:szCs w:val="22"/>
        </w:rPr>
        <w:t>6</w:t>
      </w:r>
    </w:p>
    <w:p w:rsidR="008967E5" w:rsidRPr="002567E4" w:rsidRDefault="008967E5" w:rsidP="009A6FBD">
      <w:pPr>
        <w:tabs>
          <w:tab w:val="left" w:leader="dot" w:pos="7920"/>
          <w:tab w:val="left" w:pos="8550"/>
          <w:tab w:val="right" w:pos="8640"/>
          <w:tab w:val="right" w:pos="8820"/>
        </w:tabs>
        <w:rPr>
          <w:bCs/>
          <w:sz w:val="22"/>
          <w:szCs w:val="22"/>
        </w:rPr>
      </w:pPr>
      <w:r w:rsidRPr="002567E4">
        <w:rPr>
          <w:bCs/>
          <w:sz w:val="22"/>
          <w:szCs w:val="22"/>
        </w:rPr>
        <w:t xml:space="preserve">           1.  Program Description</w:t>
      </w:r>
      <w:r>
        <w:rPr>
          <w:bCs/>
          <w:sz w:val="22"/>
          <w:szCs w:val="22"/>
        </w:rPr>
        <w:t>……………………………………………………………………</w:t>
      </w:r>
      <w:r w:rsidR="00ED11CF">
        <w:rPr>
          <w:bCs/>
          <w:sz w:val="22"/>
          <w:szCs w:val="22"/>
        </w:rPr>
        <w:t>…</w:t>
      </w:r>
      <w:r>
        <w:rPr>
          <w:bCs/>
          <w:sz w:val="22"/>
          <w:szCs w:val="22"/>
        </w:rPr>
        <w:t>.</w:t>
      </w:r>
      <w:r w:rsidR="009A6FBD">
        <w:rPr>
          <w:bCs/>
          <w:sz w:val="22"/>
          <w:szCs w:val="22"/>
        </w:rPr>
        <w:tab/>
        <w:t>6</w:t>
      </w:r>
    </w:p>
    <w:p w:rsidR="008967E5" w:rsidRPr="002567E4" w:rsidRDefault="008967E5" w:rsidP="009A6FBD">
      <w:pPr>
        <w:tabs>
          <w:tab w:val="left" w:leader="dot" w:pos="7920"/>
          <w:tab w:val="right" w:pos="8640"/>
          <w:tab w:val="right" w:pos="8820"/>
        </w:tabs>
        <w:rPr>
          <w:bCs/>
          <w:sz w:val="22"/>
          <w:szCs w:val="22"/>
        </w:rPr>
      </w:pPr>
      <w:r w:rsidRPr="002567E4">
        <w:rPr>
          <w:bCs/>
          <w:sz w:val="22"/>
          <w:szCs w:val="22"/>
        </w:rPr>
        <w:t xml:space="preserve">           2.  Performance Tables</w:t>
      </w:r>
      <w:r>
        <w:rPr>
          <w:bCs/>
          <w:sz w:val="22"/>
          <w:szCs w:val="22"/>
        </w:rPr>
        <w:t>…………………………………………………………………........</w:t>
      </w:r>
      <w:r w:rsidR="009A6FBD">
        <w:rPr>
          <w:bCs/>
          <w:sz w:val="22"/>
          <w:szCs w:val="22"/>
        </w:rPr>
        <w:tab/>
      </w:r>
      <w:r>
        <w:rPr>
          <w:bCs/>
          <w:sz w:val="22"/>
          <w:szCs w:val="22"/>
        </w:rPr>
        <w:t>1</w:t>
      </w:r>
      <w:r w:rsidR="009A6FBD">
        <w:rPr>
          <w:bCs/>
          <w:sz w:val="22"/>
          <w:szCs w:val="22"/>
        </w:rPr>
        <w:t>5</w:t>
      </w:r>
    </w:p>
    <w:p w:rsidR="008967E5" w:rsidRPr="002567E4" w:rsidRDefault="008967E5" w:rsidP="009A6FBD">
      <w:pPr>
        <w:tabs>
          <w:tab w:val="left" w:leader="dot" w:pos="7920"/>
          <w:tab w:val="right" w:pos="8640"/>
          <w:tab w:val="right" w:pos="8820"/>
        </w:tabs>
        <w:rPr>
          <w:sz w:val="22"/>
          <w:szCs w:val="22"/>
        </w:rPr>
      </w:pPr>
      <w:r w:rsidRPr="002567E4">
        <w:rPr>
          <w:bCs/>
          <w:sz w:val="22"/>
          <w:szCs w:val="22"/>
        </w:rPr>
        <w:t xml:space="preserve">           3.  </w:t>
      </w:r>
      <w:r w:rsidRPr="002567E4">
        <w:rPr>
          <w:sz w:val="22"/>
          <w:szCs w:val="22"/>
        </w:rPr>
        <w:t>Performance, Resources, and Strategies</w:t>
      </w:r>
      <w:r w:rsidR="009A6FBD">
        <w:rPr>
          <w:sz w:val="22"/>
          <w:szCs w:val="22"/>
        </w:rPr>
        <w:t>………………………………………………….</w:t>
      </w:r>
      <w:r w:rsidR="009A6FBD">
        <w:rPr>
          <w:sz w:val="22"/>
          <w:szCs w:val="22"/>
        </w:rPr>
        <w:tab/>
      </w:r>
      <w:r>
        <w:rPr>
          <w:sz w:val="22"/>
          <w:szCs w:val="22"/>
        </w:rPr>
        <w:t>1</w:t>
      </w:r>
      <w:r w:rsidR="009A6FBD">
        <w:rPr>
          <w:sz w:val="22"/>
          <w:szCs w:val="22"/>
        </w:rPr>
        <w:t>7</w:t>
      </w:r>
    </w:p>
    <w:p w:rsidR="008967E5" w:rsidRPr="002567E4" w:rsidRDefault="008967E5" w:rsidP="009A6FBD">
      <w:pPr>
        <w:numPr>
          <w:ilvl w:val="0"/>
          <w:numId w:val="19"/>
        </w:numPr>
        <w:tabs>
          <w:tab w:val="clear" w:pos="2347"/>
          <w:tab w:val="num" w:pos="1260"/>
          <w:tab w:val="left" w:leader="dot" w:pos="7920"/>
          <w:tab w:val="right" w:pos="8820"/>
        </w:tabs>
        <w:ind w:left="900"/>
        <w:rPr>
          <w:sz w:val="22"/>
          <w:szCs w:val="22"/>
        </w:rPr>
      </w:pPr>
      <w:r w:rsidRPr="002567E4">
        <w:rPr>
          <w:sz w:val="22"/>
          <w:szCs w:val="22"/>
        </w:rPr>
        <w:t>Performance Plan and Report for Outcomes</w:t>
      </w:r>
      <w:r>
        <w:rPr>
          <w:sz w:val="22"/>
          <w:szCs w:val="22"/>
        </w:rPr>
        <w:t>………………………………………...</w:t>
      </w:r>
      <w:r w:rsidR="009A6FBD">
        <w:rPr>
          <w:sz w:val="22"/>
          <w:szCs w:val="22"/>
        </w:rPr>
        <w:tab/>
      </w:r>
      <w:r>
        <w:rPr>
          <w:sz w:val="22"/>
          <w:szCs w:val="22"/>
        </w:rPr>
        <w:t>1</w:t>
      </w:r>
      <w:r w:rsidR="009A6FBD">
        <w:rPr>
          <w:sz w:val="22"/>
          <w:szCs w:val="22"/>
        </w:rPr>
        <w:t>7</w:t>
      </w:r>
    </w:p>
    <w:p w:rsidR="008967E5" w:rsidRPr="002567E4" w:rsidRDefault="008967E5" w:rsidP="009A6FBD">
      <w:pPr>
        <w:numPr>
          <w:ilvl w:val="0"/>
          <w:numId w:val="19"/>
        </w:numPr>
        <w:tabs>
          <w:tab w:val="clear" w:pos="2347"/>
          <w:tab w:val="num" w:pos="1260"/>
          <w:tab w:val="left" w:leader="dot" w:pos="7920"/>
          <w:tab w:val="right" w:pos="8640"/>
          <w:tab w:val="right" w:pos="8820"/>
        </w:tabs>
        <w:ind w:left="900"/>
        <w:rPr>
          <w:sz w:val="22"/>
          <w:szCs w:val="22"/>
        </w:rPr>
      </w:pPr>
      <w:r w:rsidRPr="002567E4">
        <w:rPr>
          <w:sz w:val="22"/>
          <w:szCs w:val="22"/>
        </w:rPr>
        <w:t>Strategies to Accomplish Outcomes</w:t>
      </w:r>
      <w:r>
        <w:rPr>
          <w:sz w:val="22"/>
          <w:szCs w:val="22"/>
        </w:rPr>
        <w:t>…………………………………………………</w:t>
      </w:r>
      <w:r w:rsidR="009A6FBD">
        <w:rPr>
          <w:sz w:val="22"/>
          <w:szCs w:val="22"/>
        </w:rPr>
        <w:tab/>
      </w:r>
      <w:r>
        <w:rPr>
          <w:sz w:val="22"/>
          <w:szCs w:val="22"/>
        </w:rPr>
        <w:t>1</w:t>
      </w:r>
      <w:r w:rsidR="009A6FBD">
        <w:rPr>
          <w:sz w:val="22"/>
          <w:szCs w:val="22"/>
        </w:rPr>
        <w:t>8</w:t>
      </w:r>
    </w:p>
    <w:p w:rsidR="008967E5" w:rsidRDefault="008967E5" w:rsidP="009A6FBD">
      <w:pPr>
        <w:numPr>
          <w:ilvl w:val="0"/>
          <w:numId w:val="19"/>
        </w:numPr>
        <w:tabs>
          <w:tab w:val="clear" w:pos="2347"/>
          <w:tab w:val="num" w:pos="1260"/>
          <w:tab w:val="left" w:leader="dot" w:pos="7920"/>
          <w:tab w:val="right" w:pos="8640"/>
          <w:tab w:val="right" w:pos="8820"/>
        </w:tabs>
        <w:ind w:left="900"/>
        <w:rPr>
          <w:sz w:val="22"/>
          <w:szCs w:val="22"/>
        </w:rPr>
      </w:pPr>
      <w:r w:rsidRPr="002567E4">
        <w:rPr>
          <w:sz w:val="22"/>
          <w:szCs w:val="22"/>
        </w:rPr>
        <w:t>Results of Program Assessment</w:t>
      </w:r>
      <w:r>
        <w:rPr>
          <w:sz w:val="22"/>
          <w:szCs w:val="22"/>
        </w:rPr>
        <w:t>……………………………………………………..</w:t>
      </w:r>
      <w:r w:rsidR="009A6FBD">
        <w:rPr>
          <w:sz w:val="22"/>
          <w:szCs w:val="22"/>
        </w:rPr>
        <w:tab/>
        <w:t>.</w:t>
      </w:r>
      <w:r>
        <w:rPr>
          <w:sz w:val="22"/>
          <w:szCs w:val="22"/>
        </w:rPr>
        <w:t>1</w:t>
      </w:r>
      <w:r w:rsidR="009A6FBD">
        <w:rPr>
          <w:sz w:val="22"/>
          <w:szCs w:val="22"/>
        </w:rPr>
        <w:t>8</w:t>
      </w:r>
    </w:p>
    <w:p w:rsidR="008967E5" w:rsidRDefault="008967E5" w:rsidP="009A6FBD">
      <w:pPr>
        <w:tabs>
          <w:tab w:val="left" w:leader="dot" w:pos="7920"/>
          <w:tab w:val="right" w:pos="8640"/>
          <w:tab w:val="right" w:pos="8820"/>
        </w:tabs>
        <w:rPr>
          <w:sz w:val="22"/>
          <w:szCs w:val="22"/>
        </w:rPr>
      </w:pPr>
    </w:p>
    <w:p w:rsidR="008967E5" w:rsidRDefault="008967E5" w:rsidP="00D952BA">
      <w:pPr>
        <w:tabs>
          <w:tab w:val="left" w:leader="dot" w:pos="7920"/>
          <w:tab w:val="right" w:pos="8640"/>
          <w:tab w:val="right" w:pos="8820"/>
        </w:tabs>
        <w:rPr>
          <w:sz w:val="22"/>
          <w:szCs w:val="22"/>
        </w:rPr>
      </w:pPr>
      <w:r w:rsidRPr="00652E64">
        <w:rPr>
          <w:b/>
          <w:sz w:val="22"/>
          <w:szCs w:val="22"/>
        </w:rPr>
        <w:t xml:space="preserve">V. </w:t>
      </w:r>
      <w:r>
        <w:rPr>
          <w:b/>
          <w:sz w:val="22"/>
          <w:szCs w:val="22"/>
        </w:rPr>
        <w:t>Program Offsets</w:t>
      </w:r>
      <w:r>
        <w:rPr>
          <w:sz w:val="22"/>
          <w:szCs w:val="22"/>
        </w:rPr>
        <w:t>………………………………………………………………………………..</w:t>
      </w:r>
      <w:r w:rsidR="00D952BA">
        <w:rPr>
          <w:sz w:val="22"/>
          <w:szCs w:val="22"/>
        </w:rPr>
        <w:t>.</w:t>
      </w:r>
      <w:r w:rsidR="009A6FBD">
        <w:rPr>
          <w:sz w:val="22"/>
          <w:szCs w:val="22"/>
        </w:rPr>
        <w:tab/>
      </w:r>
      <w:r>
        <w:rPr>
          <w:sz w:val="22"/>
          <w:szCs w:val="22"/>
        </w:rPr>
        <w:t>1</w:t>
      </w:r>
      <w:r w:rsidR="009A6FBD">
        <w:rPr>
          <w:sz w:val="22"/>
          <w:szCs w:val="22"/>
        </w:rPr>
        <w:t>9</w:t>
      </w:r>
    </w:p>
    <w:p w:rsidR="008967E5" w:rsidRPr="002567E4" w:rsidRDefault="008967E5" w:rsidP="0065198A">
      <w:pPr>
        <w:tabs>
          <w:tab w:val="left" w:leader="dot" w:pos="7920"/>
          <w:tab w:val="right" w:pos="8640"/>
        </w:tabs>
        <w:rPr>
          <w:bCs/>
          <w:sz w:val="22"/>
          <w:szCs w:val="22"/>
        </w:rPr>
      </w:pPr>
    </w:p>
    <w:p w:rsidR="008967E5" w:rsidRPr="00994AF0" w:rsidRDefault="008967E5" w:rsidP="00FC5B21">
      <w:pPr>
        <w:pStyle w:val="xl27"/>
        <w:tabs>
          <w:tab w:val="left" w:leader="dot" w:pos="7920"/>
          <w:tab w:val="right" w:pos="8640"/>
        </w:tabs>
        <w:spacing w:before="0" w:after="0"/>
        <w:rPr>
          <w:rFonts w:ascii="Times New Roman" w:hAnsi="Times New Roman"/>
          <w:bCs/>
          <w:sz w:val="22"/>
          <w:szCs w:val="22"/>
        </w:rPr>
      </w:pPr>
      <w:r w:rsidRPr="00994AF0">
        <w:rPr>
          <w:rFonts w:ascii="Times New Roman" w:hAnsi="Times New Roman"/>
          <w:sz w:val="22"/>
          <w:szCs w:val="22"/>
        </w:rPr>
        <w:t>VI</w:t>
      </w:r>
      <w:r>
        <w:rPr>
          <w:rFonts w:ascii="Times New Roman" w:hAnsi="Times New Roman"/>
          <w:sz w:val="22"/>
          <w:szCs w:val="22"/>
        </w:rPr>
        <w:t xml:space="preserve">. </w:t>
      </w:r>
      <w:r w:rsidRPr="00994AF0">
        <w:rPr>
          <w:rFonts w:ascii="Times New Roman" w:hAnsi="Times New Roman"/>
          <w:sz w:val="22"/>
          <w:szCs w:val="22"/>
        </w:rPr>
        <w:t>Exhibit</w:t>
      </w:r>
    </w:p>
    <w:p w:rsidR="008967E5" w:rsidRPr="002567E4" w:rsidRDefault="008967E5" w:rsidP="00A74152">
      <w:pPr>
        <w:numPr>
          <w:ilvl w:val="0"/>
          <w:numId w:val="14"/>
        </w:numPr>
        <w:tabs>
          <w:tab w:val="left" w:leader="dot" w:pos="7920"/>
          <w:tab w:val="right" w:pos="8640"/>
        </w:tabs>
        <w:outlineLvl w:val="0"/>
        <w:rPr>
          <w:bCs/>
          <w:sz w:val="22"/>
          <w:szCs w:val="22"/>
        </w:rPr>
      </w:pPr>
      <w:bookmarkStart w:id="0" w:name="OLE_LINK14"/>
      <w:bookmarkStart w:id="1" w:name="OLE_LINK15"/>
      <w:r w:rsidRPr="002567E4">
        <w:rPr>
          <w:sz w:val="22"/>
          <w:szCs w:val="22"/>
        </w:rPr>
        <w:t>Organizational Chart</w:t>
      </w:r>
    </w:p>
    <w:p w:rsidR="008967E5" w:rsidRPr="002567E4" w:rsidRDefault="008967E5" w:rsidP="00A44B98">
      <w:pPr>
        <w:pStyle w:val="xl19"/>
        <w:tabs>
          <w:tab w:val="left" w:leader="dot" w:pos="7920"/>
          <w:tab w:val="left" w:pos="8460"/>
          <w:tab w:val="left" w:pos="8550"/>
          <w:tab w:val="right" w:pos="8640"/>
        </w:tabs>
        <w:spacing w:before="0" w:after="0"/>
        <w:ind w:left="360"/>
        <w:rPr>
          <w:bCs/>
          <w:sz w:val="22"/>
          <w:szCs w:val="22"/>
        </w:rPr>
      </w:pPr>
      <w:r w:rsidRPr="002567E4">
        <w:rPr>
          <w:bCs/>
          <w:sz w:val="22"/>
          <w:szCs w:val="22"/>
        </w:rPr>
        <w:t xml:space="preserve">B.   Summary of Requirements </w:t>
      </w:r>
    </w:p>
    <w:p w:rsidR="008967E5" w:rsidRPr="002567E4" w:rsidRDefault="008967E5" w:rsidP="00A44B98">
      <w:pPr>
        <w:tabs>
          <w:tab w:val="left" w:leader="dot" w:pos="7920"/>
          <w:tab w:val="left" w:pos="8460"/>
          <w:tab w:val="left" w:pos="8550"/>
          <w:tab w:val="right" w:pos="8640"/>
        </w:tabs>
        <w:ind w:left="360"/>
        <w:rPr>
          <w:b/>
          <w:bCs/>
          <w:sz w:val="22"/>
          <w:szCs w:val="22"/>
        </w:rPr>
      </w:pPr>
      <w:r w:rsidRPr="002567E4">
        <w:rPr>
          <w:bCs/>
          <w:sz w:val="22"/>
          <w:szCs w:val="22"/>
        </w:rPr>
        <w:t>C.  Program Increases</w:t>
      </w:r>
      <w:r>
        <w:rPr>
          <w:bCs/>
          <w:sz w:val="22"/>
          <w:szCs w:val="22"/>
        </w:rPr>
        <w:t>/Offsets</w:t>
      </w:r>
      <w:r w:rsidRPr="002567E4">
        <w:rPr>
          <w:bCs/>
          <w:sz w:val="22"/>
          <w:szCs w:val="22"/>
        </w:rPr>
        <w:t xml:space="preserve"> by Decision Unit </w:t>
      </w:r>
    </w:p>
    <w:p w:rsidR="008967E5" w:rsidRPr="002567E4" w:rsidRDefault="008967E5" w:rsidP="00A74152">
      <w:pPr>
        <w:numPr>
          <w:ilvl w:val="0"/>
          <w:numId w:val="15"/>
        </w:numPr>
        <w:tabs>
          <w:tab w:val="left" w:leader="dot" w:pos="7920"/>
          <w:tab w:val="right" w:pos="8640"/>
        </w:tabs>
        <w:rPr>
          <w:bCs/>
          <w:sz w:val="22"/>
          <w:szCs w:val="22"/>
        </w:rPr>
      </w:pPr>
      <w:r w:rsidRPr="002567E4">
        <w:rPr>
          <w:bCs/>
          <w:sz w:val="22"/>
          <w:szCs w:val="22"/>
        </w:rPr>
        <w:t>Resources by DOJ Strategic Goal/Objective</w:t>
      </w:r>
    </w:p>
    <w:p w:rsidR="008967E5" w:rsidRPr="002567E4" w:rsidRDefault="008967E5" w:rsidP="00A74152">
      <w:pPr>
        <w:numPr>
          <w:ilvl w:val="0"/>
          <w:numId w:val="15"/>
        </w:numPr>
        <w:tabs>
          <w:tab w:val="left" w:leader="dot" w:pos="7920"/>
          <w:tab w:val="right" w:pos="8640"/>
        </w:tabs>
        <w:rPr>
          <w:bCs/>
          <w:sz w:val="22"/>
          <w:szCs w:val="22"/>
        </w:rPr>
      </w:pPr>
      <w:r w:rsidRPr="002567E4">
        <w:rPr>
          <w:bCs/>
          <w:sz w:val="22"/>
          <w:szCs w:val="22"/>
        </w:rPr>
        <w:t>Justification for Base Adjustments</w:t>
      </w:r>
    </w:p>
    <w:p w:rsidR="008967E5" w:rsidRPr="002567E4" w:rsidRDefault="008967E5" w:rsidP="00A74152">
      <w:pPr>
        <w:numPr>
          <w:ilvl w:val="0"/>
          <w:numId w:val="15"/>
        </w:numPr>
        <w:tabs>
          <w:tab w:val="left" w:leader="dot" w:pos="7920"/>
          <w:tab w:val="right" w:pos="8640"/>
        </w:tabs>
        <w:rPr>
          <w:bCs/>
          <w:sz w:val="22"/>
          <w:szCs w:val="22"/>
        </w:rPr>
      </w:pPr>
      <w:r>
        <w:rPr>
          <w:bCs/>
          <w:sz w:val="22"/>
          <w:szCs w:val="22"/>
        </w:rPr>
        <w:t>Crosswalk of 2010</w:t>
      </w:r>
      <w:r w:rsidRPr="002567E4">
        <w:rPr>
          <w:bCs/>
          <w:sz w:val="22"/>
          <w:szCs w:val="22"/>
        </w:rPr>
        <w:t xml:space="preserve"> Availability</w:t>
      </w:r>
    </w:p>
    <w:p w:rsidR="008967E5" w:rsidRPr="002567E4" w:rsidRDefault="008967E5" w:rsidP="00A74152">
      <w:pPr>
        <w:numPr>
          <w:ilvl w:val="0"/>
          <w:numId w:val="15"/>
        </w:numPr>
        <w:tabs>
          <w:tab w:val="left" w:leader="dot" w:pos="7920"/>
          <w:tab w:val="right" w:pos="8640"/>
        </w:tabs>
        <w:rPr>
          <w:bCs/>
          <w:sz w:val="22"/>
          <w:szCs w:val="22"/>
        </w:rPr>
      </w:pPr>
      <w:r>
        <w:rPr>
          <w:bCs/>
          <w:sz w:val="22"/>
          <w:szCs w:val="22"/>
        </w:rPr>
        <w:lastRenderedPageBreak/>
        <w:t>Crosswalk of 2011 Availability</w:t>
      </w:r>
    </w:p>
    <w:p w:rsidR="008967E5" w:rsidRPr="002567E4" w:rsidRDefault="008967E5" w:rsidP="00A74152">
      <w:pPr>
        <w:numPr>
          <w:ilvl w:val="0"/>
          <w:numId w:val="15"/>
        </w:numPr>
        <w:tabs>
          <w:tab w:val="left" w:leader="dot" w:pos="7920"/>
          <w:tab w:val="right" w:pos="8640"/>
        </w:tabs>
        <w:rPr>
          <w:bCs/>
          <w:sz w:val="22"/>
          <w:szCs w:val="22"/>
        </w:rPr>
      </w:pPr>
      <w:r w:rsidRPr="002567E4">
        <w:rPr>
          <w:bCs/>
          <w:sz w:val="22"/>
          <w:szCs w:val="22"/>
        </w:rPr>
        <w:t>Summary of Reimbursable Resources</w:t>
      </w:r>
    </w:p>
    <w:p w:rsidR="008967E5" w:rsidRPr="002567E4" w:rsidRDefault="008967E5" w:rsidP="00A74152">
      <w:pPr>
        <w:numPr>
          <w:ilvl w:val="0"/>
          <w:numId w:val="15"/>
        </w:numPr>
        <w:tabs>
          <w:tab w:val="left" w:leader="dot" w:pos="7920"/>
          <w:tab w:val="right" w:pos="8640"/>
        </w:tabs>
        <w:rPr>
          <w:bCs/>
          <w:sz w:val="22"/>
          <w:szCs w:val="22"/>
        </w:rPr>
      </w:pPr>
      <w:r w:rsidRPr="002567E4">
        <w:rPr>
          <w:bCs/>
          <w:sz w:val="22"/>
          <w:szCs w:val="22"/>
        </w:rPr>
        <w:t>Detail of Permanent Positions by Category</w:t>
      </w:r>
    </w:p>
    <w:p w:rsidR="008967E5" w:rsidRPr="002567E4" w:rsidRDefault="008967E5" w:rsidP="00A74152">
      <w:pPr>
        <w:numPr>
          <w:ilvl w:val="0"/>
          <w:numId w:val="15"/>
        </w:numPr>
        <w:tabs>
          <w:tab w:val="left" w:leader="dot" w:pos="7920"/>
          <w:tab w:val="right" w:pos="8640"/>
        </w:tabs>
        <w:rPr>
          <w:bCs/>
          <w:sz w:val="22"/>
          <w:szCs w:val="22"/>
        </w:rPr>
      </w:pPr>
      <w:r w:rsidRPr="002567E4">
        <w:rPr>
          <w:bCs/>
          <w:sz w:val="22"/>
          <w:szCs w:val="22"/>
        </w:rPr>
        <w:t>Financial Analy</w:t>
      </w:r>
      <w:r>
        <w:rPr>
          <w:bCs/>
          <w:sz w:val="22"/>
          <w:szCs w:val="22"/>
        </w:rPr>
        <w:t>sis of Program Changes</w:t>
      </w:r>
    </w:p>
    <w:p w:rsidR="008967E5" w:rsidRPr="002567E4" w:rsidRDefault="008967E5" w:rsidP="00A74152">
      <w:pPr>
        <w:numPr>
          <w:ilvl w:val="0"/>
          <w:numId w:val="15"/>
        </w:numPr>
        <w:tabs>
          <w:tab w:val="left" w:leader="dot" w:pos="7920"/>
          <w:tab w:val="right" w:pos="8640"/>
        </w:tabs>
        <w:rPr>
          <w:bCs/>
          <w:sz w:val="22"/>
          <w:szCs w:val="22"/>
        </w:rPr>
      </w:pPr>
      <w:r w:rsidRPr="002567E4">
        <w:rPr>
          <w:bCs/>
          <w:sz w:val="22"/>
          <w:szCs w:val="22"/>
        </w:rPr>
        <w:t>Summary of Requirements by Grade</w:t>
      </w:r>
    </w:p>
    <w:p w:rsidR="008967E5" w:rsidRPr="002567E4" w:rsidRDefault="008967E5" w:rsidP="00A74152">
      <w:pPr>
        <w:numPr>
          <w:ilvl w:val="0"/>
          <w:numId w:val="15"/>
        </w:numPr>
        <w:tabs>
          <w:tab w:val="left" w:leader="dot" w:pos="7920"/>
          <w:tab w:val="right" w:pos="8640"/>
        </w:tabs>
        <w:rPr>
          <w:bCs/>
          <w:sz w:val="22"/>
          <w:szCs w:val="22"/>
        </w:rPr>
      </w:pPr>
      <w:r w:rsidRPr="002567E4">
        <w:rPr>
          <w:bCs/>
          <w:sz w:val="22"/>
          <w:szCs w:val="22"/>
        </w:rPr>
        <w:t>Summary of Requirements by Object Class</w:t>
      </w:r>
    </w:p>
    <w:p w:rsidR="00025332" w:rsidRDefault="00025332" w:rsidP="00025332">
      <w:pPr>
        <w:tabs>
          <w:tab w:val="left" w:leader="dot" w:pos="7920"/>
          <w:tab w:val="right" w:pos="8640"/>
        </w:tabs>
        <w:ind w:left="720"/>
        <w:rPr>
          <w:bCs/>
          <w:sz w:val="22"/>
          <w:szCs w:val="22"/>
        </w:rPr>
      </w:pPr>
    </w:p>
    <w:bookmarkEnd w:id="0"/>
    <w:bookmarkEnd w:id="1"/>
    <w:p w:rsidR="008967E5" w:rsidRDefault="008967E5" w:rsidP="00951D15">
      <w:pPr>
        <w:tabs>
          <w:tab w:val="left" w:leader="dot" w:pos="7920"/>
          <w:tab w:val="right" w:pos="8640"/>
        </w:tabs>
        <w:ind w:left="360"/>
        <w:rPr>
          <w:bCs/>
          <w:sz w:val="22"/>
          <w:szCs w:val="22"/>
        </w:rPr>
      </w:pPr>
      <w:r>
        <w:rPr>
          <w:bCs/>
          <w:sz w:val="22"/>
          <w:szCs w:val="22"/>
        </w:rPr>
        <w:br w:type="page"/>
      </w:r>
    </w:p>
    <w:p w:rsidR="008967E5" w:rsidRPr="00A44B98" w:rsidRDefault="008967E5" w:rsidP="00A44B98">
      <w:pPr>
        <w:tabs>
          <w:tab w:val="left" w:leader="dot" w:pos="7920"/>
          <w:tab w:val="right" w:pos="8640"/>
        </w:tabs>
        <w:rPr>
          <w:bCs/>
          <w:sz w:val="22"/>
          <w:szCs w:val="22"/>
        </w:rPr>
      </w:pPr>
      <w:r w:rsidRPr="00A44B98">
        <w:rPr>
          <w:b/>
        </w:rPr>
        <w:lastRenderedPageBreak/>
        <w:t>I.  Overview for Justice Information Sharing Technology (JIST</w:t>
      </w:r>
      <w:r w:rsidRPr="00A44B98">
        <w:t>)</w:t>
      </w:r>
    </w:p>
    <w:p w:rsidR="008967E5" w:rsidRPr="002567E4" w:rsidRDefault="008967E5">
      <w:pPr>
        <w:pStyle w:val="BodyText"/>
        <w:rPr>
          <w:sz w:val="22"/>
          <w:szCs w:val="22"/>
        </w:rPr>
      </w:pPr>
      <w:r w:rsidRPr="002567E4">
        <w:rPr>
          <w:sz w:val="22"/>
          <w:szCs w:val="22"/>
        </w:rPr>
        <w:t xml:space="preserve">   </w:t>
      </w:r>
    </w:p>
    <w:p w:rsidR="008967E5" w:rsidRDefault="008967E5" w:rsidP="007D17B7">
      <w:pPr>
        <w:autoSpaceDE w:val="0"/>
        <w:autoSpaceDN w:val="0"/>
        <w:adjustRightInd w:val="0"/>
        <w:rPr>
          <w:color w:val="000000"/>
          <w:sz w:val="22"/>
          <w:szCs w:val="22"/>
        </w:rPr>
      </w:pPr>
      <w:r>
        <w:rPr>
          <w:color w:val="000000"/>
          <w:sz w:val="22"/>
          <w:szCs w:val="22"/>
        </w:rPr>
        <w:t>The FY 2012</w:t>
      </w:r>
      <w:r w:rsidRPr="002567E4">
        <w:rPr>
          <w:color w:val="000000"/>
          <w:sz w:val="22"/>
          <w:szCs w:val="22"/>
        </w:rPr>
        <w:t xml:space="preserve"> JIST </w:t>
      </w:r>
      <w:r>
        <w:rPr>
          <w:color w:val="000000"/>
          <w:sz w:val="22"/>
          <w:szCs w:val="22"/>
        </w:rPr>
        <w:t>request includes</w:t>
      </w:r>
      <w:r w:rsidRPr="002567E4">
        <w:rPr>
          <w:color w:val="000000"/>
          <w:sz w:val="22"/>
          <w:szCs w:val="22"/>
        </w:rPr>
        <w:t xml:space="preserve"> </w:t>
      </w:r>
      <w:r>
        <w:rPr>
          <w:color w:val="000000"/>
          <w:sz w:val="22"/>
          <w:szCs w:val="22"/>
        </w:rPr>
        <w:t xml:space="preserve">$54,307,000 and </w:t>
      </w:r>
      <w:r w:rsidRPr="002567E4">
        <w:rPr>
          <w:color w:val="000000"/>
          <w:sz w:val="22"/>
          <w:szCs w:val="22"/>
        </w:rPr>
        <w:t xml:space="preserve">a total </w:t>
      </w:r>
      <w:r>
        <w:rPr>
          <w:color w:val="000000"/>
          <w:sz w:val="22"/>
          <w:szCs w:val="22"/>
        </w:rPr>
        <w:t>of 72 positions</w:t>
      </w:r>
      <w:r w:rsidRPr="002567E4">
        <w:rPr>
          <w:color w:val="000000"/>
          <w:sz w:val="22"/>
          <w:szCs w:val="22"/>
        </w:rPr>
        <w:t xml:space="preserve">. </w:t>
      </w:r>
      <w:r>
        <w:rPr>
          <w:color w:val="000000"/>
          <w:sz w:val="22"/>
          <w:szCs w:val="22"/>
        </w:rPr>
        <w:t xml:space="preserve"> </w:t>
      </w:r>
      <w:r w:rsidRPr="002567E4">
        <w:rPr>
          <w:color w:val="000000"/>
          <w:sz w:val="22"/>
          <w:szCs w:val="22"/>
        </w:rPr>
        <w:t>JIST funds</w:t>
      </w:r>
      <w:r>
        <w:rPr>
          <w:color w:val="000000"/>
          <w:sz w:val="22"/>
          <w:szCs w:val="22"/>
        </w:rPr>
        <w:t xml:space="preserve"> the </w:t>
      </w:r>
      <w:r w:rsidRPr="002567E4">
        <w:rPr>
          <w:color w:val="000000"/>
          <w:sz w:val="22"/>
          <w:szCs w:val="22"/>
        </w:rPr>
        <w:t>Department</w:t>
      </w:r>
      <w:r>
        <w:rPr>
          <w:color w:val="000000"/>
          <w:sz w:val="22"/>
          <w:szCs w:val="22"/>
        </w:rPr>
        <w:t xml:space="preserve"> of Justice (DOJ) </w:t>
      </w:r>
      <w:r w:rsidRPr="002567E4">
        <w:rPr>
          <w:color w:val="000000"/>
          <w:sz w:val="22"/>
          <w:szCs w:val="22"/>
        </w:rPr>
        <w:t xml:space="preserve">enterprise investments in Information Technology (IT). </w:t>
      </w:r>
      <w:r>
        <w:rPr>
          <w:color w:val="000000"/>
          <w:sz w:val="22"/>
          <w:szCs w:val="22"/>
        </w:rPr>
        <w:t xml:space="preserve"> As a centralized fund under </w:t>
      </w:r>
      <w:r w:rsidRPr="002567E4">
        <w:rPr>
          <w:color w:val="000000"/>
          <w:sz w:val="22"/>
          <w:szCs w:val="22"/>
        </w:rPr>
        <w:t>the control of the DOJ Chief Information Officer</w:t>
      </w:r>
      <w:r>
        <w:rPr>
          <w:color w:val="000000"/>
          <w:sz w:val="22"/>
          <w:szCs w:val="22"/>
        </w:rPr>
        <w:t xml:space="preserve"> (CIO)</w:t>
      </w:r>
      <w:r w:rsidRPr="002567E4">
        <w:rPr>
          <w:color w:val="000000"/>
          <w:sz w:val="22"/>
          <w:szCs w:val="22"/>
        </w:rPr>
        <w:t xml:space="preserve">, it ensures that investments in </w:t>
      </w:r>
      <w:r>
        <w:rPr>
          <w:color w:val="000000"/>
          <w:sz w:val="22"/>
          <w:szCs w:val="22"/>
        </w:rPr>
        <w:t xml:space="preserve">IT systems, </w:t>
      </w:r>
      <w:r w:rsidRPr="002567E4">
        <w:rPr>
          <w:color w:val="000000"/>
          <w:sz w:val="22"/>
          <w:szCs w:val="22"/>
        </w:rPr>
        <w:t>inf</w:t>
      </w:r>
      <w:r>
        <w:rPr>
          <w:color w:val="000000"/>
          <w:sz w:val="22"/>
          <w:szCs w:val="22"/>
        </w:rPr>
        <w:t xml:space="preserve">ormation sharing technology, enabling IT </w:t>
      </w:r>
      <w:r w:rsidRPr="002567E4">
        <w:rPr>
          <w:color w:val="000000"/>
          <w:sz w:val="22"/>
          <w:szCs w:val="22"/>
        </w:rPr>
        <w:t>infrastructure enhancements</w:t>
      </w:r>
      <w:r>
        <w:rPr>
          <w:color w:val="000000"/>
          <w:sz w:val="22"/>
          <w:szCs w:val="22"/>
        </w:rPr>
        <w:t>, and cyber security</w:t>
      </w:r>
      <w:r w:rsidRPr="002567E4">
        <w:rPr>
          <w:color w:val="000000"/>
          <w:sz w:val="22"/>
          <w:szCs w:val="22"/>
        </w:rPr>
        <w:t xml:space="preserve"> are well planned and aligned with the Department's overall IT strategy and enterprise architecture.</w:t>
      </w:r>
      <w:r>
        <w:rPr>
          <w:color w:val="000000"/>
          <w:sz w:val="22"/>
          <w:szCs w:val="22"/>
        </w:rPr>
        <w:t xml:space="preserve">   Given the level of staff dependence on the Department’s IT environment (systems, networks, and data archives), CIO oversight is critical to the Department’s legal, investigative, and administrative functions and to the maintenance and improvement of DOJ staff productivity and effectiveness.  Electronic copies of the Department of Justice’s Congressional Budget Justification and Capital Asset Plan and Case exhibits can be viewed or downloaded from the Internet using the Internet address: </w:t>
      </w:r>
      <w:hyperlink r:id="rId11" w:history="1">
        <w:r w:rsidRPr="00824BC5">
          <w:rPr>
            <w:rStyle w:val="Hyperlink"/>
            <w:sz w:val="22"/>
            <w:szCs w:val="22"/>
          </w:rPr>
          <w:t>http://www.justice.gov/02organizations/bpp.htm</w:t>
        </w:r>
      </w:hyperlink>
      <w:r>
        <w:rPr>
          <w:color w:val="000000"/>
          <w:sz w:val="22"/>
          <w:szCs w:val="22"/>
        </w:rPr>
        <w:t>.</w:t>
      </w:r>
    </w:p>
    <w:p w:rsidR="008967E5" w:rsidRDefault="008967E5" w:rsidP="00A4002A">
      <w:pPr>
        <w:autoSpaceDE w:val="0"/>
        <w:autoSpaceDN w:val="0"/>
        <w:adjustRightInd w:val="0"/>
        <w:rPr>
          <w:color w:val="000000"/>
          <w:sz w:val="22"/>
          <w:szCs w:val="22"/>
        </w:rPr>
      </w:pPr>
    </w:p>
    <w:p w:rsidR="008967E5" w:rsidRDefault="008967E5" w:rsidP="00A4002A">
      <w:pPr>
        <w:autoSpaceDE w:val="0"/>
        <w:autoSpaceDN w:val="0"/>
        <w:adjustRightInd w:val="0"/>
        <w:rPr>
          <w:color w:val="000000"/>
          <w:sz w:val="22"/>
          <w:szCs w:val="22"/>
        </w:rPr>
      </w:pPr>
      <w:r>
        <w:rPr>
          <w:color w:val="000000"/>
          <w:sz w:val="22"/>
          <w:szCs w:val="22"/>
        </w:rPr>
        <w:t>In FY 2012, the JIST appropriation will fund the Office of the CIO’s performance of responsibilities under the Clinger-Cohen Act of 1996, the Department’s response to OMB mandates, and nine programs that support the overall mission of the Department and contribute to the achievement of DOJ strategic goals.   The nine JIST funded programs are:</w:t>
      </w:r>
    </w:p>
    <w:p w:rsidR="008967E5" w:rsidRDefault="008967E5" w:rsidP="00A4002A">
      <w:pPr>
        <w:autoSpaceDE w:val="0"/>
        <w:autoSpaceDN w:val="0"/>
        <w:adjustRightInd w:val="0"/>
        <w:rPr>
          <w:color w:val="000000"/>
          <w:sz w:val="22"/>
          <w:szCs w:val="22"/>
        </w:rPr>
      </w:pPr>
    </w:p>
    <w:p w:rsidR="008967E5" w:rsidRDefault="008967E5" w:rsidP="00A74152">
      <w:pPr>
        <w:numPr>
          <w:ilvl w:val="0"/>
          <w:numId w:val="28"/>
        </w:numPr>
        <w:autoSpaceDE w:val="0"/>
        <w:autoSpaceDN w:val="0"/>
        <w:adjustRightInd w:val="0"/>
        <w:rPr>
          <w:color w:val="000000"/>
          <w:sz w:val="22"/>
          <w:szCs w:val="22"/>
        </w:rPr>
      </w:pPr>
      <w:r>
        <w:rPr>
          <w:color w:val="000000"/>
          <w:sz w:val="22"/>
          <w:szCs w:val="22"/>
        </w:rPr>
        <w:t>Investigation, law enforcement, litigation and intelligence</w:t>
      </w:r>
    </w:p>
    <w:p w:rsidR="008967E5" w:rsidRDefault="008967E5" w:rsidP="00A74152">
      <w:pPr>
        <w:numPr>
          <w:ilvl w:val="1"/>
          <w:numId w:val="20"/>
        </w:numPr>
        <w:autoSpaceDE w:val="0"/>
        <w:autoSpaceDN w:val="0"/>
        <w:adjustRightInd w:val="0"/>
        <w:rPr>
          <w:color w:val="000000"/>
          <w:sz w:val="22"/>
          <w:szCs w:val="22"/>
        </w:rPr>
      </w:pPr>
      <w:r>
        <w:rPr>
          <w:color w:val="000000"/>
          <w:sz w:val="22"/>
          <w:szCs w:val="22"/>
        </w:rPr>
        <w:t>Joint Automated Booking System (JABS)</w:t>
      </w:r>
    </w:p>
    <w:p w:rsidR="008967E5" w:rsidRDefault="008967E5" w:rsidP="00A74152">
      <w:pPr>
        <w:numPr>
          <w:ilvl w:val="1"/>
          <w:numId w:val="20"/>
        </w:numPr>
        <w:autoSpaceDE w:val="0"/>
        <w:autoSpaceDN w:val="0"/>
        <w:adjustRightInd w:val="0"/>
        <w:rPr>
          <w:color w:val="000000"/>
          <w:sz w:val="22"/>
          <w:szCs w:val="22"/>
        </w:rPr>
      </w:pPr>
      <w:r>
        <w:rPr>
          <w:color w:val="000000"/>
          <w:sz w:val="22"/>
          <w:szCs w:val="22"/>
        </w:rPr>
        <w:t>Law Enforcement Information Sharing Program (LEISP)</w:t>
      </w:r>
    </w:p>
    <w:p w:rsidR="008967E5" w:rsidRDefault="008967E5" w:rsidP="00A74152">
      <w:pPr>
        <w:numPr>
          <w:ilvl w:val="1"/>
          <w:numId w:val="20"/>
        </w:numPr>
        <w:autoSpaceDE w:val="0"/>
        <w:autoSpaceDN w:val="0"/>
        <w:adjustRightInd w:val="0"/>
        <w:rPr>
          <w:color w:val="000000"/>
          <w:sz w:val="22"/>
          <w:szCs w:val="22"/>
        </w:rPr>
      </w:pPr>
      <w:r>
        <w:rPr>
          <w:color w:val="000000"/>
          <w:sz w:val="22"/>
          <w:szCs w:val="22"/>
        </w:rPr>
        <w:t>Chief Technical Officer – Technology Innovations (CTO)</w:t>
      </w:r>
    </w:p>
    <w:p w:rsidR="008967E5" w:rsidRDefault="008967E5" w:rsidP="00A74152">
      <w:pPr>
        <w:numPr>
          <w:ilvl w:val="0"/>
          <w:numId w:val="21"/>
        </w:numPr>
        <w:autoSpaceDE w:val="0"/>
        <w:autoSpaceDN w:val="0"/>
        <w:adjustRightInd w:val="0"/>
        <w:rPr>
          <w:color w:val="000000"/>
          <w:sz w:val="22"/>
          <w:szCs w:val="22"/>
        </w:rPr>
      </w:pPr>
      <w:r>
        <w:rPr>
          <w:color w:val="000000"/>
          <w:sz w:val="22"/>
          <w:szCs w:val="22"/>
        </w:rPr>
        <w:t>Security and Secure Communications</w:t>
      </w:r>
    </w:p>
    <w:p w:rsidR="008967E5" w:rsidRDefault="008967E5" w:rsidP="00A74152">
      <w:pPr>
        <w:numPr>
          <w:ilvl w:val="1"/>
          <w:numId w:val="21"/>
        </w:numPr>
        <w:autoSpaceDE w:val="0"/>
        <w:autoSpaceDN w:val="0"/>
        <w:adjustRightInd w:val="0"/>
        <w:rPr>
          <w:color w:val="000000"/>
          <w:sz w:val="22"/>
          <w:szCs w:val="22"/>
        </w:rPr>
      </w:pPr>
      <w:r>
        <w:rPr>
          <w:color w:val="000000"/>
          <w:sz w:val="22"/>
          <w:szCs w:val="22"/>
        </w:rPr>
        <w:t>Cyber Security Program (CSP)</w:t>
      </w:r>
    </w:p>
    <w:p w:rsidR="008967E5" w:rsidRDefault="008967E5" w:rsidP="00A74152">
      <w:pPr>
        <w:numPr>
          <w:ilvl w:val="1"/>
          <w:numId w:val="21"/>
        </w:numPr>
        <w:autoSpaceDE w:val="0"/>
        <w:autoSpaceDN w:val="0"/>
        <w:adjustRightInd w:val="0"/>
        <w:rPr>
          <w:color w:val="000000"/>
          <w:sz w:val="22"/>
          <w:szCs w:val="22"/>
        </w:rPr>
      </w:pPr>
      <w:r>
        <w:rPr>
          <w:color w:val="000000"/>
          <w:sz w:val="22"/>
          <w:szCs w:val="22"/>
        </w:rPr>
        <w:t>Secret / Top Secret Communications (JCON S/TS)</w:t>
      </w:r>
    </w:p>
    <w:p w:rsidR="008967E5" w:rsidRDefault="008967E5" w:rsidP="00A74152">
      <w:pPr>
        <w:numPr>
          <w:ilvl w:val="1"/>
          <w:numId w:val="21"/>
        </w:numPr>
        <w:autoSpaceDE w:val="0"/>
        <w:autoSpaceDN w:val="0"/>
        <w:adjustRightInd w:val="0"/>
        <w:rPr>
          <w:color w:val="000000"/>
          <w:sz w:val="22"/>
          <w:szCs w:val="22"/>
        </w:rPr>
      </w:pPr>
      <w:r>
        <w:rPr>
          <w:color w:val="000000"/>
          <w:sz w:val="22"/>
          <w:szCs w:val="22"/>
        </w:rPr>
        <w:t>Public Key Infrastructure/HSPD-12 (PKI)</w:t>
      </w:r>
    </w:p>
    <w:p w:rsidR="008967E5" w:rsidRDefault="008967E5" w:rsidP="00A74152">
      <w:pPr>
        <w:numPr>
          <w:ilvl w:val="0"/>
          <w:numId w:val="21"/>
        </w:numPr>
        <w:autoSpaceDE w:val="0"/>
        <w:autoSpaceDN w:val="0"/>
        <w:adjustRightInd w:val="0"/>
        <w:rPr>
          <w:color w:val="000000"/>
          <w:sz w:val="22"/>
          <w:szCs w:val="22"/>
        </w:rPr>
      </w:pPr>
      <w:r>
        <w:rPr>
          <w:color w:val="000000"/>
          <w:sz w:val="22"/>
          <w:szCs w:val="22"/>
        </w:rPr>
        <w:t>Critical Enabling IT Infrastructure</w:t>
      </w:r>
    </w:p>
    <w:p w:rsidR="008967E5" w:rsidRDefault="008967E5" w:rsidP="00A74152">
      <w:pPr>
        <w:numPr>
          <w:ilvl w:val="1"/>
          <w:numId w:val="21"/>
        </w:numPr>
        <w:autoSpaceDE w:val="0"/>
        <w:autoSpaceDN w:val="0"/>
        <w:adjustRightInd w:val="0"/>
        <w:rPr>
          <w:color w:val="000000"/>
          <w:sz w:val="22"/>
          <w:szCs w:val="22"/>
        </w:rPr>
      </w:pPr>
      <w:r>
        <w:rPr>
          <w:color w:val="000000"/>
          <w:sz w:val="22"/>
          <w:szCs w:val="22"/>
        </w:rPr>
        <w:t>Justice Consolidated Office Network (JCON)</w:t>
      </w:r>
    </w:p>
    <w:p w:rsidR="008967E5" w:rsidRDefault="008967E5" w:rsidP="00A74152">
      <w:pPr>
        <w:numPr>
          <w:ilvl w:val="0"/>
          <w:numId w:val="22"/>
        </w:numPr>
        <w:autoSpaceDE w:val="0"/>
        <w:autoSpaceDN w:val="0"/>
        <w:adjustRightInd w:val="0"/>
        <w:rPr>
          <w:color w:val="000000"/>
          <w:sz w:val="22"/>
          <w:szCs w:val="22"/>
        </w:rPr>
      </w:pPr>
      <w:r>
        <w:rPr>
          <w:color w:val="000000"/>
          <w:sz w:val="22"/>
          <w:szCs w:val="22"/>
        </w:rPr>
        <w:t>Financial Management</w:t>
      </w:r>
    </w:p>
    <w:p w:rsidR="008967E5" w:rsidRDefault="008967E5" w:rsidP="00A74152">
      <w:pPr>
        <w:numPr>
          <w:ilvl w:val="1"/>
          <w:numId w:val="22"/>
        </w:numPr>
        <w:autoSpaceDE w:val="0"/>
        <w:autoSpaceDN w:val="0"/>
        <w:adjustRightInd w:val="0"/>
        <w:rPr>
          <w:color w:val="000000"/>
          <w:sz w:val="22"/>
          <w:szCs w:val="22"/>
        </w:rPr>
      </w:pPr>
      <w:r>
        <w:rPr>
          <w:color w:val="000000"/>
          <w:sz w:val="22"/>
          <w:szCs w:val="22"/>
        </w:rPr>
        <w:t>Unified Financial Management Systems (UFMS)</w:t>
      </w:r>
    </w:p>
    <w:p w:rsidR="008967E5" w:rsidRDefault="008967E5" w:rsidP="00A74152">
      <w:pPr>
        <w:numPr>
          <w:ilvl w:val="0"/>
          <w:numId w:val="22"/>
        </w:numPr>
        <w:autoSpaceDE w:val="0"/>
        <w:autoSpaceDN w:val="0"/>
        <w:adjustRightInd w:val="0"/>
        <w:rPr>
          <w:color w:val="000000"/>
          <w:sz w:val="22"/>
          <w:szCs w:val="22"/>
        </w:rPr>
      </w:pPr>
      <w:r>
        <w:rPr>
          <w:color w:val="000000"/>
          <w:sz w:val="22"/>
          <w:szCs w:val="22"/>
        </w:rPr>
        <w:t>DOJ IT Management and Innovation</w:t>
      </w:r>
    </w:p>
    <w:p w:rsidR="008967E5" w:rsidRDefault="008967E5" w:rsidP="00A74152">
      <w:pPr>
        <w:numPr>
          <w:ilvl w:val="1"/>
          <w:numId w:val="22"/>
        </w:numPr>
        <w:autoSpaceDE w:val="0"/>
        <w:autoSpaceDN w:val="0"/>
        <w:adjustRightInd w:val="0"/>
        <w:rPr>
          <w:color w:val="000000"/>
          <w:sz w:val="22"/>
          <w:szCs w:val="22"/>
        </w:rPr>
      </w:pPr>
      <w:r>
        <w:rPr>
          <w:color w:val="000000"/>
          <w:sz w:val="22"/>
          <w:szCs w:val="22"/>
        </w:rPr>
        <w:t xml:space="preserve">Policy </w:t>
      </w:r>
      <w:r w:rsidRPr="0075386D">
        <w:rPr>
          <w:rFonts w:cs="Arial"/>
          <w:sz w:val="22"/>
          <w:szCs w:val="20"/>
        </w:rPr>
        <w:t>&amp; Plannin</w:t>
      </w:r>
      <w:r>
        <w:rPr>
          <w:rFonts w:cs="Arial"/>
          <w:sz w:val="22"/>
          <w:szCs w:val="20"/>
        </w:rPr>
        <w:t>g Staff (PPS)</w:t>
      </w:r>
    </w:p>
    <w:p w:rsidR="008967E5" w:rsidRPr="002567E4" w:rsidRDefault="008967E5" w:rsidP="005F3BFB">
      <w:pPr>
        <w:autoSpaceDE w:val="0"/>
        <w:autoSpaceDN w:val="0"/>
        <w:adjustRightInd w:val="0"/>
        <w:rPr>
          <w:color w:val="000000"/>
          <w:sz w:val="22"/>
          <w:szCs w:val="22"/>
        </w:rPr>
      </w:pPr>
    </w:p>
    <w:p w:rsidR="008967E5" w:rsidRPr="00CC3D1A" w:rsidRDefault="008967E5" w:rsidP="005F3BFB">
      <w:pPr>
        <w:autoSpaceDE w:val="0"/>
        <w:autoSpaceDN w:val="0"/>
        <w:adjustRightInd w:val="0"/>
        <w:rPr>
          <w:b/>
          <w:bCs/>
          <w:color w:val="000000"/>
        </w:rPr>
      </w:pPr>
      <w:r w:rsidRPr="00CC3D1A">
        <w:rPr>
          <w:b/>
          <w:bCs/>
          <w:color w:val="000000"/>
        </w:rPr>
        <w:t>Linkage to Strategic Goals</w:t>
      </w:r>
    </w:p>
    <w:p w:rsidR="008967E5" w:rsidRPr="002567E4" w:rsidRDefault="008967E5" w:rsidP="005F3BFB">
      <w:pPr>
        <w:autoSpaceDE w:val="0"/>
        <w:autoSpaceDN w:val="0"/>
        <w:adjustRightInd w:val="0"/>
        <w:rPr>
          <w:b/>
          <w:bCs/>
          <w:color w:val="000000"/>
          <w:sz w:val="22"/>
          <w:szCs w:val="22"/>
        </w:rPr>
      </w:pPr>
    </w:p>
    <w:p w:rsidR="008967E5" w:rsidRDefault="008967E5" w:rsidP="005F3BFB">
      <w:pPr>
        <w:autoSpaceDE w:val="0"/>
        <w:autoSpaceDN w:val="0"/>
        <w:adjustRightInd w:val="0"/>
        <w:rPr>
          <w:color w:val="000000"/>
          <w:sz w:val="22"/>
          <w:szCs w:val="22"/>
        </w:rPr>
      </w:pPr>
      <w:r>
        <w:rPr>
          <w:color w:val="000000"/>
          <w:sz w:val="22"/>
          <w:szCs w:val="22"/>
        </w:rPr>
        <w:t xml:space="preserve">JIST </w:t>
      </w:r>
      <w:r w:rsidRPr="002567E4">
        <w:rPr>
          <w:color w:val="000000"/>
          <w:sz w:val="22"/>
          <w:szCs w:val="22"/>
        </w:rPr>
        <w:t>program</w:t>
      </w:r>
      <w:r>
        <w:rPr>
          <w:color w:val="000000"/>
          <w:sz w:val="22"/>
          <w:szCs w:val="22"/>
        </w:rPr>
        <w:t>s</w:t>
      </w:r>
      <w:r w:rsidRPr="002567E4">
        <w:rPr>
          <w:color w:val="000000"/>
          <w:sz w:val="22"/>
          <w:szCs w:val="22"/>
        </w:rPr>
        <w:t xml:space="preserve"> directly</w:t>
      </w:r>
      <w:r>
        <w:rPr>
          <w:color w:val="000000"/>
          <w:sz w:val="22"/>
          <w:szCs w:val="22"/>
        </w:rPr>
        <w:t xml:space="preserve"> support the three Strategic Goals that are included in the Department’s FY 2007-2012 Strategic Plan.   These are:</w:t>
      </w:r>
    </w:p>
    <w:p w:rsidR="008967E5" w:rsidRDefault="008967E5" w:rsidP="005F3BFB">
      <w:pPr>
        <w:autoSpaceDE w:val="0"/>
        <w:autoSpaceDN w:val="0"/>
        <w:adjustRightInd w:val="0"/>
        <w:rPr>
          <w:color w:val="000000"/>
          <w:sz w:val="22"/>
          <w:szCs w:val="22"/>
        </w:rPr>
      </w:pPr>
    </w:p>
    <w:p w:rsidR="008967E5" w:rsidRDefault="008967E5" w:rsidP="00A74152">
      <w:pPr>
        <w:numPr>
          <w:ilvl w:val="0"/>
          <w:numId w:val="22"/>
        </w:numPr>
        <w:autoSpaceDE w:val="0"/>
        <w:autoSpaceDN w:val="0"/>
        <w:adjustRightInd w:val="0"/>
        <w:rPr>
          <w:color w:val="000000"/>
          <w:sz w:val="22"/>
          <w:szCs w:val="22"/>
        </w:rPr>
      </w:pPr>
      <w:r>
        <w:rPr>
          <w:color w:val="000000"/>
          <w:sz w:val="22"/>
          <w:szCs w:val="22"/>
        </w:rPr>
        <w:t>Strategic Goal 1:  Prevent terrorism and promote the nation’s security.</w:t>
      </w:r>
    </w:p>
    <w:p w:rsidR="008967E5" w:rsidRDefault="008967E5" w:rsidP="00A74152">
      <w:pPr>
        <w:numPr>
          <w:ilvl w:val="0"/>
          <w:numId w:val="22"/>
        </w:numPr>
        <w:autoSpaceDE w:val="0"/>
        <w:autoSpaceDN w:val="0"/>
        <w:adjustRightInd w:val="0"/>
        <w:ind w:left="2304" w:hanging="1944"/>
        <w:rPr>
          <w:color w:val="000000"/>
          <w:sz w:val="22"/>
          <w:szCs w:val="22"/>
        </w:rPr>
      </w:pPr>
      <w:r>
        <w:rPr>
          <w:color w:val="000000"/>
          <w:sz w:val="22"/>
          <w:szCs w:val="22"/>
        </w:rPr>
        <w:t>Strategic Goal 2:  Prevent crime, enforce federal laws, and represent the rights and interests of the American People.</w:t>
      </w:r>
    </w:p>
    <w:p w:rsidR="008967E5" w:rsidRDefault="008967E5" w:rsidP="00A74152">
      <w:pPr>
        <w:numPr>
          <w:ilvl w:val="0"/>
          <w:numId w:val="22"/>
        </w:numPr>
        <w:autoSpaceDE w:val="0"/>
        <w:autoSpaceDN w:val="0"/>
        <w:adjustRightInd w:val="0"/>
        <w:rPr>
          <w:color w:val="000000"/>
          <w:sz w:val="22"/>
          <w:szCs w:val="22"/>
        </w:rPr>
      </w:pPr>
      <w:r>
        <w:rPr>
          <w:color w:val="000000"/>
          <w:sz w:val="22"/>
          <w:szCs w:val="22"/>
        </w:rPr>
        <w:t>Strategic Goal 3:  Ensure the fair and efficient administration of justice.</w:t>
      </w:r>
    </w:p>
    <w:p w:rsidR="008967E5" w:rsidRDefault="008967E5" w:rsidP="005F3BFB">
      <w:pPr>
        <w:autoSpaceDE w:val="0"/>
        <w:autoSpaceDN w:val="0"/>
        <w:adjustRightInd w:val="0"/>
        <w:rPr>
          <w:color w:val="000000"/>
          <w:sz w:val="22"/>
          <w:szCs w:val="22"/>
        </w:rPr>
      </w:pPr>
    </w:p>
    <w:p w:rsidR="008967E5" w:rsidRDefault="008967E5" w:rsidP="005F3BFB">
      <w:pPr>
        <w:autoSpaceDE w:val="0"/>
        <w:autoSpaceDN w:val="0"/>
        <w:adjustRightInd w:val="0"/>
        <w:rPr>
          <w:color w:val="000000"/>
          <w:sz w:val="22"/>
          <w:szCs w:val="22"/>
        </w:rPr>
      </w:pPr>
      <w:r>
        <w:rPr>
          <w:color w:val="000000"/>
          <w:sz w:val="22"/>
          <w:szCs w:val="22"/>
        </w:rPr>
        <w:t xml:space="preserve">In addition to the above three Strategic Goals, DOJ recognizes “Strategic Goal 4: Enabling administration” as a fourth Strategic Goal.  It allows and enables staff and other programs to pursue the other Strategic Goals in an effective and efficient manner.  </w:t>
      </w:r>
    </w:p>
    <w:p w:rsidR="008967E5" w:rsidRDefault="008967E5" w:rsidP="005203FA">
      <w:pPr>
        <w:autoSpaceDE w:val="0"/>
        <w:autoSpaceDN w:val="0"/>
        <w:adjustRightInd w:val="0"/>
        <w:rPr>
          <w:color w:val="000000"/>
          <w:sz w:val="22"/>
          <w:szCs w:val="22"/>
        </w:rPr>
      </w:pPr>
    </w:p>
    <w:p w:rsidR="008967E5" w:rsidRDefault="008967E5" w:rsidP="005203FA">
      <w:pPr>
        <w:autoSpaceDE w:val="0"/>
        <w:autoSpaceDN w:val="0"/>
        <w:adjustRightInd w:val="0"/>
        <w:rPr>
          <w:b/>
          <w:bCs/>
        </w:rPr>
      </w:pPr>
    </w:p>
    <w:p w:rsidR="006E2295" w:rsidRDefault="006E2295" w:rsidP="005203FA">
      <w:pPr>
        <w:autoSpaceDE w:val="0"/>
        <w:autoSpaceDN w:val="0"/>
        <w:adjustRightInd w:val="0"/>
        <w:rPr>
          <w:b/>
          <w:bCs/>
        </w:rPr>
      </w:pPr>
    </w:p>
    <w:p w:rsidR="008967E5" w:rsidRDefault="008967E5" w:rsidP="005203FA">
      <w:pPr>
        <w:autoSpaceDE w:val="0"/>
        <w:autoSpaceDN w:val="0"/>
        <w:adjustRightInd w:val="0"/>
        <w:rPr>
          <w:b/>
          <w:bCs/>
        </w:rPr>
      </w:pPr>
      <w:r w:rsidRPr="00CC3D1A">
        <w:rPr>
          <w:b/>
          <w:bCs/>
        </w:rPr>
        <w:t>II.   Summary of Program Change</w:t>
      </w:r>
      <w:r>
        <w:rPr>
          <w:b/>
          <w:bCs/>
        </w:rPr>
        <w:t>s</w:t>
      </w:r>
    </w:p>
    <w:p w:rsidR="008967E5" w:rsidRDefault="008967E5" w:rsidP="001D2ED9">
      <w:pPr>
        <w:jc w:val="both"/>
        <w:rPr>
          <w:b/>
          <w:bCs/>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8"/>
        <w:gridCol w:w="3780"/>
        <w:gridCol w:w="720"/>
        <w:gridCol w:w="720"/>
        <w:gridCol w:w="1080"/>
        <w:gridCol w:w="712"/>
      </w:tblGrid>
      <w:tr w:rsidR="008967E5" w:rsidRPr="000E2AEC" w:rsidTr="008C67A6">
        <w:trPr>
          <w:cantSplit/>
        </w:trPr>
        <w:tc>
          <w:tcPr>
            <w:tcW w:w="2628" w:type="dxa"/>
            <w:vMerge w:val="restart"/>
            <w:shd w:val="clear" w:color="auto" w:fill="E6E6E6"/>
          </w:tcPr>
          <w:p w:rsidR="008967E5" w:rsidRPr="005C4EBE" w:rsidRDefault="008967E5" w:rsidP="00C007DC">
            <w:pPr>
              <w:pStyle w:val="BodyText"/>
              <w:jc w:val="center"/>
              <w:rPr>
                <w:b/>
                <w:bCs/>
              </w:rPr>
            </w:pPr>
          </w:p>
          <w:p w:rsidR="008967E5" w:rsidRPr="005C4EBE" w:rsidRDefault="008967E5" w:rsidP="00C007DC">
            <w:pPr>
              <w:pStyle w:val="BodyText"/>
              <w:jc w:val="center"/>
              <w:rPr>
                <w:b/>
                <w:bCs/>
              </w:rPr>
            </w:pPr>
          </w:p>
          <w:p w:rsidR="008967E5" w:rsidRPr="005C4EBE" w:rsidRDefault="008967E5" w:rsidP="00C007DC">
            <w:pPr>
              <w:pStyle w:val="BodyText"/>
              <w:jc w:val="center"/>
              <w:rPr>
                <w:b/>
                <w:bCs/>
              </w:rPr>
            </w:pPr>
            <w:r w:rsidRPr="005C4EBE">
              <w:rPr>
                <w:b/>
                <w:bCs/>
                <w:sz w:val="22"/>
                <w:szCs w:val="22"/>
              </w:rPr>
              <w:t>Item Name</w:t>
            </w:r>
          </w:p>
        </w:tc>
        <w:tc>
          <w:tcPr>
            <w:tcW w:w="6300" w:type="dxa"/>
            <w:gridSpan w:val="4"/>
            <w:shd w:val="clear" w:color="auto" w:fill="E6E6E6"/>
          </w:tcPr>
          <w:p w:rsidR="008967E5" w:rsidRPr="005C4EBE" w:rsidRDefault="008967E5" w:rsidP="00DF3E73">
            <w:pPr>
              <w:pStyle w:val="BodyText"/>
              <w:jc w:val="center"/>
              <w:rPr>
                <w:b/>
                <w:bCs/>
              </w:rPr>
            </w:pPr>
            <w:r w:rsidRPr="005C4EBE">
              <w:rPr>
                <w:b/>
                <w:bCs/>
                <w:sz w:val="22"/>
                <w:szCs w:val="22"/>
              </w:rPr>
              <w:t>Description</w:t>
            </w:r>
          </w:p>
        </w:tc>
        <w:tc>
          <w:tcPr>
            <w:tcW w:w="712" w:type="dxa"/>
            <w:vMerge w:val="restart"/>
            <w:shd w:val="clear" w:color="auto" w:fill="E6E6E6"/>
          </w:tcPr>
          <w:p w:rsidR="008967E5" w:rsidRPr="005C4EBE" w:rsidRDefault="008967E5" w:rsidP="00C007DC">
            <w:pPr>
              <w:pStyle w:val="BodyText"/>
              <w:jc w:val="center"/>
              <w:rPr>
                <w:b/>
                <w:bCs/>
              </w:rPr>
            </w:pPr>
          </w:p>
          <w:p w:rsidR="008967E5" w:rsidRPr="005C4EBE" w:rsidRDefault="008967E5" w:rsidP="00C007DC">
            <w:pPr>
              <w:pStyle w:val="BodyText"/>
              <w:jc w:val="center"/>
              <w:rPr>
                <w:b/>
                <w:bCs/>
              </w:rPr>
            </w:pPr>
          </w:p>
          <w:p w:rsidR="008967E5" w:rsidRPr="005C4EBE" w:rsidRDefault="008967E5" w:rsidP="00C007DC">
            <w:pPr>
              <w:pStyle w:val="BodyText"/>
              <w:jc w:val="center"/>
              <w:rPr>
                <w:b/>
                <w:bCs/>
              </w:rPr>
            </w:pPr>
            <w:r w:rsidRPr="005C4EBE">
              <w:rPr>
                <w:b/>
                <w:bCs/>
                <w:sz w:val="22"/>
                <w:szCs w:val="22"/>
              </w:rPr>
              <w:t>Page</w:t>
            </w:r>
          </w:p>
        </w:tc>
      </w:tr>
      <w:tr w:rsidR="008967E5" w:rsidRPr="000E2AEC" w:rsidTr="008C67A6">
        <w:trPr>
          <w:cantSplit/>
        </w:trPr>
        <w:tc>
          <w:tcPr>
            <w:tcW w:w="2628" w:type="dxa"/>
            <w:vMerge/>
          </w:tcPr>
          <w:p w:rsidR="008967E5" w:rsidRPr="005C4EBE" w:rsidRDefault="008967E5" w:rsidP="00C007DC">
            <w:pPr>
              <w:pStyle w:val="BodyText"/>
              <w:jc w:val="center"/>
              <w:rPr>
                <w:b/>
                <w:bCs/>
              </w:rPr>
            </w:pPr>
          </w:p>
        </w:tc>
        <w:tc>
          <w:tcPr>
            <w:tcW w:w="3780" w:type="dxa"/>
          </w:tcPr>
          <w:p w:rsidR="008967E5" w:rsidRPr="005C4EBE" w:rsidRDefault="008967E5" w:rsidP="00C007DC">
            <w:pPr>
              <w:pStyle w:val="BodyText"/>
              <w:jc w:val="center"/>
              <w:rPr>
                <w:b/>
                <w:bCs/>
              </w:rPr>
            </w:pPr>
          </w:p>
        </w:tc>
        <w:tc>
          <w:tcPr>
            <w:tcW w:w="720" w:type="dxa"/>
            <w:shd w:val="clear" w:color="auto" w:fill="F3F3F3"/>
          </w:tcPr>
          <w:p w:rsidR="008967E5" w:rsidRPr="005C4EBE" w:rsidRDefault="008967E5" w:rsidP="00C007DC">
            <w:pPr>
              <w:pStyle w:val="BodyText"/>
              <w:jc w:val="center"/>
              <w:rPr>
                <w:b/>
                <w:bCs/>
              </w:rPr>
            </w:pPr>
          </w:p>
          <w:p w:rsidR="008967E5" w:rsidRPr="005C4EBE" w:rsidRDefault="008967E5" w:rsidP="00C007DC">
            <w:pPr>
              <w:pStyle w:val="BodyText"/>
              <w:jc w:val="center"/>
              <w:rPr>
                <w:b/>
                <w:bCs/>
              </w:rPr>
            </w:pPr>
            <w:r w:rsidRPr="005C4EBE">
              <w:rPr>
                <w:b/>
                <w:bCs/>
                <w:sz w:val="22"/>
                <w:szCs w:val="22"/>
              </w:rPr>
              <w:t>Pos.</w:t>
            </w:r>
          </w:p>
        </w:tc>
        <w:tc>
          <w:tcPr>
            <w:tcW w:w="720" w:type="dxa"/>
            <w:shd w:val="clear" w:color="auto" w:fill="F3F3F3"/>
          </w:tcPr>
          <w:p w:rsidR="008967E5" w:rsidRPr="005C4EBE" w:rsidRDefault="008967E5" w:rsidP="00C007DC">
            <w:pPr>
              <w:pStyle w:val="BodyText"/>
              <w:jc w:val="center"/>
              <w:rPr>
                <w:b/>
                <w:bCs/>
              </w:rPr>
            </w:pPr>
          </w:p>
          <w:p w:rsidR="008967E5" w:rsidRPr="005C4EBE" w:rsidRDefault="008967E5" w:rsidP="00C007DC">
            <w:pPr>
              <w:pStyle w:val="BodyText"/>
              <w:jc w:val="center"/>
              <w:rPr>
                <w:b/>
                <w:bCs/>
              </w:rPr>
            </w:pPr>
            <w:r w:rsidRPr="005C4EBE">
              <w:rPr>
                <w:b/>
                <w:bCs/>
                <w:sz w:val="22"/>
                <w:szCs w:val="22"/>
              </w:rPr>
              <w:t>FTE</w:t>
            </w:r>
          </w:p>
        </w:tc>
        <w:tc>
          <w:tcPr>
            <w:tcW w:w="1080" w:type="dxa"/>
            <w:shd w:val="clear" w:color="auto" w:fill="F3F3F3"/>
          </w:tcPr>
          <w:p w:rsidR="008967E5" w:rsidRPr="005C4EBE" w:rsidRDefault="008967E5" w:rsidP="00C007DC">
            <w:pPr>
              <w:pStyle w:val="BodyText"/>
              <w:jc w:val="center"/>
              <w:rPr>
                <w:b/>
                <w:bCs/>
              </w:rPr>
            </w:pPr>
            <w:r w:rsidRPr="005C4EBE">
              <w:rPr>
                <w:b/>
                <w:bCs/>
                <w:sz w:val="22"/>
                <w:szCs w:val="22"/>
              </w:rPr>
              <w:t>Dollars ($000)</w:t>
            </w:r>
          </w:p>
        </w:tc>
        <w:tc>
          <w:tcPr>
            <w:tcW w:w="712" w:type="dxa"/>
            <w:vMerge/>
          </w:tcPr>
          <w:p w:rsidR="008967E5" w:rsidRPr="005C4EBE" w:rsidRDefault="008967E5" w:rsidP="00C007DC">
            <w:pPr>
              <w:pStyle w:val="BodyText"/>
              <w:jc w:val="center"/>
              <w:rPr>
                <w:b/>
                <w:bCs/>
              </w:rPr>
            </w:pPr>
          </w:p>
        </w:tc>
      </w:tr>
      <w:tr w:rsidR="008967E5" w:rsidRPr="000E2AEC" w:rsidTr="008C67A6">
        <w:tc>
          <w:tcPr>
            <w:tcW w:w="2628" w:type="dxa"/>
            <w:vAlign w:val="center"/>
          </w:tcPr>
          <w:p w:rsidR="008967E5" w:rsidRPr="005C4EBE" w:rsidRDefault="008967E5" w:rsidP="00C007DC">
            <w:pPr>
              <w:pStyle w:val="BodyText"/>
              <w:rPr>
                <w:b/>
                <w:bCs/>
              </w:rPr>
            </w:pPr>
            <w:r w:rsidRPr="005C4EBE">
              <w:rPr>
                <w:b/>
                <w:bCs/>
                <w:sz w:val="22"/>
                <w:szCs w:val="22"/>
              </w:rPr>
              <w:t xml:space="preserve">Operations </w:t>
            </w:r>
          </w:p>
        </w:tc>
        <w:tc>
          <w:tcPr>
            <w:tcW w:w="3780" w:type="dxa"/>
          </w:tcPr>
          <w:p w:rsidR="008967E5" w:rsidRPr="005C4EBE" w:rsidRDefault="008967E5" w:rsidP="003253B1">
            <w:pPr>
              <w:pStyle w:val="BodyText"/>
              <w:rPr>
                <w:b/>
                <w:bCs/>
              </w:rPr>
            </w:pPr>
            <w:r w:rsidRPr="005C4EBE">
              <w:rPr>
                <w:b/>
                <w:bCs/>
                <w:sz w:val="22"/>
                <w:szCs w:val="22"/>
              </w:rPr>
              <w:t>Realign Program business operational and financial goals and review operations and maintenance costs to identify and implement cost reduction actions</w:t>
            </w:r>
          </w:p>
        </w:tc>
        <w:tc>
          <w:tcPr>
            <w:tcW w:w="720" w:type="dxa"/>
            <w:vAlign w:val="center"/>
          </w:tcPr>
          <w:p w:rsidR="008967E5" w:rsidRPr="005C4EBE" w:rsidRDefault="008967E5" w:rsidP="003378EA">
            <w:pPr>
              <w:pStyle w:val="BodyText"/>
              <w:jc w:val="center"/>
              <w:rPr>
                <w:b/>
                <w:bCs/>
              </w:rPr>
            </w:pPr>
            <w:r w:rsidRPr="005C4EBE">
              <w:rPr>
                <w:b/>
                <w:bCs/>
                <w:sz w:val="22"/>
                <w:szCs w:val="22"/>
              </w:rPr>
              <w:t>0</w:t>
            </w:r>
          </w:p>
        </w:tc>
        <w:tc>
          <w:tcPr>
            <w:tcW w:w="720" w:type="dxa"/>
            <w:vAlign w:val="center"/>
          </w:tcPr>
          <w:p w:rsidR="008967E5" w:rsidRPr="005C4EBE" w:rsidRDefault="008967E5" w:rsidP="00C007DC">
            <w:pPr>
              <w:pStyle w:val="BodyText"/>
              <w:jc w:val="center"/>
              <w:rPr>
                <w:b/>
                <w:bCs/>
              </w:rPr>
            </w:pPr>
            <w:r w:rsidRPr="005C4EBE">
              <w:rPr>
                <w:b/>
                <w:bCs/>
                <w:sz w:val="22"/>
                <w:szCs w:val="22"/>
              </w:rPr>
              <w:t>0</w:t>
            </w:r>
          </w:p>
        </w:tc>
        <w:tc>
          <w:tcPr>
            <w:tcW w:w="1080" w:type="dxa"/>
            <w:vAlign w:val="center"/>
          </w:tcPr>
          <w:p w:rsidR="008967E5" w:rsidRPr="005C4EBE" w:rsidRDefault="008967E5" w:rsidP="00C007DC">
            <w:pPr>
              <w:pStyle w:val="BodyText"/>
              <w:jc w:val="center"/>
              <w:rPr>
                <w:b/>
                <w:bCs/>
              </w:rPr>
            </w:pPr>
            <w:r>
              <w:rPr>
                <w:b/>
                <w:bCs/>
                <w:sz w:val="22"/>
                <w:szCs w:val="22"/>
              </w:rPr>
              <w:t>($11</w:t>
            </w:r>
            <w:r w:rsidRPr="005C4EBE">
              <w:rPr>
                <w:b/>
                <w:bCs/>
                <w:sz w:val="22"/>
                <w:szCs w:val="22"/>
              </w:rPr>
              <w:t>,500)</w:t>
            </w:r>
          </w:p>
        </w:tc>
        <w:tc>
          <w:tcPr>
            <w:tcW w:w="712" w:type="dxa"/>
            <w:vAlign w:val="center"/>
          </w:tcPr>
          <w:p w:rsidR="008967E5" w:rsidRPr="005C4EBE" w:rsidRDefault="008967E5" w:rsidP="00B70D87">
            <w:pPr>
              <w:pStyle w:val="BodyText"/>
              <w:jc w:val="center"/>
              <w:rPr>
                <w:b/>
                <w:bCs/>
              </w:rPr>
            </w:pPr>
            <w:r w:rsidRPr="005C4EBE">
              <w:rPr>
                <w:b/>
                <w:bCs/>
                <w:szCs w:val="22"/>
              </w:rPr>
              <w:t>1</w:t>
            </w:r>
            <w:r w:rsidR="00B70D87">
              <w:rPr>
                <w:b/>
                <w:bCs/>
                <w:szCs w:val="22"/>
              </w:rPr>
              <w:t>9</w:t>
            </w:r>
          </w:p>
        </w:tc>
      </w:tr>
      <w:tr w:rsidR="008967E5" w:rsidRPr="000E2AEC" w:rsidTr="008C67A6">
        <w:tc>
          <w:tcPr>
            <w:tcW w:w="2628" w:type="dxa"/>
            <w:vAlign w:val="center"/>
          </w:tcPr>
          <w:p w:rsidR="008967E5" w:rsidRPr="005C4EBE" w:rsidRDefault="008967E5" w:rsidP="00A40BD6">
            <w:pPr>
              <w:pStyle w:val="BodyText"/>
              <w:rPr>
                <w:b/>
                <w:bCs/>
              </w:rPr>
            </w:pPr>
            <w:r>
              <w:rPr>
                <w:b/>
                <w:bCs/>
                <w:sz w:val="22"/>
                <w:szCs w:val="22"/>
              </w:rPr>
              <w:t>Realign and C</w:t>
            </w:r>
            <w:r w:rsidR="00A40BD6">
              <w:rPr>
                <w:b/>
                <w:bCs/>
                <w:sz w:val="22"/>
                <w:szCs w:val="22"/>
              </w:rPr>
              <w:t>onsolidate</w:t>
            </w:r>
            <w:r w:rsidRPr="00A232AE">
              <w:rPr>
                <w:b/>
                <w:bCs/>
                <w:sz w:val="22"/>
                <w:szCs w:val="22"/>
              </w:rPr>
              <w:t xml:space="preserve"> PMOs</w:t>
            </w:r>
          </w:p>
        </w:tc>
        <w:tc>
          <w:tcPr>
            <w:tcW w:w="3780" w:type="dxa"/>
          </w:tcPr>
          <w:p w:rsidR="008967E5" w:rsidRPr="005C4EBE" w:rsidRDefault="008967E5" w:rsidP="00A40BD6">
            <w:pPr>
              <w:pStyle w:val="BodyText"/>
              <w:rPr>
                <w:b/>
                <w:bCs/>
              </w:rPr>
            </w:pPr>
            <w:r>
              <w:rPr>
                <w:b/>
                <w:bCs/>
                <w:sz w:val="22"/>
                <w:szCs w:val="22"/>
              </w:rPr>
              <w:t xml:space="preserve">Realign and </w:t>
            </w:r>
            <w:r w:rsidR="00A40BD6">
              <w:rPr>
                <w:b/>
                <w:bCs/>
                <w:sz w:val="22"/>
                <w:szCs w:val="22"/>
              </w:rPr>
              <w:t>consolidate</w:t>
            </w:r>
            <w:r w:rsidRPr="00A232AE">
              <w:rPr>
                <w:b/>
                <w:bCs/>
                <w:sz w:val="22"/>
                <w:szCs w:val="22"/>
              </w:rPr>
              <w:t xml:space="preserve"> JABS, JCON, and JCON S/TS PMOs</w:t>
            </w:r>
          </w:p>
        </w:tc>
        <w:tc>
          <w:tcPr>
            <w:tcW w:w="720" w:type="dxa"/>
            <w:vAlign w:val="center"/>
          </w:tcPr>
          <w:p w:rsidR="008967E5" w:rsidRPr="005C4EBE" w:rsidRDefault="008967E5" w:rsidP="00C007DC">
            <w:pPr>
              <w:pStyle w:val="BodyText"/>
              <w:jc w:val="center"/>
              <w:rPr>
                <w:b/>
                <w:bCs/>
              </w:rPr>
            </w:pPr>
            <w:r>
              <w:rPr>
                <w:b/>
                <w:bCs/>
                <w:sz w:val="22"/>
                <w:szCs w:val="22"/>
              </w:rPr>
              <w:t>0</w:t>
            </w:r>
          </w:p>
        </w:tc>
        <w:tc>
          <w:tcPr>
            <w:tcW w:w="720" w:type="dxa"/>
            <w:vAlign w:val="center"/>
          </w:tcPr>
          <w:p w:rsidR="008967E5" w:rsidRPr="005C4EBE" w:rsidRDefault="008967E5" w:rsidP="00C007DC">
            <w:pPr>
              <w:pStyle w:val="BodyText"/>
              <w:jc w:val="center"/>
              <w:rPr>
                <w:b/>
                <w:bCs/>
              </w:rPr>
            </w:pPr>
            <w:r>
              <w:rPr>
                <w:b/>
                <w:bCs/>
                <w:sz w:val="22"/>
                <w:szCs w:val="22"/>
              </w:rPr>
              <w:t>0</w:t>
            </w:r>
          </w:p>
        </w:tc>
        <w:tc>
          <w:tcPr>
            <w:tcW w:w="1080" w:type="dxa"/>
            <w:vAlign w:val="center"/>
          </w:tcPr>
          <w:p w:rsidR="008967E5" w:rsidRPr="005C4EBE" w:rsidRDefault="008967E5" w:rsidP="00C007DC">
            <w:pPr>
              <w:pStyle w:val="BodyText"/>
              <w:jc w:val="center"/>
              <w:rPr>
                <w:b/>
                <w:bCs/>
              </w:rPr>
            </w:pPr>
            <w:r>
              <w:rPr>
                <w:b/>
                <w:bCs/>
                <w:sz w:val="22"/>
                <w:szCs w:val="22"/>
              </w:rPr>
              <w:t>($ 5,000)</w:t>
            </w:r>
          </w:p>
        </w:tc>
        <w:tc>
          <w:tcPr>
            <w:tcW w:w="712" w:type="dxa"/>
            <w:vAlign w:val="center"/>
          </w:tcPr>
          <w:p w:rsidR="008967E5" w:rsidRPr="005C4EBE" w:rsidRDefault="00B70D87" w:rsidP="00B70D87">
            <w:pPr>
              <w:pStyle w:val="BodyText"/>
              <w:jc w:val="center"/>
              <w:rPr>
                <w:b/>
                <w:bCs/>
              </w:rPr>
            </w:pPr>
            <w:r>
              <w:rPr>
                <w:b/>
                <w:bCs/>
                <w:szCs w:val="22"/>
              </w:rPr>
              <w:t>2</w:t>
            </w:r>
            <w:r w:rsidR="008967E5">
              <w:rPr>
                <w:b/>
                <w:bCs/>
                <w:szCs w:val="22"/>
              </w:rPr>
              <w:t>1</w:t>
            </w:r>
          </w:p>
        </w:tc>
      </w:tr>
      <w:tr w:rsidR="008967E5" w:rsidRPr="000E2AEC" w:rsidTr="008C67A6">
        <w:tc>
          <w:tcPr>
            <w:tcW w:w="2628" w:type="dxa"/>
            <w:vAlign w:val="center"/>
          </w:tcPr>
          <w:p w:rsidR="008967E5" w:rsidRPr="005C4EBE" w:rsidRDefault="00123C8E" w:rsidP="00C007DC">
            <w:pPr>
              <w:pStyle w:val="BodyText"/>
              <w:rPr>
                <w:b/>
                <w:bCs/>
              </w:rPr>
            </w:pPr>
            <w:r>
              <w:rPr>
                <w:b/>
                <w:bCs/>
                <w:sz w:val="22"/>
                <w:szCs w:val="22"/>
              </w:rPr>
              <w:t>Extend Tech Refresh</w:t>
            </w:r>
          </w:p>
        </w:tc>
        <w:tc>
          <w:tcPr>
            <w:tcW w:w="3780" w:type="dxa"/>
          </w:tcPr>
          <w:p w:rsidR="008967E5" w:rsidRPr="005C4EBE" w:rsidRDefault="008967E5" w:rsidP="00C007DC">
            <w:pPr>
              <w:pStyle w:val="BodyText"/>
              <w:rPr>
                <w:b/>
                <w:bCs/>
              </w:rPr>
            </w:pPr>
            <w:r w:rsidRPr="005C4EBE">
              <w:rPr>
                <w:b/>
                <w:bCs/>
                <w:sz w:val="22"/>
                <w:szCs w:val="22"/>
              </w:rPr>
              <w:t>Extend tech refresh cycle for PC workstations by one year</w:t>
            </w:r>
          </w:p>
        </w:tc>
        <w:tc>
          <w:tcPr>
            <w:tcW w:w="720" w:type="dxa"/>
            <w:vAlign w:val="center"/>
          </w:tcPr>
          <w:p w:rsidR="008967E5" w:rsidRPr="005C4EBE" w:rsidRDefault="008967E5" w:rsidP="00C007DC">
            <w:pPr>
              <w:pStyle w:val="BodyText"/>
              <w:jc w:val="center"/>
              <w:rPr>
                <w:b/>
                <w:bCs/>
              </w:rPr>
            </w:pPr>
            <w:r w:rsidRPr="005C4EBE">
              <w:rPr>
                <w:b/>
                <w:bCs/>
                <w:sz w:val="22"/>
                <w:szCs w:val="22"/>
              </w:rPr>
              <w:t>0</w:t>
            </w:r>
          </w:p>
        </w:tc>
        <w:tc>
          <w:tcPr>
            <w:tcW w:w="720" w:type="dxa"/>
            <w:vAlign w:val="center"/>
          </w:tcPr>
          <w:p w:rsidR="008967E5" w:rsidRPr="005C4EBE" w:rsidRDefault="008967E5" w:rsidP="00C007DC">
            <w:pPr>
              <w:pStyle w:val="BodyText"/>
              <w:jc w:val="center"/>
              <w:rPr>
                <w:b/>
                <w:bCs/>
              </w:rPr>
            </w:pPr>
            <w:r w:rsidRPr="005C4EBE">
              <w:rPr>
                <w:b/>
                <w:bCs/>
                <w:sz w:val="22"/>
                <w:szCs w:val="22"/>
              </w:rPr>
              <w:t>0</w:t>
            </w:r>
          </w:p>
        </w:tc>
        <w:tc>
          <w:tcPr>
            <w:tcW w:w="1080" w:type="dxa"/>
            <w:vAlign w:val="center"/>
          </w:tcPr>
          <w:p w:rsidR="008967E5" w:rsidRPr="005C4EBE" w:rsidRDefault="008967E5" w:rsidP="00C007DC">
            <w:pPr>
              <w:pStyle w:val="BodyText"/>
              <w:jc w:val="center"/>
              <w:rPr>
                <w:b/>
                <w:bCs/>
              </w:rPr>
            </w:pPr>
            <w:r w:rsidRPr="005C4EBE">
              <w:rPr>
                <w:b/>
                <w:bCs/>
                <w:sz w:val="22"/>
                <w:szCs w:val="22"/>
              </w:rPr>
              <w:t>($    443)</w:t>
            </w:r>
          </w:p>
        </w:tc>
        <w:tc>
          <w:tcPr>
            <w:tcW w:w="712" w:type="dxa"/>
            <w:vAlign w:val="center"/>
          </w:tcPr>
          <w:p w:rsidR="008967E5" w:rsidRPr="005C4EBE" w:rsidRDefault="008967E5" w:rsidP="00802FF1">
            <w:pPr>
              <w:pStyle w:val="BodyText"/>
              <w:jc w:val="center"/>
              <w:rPr>
                <w:b/>
                <w:bCs/>
              </w:rPr>
            </w:pPr>
            <w:r>
              <w:rPr>
                <w:b/>
                <w:bCs/>
                <w:szCs w:val="22"/>
              </w:rPr>
              <w:t>2</w:t>
            </w:r>
            <w:r w:rsidR="00802FF1">
              <w:rPr>
                <w:b/>
                <w:bCs/>
                <w:szCs w:val="22"/>
              </w:rPr>
              <w:t>3</w:t>
            </w:r>
          </w:p>
        </w:tc>
      </w:tr>
      <w:tr w:rsidR="008967E5" w:rsidRPr="000E2AEC" w:rsidTr="008C67A6">
        <w:tc>
          <w:tcPr>
            <w:tcW w:w="2628" w:type="dxa"/>
            <w:vAlign w:val="center"/>
          </w:tcPr>
          <w:p w:rsidR="008967E5" w:rsidRPr="005C4EBE" w:rsidRDefault="008967E5" w:rsidP="003F0FB8">
            <w:pPr>
              <w:pStyle w:val="BodyText"/>
              <w:rPr>
                <w:b/>
                <w:bCs/>
              </w:rPr>
            </w:pPr>
            <w:r w:rsidRPr="005C4EBE">
              <w:rPr>
                <w:b/>
                <w:bCs/>
                <w:sz w:val="22"/>
                <w:szCs w:val="22"/>
              </w:rPr>
              <w:t>Administrative Efficiencies</w:t>
            </w:r>
          </w:p>
        </w:tc>
        <w:tc>
          <w:tcPr>
            <w:tcW w:w="3780" w:type="dxa"/>
          </w:tcPr>
          <w:p w:rsidR="008967E5" w:rsidRPr="005C4EBE" w:rsidRDefault="008967E5" w:rsidP="00C007DC">
            <w:pPr>
              <w:pStyle w:val="BodyText"/>
              <w:rPr>
                <w:b/>
                <w:bCs/>
              </w:rPr>
            </w:pPr>
            <w:r w:rsidRPr="005C4EBE">
              <w:rPr>
                <w:b/>
                <w:bCs/>
                <w:sz w:val="22"/>
                <w:szCs w:val="22"/>
              </w:rPr>
              <w:t>Evaluate programs and operations to achieve economy of scale that increase efficiency and cost</w:t>
            </w:r>
          </w:p>
        </w:tc>
        <w:tc>
          <w:tcPr>
            <w:tcW w:w="720" w:type="dxa"/>
            <w:vAlign w:val="center"/>
          </w:tcPr>
          <w:p w:rsidR="008967E5" w:rsidRPr="005C4EBE" w:rsidRDefault="008967E5" w:rsidP="003C1CA4">
            <w:pPr>
              <w:pStyle w:val="BodyText"/>
              <w:jc w:val="center"/>
              <w:rPr>
                <w:b/>
                <w:bCs/>
              </w:rPr>
            </w:pPr>
            <w:r w:rsidRPr="005C4EBE">
              <w:rPr>
                <w:b/>
                <w:bCs/>
                <w:sz w:val="22"/>
                <w:szCs w:val="22"/>
              </w:rPr>
              <w:t>0</w:t>
            </w:r>
          </w:p>
        </w:tc>
        <w:tc>
          <w:tcPr>
            <w:tcW w:w="720" w:type="dxa"/>
            <w:vAlign w:val="center"/>
          </w:tcPr>
          <w:p w:rsidR="008967E5" w:rsidRPr="005C4EBE" w:rsidRDefault="008967E5" w:rsidP="003C1CA4">
            <w:pPr>
              <w:pStyle w:val="BodyText"/>
              <w:jc w:val="center"/>
              <w:rPr>
                <w:b/>
                <w:bCs/>
              </w:rPr>
            </w:pPr>
            <w:r w:rsidRPr="005C4EBE">
              <w:rPr>
                <w:b/>
                <w:bCs/>
                <w:sz w:val="22"/>
                <w:szCs w:val="22"/>
              </w:rPr>
              <w:t>0</w:t>
            </w:r>
          </w:p>
        </w:tc>
        <w:tc>
          <w:tcPr>
            <w:tcW w:w="1080" w:type="dxa"/>
            <w:vAlign w:val="center"/>
          </w:tcPr>
          <w:p w:rsidR="008967E5" w:rsidRPr="005C4EBE" w:rsidRDefault="008967E5" w:rsidP="00003948">
            <w:pPr>
              <w:pStyle w:val="BodyText"/>
              <w:jc w:val="center"/>
              <w:rPr>
                <w:b/>
                <w:bCs/>
              </w:rPr>
            </w:pPr>
            <w:r w:rsidRPr="005C4EBE">
              <w:rPr>
                <w:b/>
                <w:bCs/>
                <w:sz w:val="22"/>
                <w:szCs w:val="22"/>
              </w:rPr>
              <w:t>($      13)</w:t>
            </w:r>
          </w:p>
        </w:tc>
        <w:tc>
          <w:tcPr>
            <w:tcW w:w="712" w:type="dxa"/>
            <w:vAlign w:val="center"/>
          </w:tcPr>
          <w:p w:rsidR="008967E5" w:rsidRPr="005C4EBE" w:rsidRDefault="008967E5" w:rsidP="00802FF1">
            <w:pPr>
              <w:pStyle w:val="BodyText"/>
              <w:jc w:val="center"/>
              <w:rPr>
                <w:b/>
                <w:bCs/>
              </w:rPr>
            </w:pPr>
            <w:r>
              <w:rPr>
                <w:b/>
                <w:bCs/>
                <w:szCs w:val="22"/>
              </w:rPr>
              <w:t>2</w:t>
            </w:r>
            <w:r w:rsidR="00802FF1">
              <w:rPr>
                <w:b/>
                <w:bCs/>
                <w:szCs w:val="22"/>
              </w:rPr>
              <w:t>4</w:t>
            </w:r>
          </w:p>
        </w:tc>
      </w:tr>
    </w:tbl>
    <w:p w:rsidR="008967E5" w:rsidRDefault="008967E5" w:rsidP="001D2ED9">
      <w:pPr>
        <w:jc w:val="both"/>
        <w:rPr>
          <w:bCs/>
          <w:sz w:val="22"/>
          <w:szCs w:val="22"/>
        </w:rPr>
      </w:pPr>
    </w:p>
    <w:p w:rsidR="00B81053" w:rsidRDefault="00B81053">
      <w:pPr>
        <w:pStyle w:val="BodyText"/>
        <w:rPr>
          <w:b/>
          <w:bCs/>
          <w:iCs/>
          <w:sz w:val="22"/>
          <w:szCs w:val="22"/>
        </w:rPr>
        <w:sectPr w:rsidR="00B81053" w:rsidSect="0019544A">
          <w:pgSz w:w="12240" w:h="15840" w:code="1"/>
          <w:pgMar w:top="1440" w:right="1440" w:bottom="1440" w:left="1440" w:header="432" w:footer="432" w:gutter="0"/>
          <w:cols w:space="720"/>
          <w:docGrid w:linePitch="326"/>
        </w:sectPr>
      </w:pPr>
    </w:p>
    <w:p w:rsidR="008967E5" w:rsidRPr="002567E4" w:rsidRDefault="008967E5">
      <w:pPr>
        <w:pStyle w:val="BodyText"/>
        <w:rPr>
          <w:b/>
          <w:bCs/>
          <w:iCs/>
          <w:sz w:val="22"/>
          <w:szCs w:val="22"/>
        </w:rPr>
      </w:pPr>
    </w:p>
    <w:p w:rsidR="008967E5" w:rsidRPr="00B866AF" w:rsidRDefault="008967E5" w:rsidP="005A4AD1">
      <w:pPr>
        <w:pStyle w:val="BodyText"/>
        <w:rPr>
          <w:b/>
          <w:bCs/>
        </w:rPr>
      </w:pPr>
      <w:r>
        <w:rPr>
          <w:b/>
          <w:bCs/>
        </w:rPr>
        <w:t>III</w:t>
      </w:r>
      <w:r w:rsidRPr="00B866AF">
        <w:rPr>
          <w:b/>
          <w:bCs/>
        </w:rPr>
        <w:t>.   Appropriation Language</w:t>
      </w:r>
      <w:r>
        <w:rPr>
          <w:b/>
          <w:bCs/>
        </w:rPr>
        <w:t xml:space="preserve"> and Analysis of Appropriation Language</w:t>
      </w:r>
    </w:p>
    <w:p w:rsidR="008967E5" w:rsidRDefault="008967E5" w:rsidP="005A4AD1">
      <w:pPr>
        <w:pStyle w:val="BodyText"/>
        <w:rPr>
          <w:b/>
          <w:bCs/>
          <w:sz w:val="22"/>
          <w:szCs w:val="22"/>
        </w:rPr>
      </w:pPr>
      <w:bookmarkStart w:id="2" w:name="_GoBack"/>
      <w:bookmarkEnd w:id="2"/>
    </w:p>
    <w:p w:rsidR="008967E5" w:rsidRPr="007A4E99" w:rsidRDefault="008967E5" w:rsidP="00A74152">
      <w:pPr>
        <w:numPr>
          <w:ilvl w:val="0"/>
          <w:numId w:val="30"/>
        </w:numPr>
        <w:rPr>
          <w:bCs/>
          <w:i/>
          <w:sz w:val="22"/>
          <w:szCs w:val="22"/>
        </w:rPr>
      </w:pPr>
      <w:r>
        <w:rPr>
          <w:bCs/>
          <w:sz w:val="22"/>
          <w:szCs w:val="22"/>
        </w:rPr>
        <w:t xml:space="preserve"> Appropriation Language</w:t>
      </w:r>
    </w:p>
    <w:p w:rsidR="008967E5" w:rsidRDefault="008967E5" w:rsidP="007A4E99">
      <w:pPr>
        <w:ind w:left="360"/>
        <w:rPr>
          <w:bCs/>
          <w:i/>
          <w:sz w:val="22"/>
          <w:szCs w:val="22"/>
        </w:rPr>
      </w:pPr>
    </w:p>
    <w:p w:rsidR="008967E5" w:rsidRDefault="008967E5" w:rsidP="007A4E99">
      <w:pPr>
        <w:ind w:left="720"/>
        <w:rPr>
          <w:bCs/>
          <w:sz w:val="22"/>
          <w:szCs w:val="22"/>
        </w:rPr>
      </w:pPr>
      <w:r w:rsidRPr="007A4E99">
        <w:rPr>
          <w:bCs/>
          <w:i/>
          <w:sz w:val="22"/>
          <w:szCs w:val="22"/>
        </w:rPr>
        <w:t>For necessary expenses for information sharing technology, including planning, development, deployment, and departmental direction, $54,307,000 to remain available until expended</w:t>
      </w:r>
      <w:r>
        <w:rPr>
          <w:bCs/>
          <w:sz w:val="22"/>
          <w:szCs w:val="22"/>
        </w:rPr>
        <w:t>.</w:t>
      </w:r>
    </w:p>
    <w:p w:rsidR="008967E5" w:rsidRDefault="008967E5" w:rsidP="007A4E99">
      <w:pPr>
        <w:ind w:left="720"/>
        <w:rPr>
          <w:bCs/>
          <w:i/>
          <w:sz w:val="22"/>
          <w:szCs w:val="22"/>
        </w:rPr>
      </w:pPr>
    </w:p>
    <w:p w:rsidR="008967E5" w:rsidRDefault="008967E5" w:rsidP="00594104">
      <w:pPr>
        <w:pStyle w:val="BodyText"/>
        <w:ind w:left="720"/>
        <w:rPr>
          <w:sz w:val="22"/>
          <w:szCs w:val="22"/>
        </w:rPr>
      </w:pPr>
      <w:r>
        <w:rPr>
          <w:sz w:val="22"/>
          <w:szCs w:val="22"/>
        </w:rPr>
        <w:t>Note. – A full-year 2011 appropriation for this account was not enacted at the time the budget was prepared; therefore, this account is operating under a continuing resolution (P.L. 111-242, as amended). The amounts included for 2011 reflect the annualized level provided by the continuing resolution.</w:t>
      </w:r>
    </w:p>
    <w:p w:rsidR="008967E5" w:rsidRPr="00594104" w:rsidRDefault="008967E5" w:rsidP="007A4E99">
      <w:pPr>
        <w:ind w:left="720"/>
        <w:rPr>
          <w:bCs/>
          <w:sz w:val="22"/>
          <w:szCs w:val="22"/>
        </w:rPr>
      </w:pPr>
    </w:p>
    <w:p w:rsidR="008967E5" w:rsidRDefault="008967E5" w:rsidP="00244647">
      <w:pPr>
        <w:ind w:left="720"/>
        <w:rPr>
          <w:bCs/>
          <w:sz w:val="22"/>
          <w:szCs w:val="22"/>
        </w:rPr>
      </w:pPr>
    </w:p>
    <w:p w:rsidR="008967E5" w:rsidRDefault="008967E5" w:rsidP="00A74152">
      <w:pPr>
        <w:numPr>
          <w:ilvl w:val="0"/>
          <w:numId w:val="30"/>
        </w:numPr>
        <w:rPr>
          <w:bCs/>
          <w:sz w:val="22"/>
          <w:szCs w:val="22"/>
        </w:rPr>
      </w:pPr>
      <w:r>
        <w:rPr>
          <w:bCs/>
          <w:sz w:val="22"/>
          <w:szCs w:val="22"/>
        </w:rPr>
        <w:t xml:space="preserve"> Analysis of Appropriation Language</w:t>
      </w:r>
    </w:p>
    <w:p w:rsidR="008967E5" w:rsidRPr="00244647" w:rsidRDefault="008967E5" w:rsidP="00244647">
      <w:pPr>
        <w:ind w:left="720"/>
        <w:rPr>
          <w:bCs/>
          <w:sz w:val="22"/>
          <w:szCs w:val="22"/>
        </w:rPr>
      </w:pPr>
      <w:r>
        <w:rPr>
          <w:bCs/>
          <w:i/>
          <w:sz w:val="22"/>
          <w:szCs w:val="22"/>
        </w:rPr>
        <w:t>“No substantive changes proposed.”</w:t>
      </w:r>
    </w:p>
    <w:p w:rsidR="008967E5" w:rsidRDefault="008967E5" w:rsidP="005A4AD1">
      <w:pPr>
        <w:pStyle w:val="BodyText"/>
        <w:rPr>
          <w:b/>
          <w:bCs/>
          <w:sz w:val="22"/>
          <w:szCs w:val="22"/>
        </w:rPr>
      </w:pPr>
    </w:p>
    <w:p w:rsidR="008967E5" w:rsidRPr="001005DE" w:rsidRDefault="001005DE" w:rsidP="005A4AD1">
      <w:pPr>
        <w:pStyle w:val="BodyText"/>
        <w:rPr>
          <w:sz w:val="22"/>
          <w:szCs w:val="22"/>
        </w:rPr>
      </w:pPr>
      <w:r>
        <w:rPr>
          <w:b/>
          <w:bCs/>
          <w:sz w:val="22"/>
          <w:szCs w:val="22"/>
        </w:rPr>
        <w:t xml:space="preserve">         </w:t>
      </w:r>
    </w:p>
    <w:p w:rsidR="001005DE" w:rsidRPr="001005DE" w:rsidRDefault="001005DE" w:rsidP="001005DE">
      <w:pPr>
        <w:pStyle w:val="IGMLevel4"/>
        <w:ind w:left="720"/>
        <w:rPr>
          <w:sz w:val="22"/>
          <w:szCs w:val="22"/>
        </w:rPr>
      </w:pPr>
      <w:r w:rsidRPr="001005DE">
        <w:rPr>
          <w:sz w:val="22"/>
          <w:szCs w:val="22"/>
        </w:rPr>
        <w:t>Note:  The FY 2012 President’s Budget uses the FY 2011 President’s Budget language as a base so all language is presented as new.</w:t>
      </w:r>
    </w:p>
    <w:p w:rsidR="008967E5" w:rsidRPr="00CC3D1A" w:rsidRDefault="008967E5">
      <w:pPr>
        <w:pStyle w:val="BodyText"/>
        <w:rPr>
          <w:b/>
          <w:bCs/>
        </w:rPr>
      </w:pPr>
      <w:r>
        <w:rPr>
          <w:b/>
          <w:bCs/>
        </w:rPr>
        <w:br w:type="page"/>
      </w:r>
      <w:r>
        <w:rPr>
          <w:b/>
          <w:bCs/>
        </w:rPr>
        <w:lastRenderedPageBreak/>
        <w:t>I</w:t>
      </w:r>
      <w:r w:rsidRPr="00CC3D1A">
        <w:rPr>
          <w:b/>
          <w:bCs/>
        </w:rPr>
        <w:t>V. Decision Unit Justification</w:t>
      </w:r>
    </w:p>
    <w:p w:rsidR="008967E5" w:rsidRPr="002567E4" w:rsidRDefault="008967E5">
      <w:pPr>
        <w:pStyle w:val="BodyText"/>
        <w:rPr>
          <w:b/>
          <w:bCs/>
          <w:sz w:val="22"/>
          <w:szCs w:val="22"/>
        </w:rPr>
      </w:pPr>
    </w:p>
    <w:p w:rsidR="008967E5" w:rsidRPr="00CC3D1A" w:rsidRDefault="008967E5">
      <w:pPr>
        <w:pStyle w:val="BodyText"/>
        <w:rPr>
          <w:b/>
          <w:bCs/>
        </w:rPr>
      </w:pPr>
      <w:bookmarkStart w:id="3" w:name="OLE_LINK12"/>
      <w:bookmarkStart w:id="4" w:name="OLE_LINK13"/>
      <w:bookmarkStart w:id="5" w:name="OLE_LINK7"/>
      <w:bookmarkStart w:id="6" w:name="OLE_LINK8"/>
      <w:r w:rsidRPr="00CC3D1A">
        <w:rPr>
          <w:b/>
          <w:bCs/>
        </w:rPr>
        <w:t xml:space="preserve">A.  </w:t>
      </w:r>
      <w:r w:rsidRPr="00CC3D1A">
        <w:rPr>
          <w:b/>
          <w:bCs/>
          <w:iCs/>
        </w:rPr>
        <w:t>Justice Information Sharing Technology – (JIST)</w:t>
      </w:r>
      <w:r w:rsidRPr="00CC3D1A">
        <w:rPr>
          <w:b/>
          <w:bCs/>
        </w:rPr>
        <w:tab/>
      </w:r>
      <w:r w:rsidRPr="00CC3D1A">
        <w:rPr>
          <w:b/>
          <w:bCs/>
        </w:rPr>
        <w:tab/>
      </w:r>
    </w:p>
    <w:p w:rsidR="008967E5" w:rsidRPr="002567E4" w:rsidRDefault="008967E5">
      <w:pPr>
        <w:pStyle w:val="Title"/>
        <w:rPr>
          <w:b w:val="0"/>
          <w:bCs w:val="0"/>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08"/>
        <w:gridCol w:w="1260"/>
        <w:gridCol w:w="1267"/>
        <w:gridCol w:w="1440"/>
      </w:tblGrid>
      <w:tr w:rsidR="008967E5" w:rsidRPr="002567E4" w:rsidTr="00990F69">
        <w:tc>
          <w:tcPr>
            <w:tcW w:w="5508" w:type="dxa"/>
            <w:vAlign w:val="center"/>
          </w:tcPr>
          <w:p w:rsidR="008967E5" w:rsidRPr="005C4EBE" w:rsidRDefault="008967E5">
            <w:pPr>
              <w:pStyle w:val="Title"/>
              <w:ind w:left="0"/>
              <w:jc w:val="left"/>
              <w:rPr>
                <w:rFonts w:ascii="Times New Roman" w:hAnsi="Times New Roman"/>
                <w:bCs w:val="0"/>
                <w:i/>
                <w:iCs/>
                <w:kern w:val="0"/>
                <w:sz w:val="24"/>
                <w:szCs w:val="22"/>
              </w:rPr>
            </w:pPr>
            <w:bookmarkStart w:id="7" w:name="OLE_LINK26"/>
            <w:bookmarkStart w:id="8" w:name="OLE_LINK27"/>
            <w:r w:rsidRPr="005C4EBE">
              <w:rPr>
                <w:rFonts w:ascii="Times New Roman" w:hAnsi="Times New Roman"/>
                <w:bCs w:val="0"/>
                <w:iCs/>
                <w:kern w:val="0"/>
                <w:sz w:val="22"/>
                <w:szCs w:val="22"/>
              </w:rPr>
              <w:t xml:space="preserve">JIST - </w:t>
            </w:r>
            <w:r w:rsidRPr="005C4EBE">
              <w:rPr>
                <w:rFonts w:ascii="Times New Roman" w:hAnsi="Times New Roman"/>
                <w:bCs w:val="0"/>
                <w:kern w:val="0"/>
                <w:sz w:val="22"/>
                <w:szCs w:val="22"/>
              </w:rPr>
              <w:t>TOTAL</w:t>
            </w:r>
          </w:p>
        </w:tc>
        <w:tc>
          <w:tcPr>
            <w:tcW w:w="1260" w:type="dxa"/>
          </w:tcPr>
          <w:p w:rsidR="008967E5" w:rsidRPr="005C4EBE" w:rsidRDefault="008967E5">
            <w:pPr>
              <w:pStyle w:val="Title"/>
              <w:ind w:left="0"/>
              <w:rPr>
                <w:rFonts w:ascii="Times New Roman" w:hAnsi="Times New Roman"/>
                <w:bCs w:val="0"/>
                <w:kern w:val="0"/>
                <w:sz w:val="24"/>
                <w:szCs w:val="22"/>
              </w:rPr>
            </w:pPr>
            <w:r w:rsidRPr="005C4EBE">
              <w:rPr>
                <w:rFonts w:ascii="Times New Roman" w:hAnsi="Times New Roman"/>
                <w:bCs w:val="0"/>
                <w:kern w:val="0"/>
                <w:sz w:val="22"/>
                <w:szCs w:val="22"/>
              </w:rPr>
              <w:t>Permanent</w:t>
            </w:r>
          </w:p>
          <w:p w:rsidR="008967E5" w:rsidRPr="005C4EBE" w:rsidRDefault="008967E5">
            <w:pPr>
              <w:pStyle w:val="Title"/>
              <w:ind w:left="0"/>
              <w:rPr>
                <w:rFonts w:ascii="Times New Roman" w:hAnsi="Times New Roman"/>
                <w:bCs w:val="0"/>
                <w:kern w:val="0"/>
                <w:sz w:val="24"/>
                <w:szCs w:val="22"/>
              </w:rPr>
            </w:pPr>
            <w:r w:rsidRPr="005C4EBE">
              <w:rPr>
                <w:rFonts w:ascii="Times New Roman" w:hAnsi="Times New Roman"/>
                <w:bCs w:val="0"/>
                <w:kern w:val="0"/>
                <w:sz w:val="22"/>
                <w:szCs w:val="22"/>
              </w:rPr>
              <w:t>Positions</w:t>
            </w:r>
          </w:p>
        </w:tc>
        <w:tc>
          <w:tcPr>
            <w:tcW w:w="1267" w:type="dxa"/>
            <w:vAlign w:val="center"/>
          </w:tcPr>
          <w:p w:rsidR="008967E5" w:rsidRPr="005C4EBE" w:rsidRDefault="008967E5">
            <w:pPr>
              <w:pStyle w:val="Title"/>
              <w:ind w:left="0"/>
              <w:rPr>
                <w:rFonts w:ascii="Times New Roman" w:hAnsi="Times New Roman"/>
                <w:bCs w:val="0"/>
                <w:kern w:val="0"/>
                <w:sz w:val="24"/>
                <w:szCs w:val="22"/>
              </w:rPr>
            </w:pPr>
            <w:r w:rsidRPr="005C4EBE">
              <w:rPr>
                <w:rFonts w:ascii="Times New Roman" w:hAnsi="Times New Roman"/>
                <w:bCs w:val="0"/>
                <w:kern w:val="0"/>
                <w:sz w:val="22"/>
                <w:szCs w:val="22"/>
              </w:rPr>
              <w:t>FTE</w:t>
            </w:r>
          </w:p>
        </w:tc>
        <w:tc>
          <w:tcPr>
            <w:tcW w:w="1440" w:type="dxa"/>
            <w:vAlign w:val="center"/>
          </w:tcPr>
          <w:p w:rsidR="008967E5" w:rsidRPr="005C4EBE" w:rsidRDefault="008967E5">
            <w:pPr>
              <w:pStyle w:val="Title"/>
              <w:ind w:left="0"/>
              <w:rPr>
                <w:rFonts w:ascii="Times New Roman" w:hAnsi="Times New Roman"/>
                <w:bCs w:val="0"/>
                <w:kern w:val="0"/>
                <w:sz w:val="24"/>
                <w:szCs w:val="22"/>
              </w:rPr>
            </w:pPr>
            <w:r w:rsidRPr="005C4EBE">
              <w:rPr>
                <w:rFonts w:ascii="Times New Roman" w:hAnsi="Times New Roman"/>
                <w:bCs w:val="0"/>
                <w:kern w:val="0"/>
                <w:sz w:val="22"/>
                <w:szCs w:val="22"/>
              </w:rPr>
              <w:t>Amount</w:t>
            </w:r>
          </w:p>
        </w:tc>
      </w:tr>
      <w:tr w:rsidR="008967E5" w:rsidRPr="002567E4" w:rsidTr="00990F69">
        <w:tc>
          <w:tcPr>
            <w:tcW w:w="5508" w:type="dxa"/>
          </w:tcPr>
          <w:p w:rsidR="008967E5" w:rsidRPr="005C4EBE" w:rsidRDefault="008967E5">
            <w:pPr>
              <w:pStyle w:val="Title"/>
              <w:ind w:left="0"/>
              <w:jc w:val="left"/>
              <w:rPr>
                <w:rFonts w:ascii="Times New Roman" w:hAnsi="Times New Roman"/>
                <w:b w:val="0"/>
                <w:kern w:val="0"/>
                <w:sz w:val="24"/>
                <w:szCs w:val="22"/>
              </w:rPr>
            </w:pPr>
            <w:r w:rsidRPr="005C4EBE">
              <w:rPr>
                <w:rFonts w:ascii="Times New Roman" w:hAnsi="Times New Roman"/>
                <w:b w:val="0"/>
                <w:kern w:val="0"/>
                <w:sz w:val="22"/>
                <w:szCs w:val="22"/>
              </w:rPr>
              <w:t xml:space="preserve">2010 Enacted </w:t>
            </w:r>
          </w:p>
        </w:tc>
        <w:tc>
          <w:tcPr>
            <w:tcW w:w="1260" w:type="dxa"/>
            <w:vAlign w:val="center"/>
          </w:tcPr>
          <w:p w:rsidR="008967E5" w:rsidRPr="005C4EBE" w:rsidRDefault="008967E5" w:rsidP="00B0410C">
            <w:pPr>
              <w:pStyle w:val="Title"/>
              <w:ind w:left="0"/>
              <w:jc w:val="right"/>
              <w:rPr>
                <w:rFonts w:ascii="Times New Roman" w:hAnsi="Times New Roman"/>
                <w:b w:val="0"/>
                <w:kern w:val="0"/>
                <w:sz w:val="24"/>
                <w:szCs w:val="22"/>
              </w:rPr>
            </w:pPr>
            <w:r w:rsidRPr="005C4EBE">
              <w:rPr>
                <w:rFonts w:ascii="Times New Roman" w:hAnsi="Times New Roman"/>
                <w:b w:val="0"/>
                <w:kern w:val="0"/>
                <w:sz w:val="22"/>
                <w:szCs w:val="22"/>
              </w:rPr>
              <w:t>72</w:t>
            </w:r>
          </w:p>
        </w:tc>
        <w:tc>
          <w:tcPr>
            <w:tcW w:w="1267" w:type="dxa"/>
            <w:vAlign w:val="center"/>
          </w:tcPr>
          <w:p w:rsidR="008967E5" w:rsidRPr="005C4EBE" w:rsidRDefault="008967E5" w:rsidP="00B0410C">
            <w:pPr>
              <w:pStyle w:val="Title"/>
              <w:ind w:left="0"/>
              <w:jc w:val="right"/>
              <w:rPr>
                <w:rFonts w:ascii="Times New Roman" w:hAnsi="Times New Roman"/>
                <w:b w:val="0"/>
                <w:kern w:val="0"/>
                <w:sz w:val="24"/>
                <w:szCs w:val="22"/>
              </w:rPr>
            </w:pPr>
            <w:r w:rsidRPr="005C4EBE">
              <w:rPr>
                <w:rFonts w:ascii="Times New Roman" w:hAnsi="Times New Roman"/>
                <w:b w:val="0"/>
                <w:kern w:val="0"/>
                <w:sz w:val="22"/>
                <w:szCs w:val="22"/>
              </w:rPr>
              <w:t>72</w:t>
            </w:r>
          </w:p>
        </w:tc>
        <w:tc>
          <w:tcPr>
            <w:tcW w:w="1440" w:type="dxa"/>
            <w:vAlign w:val="center"/>
          </w:tcPr>
          <w:p w:rsidR="008967E5" w:rsidRPr="005C4EBE" w:rsidRDefault="008967E5">
            <w:pPr>
              <w:pStyle w:val="Title"/>
              <w:ind w:left="0"/>
              <w:jc w:val="right"/>
              <w:rPr>
                <w:rFonts w:ascii="Times New Roman" w:hAnsi="Times New Roman"/>
                <w:b w:val="0"/>
                <w:kern w:val="0"/>
                <w:sz w:val="24"/>
                <w:szCs w:val="22"/>
              </w:rPr>
            </w:pPr>
            <w:r w:rsidRPr="005C4EBE">
              <w:rPr>
                <w:rFonts w:ascii="Times New Roman" w:hAnsi="Times New Roman"/>
                <w:b w:val="0"/>
                <w:kern w:val="0"/>
                <w:sz w:val="22"/>
                <w:szCs w:val="22"/>
              </w:rPr>
              <w:t>88,285,000</w:t>
            </w:r>
          </w:p>
        </w:tc>
      </w:tr>
      <w:tr w:rsidR="008967E5" w:rsidRPr="002567E4" w:rsidTr="00990F69">
        <w:tc>
          <w:tcPr>
            <w:tcW w:w="5508" w:type="dxa"/>
          </w:tcPr>
          <w:p w:rsidR="008967E5" w:rsidRPr="005C4EBE" w:rsidRDefault="008967E5">
            <w:pPr>
              <w:pStyle w:val="Title"/>
              <w:ind w:left="0"/>
              <w:jc w:val="left"/>
              <w:rPr>
                <w:rFonts w:ascii="Times New Roman" w:hAnsi="Times New Roman"/>
                <w:b w:val="0"/>
                <w:kern w:val="0"/>
                <w:sz w:val="24"/>
                <w:szCs w:val="22"/>
              </w:rPr>
            </w:pPr>
            <w:r w:rsidRPr="005C4EBE">
              <w:rPr>
                <w:rFonts w:ascii="Times New Roman" w:hAnsi="Times New Roman"/>
                <w:b w:val="0"/>
                <w:kern w:val="0"/>
                <w:sz w:val="22"/>
                <w:szCs w:val="22"/>
              </w:rPr>
              <w:t>2011 CR</w:t>
            </w:r>
          </w:p>
        </w:tc>
        <w:tc>
          <w:tcPr>
            <w:tcW w:w="1260" w:type="dxa"/>
            <w:vAlign w:val="center"/>
          </w:tcPr>
          <w:p w:rsidR="008967E5" w:rsidRPr="005C4EBE" w:rsidRDefault="008967E5" w:rsidP="00B0410C">
            <w:pPr>
              <w:pStyle w:val="Title"/>
              <w:ind w:left="0"/>
              <w:jc w:val="right"/>
              <w:rPr>
                <w:rFonts w:ascii="Times New Roman" w:hAnsi="Times New Roman"/>
                <w:b w:val="0"/>
                <w:kern w:val="0"/>
                <w:sz w:val="24"/>
                <w:szCs w:val="22"/>
              </w:rPr>
            </w:pPr>
            <w:r w:rsidRPr="005C4EBE">
              <w:rPr>
                <w:rFonts w:ascii="Times New Roman" w:hAnsi="Times New Roman"/>
                <w:b w:val="0"/>
                <w:kern w:val="0"/>
                <w:sz w:val="22"/>
                <w:szCs w:val="22"/>
              </w:rPr>
              <w:t>72</w:t>
            </w:r>
          </w:p>
        </w:tc>
        <w:tc>
          <w:tcPr>
            <w:tcW w:w="1267" w:type="dxa"/>
            <w:vAlign w:val="center"/>
          </w:tcPr>
          <w:p w:rsidR="008967E5" w:rsidRPr="005C4EBE" w:rsidRDefault="008967E5" w:rsidP="00B0410C">
            <w:pPr>
              <w:pStyle w:val="Title"/>
              <w:ind w:left="0"/>
              <w:jc w:val="right"/>
              <w:rPr>
                <w:rFonts w:ascii="Times New Roman" w:hAnsi="Times New Roman"/>
                <w:b w:val="0"/>
                <w:kern w:val="0"/>
                <w:sz w:val="24"/>
                <w:szCs w:val="22"/>
              </w:rPr>
            </w:pPr>
            <w:r w:rsidRPr="005C4EBE">
              <w:rPr>
                <w:rFonts w:ascii="Times New Roman" w:hAnsi="Times New Roman"/>
                <w:b w:val="0"/>
                <w:kern w:val="0"/>
                <w:sz w:val="22"/>
                <w:szCs w:val="22"/>
              </w:rPr>
              <w:t>72</w:t>
            </w:r>
          </w:p>
        </w:tc>
        <w:tc>
          <w:tcPr>
            <w:tcW w:w="1440" w:type="dxa"/>
            <w:vAlign w:val="center"/>
          </w:tcPr>
          <w:p w:rsidR="008967E5" w:rsidRPr="005C4EBE" w:rsidRDefault="008967E5" w:rsidP="00B9394D">
            <w:pPr>
              <w:pStyle w:val="Title"/>
              <w:ind w:left="0"/>
              <w:jc w:val="right"/>
              <w:rPr>
                <w:rFonts w:ascii="Times New Roman" w:hAnsi="Times New Roman"/>
                <w:b w:val="0"/>
                <w:kern w:val="0"/>
                <w:sz w:val="24"/>
                <w:szCs w:val="22"/>
              </w:rPr>
            </w:pPr>
            <w:r w:rsidRPr="005C4EBE">
              <w:rPr>
                <w:rFonts w:ascii="Times New Roman" w:hAnsi="Times New Roman"/>
                <w:b w:val="0"/>
                <w:kern w:val="0"/>
                <w:sz w:val="22"/>
                <w:szCs w:val="22"/>
              </w:rPr>
              <w:t>88,285,000</w:t>
            </w:r>
          </w:p>
        </w:tc>
      </w:tr>
      <w:tr w:rsidR="008967E5" w:rsidRPr="002567E4" w:rsidTr="00990F69">
        <w:tc>
          <w:tcPr>
            <w:tcW w:w="5508" w:type="dxa"/>
          </w:tcPr>
          <w:p w:rsidR="008967E5" w:rsidRPr="005C4EBE" w:rsidRDefault="008967E5" w:rsidP="00037181">
            <w:pPr>
              <w:pStyle w:val="Title"/>
              <w:ind w:left="0"/>
              <w:jc w:val="left"/>
              <w:rPr>
                <w:rFonts w:ascii="Times New Roman" w:hAnsi="Times New Roman"/>
                <w:b w:val="0"/>
                <w:kern w:val="0"/>
                <w:sz w:val="24"/>
                <w:szCs w:val="22"/>
              </w:rPr>
            </w:pPr>
            <w:r w:rsidRPr="005C4EBE">
              <w:rPr>
                <w:rFonts w:ascii="Times New Roman" w:hAnsi="Times New Roman"/>
                <w:b w:val="0"/>
                <w:kern w:val="0"/>
                <w:sz w:val="22"/>
                <w:szCs w:val="22"/>
              </w:rPr>
              <w:t>Adjustments to Base and Technical Adjustments</w:t>
            </w:r>
          </w:p>
        </w:tc>
        <w:tc>
          <w:tcPr>
            <w:tcW w:w="1260" w:type="dxa"/>
            <w:vAlign w:val="center"/>
          </w:tcPr>
          <w:p w:rsidR="008967E5" w:rsidRPr="005C4EBE" w:rsidRDefault="008967E5" w:rsidP="00B0410C">
            <w:pPr>
              <w:pStyle w:val="Title"/>
              <w:ind w:left="0"/>
              <w:jc w:val="right"/>
              <w:rPr>
                <w:rFonts w:ascii="Times New Roman" w:hAnsi="Times New Roman"/>
                <w:b w:val="0"/>
                <w:kern w:val="0"/>
                <w:sz w:val="24"/>
                <w:szCs w:val="22"/>
              </w:rPr>
            </w:pPr>
            <w:r w:rsidRPr="005C4EBE">
              <w:rPr>
                <w:rFonts w:ascii="Times New Roman" w:hAnsi="Times New Roman"/>
                <w:b w:val="0"/>
                <w:kern w:val="0"/>
                <w:sz w:val="22"/>
                <w:szCs w:val="22"/>
              </w:rPr>
              <w:t>0</w:t>
            </w:r>
          </w:p>
        </w:tc>
        <w:tc>
          <w:tcPr>
            <w:tcW w:w="1267" w:type="dxa"/>
            <w:vAlign w:val="center"/>
          </w:tcPr>
          <w:p w:rsidR="008967E5" w:rsidRPr="005C4EBE" w:rsidRDefault="008967E5" w:rsidP="00B0410C">
            <w:pPr>
              <w:pStyle w:val="Title"/>
              <w:ind w:left="0"/>
              <w:jc w:val="right"/>
              <w:rPr>
                <w:rFonts w:ascii="Times New Roman" w:hAnsi="Times New Roman"/>
                <w:b w:val="0"/>
                <w:kern w:val="0"/>
                <w:sz w:val="24"/>
                <w:szCs w:val="22"/>
              </w:rPr>
            </w:pPr>
            <w:r w:rsidRPr="005C4EBE">
              <w:rPr>
                <w:rFonts w:ascii="Times New Roman" w:hAnsi="Times New Roman"/>
                <w:b w:val="0"/>
                <w:kern w:val="0"/>
                <w:sz w:val="22"/>
                <w:szCs w:val="22"/>
              </w:rPr>
              <w:t>0</w:t>
            </w:r>
          </w:p>
        </w:tc>
        <w:tc>
          <w:tcPr>
            <w:tcW w:w="1440" w:type="dxa"/>
            <w:vAlign w:val="center"/>
          </w:tcPr>
          <w:p w:rsidR="008967E5" w:rsidRPr="005C4EBE" w:rsidRDefault="008967E5" w:rsidP="00682A0E">
            <w:pPr>
              <w:pStyle w:val="Title"/>
              <w:ind w:left="0"/>
              <w:jc w:val="right"/>
              <w:rPr>
                <w:rFonts w:ascii="Times New Roman" w:hAnsi="Times New Roman"/>
                <w:b w:val="0"/>
                <w:kern w:val="0"/>
                <w:sz w:val="24"/>
                <w:szCs w:val="22"/>
              </w:rPr>
            </w:pPr>
            <w:r w:rsidRPr="005C4EBE">
              <w:rPr>
                <w:rFonts w:ascii="Times New Roman" w:hAnsi="Times New Roman"/>
                <w:b w:val="0"/>
                <w:kern w:val="0"/>
                <w:sz w:val="22"/>
                <w:szCs w:val="22"/>
              </w:rPr>
              <w:t>(17,022,000)</w:t>
            </w:r>
          </w:p>
        </w:tc>
      </w:tr>
      <w:tr w:rsidR="008967E5" w:rsidRPr="002567E4" w:rsidTr="00990F69">
        <w:tc>
          <w:tcPr>
            <w:tcW w:w="5508" w:type="dxa"/>
          </w:tcPr>
          <w:p w:rsidR="008967E5" w:rsidRPr="005C4EBE" w:rsidRDefault="008967E5">
            <w:pPr>
              <w:pStyle w:val="Title"/>
              <w:ind w:left="0"/>
              <w:jc w:val="left"/>
              <w:rPr>
                <w:rFonts w:ascii="Times New Roman" w:hAnsi="Times New Roman"/>
                <w:b w:val="0"/>
                <w:kern w:val="0"/>
                <w:sz w:val="24"/>
                <w:szCs w:val="22"/>
              </w:rPr>
            </w:pPr>
            <w:r w:rsidRPr="005C4EBE">
              <w:rPr>
                <w:rFonts w:ascii="Times New Roman" w:hAnsi="Times New Roman"/>
                <w:b w:val="0"/>
                <w:kern w:val="0"/>
                <w:sz w:val="22"/>
                <w:szCs w:val="22"/>
              </w:rPr>
              <w:t>2012 Current Services</w:t>
            </w:r>
          </w:p>
        </w:tc>
        <w:tc>
          <w:tcPr>
            <w:tcW w:w="1260" w:type="dxa"/>
            <w:vAlign w:val="center"/>
          </w:tcPr>
          <w:p w:rsidR="008967E5" w:rsidRPr="005C4EBE" w:rsidRDefault="008967E5" w:rsidP="00B0410C">
            <w:pPr>
              <w:pStyle w:val="Title"/>
              <w:ind w:left="0"/>
              <w:jc w:val="right"/>
              <w:rPr>
                <w:rFonts w:ascii="Times New Roman" w:hAnsi="Times New Roman"/>
                <w:b w:val="0"/>
                <w:kern w:val="0"/>
                <w:sz w:val="24"/>
                <w:szCs w:val="22"/>
              </w:rPr>
            </w:pPr>
            <w:r w:rsidRPr="005C4EBE">
              <w:rPr>
                <w:rFonts w:ascii="Times New Roman" w:hAnsi="Times New Roman"/>
                <w:b w:val="0"/>
                <w:kern w:val="0"/>
                <w:sz w:val="22"/>
                <w:szCs w:val="22"/>
              </w:rPr>
              <w:t>72</w:t>
            </w:r>
          </w:p>
        </w:tc>
        <w:tc>
          <w:tcPr>
            <w:tcW w:w="1267" w:type="dxa"/>
            <w:vAlign w:val="center"/>
          </w:tcPr>
          <w:p w:rsidR="008967E5" w:rsidRPr="005C4EBE" w:rsidRDefault="008967E5" w:rsidP="00037181">
            <w:pPr>
              <w:pStyle w:val="Title"/>
              <w:ind w:left="0"/>
              <w:jc w:val="right"/>
              <w:rPr>
                <w:rFonts w:ascii="Times New Roman" w:hAnsi="Times New Roman"/>
                <w:b w:val="0"/>
                <w:kern w:val="0"/>
                <w:sz w:val="24"/>
                <w:szCs w:val="22"/>
              </w:rPr>
            </w:pPr>
            <w:r w:rsidRPr="005C4EBE">
              <w:rPr>
                <w:rFonts w:ascii="Times New Roman" w:hAnsi="Times New Roman"/>
                <w:b w:val="0"/>
                <w:kern w:val="0"/>
                <w:sz w:val="22"/>
                <w:szCs w:val="22"/>
              </w:rPr>
              <w:t>72</w:t>
            </w:r>
          </w:p>
        </w:tc>
        <w:tc>
          <w:tcPr>
            <w:tcW w:w="1440" w:type="dxa"/>
            <w:vAlign w:val="center"/>
          </w:tcPr>
          <w:p w:rsidR="008967E5" w:rsidRPr="005C4EBE" w:rsidRDefault="008967E5" w:rsidP="00CE4DD6">
            <w:pPr>
              <w:pStyle w:val="Title"/>
              <w:ind w:left="0"/>
              <w:jc w:val="right"/>
              <w:rPr>
                <w:rFonts w:ascii="Times New Roman" w:hAnsi="Times New Roman"/>
                <w:b w:val="0"/>
                <w:kern w:val="0"/>
                <w:sz w:val="24"/>
                <w:szCs w:val="22"/>
              </w:rPr>
            </w:pPr>
            <w:r w:rsidRPr="005C4EBE">
              <w:rPr>
                <w:rFonts w:ascii="Times New Roman" w:hAnsi="Times New Roman"/>
                <w:b w:val="0"/>
                <w:kern w:val="0"/>
                <w:sz w:val="22"/>
                <w:szCs w:val="22"/>
              </w:rPr>
              <w:t>71,263,000</w:t>
            </w:r>
          </w:p>
        </w:tc>
      </w:tr>
      <w:tr w:rsidR="008967E5" w:rsidRPr="002567E4" w:rsidTr="00990F69">
        <w:tc>
          <w:tcPr>
            <w:tcW w:w="5508" w:type="dxa"/>
          </w:tcPr>
          <w:p w:rsidR="008967E5" w:rsidRPr="005C4EBE" w:rsidRDefault="008967E5">
            <w:pPr>
              <w:pStyle w:val="Title"/>
              <w:ind w:left="0"/>
              <w:jc w:val="left"/>
              <w:rPr>
                <w:rFonts w:ascii="Times New Roman" w:hAnsi="Times New Roman"/>
                <w:b w:val="0"/>
                <w:kern w:val="0"/>
                <w:sz w:val="24"/>
                <w:szCs w:val="22"/>
              </w:rPr>
            </w:pPr>
            <w:r w:rsidRPr="005C4EBE">
              <w:rPr>
                <w:rFonts w:ascii="Times New Roman" w:hAnsi="Times New Roman"/>
                <w:b w:val="0"/>
                <w:kern w:val="0"/>
                <w:sz w:val="22"/>
                <w:szCs w:val="22"/>
              </w:rPr>
              <w:t>2012 Program Offsets</w:t>
            </w:r>
          </w:p>
        </w:tc>
        <w:tc>
          <w:tcPr>
            <w:tcW w:w="1260" w:type="dxa"/>
            <w:vAlign w:val="center"/>
          </w:tcPr>
          <w:p w:rsidR="008967E5" w:rsidRPr="005C4EBE" w:rsidRDefault="008967E5" w:rsidP="00B0410C">
            <w:pPr>
              <w:pStyle w:val="Title"/>
              <w:ind w:left="0"/>
              <w:jc w:val="right"/>
              <w:rPr>
                <w:rFonts w:ascii="Times New Roman" w:hAnsi="Times New Roman"/>
                <w:b w:val="0"/>
                <w:kern w:val="0"/>
                <w:sz w:val="24"/>
                <w:szCs w:val="22"/>
              </w:rPr>
            </w:pPr>
            <w:r w:rsidRPr="005C4EBE">
              <w:rPr>
                <w:rFonts w:ascii="Times New Roman" w:hAnsi="Times New Roman"/>
                <w:b w:val="0"/>
                <w:kern w:val="0"/>
                <w:sz w:val="22"/>
                <w:szCs w:val="22"/>
              </w:rPr>
              <w:t>0</w:t>
            </w:r>
          </w:p>
        </w:tc>
        <w:tc>
          <w:tcPr>
            <w:tcW w:w="1267" w:type="dxa"/>
            <w:vAlign w:val="center"/>
          </w:tcPr>
          <w:p w:rsidR="008967E5" w:rsidRPr="005C4EBE" w:rsidRDefault="008967E5" w:rsidP="00B0410C">
            <w:pPr>
              <w:pStyle w:val="Title"/>
              <w:ind w:left="0"/>
              <w:jc w:val="right"/>
              <w:rPr>
                <w:rFonts w:ascii="Times New Roman" w:hAnsi="Times New Roman"/>
                <w:b w:val="0"/>
                <w:kern w:val="0"/>
                <w:sz w:val="24"/>
                <w:szCs w:val="22"/>
              </w:rPr>
            </w:pPr>
            <w:r w:rsidRPr="005C4EBE">
              <w:rPr>
                <w:rFonts w:ascii="Times New Roman" w:hAnsi="Times New Roman"/>
                <w:b w:val="0"/>
                <w:kern w:val="0"/>
                <w:sz w:val="22"/>
                <w:szCs w:val="22"/>
              </w:rPr>
              <w:t>0</w:t>
            </w:r>
          </w:p>
        </w:tc>
        <w:tc>
          <w:tcPr>
            <w:tcW w:w="1440" w:type="dxa"/>
            <w:vAlign w:val="center"/>
          </w:tcPr>
          <w:p w:rsidR="008967E5" w:rsidRPr="005C4EBE" w:rsidRDefault="008967E5" w:rsidP="004D21C7">
            <w:pPr>
              <w:pStyle w:val="Title"/>
              <w:ind w:left="0"/>
              <w:jc w:val="right"/>
              <w:rPr>
                <w:rFonts w:ascii="Times New Roman" w:hAnsi="Times New Roman"/>
                <w:b w:val="0"/>
                <w:kern w:val="0"/>
                <w:sz w:val="24"/>
                <w:szCs w:val="22"/>
              </w:rPr>
            </w:pPr>
            <w:r w:rsidRPr="005C4EBE">
              <w:rPr>
                <w:rFonts w:ascii="Times New Roman" w:hAnsi="Times New Roman"/>
                <w:b w:val="0"/>
                <w:kern w:val="0"/>
                <w:sz w:val="22"/>
                <w:szCs w:val="22"/>
              </w:rPr>
              <w:t>(16,956,000)</w:t>
            </w:r>
          </w:p>
        </w:tc>
      </w:tr>
      <w:tr w:rsidR="008967E5" w:rsidRPr="002567E4" w:rsidTr="00990F69">
        <w:tc>
          <w:tcPr>
            <w:tcW w:w="5508" w:type="dxa"/>
          </w:tcPr>
          <w:p w:rsidR="008967E5" w:rsidRPr="005C4EBE" w:rsidRDefault="008967E5">
            <w:pPr>
              <w:pStyle w:val="Title"/>
              <w:ind w:left="0"/>
              <w:jc w:val="left"/>
              <w:rPr>
                <w:rFonts w:ascii="Times New Roman" w:hAnsi="Times New Roman"/>
                <w:b w:val="0"/>
                <w:kern w:val="0"/>
                <w:sz w:val="24"/>
                <w:szCs w:val="22"/>
              </w:rPr>
            </w:pPr>
            <w:r w:rsidRPr="005C4EBE">
              <w:rPr>
                <w:rFonts w:ascii="Times New Roman" w:hAnsi="Times New Roman"/>
                <w:b w:val="0"/>
                <w:kern w:val="0"/>
                <w:sz w:val="22"/>
                <w:szCs w:val="22"/>
              </w:rPr>
              <w:t>2012 Request</w:t>
            </w:r>
          </w:p>
        </w:tc>
        <w:tc>
          <w:tcPr>
            <w:tcW w:w="1260" w:type="dxa"/>
            <w:vAlign w:val="center"/>
          </w:tcPr>
          <w:p w:rsidR="008967E5" w:rsidRPr="005C4EBE" w:rsidRDefault="008967E5" w:rsidP="00580DC7">
            <w:pPr>
              <w:pStyle w:val="Title"/>
              <w:ind w:left="0"/>
              <w:jc w:val="right"/>
              <w:rPr>
                <w:rFonts w:ascii="Times New Roman" w:hAnsi="Times New Roman"/>
                <w:b w:val="0"/>
                <w:kern w:val="0"/>
                <w:sz w:val="24"/>
                <w:szCs w:val="22"/>
              </w:rPr>
            </w:pPr>
            <w:r w:rsidRPr="005C4EBE">
              <w:rPr>
                <w:rFonts w:ascii="Times New Roman" w:hAnsi="Times New Roman"/>
                <w:b w:val="0"/>
                <w:kern w:val="0"/>
                <w:sz w:val="22"/>
                <w:szCs w:val="22"/>
              </w:rPr>
              <w:t>72</w:t>
            </w:r>
          </w:p>
        </w:tc>
        <w:tc>
          <w:tcPr>
            <w:tcW w:w="1267" w:type="dxa"/>
            <w:vAlign w:val="center"/>
          </w:tcPr>
          <w:p w:rsidR="008967E5" w:rsidRPr="005C4EBE" w:rsidRDefault="008967E5" w:rsidP="00037181">
            <w:pPr>
              <w:pStyle w:val="Title"/>
              <w:ind w:left="0"/>
              <w:jc w:val="right"/>
              <w:rPr>
                <w:rFonts w:ascii="Times New Roman" w:hAnsi="Times New Roman"/>
                <w:b w:val="0"/>
                <w:kern w:val="0"/>
                <w:sz w:val="24"/>
                <w:szCs w:val="22"/>
              </w:rPr>
            </w:pPr>
            <w:r w:rsidRPr="005C4EBE">
              <w:rPr>
                <w:rFonts w:ascii="Times New Roman" w:hAnsi="Times New Roman"/>
                <w:b w:val="0"/>
                <w:kern w:val="0"/>
                <w:sz w:val="22"/>
                <w:szCs w:val="22"/>
              </w:rPr>
              <w:t>72</w:t>
            </w:r>
          </w:p>
        </w:tc>
        <w:tc>
          <w:tcPr>
            <w:tcW w:w="1440" w:type="dxa"/>
            <w:vAlign w:val="center"/>
          </w:tcPr>
          <w:p w:rsidR="008967E5" w:rsidRPr="005C4EBE" w:rsidRDefault="008967E5" w:rsidP="0080670D">
            <w:pPr>
              <w:pStyle w:val="Title"/>
              <w:ind w:left="0"/>
              <w:jc w:val="right"/>
              <w:rPr>
                <w:rFonts w:ascii="Times New Roman" w:hAnsi="Times New Roman"/>
                <w:b w:val="0"/>
                <w:kern w:val="0"/>
                <w:sz w:val="24"/>
                <w:szCs w:val="22"/>
              </w:rPr>
            </w:pPr>
            <w:r w:rsidRPr="005C4EBE">
              <w:rPr>
                <w:rFonts w:ascii="Times New Roman" w:hAnsi="Times New Roman"/>
                <w:b w:val="0"/>
                <w:kern w:val="0"/>
                <w:sz w:val="22"/>
                <w:szCs w:val="22"/>
              </w:rPr>
              <w:t>54,307,000</w:t>
            </w:r>
          </w:p>
        </w:tc>
      </w:tr>
      <w:tr w:rsidR="008967E5" w:rsidRPr="002567E4" w:rsidTr="00CD13C7">
        <w:trPr>
          <w:trHeight w:val="518"/>
        </w:trPr>
        <w:tc>
          <w:tcPr>
            <w:tcW w:w="5508" w:type="dxa"/>
            <w:shd w:val="clear" w:color="auto" w:fill="E6E6E6"/>
            <w:vAlign w:val="center"/>
          </w:tcPr>
          <w:p w:rsidR="008967E5" w:rsidRPr="005C4EBE" w:rsidRDefault="008967E5">
            <w:pPr>
              <w:pStyle w:val="Title"/>
              <w:ind w:left="0"/>
              <w:jc w:val="left"/>
              <w:rPr>
                <w:rFonts w:ascii="Times New Roman" w:hAnsi="Times New Roman"/>
                <w:bCs w:val="0"/>
                <w:kern w:val="0"/>
                <w:sz w:val="24"/>
                <w:szCs w:val="22"/>
              </w:rPr>
            </w:pPr>
            <w:r w:rsidRPr="005C4EBE">
              <w:rPr>
                <w:rFonts w:ascii="Times New Roman" w:hAnsi="Times New Roman"/>
                <w:bCs w:val="0"/>
                <w:kern w:val="0"/>
                <w:sz w:val="22"/>
                <w:szCs w:val="22"/>
              </w:rPr>
              <w:t>Total Change 2011-2012</w:t>
            </w:r>
          </w:p>
        </w:tc>
        <w:tc>
          <w:tcPr>
            <w:tcW w:w="1260" w:type="dxa"/>
            <w:shd w:val="clear" w:color="auto" w:fill="E6E6E6"/>
            <w:vAlign w:val="center"/>
          </w:tcPr>
          <w:p w:rsidR="008967E5" w:rsidRPr="005C4EBE" w:rsidRDefault="008967E5" w:rsidP="00CD13C7">
            <w:pPr>
              <w:pStyle w:val="Title"/>
              <w:ind w:left="0"/>
              <w:jc w:val="right"/>
              <w:rPr>
                <w:rFonts w:ascii="Times New Roman" w:hAnsi="Times New Roman"/>
                <w:b w:val="0"/>
                <w:kern w:val="0"/>
                <w:sz w:val="24"/>
                <w:szCs w:val="22"/>
              </w:rPr>
            </w:pPr>
            <w:r w:rsidRPr="005C4EBE">
              <w:rPr>
                <w:rFonts w:ascii="Times New Roman" w:hAnsi="Times New Roman"/>
                <w:b w:val="0"/>
                <w:kern w:val="0"/>
                <w:sz w:val="22"/>
                <w:szCs w:val="22"/>
              </w:rPr>
              <w:t>0</w:t>
            </w:r>
          </w:p>
        </w:tc>
        <w:tc>
          <w:tcPr>
            <w:tcW w:w="1267" w:type="dxa"/>
            <w:shd w:val="clear" w:color="auto" w:fill="E6E6E6"/>
            <w:vAlign w:val="center"/>
          </w:tcPr>
          <w:p w:rsidR="008967E5" w:rsidRPr="005C4EBE" w:rsidRDefault="008967E5" w:rsidP="00CD13C7">
            <w:pPr>
              <w:pStyle w:val="Title"/>
              <w:ind w:left="0"/>
              <w:jc w:val="right"/>
              <w:rPr>
                <w:rFonts w:ascii="Times New Roman" w:hAnsi="Times New Roman"/>
                <w:b w:val="0"/>
                <w:kern w:val="0"/>
                <w:sz w:val="24"/>
                <w:szCs w:val="22"/>
              </w:rPr>
            </w:pPr>
            <w:r w:rsidRPr="005C4EBE">
              <w:rPr>
                <w:rFonts w:ascii="Times New Roman" w:hAnsi="Times New Roman"/>
                <w:b w:val="0"/>
                <w:kern w:val="0"/>
                <w:sz w:val="22"/>
                <w:szCs w:val="22"/>
              </w:rPr>
              <w:t>0</w:t>
            </w:r>
          </w:p>
        </w:tc>
        <w:tc>
          <w:tcPr>
            <w:tcW w:w="1440" w:type="dxa"/>
            <w:shd w:val="clear" w:color="auto" w:fill="E6E6E6"/>
            <w:vAlign w:val="center"/>
          </w:tcPr>
          <w:p w:rsidR="008967E5" w:rsidRPr="005C4EBE" w:rsidRDefault="008967E5" w:rsidP="00CD13C7">
            <w:pPr>
              <w:pStyle w:val="Title"/>
              <w:ind w:left="0"/>
              <w:jc w:val="right"/>
              <w:rPr>
                <w:rFonts w:ascii="Times New Roman" w:hAnsi="Times New Roman"/>
                <w:b w:val="0"/>
                <w:kern w:val="0"/>
                <w:sz w:val="24"/>
                <w:szCs w:val="22"/>
              </w:rPr>
            </w:pPr>
            <w:r w:rsidRPr="005C4EBE">
              <w:rPr>
                <w:rFonts w:ascii="Times New Roman" w:hAnsi="Times New Roman"/>
                <w:b w:val="0"/>
                <w:kern w:val="0"/>
                <w:sz w:val="22"/>
                <w:szCs w:val="22"/>
              </w:rPr>
              <w:t>(33,978,000)</w:t>
            </w:r>
          </w:p>
        </w:tc>
      </w:tr>
      <w:bookmarkEnd w:id="3"/>
      <w:bookmarkEnd w:id="4"/>
      <w:bookmarkEnd w:id="7"/>
      <w:bookmarkEnd w:id="8"/>
    </w:tbl>
    <w:p w:rsidR="008967E5" w:rsidRDefault="008967E5">
      <w:pPr>
        <w:pStyle w:val="Title"/>
        <w:ind w:left="0"/>
        <w:jc w:val="left"/>
        <w:rPr>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08"/>
        <w:gridCol w:w="1260"/>
        <w:gridCol w:w="1267"/>
        <w:gridCol w:w="1440"/>
      </w:tblGrid>
      <w:tr w:rsidR="008967E5" w:rsidRPr="002567E4" w:rsidTr="001D4B5E">
        <w:tc>
          <w:tcPr>
            <w:tcW w:w="5508" w:type="dxa"/>
            <w:vAlign w:val="center"/>
          </w:tcPr>
          <w:p w:rsidR="008967E5" w:rsidRPr="005C4EBE" w:rsidRDefault="008967E5" w:rsidP="001D4B5E">
            <w:pPr>
              <w:pStyle w:val="Title"/>
              <w:ind w:left="0"/>
              <w:jc w:val="left"/>
              <w:rPr>
                <w:rFonts w:ascii="Times New Roman" w:hAnsi="Times New Roman"/>
                <w:bCs w:val="0"/>
                <w:iCs/>
                <w:kern w:val="0"/>
                <w:sz w:val="24"/>
                <w:szCs w:val="22"/>
              </w:rPr>
            </w:pPr>
            <w:r w:rsidRPr="005C4EBE">
              <w:rPr>
                <w:rFonts w:ascii="Times New Roman" w:hAnsi="Times New Roman"/>
                <w:bCs w:val="0"/>
                <w:iCs/>
                <w:kern w:val="0"/>
                <w:sz w:val="24"/>
                <w:szCs w:val="22"/>
              </w:rPr>
              <w:t>JIST-Information Technology Breakout</w:t>
            </w:r>
          </w:p>
        </w:tc>
        <w:tc>
          <w:tcPr>
            <w:tcW w:w="1260" w:type="dxa"/>
          </w:tcPr>
          <w:p w:rsidR="008967E5" w:rsidRPr="005C4EBE" w:rsidRDefault="008967E5" w:rsidP="00951D15">
            <w:pPr>
              <w:pStyle w:val="Title"/>
              <w:ind w:left="0"/>
              <w:rPr>
                <w:rFonts w:ascii="Times New Roman" w:hAnsi="Times New Roman"/>
                <w:bCs w:val="0"/>
                <w:kern w:val="0"/>
                <w:sz w:val="24"/>
                <w:szCs w:val="22"/>
              </w:rPr>
            </w:pPr>
            <w:r w:rsidRPr="005C4EBE">
              <w:rPr>
                <w:rFonts w:ascii="Times New Roman" w:hAnsi="Times New Roman"/>
                <w:bCs w:val="0"/>
                <w:kern w:val="0"/>
                <w:sz w:val="22"/>
                <w:szCs w:val="22"/>
              </w:rPr>
              <w:t>Permanent</w:t>
            </w:r>
          </w:p>
          <w:p w:rsidR="008967E5" w:rsidRPr="005C4EBE" w:rsidRDefault="008967E5" w:rsidP="00951D15">
            <w:pPr>
              <w:pStyle w:val="Title"/>
              <w:ind w:left="0"/>
              <w:rPr>
                <w:rFonts w:ascii="Times New Roman" w:hAnsi="Times New Roman"/>
                <w:bCs w:val="0"/>
                <w:kern w:val="0"/>
                <w:sz w:val="24"/>
                <w:szCs w:val="22"/>
              </w:rPr>
            </w:pPr>
            <w:r w:rsidRPr="005C4EBE">
              <w:rPr>
                <w:rFonts w:ascii="Times New Roman" w:hAnsi="Times New Roman"/>
                <w:bCs w:val="0"/>
                <w:kern w:val="0"/>
                <w:sz w:val="22"/>
                <w:szCs w:val="22"/>
              </w:rPr>
              <w:t>Positions</w:t>
            </w:r>
          </w:p>
        </w:tc>
        <w:tc>
          <w:tcPr>
            <w:tcW w:w="1267" w:type="dxa"/>
            <w:vAlign w:val="center"/>
          </w:tcPr>
          <w:p w:rsidR="008967E5" w:rsidRPr="005C4EBE" w:rsidRDefault="008967E5" w:rsidP="00951D15">
            <w:pPr>
              <w:pStyle w:val="Title"/>
              <w:ind w:left="0"/>
              <w:rPr>
                <w:rFonts w:ascii="Times New Roman" w:hAnsi="Times New Roman"/>
                <w:bCs w:val="0"/>
                <w:kern w:val="0"/>
                <w:sz w:val="24"/>
                <w:szCs w:val="22"/>
              </w:rPr>
            </w:pPr>
            <w:r w:rsidRPr="005C4EBE">
              <w:rPr>
                <w:rFonts w:ascii="Times New Roman" w:hAnsi="Times New Roman"/>
                <w:bCs w:val="0"/>
                <w:kern w:val="0"/>
                <w:sz w:val="22"/>
                <w:szCs w:val="22"/>
              </w:rPr>
              <w:t>FTE</w:t>
            </w:r>
          </w:p>
        </w:tc>
        <w:tc>
          <w:tcPr>
            <w:tcW w:w="1440" w:type="dxa"/>
            <w:vAlign w:val="center"/>
          </w:tcPr>
          <w:p w:rsidR="008967E5" w:rsidRPr="005C4EBE" w:rsidRDefault="008967E5" w:rsidP="00951D15">
            <w:pPr>
              <w:pStyle w:val="Title"/>
              <w:ind w:left="0"/>
              <w:rPr>
                <w:rFonts w:ascii="Times New Roman" w:hAnsi="Times New Roman"/>
                <w:bCs w:val="0"/>
                <w:kern w:val="0"/>
                <w:sz w:val="24"/>
                <w:szCs w:val="22"/>
              </w:rPr>
            </w:pPr>
            <w:r w:rsidRPr="005C4EBE">
              <w:rPr>
                <w:rFonts w:ascii="Times New Roman" w:hAnsi="Times New Roman"/>
                <w:bCs w:val="0"/>
                <w:kern w:val="0"/>
                <w:sz w:val="22"/>
                <w:szCs w:val="22"/>
              </w:rPr>
              <w:t>Amount</w:t>
            </w:r>
          </w:p>
        </w:tc>
      </w:tr>
      <w:tr w:rsidR="008967E5" w:rsidRPr="002567E4" w:rsidTr="001D4B5E">
        <w:tc>
          <w:tcPr>
            <w:tcW w:w="5508" w:type="dxa"/>
          </w:tcPr>
          <w:p w:rsidR="008967E5" w:rsidRPr="005C4EBE" w:rsidRDefault="008967E5" w:rsidP="00951D15">
            <w:pPr>
              <w:pStyle w:val="Title"/>
              <w:ind w:left="0"/>
              <w:jc w:val="left"/>
              <w:rPr>
                <w:rFonts w:ascii="Times New Roman" w:hAnsi="Times New Roman"/>
                <w:b w:val="0"/>
                <w:kern w:val="0"/>
                <w:sz w:val="24"/>
                <w:szCs w:val="22"/>
              </w:rPr>
            </w:pPr>
            <w:r w:rsidRPr="005C4EBE">
              <w:rPr>
                <w:rFonts w:ascii="Times New Roman" w:hAnsi="Times New Roman"/>
                <w:b w:val="0"/>
                <w:kern w:val="0"/>
                <w:sz w:val="22"/>
                <w:szCs w:val="22"/>
              </w:rPr>
              <w:t xml:space="preserve">2010 Enacted </w:t>
            </w:r>
          </w:p>
        </w:tc>
        <w:tc>
          <w:tcPr>
            <w:tcW w:w="1260" w:type="dxa"/>
            <w:vAlign w:val="center"/>
          </w:tcPr>
          <w:p w:rsidR="008967E5" w:rsidRPr="005C4EBE" w:rsidRDefault="008967E5" w:rsidP="00951D15">
            <w:pPr>
              <w:pStyle w:val="Title"/>
              <w:ind w:left="0"/>
              <w:jc w:val="right"/>
              <w:rPr>
                <w:rFonts w:ascii="Times New Roman" w:hAnsi="Times New Roman"/>
                <w:b w:val="0"/>
                <w:kern w:val="0"/>
                <w:sz w:val="24"/>
                <w:szCs w:val="22"/>
              </w:rPr>
            </w:pPr>
            <w:r w:rsidRPr="005C4EBE">
              <w:rPr>
                <w:rFonts w:ascii="Times New Roman" w:hAnsi="Times New Roman"/>
                <w:b w:val="0"/>
                <w:kern w:val="0"/>
                <w:sz w:val="22"/>
                <w:szCs w:val="22"/>
              </w:rPr>
              <w:t>72</w:t>
            </w:r>
          </w:p>
        </w:tc>
        <w:tc>
          <w:tcPr>
            <w:tcW w:w="1267" w:type="dxa"/>
            <w:vAlign w:val="center"/>
          </w:tcPr>
          <w:p w:rsidR="008967E5" w:rsidRPr="005C4EBE" w:rsidRDefault="008967E5" w:rsidP="00951D15">
            <w:pPr>
              <w:pStyle w:val="Title"/>
              <w:ind w:left="0"/>
              <w:jc w:val="right"/>
              <w:rPr>
                <w:rFonts w:ascii="Times New Roman" w:hAnsi="Times New Roman"/>
                <w:b w:val="0"/>
                <w:kern w:val="0"/>
                <w:sz w:val="24"/>
                <w:szCs w:val="22"/>
              </w:rPr>
            </w:pPr>
            <w:r w:rsidRPr="005C4EBE">
              <w:rPr>
                <w:rFonts w:ascii="Times New Roman" w:hAnsi="Times New Roman"/>
                <w:b w:val="0"/>
                <w:kern w:val="0"/>
                <w:sz w:val="22"/>
                <w:szCs w:val="22"/>
              </w:rPr>
              <w:t>72</w:t>
            </w:r>
          </w:p>
        </w:tc>
        <w:tc>
          <w:tcPr>
            <w:tcW w:w="1440" w:type="dxa"/>
            <w:vAlign w:val="center"/>
          </w:tcPr>
          <w:p w:rsidR="008967E5" w:rsidRPr="005C4EBE" w:rsidRDefault="008967E5" w:rsidP="00951D15">
            <w:pPr>
              <w:pStyle w:val="Title"/>
              <w:ind w:left="0"/>
              <w:jc w:val="right"/>
              <w:rPr>
                <w:rFonts w:ascii="Times New Roman" w:hAnsi="Times New Roman"/>
                <w:b w:val="0"/>
                <w:kern w:val="0"/>
                <w:sz w:val="24"/>
                <w:szCs w:val="22"/>
              </w:rPr>
            </w:pPr>
            <w:r w:rsidRPr="005C4EBE">
              <w:rPr>
                <w:rFonts w:ascii="Times New Roman" w:hAnsi="Times New Roman"/>
                <w:b w:val="0"/>
                <w:kern w:val="0"/>
                <w:sz w:val="22"/>
                <w:szCs w:val="22"/>
              </w:rPr>
              <w:t>88,285,000</w:t>
            </w:r>
          </w:p>
        </w:tc>
      </w:tr>
      <w:tr w:rsidR="008967E5" w:rsidRPr="002567E4" w:rsidTr="001D4B5E">
        <w:tc>
          <w:tcPr>
            <w:tcW w:w="5508" w:type="dxa"/>
          </w:tcPr>
          <w:p w:rsidR="008967E5" w:rsidRPr="005C4EBE" w:rsidRDefault="008967E5" w:rsidP="00951D15">
            <w:pPr>
              <w:pStyle w:val="Title"/>
              <w:ind w:left="0"/>
              <w:jc w:val="left"/>
              <w:rPr>
                <w:rFonts w:ascii="Times New Roman" w:hAnsi="Times New Roman"/>
                <w:b w:val="0"/>
                <w:kern w:val="0"/>
                <w:sz w:val="24"/>
                <w:szCs w:val="22"/>
              </w:rPr>
            </w:pPr>
            <w:r w:rsidRPr="005C4EBE">
              <w:rPr>
                <w:rFonts w:ascii="Times New Roman" w:hAnsi="Times New Roman"/>
                <w:b w:val="0"/>
                <w:kern w:val="0"/>
                <w:sz w:val="22"/>
                <w:szCs w:val="22"/>
              </w:rPr>
              <w:t>2011 CR</w:t>
            </w:r>
          </w:p>
        </w:tc>
        <w:tc>
          <w:tcPr>
            <w:tcW w:w="1260" w:type="dxa"/>
            <w:vAlign w:val="center"/>
          </w:tcPr>
          <w:p w:rsidR="008967E5" w:rsidRPr="005C4EBE" w:rsidRDefault="008967E5" w:rsidP="00951D15">
            <w:pPr>
              <w:pStyle w:val="Title"/>
              <w:ind w:left="0"/>
              <w:jc w:val="right"/>
              <w:rPr>
                <w:rFonts w:ascii="Times New Roman" w:hAnsi="Times New Roman"/>
                <w:b w:val="0"/>
                <w:kern w:val="0"/>
                <w:sz w:val="24"/>
                <w:szCs w:val="22"/>
              </w:rPr>
            </w:pPr>
            <w:r w:rsidRPr="005C4EBE">
              <w:rPr>
                <w:rFonts w:ascii="Times New Roman" w:hAnsi="Times New Roman"/>
                <w:b w:val="0"/>
                <w:kern w:val="0"/>
                <w:sz w:val="22"/>
                <w:szCs w:val="22"/>
              </w:rPr>
              <w:t>72</w:t>
            </w:r>
          </w:p>
        </w:tc>
        <w:tc>
          <w:tcPr>
            <w:tcW w:w="1267" w:type="dxa"/>
            <w:vAlign w:val="center"/>
          </w:tcPr>
          <w:p w:rsidR="008967E5" w:rsidRPr="005C4EBE" w:rsidRDefault="008967E5" w:rsidP="00951D15">
            <w:pPr>
              <w:pStyle w:val="Title"/>
              <w:ind w:left="0"/>
              <w:jc w:val="right"/>
              <w:rPr>
                <w:rFonts w:ascii="Times New Roman" w:hAnsi="Times New Roman"/>
                <w:b w:val="0"/>
                <w:kern w:val="0"/>
                <w:sz w:val="24"/>
                <w:szCs w:val="22"/>
              </w:rPr>
            </w:pPr>
            <w:r w:rsidRPr="005C4EBE">
              <w:rPr>
                <w:rFonts w:ascii="Times New Roman" w:hAnsi="Times New Roman"/>
                <w:b w:val="0"/>
                <w:kern w:val="0"/>
                <w:sz w:val="22"/>
                <w:szCs w:val="22"/>
              </w:rPr>
              <w:t>72</w:t>
            </w:r>
          </w:p>
        </w:tc>
        <w:tc>
          <w:tcPr>
            <w:tcW w:w="1440" w:type="dxa"/>
            <w:vAlign w:val="center"/>
          </w:tcPr>
          <w:p w:rsidR="008967E5" w:rsidRPr="005C4EBE" w:rsidRDefault="008967E5" w:rsidP="00951D15">
            <w:pPr>
              <w:pStyle w:val="Title"/>
              <w:ind w:left="0"/>
              <w:jc w:val="right"/>
              <w:rPr>
                <w:rFonts w:ascii="Times New Roman" w:hAnsi="Times New Roman"/>
                <w:b w:val="0"/>
                <w:kern w:val="0"/>
                <w:sz w:val="24"/>
                <w:szCs w:val="22"/>
              </w:rPr>
            </w:pPr>
            <w:r w:rsidRPr="005C4EBE">
              <w:rPr>
                <w:rFonts w:ascii="Times New Roman" w:hAnsi="Times New Roman"/>
                <w:b w:val="0"/>
                <w:kern w:val="0"/>
                <w:sz w:val="22"/>
                <w:szCs w:val="22"/>
              </w:rPr>
              <w:t>88,285,000</w:t>
            </w:r>
          </w:p>
        </w:tc>
      </w:tr>
      <w:tr w:rsidR="008967E5" w:rsidRPr="002567E4" w:rsidTr="001D4B5E">
        <w:tc>
          <w:tcPr>
            <w:tcW w:w="5508" w:type="dxa"/>
          </w:tcPr>
          <w:p w:rsidR="008967E5" w:rsidRPr="005C4EBE" w:rsidRDefault="008967E5" w:rsidP="00951D15">
            <w:pPr>
              <w:pStyle w:val="Title"/>
              <w:ind w:left="0"/>
              <w:jc w:val="left"/>
              <w:rPr>
                <w:rFonts w:ascii="Times New Roman" w:hAnsi="Times New Roman"/>
                <w:b w:val="0"/>
                <w:kern w:val="0"/>
                <w:sz w:val="24"/>
                <w:szCs w:val="22"/>
              </w:rPr>
            </w:pPr>
            <w:r w:rsidRPr="005C4EBE">
              <w:rPr>
                <w:rFonts w:ascii="Times New Roman" w:hAnsi="Times New Roman"/>
                <w:b w:val="0"/>
                <w:kern w:val="0"/>
                <w:sz w:val="22"/>
                <w:szCs w:val="22"/>
              </w:rPr>
              <w:t>Adjustments to Base and Technical Adjustments</w:t>
            </w:r>
          </w:p>
        </w:tc>
        <w:tc>
          <w:tcPr>
            <w:tcW w:w="1260" w:type="dxa"/>
            <w:vAlign w:val="center"/>
          </w:tcPr>
          <w:p w:rsidR="008967E5" w:rsidRPr="005C4EBE" w:rsidRDefault="008967E5" w:rsidP="00951D15">
            <w:pPr>
              <w:pStyle w:val="Title"/>
              <w:ind w:left="0"/>
              <w:jc w:val="right"/>
              <w:rPr>
                <w:rFonts w:ascii="Times New Roman" w:hAnsi="Times New Roman"/>
                <w:b w:val="0"/>
                <w:kern w:val="0"/>
                <w:sz w:val="24"/>
                <w:szCs w:val="22"/>
              </w:rPr>
            </w:pPr>
            <w:r w:rsidRPr="005C4EBE">
              <w:rPr>
                <w:rFonts w:ascii="Times New Roman" w:hAnsi="Times New Roman"/>
                <w:b w:val="0"/>
                <w:kern w:val="0"/>
                <w:sz w:val="22"/>
                <w:szCs w:val="22"/>
              </w:rPr>
              <w:t>0</w:t>
            </w:r>
          </w:p>
        </w:tc>
        <w:tc>
          <w:tcPr>
            <w:tcW w:w="1267" w:type="dxa"/>
            <w:vAlign w:val="center"/>
          </w:tcPr>
          <w:p w:rsidR="008967E5" w:rsidRPr="005C4EBE" w:rsidRDefault="008967E5" w:rsidP="00951D15">
            <w:pPr>
              <w:pStyle w:val="Title"/>
              <w:ind w:left="0"/>
              <w:jc w:val="right"/>
              <w:rPr>
                <w:rFonts w:ascii="Times New Roman" w:hAnsi="Times New Roman"/>
                <w:b w:val="0"/>
                <w:kern w:val="0"/>
                <w:sz w:val="24"/>
                <w:szCs w:val="22"/>
              </w:rPr>
            </w:pPr>
            <w:r w:rsidRPr="005C4EBE">
              <w:rPr>
                <w:rFonts w:ascii="Times New Roman" w:hAnsi="Times New Roman"/>
                <w:b w:val="0"/>
                <w:kern w:val="0"/>
                <w:sz w:val="22"/>
                <w:szCs w:val="22"/>
              </w:rPr>
              <w:t>0</w:t>
            </w:r>
          </w:p>
        </w:tc>
        <w:tc>
          <w:tcPr>
            <w:tcW w:w="1440" w:type="dxa"/>
            <w:vAlign w:val="center"/>
          </w:tcPr>
          <w:p w:rsidR="008967E5" w:rsidRPr="005C4EBE" w:rsidRDefault="008967E5" w:rsidP="00951D15">
            <w:pPr>
              <w:pStyle w:val="Title"/>
              <w:ind w:left="0"/>
              <w:jc w:val="right"/>
              <w:rPr>
                <w:rFonts w:ascii="Times New Roman" w:hAnsi="Times New Roman"/>
                <w:b w:val="0"/>
                <w:kern w:val="0"/>
                <w:sz w:val="24"/>
                <w:szCs w:val="22"/>
              </w:rPr>
            </w:pPr>
            <w:r w:rsidRPr="005C4EBE">
              <w:rPr>
                <w:rFonts w:ascii="Times New Roman" w:hAnsi="Times New Roman"/>
                <w:b w:val="0"/>
                <w:kern w:val="0"/>
                <w:sz w:val="22"/>
                <w:szCs w:val="22"/>
              </w:rPr>
              <w:t>(17,022,000)</w:t>
            </w:r>
          </w:p>
        </w:tc>
      </w:tr>
      <w:tr w:rsidR="008967E5" w:rsidRPr="002567E4" w:rsidTr="001D4B5E">
        <w:tc>
          <w:tcPr>
            <w:tcW w:w="5508" w:type="dxa"/>
          </w:tcPr>
          <w:p w:rsidR="008967E5" w:rsidRPr="005C4EBE" w:rsidRDefault="008967E5" w:rsidP="00951D15">
            <w:pPr>
              <w:pStyle w:val="Title"/>
              <w:ind w:left="0"/>
              <w:jc w:val="left"/>
              <w:rPr>
                <w:rFonts w:ascii="Times New Roman" w:hAnsi="Times New Roman"/>
                <w:b w:val="0"/>
                <w:kern w:val="0"/>
                <w:sz w:val="24"/>
                <w:szCs w:val="22"/>
              </w:rPr>
            </w:pPr>
            <w:r w:rsidRPr="005C4EBE">
              <w:rPr>
                <w:rFonts w:ascii="Times New Roman" w:hAnsi="Times New Roman"/>
                <w:b w:val="0"/>
                <w:kern w:val="0"/>
                <w:sz w:val="22"/>
                <w:szCs w:val="22"/>
              </w:rPr>
              <w:t>2012 Current Services</w:t>
            </w:r>
          </w:p>
        </w:tc>
        <w:tc>
          <w:tcPr>
            <w:tcW w:w="1260" w:type="dxa"/>
            <w:vAlign w:val="center"/>
          </w:tcPr>
          <w:p w:rsidR="008967E5" w:rsidRPr="005C4EBE" w:rsidRDefault="008967E5" w:rsidP="00951D15">
            <w:pPr>
              <w:pStyle w:val="Title"/>
              <w:ind w:left="0"/>
              <w:jc w:val="right"/>
              <w:rPr>
                <w:rFonts w:ascii="Times New Roman" w:hAnsi="Times New Roman"/>
                <w:b w:val="0"/>
                <w:kern w:val="0"/>
                <w:sz w:val="24"/>
                <w:szCs w:val="22"/>
              </w:rPr>
            </w:pPr>
            <w:r w:rsidRPr="005C4EBE">
              <w:rPr>
                <w:rFonts w:ascii="Times New Roman" w:hAnsi="Times New Roman"/>
                <w:b w:val="0"/>
                <w:kern w:val="0"/>
                <w:sz w:val="22"/>
                <w:szCs w:val="22"/>
              </w:rPr>
              <w:t>72</w:t>
            </w:r>
          </w:p>
        </w:tc>
        <w:tc>
          <w:tcPr>
            <w:tcW w:w="1267" w:type="dxa"/>
            <w:vAlign w:val="center"/>
          </w:tcPr>
          <w:p w:rsidR="008967E5" w:rsidRPr="005C4EBE" w:rsidRDefault="008967E5" w:rsidP="00951D15">
            <w:pPr>
              <w:pStyle w:val="Title"/>
              <w:ind w:left="0"/>
              <w:jc w:val="right"/>
              <w:rPr>
                <w:rFonts w:ascii="Times New Roman" w:hAnsi="Times New Roman"/>
                <w:b w:val="0"/>
                <w:kern w:val="0"/>
                <w:sz w:val="24"/>
                <w:szCs w:val="22"/>
              </w:rPr>
            </w:pPr>
            <w:r w:rsidRPr="005C4EBE">
              <w:rPr>
                <w:rFonts w:ascii="Times New Roman" w:hAnsi="Times New Roman"/>
                <w:b w:val="0"/>
                <w:kern w:val="0"/>
                <w:sz w:val="22"/>
                <w:szCs w:val="22"/>
              </w:rPr>
              <w:t>72</w:t>
            </w:r>
          </w:p>
        </w:tc>
        <w:tc>
          <w:tcPr>
            <w:tcW w:w="1440" w:type="dxa"/>
            <w:vAlign w:val="center"/>
          </w:tcPr>
          <w:p w:rsidR="008967E5" w:rsidRPr="005C4EBE" w:rsidRDefault="008967E5" w:rsidP="00951D15">
            <w:pPr>
              <w:pStyle w:val="Title"/>
              <w:ind w:left="0"/>
              <w:jc w:val="right"/>
              <w:rPr>
                <w:rFonts w:ascii="Times New Roman" w:hAnsi="Times New Roman"/>
                <w:b w:val="0"/>
                <w:kern w:val="0"/>
                <w:sz w:val="24"/>
                <w:szCs w:val="22"/>
              </w:rPr>
            </w:pPr>
            <w:r w:rsidRPr="005C4EBE">
              <w:rPr>
                <w:rFonts w:ascii="Times New Roman" w:hAnsi="Times New Roman"/>
                <w:b w:val="0"/>
                <w:kern w:val="0"/>
                <w:sz w:val="22"/>
                <w:szCs w:val="22"/>
              </w:rPr>
              <w:t>71,263,000</w:t>
            </w:r>
          </w:p>
        </w:tc>
      </w:tr>
      <w:tr w:rsidR="008967E5" w:rsidRPr="002567E4" w:rsidTr="001D4B5E">
        <w:tc>
          <w:tcPr>
            <w:tcW w:w="5508" w:type="dxa"/>
          </w:tcPr>
          <w:p w:rsidR="008967E5" w:rsidRPr="005C4EBE" w:rsidRDefault="008967E5" w:rsidP="00951D15">
            <w:pPr>
              <w:pStyle w:val="Title"/>
              <w:ind w:left="0"/>
              <w:jc w:val="left"/>
              <w:rPr>
                <w:rFonts w:ascii="Times New Roman" w:hAnsi="Times New Roman"/>
                <w:b w:val="0"/>
                <w:kern w:val="0"/>
                <w:sz w:val="24"/>
                <w:szCs w:val="22"/>
              </w:rPr>
            </w:pPr>
            <w:r w:rsidRPr="005C4EBE">
              <w:rPr>
                <w:rFonts w:ascii="Times New Roman" w:hAnsi="Times New Roman"/>
                <w:b w:val="0"/>
                <w:kern w:val="0"/>
                <w:sz w:val="22"/>
                <w:szCs w:val="22"/>
              </w:rPr>
              <w:t>2012 Program Offsets</w:t>
            </w:r>
          </w:p>
        </w:tc>
        <w:tc>
          <w:tcPr>
            <w:tcW w:w="1260" w:type="dxa"/>
            <w:vAlign w:val="center"/>
          </w:tcPr>
          <w:p w:rsidR="008967E5" w:rsidRPr="005C4EBE" w:rsidRDefault="008967E5" w:rsidP="00951D15">
            <w:pPr>
              <w:pStyle w:val="Title"/>
              <w:ind w:left="0"/>
              <w:jc w:val="right"/>
              <w:rPr>
                <w:rFonts w:ascii="Times New Roman" w:hAnsi="Times New Roman"/>
                <w:b w:val="0"/>
                <w:kern w:val="0"/>
                <w:sz w:val="24"/>
                <w:szCs w:val="22"/>
              </w:rPr>
            </w:pPr>
            <w:r w:rsidRPr="005C4EBE">
              <w:rPr>
                <w:rFonts w:ascii="Times New Roman" w:hAnsi="Times New Roman"/>
                <w:b w:val="0"/>
                <w:kern w:val="0"/>
                <w:sz w:val="22"/>
                <w:szCs w:val="22"/>
              </w:rPr>
              <w:t>0</w:t>
            </w:r>
          </w:p>
        </w:tc>
        <w:tc>
          <w:tcPr>
            <w:tcW w:w="1267" w:type="dxa"/>
            <w:vAlign w:val="center"/>
          </w:tcPr>
          <w:p w:rsidR="008967E5" w:rsidRPr="005C4EBE" w:rsidRDefault="008967E5" w:rsidP="00951D15">
            <w:pPr>
              <w:pStyle w:val="Title"/>
              <w:ind w:left="0"/>
              <w:jc w:val="right"/>
              <w:rPr>
                <w:rFonts w:ascii="Times New Roman" w:hAnsi="Times New Roman"/>
                <w:b w:val="0"/>
                <w:kern w:val="0"/>
                <w:sz w:val="24"/>
                <w:szCs w:val="22"/>
              </w:rPr>
            </w:pPr>
            <w:r w:rsidRPr="005C4EBE">
              <w:rPr>
                <w:rFonts w:ascii="Times New Roman" w:hAnsi="Times New Roman"/>
                <w:b w:val="0"/>
                <w:kern w:val="0"/>
                <w:sz w:val="22"/>
                <w:szCs w:val="22"/>
              </w:rPr>
              <w:t>0</w:t>
            </w:r>
          </w:p>
        </w:tc>
        <w:tc>
          <w:tcPr>
            <w:tcW w:w="1440" w:type="dxa"/>
            <w:vAlign w:val="center"/>
          </w:tcPr>
          <w:p w:rsidR="008967E5" w:rsidRPr="005C4EBE" w:rsidRDefault="008967E5" w:rsidP="00951D15">
            <w:pPr>
              <w:pStyle w:val="Title"/>
              <w:ind w:left="0"/>
              <w:jc w:val="right"/>
              <w:rPr>
                <w:rFonts w:ascii="Times New Roman" w:hAnsi="Times New Roman"/>
                <w:b w:val="0"/>
                <w:kern w:val="0"/>
                <w:sz w:val="24"/>
                <w:szCs w:val="22"/>
              </w:rPr>
            </w:pPr>
            <w:r w:rsidRPr="005C4EBE">
              <w:rPr>
                <w:rFonts w:ascii="Times New Roman" w:hAnsi="Times New Roman"/>
                <w:b w:val="0"/>
                <w:kern w:val="0"/>
                <w:sz w:val="22"/>
                <w:szCs w:val="22"/>
              </w:rPr>
              <w:t>(16,956,000)</w:t>
            </w:r>
          </w:p>
        </w:tc>
      </w:tr>
      <w:tr w:rsidR="008967E5" w:rsidRPr="002567E4" w:rsidTr="001D4B5E">
        <w:tc>
          <w:tcPr>
            <w:tcW w:w="5508" w:type="dxa"/>
          </w:tcPr>
          <w:p w:rsidR="008967E5" w:rsidRPr="005C4EBE" w:rsidRDefault="008967E5" w:rsidP="00951D15">
            <w:pPr>
              <w:pStyle w:val="Title"/>
              <w:ind w:left="0"/>
              <w:jc w:val="left"/>
              <w:rPr>
                <w:rFonts w:ascii="Times New Roman" w:hAnsi="Times New Roman"/>
                <w:b w:val="0"/>
                <w:kern w:val="0"/>
                <w:sz w:val="24"/>
                <w:szCs w:val="22"/>
              </w:rPr>
            </w:pPr>
            <w:r w:rsidRPr="005C4EBE">
              <w:rPr>
                <w:rFonts w:ascii="Times New Roman" w:hAnsi="Times New Roman"/>
                <w:b w:val="0"/>
                <w:kern w:val="0"/>
                <w:sz w:val="22"/>
                <w:szCs w:val="22"/>
              </w:rPr>
              <w:t>2012 Request</w:t>
            </w:r>
          </w:p>
        </w:tc>
        <w:tc>
          <w:tcPr>
            <w:tcW w:w="1260" w:type="dxa"/>
            <w:vAlign w:val="center"/>
          </w:tcPr>
          <w:p w:rsidR="008967E5" w:rsidRPr="005C4EBE" w:rsidRDefault="008967E5" w:rsidP="00951D15">
            <w:pPr>
              <w:pStyle w:val="Title"/>
              <w:ind w:left="0"/>
              <w:jc w:val="right"/>
              <w:rPr>
                <w:rFonts w:ascii="Times New Roman" w:hAnsi="Times New Roman"/>
                <w:b w:val="0"/>
                <w:kern w:val="0"/>
                <w:sz w:val="24"/>
                <w:szCs w:val="22"/>
              </w:rPr>
            </w:pPr>
            <w:r w:rsidRPr="005C4EBE">
              <w:rPr>
                <w:rFonts w:ascii="Times New Roman" w:hAnsi="Times New Roman"/>
                <w:b w:val="0"/>
                <w:kern w:val="0"/>
                <w:sz w:val="22"/>
                <w:szCs w:val="22"/>
              </w:rPr>
              <w:t>72</w:t>
            </w:r>
          </w:p>
        </w:tc>
        <w:tc>
          <w:tcPr>
            <w:tcW w:w="1267" w:type="dxa"/>
            <w:vAlign w:val="center"/>
          </w:tcPr>
          <w:p w:rsidR="008967E5" w:rsidRPr="005C4EBE" w:rsidRDefault="008967E5" w:rsidP="00951D15">
            <w:pPr>
              <w:pStyle w:val="Title"/>
              <w:ind w:left="0"/>
              <w:jc w:val="right"/>
              <w:rPr>
                <w:rFonts w:ascii="Times New Roman" w:hAnsi="Times New Roman"/>
                <w:b w:val="0"/>
                <w:kern w:val="0"/>
                <w:sz w:val="24"/>
                <w:szCs w:val="22"/>
              </w:rPr>
            </w:pPr>
            <w:r w:rsidRPr="005C4EBE">
              <w:rPr>
                <w:rFonts w:ascii="Times New Roman" w:hAnsi="Times New Roman"/>
                <w:b w:val="0"/>
                <w:kern w:val="0"/>
                <w:sz w:val="22"/>
                <w:szCs w:val="22"/>
              </w:rPr>
              <w:t>72</w:t>
            </w:r>
          </w:p>
        </w:tc>
        <w:tc>
          <w:tcPr>
            <w:tcW w:w="1440" w:type="dxa"/>
            <w:vAlign w:val="center"/>
          </w:tcPr>
          <w:p w:rsidR="008967E5" w:rsidRPr="005C4EBE" w:rsidRDefault="008967E5" w:rsidP="00951D15">
            <w:pPr>
              <w:pStyle w:val="Title"/>
              <w:ind w:left="0"/>
              <w:jc w:val="right"/>
              <w:rPr>
                <w:rFonts w:ascii="Times New Roman" w:hAnsi="Times New Roman"/>
                <w:b w:val="0"/>
                <w:kern w:val="0"/>
                <w:sz w:val="24"/>
                <w:szCs w:val="22"/>
              </w:rPr>
            </w:pPr>
            <w:r w:rsidRPr="005C4EBE">
              <w:rPr>
                <w:rFonts w:ascii="Times New Roman" w:hAnsi="Times New Roman"/>
                <w:b w:val="0"/>
                <w:kern w:val="0"/>
                <w:sz w:val="22"/>
                <w:szCs w:val="22"/>
              </w:rPr>
              <w:t>54,307,000</w:t>
            </w:r>
          </w:p>
        </w:tc>
      </w:tr>
      <w:tr w:rsidR="008967E5" w:rsidRPr="002567E4" w:rsidTr="00CD13C7">
        <w:trPr>
          <w:trHeight w:val="521"/>
        </w:trPr>
        <w:tc>
          <w:tcPr>
            <w:tcW w:w="5508" w:type="dxa"/>
            <w:shd w:val="clear" w:color="auto" w:fill="E6E6E6"/>
            <w:vAlign w:val="center"/>
          </w:tcPr>
          <w:p w:rsidR="008967E5" w:rsidRPr="005C4EBE" w:rsidRDefault="008967E5" w:rsidP="00951D15">
            <w:pPr>
              <w:pStyle w:val="Title"/>
              <w:ind w:left="0"/>
              <w:jc w:val="left"/>
              <w:rPr>
                <w:rFonts w:ascii="Times New Roman" w:hAnsi="Times New Roman"/>
                <w:bCs w:val="0"/>
                <w:kern w:val="0"/>
                <w:sz w:val="24"/>
                <w:szCs w:val="22"/>
              </w:rPr>
            </w:pPr>
            <w:r w:rsidRPr="005C4EBE">
              <w:rPr>
                <w:rFonts w:ascii="Times New Roman" w:hAnsi="Times New Roman"/>
                <w:bCs w:val="0"/>
                <w:kern w:val="0"/>
                <w:sz w:val="22"/>
                <w:szCs w:val="22"/>
              </w:rPr>
              <w:t>Total Change 2011-2012</w:t>
            </w:r>
          </w:p>
        </w:tc>
        <w:tc>
          <w:tcPr>
            <w:tcW w:w="1260" w:type="dxa"/>
            <w:shd w:val="clear" w:color="auto" w:fill="E6E6E6"/>
            <w:vAlign w:val="center"/>
          </w:tcPr>
          <w:p w:rsidR="008967E5" w:rsidRPr="005C4EBE" w:rsidRDefault="008967E5" w:rsidP="00951D15">
            <w:pPr>
              <w:pStyle w:val="Title"/>
              <w:ind w:left="0"/>
              <w:jc w:val="right"/>
              <w:rPr>
                <w:rFonts w:ascii="Times New Roman" w:hAnsi="Times New Roman"/>
                <w:b w:val="0"/>
                <w:kern w:val="0"/>
                <w:sz w:val="24"/>
                <w:szCs w:val="22"/>
              </w:rPr>
            </w:pPr>
            <w:r w:rsidRPr="005C4EBE">
              <w:rPr>
                <w:rFonts w:ascii="Times New Roman" w:hAnsi="Times New Roman"/>
                <w:b w:val="0"/>
                <w:kern w:val="0"/>
                <w:sz w:val="22"/>
                <w:szCs w:val="22"/>
              </w:rPr>
              <w:t>0</w:t>
            </w:r>
          </w:p>
        </w:tc>
        <w:tc>
          <w:tcPr>
            <w:tcW w:w="1267" w:type="dxa"/>
            <w:shd w:val="clear" w:color="auto" w:fill="E6E6E6"/>
            <w:vAlign w:val="center"/>
          </w:tcPr>
          <w:p w:rsidR="008967E5" w:rsidRPr="005C4EBE" w:rsidRDefault="008967E5" w:rsidP="00951D15">
            <w:pPr>
              <w:pStyle w:val="Title"/>
              <w:ind w:left="0"/>
              <w:jc w:val="right"/>
              <w:rPr>
                <w:rFonts w:ascii="Times New Roman" w:hAnsi="Times New Roman"/>
                <w:b w:val="0"/>
                <w:kern w:val="0"/>
                <w:sz w:val="24"/>
                <w:szCs w:val="22"/>
              </w:rPr>
            </w:pPr>
            <w:r w:rsidRPr="005C4EBE">
              <w:rPr>
                <w:rFonts w:ascii="Times New Roman" w:hAnsi="Times New Roman"/>
                <w:b w:val="0"/>
                <w:kern w:val="0"/>
                <w:sz w:val="22"/>
                <w:szCs w:val="22"/>
              </w:rPr>
              <w:t>0</w:t>
            </w:r>
          </w:p>
        </w:tc>
        <w:tc>
          <w:tcPr>
            <w:tcW w:w="1440" w:type="dxa"/>
            <w:shd w:val="clear" w:color="auto" w:fill="E6E6E6"/>
            <w:vAlign w:val="center"/>
          </w:tcPr>
          <w:p w:rsidR="008967E5" w:rsidRPr="005C4EBE" w:rsidRDefault="008967E5" w:rsidP="00951D15">
            <w:pPr>
              <w:pStyle w:val="Title"/>
              <w:ind w:left="0"/>
              <w:jc w:val="right"/>
              <w:rPr>
                <w:rFonts w:ascii="Times New Roman" w:hAnsi="Times New Roman"/>
                <w:b w:val="0"/>
                <w:kern w:val="0"/>
                <w:sz w:val="24"/>
                <w:szCs w:val="22"/>
              </w:rPr>
            </w:pPr>
            <w:r w:rsidRPr="005C4EBE">
              <w:rPr>
                <w:rFonts w:ascii="Times New Roman" w:hAnsi="Times New Roman"/>
                <w:b w:val="0"/>
                <w:kern w:val="0"/>
                <w:sz w:val="22"/>
                <w:szCs w:val="22"/>
              </w:rPr>
              <w:t>(33,978,000)</w:t>
            </w:r>
          </w:p>
        </w:tc>
      </w:tr>
      <w:bookmarkEnd w:id="5"/>
      <w:bookmarkEnd w:id="6"/>
    </w:tbl>
    <w:p w:rsidR="008967E5" w:rsidRDefault="008967E5">
      <w:pPr>
        <w:pStyle w:val="Title"/>
        <w:ind w:left="0"/>
        <w:jc w:val="left"/>
        <w:rPr>
          <w:i/>
          <w:sz w:val="22"/>
          <w:szCs w:val="22"/>
        </w:rPr>
      </w:pPr>
    </w:p>
    <w:p w:rsidR="008967E5" w:rsidRDefault="008967E5">
      <w:pPr>
        <w:pStyle w:val="Title"/>
        <w:ind w:left="0"/>
        <w:jc w:val="left"/>
        <w:rPr>
          <w:i/>
          <w:sz w:val="22"/>
          <w:szCs w:val="22"/>
        </w:rPr>
      </w:pPr>
    </w:p>
    <w:p w:rsidR="008967E5" w:rsidRDefault="008967E5">
      <w:pPr>
        <w:pStyle w:val="Title"/>
        <w:ind w:left="0"/>
        <w:jc w:val="left"/>
        <w:rPr>
          <w:i/>
          <w:sz w:val="22"/>
          <w:szCs w:val="22"/>
        </w:rPr>
      </w:pPr>
    </w:p>
    <w:p w:rsidR="008967E5" w:rsidRPr="002567E4" w:rsidRDefault="008967E5">
      <w:pPr>
        <w:pStyle w:val="Title"/>
        <w:ind w:left="0"/>
        <w:jc w:val="left"/>
        <w:rPr>
          <w:i/>
          <w:sz w:val="22"/>
          <w:szCs w:val="22"/>
        </w:rPr>
      </w:pPr>
    </w:p>
    <w:p w:rsidR="008967E5" w:rsidRPr="00F51084" w:rsidRDefault="008967E5" w:rsidP="003D19AB">
      <w:pPr>
        <w:pStyle w:val="xl27"/>
        <w:rPr>
          <w:rFonts w:ascii="Times New Roman" w:hAnsi="Times New Roman"/>
          <w:szCs w:val="24"/>
        </w:rPr>
      </w:pPr>
      <w:r w:rsidRPr="00F51084">
        <w:rPr>
          <w:rFonts w:ascii="Times New Roman" w:hAnsi="Times New Roman"/>
        </w:rPr>
        <w:t>1.  Program Description</w:t>
      </w:r>
    </w:p>
    <w:p w:rsidR="008967E5" w:rsidRDefault="008967E5" w:rsidP="00F70345">
      <w:pPr>
        <w:autoSpaceDE w:val="0"/>
        <w:autoSpaceDN w:val="0"/>
        <w:adjustRightInd w:val="0"/>
        <w:ind w:left="720"/>
        <w:rPr>
          <w:color w:val="000000"/>
          <w:sz w:val="22"/>
          <w:szCs w:val="22"/>
        </w:rPr>
      </w:pPr>
      <w:r>
        <w:rPr>
          <w:color w:val="000000"/>
          <w:sz w:val="22"/>
          <w:szCs w:val="22"/>
        </w:rPr>
        <w:t xml:space="preserve">The </w:t>
      </w:r>
      <w:r w:rsidRPr="002567E4">
        <w:rPr>
          <w:color w:val="000000"/>
          <w:sz w:val="22"/>
          <w:szCs w:val="22"/>
        </w:rPr>
        <w:t xml:space="preserve">JIST </w:t>
      </w:r>
      <w:r>
        <w:rPr>
          <w:color w:val="000000"/>
          <w:sz w:val="22"/>
          <w:szCs w:val="22"/>
        </w:rPr>
        <w:t>appropriation funds enterprise IT investments and supports programs in the following areas:</w:t>
      </w:r>
    </w:p>
    <w:p w:rsidR="008967E5" w:rsidRDefault="008967E5" w:rsidP="00F70345">
      <w:pPr>
        <w:autoSpaceDE w:val="0"/>
        <w:autoSpaceDN w:val="0"/>
        <w:adjustRightInd w:val="0"/>
        <w:ind w:left="720"/>
        <w:rPr>
          <w:color w:val="000000"/>
          <w:sz w:val="22"/>
          <w:szCs w:val="22"/>
        </w:rPr>
      </w:pPr>
    </w:p>
    <w:p w:rsidR="008967E5" w:rsidRDefault="008967E5" w:rsidP="00A74152">
      <w:pPr>
        <w:numPr>
          <w:ilvl w:val="0"/>
          <w:numId w:val="25"/>
        </w:numPr>
        <w:autoSpaceDE w:val="0"/>
        <w:autoSpaceDN w:val="0"/>
        <w:adjustRightInd w:val="0"/>
        <w:ind w:left="1440"/>
        <w:rPr>
          <w:color w:val="000000"/>
          <w:sz w:val="22"/>
          <w:szCs w:val="22"/>
        </w:rPr>
      </w:pPr>
      <w:r>
        <w:rPr>
          <w:color w:val="000000"/>
          <w:sz w:val="22"/>
          <w:szCs w:val="22"/>
        </w:rPr>
        <w:t>Investigation, Law Enforcement, Litigation, and Intelligence</w:t>
      </w:r>
    </w:p>
    <w:p w:rsidR="008967E5" w:rsidRDefault="008967E5" w:rsidP="00A74152">
      <w:pPr>
        <w:numPr>
          <w:ilvl w:val="0"/>
          <w:numId w:val="25"/>
        </w:numPr>
        <w:autoSpaceDE w:val="0"/>
        <w:autoSpaceDN w:val="0"/>
        <w:adjustRightInd w:val="0"/>
        <w:ind w:left="1440"/>
        <w:rPr>
          <w:color w:val="000000"/>
          <w:sz w:val="22"/>
          <w:szCs w:val="22"/>
        </w:rPr>
      </w:pPr>
      <w:r>
        <w:rPr>
          <w:color w:val="000000"/>
          <w:sz w:val="22"/>
          <w:szCs w:val="22"/>
        </w:rPr>
        <w:t>IT Security and Secure Communications</w:t>
      </w:r>
    </w:p>
    <w:p w:rsidR="008967E5" w:rsidRDefault="008967E5" w:rsidP="00A74152">
      <w:pPr>
        <w:numPr>
          <w:ilvl w:val="0"/>
          <w:numId w:val="25"/>
        </w:numPr>
        <w:autoSpaceDE w:val="0"/>
        <w:autoSpaceDN w:val="0"/>
        <w:adjustRightInd w:val="0"/>
        <w:ind w:left="1440"/>
        <w:rPr>
          <w:color w:val="000000"/>
          <w:sz w:val="22"/>
          <w:szCs w:val="22"/>
        </w:rPr>
      </w:pPr>
      <w:r>
        <w:rPr>
          <w:color w:val="000000"/>
          <w:sz w:val="22"/>
          <w:szCs w:val="22"/>
        </w:rPr>
        <w:t>Critical Enabling IT Infrastructure</w:t>
      </w:r>
    </w:p>
    <w:p w:rsidR="008967E5" w:rsidRDefault="008967E5" w:rsidP="00A74152">
      <w:pPr>
        <w:numPr>
          <w:ilvl w:val="0"/>
          <w:numId w:val="25"/>
        </w:numPr>
        <w:autoSpaceDE w:val="0"/>
        <w:autoSpaceDN w:val="0"/>
        <w:adjustRightInd w:val="0"/>
        <w:ind w:left="1440"/>
        <w:rPr>
          <w:color w:val="000000"/>
          <w:sz w:val="22"/>
          <w:szCs w:val="22"/>
        </w:rPr>
      </w:pPr>
      <w:r>
        <w:rPr>
          <w:color w:val="000000"/>
          <w:sz w:val="22"/>
          <w:szCs w:val="22"/>
        </w:rPr>
        <w:t>Financial Management</w:t>
      </w:r>
    </w:p>
    <w:p w:rsidR="008967E5" w:rsidRDefault="008967E5" w:rsidP="00A74152">
      <w:pPr>
        <w:numPr>
          <w:ilvl w:val="0"/>
          <w:numId w:val="25"/>
        </w:numPr>
        <w:autoSpaceDE w:val="0"/>
        <w:autoSpaceDN w:val="0"/>
        <w:adjustRightInd w:val="0"/>
        <w:ind w:left="1440"/>
        <w:rPr>
          <w:color w:val="000000"/>
          <w:sz w:val="22"/>
          <w:szCs w:val="22"/>
        </w:rPr>
      </w:pPr>
      <w:r>
        <w:rPr>
          <w:color w:val="000000"/>
          <w:sz w:val="22"/>
          <w:szCs w:val="22"/>
        </w:rPr>
        <w:lastRenderedPageBreak/>
        <w:t>DOJ IT Management and Innovations</w:t>
      </w:r>
    </w:p>
    <w:p w:rsidR="008967E5" w:rsidRDefault="008967E5" w:rsidP="00F70345">
      <w:pPr>
        <w:autoSpaceDE w:val="0"/>
        <w:autoSpaceDN w:val="0"/>
        <w:adjustRightInd w:val="0"/>
        <w:ind w:left="720"/>
        <w:rPr>
          <w:color w:val="000000"/>
          <w:sz w:val="22"/>
          <w:szCs w:val="22"/>
        </w:rPr>
      </w:pPr>
    </w:p>
    <w:p w:rsidR="008967E5" w:rsidRDefault="008967E5" w:rsidP="00A44B98">
      <w:pPr>
        <w:autoSpaceDE w:val="0"/>
        <w:autoSpaceDN w:val="0"/>
        <w:adjustRightInd w:val="0"/>
        <w:ind w:left="720"/>
        <w:rPr>
          <w:color w:val="000000"/>
          <w:sz w:val="22"/>
          <w:szCs w:val="22"/>
        </w:rPr>
      </w:pPr>
      <w:r>
        <w:rPr>
          <w:color w:val="000000"/>
          <w:sz w:val="22"/>
          <w:szCs w:val="22"/>
        </w:rPr>
        <w:t xml:space="preserve">These Programs provide enterprise-wide security infrastructure and cyber security monitoring, secure communications, and IT applications to provide modern and secure IT environments to support the daily activities of the Department’s agents, attorneys, analysts, and administrative staff.   In addition, JIST funds the performance of </w:t>
      </w:r>
      <w:r w:rsidRPr="002567E4">
        <w:rPr>
          <w:color w:val="000000"/>
          <w:sz w:val="22"/>
          <w:szCs w:val="22"/>
        </w:rPr>
        <w:t>Departmental responsibilities assigned to the CIO by the Clinger-Cohen Act of 1996, including the implementation of a capital planning and investment control process, the development and maintenance of an information technology architecture, the establishment of IT performance measures</w:t>
      </w:r>
      <w:r>
        <w:rPr>
          <w:color w:val="000000"/>
          <w:sz w:val="22"/>
          <w:szCs w:val="22"/>
        </w:rPr>
        <w:t xml:space="preserve"> and </w:t>
      </w:r>
      <w:r w:rsidRPr="002567E4">
        <w:rPr>
          <w:color w:val="000000"/>
          <w:sz w:val="22"/>
          <w:szCs w:val="22"/>
        </w:rPr>
        <w:t>IT security programs</w:t>
      </w:r>
      <w:r>
        <w:rPr>
          <w:color w:val="000000"/>
          <w:sz w:val="22"/>
          <w:szCs w:val="22"/>
        </w:rPr>
        <w:t>,</w:t>
      </w:r>
      <w:r w:rsidRPr="002567E4">
        <w:rPr>
          <w:color w:val="000000"/>
          <w:sz w:val="22"/>
          <w:szCs w:val="22"/>
        </w:rPr>
        <w:t xml:space="preserve"> and the development </w:t>
      </w:r>
      <w:r>
        <w:rPr>
          <w:color w:val="000000"/>
          <w:sz w:val="22"/>
          <w:szCs w:val="22"/>
        </w:rPr>
        <w:t xml:space="preserve">of </w:t>
      </w:r>
      <w:r w:rsidRPr="002567E4">
        <w:rPr>
          <w:color w:val="000000"/>
          <w:sz w:val="22"/>
          <w:szCs w:val="22"/>
        </w:rPr>
        <w:t>strategies for improving information resources manage</w:t>
      </w:r>
      <w:r>
        <w:rPr>
          <w:color w:val="000000"/>
          <w:sz w:val="22"/>
          <w:szCs w:val="22"/>
        </w:rPr>
        <w:t>ment</w:t>
      </w:r>
      <w:r w:rsidRPr="002567E4">
        <w:rPr>
          <w:color w:val="000000"/>
          <w:sz w:val="22"/>
          <w:szCs w:val="22"/>
        </w:rPr>
        <w:t xml:space="preserve">. </w:t>
      </w:r>
    </w:p>
    <w:p w:rsidR="008967E5" w:rsidRDefault="008967E5" w:rsidP="005A4AD1">
      <w:pPr>
        <w:autoSpaceDE w:val="0"/>
        <w:autoSpaceDN w:val="0"/>
        <w:adjustRightInd w:val="0"/>
        <w:rPr>
          <w:color w:val="000000"/>
          <w:sz w:val="22"/>
          <w:szCs w:val="22"/>
        </w:rPr>
      </w:pPr>
    </w:p>
    <w:p w:rsidR="008967E5" w:rsidRDefault="008967E5" w:rsidP="00496C12">
      <w:pPr>
        <w:autoSpaceDE w:val="0"/>
        <w:autoSpaceDN w:val="0"/>
        <w:adjustRightInd w:val="0"/>
        <w:ind w:left="360"/>
        <w:rPr>
          <w:b/>
          <w:color w:val="000000"/>
        </w:rPr>
      </w:pPr>
      <w:r>
        <w:rPr>
          <w:b/>
          <w:color w:val="000000"/>
        </w:rPr>
        <w:t>a.  Investigation, Law E</w:t>
      </w:r>
      <w:r w:rsidRPr="00601FF7">
        <w:rPr>
          <w:b/>
          <w:color w:val="000000"/>
        </w:rPr>
        <w:t>n</w:t>
      </w:r>
      <w:r>
        <w:rPr>
          <w:b/>
          <w:color w:val="000000"/>
        </w:rPr>
        <w:t>forcement, Litigation and I</w:t>
      </w:r>
      <w:r w:rsidRPr="00601FF7">
        <w:rPr>
          <w:b/>
          <w:color w:val="000000"/>
        </w:rPr>
        <w:t>ntelligence</w:t>
      </w:r>
    </w:p>
    <w:p w:rsidR="008967E5" w:rsidRDefault="008967E5" w:rsidP="00496C12">
      <w:pPr>
        <w:autoSpaceDE w:val="0"/>
        <w:autoSpaceDN w:val="0"/>
        <w:adjustRightInd w:val="0"/>
        <w:ind w:left="360"/>
        <w:rPr>
          <w:b/>
          <w:color w:val="000000"/>
          <w:sz w:val="22"/>
          <w:szCs w:val="22"/>
        </w:rPr>
      </w:pPr>
    </w:p>
    <w:p w:rsidR="008967E5" w:rsidRPr="00F51084" w:rsidRDefault="008967E5" w:rsidP="00496C12">
      <w:pPr>
        <w:autoSpaceDE w:val="0"/>
        <w:autoSpaceDN w:val="0"/>
        <w:adjustRightInd w:val="0"/>
        <w:ind w:left="720"/>
        <w:rPr>
          <w:b/>
          <w:color w:val="000000"/>
          <w:sz w:val="22"/>
          <w:szCs w:val="22"/>
          <w:u w:val="single"/>
        </w:rPr>
      </w:pPr>
      <w:r w:rsidRPr="00F51084">
        <w:rPr>
          <w:b/>
          <w:color w:val="000000"/>
          <w:sz w:val="22"/>
          <w:szCs w:val="22"/>
          <w:u w:val="single"/>
        </w:rPr>
        <w:t>Joint Automated Booking System (JABS)</w:t>
      </w:r>
    </w:p>
    <w:p w:rsidR="008967E5" w:rsidRDefault="008967E5" w:rsidP="00496C12">
      <w:pPr>
        <w:autoSpaceDE w:val="0"/>
        <w:autoSpaceDN w:val="0"/>
        <w:adjustRightInd w:val="0"/>
        <w:ind w:left="720"/>
        <w:rPr>
          <w:b/>
          <w:color w:val="000000"/>
          <w:sz w:val="22"/>
          <w:szCs w:val="22"/>
        </w:rPr>
      </w:pPr>
    </w:p>
    <w:p w:rsidR="008967E5" w:rsidRDefault="008967E5" w:rsidP="00496C12">
      <w:pPr>
        <w:ind w:left="720"/>
        <w:rPr>
          <w:sz w:val="22"/>
          <w:szCs w:val="22"/>
        </w:rPr>
      </w:pPr>
      <w:r w:rsidRPr="001602A5">
        <w:rPr>
          <w:sz w:val="22"/>
          <w:szCs w:val="22"/>
        </w:rPr>
        <w:t xml:space="preserve">The JABS Program is a field-proven, mission critical law enforcement system responsible for </w:t>
      </w:r>
      <w:r w:rsidRPr="001602A5">
        <w:rPr>
          <w:iCs/>
          <w:sz w:val="22"/>
          <w:szCs w:val="22"/>
        </w:rPr>
        <w:t xml:space="preserve">capturing, processing, managing, and sharing </w:t>
      </w:r>
      <w:r>
        <w:rPr>
          <w:iCs/>
          <w:sz w:val="22"/>
          <w:szCs w:val="22"/>
        </w:rPr>
        <w:t xml:space="preserve">prisoner and </w:t>
      </w:r>
      <w:r w:rsidRPr="001602A5">
        <w:rPr>
          <w:iCs/>
          <w:sz w:val="22"/>
          <w:szCs w:val="22"/>
        </w:rPr>
        <w:t>detainee booking and tracking information.</w:t>
      </w:r>
      <w:r w:rsidRPr="001602A5">
        <w:rPr>
          <w:sz w:val="22"/>
          <w:szCs w:val="22"/>
        </w:rPr>
        <w:t xml:space="preserve"> </w:t>
      </w:r>
      <w:r>
        <w:rPr>
          <w:color w:val="000000"/>
          <w:sz w:val="22"/>
          <w:szCs w:val="22"/>
        </w:rPr>
        <w:t xml:space="preserve">It </w:t>
      </w:r>
      <w:r w:rsidRPr="001602A5">
        <w:rPr>
          <w:color w:val="000000"/>
          <w:sz w:val="22"/>
          <w:szCs w:val="22"/>
        </w:rPr>
        <w:t>is charged with providing information interchange services that eliminate</w:t>
      </w:r>
      <w:r>
        <w:rPr>
          <w:color w:val="000000"/>
          <w:sz w:val="22"/>
          <w:szCs w:val="22"/>
        </w:rPr>
        <w:t>s</w:t>
      </w:r>
      <w:r w:rsidRPr="001602A5">
        <w:rPr>
          <w:color w:val="000000"/>
          <w:sz w:val="22"/>
          <w:szCs w:val="22"/>
        </w:rPr>
        <w:t xml:space="preserve"> the need to perform redundant bookings when prisoners are moved within DOJ.  </w:t>
      </w:r>
      <w:r w:rsidRPr="001602A5">
        <w:rPr>
          <w:sz w:val="22"/>
          <w:szCs w:val="22"/>
        </w:rPr>
        <w:t xml:space="preserve"> </w:t>
      </w:r>
    </w:p>
    <w:p w:rsidR="008967E5" w:rsidRDefault="008967E5" w:rsidP="00496C12">
      <w:pPr>
        <w:ind w:left="720"/>
        <w:rPr>
          <w:sz w:val="22"/>
          <w:szCs w:val="22"/>
        </w:rPr>
      </w:pPr>
    </w:p>
    <w:p w:rsidR="008967E5" w:rsidRPr="001602A5" w:rsidRDefault="008967E5" w:rsidP="00496C12">
      <w:pPr>
        <w:ind w:left="720"/>
        <w:rPr>
          <w:color w:val="000000"/>
          <w:sz w:val="22"/>
          <w:szCs w:val="22"/>
        </w:rPr>
      </w:pPr>
      <w:r>
        <w:rPr>
          <w:sz w:val="22"/>
          <w:szCs w:val="22"/>
        </w:rPr>
        <w:t xml:space="preserve">The </w:t>
      </w:r>
      <w:r w:rsidRPr="001602A5">
        <w:rPr>
          <w:sz w:val="22"/>
          <w:szCs w:val="22"/>
        </w:rPr>
        <w:t xml:space="preserve">Program provides the provisioning and operational maintenance for 1,100 Automated Booking Stations (ABS) within the DOJ and manages the electronic data interfaces with the FBI’s </w:t>
      </w:r>
      <w:r>
        <w:rPr>
          <w:sz w:val="22"/>
          <w:szCs w:val="22"/>
        </w:rPr>
        <w:t>Integrated Automated Fingerprint Identification System (</w:t>
      </w:r>
      <w:r w:rsidRPr="001602A5">
        <w:rPr>
          <w:color w:val="000000"/>
          <w:sz w:val="22"/>
          <w:szCs w:val="22"/>
        </w:rPr>
        <w:t>IAFIS</w:t>
      </w:r>
      <w:r>
        <w:rPr>
          <w:color w:val="000000"/>
          <w:sz w:val="22"/>
          <w:szCs w:val="22"/>
        </w:rPr>
        <w:t>)</w:t>
      </w:r>
      <w:r w:rsidRPr="001602A5">
        <w:rPr>
          <w:color w:val="000000"/>
          <w:sz w:val="22"/>
          <w:szCs w:val="22"/>
        </w:rPr>
        <w:t xml:space="preserve">.  </w:t>
      </w:r>
      <w:r w:rsidRPr="001602A5">
        <w:rPr>
          <w:sz w:val="22"/>
          <w:szCs w:val="22"/>
        </w:rPr>
        <w:t xml:space="preserve">Including booking stations maintained by DHS and the USMS’s Inter-Agency booking functionality, JABS services approximately 2,500 Federal law enforcement sites.  JABS, which operates 24/7, has an estimated 64,000 registered users who submit over </w:t>
      </w:r>
      <w:r w:rsidRPr="009340BC">
        <w:rPr>
          <w:sz w:val="22"/>
          <w:szCs w:val="22"/>
        </w:rPr>
        <w:t xml:space="preserve">2 </w:t>
      </w:r>
      <w:r w:rsidRPr="0042630D">
        <w:rPr>
          <w:sz w:val="22"/>
          <w:szCs w:val="22"/>
        </w:rPr>
        <w:t>million transactions</w:t>
      </w:r>
      <w:r w:rsidRPr="001602A5">
        <w:rPr>
          <w:sz w:val="22"/>
          <w:szCs w:val="22"/>
        </w:rPr>
        <w:t xml:space="preserve"> per year to IAFIS.  </w:t>
      </w:r>
      <w:r>
        <w:rPr>
          <w:sz w:val="22"/>
          <w:szCs w:val="22"/>
        </w:rPr>
        <w:t xml:space="preserve">The </w:t>
      </w:r>
      <w:r w:rsidRPr="001602A5">
        <w:rPr>
          <w:sz w:val="22"/>
          <w:szCs w:val="22"/>
        </w:rPr>
        <w:t xml:space="preserve">JABS program currently </w:t>
      </w:r>
      <w:r w:rsidRPr="0042630D">
        <w:rPr>
          <w:sz w:val="22"/>
          <w:szCs w:val="22"/>
        </w:rPr>
        <w:t>accounts for 87% of the Federal electronic booking transactions submitted to IAFIS</w:t>
      </w:r>
      <w:r w:rsidRPr="001602A5">
        <w:rPr>
          <w:color w:val="000000"/>
          <w:sz w:val="22"/>
          <w:szCs w:val="22"/>
        </w:rPr>
        <w:t xml:space="preserve">.  These booking submissions provide a </w:t>
      </w:r>
      <w:r w:rsidRPr="0042630D">
        <w:rPr>
          <w:color w:val="000000"/>
          <w:sz w:val="22"/>
          <w:szCs w:val="22"/>
        </w:rPr>
        <w:t>"real-time" updat</w:t>
      </w:r>
      <w:r>
        <w:rPr>
          <w:color w:val="000000"/>
          <w:sz w:val="22"/>
          <w:szCs w:val="22"/>
        </w:rPr>
        <w:t>e</w:t>
      </w:r>
      <w:r w:rsidRPr="0042630D">
        <w:rPr>
          <w:color w:val="000000"/>
          <w:sz w:val="22"/>
          <w:szCs w:val="22"/>
        </w:rPr>
        <w:t xml:space="preserve"> </w:t>
      </w:r>
      <w:r>
        <w:rPr>
          <w:color w:val="000000"/>
          <w:sz w:val="22"/>
          <w:szCs w:val="22"/>
        </w:rPr>
        <w:t>to</w:t>
      </w:r>
      <w:r w:rsidRPr="001602A5">
        <w:rPr>
          <w:color w:val="000000"/>
          <w:sz w:val="22"/>
          <w:szCs w:val="22"/>
        </w:rPr>
        <w:t xml:space="preserve"> the FBI's </w:t>
      </w:r>
      <w:r w:rsidRPr="001602A5">
        <w:rPr>
          <w:sz w:val="22"/>
          <w:szCs w:val="22"/>
        </w:rPr>
        <w:t>fingerprint and criminal history databases.</w:t>
      </w:r>
      <w:r w:rsidRPr="001602A5">
        <w:rPr>
          <w:color w:val="000000"/>
          <w:sz w:val="22"/>
          <w:szCs w:val="22"/>
        </w:rPr>
        <w:t xml:space="preserve"> </w:t>
      </w:r>
    </w:p>
    <w:p w:rsidR="008967E5" w:rsidRPr="001602A5" w:rsidRDefault="008967E5" w:rsidP="00496C12">
      <w:pPr>
        <w:ind w:left="720"/>
        <w:rPr>
          <w:sz w:val="22"/>
          <w:szCs w:val="22"/>
        </w:rPr>
      </w:pPr>
    </w:p>
    <w:p w:rsidR="008967E5" w:rsidRPr="001602A5" w:rsidRDefault="008967E5" w:rsidP="002B56CD">
      <w:pPr>
        <w:ind w:left="720"/>
        <w:rPr>
          <w:sz w:val="22"/>
          <w:szCs w:val="22"/>
        </w:rPr>
      </w:pPr>
      <w:r>
        <w:rPr>
          <w:sz w:val="22"/>
          <w:szCs w:val="22"/>
        </w:rPr>
        <w:t xml:space="preserve">The JABS has a significant role in counterterrorism and law enforcement since it </w:t>
      </w:r>
      <w:r w:rsidRPr="001602A5">
        <w:rPr>
          <w:sz w:val="22"/>
          <w:szCs w:val="22"/>
        </w:rPr>
        <w:t xml:space="preserve">provides booking information, including applicable scars, marks, and tattoo data, to counterterrorism and law enforcement fusion centers through OneDOJ.  The JABS data repository currently consists of more than 3 million booking records, which is cited by the law enforcement community as being extremely effective in </w:t>
      </w:r>
      <w:r>
        <w:rPr>
          <w:sz w:val="22"/>
          <w:szCs w:val="22"/>
        </w:rPr>
        <w:t xml:space="preserve">assisting them to </w:t>
      </w:r>
      <w:r w:rsidRPr="001602A5">
        <w:rPr>
          <w:sz w:val="22"/>
          <w:szCs w:val="22"/>
        </w:rPr>
        <w:t xml:space="preserve">accomplish their mission.  Additionally, JABS provides data extracts to the </w:t>
      </w:r>
      <w:r w:rsidRPr="001602A5">
        <w:rPr>
          <w:sz w:val="22"/>
          <w:szCs w:val="22"/>
        </w:rPr>
        <w:lastRenderedPageBreak/>
        <w:t>Organized Crime Drug Enforcement Task Force (OCDETF) fusion center, DEA-Pinellas County, FL. Sheriff’s Office facial recognition pilot fusion center, and the Arizona Counter Terrorism Information Center (ACTIC).</w:t>
      </w:r>
    </w:p>
    <w:p w:rsidR="008967E5" w:rsidRDefault="008967E5" w:rsidP="002B56CD">
      <w:pPr>
        <w:autoSpaceDE w:val="0"/>
        <w:autoSpaceDN w:val="0"/>
        <w:adjustRightInd w:val="0"/>
        <w:rPr>
          <w:b/>
          <w:color w:val="000000"/>
          <w:sz w:val="22"/>
          <w:szCs w:val="22"/>
        </w:rPr>
      </w:pPr>
    </w:p>
    <w:p w:rsidR="008967E5" w:rsidRPr="00F51084" w:rsidRDefault="008967E5" w:rsidP="00496C12">
      <w:pPr>
        <w:autoSpaceDE w:val="0"/>
        <w:autoSpaceDN w:val="0"/>
        <w:adjustRightInd w:val="0"/>
        <w:ind w:left="720"/>
        <w:rPr>
          <w:b/>
          <w:color w:val="000000"/>
          <w:sz w:val="22"/>
          <w:szCs w:val="22"/>
          <w:u w:val="single"/>
        </w:rPr>
      </w:pPr>
      <w:r w:rsidRPr="00F51084">
        <w:rPr>
          <w:b/>
          <w:color w:val="000000"/>
          <w:sz w:val="22"/>
          <w:szCs w:val="22"/>
          <w:u w:val="single"/>
        </w:rPr>
        <w:t>Law Enforcement Sharing Program (LEISP)</w:t>
      </w:r>
    </w:p>
    <w:p w:rsidR="008967E5" w:rsidRDefault="008967E5" w:rsidP="00496C12">
      <w:pPr>
        <w:autoSpaceDE w:val="0"/>
        <w:autoSpaceDN w:val="0"/>
        <w:adjustRightInd w:val="0"/>
        <w:ind w:left="720"/>
        <w:rPr>
          <w:b/>
          <w:color w:val="000000"/>
          <w:sz w:val="22"/>
          <w:szCs w:val="22"/>
        </w:rPr>
      </w:pPr>
    </w:p>
    <w:p w:rsidR="008967E5" w:rsidRPr="00E9744D" w:rsidRDefault="008967E5" w:rsidP="00496C12">
      <w:pPr>
        <w:ind w:left="720"/>
        <w:rPr>
          <w:color w:val="000000"/>
          <w:sz w:val="22"/>
          <w:szCs w:val="22"/>
        </w:rPr>
      </w:pPr>
      <w:r w:rsidRPr="00E9744D">
        <w:rPr>
          <w:color w:val="000000"/>
          <w:sz w:val="22"/>
          <w:szCs w:val="22"/>
        </w:rPr>
        <w:t>LEISP represents a strategic approach to sharing data with other DOJ components, other federal agencies, and partners at the state, local</w:t>
      </w:r>
      <w:r>
        <w:rPr>
          <w:color w:val="000000"/>
          <w:sz w:val="22"/>
          <w:szCs w:val="22"/>
        </w:rPr>
        <w:t>,</w:t>
      </w:r>
      <w:r w:rsidRPr="00E9744D">
        <w:rPr>
          <w:color w:val="000000"/>
          <w:sz w:val="22"/>
          <w:szCs w:val="22"/>
        </w:rPr>
        <w:t xml:space="preserve"> and tribal level</w:t>
      </w:r>
      <w:r>
        <w:rPr>
          <w:color w:val="000000"/>
          <w:sz w:val="22"/>
          <w:szCs w:val="22"/>
        </w:rPr>
        <w:t>s</w:t>
      </w:r>
      <w:r w:rsidRPr="00E9744D">
        <w:rPr>
          <w:color w:val="000000"/>
          <w:sz w:val="22"/>
          <w:szCs w:val="22"/>
        </w:rPr>
        <w:t>.  The program aims to reduce crime and to prevent terrorism by providing an overall framework and the technological means for law enforcement entities to share information quickly and effectively.  It promotes the continued development and implementation of information sharing systems that enable state, local, and Federal law enforcement agencies nationwide to collect, share, and analyze law enforcement information on criminal activities and separately, in a more tightly controlled environment, to share and analyze sensitive intelligence data.</w:t>
      </w:r>
    </w:p>
    <w:p w:rsidR="008967E5" w:rsidRDefault="008967E5" w:rsidP="00496C12">
      <w:pPr>
        <w:ind w:left="720"/>
        <w:rPr>
          <w:color w:val="000000"/>
        </w:rPr>
      </w:pPr>
    </w:p>
    <w:p w:rsidR="008967E5" w:rsidRDefault="008967E5" w:rsidP="00496C12">
      <w:pPr>
        <w:autoSpaceDE w:val="0"/>
        <w:autoSpaceDN w:val="0"/>
        <w:adjustRightInd w:val="0"/>
        <w:ind w:left="720"/>
        <w:rPr>
          <w:color w:val="000000"/>
          <w:sz w:val="22"/>
          <w:szCs w:val="22"/>
        </w:rPr>
      </w:pPr>
      <w:r>
        <w:rPr>
          <w:color w:val="000000"/>
          <w:sz w:val="22"/>
          <w:szCs w:val="22"/>
        </w:rPr>
        <w:t xml:space="preserve">LEISP </w:t>
      </w:r>
      <w:r w:rsidRPr="002567E4">
        <w:rPr>
          <w:sz w:val="22"/>
          <w:szCs w:val="22"/>
        </w:rPr>
        <w:t xml:space="preserve">is an executive oversight program that provides the </w:t>
      </w:r>
      <w:r>
        <w:rPr>
          <w:sz w:val="22"/>
          <w:szCs w:val="22"/>
        </w:rPr>
        <w:t>lynchpin</w:t>
      </w:r>
      <w:r w:rsidRPr="002567E4">
        <w:rPr>
          <w:sz w:val="22"/>
          <w:szCs w:val="22"/>
        </w:rPr>
        <w:t xml:space="preserve"> for connecting several ongoing projects within key </w:t>
      </w:r>
      <w:r>
        <w:rPr>
          <w:sz w:val="22"/>
          <w:szCs w:val="22"/>
        </w:rPr>
        <w:t xml:space="preserve">DOJ </w:t>
      </w:r>
      <w:r w:rsidRPr="002567E4">
        <w:rPr>
          <w:sz w:val="22"/>
          <w:szCs w:val="22"/>
        </w:rPr>
        <w:t>components</w:t>
      </w:r>
      <w:r>
        <w:rPr>
          <w:sz w:val="22"/>
          <w:szCs w:val="22"/>
        </w:rPr>
        <w:t>,</w:t>
      </w:r>
      <w:r w:rsidRPr="002567E4">
        <w:rPr>
          <w:sz w:val="22"/>
          <w:szCs w:val="22"/>
        </w:rPr>
        <w:t xml:space="preserve"> under a common set of goals and objectives</w:t>
      </w:r>
      <w:r>
        <w:rPr>
          <w:sz w:val="22"/>
          <w:szCs w:val="22"/>
        </w:rPr>
        <w:t>, and to ensure compliance with applicable DOJ policies and memoranda that include but is not limited to data sharing, privacy, and technologies.</w:t>
      </w:r>
      <w:r>
        <w:rPr>
          <w:color w:val="000000"/>
          <w:sz w:val="22"/>
          <w:szCs w:val="22"/>
        </w:rPr>
        <w:t xml:space="preserve">  </w:t>
      </w:r>
      <w:r w:rsidRPr="002567E4">
        <w:rPr>
          <w:color w:val="000000"/>
          <w:sz w:val="22"/>
          <w:szCs w:val="22"/>
        </w:rPr>
        <w:t>JIST supports the development and implementation of LEISP-related database application sys</w:t>
      </w:r>
      <w:r>
        <w:rPr>
          <w:color w:val="000000"/>
          <w:sz w:val="22"/>
          <w:szCs w:val="22"/>
        </w:rPr>
        <w:t xml:space="preserve">tems that </w:t>
      </w:r>
      <w:r w:rsidRPr="002567E4">
        <w:rPr>
          <w:color w:val="000000"/>
          <w:sz w:val="22"/>
          <w:szCs w:val="22"/>
        </w:rPr>
        <w:t>enable state, local, and Federal law enforcement agencies nationwide to collect, share, and analyze law enforcement information on criminal activities and separately, in a more tightly c</w:t>
      </w:r>
      <w:r>
        <w:rPr>
          <w:color w:val="000000"/>
          <w:sz w:val="22"/>
          <w:szCs w:val="22"/>
        </w:rPr>
        <w:t xml:space="preserve">ontrolled environment, to share </w:t>
      </w:r>
      <w:r w:rsidRPr="002567E4">
        <w:rPr>
          <w:color w:val="000000"/>
          <w:sz w:val="22"/>
          <w:szCs w:val="22"/>
        </w:rPr>
        <w:t>and analyze sensitive intelligence data.</w:t>
      </w:r>
    </w:p>
    <w:p w:rsidR="008967E5" w:rsidRDefault="008967E5" w:rsidP="006F26BC">
      <w:pPr>
        <w:autoSpaceDE w:val="0"/>
        <w:autoSpaceDN w:val="0"/>
        <w:adjustRightInd w:val="0"/>
        <w:rPr>
          <w:color w:val="000000"/>
          <w:sz w:val="22"/>
          <w:szCs w:val="22"/>
        </w:rPr>
      </w:pPr>
    </w:p>
    <w:p w:rsidR="008967E5" w:rsidRDefault="008967E5" w:rsidP="006F26BC">
      <w:pPr>
        <w:autoSpaceDE w:val="0"/>
        <w:autoSpaceDN w:val="0"/>
        <w:adjustRightInd w:val="0"/>
        <w:rPr>
          <w:color w:val="000000"/>
          <w:sz w:val="22"/>
          <w:szCs w:val="22"/>
        </w:rPr>
      </w:pPr>
    </w:p>
    <w:p w:rsidR="008967E5" w:rsidRDefault="008967E5" w:rsidP="006F26BC">
      <w:pPr>
        <w:autoSpaceDE w:val="0"/>
        <w:autoSpaceDN w:val="0"/>
        <w:adjustRightInd w:val="0"/>
        <w:rPr>
          <w:color w:val="000000"/>
          <w:sz w:val="22"/>
          <w:szCs w:val="22"/>
        </w:rPr>
      </w:pPr>
    </w:p>
    <w:p w:rsidR="008967E5" w:rsidRDefault="008967E5" w:rsidP="006F26BC">
      <w:pPr>
        <w:autoSpaceDE w:val="0"/>
        <w:autoSpaceDN w:val="0"/>
        <w:adjustRightInd w:val="0"/>
        <w:rPr>
          <w:color w:val="000000"/>
          <w:sz w:val="22"/>
          <w:szCs w:val="22"/>
        </w:rPr>
      </w:pPr>
    </w:p>
    <w:p w:rsidR="008967E5" w:rsidRPr="00F51084" w:rsidRDefault="008967E5" w:rsidP="003D19AB">
      <w:pPr>
        <w:autoSpaceDE w:val="0"/>
        <w:autoSpaceDN w:val="0"/>
        <w:adjustRightInd w:val="0"/>
        <w:rPr>
          <w:b/>
          <w:color w:val="000000"/>
          <w:sz w:val="22"/>
          <w:szCs w:val="22"/>
          <w:u w:val="single"/>
        </w:rPr>
      </w:pPr>
      <w:r>
        <w:rPr>
          <w:b/>
          <w:color w:val="000000"/>
          <w:sz w:val="22"/>
          <w:szCs w:val="22"/>
        </w:rPr>
        <w:t xml:space="preserve">             </w:t>
      </w:r>
      <w:r w:rsidRPr="00F51084">
        <w:rPr>
          <w:b/>
          <w:color w:val="000000"/>
          <w:sz w:val="22"/>
          <w:szCs w:val="22"/>
          <w:u w:val="single"/>
        </w:rPr>
        <w:t>Chief Information Officer – Technology Innovations</w:t>
      </w:r>
    </w:p>
    <w:p w:rsidR="008967E5" w:rsidRDefault="008967E5" w:rsidP="00496C12">
      <w:pPr>
        <w:autoSpaceDE w:val="0"/>
        <w:autoSpaceDN w:val="0"/>
        <w:adjustRightInd w:val="0"/>
        <w:ind w:left="720"/>
        <w:rPr>
          <w:b/>
          <w:color w:val="000000"/>
          <w:sz w:val="22"/>
          <w:szCs w:val="22"/>
        </w:rPr>
      </w:pPr>
    </w:p>
    <w:p w:rsidR="008967E5" w:rsidRDefault="008967E5" w:rsidP="00496C12">
      <w:pPr>
        <w:autoSpaceDE w:val="0"/>
        <w:autoSpaceDN w:val="0"/>
        <w:adjustRightInd w:val="0"/>
        <w:ind w:left="720"/>
        <w:rPr>
          <w:color w:val="000000"/>
          <w:sz w:val="22"/>
          <w:szCs w:val="22"/>
        </w:rPr>
      </w:pPr>
      <w:r>
        <w:rPr>
          <w:color w:val="000000"/>
          <w:sz w:val="22"/>
          <w:szCs w:val="22"/>
        </w:rPr>
        <w:t>The CTO identifies and pilots innovative new technologies that can result in more cost-effective IT solutions for the Department, with the goal of proving their value propositions and finding Department entities to commit to adoption.  Currently, the CTO is working on solutions in the following areas:</w:t>
      </w:r>
    </w:p>
    <w:p w:rsidR="008967E5" w:rsidRDefault="008967E5" w:rsidP="00496C12">
      <w:pPr>
        <w:autoSpaceDE w:val="0"/>
        <w:autoSpaceDN w:val="0"/>
        <w:adjustRightInd w:val="0"/>
        <w:ind w:left="720"/>
        <w:rPr>
          <w:color w:val="000000"/>
          <w:sz w:val="22"/>
          <w:szCs w:val="22"/>
        </w:rPr>
      </w:pPr>
    </w:p>
    <w:p w:rsidR="008967E5" w:rsidRDefault="008967E5" w:rsidP="00A74152">
      <w:pPr>
        <w:numPr>
          <w:ilvl w:val="0"/>
          <w:numId w:val="24"/>
        </w:numPr>
        <w:autoSpaceDE w:val="0"/>
        <w:autoSpaceDN w:val="0"/>
        <w:adjustRightInd w:val="0"/>
        <w:ind w:left="1440"/>
        <w:rPr>
          <w:color w:val="000000"/>
          <w:sz w:val="22"/>
          <w:szCs w:val="22"/>
        </w:rPr>
      </w:pPr>
      <w:r w:rsidRPr="00622A0A">
        <w:rPr>
          <w:b/>
          <w:color w:val="000000"/>
          <w:sz w:val="22"/>
          <w:szCs w:val="22"/>
        </w:rPr>
        <w:t>Data Standards:</w:t>
      </w:r>
      <w:r>
        <w:rPr>
          <w:color w:val="000000"/>
          <w:sz w:val="22"/>
          <w:szCs w:val="22"/>
        </w:rPr>
        <w:t xml:space="preserve">  Developing and implementing standard information structures and exchange standards that enable information exchange between federal, state, local, and tribal enforcement and intelligence organizations.</w:t>
      </w:r>
    </w:p>
    <w:p w:rsidR="008967E5" w:rsidRDefault="008967E5" w:rsidP="00A74152">
      <w:pPr>
        <w:numPr>
          <w:ilvl w:val="0"/>
          <w:numId w:val="24"/>
        </w:numPr>
        <w:autoSpaceDE w:val="0"/>
        <w:autoSpaceDN w:val="0"/>
        <w:adjustRightInd w:val="0"/>
        <w:ind w:left="1440"/>
        <w:rPr>
          <w:color w:val="000000"/>
          <w:sz w:val="22"/>
          <w:szCs w:val="22"/>
        </w:rPr>
      </w:pPr>
      <w:r>
        <w:rPr>
          <w:b/>
          <w:color w:val="000000"/>
          <w:sz w:val="22"/>
          <w:szCs w:val="22"/>
        </w:rPr>
        <w:lastRenderedPageBreak/>
        <w:t xml:space="preserve">Identity &amp; Access Management:  </w:t>
      </w:r>
      <w:r>
        <w:rPr>
          <w:color w:val="000000"/>
          <w:sz w:val="22"/>
          <w:szCs w:val="22"/>
        </w:rPr>
        <w:t>Developing a cost-effective approach for providing common, scalable, identity authentication, and access management services across the DOJ enterprise.</w:t>
      </w:r>
    </w:p>
    <w:p w:rsidR="008967E5" w:rsidRDefault="008967E5" w:rsidP="00A74152">
      <w:pPr>
        <w:numPr>
          <w:ilvl w:val="0"/>
          <w:numId w:val="24"/>
        </w:numPr>
        <w:autoSpaceDE w:val="0"/>
        <w:autoSpaceDN w:val="0"/>
        <w:adjustRightInd w:val="0"/>
        <w:ind w:left="1440"/>
        <w:rPr>
          <w:color w:val="000000"/>
          <w:sz w:val="22"/>
          <w:szCs w:val="22"/>
        </w:rPr>
      </w:pPr>
      <w:r w:rsidRPr="00622A0A">
        <w:rPr>
          <w:b/>
          <w:color w:val="000000"/>
          <w:sz w:val="22"/>
          <w:szCs w:val="22"/>
        </w:rPr>
        <w:t>Information Sharing Infrastructure</w:t>
      </w:r>
      <w:r>
        <w:rPr>
          <w:b/>
          <w:color w:val="000000"/>
          <w:sz w:val="22"/>
          <w:szCs w:val="22"/>
        </w:rPr>
        <w:t>:</w:t>
      </w:r>
      <w:r>
        <w:rPr>
          <w:color w:val="000000"/>
          <w:sz w:val="22"/>
          <w:szCs w:val="22"/>
        </w:rPr>
        <w:t xml:space="preserve">  Developing tools and techniques that enable or facilitate information sharing with DOJ’s federal, state, and local partners.</w:t>
      </w:r>
    </w:p>
    <w:p w:rsidR="008967E5" w:rsidRDefault="008967E5" w:rsidP="00A74152">
      <w:pPr>
        <w:numPr>
          <w:ilvl w:val="0"/>
          <w:numId w:val="24"/>
        </w:numPr>
        <w:autoSpaceDE w:val="0"/>
        <w:autoSpaceDN w:val="0"/>
        <w:adjustRightInd w:val="0"/>
        <w:ind w:left="1440"/>
        <w:rPr>
          <w:color w:val="000000"/>
          <w:sz w:val="22"/>
          <w:szCs w:val="22"/>
        </w:rPr>
      </w:pPr>
      <w:r w:rsidRPr="00622A0A">
        <w:rPr>
          <w:b/>
          <w:color w:val="000000"/>
          <w:sz w:val="22"/>
          <w:szCs w:val="22"/>
        </w:rPr>
        <w:t>Information Fusion</w:t>
      </w:r>
      <w:r>
        <w:rPr>
          <w:b/>
          <w:color w:val="000000"/>
          <w:sz w:val="22"/>
          <w:szCs w:val="22"/>
        </w:rPr>
        <w:t>:</w:t>
      </w:r>
      <w:r>
        <w:rPr>
          <w:color w:val="000000"/>
          <w:sz w:val="22"/>
          <w:szCs w:val="22"/>
        </w:rPr>
        <w:t xml:space="preserve">  Collaboratively building best-of-breed prototypes for fusion capabilities such as Search and Correlation and sharing lessons learned with major DOJ programs.</w:t>
      </w:r>
    </w:p>
    <w:p w:rsidR="008967E5" w:rsidRPr="00DC078D" w:rsidRDefault="008967E5" w:rsidP="00A74152">
      <w:pPr>
        <w:numPr>
          <w:ilvl w:val="0"/>
          <w:numId w:val="24"/>
        </w:numPr>
        <w:autoSpaceDE w:val="0"/>
        <w:autoSpaceDN w:val="0"/>
        <w:adjustRightInd w:val="0"/>
        <w:ind w:left="1440"/>
        <w:rPr>
          <w:color w:val="000000"/>
          <w:sz w:val="22"/>
          <w:szCs w:val="22"/>
        </w:rPr>
      </w:pPr>
      <w:r w:rsidRPr="002E60D8">
        <w:rPr>
          <w:b/>
          <w:color w:val="000000"/>
          <w:sz w:val="22"/>
          <w:szCs w:val="22"/>
        </w:rPr>
        <w:t>Geospatial Information Services (GIS):</w:t>
      </w:r>
      <w:r>
        <w:rPr>
          <w:color w:val="000000"/>
          <w:sz w:val="22"/>
          <w:szCs w:val="22"/>
        </w:rPr>
        <w:t xml:space="preserve">  Developing enterprise GIS Infrastructure Services to greatly reduce the cost and effort to implement secure access to commercially available GIS applications and initiatives across the Department.</w:t>
      </w:r>
    </w:p>
    <w:p w:rsidR="008967E5" w:rsidRDefault="008967E5" w:rsidP="003D19AB">
      <w:pPr>
        <w:autoSpaceDE w:val="0"/>
        <w:autoSpaceDN w:val="0"/>
        <w:adjustRightInd w:val="0"/>
        <w:rPr>
          <w:b/>
          <w:color w:val="000000"/>
        </w:rPr>
      </w:pPr>
    </w:p>
    <w:p w:rsidR="008967E5" w:rsidRPr="00601FF7" w:rsidRDefault="008967E5" w:rsidP="003D19AB">
      <w:pPr>
        <w:autoSpaceDE w:val="0"/>
        <w:autoSpaceDN w:val="0"/>
        <w:adjustRightInd w:val="0"/>
        <w:rPr>
          <w:b/>
          <w:color w:val="000000"/>
        </w:rPr>
      </w:pPr>
      <w:r>
        <w:rPr>
          <w:b/>
          <w:color w:val="000000"/>
        </w:rPr>
        <w:t xml:space="preserve">      b</w:t>
      </w:r>
      <w:r w:rsidRPr="00601FF7">
        <w:rPr>
          <w:b/>
          <w:color w:val="000000"/>
        </w:rPr>
        <w:t>.  IT Security and Secure Communications</w:t>
      </w:r>
    </w:p>
    <w:p w:rsidR="008967E5" w:rsidRDefault="008967E5" w:rsidP="006E6B9A">
      <w:pPr>
        <w:autoSpaceDE w:val="0"/>
        <w:autoSpaceDN w:val="0"/>
        <w:adjustRightInd w:val="0"/>
        <w:rPr>
          <w:color w:val="000000"/>
          <w:sz w:val="22"/>
          <w:szCs w:val="22"/>
        </w:rPr>
      </w:pPr>
    </w:p>
    <w:p w:rsidR="008967E5" w:rsidRPr="00F51084" w:rsidRDefault="008967E5" w:rsidP="00D22D3C">
      <w:pPr>
        <w:autoSpaceDE w:val="0"/>
        <w:autoSpaceDN w:val="0"/>
        <w:adjustRightInd w:val="0"/>
        <w:ind w:left="720"/>
        <w:rPr>
          <w:b/>
          <w:u w:val="single"/>
        </w:rPr>
      </w:pPr>
      <w:r w:rsidRPr="00F51084">
        <w:rPr>
          <w:b/>
          <w:u w:val="single"/>
        </w:rPr>
        <w:t>Cyber Security Program (CSP)</w:t>
      </w:r>
    </w:p>
    <w:p w:rsidR="008967E5" w:rsidRPr="002567E4" w:rsidRDefault="008967E5" w:rsidP="003A0E1E">
      <w:pPr>
        <w:autoSpaceDE w:val="0"/>
        <w:autoSpaceDN w:val="0"/>
        <w:adjustRightInd w:val="0"/>
        <w:ind w:left="432"/>
        <w:rPr>
          <w:b/>
          <w:sz w:val="22"/>
          <w:szCs w:val="22"/>
        </w:rPr>
      </w:pPr>
    </w:p>
    <w:p w:rsidR="008967E5" w:rsidRDefault="008967E5" w:rsidP="008640FD">
      <w:pPr>
        <w:autoSpaceDE w:val="0"/>
        <w:autoSpaceDN w:val="0"/>
        <w:adjustRightInd w:val="0"/>
        <w:ind w:left="720"/>
        <w:rPr>
          <w:color w:val="000000"/>
          <w:sz w:val="22"/>
          <w:szCs w:val="22"/>
        </w:rPr>
      </w:pPr>
      <w:r>
        <w:rPr>
          <w:color w:val="000000"/>
          <w:sz w:val="22"/>
          <w:szCs w:val="22"/>
        </w:rPr>
        <w:t xml:space="preserve">The Department has established two </w:t>
      </w:r>
      <w:bookmarkStart w:id="9" w:name="OLE_LINK18"/>
      <w:bookmarkStart w:id="10" w:name="OLE_LINK19"/>
      <w:r>
        <w:rPr>
          <w:color w:val="000000"/>
          <w:sz w:val="22"/>
          <w:szCs w:val="22"/>
        </w:rPr>
        <w:t xml:space="preserve">complementary programs </w:t>
      </w:r>
      <w:bookmarkEnd w:id="9"/>
      <w:bookmarkEnd w:id="10"/>
      <w:r>
        <w:rPr>
          <w:color w:val="000000"/>
          <w:sz w:val="22"/>
          <w:szCs w:val="22"/>
        </w:rPr>
        <w:t xml:space="preserve">– the Justice Security Operations Center (JSOC) and the Cyber Security Program (CSP) </w:t>
      </w:r>
      <w:r w:rsidR="00802FF1">
        <w:rPr>
          <w:color w:val="000000"/>
          <w:sz w:val="22"/>
          <w:szCs w:val="22"/>
        </w:rPr>
        <w:t>- to</w:t>
      </w:r>
      <w:r>
        <w:rPr>
          <w:color w:val="000000"/>
          <w:sz w:val="22"/>
          <w:szCs w:val="22"/>
        </w:rPr>
        <w:t xml:space="preserve"> protect its IT environments (systems, networks, and sensitive data) from cyber attacks to ensure their availability for the Department’s agents, attorneys, analysts, and administrative staff to continue their legal, investigative, and administrative functions.  The JSOC is funded by the Department’s Working Capital Fund.  It proactively monitors and maintains situational awareness of the Department’s networks, investigates incidents, and develops signatures to block further intrusions.  The CSP JIST-funded activity is undertaking a multi-year program to implement DOJ enterprise-wide security architecture to secure networks and consolidate internet gateways.</w:t>
      </w:r>
    </w:p>
    <w:p w:rsidR="008967E5" w:rsidRDefault="008967E5" w:rsidP="008640FD">
      <w:pPr>
        <w:autoSpaceDE w:val="0"/>
        <w:autoSpaceDN w:val="0"/>
        <w:adjustRightInd w:val="0"/>
        <w:ind w:left="720"/>
        <w:rPr>
          <w:color w:val="000000"/>
          <w:sz w:val="22"/>
          <w:szCs w:val="22"/>
        </w:rPr>
      </w:pPr>
    </w:p>
    <w:p w:rsidR="008967E5" w:rsidRDefault="008967E5" w:rsidP="008640FD">
      <w:pPr>
        <w:autoSpaceDE w:val="0"/>
        <w:autoSpaceDN w:val="0"/>
        <w:adjustRightInd w:val="0"/>
        <w:ind w:left="720"/>
        <w:rPr>
          <w:color w:val="000000"/>
          <w:sz w:val="22"/>
          <w:szCs w:val="22"/>
        </w:rPr>
      </w:pPr>
      <w:r w:rsidRPr="002567E4">
        <w:rPr>
          <w:color w:val="000000"/>
          <w:sz w:val="22"/>
          <w:szCs w:val="22"/>
        </w:rPr>
        <w:t>The effectiveness of the JSOC to proactively defend again</w:t>
      </w:r>
      <w:r>
        <w:rPr>
          <w:color w:val="000000"/>
          <w:sz w:val="22"/>
          <w:szCs w:val="22"/>
        </w:rPr>
        <w:t>st and respond to a cyber attack depends on establishing a limited number of Internet access points, the Trusted Internet Connections (TIC), having advanced monitoring capabilities and situational awareness, and an enterprise-wide security infrastructure.   The CSP will establish the TIC, provide advanced situational awareness of the Department’s IT environment, and secure the Department’s networks by:</w:t>
      </w:r>
    </w:p>
    <w:p w:rsidR="008967E5" w:rsidRDefault="008967E5" w:rsidP="008640FD">
      <w:pPr>
        <w:autoSpaceDE w:val="0"/>
        <w:autoSpaceDN w:val="0"/>
        <w:adjustRightInd w:val="0"/>
        <w:ind w:left="720"/>
        <w:rPr>
          <w:color w:val="000000"/>
          <w:sz w:val="22"/>
          <w:szCs w:val="22"/>
        </w:rPr>
      </w:pPr>
    </w:p>
    <w:p w:rsidR="008967E5" w:rsidRDefault="008967E5" w:rsidP="00A74152">
      <w:pPr>
        <w:numPr>
          <w:ilvl w:val="0"/>
          <w:numId w:val="23"/>
        </w:numPr>
        <w:autoSpaceDE w:val="0"/>
        <w:autoSpaceDN w:val="0"/>
        <w:adjustRightInd w:val="0"/>
        <w:ind w:left="1440"/>
        <w:rPr>
          <w:color w:val="000000"/>
          <w:sz w:val="22"/>
          <w:szCs w:val="22"/>
        </w:rPr>
      </w:pPr>
      <w:r w:rsidRPr="002567E4">
        <w:rPr>
          <w:color w:val="000000"/>
          <w:sz w:val="22"/>
          <w:szCs w:val="22"/>
        </w:rPr>
        <w:t>Moderniz</w:t>
      </w:r>
      <w:r>
        <w:rPr>
          <w:color w:val="000000"/>
          <w:sz w:val="22"/>
          <w:szCs w:val="22"/>
        </w:rPr>
        <w:t>ing</w:t>
      </w:r>
      <w:r w:rsidRPr="002567E4">
        <w:rPr>
          <w:color w:val="000000"/>
          <w:sz w:val="22"/>
          <w:szCs w:val="22"/>
        </w:rPr>
        <w:t xml:space="preserve"> intrusion detection systems (IDS) and firewalls across DO</w:t>
      </w:r>
      <w:r>
        <w:rPr>
          <w:color w:val="000000"/>
          <w:sz w:val="22"/>
          <w:szCs w:val="22"/>
        </w:rPr>
        <w:t>J, including component networks,</w:t>
      </w:r>
    </w:p>
    <w:p w:rsidR="008967E5" w:rsidRPr="005252BD" w:rsidRDefault="008967E5" w:rsidP="00A74152">
      <w:pPr>
        <w:numPr>
          <w:ilvl w:val="0"/>
          <w:numId w:val="23"/>
        </w:numPr>
        <w:autoSpaceDE w:val="0"/>
        <w:autoSpaceDN w:val="0"/>
        <w:adjustRightInd w:val="0"/>
        <w:ind w:left="1440"/>
        <w:rPr>
          <w:color w:val="000000"/>
          <w:sz w:val="22"/>
          <w:szCs w:val="22"/>
        </w:rPr>
      </w:pPr>
      <w:r w:rsidRPr="002567E4">
        <w:rPr>
          <w:color w:val="000000"/>
          <w:sz w:val="22"/>
          <w:szCs w:val="22"/>
        </w:rPr>
        <w:lastRenderedPageBreak/>
        <w:t>P</w:t>
      </w:r>
      <w:r>
        <w:rPr>
          <w:color w:val="000000"/>
          <w:sz w:val="22"/>
          <w:szCs w:val="22"/>
        </w:rPr>
        <w:t>roviding</w:t>
      </w:r>
      <w:r w:rsidRPr="002567E4">
        <w:rPr>
          <w:color w:val="000000"/>
          <w:sz w:val="22"/>
          <w:szCs w:val="22"/>
        </w:rPr>
        <w:t xml:space="preserve"> common mandatory </w:t>
      </w:r>
      <w:r>
        <w:rPr>
          <w:color w:val="000000"/>
          <w:sz w:val="22"/>
          <w:szCs w:val="22"/>
        </w:rPr>
        <w:t>server/computer settings that are</w:t>
      </w:r>
      <w:r w:rsidRPr="002567E4">
        <w:rPr>
          <w:color w:val="000000"/>
          <w:sz w:val="22"/>
          <w:szCs w:val="22"/>
        </w:rPr>
        <w:t xml:space="preserve"> managed centrally to </w:t>
      </w:r>
      <w:r>
        <w:rPr>
          <w:color w:val="000000"/>
          <w:sz w:val="22"/>
          <w:szCs w:val="22"/>
        </w:rPr>
        <w:t xml:space="preserve">enable more timely and coordinated responses to security threats, </w:t>
      </w:r>
    </w:p>
    <w:p w:rsidR="008967E5" w:rsidRDefault="008967E5" w:rsidP="00A74152">
      <w:pPr>
        <w:numPr>
          <w:ilvl w:val="0"/>
          <w:numId w:val="23"/>
        </w:numPr>
        <w:autoSpaceDE w:val="0"/>
        <w:autoSpaceDN w:val="0"/>
        <w:adjustRightInd w:val="0"/>
        <w:ind w:left="1440"/>
        <w:rPr>
          <w:color w:val="000000"/>
          <w:sz w:val="22"/>
          <w:szCs w:val="22"/>
        </w:rPr>
      </w:pPr>
      <w:r>
        <w:rPr>
          <w:color w:val="000000"/>
          <w:sz w:val="22"/>
          <w:szCs w:val="22"/>
        </w:rPr>
        <w:t>Implementing secure remote access and advanced authentication solutions that support the many needs of our agents, attorneys, and analysts,</w:t>
      </w:r>
    </w:p>
    <w:p w:rsidR="008967E5" w:rsidRDefault="008967E5" w:rsidP="00A74152">
      <w:pPr>
        <w:numPr>
          <w:ilvl w:val="0"/>
          <w:numId w:val="23"/>
        </w:numPr>
        <w:autoSpaceDE w:val="0"/>
        <w:autoSpaceDN w:val="0"/>
        <w:adjustRightInd w:val="0"/>
        <w:ind w:left="1440"/>
        <w:rPr>
          <w:color w:val="000000"/>
          <w:sz w:val="22"/>
          <w:szCs w:val="22"/>
        </w:rPr>
      </w:pPr>
      <w:r>
        <w:rPr>
          <w:color w:val="000000"/>
          <w:sz w:val="22"/>
          <w:szCs w:val="22"/>
        </w:rPr>
        <w:t xml:space="preserve">Implementing secure infrastructure capabilities to provide the continued processing of critical systems and networks, </w:t>
      </w:r>
    </w:p>
    <w:p w:rsidR="008967E5" w:rsidRPr="00592C32" w:rsidRDefault="008967E5" w:rsidP="00A74152">
      <w:pPr>
        <w:numPr>
          <w:ilvl w:val="0"/>
          <w:numId w:val="23"/>
        </w:numPr>
        <w:autoSpaceDE w:val="0"/>
        <w:autoSpaceDN w:val="0"/>
        <w:adjustRightInd w:val="0"/>
        <w:ind w:left="1440"/>
        <w:rPr>
          <w:color w:val="000000"/>
          <w:sz w:val="22"/>
          <w:szCs w:val="22"/>
        </w:rPr>
      </w:pPr>
      <w:r>
        <w:rPr>
          <w:color w:val="000000"/>
          <w:sz w:val="22"/>
          <w:szCs w:val="22"/>
        </w:rPr>
        <w:t xml:space="preserve">Implementing advanced malware detection capabilities to assist the JSOC in responding to the advanced persistent threat, </w:t>
      </w:r>
    </w:p>
    <w:p w:rsidR="008967E5" w:rsidRDefault="008967E5" w:rsidP="00A74152">
      <w:pPr>
        <w:numPr>
          <w:ilvl w:val="0"/>
          <w:numId w:val="23"/>
        </w:numPr>
        <w:autoSpaceDE w:val="0"/>
        <w:autoSpaceDN w:val="0"/>
        <w:adjustRightInd w:val="0"/>
        <w:ind w:left="1440"/>
        <w:rPr>
          <w:color w:val="000000"/>
          <w:sz w:val="22"/>
          <w:szCs w:val="22"/>
        </w:rPr>
      </w:pPr>
      <w:r>
        <w:rPr>
          <w:color w:val="000000"/>
          <w:sz w:val="22"/>
          <w:szCs w:val="22"/>
        </w:rPr>
        <w:t>Implementing a centrally-managed, departmental email system capable of hosting end-user email accounts for the greatest number of components, and</w:t>
      </w:r>
    </w:p>
    <w:p w:rsidR="008967E5" w:rsidRPr="000414CD" w:rsidRDefault="008967E5" w:rsidP="00A74152">
      <w:pPr>
        <w:numPr>
          <w:ilvl w:val="0"/>
          <w:numId w:val="23"/>
        </w:numPr>
        <w:autoSpaceDE w:val="0"/>
        <w:autoSpaceDN w:val="0"/>
        <w:adjustRightInd w:val="0"/>
        <w:ind w:left="1440"/>
        <w:rPr>
          <w:color w:val="000000"/>
          <w:sz w:val="22"/>
          <w:szCs w:val="22"/>
        </w:rPr>
      </w:pPr>
      <w:r>
        <w:rPr>
          <w:color w:val="000000"/>
          <w:sz w:val="22"/>
          <w:szCs w:val="22"/>
        </w:rPr>
        <w:t>Segmenting message traffic by type to allow JSOC to customize data monitoring and apply specific countermeasures for each traffic type.</w:t>
      </w:r>
    </w:p>
    <w:p w:rsidR="008967E5" w:rsidRDefault="008967E5" w:rsidP="008640FD">
      <w:pPr>
        <w:pStyle w:val="Level1"/>
        <w:tabs>
          <w:tab w:val="left" w:pos="0"/>
          <w:tab w:val="left" w:pos="360"/>
          <w:tab w:val="left" w:pos="1440"/>
          <w:tab w:val="left" w:pos="2161"/>
          <w:tab w:val="left" w:pos="2882"/>
          <w:tab w:val="left" w:pos="3603"/>
          <w:tab w:val="left" w:pos="4324"/>
          <w:tab w:val="left" w:pos="5045"/>
          <w:tab w:val="left" w:pos="5766"/>
          <w:tab w:val="left" w:pos="6487"/>
          <w:tab w:val="left" w:pos="7208"/>
          <w:tab w:val="left" w:pos="7929"/>
          <w:tab w:val="left" w:pos="8650"/>
        </w:tabs>
        <w:ind w:right="720" w:firstLine="0"/>
        <w:rPr>
          <w:iCs/>
          <w:sz w:val="22"/>
          <w:szCs w:val="22"/>
        </w:rPr>
      </w:pPr>
    </w:p>
    <w:p w:rsidR="008967E5" w:rsidRDefault="008967E5" w:rsidP="008640FD">
      <w:pPr>
        <w:autoSpaceDE w:val="0"/>
        <w:autoSpaceDN w:val="0"/>
        <w:adjustRightInd w:val="0"/>
        <w:ind w:left="720"/>
        <w:rPr>
          <w:sz w:val="22"/>
          <w:szCs w:val="22"/>
        </w:rPr>
      </w:pPr>
      <w:r w:rsidRPr="00722829">
        <w:rPr>
          <w:iCs/>
          <w:sz w:val="22"/>
          <w:szCs w:val="22"/>
        </w:rPr>
        <w:t xml:space="preserve">In addition to securing the Department’s networks, CSP will support the JSOC by establishing </w:t>
      </w:r>
      <w:r w:rsidRPr="00722829">
        <w:rPr>
          <w:sz w:val="22"/>
          <w:szCs w:val="22"/>
        </w:rPr>
        <w:t xml:space="preserve">a secure communications facility to support the exchange of information with USCERT and the Intelligence Community to enhance DOJ’s ability to identify and respond to incidents caused by evolving cyber </w:t>
      </w:r>
      <w:r>
        <w:rPr>
          <w:sz w:val="22"/>
          <w:szCs w:val="22"/>
        </w:rPr>
        <w:t>threats. The secure communication facility</w:t>
      </w:r>
      <w:r w:rsidRPr="00722829">
        <w:rPr>
          <w:sz w:val="22"/>
          <w:szCs w:val="22"/>
        </w:rPr>
        <w:t xml:space="preserve"> will allow JSOC to leverage the advance collection and analysis capabilities of USCERT and the Intelligence Community, </w:t>
      </w:r>
      <w:r>
        <w:rPr>
          <w:sz w:val="22"/>
          <w:szCs w:val="22"/>
        </w:rPr>
        <w:t xml:space="preserve">to </w:t>
      </w:r>
      <w:r w:rsidRPr="00722829">
        <w:rPr>
          <w:sz w:val="22"/>
          <w:szCs w:val="22"/>
        </w:rPr>
        <w:t>use these capabilities to proactively secure the Department’s systems and networks, and to work collaboratively on analys</w:t>
      </w:r>
      <w:r>
        <w:rPr>
          <w:sz w:val="22"/>
          <w:szCs w:val="22"/>
        </w:rPr>
        <w:t>e</w:t>
      </w:r>
      <w:r w:rsidRPr="00722829">
        <w:rPr>
          <w:sz w:val="22"/>
          <w:szCs w:val="22"/>
        </w:rPr>
        <w:t>s and countermeasures for ongoing security incidents.</w:t>
      </w:r>
      <w:r>
        <w:rPr>
          <w:sz w:val="22"/>
          <w:szCs w:val="22"/>
        </w:rPr>
        <w:t xml:space="preserve">  </w:t>
      </w:r>
    </w:p>
    <w:p w:rsidR="008967E5" w:rsidRDefault="008967E5" w:rsidP="008640FD">
      <w:pPr>
        <w:autoSpaceDE w:val="0"/>
        <w:autoSpaceDN w:val="0"/>
        <w:adjustRightInd w:val="0"/>
        <w:ind w:left="720"/>
        <w:rPr>
          <w:sz w:val="22"/>
          <w:szCs w:val="22"/>
        </w:rPr>
      </w:pPr>
    </w:p>
    <w:p w:rsidR="008967E5" w:rsidRPr="00722829" w:rsidRDefault="008967E5" w:rsidP="008640FD">
      <w:pPr>
        <w:autoSpaceDE w:val="0"/>
        <w:autoSpaceDN w:val="0"/>
        <w:adjustRightInd w:val="0"/>
        <w:ind w:left="720"/>
        <w:rPr>
          <w:sz w:val="22"/>
          <w:szCs w:val="22"/>
        </w:rPr>
      </w:pPr>
      <w:r w:rsidRPr="00722829">
        <w:rPr>
          <w:iCs/>
          <w:sz w:val="22"/>
          <w:szCs w:val="22"/>
        </w:rPr>
        <w:t xml:space="preserve">The Department’s ability to achieve its strategic goals depends heavily on its ability to capture, process, manage, analyze, and share information.  </w:t>
      </w:r>
      <w:r w:rsidRPr="00722829">
        <w:rPr>
          <w:sz w:val="22"/>
          <w:szCs w:val="22"/>
        </w:rPr>
        <w:t>To meet mission investigative and information sharing requirements, DOJ’s agents, attorneys, and analysts are increasingly reliant on connectivity to the Internet to enable collaboratio</w:t>
      </w:r>
      <w:r>
        <w:rPr>
          <w:sz w:val="22"/>
          <w:szCs w:val="22"/>
        </w:rPr>
        <w:t xml:space="preserve">n with </w:t>
      </w:r>
      <w:r w:rsidRPr="00722829">
        <w:rPr>
          <w:sz w:val="22"/>
          <w:szCs w:val="22"/>
        </w:rPr>
        <w:t xml:space="preserve">multiple levels of government.  This connectivity level increases the exposure of DOJ systems to disruption from cyber threats and attacks. The </w:t>
      </w:r>
      <w:r>
        <w:rPr>
          <w:sz w:val="22"/>
          <w:szCs w:val="22"/>
        </w:rPr>
        <w:t xml:space="preserve">complementary JSOC and </w:t>
      </w:r>
      <w:r w:rsidRPr="00722829">
        <w:rPr>
          <w:sz w:val="22"/>
          <w:szCs w:val="22"/>
        </w:rPr>
        <w:t xml:space="preserve">CSP </w:t>
      </w:r>
      <w:r>
        <w:rPr>
          <w:sz w:val="22"/>
          <w:szCs w:val="22"/>
        </w:rPr>
        <w:t xml:space="preserve">programs </w:t>
      </w:r>
      <w:r w:rsidRPr="00722829">
        <w:rPr>
          <w:sz w:val="22"/>
          <w:szCs w:val="22"/>
        </w:rPr>
        <w:t>directly support the Department’s Strategic Goals by providing DOJ with an effective security structure to counter current and emerging cyber threats and to ensure that our agents, attorneys, and analysts can continue using the Department’s IT systems and networks to support their missions without significant interruption of service resulting from cyber attacks</w:t>
      </w:r>
      <w:r w:rsidRPr="002567E4">
        <w:t xml:space="preserve">. </w:t>
      </w:r>
    </w:p>
    <w:p w:rsidR="008967E5" w:rsidRDefault="008967E5" w:rsidP="006E6B9A">
      <w:pPr>
        <w:autoSpaceDE w:val="0"/>
        <w:autoSpaceDN w:val="0"/>
        <w:adjustRightInd w:val="0"/>
        <w:rPr>
          <w:b/>
          <w:color w:val="000000"/>
        </w:rPr>
      </w:pPr>
    </w:p>
    <w:p w:rsidR="008967E5" w:rsidRPr="00F51084" w:rsidRDefault="008967E5" w:rsidP="00D22D3C">
      <w:pPr>
        <w:autoSpaceDE w:val="0"/>
        <w:autoSpaceDN w:val="0"/>
        <w:adjustRightInd w:val="0"/>
        <w:ind w:left="720"/>
        <w:rPr>
          <w:b/>
          <w:color w:val="000000"/>
          <w:u w:val="single"/>
        </w:rPr>
      </w:pPr>
      <w:r w:rsidRPr="00F51084">
        <w:rPr>
          <w:b/>
          <w:color w:val="000000"/>
          <w:u w:val="single"/>
        </w:rPr>
        <w:t>JCON-Secret and JCON-Top Secret (JCON-S/TS)</w:t>
      </w:r>
    </w:p>
    <w:p w:rsidR="008967E5" w:rsidRDefault="008967E5" w:rsidP="00A07FA4">
      <w:pPr>
        <w:autoSpaceDE w:val="0"/>
        <w:autoSpaceDN w:val="0"/>
        <w:adjustRightInd w:val="0"/>
        <w:ind w:left="432"/>
        <w:rPr>
          <w:sz w:val="22"/>
          <w:szCs w:val="22"/>
        </w:rPr>
      </w:pPr>
    </w:p>
    <w:p w:rsidR="008967E5" w:rsidRDefault="008967E5" w:rsidP="00D22D3C">
      <w:pPr>
        <w:ind w:left="720"/>
        <w:rPr>
          <w:sz w:val="22"/>
          <w:szCs w:val="22"/>
        </w:rPr>
      </w:pPr>
      <w:r>
        <w:rPr>
          <w:sz w:val="22"/>
          <w:szCs w:val="22"/>
        </w:rPr>
        <w:t xml:space="preserve">The Department did not have a system for secure classified intra/inter-departmental data communications at the time of the September 11, 2001 terrorist attack.  In response to the significant increase in classified mission needs after the September 11, </w:t>
      </w:r>
      <w:r>
        <w:rPr>
          <w:sz w:val="22"/>
          <w:szCs w:val="22"/>
        </w:rPr>
        <w:lastRenderedPageBreak/>
        <w:t xml:space="preserve">2001 terrorist attack, the Department initiated the JCON-S/TS Program to implement a secure communications to provide </w:t>
      </w:r>
      <w:r w:rsidRPr="002567E4">
        <w:rPr>
          <w:color w:val="000000"/>
          <w:sz w:val="22"/>
          <w:szCs w:val="22"/>
        </w:rPr>
        <w:t>seamless Information Technology (IT) infrastructure for electronically sharing, processing, and storing info</w:t>
      </w:r>
      <w:r>
        <w:rPr>
          <w:color w:val="000000"/>
          <w:sz w:val="22"/>
          <w:szCs w:val="22"/>
        </w:rPr>
        <w:t>rmation classified at</w:t>
      </w:r>
      <w:r w:rsidRPr="002567E4">
        <w:rPr>
          <w:color w:val="000000"/>
          <w:sz w:val="22"/>
          <w:szCs w:val="22"/>
        </w:rPr>
        <w:t xml:space="preserve"> the Secret and Top Secret</w:t>
      </w:r>
      <w:r>
        <w:rPr>
          <w:color w:val="000000"/>
          <w:sz w:val="22"/>
          <w:szCs w:val="22"/>
        </w:rPr>
        <w:t>/Sensitive Compartmented Information (TS/SCI) Levels.</w:t>
      </w:r>
    </w:p>
    <w:p w:rsidR="008967E5" w:rsidRDefault="008967E5" w:rsidP="00215EAF">
      <w:pPr>
        <w:autoSpaceDE w:val="0"/>
        <w:autoSpaceDN w:val="0"/>
        <w:adjustRightInd w:val="0"/>
        <w:rPr>
          <w:color w:val="000000"/>
          <w:sz w:val="22"/>
          <w:szCs w:val="22"/>
        </w:rPr>
      </w:pPr>
    </w:p>
    <w:p w:rsidR="008967E5" w:rsidRDefault="008967E5" w:rsidP="00D22D3C">
      <w:pPr>
        <w:ind w:left="720"/>
        <w:rPr>
          <w:color w:val="000000"/>
          <w:sz w:val="22"/>
          <w:szCs w:val="22"/>
        </w:rPr>
      </w:pPr>
      <w:r>
        <w:rPr>
          <w:color w:val="000000"/>
          <w:sz w:val="22"/>
          <w:szCs w:val="22"/>
        </w:rPr>
        <w:t xml:space="preserve">These classified networks are major enablers in allowing investigators, intelligence analysts, and attorneys at DOJ locations across the country and around the world to use and share classified case data.  These networks use existing DOJ wide area networks, while connecting to other agencies via </w:t>
      </w:r>
      <w:r w:rsidRPr="002567E4">
        <w:rPr>
          <w:color w:val="000000"/>
          <w:sz w:val="22"/>
          <w:szCs w:val="22"/>
        </w:rPr>
        <w:t xml:space="preserve">the worldwide backbone router networks </w:t>
      </w:r>
      <w:r>
        <w:rPr>
          <w:color w:val="000000"/>
          <w:sz w:val="22"/>
          <w:szCs w:val="22"/>
        </w:rPr>
        <w:t xml:space="preserve">Secret </w:t>
      </w:r>
      <w:r w:rsidRPr="002567E4">
        <w:rPr>
          <w:color w:val="000000"/>
          <w:sz w:val="22"/>
          <w:szCs w:val="22"/>
        </w:rPr>
        <w:t xml:space="preserve">Internet Protocol Routing Network </w:t>
      </w:r>
      <w:r>
        <w:rPr>
          <w:color w:val="000000"/>
          <w:sz w:val="22"/>
          <w:szCs w:val="22"/>
        </w:rPr>
        <w:t>(SIPRNet )</w:t>
      </w:r>
      <w:r w:rsidRPr="002567E4">
        <w:rPr>
          <w:color w:val="000000"/>
          <w:sz w:val="22"/>
          <w:szCs w:val="22"/>
        </w:rPr>
        <w:t>and Joint Worldwide Intelligence Communication Systems</w:t>
      </w:r>
      <w:r>
        <w:rPr>
          <w:color w:val="000000"/>
          <w:sz w:val="22"/>
          <w:szCs w:val="22"/>
        </w:rPr>
        <w:t xml:space="preserve"> (JWICS)</w:t>
      </w:r>
      <w:r w:rsidRPr="002567E4">
        <w:rPr>
          <w:color w:val="000000"/>
          <w:sz w:val="22"/>
          <w:szCs w:val="22"/>
        </w:rPr>
        <w:t>) operated by the Department of Defense.</w:t>
      </w:r>
      <w:r>
        <w:rPr>
          <w:color w:val="000000"/>
          <w:sz w:val="22"/>
          <w:szCs w:val="22"/>
        </w:rPr>
        <w:t xml:space="preserve">  Currently, JCON-S/TS systems support over 3,000 DOJ component and other federal agency users at over </w:t>
      </w:r>
      <w:r>
        <w:rPr>
          <w:sz w:val="22"/>
          <w:szCs w:val="22"/>
        </w:rPr>
        <w:t xml:space="preserve">400 locations within the United States and associated U.S. Territories from the Virgin Islands to Guam.  </w:t>
      </w:r>
      <w:r>
        <w:rPr>
          <w:color w:val="000000"/>
          <w:sz w:val="22"/>
          <w:szCs w:val="22"/>
        </w:rPr>
        <w:t>Since inception, the JCON-S/TS have been a critical element of the Department’s Continuity of Government and Continuity of Operations plans.  The increasing amount of classified investigations and litigations are causing the work stations, locations, and services to increase year over year.</w:t>
      </w:r>
    </w:p>
    <w:p w:rsidR="008967E5" w:rsidRDefault="008967E5" w:rsidP="00D22D3C">
      <w:pPr>
        <w:ind w:left="720"/>
        <w:rPr>
          <w:color w:val="000000"/>
          <w:sz w:val="22"/>
          <w:szCs w:val="22"/>
        </w:rPr>
      </w:pPr>
    </w:p>
    <w:p w:rsidR="008967E5" w:rsidRDefault="008967E5" w:rsidP="00D22D3C">
      <w:pPr>
        <w:ind w:left="720"/>
        <w:rPr>
          <w:color w:val="000000"/>
          <w:sz w:val="22"/>
          <w:szCs w:val="22"/>
        </w:rPr>
      </w:pPr>
      <w:r>
        <w:rPr>
          <w:color w:val="000000"/>
          <w:sz w:val="22"/>
          <w:szCs w:val="22"/>
        </w:rPr>
        <w:t>JIST funds the JCON-S/TS software and hardware at user and central data center sites and the JCON-S/TS Program Management Office responsible for planning, acquiring, and implementing of this software and hardware</w:t>
      </w:r>
      <w:r w:rsidRPr="002567E4">
        <w:rPr>
          <w:color w:val="000000"/>
          <w:sz w:val="22"/>
          <w:szCs w:val="22"/>
        </w:rPr>
        <w:t xml:space="preserve">.  </w:t>
      </w:r>
    </w:p>
    <w:p w:rsidR="008967E5" w:rsidRDefault="008967E5" w:rsidP="006E6B9A">
      <w:pPr>
        <w:autoSpaceDE w:val="0"/>
        <w:autoSpaceDN w:val="0"/>
        <w:adjustRightInd w:val="0"/>
        <w:rPr>
          <w:b/>
          <w:color w:val="000000"/>
        </w:rPr>
      </w:pPr>
    </w:p>
    <w:p w:rsidR="008967E5" w:rsidRPr="00F51084" w:rsidRDefault="008967E5" w:rsidP="00D22D3C">
      <w:pPr>
        <w:autoSpaceDE w:val="0"/>
        <w:autoSpaceDN w:val="0"/>
        <w:adjustRightInd w:val="0"/>
        <w:ind w:left="720"/>
        <w:rPr>
          <w:b/>
          <w:color w:val="000000"/>
          <w:u w:val="single"/>
        </w:rPr>
      </w:pPr>
      <w:r w:rsidRPr="00F51084">
        <w:rPr>
          <w:b/>
          <w:color w:val="000000"/>
          <w:u w:val="single"/>
        </w:rPr>
        <w:t>Public Key Infrastructure (PKI)</w:t>
      </w:r>
    </w:p>
    <w:p w:rsidR="008967E5" w:rsidRPr="002567E4" w:rsidRDefault="008967E5" w:rsidP="00A07FA4">
      <w:pPr>
        <w:autoSpaceDE w:val="0"/>
        <w:autoSpaceDN w:val="0"/>
        <w:adjustRightInd w:val="0"/>
        <w:ind w:left="432"/>
        <w:rPr>
          <w:b/>
          <w:color w:val="000000"/>
          <w:sz w:val="22"/>
          <w:szCs w:val="22"/>
        </w:rPr>
      </w:pPr>
    </w:p>
    <w:p w:rsidR="008967E5" w:rsidRPr="002567E4" w:rsidRDefault="008967E5" w:rsidP="00D22D3C">
      <w:pPr>
        <w:autoSpaceDE w:val="0"/>
        <w:autoSpaceDN w:val="0"/>
        <w:adjustRightInd w:val="0"/>
        <w:ind w:left="720"/>
        <w:rPr>
          <w:color w:val="000000"/>
          <w:sz w:val="22"/>
          <w:szCs w:val="22"/>
        </w:rPr>
      </w:pPr>
      <w:r w:rsidRPr="002567E4">
        <w:rPr>
          <w:color w:val="000000"/>
          <w:sz w:val="22"/>
          <w:szCs w:val="22"/>
        </w:rPr>
        <w:t xml:space="preserve">The PKI </w:t>
      </w:r>
      <w:r>
        <w:rPr>
          <w:color w:val="000000"/>
          <w:sz w:val="22"/>
          <w:szCs w:val="22"/>
        </w:rPr>
        <w:t>p</w:t>
      </w:r>
      <w:r w:rsidRPr="002567E4">
        <w:rPr>
          <w:color w:val="000000"/>
          <w:sz w:val="22"/>
          <w:szCs w:val="22"/>
        </w:rPr>
        <w:t>ro</w:t>
      </w:r>
      <w:r>
        <w:rPr>
          <w:color w:val="000000"/>
          <w:sz w:val="22"/>
          <w:szCs w:val="22"/>
        </w:rPr>
        <w:t>gram is DOJ’s Identity Management Services Program which consolidates</w:t>
      </w:r>
      <w:r w:rsidRPr="002567E4">
        <w:rPr>
          <w:color w:val="000000"/>
          <w:sz w:val="22"/>
          <w:szCs w:val="22"/>
        </w:rPr>
        <w:t xml:space="preserve"> several </w:t>
      </w:r>
      <w:r>
        <w:rPr>
          <w:color w:val="000000"/>
          <w:sz w:val="22"/>
          <w:szCs w:val="22"/>
        </w:rPr>
        <w:t>related cyber</w:t>
      </w:r>
      <w:r w:rsidRPr="002567E4">
        <w:rPr>
          <w:color w:val="000000"/>
          <w:sz w:val="22"/>
          <w:szCs w:val="22"/>
        </w:rPr>
        <w:t xml:space="preserve"> security initiatives</w:t>
      </w:r>
      <w:r>
        <w:rPr>
          <w:color w:val="000000"/>
          <w:sz w:val="22"/>
          <w:szCs w:val="22"/>
        </w:rPr>
        <w:t xml:space="preserve"> by developing</w:t>
      </w:r>
      <w:r w:rsidRPr="002567E4">
        <w:rPr>
          <w:color w:val="000000"/>
          <w:sz w:val="22"/>
          <w:szCs w:val="22"/>
        </w:rPr>
        <w:t xml:space="preserve"> enterprise architecture policies, </w:t>
      </w:r>
      <w:r>
        <w:rPr>
          <w:color w:val="000000"/>
          <w:sz w:val="22"/>
          <w:szCs w:val="22"/>
        </w:rPr>
        <w:t xml:space="preserve">plans, </w:t>
      </w:r>
      <w:r w:rsidRPr="002567E4">
        <w:rPr>
          <w:color w:val="000000"/>
          <w:sz w:val="22"/>
          <w:szCs w:val="22"/>
        </w:rPr>
        <w:t>best practices</w:t>
      </w:r>
      <w:r>
        <w:rPr>
          <w:color w:val="000000"/>
          <w:sz w:val="22"/>
          <w:szCs w:val="22"/>
        </w:rPr>
        <w:t>,</w:t>
      </w:r>
      <w:r w:rsidRPr="002567E4">
        <w:rPr>
          <w:color w:val="000000"/>
          <w:sz w:val="22"/>
          <w:szCs w:val="22"/>
        </w:rPr>
        <w:t xml:space="preserve"> and st</w:t>
      </w:r>
      <w:r>
        <w:rPr>
          <w:color w:val="000000"/>
          <w:sz w:val="22"/>
          <w:szCs w:val="22"/>
        </w:rPr>
        <w:t xml:space="preserve">andards for HSPD-12 and the Federal Identity, Credential, and Access Management (ICAM) segment architecture investments </w:t>
      </w:r>
      <w:r w:rsidRPr="002567E4">
        <w:rPr>
          <w:color w:val="000000"/>
          <w:sz w:val="22"/>
          <w:szCs w:val="22"/>
        </w:rPr>
        <w:t xml:space="preserve">and </w:t>
      </w:r>
      <w:r>
        <w:rPr>
          <w:color w:val="000000"/>
          <w:sz w:val="22"/>
          <w:szCs w:val="22"/>
        </w:rPr>
        <w:t xml:space="preserve">related </w:t>
      </w:r>
      <w:r w:rsidRPr="002567E4">
        <w:rPr>
          <w:color w:val="000000"/>
          <w:sz w:val="22"/>
          <w:szCs w:val="22"/>
        </w:rPr>
        <w:t>IT improvements across DOJ</w:t>
      </w:r>
      <w:r>
        <w:rPr>
          <w:color w:val="000000"/>
          <w:sz w:val="22"/>
          <w:szCs w:val="22"/>
        </w:rPr>
        <w:t>.  This program</w:t>
      </w:r>
      <w:r w:rsidRPr="002567E4">
        <w:rPr>
          <w:color w:val="000000"/>
          <w:sz w:val="22"/>
          <w:szCs w:val="22"/>
        </w:rPr>
        <w:t xml:space="preserve"> </w:t>
      </w:r>
      <w:r>
        <w:rPr>
          <w:color w:val="000000"/>
          <w:sz w:val="22"/>
          <w:szCs w:val="22"/>
        </w:rPr>
        <w:t>provides</w:t>
      </w:r>
      <w:r w:rsidRPr="002567E4">
        <w:rPr>
          <w:color w:val="000000"/>
          <w:sz w:val="22"/>
          <w:szCs w:val="22"/>
        </w:rPr>
        <w:t xml:space="preserve"> </w:t>
      </w:r>
      <w:r>
        <w:rPr>
          <w:color w:val="000000"/>
          <w:sz w:val="22"/>
          <w:szCs w:val="22"/>
        </w:rPr>
        <w:t xml:space="preserve">the </w:t>
      </w:r>
      <w:r w:rsidRPr="002567E4">
        <w:rPr>
          <w:color w:val="000000"/>
          <w:sz w:val="22"/>
          <w:szCs w:val="22"/>
        </w:rPr>
        <w:t>planning, training, operational support</w:t>
      </w:r>
      <w:r>
        <w:rPr>
          <w:color w:val="000000"/>
          <w:sz w:val="22"/>
          <w:szCs w:val="22"/>
        </w:rPr>
        <w:t>,</w:t>
      </w:r>
      <w:r w:rsidRPr="002567E4">
        <w:rPr>
          <w:color w:val="000000"/>
          <w:sz w:val="22"/>
          <w:szCs w:val="22"/>
        </w:rPr>
        <w:t xml:space="preserve"> and oversight of </w:t>
      </w:r>
      <w:r>
        <w:rPr>
          <w:color w:val="000000"/>
          <w:sz w:val="22"/>
          <w:szCs w:val="22"/>
        </w:rPr>
        <w:t xml:space="preserve">the HSPD-12 </w:t>
      </w:r>
      <w:r w:rsidRPr="002567E4">
        <w:rPr>
          <w:color w:val="000000"/>
          <w:sz w:val="22"/>
          <w:szCs w:val="22"/>
        </w:rPr>
        <w:t xml:space="preserve">Personal Identification Verification card (PIVCard) deployment process </w:t>
      </w:r>
      <w:r>
        <w:rPr>
          <w:color w:val="000000"/>
          <w:sz w:val="22"/>
          <w:szCs w:val="22"/>
        </w:rPr>
        <w:t xml:space="preserve">and operates the ongoing centralized system </w:t>
      </w:r>
      <w:r w:rsidRPr="002567E4">
        <w:rPr>
          <w:color w:val="000000"/>
          <w:sz w:val="22"/>
          <w:szCs w:val="22"/>
        </w:rPr>
        <w:t xml:space="preserve">for DOJ component employees and contractors.  </w:t>
      </w:r>
    </w:p>
    <w:p w:rsidR="008967E5" w:rsidRPr="002567E4" w:rsidRDefault="008967E5" w:rsidP="00D22D3C">
      <w:pPr>
        <w:autoSpaceDE w:val="0"/>
        <w:autoSpaceDN w:val="0"/>
        <w:adjustRightInd w:val="0"/>
        <w:ind w:left="720"/>
        <w:rPr>
          <w:color w:val="000000"/>
          <w:sz w:val="22"/>
          <w:szCs w:val="22"/>
        </w:rPr>
      </w:pPr>
    </w:p>
    <w:p w:rsidR="008967E5" w:rsidRDefault="008967E5" w:rsidP="00D22D3C">
      <w:pPr>
        <w:autoSpaceDE w:val="0"/>
        <w:autoSpaceDN w:val="0"/>
        <w:adjustRightInd w:val="0"/>
        <w:ind w:left="720"/>
        <w:rPr>
          <w:color w:val="000000"/>
          <w:sz w:val="22"/>
          <w:szCs w:val="22"/>
        </w:rPr>
      </w:pPr>
      <w:r w:rsidRPr="002567E4">
        <w:rPr>
          <w:color w:val="000000"/>
          <w:sz w:val="22"/>
          <w:szCs w:val="22"/>
        </w:rPr>
        <w:t xml:space="preserve">The PIVCard is the centerpiece of the HSPD-12 </w:t>
      </w:r>
      <w:r>
        <w:rPr>
          <w:color w:val="000000"/>
          <w:sz w:val="22"/>
          <w:szCs w:val="22"/>
        </w:rPr>
        <w:t xml:space="preserve">PIVCard solution </w:t>
      </w:r>
      <w:r w:rsidRPr="002567E4">
        <w:rPr>
          <w:color w:val="000000"/>
          <w:sz w:val="22"/>
          <w:szCs w:val="22"/>
        </w:rPr>
        <w:t xml:space="preserve">being implemented government-wide.  Standards set by </w:t>
      </w:r>
      <w:r>
        <w:rPr>
          <w:color w:val="000000"/>
          <w:sz w:val="22"/>
          <w:szCs w:val="22"/>
        </w:rPr>
        <w:t>the National Institute of Standards and Technology (</w:t>
      </w:r>
      <w:r w:rsidRPr="002567E4">
        <w:rPr>
          <w:color w:val="000000"/>
          <w:sz w:val="22"/>
          <w:szCs w:val="22"/>
        </w:rPr>
        <w:t>NIST</w:t>
      </w:r>
      <w:r>
        <w:rPr>
          <w:color w:val="000000"/>
          <w:sz w:val="22"/>
          <w:szCs w:val="22"/>
        </w:rPr>
        <w:t>)</w:t>
      </w:r>
      <w:r w:rsidRPr="002567E4">
        <w:rPr>
          <w:color w:val="000000"/>
          <w:sz w:val="22"/>
          <w:szCs w:val="22"/>
        </w:rPr>
        <w:t xml:space="preserve"> are the basis for satisfying identification and security requirements and fo</w:t>
      </w:r>
      <w:r>
        <w:rPr>
          <w:color w:val="000000"/>
          <w:sz w:val="22"/>
          <w:szCs w:val="22"/>
        </w:rPr>
        <w:t>r the use of a common PIVCard to achieve</w:t>
      </w:r>
      <w:r w:rsidRPr="002567E4">
        <w:rPr>
          <w:color w:val="000000"/>
          <w:sz w:val="22"/>
          <w:szCs w:val="22"/>
        </w:rPr>
        <w:t xml:space="preserve"> both logical and physical access to Federal-controlled facilities and information systems.  The PIVCard contains logical elements including PKI certificates, digital photos, and fingerprint biometrics.</w:t>
      </w:r>
      <w:r>
        <w:rPr>
          <w:color w:val="000000"/>
          <w:sz w:val="22"/>
          <w:szCs w:val="22"/>
        </w:rPr>
        <w:t xml:space="preserve">  </w:t>
      </w:r>
      <w:r w:rsidRPr="002567E4">
        <w:rPr>
          <w:color w:val="000000"/>
          <w:sz w:val="22"/>
          <w:szCs w:val="22"/>
        </w:rPr>
        <w:t xml:space="preserve">The </w:t>
      </w:r>
      <w:r w:rsidRPr="002567E4">
        <w:rPr>
          <w:color w:val="000000"/>
          <w:sz w:val="22"/>
          <w:szCs w:val="22"/>
        </w:rPr>
        <w:lastRenderedPageBreak/>
        <w:t>PIVCard and related processes will greatly enhance security, increase efficiency, reduce identity fraud</w:t>
      </w:r>
      <w:r>
        <w:rPr>
          <w:color w:val="000000"/>
          <w:sz w:val="22"/>
          <w:szCs w:val="22"/>
        </w:rPr>
        <w:t>,</w:t>
      </w:r>
      <w:r w:rsidRPr="002567E4">
        <w:rPr>
          <w:color w:val="000000"/>
          <w:sz w:val="22"/>
          <w:szCs w:val="22"/>
        </w:rPr>
        <w:t xml:space="preserve"> and protect personal privacy</w:t>
      </w:r>
      <w:r>
        <w:rPr>
          <w:color w:val="000000"/>
          <w:sz w:val="22"/>
          <w:szCs w:val="22"/>
        </w:rPr>
        <w:t>.</w:t>
      </w:r>
    </w:p>
    <w:p w:rsidR="008967E5" w:rsidRDefault="008967E5" w:rsidP="00D22D3C">
      <w:pPr>
        <w:autoSpaceDE w:val="0"/>
        <w:autoSpaceDN w:val="0"/>
        <w:adjustRightInd w:val="0"/>
        <w:ind w:left="720"/>
        <w:rPr>
          <w:color w:val="000000"/>
          <w:sz w:val="22"/>
          <w:szCs w:val="22"/>
        </w:rPr>
      </w:pPr>
    </w:p>
    <w:p w:rsidR="008967E5" w:rsidRDefault="008967E5" w:rsidP="00D22D3C">
      <w:pPr>
        <w:autoSpaceDE w:val="0"/>
        <w:autoSpaceDN w:val="0"/>
        <w:adjustRightInd w:val="0"/>
        <w:ind w:left="720"/>
        <w:rPr>
          <w:color w:val="000000"/>
          <w:sz w:val="22"/>
          <w:szCs w:val="22"/>
        </w:rPr>
      </w:pPr>
      <w:r w:rsidRPr="002567E4">
        <w:rPr>
          <w:color w:val="000000"/>
          <w:sz w:val="22"/>
          <w:szCs w:val="22"/>
        </w:rPr>
        <w:t>The program serves as DOJ’s departmental issuer of PIVCards which is a mandatory element of the Department’s compliance with government standards</w:t>
      </w:r>
      <w:r>
        <w:rPr>
          <w:color w:val="000000"/>
          <w:sz w:val="22"/>
          <w:szCs w:val="22"/>
        </w:rPr>
        <w:t>,</w:t>
      </w:r>
      <w:r w:rsidRPr="002567E4">
        <w:rPr>
          <w:color w:val="000000"/>
          <w:sz w:val="22"/>
          <w:szCs w:val="22"/>
        </w:rPr>
        <w:t xml:space="preserve"> and will allow cross-agency secure communications.  </w:t>
      </w:r>
      <w:r>
        <w:rPr>
          <w:color w:val="000000"/>
          <w:sz w:val="22"/>
          <w:szCs w:val="22"/>
        </w:rPr>
        <w:t>Additionally, the program serves as the primary governing body for DOJ compliance and implementation of ICAM.  This includes the development and implementation of enterprise services required to use PIVCards, and coordination and execution of agency and sub-agency ICAM implementation plans. Compliance with the Federal ICAM will ensure value is derived from the HSPD-12 PIVCard investment through increased security of agency facilities and information assets.</w:t>
      </w:r>
    </w:p>
    <w:p w:rsidR="008967E5" w:rsidRPr="002567E4" w:rsidRDefault="008967E5" w:rsidP="00D22D3C">
      <w:pPr>
        <w:autoSpaceDE w:val="0"/>
        <w:autoSpaceDN w:val="0"/>
        <w:adjustRightInd w:val="0"/>
        <w:ind w:left="720"/>
        <w:rPr>
          <w:color w:val="000000"/>
          <w:sz w:val="22"/>
          <w:szCs w:val="22"/>
        </w:rPr>
      </w:pPr>
    </w:p>
    <w:p w:rsidR="008967E5" w:rsidRPr="002567E4" w:rsidRDefault="008967E5" w:rsidP="00D22D3C">
      <w:pPr>
        <w:autoSpaceDE w:val="0"/>
        <w:autoSpaceDN w:val="0"/>
        <w:adjustRightInd w:val="0"/>
        <w:ind w:left="720"/>
        <w:rPr>
          <w:color w:val="000000"/>
          <w:sz w:val="22"/>
          <w:szCs w:val="22"/>
        </w:rPr>
      </w:pPr>
      <w:r w:rsidRPr="002567E4">
        <w:rPr>
          <w:color w:val="000000"/>
          <w:sz w:val="22"/>
          <w:szCs w:val="22"/>
        </w:rPr>
        <w:t>The key values of the overall program are</w:t>
      </w:r>
      <w:r>
        <w:rPr>
          <w:color w:val="000000"/>
          <w:sz w:val="22"/>
          <w:szCs w:val="22"/>
        </w:rPr>
        <w:t xml:space="preserve"> the following</w:t>
      </w:r>
      <w:r w:rsidRPr="002567E4">
        <w:rPr>
          <w:color w:val="000000"/>
          <w:sz w:val="22"/>
          <w:szCs w:val="22"/>
        </w:rPr>
        <w:t>:</w:t>
      </w:r>
    </w:p>
    <w:p w:rsidR="008967E5" w:rsidRPr="002567E4" w:rsidRDefault="008967E5" w:rsidP="00D22D3C">
      <w:pPr>
        <w:autoSpaceDE w:val="0"/>
        <w:autoSpaceDN w:val="0"/>
        <w:adjustRightInd w:val="0"/>
        <w:ind w:left="720"/>
        <w:rPr>
          <w:color w:val="000000"/>
          <w:sz w:val="22"/>
          <w:szCs w:val="22"/>
        </w:rPr>
      </w:pPr>
    </w:p>
    <w:p w:rsidR="008967E5" w:rsidRDefault="008967E5" w:rsidP="00A74152">
      <w:pPr>
        <w:numPr>
          <w:ilvl w:val="0"/>
          <w:numId w:val="16"/>
        </w:numPr>
        <w:autoSpaceDE w:val="0"/>
        <w:autoSpaceDN w:val="0"/>
        <w:adjustRightInd w:val="0"/>
        <w:ind w:left="1440"/>
        <w:rPr>
          <w:color w:val="000000"/>
          <w:sz w:val="22"/>
          <w:szCs w:val="22"/>
        </w:rPr>
      </w:pPr>
      <w:r>
        <w:rPr>
          <w:color w:val="000000"/>
          <w:sz w:val="22"/>
          <w:szCs w:val="22"/>
        </w:rPr>
        <w:t xml:space="preserve">Managing DOJ-wide federal ICAM compliance, participation, and represent DOJ in government-wide security and access programs. </w:t>
      </w:r>
    </w:p>
    <w:p w:rsidR="008967E5" w:rsidRPr="002567E4" w:rsidRDefault="008967E5" w:rsidP="00A74152">
      <w:pPr>
        <w:numPr>
          <w:ilvl w:val="0"/>
          <w:numId w:val="16"/>
        </w:numPr>
        <w:autoSpaceDE w:val="0"/>
        <w:autoSpaceDN w:val="0"/>
        <w:adjustRightInd w:val="0"/>
        <w:ind w:left="1440"/>
        <w:rPr>
          <w:color w:val="000000"/>
          <w:sz w:val="22"/>
          <w:szCs w:val="22"/>
        </w:rPr>
      </w:pPr>
      <w:r>
        <w:rPr>
          <w:color w:val="000000"/>
          <w:sz w:val="22"/>
          <w:szCs w:val="22"/>
        </w:rPr>
        <w:t xml:space="preserve">Establishing </w:t>
      </w:r>
      <w:r w:rsidRPr="002567E4">
        <w:rPr>
          <w:color w:val="000000"/>
          <w:sz w:val="22"/>
          <w:szCs w:val="22"/>
        </w:rPr>
        <w:t>a single, authoritative authentication mechanism for DOJ which will expedite (single sign-on) and expand secure access to critical information</w:t>
      </w:r>
      <w:r>
        <w:rPr>
          <w:color w:val="000000"/>
          <w:sz w:val="22"/>
          <w:szCs w:val="22"/>
        </w:rPr>
        <w:t>,</w:t>
      </w:r>
    </w:p>
    <w:p w:rsidR="008967E5" w:rsidRPr="002567E4" w:rsidRDefault="008967E5" w:rsidP="00A74152">
      <w:pPr>
        <w:numPr>
          <w:ilvl w:val="0"/>
          <w:numId w:val="16"/>
        </w:numPr>
        <w:autoSpaceDE w:val="0"/>
        <w:autoSpaceDN w:val="0"/>
        <w:adjustRightInd w:val="0"/>
        <w:ind w:left="1440"/>
        <w:rPr>
          <w:color w:val="000000"/>
          <w:sz w:val="22"/>
          <w:szCs w:val="22"/>
        </w:rPr>
      </w:pPr>
      <w:r w:rsidRPr="002567E4">
        <w:rPr>
          <w:color w:val="000000"/>
          <w:sz w:val="22"/>
          <w:szCs w:val="22"/>
        </w:rPr>
        <w:t>Enabl</w:t>
      </w:r>
      <w:r>
        <w:rPr>
          <w:color w:val="000000"/>
          <w:sz w:val="22"/>
          <w:szCs w:val="22"/>
        </w:rPr>
        <w:t>ing</w:t>
      </w:r>
      <w:r w:rsidRPr="002567E4">
        <w:rPr>
          <w:color w:val="000000"/>
          <w:sz w:val="22"/>
          <w:szCs w:val="22"/>
        </w:rPr>
        <w:t xml:space="preserve"> identity authentication prior to access</w:t>
      </w:r>
      <w:r>
        <w:rPr>
          <w:color w:val="000000"/>
          <w:sz w:val="22"/>
          <w:szCs w:val="22"/>
        </w:rPr>
        <w:t xml:space="preserve">ing </w:t>
      </w:r>
      <w:r w:rsidRPr="002567E4">
        <w:rPr>
          <w:color w:val="000000"/>
          <w:sz w:val="22"/>
          <w:szCs w:val="22"/>
        </w:rPr>
        <w:t>facilities and information systems</w:t>
      </w:r>
      <w:r>
        <w:rPr>
          <w:color w:val="000000"/>
          <w:sz w:val="22"/>
          <w:szCs w:val="22"/>
        </w:rPr>
        <w:t>,</w:t>
      </w:r>
    </w:p>
    <w:p w:rsidR="008967E5" w:rsidRPr="002567E4" w:rsidRDefault="008967E5" w:rsidP="00A74152">
      <w:pPr>
        <w:numPr>
          <w:ilvl w:val="0"/>
          <w:numId w:val="16"/>
        </w:numPr>
        <w:autoSpaceDE w:val="0"/>
        <w:autoSpaceDN w:val="0"/>
        <w:adjustRightInd w:val="0"/>
        <w:ind w:left="1440"/>
        <w:rPr>
          <w:color w:val="000000"/>
          <w:sz w:val="22"/>
          <w:szCs w:val="22"/>
        </w:rPr>
      </w:pPr>
      <w:r w:rsidRPr="002567E4">
        <w:rPr>
          <w:color w:val="000000"/>
          <w:sz w:val="22"/>
          <w:szCs w:val="22"/>
        </w:rPr>
        <w:t>Creat</w:t>
      </w:r>
      <w:r>
        <w:rPr>
          <w:color w:val="000000"/>
          <w:sz w:val="22"/>
          <w:szCs w:val="22"/>
        </w:rPr>
        <w:t>ing</w:t>
      </w:r>
      <w:r w:rsidRPr="002567E4">
        <w:rPr>
          <w:color w:val="000000"/>
          <w:sz w:val="22"/>
          <w:szCs w:val="22"/>
        </w:rPr>
        <w:t xml:space="preserve"> related infrastructure services at DOJ to provide for digital signatures and end-to</w:t>
      </w:r>
      <w:r>
        <w:rPr>
          <w:color w:val="000000"/>
          <w:sz w:val="22"/>
          <w:szCs w:val="22"/>
        </w:rPr>
        <w:t>-</w:t>
      </w:r>
      <w:r w:rsidRPr="002567E4">
        <w:rPr>
          <w:color w:val="000000"/>
          <w:sz w:val="22"/>
          <w:szCs w:val="22"/>
        </w:rPr>
        <w:t>end encryption of sensitive law enforcement an</w:t>
      </w:r>
      <w:r>
        <w:rPr>
          <w:color w:val="000000"/>
          <w:sz w:val="22"/>
          <w:szCs w:val="22"/>
        </w:rPr>
        <w:t>d terrorist related information, and</w:t>
      </w:r>
    </w:p>
    <w:p w:rsidR="008967E5" w:rsidRPr="001E0C3F" w:rsidRDefault="008967E5" w:rsidP="00A74152">
      <w:pPr>
        <w:numPr>
          <w:ilvl w:val="0"/>
          <w:numId w:val="16"/>
        </w:numPr>
        <w:autoSpaceDE w:val="0"/>
        <w:autoSpaceDN w:val="0"/>
        <w:adjustRightInd w:val="0"/>
        <w:ind w:left="1440"/>
        <w:rPr>
          <w:color w:val="000000"/>
          <w:sz w:val="22"/>
          <w:szCs w:val="22"/>
        </w:rPr>
      </w:pPr>
      <w:r w:rsidRPr="002567E4">
        <w:rPr>
          <w:color w:val="000000"/>
          <w:sz w:val="22"/>
          <w:szCs w:val="22"/>
        </w:rPr>
        <w:t>Support</w:t>
      </w:r>
      <w:r>
        <w:rPr>
          <w:color w:val="000000"/>
          <w:sz w:val="22"/>
          <w:szCs w:val="22"/>
        </w:rPr>
        <w:t xml:space="preserve">ing information access </w:t>
      </w:r>
      <w:r w:rsidRPr="002567E4">
        <w:rPr>
          <w:color w:val="000000"/>
          <w:sz w:val="22"/>
          <w:szCs w:val="22"/>
        </w:rPr>
        <w:t>and sharing by upgrading the IT infrastructure (Enterprise Directory, enterprise messaging, stovepipe component infrastructures</w:t>
      </w:r>
      <w:r>
        <w:rPr>
          <w:color w:val="000000"/>
          <w:sz w:val="22"/>
          <w:szCs w:val="22"/>
        </w:rPr>
        <w:t>,</w:t>
      </w:r>
      <w:r w:rsidRPr="002567E4">
        <w:rPr>
          <w:color w:val="000000"/>
          <w:sz w:val="22"/>
          <w:szCs w:val="22"/>
        </w:rPr>
        <w:t xml:space="preserve"> and enterprise networking) to support secure communications</w:t>
      </w:r>
      <w:r>
        <w:rPr>
          <w:color w:val="000000"/>
          <w:sz w:val="22"/>
          <w:szCs w:val="22"/>
        </w:rPr>
        <w:t>,</w:t>
      </w:r>
      <w:r w:rsidRPr="002567E4">
        <w:rPr>
          <w:color w:val="000000"/>
          <w:sz w:val="22"/>
          <w:szCs w:val="22"/>
        </w:rPr>
        <w:t xml:space="preserve"> especiall</w:t>
      </w:r>
      <w:r>
        <w:rPr>
          <w:color w:val="000000"/>
          <w:sz w:val="22"/>
          <w:szCs w:val="22"/>
        </w:rPr>
        <w:t>y between persons from different</w:t>
      </w:r>
      <w:r w:rsidRPr="002567E4">
        <w:rPr>
          <w:color w:val="000000"/>
          <w:sz w:val="22"/>
          <w:szCs w:val="22"/>
        </w:rPr>
        <w:t xml:space="preserve"> organizations.</w:t>
      </w:r>
    </w:p>
    <w:p w:rsidR="008967E5" w:rsidRDefault="008967E5" w:rsidP="006E6B9A">
      <w:pPr>
        <w:autoSpaceDE w:val="0"/>
        <w:autoSpaceDN w:val="0"/>
        <w:adjustRightInd w:val="0"/>
        <w:rPr>
          <w:b/>
          <w:color w:val="000000"/>
          <w:sz w:val="22"/>
          <w:szCs w:val="22"/>
        </w:rPr>
      </w:pPr>
    </w:p>
    <w:p w:rsidR="008967E5" w:rsidRDefault="008967E5" w:rsidP="006E6B9A">
      <w:pPr>
        <w:autoSpaceDE w:val="0"/>
        <w:autoSpaceDN w:val="0"/>
        <w:adjustRightInd w:val="0"/>
        <w:rPr>
          <w:b/>
          <w:color w:val="000000"/>
          <w:sz w:val="22"/>
          <w:szCs w:val="22"/>
        </w:rPr>
      </w:pPr>
    </w:p>
    <w:p w:rsidR="008967E5" w:rsidRDefault="008967E5" w:rsidP="006E6B9A">
      <w:pPr>
        <w:autoSpaceDE w:val="0"/>
        <w:autoSpaceDN w:val="0"/>
        <w:adjustRightInd w:val="0"/>
        <w:rPr>
          <w:b/>
          <w:color w:val="000000"/>
          <w:sz w:val="22"/>
          <w:szCs w:val="22"/>
        </w:rPr>
      </w:pPr>
    </w:p>
    <w:p w:rsidR="008967E5" w:rsidRDefault="008967E5" w:rsidP="006E6B9A">
      <w:pPr>
        <w:autoSpaceDE w:val="0"/>
        <w:autoSpaceDN w:val="0"/>
        <w:adjustRightInd w:val="0"/>
        <w:rPr>
          <w:b/>
          <w:color w:val="000000"/>
          <w:sz w:val="22"/>
          <w:szCs w:val="22"/>
        </w:rPr>
      </w:pPr>
    </w:p>
    <w:p w:rsidR="008967E5" w:rsidRDefault="008967E5" w:rsidP="006E6B9A">
      <w:pPr>
        <w:autoSpaceDE w:val="0"/>
        <w:autoSpaceDN w:val="0"/>
        <w:adjustRightInd w:val="0"/>
        <w:rPr>
          <w:b/>
          <w:color w:val="000000"/>
          <w:sz w:val="22"/>
          <w:szCs w:val="22"/>
        </w:rPr>
      </w:pPr>
    </w:p>
    <w:p w:rsidR="008967E5" w:rsidRPr="00D22D3C" w:rsidRDefault="008967E5" w:rsidP="006E6B9A">
      <w:pPr>
        <w:autoSpaceDE w:val="0"/>
        <w:autoSpaceDN w:val="0"/>
        <w:adjustRightInd w:val="0"/>
        <w:rPr>
          <w:b/>
          <w:color w:val="000000"/>
          <w:sz w:val="22"/>
          <w:szCs w:val="22"/>
        </w:rPr>
      </w:pPr>
    </w:p>
    <w:p w:rsidR="008967E5" w:rsidRDefault="008967E5" w:rsidP="003D19AB">
      <w:pPr>
        <w:autoSpaceDE w:val="0"/>
        <w:autoSpaceDN w:val="0"/>
        <w:adjustRightInd w:val="0"/>
        <w:rPr>
          <w:b/>
          <w:color w:val="000000"/>
        </w:rPr>
      </w:pPr>
      <w:r>
        <w:rPr>
          <w:b/>
          <w:color w:val="000000"/>
        </w:rPr>
        <w:t xml:space="preserve">      c.  </w:t>
      </w:r>
      <w:r w:rsidRPr="00601FF7">
        <w:rPr>
          <w:b/>
          <w:color w:val="000000"/>
        </w:rPr>
        <w:t>Critical Enabling IT Infrastructure</w:t>
      </w:r>
    </w:p>
    <w:p w:rsidR="008967E5" w:rsidRDefault="008967E5" w:rsidP="00D22D3C">
      <w:pPr>
        <w:autoSpaceDE w:val="0"/>
        <w:autoSpaceDN w:val="0"/>
        <w:adjustRightInd w:val="0"/>
        <w:ind w:left="360"/>
        <w:rPr>
          <w:b/>
          <w:color w:val="000000"/>
          <w:sz w:val="22"/>
          <w:szCs w:val="22"/>
        </w:rPr>
      </w:pPr>
    </w:p>
    <w:p w:rsidR="008967E5" w:rsidRPr="00F51084" w:rsidRDefault="008967E5" w:rsidP="00D22D3C">
      <w:pPr>
        <w:autoSpaceDE w:val="0"/>
        <w:autoSpaceDN w:val="0"/>
        <w:adjustRightInd w:val="0"/>
        <w:ind w:left="720"/>
        <w:rPr>
          <w:b/>
          <w:color w:val="000000"/>
          <w:sz w:val="22"/>
          <w:szCs w:val="22"/>
          <w:u w:val="single"/>
        </w:rPr>
      </w:pPr>
      <w:r w:rsidRPr="00F51084">
        <w:rPr>
          <w:b/>
          <w:color w:val="000000"/>
          <w:sz w:val="22"/>
          <w:szCs w:val="22"/>
          <w:u w:val="single"/>
        </w:rPr>
        <w:t>Justice Consolidated Office Network (JCON)</w:t>
      </w:r>
    </w:p>
    <w:p w:rsidR="008967E5" w:rsidRDefault="008967E5" w:rsidP="00D22D3C">
      <w:pPr>
        <w:autoSpaceDE w:val="0"/>
        <w:autoSpaceDN w:val="0"/>
        <w:adjustRightInd w:val="0"/>
        <w:ind w:left="720"/>
        <w:rPr>
          <w:b/>
          <w:color w:val="000000"/>
          <w:sz w:val="22"/>
          <w:szCs w:val="22"/>
        </w:rPr>
      </w:pPr>
    </w:p>
    <w:p w:rsidR="008967E5" w:rsidRDefault="008967E5" w:rsidP="006F3ABC">
      <w:pPr>
        <w:ind w:left="720"/>
        <w:rPr>
          <w:color w:val="000000"/>
          <w:sz w:val="22"/>
          <w:szCs w:val="22"/>
        </w:rPr>
      </w:pPr>
      <w:r w:rsidRPr="002567E4">
        <w:rPr>
          <w:color w:val="000000"/>
          <w:sz w:val="22"/>
          <w:szCs w:val="22"/>
        </w:rPr>
        <w:lastRenderedPageBreak/>
        <w:t xml:space="preserve">The JCON </w:t>
      </w:r>
      <w:r>
        <w:rPr>
          <w:color w:val="000000"/>
          <w:sz w:val="22"/>
          <w:szCs w:val="22"/>
        </w:rPr>
        <w:t>p</w:t>
      </w:r>
      <w:r w:rsidRPr="002567E4">
        <w:rPr>
          <w:color w:val="000000"/>
          <w:sz w:val="22"/>
          <w:szCs w:val="22"/>
        </w:rPr>
        <w:t xml:space="preserve">rogram provides architecture guidance and funding to build reliable, secure office automation systems and component infrastructure (desktops, laptops, servers, local area networks and data storage) upon which 16 DOJ litigation, management, and law enforcement components operate their mission-critical applications. JCON promotes interoperability and information sharing among DOJ components and their business partners, </w:t>
      </w:r>
      <w:r w:rsidRPr="002567E4">
        <w:rPr>
          <w:i/>
          <w:iCs/>
          <w:color w:val="000000"/>
          <w:sz w:val="22"/>
          <w:szCs w:val="22"/>
        </w:rPr>
        <w:t>e.g.</w:t>
      </w:r>
      <w:r w:rsidRPr="002567E4">
        <w:rPr>
          <w:color w:val="000000"/>
          <w:sz w:val="22"/>
          <w:szCs w:val="22"/>
        </w:rPr>
        <w:t>, courts, other components, and federal agencies</w:t>
      </w:r>
      <w:r>
        <w:rPr>
          <w:color w:val="000000"/>
          <w:sz w:val="22"/>
          <w:szCs w:val="22"/>
        </w:rPr>
        <w:t>,</w:t>
      </w:r>
      <w:r w:rsidRPr="002567E4">
        <w:rPr>
          <w:color w:val="000000"/>
          <w:sz w:val="22"/>
          <w:szCs w:val="22"/>
        </w:rPr>
        <w:t xml:space="preserve"> </w:t>
      </w:r>
      <w:r>
        <w:rPr>
          <w:color w:val="000000"/>
          <w:sz w:val="22"/>
          <w:szCs w:val="22"/>
        </w:rPr>
        <w:t>b</w:t>
      </w:r>
      <w:r w:rsidRPr="002567E4">
        <w:rPr>
          <w:color w:val="000000"/>
          <w:sz w:val="22"/>
          <w:szCs w:val="22"/>
        </w:rPr>
        <w:t xml:space="preserve">y providing for the maintenance of </w:t>
      </w:r>
      <w:r>
        <w:rPr>
          <w:color w:val="000000"/>
          <w:sz w:val="22"/>
          <w:szCs w:val="22"/>
        </w:rPr>
        <w:t>s</w:t>
      </w:r>
      <w:r w:rsidRPr="002567E4">
        <w:rPr>
          <w:color w:val="000000"/>
          <w:sz w:val="22"/>
          <w:szCs w:val="22"/>
        </w:rPr>
        <w:t xml:space="preserve">tandard </w:t>
      </w:r>
      <w:r>
        <w:rPr>
          <w:color w:val="000000"/>
          <w:sz w:val="22"/>
          <w:szCs w:val="22"/>
        </w:rPr>
        <w:t>a</w:t>
      </w:r>
      <w:r w:rsidRPr="002567E4">
        <w:rPr>
          <w:color w:val="000000"/>
          <w:sz w:val="22"/>
          <w:szCs w:val="22"/>
        </w:rPr>
        <w:t>rchitecture</w:t>
      </w:r>
      <w:r>
        <w:rPr>
          <w:color w:val="000000"/>
          <w:sz w:val="22"/>
          <w:szCs w:val="22"/>
        </w:rPr>
        <w:t xml:space="preserve"> and service templates, operating commonly-used office automation services</w:t>
      </w:r>
      <w:r w:rsidRPr="002567E4">
        <w:rPr>
          <w:color w:val="000000"/>
          <w:sz w:val="22"/>
          <w:szCs w:val="22"/>
        </w:rPr>
        <w:t>, centralized acquisition management, a standardized system development and implementation methodology, configuration management</w:t>
      </w:r>
      <w:r>
        <w:rPr>
          <w:color w:val="000000"/>
          <w:sz w:val="22"/>
          <w:szCs w:val="22"/>
        </w:rPr>
        <w:t>,</w:t>
      </w:r>
      <w:r w:rsidRPr="002567E4">
        <w:rPr>
          <w:color w:val="000000"/>
          <w:sz w:val="22"/>
          <w:szCs w:val="22"/>
        </w:rPr>
        <w:t xml:space="preserve"> and financing for new system deployments</w:t>
      </w:r>
      <w:r>
        <w:rPr>
          <w:color w:val="000000"/>
          <w:sz w:val="22"/>
          <w:szCs w:val="22"/>
        </w:rPr>
        <w:t xml:space="preserve">.  The key elements of </w:t>
      </w:r>
      <w:r w:rsidRPr="002567E4">
        <w:rPr>
          <w:color w:val="000000"/>
          <w:sz w:val="22"/>
          <w:szCs w:val="22"/>
        </w:rPr>
        <w:t xml:space="preserve">the DOJ JCON strategy </w:t>
      </w:r>
      <w:r>
        <w:rPr>
          <w:color w:val="000000"/>
          <w:sz w:val="22"/>
          <w:szCs w:val="22"/>
        </w:rPr>
        <w:t>to maintain secure office automation systems are to:</w:t>
      </w:r>
    </w:p>
    <w:p w:rsidR="008967E5" w:rsidRDefault="008967E5" w:rsidP="006F3ABC">
      <w:pPr>
        <w:ind w:left="720"/>
        <w:rPr>
          <w:color w:val="000000"/>
          <w:sz w:val="22"/>
          <w:szCs w:val="22"/>
        </w:rPr>
      </w:pPr>
    </w:p>
    <w:p w:rsidR="008967E5" w:rsidRDefault="008967E5" w:rsidP="00A74152">
      <w:pPr>
        <w:numPr>
          <w:ilvl w:val="0"/>
          <w:numId w:val="17"/>
        </w:numPr>
        <w:ind w:left="1440"/>
        <w:rPr>
          <w:color w:val="000000"/>
          <w:sz w:val="22"/>
          <w:szCs w:val="22"/>
        </w:rPr>
      </w:pPr>
      <w:r>
        <w:rPr>
          <w:color w:val="000000"/>
          <w:sz w:val="22"/>
          <w:szCs w:val="22"/>
        </w:rPr>
        <w:t>Establish a central, shared service offering which provides components with interoperable directory, email, collaboration, mobile computing, and desktop services,</w:t>
      </w:r>
    </w:p>
    <w:p w:rsidR="008967E5" w:rsidRPr="002567E4" w:rsidRDefault="008967E5" w:rsidP="00A74152">
      <w:pPr>
        <w:numPr>
          <w:ilvl w:val="0"/>
          <w:numId w:val="17"/>
        </w:numPr>
        <w:ind w:left="1440"/>
        <w:rPr>
          <w:color w:val="000000"/>
          <w:sz w:val="22"/>
          <w:szCs w:val="22"/>
        </w:rPr>
      </w:pPr>
      <w:r>
        <w:rPr>
          <w:color w:val="000000"/>
          <w:sz w:val="22"/>
          <w:szCs w:val="22"/>
        </w:rPr>
        <w:t>Promote a  JCON desktop standard and associated technologies,</w:t>
      </w:r>
    </w:p>
    <w:p w:rsidR="008967E5" w:rsidRDefault="008967E5" w:rsidP="00A74152">
      <w:pPr>
        <w:numPr>
          <w:ilvl w:val="0"/>
          <w:numId w:val="17"/>
        </w:numPr>
        <w:ind w:left="1440"/>
        <w:rPr>
          <w:color w:val="000000"/>
          <w:sz w:val="22"/>
          <w:szCs w:val="22"/>
        </w:rPr>
      </w:pPr>
      <w:r w:rsidRPr="002567E4">
        <w:rPr>
          <w:color w:val="000000"/>
          <w:sz w:val="22"/>
          <w:szCs w:val="22"/>
        </w:rPr>
        <w:t>Establish a predictable technology refresh cycle to ensure that all JCON components have current, secure, and compatible messaging technologies that enable collaboration within the Department</w:t>
      </w:r>
      <w:r>
        <w:rPr>
          <w:color w:val="000000"/>
          <w:sz w:val="22"/>
          <w:szCs w:val="22"/>
        </w:rPr>
        <w:t>,</w:t>
      </w:r>
      <w:r w:rsidRPr="002567E4">
        <w:rPr>
          <w:color w:val="000000"/>
          <w:sz w:val="22"/>
          <w:szCs w:val="22"/>
        </w:rPr>
        <w:t xml:space="preserve"> as well as with other law enforcement agencies</w:t>
      </w:r>
      <w:r>
        <w:rPr>
          <w:color w:val="000000"/>
          <w:sz w:val="22"/>
          <w:szCs w:val="22"/>
        </w:rPr>
        <w:t>.</w:t>
      </w:r>
    </w:p>
    <w:p w:rsidR="008967E5" w:rsidRDefault="008967E5" w:rsidP="006F3ABC">
      <w:pPr>
        <w:ind w:left="720"/>
        <w:rPr>
          <w:color w:val="000000"/>
          <w:sz w:val="22"/>
          <w:szCs w:val="22"/>
        </w:rPr>
      </w:pPr>
    </w:p>
    <w:p w:rsidR="008967E5" w:rsidRPr="005203FA" w:rsidRDefault="008967E5" w:rsidP="006F3ABC">
      <w:pPr>
        <w:ind w:left="720"/>
        <w:rPr>
          <w:sz w:val="22"/>
          <w:szCs w:val="22"/>
        </w:rPr>
      </w:pPr>
      <w:r w:rsidRPr="005203FA">
        <w:rPr>
          <w:sz w:val="22"/>
          <w:szCs w:val="22"/>
        </w:rPr>
        <w:t xml:space="preserve">Increasingly, DOJ systems and networks are required to meet stringent security and operating parameters, including additional record management requirements, encryption and data auditing, scanning requirements, new common DOJ applications, </w:t>
      </w:r>
      <w:r>
        <w:rPr>
          <w:sz w:val="22"/>
          <w:szCs w:val="22"/>
        </w:rPr>
        <w:t>and OMB mandates</w:t>
      </w:r>
      <w:r w:rsidRPr="005203FA">
        <w:rPr>
          <w:sz w:val="22"/>
          <w:szCs w:val="22"/>
        </w:rPr>
        <w:t xml:space="preserve">.  </w:t>
      </w:r>
      <w:r>
        <w:rPr>
          <w:sz w:val="22"/>
          <w:szCs w:val="22"/>
        </w:rPr>
        <w:t xml:space="preserve">The JCON Program is critical for the Department to address and fund the requirements to support the more stringent current parameters for security and operations.  </w:t>
      </w:r>
    </w:p>
    <w:p w:rsidR="008967E5" w:rsidRDefault="008967E5" w:rsidP="006F3ABC">
      <w:pPr>
        <w:ind w:left="720"/>
        <w:rPr>
          <w:color w:val="000000"/>
          <w:sz w:val="22"/>
          <w:szCs w:val="22"/>
        </w:rPr>
      </w:pPr>
    </w:p>
    <w:p w:rsidR="008967E5" w:rsidRPr="006863E1" w:rsidRDefault="008967E5" w:rsidP="006863E1">
      <w:pPr>
        <w:ind w:left="720"/>
        <w:rPr>
          <w:sz w:val="22"/>
          <w:szCs w:val="22"/>
          <w:highlight w:val="yellow"/>
        </w:rPr>
      </w:pPr>
      <w:r w:rsidRPr="005203FA">
        <w:rPr>
          <w:sz w:val="22"/>
          <w:szCs w:val="22"/>
        </w:rPr>
        <w:t xml:space="preserve">Since 2005, JCON has pursued a course to standardize requirements by developing </w:t>
      </w:r>
      <w:r>
        <w:rPr>
          <w:sz w:val="22"/>
          <w:szCs w:val="22"/>
        </w:rPr>
        <w:t xml:space="preserve">JCONext, a suite of </w:t>
      </w:r>
      <w:r w:rsidRPr="005203FA">
        <w:rPr>
          <w:sz w:val="22"/>
          <w:szCs w:val="22"/>
        </w:rPr>
        <w:t xml:space="preserve">centralized </w:t>
      </w:r>
      <w:r>
        <w:rPr>
          <w:sz w:val="22"/>
          <w:szCs w:val="22"/>
        </w:rPr>
        <w:t>e</w:t>
      </w:r>
      <w:r w:rsidRPr="005203FA">
        <w:rPr>
          <w:sz w:val="22"/>
          <w:szCs w:val="22"/>
        </w:rPr>
        <w:t>nterprise-class systems to support multiple components with common office automation needs. This include</w:t>
      </w:r>
      <w:r>
        <w:rPr>
          <w:sz w:val="22"/>
          <w:szCs w:val="22"/>
        </w:rPr>
        <w:t>s</w:t>
      </w:r>
      <w:r w:rsidRPr="005203FA">
        <w:rPr>
          <w:sz w:val="22"/>
          <w:szCs w:val="22"/>
        </w:rPr>
        <w:t xml:space="preserve"> Enterprise Directory systems, Enterprise Email and messaging platform, Enterprise monitoring, management and help desk, Enterprise-wide desktop imag</w:t>
      </w:r>
      <w:r>
        <w:rPr>
          <w:sz w:val="22"/>
          <w:szCs w:val="22"/>
        </w:rPr>
        <w:t>ing, and others</w:t>
      </w:r>
      <w:r w:rsidRPr="005203FA">
        <w:rPr>
          <w:sz w:val="22"/>
          <w:szCs w:val="22"/>
        </w:rPr>
        <w:t>.  Implementation of th</w:t>
      </w:r>
      <w:r>
        <w:rPr>
          <w:sz w:val="22"/>
          <w:szCs w:val="22"/>
        </w:rPr>
        <w:t>ese centralized systems</w:t>
      </w:r>
      <w:r w:rsidRPr="005203FA">
        <w:rPr>
          <w:sz w:val="22"/>
          <w:szCs w:val="22"/>
        </w:rPr>
        <w:t xml:space="preserve"> enhance</w:t>
      </w:r>
      <w:r>
        <w:rPr>
          <w:sz w:val="22"/>
          <w:szCs w:val="22"/>
        </w:rPr>
        <w:t>s</w:t>
      </w:r>
      <w:r w:rsidRPr="005203FA">
        <w:rPr>
          <w:sz w:val="22"/>
          <w:szCs w:val="22"/>
        </w:rPr>
        <w:t xml:space="preserve"> the capability of the Department to develop an effective and less expensive cyber defense program</w:t>
      </w:r>
      <w:r>
        <w:rPr>
          <w:sz w:val="22"/>
          <w:szCs w:val="22"/>
        </w:rPr>
        <w:t>, while providing</w:t>
      </w:r>
      <w:r w:rsidRPr="005203FA">
        <w:rPr>
          <w:sz w:val="22"/>
          <w:szCs w:val="22"/>
        </w:rPr>
        <w:t xml:space="preserve"> a more cost effective platform for the delivery of key office automation services.  </w:t>
      </w:r>
      <w:r>
        <w:rPr>
          <w:sz w:val="22"/>
          <w:szCs w:val="22"/>
        </w:rPr>
        <w:t xml:space="preserve">The first component was migrated to JCONext in FY 2009, with JMD, USPC, CRS and SMOs following in FY 2010-2011. </w:t>
      </w:r>
    </w:p>
    <w:p w:rsidR="008967E5" w:rsidRDefault="008967E5" w:rsidP="00013CC7">
      <w:pPr>
        <w:autoSpaceDE w:val="0"/>
        <w:autoSpaceDN w:val="0"/>
        <w:adjustRightInd w:val="0"/>
        <w:ind w:left="432"/>
        <w:rPr>
          <w:b/>
          <w:color w:val="000000"/>
        </w:rPr>
      </w:pPr>
    </w:p>
    <w:p w:rsidR="008967E5" w:rsidRDefault="008967E5" w:rsidP="003D19AB">
      <w:pPr>
        <w:autoSpaceDE w:val="0"/>
        <w:autoSpaceDN w:val="0"/>
        <w:adjustRightInd w:val="0"/>
        <w:rPr>
          <w:b/>
          <w:color w:val="000000"/>
        </w:rPr>
      </w:pPr>
      <w:r>
        <w:rPr>
          <w:b/>
          <w:color w:val="000000"/>
        </w:rPr>
        <w:lastRenderedPageBreak/>
        <w:t xml:space="preserve">       d.  Financial Management</w:t>
      </w:r>
    </w:p>
    <w:p w:rsidR="008967E5" w:rsidRDefault="008967E5" w:rsidP="00013CC7">
      <w:pPr>
        <w:autoSpaceDE w:val="0"/>
        <w:autoSpaceDN w:val="0"/>
        <w:adjustRightInd w:val="0"/>
        <w:ind w:left="432"/>
        <w:rPr>
          <w:color w:val="000000"/>
          <w:sz w:val="22"/>
          <w:szCs w:val="22"/>
        </w:rPr>
      </w:pPr>
    </w:p>
    <w:p w:rsidR="008967E5" w:rsidRDefault="008967E5" w:rsidP="00A773F4">
      <w:pPr>
        <w:autoSpaceDE w:val="0"/>
        <w:autoSpaceDN w:val="0"/>
        <w:adjustRightInd w:val="0"/>
        <w:ind w:left="720"/>
        <w:rPr>
          <w:b/>
          <w:color w:val="000000"/>
          <w:u w:val="single"/>
        </w:rPr>
      </w:pPr>
      <w:bookmarkStart w:id="11" w:name="OLE_LINK3"/>
      <w:bookmarkStart w:id="12" w:name="OLE_LINK4"/>
      <w:r w:rsidRPr="00F51084">
        <w:rPr>
          <w:b/>
          <w:bCs/>
          <w:u w:val="single"/>
        </w:rPr>
        <w:t>Unified Financial Management System</w:t>
      </w:r>
      <w:r w:rsidRPr="00F51084">
        <w:rPr>
          <w:b/>
          <w:color w:val="000000"/>
          <w:u w:val="single"/>
        </w:rPr>
        <w:t xml:space="preserve"> (UFMS)</w:t>
      </w:r>
    </w:p>
    <w:p w:rsidR="00CA455C" w:rsidRDefault="00CA455C" w:rsidP="00A773F4">
      <w:pPr>
        <w:autoSpaceDE w:val="0"/>
        <w:autoSpaceDN w:val="0"/>
        <w:adjustRightInd w:val="0"/>
        <w:ind w:left="720"/>
        <w:rPr>
          <w:color w:val="000000"/>
          <w:sz w:val="22"/>
          <w:szCs w:val="22"/>
          <w:u w:val="single"/>
        </w:rPr>
      </w:pPr>
    </w:p>
    <w:p w:rsidR="00CA455C" w:rsidRDefault="00CA455C" w:rsidP="00CA455C">
      <w:pPr>
        <w:ind w:left="720"/>
        <w:rPr>
          <w:sz w:val="22"/>
          <w:szCs w:val="22"/>
        </w:rPr>
      </w:pPr>
      <w:r w:rsidRPr="00CA455C">
        <w:rPr>
          <w:sz w:val="22"/>
          <w:szCs w:val="22"/>
        </w:rPr>
        <w:t>The Department's Unified Financial Management System (UFMS) is one of the highest management priorities in the Department.  In order to continue implementing the remaining DOJ components and to align funding for operations and maintenance, funding is being transferred to the users of UFMS on a pro rata basis.  Specifically, base funding of $</w:t>
      </w:r>
      <w:r>
        <w:rPr>
          <w:sz w:val="22"/>
          <w:szCs w:val="22"/>
        </w:rPr>
        <w:t>17,572,000</w:t>
      </w:r>
      <w:r w:rsidRPr="00CA455C">
        <w:rPr>
          <w:sz w:val="22"/>
          <w:szCs w:val="22"/>
        </w:rPr>
        <w:t xml:space="preserve"> is being transferred from the Justice Information Sharing Te</w:t>
      </w:r>
      <w:r>
        <w:rPr>
          <w:sz w:val="22"/>
          <w:szCs w:val="22"/>
        </w:rPr>
        <w:t>chnology appropriation to DEA, FBI, BOP, USMS and ATF</w:t>
      </w:r>
      <w:r w:rsidRPr="00CA455C">
        <w:rPr>
          <w:sz w:val="22"/>
          <w:szCs w:val="22"/>
        </w:rPr>
        <w:t>.  On an annual basis, the transferred funds will be reimbursed back to the Justice Management Division's UFMS Program Management Office (PMO) to cover PMO-related expenses in support of component implementations and for recurring operations and maintenance support.</w:t>
      </w:r>
    </w:p>
    <w:p w:rsidR="00CA455C" w:rsidRPr="00CA455C" w:rsidRDefault="00CA455C" w:rsidP="00CA455C">
      <w:pPr>
        <w:ind w:left="720"/>
        <w:rPr>
          <w:sz w:val="22"/>
          <w:szCs w:val="22"/>
        </w:rPr>
      </w:pPr>
    </w:p>
    <w:tbl>
      <w:tblPr>
        <w:tblStyle w:val="TableGrid"/>
        <w:tblW w:w="0" w:type="auto"/>
        <w:tblInd w:w="3528" w:type="dxa"/>
        <w:tblLook w:val="04A0"/>
      </w:tblPr>
      <w:tblGrid>
        <w:gridCol w:w="1615"/>
        <w:gridCol w:w="1445"/>
      </w:tblGrid>
      <w:tr w:rsidR="00CA455C" w:rsidTr="000F6500">
        <w:tc>
          <w:tcPr>
            <w:tcW w:w="1615" w:type="dxa"/>
          </w:tcPr>
          <w:p w:rsidR="00CA455C" w:rsidRDefault="00CA455C" w:rsidP="000F6500">
            <w:pPr>
              <w:rPr>
                <w:iCs/>
                <w:sz w:val="22"/>
                <w:szCs w:val="22"/>
              </w:rPr>
            </w:pPr>
            <w:r>
              <w:rPr>
                <w:iCs/>
                <w:sz w:val="22"/>
                <w:szCs w:val="22"/>
              </w:rPr>
              <w:t>DEA</w:t>
            </w:r>
          </w:p>
        </w:tc>
        <w:tc>
          <w:tcPr>
            <w:tcW w:w="1445" w:type="dxa"/>
          </w:tcPr>
          <w:p w:rsidR="00CA455C" w:rsidRDefault="00CA455C" w:rsidP="00B15A8A">
            <w:pPr>
              <w:jc w:val="right"/>
              <w:rPr>
                <w:iCs/>
                <w:sz w:val="22"/>
                <w:szCs w:val="22"/>
              </w:rPr>
            </w:pPr>
            <w:r>
              <w:rPr>
                <w:iCs/>
                <w:sz w:val="22"/>
                <w:szCs w:val="22"/>
              </w:rPr>
              <w:t>$3,463</w:t>
            </w:r>
          </w:p>
        </w:tc>
      </w:tr>
      <w:tr w:rsidR="00CA455C" w:rsidTr="000F6500">
        <w:tc>
          <w:tcPr>
            <w:tcW w:w="1615" w:type="dxa"/>
          </w:tcPr>
          <w:p w:rsidR="00CA455C" w:rsidRDefault="00CA455C" w:rsidP="000F6500">
            <w:pPr>
              <w:rPr>
                <w:iCs/>
                <w:sz w:val="22"/>
                <w:szCs w:val="22"/>
              </w:rPr>
            </w:pPr>
            <w:r>
              <w:rPr>
                <w:iCs/>
                <w:sz w:val="22"/>
                <w:szCs w:val="22"/>
              </w:rPr>
              <w:t>FBI</w:t>
            </w:r>
          </w:p>
        </w:tc>
        <w:tc>
          <w:tcPr>
            <w:tcW w:w="1445" w:type="dxa"/>
          </w:tcPr>
          <w:p w:rsidR="00CA455C" w:rsidRDefault="00CA455C" w:rsidP="00B15A8A">
            <w:pPr>
              <w:jc w:val="right"/>
              <w:rPr>
                <w:iCs/>
                <w:sz w:val="22"/>
                <w:szCs w:val="22"/>
              </w:rPr>
            </w:pPr>
            <w:r>
              <w:rPr>
                <w:iCs/>
                <w:sz w:val="22"/>
                <w:szCs w:val="22"/>
              </w:rPr>
              <w:t>9,433</w:t>
            </w:r>
          </w:p>
        </w:tc>
      </w:tr>
      <w:tr w:rsidR="00CA455C" w:rsidTr="000F6500">
        <w:tc>
          <w:tcPr>
            <w:tcW w:w="1615" w:type="dxa"/>
          </w:tcPr>
          <w:p w:rsidR="00CA455C" w:rsidRDefault="00CA455C" w:rsidP="000F6500">
            <w:pPr>
              <w:rPr>
                <w:iCs/>
                <w:sz w:val="22"/>
                <w:szCs w:val="22"/>
              </w:rPr>
            </w:pPr>
            <w:r>
              <w:rPr>
                <w:iCs/>
                <w:sz w:val="22"/>
                <w:szCs w:val="22"/>
              </w:rPr>
              <w:t>BOP</w:t>
            </w:r>
          </w:p>
        </w:tc>
        <w:tc>
          <w:tcPr>
            <w:tcW w:w="1445" w:type="dxa"/>
          </w:tcPr>
          <w:p w:rsidR="00CA455C" w:rsidRDefault="00CA455C" w:rsidP="00B15A8A">
            <w:pPr>
              <w:jc w:val="right"/>
              <w:rPr>
                <w:iCs/>
                <w:sz w:val="22"/>
                <w:szCs w:val="22"/>
              </w:rPr>
            </w:pPr>
            <w:r>
              <w:rPr>
                <w:iCs/>
                <w:sz w:val="22"/>
                <w:szCs w:val="22"/>
              </w:rPr>
              <w:t>697</w:t>
            </w:r>
          </w:p>
        </w:tc>
      </w:tr>
      <w:tr w:rsidR="00CA455C" w:rsidTr="000F6500">
        <w:tc>
          <w:tcPr>
            <w:tcW w:w="1615" w:type="dxa"/>
          </w:tcPr>
          <w:p w:rsidR="00CA455C" w:rsidRDefault="00CA455C" w:rsidP="000F6500">
            <w:pPr>
              <w:rPr>
                <w:iCs/>
                <w:sz w:val="22"/>
                <w:szCs w:val="22"/>
              </w:rPr>
            </w:pPr>
            <w:r>
              <w:rPr>
                <w:iCs/>
                <w:sz w:val="22"/>
                <w:szCs w:val="22"/>
              </w:rPr>
              <w:t>USMS</w:t>
            </w:r>
          </w:p>
        </w:tc>
        <w:tc>
          <w:tcPr>
            <w:tcW w:w="1445" w:type="dxa"/>
          </w:tcPr>
          <w:p w:rsidR="00CA455C" w:rsidRDefault="00CA455C" w:rsidP="00B15A8A">
            <w:pPr>
              <w:jc w:val="right"/>
              <w:rPr>
                <w:iCs/>
                <w:sz w:val="22"/>
                <w:szCs w:val="22"/>
              </w:rPr>
            </w:pPr>
            <w:r>
              <w:rPr>
                <w:iCs/>
                <w:sz w:val="22"/>
                <w:szCs w:val="22"/>
              </w:rPr>
              <w:t>2,806</w:t>
            </w:r>
          </w:p>
        </w:tc>
      </w:tr>
      <w:tr w:rsidR="00CA455C" w:rsidTr="000F6500">
        <w:tc>
          <w:tcPr>
            <w:tcW w:w="1615" w:type="dxa"/>
          </w:tcPr>
          <w:p w:rsidR="00CA455C" w:rsidRDefault="00CA455C" w:rsidP="000F6500">
            <w:pPr>
              <w:rPr>
                <w:iCs/>
                <w:sz w:val="22"/>
                <w:szCs w:val="22"/>
              </w:rPr>
            </w:pPr>
            <w:r>
              <w:rPr>
                <w:iCs/>
                <w:sz w:val="22"/>
                <w:szCs w:val="22"/>
              </w:rPr>
              <w:t>ATF</w:t>
            </w:r>
          </w:p>
        </w:tc>
        <w:tc>
          <w:tcPr>
            <w:tcW w:w="1445" w:type="dxa"/>
          </w:tcPr>
          <w:p w:rsidR="00CA455C" w:rsidRDefault="00CA455C" w:rsidP="00B15A8A">
            <w:pPr>
              <w:jc w:val="right"/>
              <w:rPr>
                <w:iCs/>
                <w:sz w:val="22"/>
                <w:szCs w:val="22"/>
              </w:rPr>
            </w:pPr>
            <w:r>
              <w:rPr>
                <w:iCs/>
                <w:sz w:val="22"/>
                <w:szCs w:val="22"/>
              </w:rPr>
              <w:t>1,17</w:t>
            </w:r>
            <w:r w:rsidR="00870535">
              <w:rPr>
                <w:iCs/>
                <w:sz w:val="22"/>
                <w:szCs w:val="22"/>
              </w:rPr>
              <w:t>3</w:t>
            </w:r>
          </w:p>
        </w:tc>
      </w:tr>
      <w:tr w:rsidR="00CA455C" w:rsidRPr="004F6D58" w:rsidTr="000F6500">
        <w:tc>
          <w:tcPr>
            <w:tcW w:w="1615" w:type="dxa"/>
          </w:tcPr>
          <w:p w:rsidR="00CA455C" w:rsidRPr="004F6D58" w:rsidRDefault="00CA455C" w:rsidP="000F6500">
            <w:pPr>
              <w:rPr>
                <w:b/>
                <w:iCs/>
                <w:sz w:val="22"/>
                <w:szCs w:val="22"/>
              </w:rPr>
            </w:pPr>
            <w:r w:rsidRPr="000C765B">
              <w:rPr>
                <w:b/>
                <w:iCs/>
                <w:sz w:val="22"/>
                <w:szCs w:val="22"/>
              </w:rPr>
              <w:t>Total</w:t>
            </w:r>
            <w:r w:rsidR="000F6500">
              <w:rPr>
                <w:b/>
                <w:iCs/>
                <w:sz w:val="22"/>
                <w:szCs w:val="22"/>
              </w:rPr>
              <w:t xml:space="preserve"> ($000)</w:t>
            </w:r>
          </w:p>
        </w:tc>
        <w:tc>
          <w:tcPr>
            <w:tcW w:w="1445" w:type="dxa"/>
          </w:tcPr>
          <w:p w:rsidR="00CA455C" w:rsidRPr="004F6D58" w:rsidRDefault="00CA455C" w:rsidP="00B15A8A">
            <w:pPr>
              <w:jc w:val="right"/>
              <w:rPr>
                <w:b/>
                <w:iCs/>
                <w:sz w:val="22"/>
                <w:szCs w:val="22"/>
              </w:rPr>
            </w:pPr>
            <w:r w:rsidRPr="000C765B">
              <w:rPr>
                <w:b/>
                <w:iCs/>
                <w:sz w:val="22"/>
                <w:szCs w:val="22"/>
              </w:rPr>
              <w:t>$17,572</w:t>
            </w:r>
          </w:p>
        </w:tc>
      </w:tr>
    </w:tbl>
    <w:p w:rsidR="008967E5" w:rsidRPr="00520BB6" w:rsidRDefault="008967E5" w:rsidP="00A773F4">
      <w:pPr>
        <w:autoSpaceDE w:val="0"/>
        <w:autoSpaceDN w:val="0"/>
        <w:adjustRightInd w:val="0"/>
        <w:rPr>
          <w:b/>
          <w:color w:val="000000"/>
        </w:rPr>
      </w:pPr>
    </w:p>
    <w:p w:rsidR="00CA455C" w:rsidRDefault="00CA455C" w:rsidP="000636B5">
      <w:pPr>
        <w:ind w:left="720"/>
        <w:rPr>
          <w:iCs/>
          <w:sz w:val="22"/>
          <w:szCs w:val="22"/>
        </w:rPr>
      </w:pPr>
    </w:p>
    <w:p w:rsidR="008967E5" w:rsidRPr="000636B5" w:rsidRDefault="008967E5" w:rsidP="000636B5">
      <w:pPr>
        <w:ind w:left="720"/>
        <w:rPr>
          <w:iCs/>
          <w:sz w:val="22"/>
          <w:szCs w:val="22"/>
          <w:u w:val="single"/>
        </w:rPr>
      </w:pPr>
      <w:r w:rsidRPr="00DF3E73">
        <w:rPr>
          <w:iCs/>
          <w:sz w:val="22"/>
          <w:szCs w:val="22"/>
        </w:rPr>
        <w:t xml:space="preserve">Identified by the Department’s Inspector General as “one of the most important challenges for the Department,” the Department is implementing a Unified Financial Management System (UFMS) that will replace legacy financial systems operated by individual components. The UFMS will replace six (6) core financial management systems and multiple procurement systems currently operating across the Department with an integrated Commercial Off-The-Shelf (COTS) solution. This will allow the Department to streamline and standardize business processes and procedures across all Components, providing accurate, timely, and useful financial data to financial and program managers across the Department, and produce Component and Department level financial statements. In addition, the system will assist the Department by improving financial management performance and aid in addressing the material weaknesses and non-conformances in internal controls, accounting standards, and systems security identified by the Department’s Inspector General. </w:t>
      </w:r>
      <w:r w:rsidRPr="00DF3E73">
        <w:rPr>
          <w:color w:val="000000"/>
          <w:sz w:val="22"/>
          <w:szCs w:val="22"/>
        </w:rPr>
        <w:t>UFMS directly supports the Attorney General’s top priority to “ensure the transparent, accountable, and depoliticized administration of justice.”  UFMS also directly supports Strategic Goal 3: Ensure the Fair and Efficient Administration of Justice included in the Department’s Strategic Plan, FYs 2007 – 2012.</w:t>
      </w:r>
    </w:p>
    <w:p w:rsidR="008967E5" w:rsidRPr="00DF3E73" w:rsidRDefault="008967E5" w:rsidP="00AA539D">
      <w:pPr>
        <w:ind w:left="720"/>
        <w:rPr>
          <w:iCs/>
          <w:sz w:val="22"/>
          <w:szCs w:val="22"/>
        </w:rPr>
      </w:pPr>
    </w:p>
    <w:p w:rsidR="008967E5" w:rsidRPr="00DF3E73" w:rsidRDefault="008967E5" w:rsidP="00AA539D">
      <w:pPr>
        <w:ind w:left="720"/>
        <w:rPr>
          <w:sz w:val="22"/>
          <w:szCs w:val="22"/>
        </w:rPr>
      </w:pPr>
      <w:r w:rsidRPr="00DF3E73">
        <w:rPr>
          <w:sz w:val="22"/>
          <w:szCs w:val="22"/>
        </w:rPr>
        <w:t xml:space="preserve">DOJ’s objectives are to standardize core accounting processes, data, and interfaces, and to provide a centrally maintained, secure and integrated financial and acquisitions solution based on commercial software. UFMS provides the basic structure for fiscal stewardship, accountability and transparency for DOJ and component leadership, and in reporting to our external constituents. The consolidation of data reporting reduces dependence on manual processes, allows financial management personnel to spend more time analyzing financial data for decision making, and provides senior leadership with more timely management information for decision making. UFMS </w:t>
      </w:r>
      <w:r w:rsidRPr="00DF3E73">
        <w:rPr>
          <w:bCs/>
          <w:sz w:val="22"/>
          <w:szCs w:val="22"/>
        </w:rPr>
        <w:t>delivers a standard business solution consisting of 28 Department-wide business processes, 22 external interfaces, and flexible reporting based on standard data.</w:t>
      </w:r>
    </w:p>
    <w:p w:rsidR="008967E5" w:rsidRPr="00DF3E73" w:rsidRDefault="008967E5" w:rsidP="00AA539D">
      <w:pPr>
        <w:rPr>
          <w:sz w:val="22"/>
          <w:szCs w:val="22"/>
        </w:rPr>
      </w:pPr>
    </w:p>
    <w:p w:rsidR="008967E5" w:rsidRPr="00DF3E73" w:rsidRDefault="008967E5" w:rsidP="00AA539D">
      <w:pPr>
        <w:ind w:left="720"/>
        <w:rPr>
          <w:sz w:val="22"/>
          <w:szCs w:val="22"/>
        </w:rPr>
      </w:pPr>
      <w:r w:rsidRPr="00DF3E73">
        <w:rPr>
          <w:sz w:val="22"/>
          <w:szCs w:val="22"/>
        </w:rPr>
        <w:t>UFMS integrates the following core accounting functions that are configured in a standard supporting infrastructure:</w:t>
      </w:r>
    </w:p>
    <w:p w:rsidR="008967E5" w:rsidRPr="00DF3E73" w:rsidRDefault="008967E5" w:rsidP="00AA539D">
      <w:pPr>
        <w:rPr>
          <w:sz w:val="22"/>
          <w:szCs w:val="22"/>
        </w:rPr>
      </w:pPr>
      <w:r w:rsidRPr="00DF3E73">
        <w:rPr>
          <w:sz w:val="22"/>
          <w:szCs w:val="22"/>
        </w:rPr>
        <w:t xml:space="preserve"> </w:t>
      </w:r>
    </w:p>
    <w:p w:rsidR="008967E5" w:rsidRDefault="008967E5" w:rsidP="00A74152">
      <w:pPr>
        <w:numPr>
          <w:ilvl w:val="3"/>
          <w:numId w:val="29"/>
        </w:numPr>
        <w:spacing w:line="276" w:lineRule="auto"/>
        <w:rPr>
          <w:sz w:val="22"/>
          <w:szCs w:val="22"/>
        </w:rPr>
      </w:pPr>
      <w:r w:rsidRPr="00DF3E73">
        <w:rPr>
          <w:sz w:val="22"/>
          <w:szCs w:val="22"/>
        </w:rPr>
        <w:t>Manage General Ledger and Generate Financial Statements</w:t>
      </w:r>
    </w:p>
    <w:p w:rsidR="008967E5" w:rsidRDefault="008967E5" w:rsidP="00A74152">
      <w:pPr>
        <w:numPr>
          <w:ilvl w:val="3"/>
          <w:numId w:val="29"/>
        </w:numPr>
        <w:spacing w:line="276" w:lineRule="auto"/>
        <w:rPr>
          <w:sz w:val="22"/>
          <w:szCs w:val="22"/>
        </w:rPr>
      </w:pPr>
      <w:r w:rsidRPr="00A44B98">
        <w:rPr>
          <w:sz w:val="22"/>
          <w:szCs w:val="22"/>
        </w:rPr>
        <w:t>Establish Budget and Monitor Execution</w:t>
      </w:r>
    </w:p>
    <w:p w:rsidR="008967E5" w:rsidRDefault="008967E5" w:rsidP="00A74152">
      <w:pPr>
        <w:numPr>
          <w:ilvl w:val="3"/>
          <w:numId w:val="29"/>
        </w:numPr>
        <w:spacing w:line="276" w:lineRule="auto"/>
        <w:rPr>
          <w:sz w:val="22"/>
          <w:szCs w:val="22"/>
        </w:rPr>
      </w:pPr>
      <w:r w:rsidRPr="00A44B98">
        <w:rPr>
          <w:sz w:val="22"/>
          <w:szCs w:val="22"/>
        </w:rPr>
        <w:t>Procurement to Payment</w:t>
      </w:r>
    </w:p>
    <w:p w:rsidR="008967E5" w:rsidRDefault="008967E5" w:rsidP="00A74152">
      <w:pPr>
        <w:numPr>
          <w:ilvl w:val="3"/>
          <w:numId w:val="29"/>
        </w:numPr>
        <w:spacing w:line="276" w:lineRule="auto"/>
        <w:rPr>
          <w:sz w:val="22"/>
          <w:szCs w:val="22"/>
        </w:rPr>
      </w:pPr>
      <w:r w:rsidRPr="00A44B98">
        <w:rPr>
          <w:sz w:val="22"/>
          <w:szCs w:val="22"/>
        </w:rPr>
        <w:t>Reimbursable Activity/Receivable to Collection</w:t>
      </w:r>
    </w:p>
    <w:p w:rsidR="008967E5" w:rsidRDefault="008967E5" w:rsidP="00A74152">
      <w:pPr>
        <w:numPr>
          <w:ilvl w:val="3"/>
          <w:numId w:val="29"/>
        </w:numPr>
        <w:spacing w:line="276" w:lineRule="auto"/>
        <w:rPr>
          <w:sz w:val="22"/>
          <w:szCs w:val="22"/>
        </w:rPr>
      </w:pPr>
      <w:r w:rsidRPr="00A44B98">
        <w:rPr>
          <w:sz w:val="22"/>
          <w:szCs w:val="22"/>
        </w:rPr>
        <w:t>Manage Cash and Investments</w:t>
      </w:r>
    </w:p>
    <w:p w:rsidR="008967E5" w:rsidRDefault="008967E5" w:rsidP="00A74152">
      <w:pPr>
        <w:numPr>
          <w:ilvl w:val="3"/>
          <w:numId w:val="29"/>
        </w:numPr>
        <w:spacing w:line="276" w:lineRule="auto"/>
        <w:rPr>
          <w:sz w:val="22"/>
          <w:szCs w:val="22"/>
        </w:rPr>
      </w:pPr>
      <w:r w:rsidRPr="00A44B98">
        <w:rPr>
          <w:sz w:val="22"/>
          <w:szCs w:val="22"/>
        </w:rPr>
        <w:t>Performance and Cost Management</w:t>
      </w:r>
    </w:p>
    <w:p w:rsidR="008967E5" w:rsidRPr="00A44B98" w:rsidRDefault="008967E5" w:rsidP="00A74152">
      <w:pPr>
        <w:numPr>
          <w:ilvl w:val="3"/>
          <w:numId w:val="29"/>
        </w:numPr>
        <w:spacing w:line="276" w:lineRule="auto"/>
        <w:rPr>
          <w:sz w:val="22"/>
          <w:szCs w:val="22"/>
        </w:rPr>
      </w:pPr>
      <w:r w:rsidRPr="00A44B98">
        <w:rPr>
          <w:sz w:val="22"/>
          <w:szCs w:val="22"/>
        </w:rPr>
        <w:t>Reporting</w:t>
      </w:r>
    </w:p>
    <w:p w:rsidR="008967E5" w:rsidRPr="00DF3E73" w:rsidRDefault="008967E5" w:rsidP="00AA539D">
      <w:pPr>
        <w:spacing w:line="276" w:lineRule="auto"/>
        <w:rPr>
          <w:sz w:val="22"/>
          <w:szCs w:val="22"/>
        </w:rPr>
      </w:pPr>
    </w:p>
    <w:p w:rsidR="008967E5" w:rsidRPr="00DF3E73" w:rsidRDefault="008967E5" w:rsidP="00AA539D">
      <w:pPr>
        <w:ind w:left="720"/>
        <w:rPr>
          <w:sz w:val="22"/>
          <w:szCs w:val="22"/>
        </w:rPr>
      </w:pPr>
      <w:r w:rsidRPr="00DF3E73">
        <w:rPr>
          <w:sz w:val="22"/>
          <w:szCs w:val="22"/>
        </w:rPr>
        <w:t xml:space="preserve">UFMS provides the Department and components with the ability to more accurately track finances through a Standard General Ledger (SGL); easily prepare budgets and breakdown the budget levels; reduce time between approval stages of processes, such as the procurement to payment and reimbursable activities; and accurately manage costs and investments. </w:t>
      </w:r>
    </w:p>
    <w:p w:rsidR="008967E5" w:rsidRPr="00DF3E73" w:rsidRDefault="008967E5" w:rsidP="00AA539D">
      <w:pPr>
        <w:ind w:left="720"/>
        <w:rPr>
          <w:sz w:val="22"/>
          <w:szCs w:val="22"/>
        </w:rPr>
      </w:pPr>
    </w:p>
    <w:p w:rsidR="008967E5" w:rsidRPr="00DF3E73" w:rsidRDefault="008967E5" w:rsidP="00AA539D">
      <w:pPr>
        <w:ind w:left="720"/>
        <w:rPr>
          <w:color w:val="000000"/>
          <w:sz w:val="22"/>
          <w:szCs w:val="22"/>
        </w:rPr>
      </w:pPr>
      <w:r w:rsidRPr="00DF3E73">
        <w:rPr>
          <w:color w:val="000000"/>
          <w:sz w:val="22"/>
          <w:szCs w:val="22"/>
        </w:rPr>
        <w:t xml:space="preserve">The UFMS will allow the DOJ to streamline and standardize business processes and procedures across all components, providing secure, accurate, timely, and useful financial and procurement data to program managers across the Department, and produce component and Department level financial statements. In addition, the system will assist the DOJ by improving procurement and financial management performance and aid department components in addressing the material weaknesses and non-conformances in internal controls, accounting standards, and systems security. Finally, the system will provide fully integrated financial and procurement functionality to streamline business processes, provide consolidated management information, and the </w:t>
      </w:r>
      <w:r w:rsidRPr="00DF3E73">
        <w:rPr>
          <w:color w:val="000000"/>
          <w:sz w:val="22"/>
          <w:szCs w:val="22"/>
        </w:rPr>
        <w:lastRenderedPageBreak/>
        <w:t>capability to meet all mandatory requirements of the Fede</w:t>
      </w:r>
      <w:r>
        <w:rPr>
          <w:color w:val="000000"/>
          <w:sz w:val="22"/>
          <w:szCs w:val="22"/>
        </w:rPr>
        <w:t>ral Acquisition Regulation</w:t>
      </w:r>
      <w:r w:rsidRPr="00DF3E73">
        <w:rPr>
          <w:color w:val="000000"/>
          <w:sz w:val="22"/>
          <w:szCs w:val="22"/>
        </w:rPr>
        <w:t xml:space="preserve"> and the Justi</w:t>
      </w:r>
      <w:r>
        <w:rPr>
          <w:color w:val="000000"/>
          <w:sz w:val="22"/>
          <w:szCs w:val="22"/>
        </w:rPr>
        <w:t>ce Acquisition Regulations</w:t>
      </w:r>
      <w:r w:rsidRPr="00DF3E73">
        <w:rPr>
          <w:color w:val="000000"/>
          <w:sz w:val="22"/>
          <w:szCs w:val="22"/>
        </w:rPr>
        <w:t>.</w:t>
      </w:r>
    </w:p>
    <w:p w:rsidR="008967E5" w:rsidRPr="00DF3E73" w:rsidRDefault="008967E5" w:rsidP="00AA539D">
      <w:pPr>
        <w:ind w:left="720"/>
        <w:rPr>
          <w:color w:val="000000"/>
          <w:sz w:val="22"/>
          <w:szCs w:val="22"/>
        </w:rPr>
      </w:pPr>
    </w:p>
    <w:p w:rsidR="008967E5" w:rsidRPr="00DF3E73" w:rsidRDefault="008967E5" w:rsidP="00AA539D">
      <w:pPr>
        <w:ind w:left="720"/>
        <w:rPr>
          <w:iCs/>
          <w:sz w:val="22"/>
          <w:szCs w:val="22"/>
        </w:rPr>
      </w:pPr>
      <w:r w:rsidRPr="00DF3E73">
        <w:rPr>
          <w:sz w:val="22"/>
          <w:szCs w:val="22"/>
        </w:rPr>
        <w:t>UFMS is an ongoing initiative to incrementally implement core accounting. In December 2010, UFMS is in a mixed lifecycle phase including operations (over 2,500 users world-wide), and implementations that are underway. A pilot implementation completed in 2008 is still in operation for the Asset Forfeiture Program (AFP). The Drug Enforcement Administration (DEA) successfully implemented UFMS in January 2009. The Alcohol, Tobacco, Firearms, and Explosives (ATF) went live on the system, staying on schedule and on budget in October 2010.  Three implementations are in process: AFP Phase 2 and U.S. Marshals Service (USMS) began their implementation activities and are targeting a Go Live date in early 2012.  The Federal Bureau of Investigation’s (FBI) Phase 2 has also begun implementation activities and is targeting a Go Live date in early 2013</w:t>
      </w:r>
      <w:r>
        <w:rPr>
          <w:sz w:val="22"/>
          <w:szCs w:val="22"/>
        </w:rPr>
        <w:t>.</w:t>
      </w:r>
    </w:p>
    <w:bookmarkEnd w:id="11"/>
    <w:bookmarkEnd w:id="12"/>
    <w:p w:rsidR="008967E5" w:rsidRDefault="008967E5" w:rsidP="000E47A9">
      <w:pPr>
        <w:autoSpaceDE w:val="0"/>
        <w:autoSpaceDN w:val="0"/>
        <w:adjustRightInd w:val="0"/>
        <w:rPr>
          <w:color w:val="000000"/>
          <w:sz w:val="22"/>
          <w:szCs w:val="22"/>
        </w:rPr>
      </w:pPr>
    </w:p>
    <w:p w:rsidR="008967E5" w:rsidRPr="00601FF7" w:rsidRDefault="008967E5" w:rsidP="00E1700C">
      <w:pPr>
        <w:autoSpaceDE w:val="0"/>
        <w:autoSpaceDN w:val="0"/>
        <w:adjustRightInd w:val="0"/>
        <w:ind w:left="432"/>
        <w:rPr>
          <w:b/>
          <w:color w:val="000000"/>
        </w:rPr>
      </w:pPr>
      <w:r>
        <w:rPr>
          <w:b/>
          <w:color w:val="000000"/>
        </w:rPr>
        <w:t xml:space="preserve">e.  </w:t>
      </w:r>
      <w:r w:rsidRPr="00601FF7">
        <w:rPr>
          <w:b/>
          <w:color w:val="000000"/>
        </w:rPr>
        <w:t>DOJ</w:t>
      </w:r>
      <w:r>
        <w:rPr>
          <w:b/>
          <w:color w:val="000000"/>
        </w:rPr>
        <w:t xml:space="preserve"> </w:t>
      </w:r>
      <w:r w:rsidRPr="00601FF7">
        <w:rPr>
          <w:b/>
          <w:color w:val="000000"/>
        </w:rPr>
        <w:t>IT Management</w:t>
      </w:r>
    </w:p>
    <w:p w:rsidR="008967E5" w:rsidRDefault="008967E5" w:rsidP="00594FED">
      <w:pPr>
        <w:autoSpaceDE w:val="0"/>
        <w:autoSpaceDN w:val="0"/>
        <w:adjustRightInd w:val="0"/>
        <w:rPr>
          <w:color w:val="000000"/>
          <w:sz w:val="22"/>
          <w:szCs w:val="22"/>
        </w:rPr>
      </w:pPr>
    </w:p>
    <w:p w:rsidR="008967E5" w:rsidRPr="00F51084" w:rsidRDefault="008967E5" w:rsidP="0029264F">
      <w:pPr>
        <w:autoSpaceDE w:val="0"/>
        <w:autoSpaceDN w:val="0"/>
        <w:adjustRightInd w:val="0"/>
        <w:ind w:left="720"/>
        <w:rPr>
          <w:b/>
          <w:color w:val="000000"/>
          <w:sz w:val="22"/>
          <w:szCs w:val="22"/>
          <w:u w:val="single"/>
        </w:rPr>
      </w:pPr>
      <w:r w:rsidRPr="00F51084">
        <w:rPr>
          <w:b/>
          <w:color w:val="000000"/>
          <w:sz w:val="22"/>
          <w:szCs w:val="22"/>
          <w:u w:val="single"/>
        </w:rPr>
        <w:t xml:space="preserve">OCIO-DOJ IT Management </w:t>
      </w:r>
    </w:p>
    <w:p w:rsidR="008967E5" w:rsidRDefault="008967E5" w:rsidP="00594FED">
      <w:pPr>
        <w:autoSpaceDE w:val="0"/>
        <w:autoSpaceDN w:val="0"/>
        <w:adjustRightInd w:val="0"/>
        <w:rPr>
          <w:b/>
          <w:color w:val="000000"/>
          <w:sz w:val="22"/>
          <w:szCs w:val="22"/>
        </w:rPr>
      </w:pPr>
    </w:p>
    <w:p w:rsidR="008967E5" w:rsidRPr="0075386D" w:rsidRDefault="008967E5" w:rsidP="0029264F">
      <w:pPr>
        <w:autoSpaceDE w:val="0"/>
        <w:autoSpaceDN w:val="0"/>
        <w:adjustRightInd w:val="0"/>
        <w:ind w:left="720"/>
        <w:rPr>
          <w:rFonts w:cs="Arial"/>
          <w:sz w:val="22"/>
          <w:szCs w:val="20"/>
        </w:rPr>
      </w:pPr>
      <w:r w:rsidRPr="0075386D">
        <w:rPr>
          <w:rFonts w:cs="Arial"/>
          <w:sz w:val="22"/>
          <w:szCs w:val="20"/>
        </w:rPr>
        <w:t>JIST funds the Policy &amp; Plannin</w:t>
      </w:r>
      <w:r>
        <w:rPr>
          <w:rFonts w:cs="Arial"/>
          <w:sz w:val="22"/>
          <w:szCs w:val="20"/>
        </w:rPr>
        <w:t xml:space="preserve">g Staff (PPS) that supports </w:t>
      </w:r>
      <w:r w:rsidRPr="0075386D">
        <w:rPr>
          <w:rFonts w:cs="Arial"/>
          <w:sz w:val="22"/>
          <w:szCs w:val="20"/>
        </w:rPr>
        <w:t>CIO management</w:t>
      </w:r>
      <w:r>
        <w:rPr>
          <w:rFonts w:cs="Arial"/>
          <w:sz w:val="22"/>
          <w:szCs w:val="20"/>
        </w:rPr>
        <w:t xml:space="preserve"> in complying </w:t>
      </w:r>
      <w:r w:rsidRPr="0075386D">
        <w:rPr>
          <w:rFonts w:cs="Arial"/>
          <w:sz w:val="22"/>
          <w:szCs w:val="20"/>
        </w:rPr>
        <w:t>with the Clinger-Cohen Act and other applicable laws, rules, and regulations</w:t>
      </w:r>
      <w:r>
        <w:rPr>
          <w:rFonts w:cs="Arial"/>
          <w:sz w:val="22"/>
          <w:szCs w:val="20"/>
        </w:rPr>
        <w:t xml:space="preserve"> for federal </w:t>
      </w:r>
      <w:r w:rsidRPr="0075386D">
        <w:rPr>
          <w:rFonts w:cs="Arial"/>
          <w:sz w:val="22"/>
          <w:szCs w:val="20"/>
        </w:rPr>
        <w:t>information resource management.  PPS develops, implements, and oversees an integrated approach for effectively and effici</w:t>
      </w:r>
      <w:r>
        <w:rPr>
          <w:rFonts w:cs="Arial"/>
          <w:sz w:val="22"/>
          <w:szCs w:val="20"/>
        </w:rPr>
        <w:t xml:space="preserve">ently planning and managing </w:t>
      </w:r>
      <w:r w:rsidRPr="0075386D">
        <w:rPr>
          <w:rFonts w:cs="Arial"/>
          <w:sz w:val="22"/>
          <w:szCs w:val="20"/>
        </w:rPr>
        <w:t>DOJ</w:t>
      </w:r>
      <w:r>
        <w:rPr>
          <w:rFonts w:cs="Arial"/>
          <w:sz w:val="22"/>
          <w:szCs w:val="20"/>
        </w:rPr>
        <w:t>’s</w:t>
      </w:r>
      <w:r w:rsidRPr="0075386D">
        <w:rPr>
          <w:rFonts w:cs="Arial"/>
          <w:sz w:val="22"/>
          <w:szCs w:val="20"/>
        </w:rPr>
        <w:t xml:space="preserve"> information </w:t>
      </w:r>
      <w:r>
        <w:rPr>
          <w:rFonts w:cs="Arial"/>
          <w:sz w:val="22"/>
          <w:szCs w:val="20"/>
        </w:rPr>
        <w:t>technology resources.  PPS</w:t>
      </w:r>
      <w:r w:rsidRPr="0075386D">
        <w:rPr>
          <w:rFonts w:cs="Arial"/>
          <w:sz w:val="22"/>
          <w:szCs w:val="20"/>
        </w:rPr>
        <w:t xml:space="preserve"> perform</w:t>
      </w:r>
      <w:r>
        <w:rPr>
          <w:rFonts w:cs="Arial"/>
          <w:sz w:val="22"/>
          <w:szCs w:val="20"/>
        </w:rPr>
        <w:t>s these responsibilities by managing</w:t>
      </w:r>
      <w:r w:rsidRPr="0075386D">
        <w:rPr>
          <w:rFonts w:cs="Arial"/>
          <w:sz w:val="22"/>
          <w:szCs w:val="20"/>
        </w:rPr>
        <w:t xml:space="preserve"> the fo</w:t>
      </w:r>
      <w:r>
        <w:rPr>
          <w:rFonts w:cs="Arial"/>
          <w:sz w:val="22"/>
          <w:szCs w:val="20"/>
        </w:rPr>
        <w:t>llowing Department-wide processes</w:t>
      </w:r>
      <w:r w:rsidRPr="0075386D">
        <w:rPr>
          <w:rFonts w:cs="Arial"/>
          <w:sz w:val="22"/>
          <w:szCs w:val="20"/>
        </w:rPr>
        <w:t>:  CIO Council, Department Investment Review Board (DIRB), IT Strategic Planning, IT Audits, Enterprise Architecture, IT Governance, IT Investment</w:t>
      </w:r>
      <w:r>
        <w:rPr>
          <w:rFonts w:cs="Arial"/>
          <w:sz w:val="22"/>
          <w:szCs w:val="20"/>
        </w:rPr>
        <w:t>,</w:t>
      </w:r>
      <w:r w:rsidRPr="0075386D">
        <w:rPr>
          <w:rFonts w:cs="Arial"/>
          <w:sz w:val="22"/>
          <w:szCs w:val="20"/>
        </w:rPr>
        <w:t xml:space="preserve"> and Paperwork Reduction Act</w:t>
      </w:r>
      <w:r>
        <w:rPr>
          <w:rFonts w:cs="Arial"/>
          <w:sz w:val="22"/>
          <w:szCs w:val="20"/>
        </w:rPr>
        <w:t xml:space="preserve"> program</w:t>
      </w:r>
      <w:r w:rsidRPr="0075386D">
        <w:rPr>
          <w:rFonts w:cs="Arial"/>
          <w:sz w:val="22"/>
          <w:szCs w:val="20"/>
        </w:rPr>
        <w:t>.</w:t>
      </w:r>
    </w:p>
    <w:p w:rsidR="008967E5" w:rsidRPr="0075386D" w:rsidRDefault="008967E5" w:rsidP="0029264F">
      <w:pPr>
        <w:ind w:left="720"/>
        <w:rPr>
          <w:rFonts w:cs="Arial"/>
          <w:sz w:val="22"/>
          <w:szCs w:val="20"/>
        </w:rPr>
      </w:pPr>
    </w:p>
    <w:p w:rsidR="008967E5" w:rsidRDefault="008967E5" w:rsidP="0029264F">
      <w:pPr>
        <w:ind w:left="720"/>
        <w:rPr>
          <w:rFonts w:cs="Arial"/>
          <w:sz w:val="22"/>
          <w:szCs w:val="20"/>
        </w:rPr>
      </w:pPr>
      <w:r w:rsidRPr="0075386D">
        <w:rPr>
          <w:rFonts w:cs="Arial"/>
          <w:sz w:val="22"/>
          <w:szCs w:val="20"/>
        </w:rPr>
        <w:t xml:space="preserve">PPS includes groups responsible for </w:t>
      </w:r>
      <w:r>
        <w:rPr>
          <w:rFonts w:cs="Arial"/>
          <w:sz w:val="22"/>
          <w:szCs w:val="20"/>
        </w:rPr>
        <w:t xml:space="preserve">IT investment management (ITIM), </w:t>
      </w:r>
      <w:r w:rsidRPr="0075386D">
        <w:rPr>
          <w:rFonts w:cs="Arial"/>
          <w:sz w:val="22"/>
          <w:szCs w:val="20"/>
        </w:rPr>
        <w:t xml:space="preserve">enterprise architecture (EA) and infrastructure architecture (IA).  </w:t>
      </w:r>
      <w:r>
        <w:rPr>
          <w:rFonts w:cs="Arial"/>
          <w:sz w:val="22"/>
          <w:szCs w:val="20"/>
        </w:rPr>
        <w:t xml:space="preserve">The ITIM planning and governance group manages the Department’s IT investment and budget planning processes, develops and maintains the Department’s general IT program policy and guidance documents, and coordinates the activities of the Department IT Investment Review Board and Department CIO Council for the Department CIO.  Other responsibilities include managing the Department’s Paperwork Reduction Act program, coordinating IT program audits, and ensuring IT program compliance with records management, accessibility, and other statutory </w:t>
      </w:r>
      <w:r w:rsidRPr="00687EAB">
        <w:rPr>
          <w:rFonts w:cs="Arial"/>
          <w:sz w:val="22"/>
          <w:szCs w:val="20"/>
        </w:rPr>
        <w:t xml:space="preserve">requirements.  </w:t>
      </w:r>
    </w:p>
    <w:p w:rsidR="008967E5" w:rsidRDefault="008967E5" w:rsidP="0029264F">
      <w:pPr>
        <w:ind w:left="720"/>
        <w:rPr>
          <w:rFonts w:cs="Arial"/>
          <w:sz w:val="22"/>
          <w:szCs w:val="20"/>
        </w:rPr>
      </w:pPr>
    </w:p>
    <w:p w:rsidR="008967E5" w:rsidRDefault="008967E5" w:rsidP="0029264F">
      <w:pPr>
        <w:ind w:left="720"/>
        <w:rPr>
          <w:rFonts w:cs="Arial"/>
          <w:sz w:val="22"/>
          <w:szCs w:val="20"/>
        </w:rPr>
      </w:pPr>
      <w:r w:rsidRPr="00687EAB">
        <w:rPr>
          <w:rFonts w:cs="Arial"/>
          <w:sz w:val="22"/>
          <w:szCs w:val="20"/>
        </w:rPr>
        <w:lastRenderedPageBreak/>
        <w:t>EA monitors and ensures compliance with OMB and GAO enterprise architecture requirements, advises the CIO on strategic priorities, and works to drive these priorities</w:t>
      </w:r>
      <w:r>
        <w:rPr>
          <w:rFonts w:cs="Arial"/>
          <w:sz w:val="22"/>
          <w:szCs w:val="20"/>
        </w:rPr>
        <w:t xml:space="preserve"> to implementation</w:t>
      </w:r>
      <w:r w:rsidRPr="00687EAB">
        <w:rPr>
          <w:rFonts w:cs="Arial"/>
          <w:sz w:val="22"/>
          <w:szCs w:val="20"/>
        </w:rPr>
        <w:t xml:space="preserve">. To achieve these objectives, the chief enterprise architect undertakes/monitors IT strategic planning, documents the Department-wide EA, performs EA governance/coordination across the department, supports investment reviews (DIRB and ITIM), and develops detailed architectures for Department-wide segments, such as information sharing, in collaboration with key stakeholders from across the Department. </w:t>
      </w:r>
      <w:r>
        <w:rPr>
          <w:rFonts w:cs="Arial"/>
          <w:sz w:val="22"/>
          <w:szCs w:val="20"/>
        </w:rPr>
        <w:t xml:space="preserve"> </w:t>
      </w:r>
      <w:r w:rsidRPr="00687EAB">
        <w:rPr>
          <w:rFonts w:cs="Arial"/>
          <w:sz w:val="22"/>
          <w:szCs w:val="20"/>
        </w:rPr>
        <w:t xml:space="preserve">EA also works with various cross-government programs to represent the Department on issues which affect </w:t>
      </w:r>
      <w:r>
        <w:rPr>
          <w:rFonts w:cs="Arial"/>
          <w:sz w:val="22"/>
          <w:szCs w:val="20"/>
        </w:rPr>
        <w:t xml:space="preserve">IT </w:t>
      </w:r>
      <w:r w:rsidRPr="00687EAB">
        <w:rPr>
          <w:rFonts w:cs="Arial"/>
          <w:sz w:val="22"/>
          <w:szCs w:val="20"/>
        </w:rPr>
        <w:t xml:space="preserve">architecture, such as Green IT and information sharing. </w:t>
      </w:r>
    </w:p>
    <w:p w:rsidR="008967E5" w:rsidRDefault="008967E5" w:rsidP="0029264F">
      <w:pPr>
        <w:ind w:left="720"/>
        <w:rPr>
          <w:sz w:val="22"/>
          <w:szCs w:val="22"/>
        </w:rPr>
      </w:pPr>
    </w:p>
    <w:p w:rsidR="008967E5" w:rsidRDefault="008967E5" w:rsidP="0029264F">
      <w:pPr>
        <w:ind w:left="720"/>
        <w:rPr>
          <w:sz w:val="22"/>
          <w:szCs w:val="22"/>
        </w:rPr>
      </w:pPr>
      <w:r w:rsidRPr="00687EAB">
        <w:rPr>
          <w:sz w:val="22"/>
          <w:szCs w:val="22"/>
        </w:rPr>
        <w:t>IA is the tactical side of EA.  This group is responsible for coordinating the Department’s infrastructure initiatives; coordinating the Department’s participation in OMB infrastructure initiatives such as data center consolidation, cloud computing, and power consumption reduction; performing assessments of enterprise infrastructure; and providing IA consultation with PMOs. To execute these responsibilities, IA conducts Department level reviews and analyses, validates technical approaches with respect to architecture, assesses development and deployment approaches, makes recommendations for improving DOJ infrastructure performance and cost efficiency, and prepares technical analyses and reports for the Department CIO and external authority.</w:t>
      </w:r>
    </w:p>
    <w:p w:rsidR="008967E5" w:rsidRDefault="008967E5" w:rsidP="0029264F">
      <w:pPr>
        <w:ind w:left="720"/>
        <w:rPr>
          <w:sz w:val="22"/>
          <w:szCs w:val="22"/>
        </w:rPr>
      </w:pPr>
    </w:p>
    <w:p w:rsidR="008967E5" w:rsidRPr="0068172F" w:rsidRDefault="008967E5" w:rsidP="0068172F">
      <w:pPr>
        <w:ind w:left="720"/>
        <w:sectPr w:rsidR="008967E5" w:rsidRPr="0068172F" w:rsidSect="0019544A">
          <w:pgSz w:w="12240" w:h="15840" w:code="1"/>
          <w:pgMar w:top="1440" w:right="1440" w:bottom="1440" w:left="1440" w:header="432" w:footer="432" w:gutter="0"/>
          <w:cols w:space="720"/>
          <w:docGrid w:linePitch="326"/>
        </w:sectPr>
      </w:pPr>
    </w:p>
    <w:tbl>
      <w:tblPr>
        <w:tblW w:w="12068" w:type="dxa"/>
        <w:tblInd w:w="93" w:type="dxa"/>
        <w:tblLayout w:type="fixed"/>
        <w:tblLook w:val="0000"/>
      </w:tblPr>
      <w:tblGrid>
        <w:gridCol w:w="1220"/>
        <w:gridCol w:w="3295"/>
        <w:gridCol w:w="540"/>
        <w:gridCol w:w="900"/>
        <w:gridCol w:w="540"/>
        <w:gridCol w:w="900"/>
        <w:gridCol w:w="720"/>
        <w:gridCol w:w="900"/>
        <w:gridCol w:w="540"/>
        <w:gridCol w:w="1005"/>
        <w:gridCol w:w="608"/>
        <w:gridCol w:w="900"/>
      </w:tblGrid>
      <w:tr w:rsidR="008967E5" w:rsidTr="00F21801">
        <w:trPr>
          <w:trHeight w:val="520"/>
        </w:trPr>
        <w:tc>
          <w:tcPr>
            <w:tcW w:w="12068" w:type="dxa"/>
            <w:gridSpan w:val="12"/>
            <w:tcBorders>
              <w:top w:val="single" w:sz="8" w:space="0" w:color="auto"/>
              <w:left w:val="single" w:sz="8" w:space="0" w:color="auto"/>
              <w:bottom w:val="single" w:sz="4" w:space="0" w:color="auto"/>
              <w:right w:val="single" w:sz="8" w:space="0" w:color="000000"/>
            </w:tcBorders>
            <w:vAlign w:val="center"/>
          </w:tcPr>
          <w:p w:rsidR="008967E5" w:rsidRDefault="008967E5" w:rsidP="00F21801">
            <w:pPr>
              <w:jc w:val="center"/>
              <w:rPr>
                <w:rFonts w:ascii="Arial" w:hAnsi="Arial" w:cs="Arial"/>
                <w:b/>
                <w:bCs/>
                <w:sz w:val="20"/>
                <w:szCs w:val="20"/>
              </w:rPr>
            </w:pPr>
            <w:r>
              <w:rPr>
                <w:rFonts w:ascii="Arial" w:hAnsi="Arial" w:cs="Arial"/>
                <w:b/>
                <w:bCs/>
                <w:sz w:val="20"/>
                <w:szCs w:val="20"/>
              </w:rPr>
              <w:lastRenderedPageBreak/>
              <w:t>PERFORMANCE AND RESOURCES TABLE</w:t>
            </w:r>
          </w:p>
        </w:tc>
      </w:tr>
      <w:tr w:rsidR="008967E5" w:rsidTr="00F21801">
        <w:trPr>
          <w:trHeight w:val="255"/>
        </w:trPr>
        <w:tc>
          <w:tcPr>
            <w:tcW w:w="12068" w:type="dxa"/>
            <w:gridSpan w:val="12"/>
            <w:tcBorders>
              <w:top w:val="nil"/>
              <w:left w:val="single" w:sz="8" w:space="0" w:color="auto"/>
              <w:bottom w:val="single" w:sz="4" w:space="0" w:color="auto"/>
              <w:right w:val="single" w:sz="8" w:space="0" w:color="000000"/>
            </w:tcBorders>
            <w:vAlign w:val="bottom"/>
          </w:tcPr>
          <w:p w:rsidR="008967E5" w:rsidRDefault="008967E5" w:rsidP="00F21801">
            <w:pPr>
              <w:rPr>
                <w:rFonts w:ascii="Arial" w:hAnsi="Arial" w:cs="Arial"/>
                <w:b/>
                <w:bCs/>
                <w:sz w:val="20"/>
                <w:szCs w:val="20"/>
              </w:rPr>
            </w:pPr>
            <w:r>
              <w:rPr>
                <w:rFonts w:ascii="Arial" w:hAnsi="Arial" w:cs="Arial"/>
                <w:b/>
                <w:bCs/>
                <w:sz w:val="20"/>
                <w:szCs w:val="20"/>
              </w:rPr>
              <w:t xml:space="preserve">Decision Unit: </w:t>
            </w:r>
            <w:r>
              <w:rPr>
                <w:rFonts w:ascii="Arial" w:hAnsi="Arial" w:cs="Arial"/>
                <w:sz w:val="20"/>
                <w:szCs w:val="20"/>
              </w:rPr>
              <w:t>JMD/OCIO/Justice Information Sharing Technology (JIST)</w:t>
            </w:r>
          </w:p>
        </w:tc>
      </w:tr>
      <w:tr w:rsidR="008967E5" w:rsidTr="00F21801">
        <w:trPr>
          <w:trHeight w:val="270"/>
        </w:trPr>
        <w:tc>
          <w:tcPr>
            <w:tcW w:w="12068" w:type="dxa"/>
            <w:gridSpan w:val="12"/>
            <w:tcBorders>
              <w:top w:val="nil"/>
              <w:left w:val="single" w:sz="8" w:space="0" w:color="auto"/>
              <w:bottom w:val="nil"/>
              <w:right w:val="single" w:sz="8" w:space="0" w:color="000000"/>
            </w:tcBorders>
            <w:vAlign w:val="bottom"/>
          </w:tcPr>
          <w:p w:rsidR="008967E5" w:rsidRDefault="008967E5" w:rsidP="00F21801">
            <w:pPr>
              <w:rPr>
                <w:rFonts w:ascii="Arial" w:hAnsi="Arial" w:cs="Arial"/>
                <w:b/>
                <w:bCs/>
                <w:sz w:val="20"/>
                <w:szCs w:val="20"/>
              </w:rPr>
            </w:pPr>
            <w:r>
              <w:rPr>
                <w:rFonts w:ascii="Arial" w:hAnsi="Arial" w:cs="Arial"/>
                <w:b/>
                <w:bCs/>
                <w:sz w:val="20"/>
                <w:szCs w:val="20"/>
              </w:rPr>
              <w:t xml:space="preserve">DOJ Strategic Goal/Objective: </w:t>
            </w:r>
            <w:r>
              <w:rPr>
                <w:rFonts w:ascii="Arial" w:hAnsi="Arial" w:cs="Arial"/>
                <w:sz w:val="20"/>
                <w:szCs w:val="20"/>
              </w:rPr>
              <w:t>Overall Mission Support Thru IT / Protecting America from the threat of terrorism</w:t>
            </w:r>
          </w:p>
        </w:tc>
      </w:tr>
      <w:tr w:rsidR="008967E5" w:rsidTr="00F21801">
        <w:trPr>
          <w:trHeight w:val="465"/>
        </w:trPr>
        <w:tc>
          <w:tcPr>
            <w:tcW w:w="4515" w:type="dxa"/>
            <w:gridSpan w:val="2"/>
            <w:tcBorders>
              <w:top w:val="single" w:sz="8" w:space="0" w:color="auto"/>
              <w:left w:val="single" w:sz="8" w:space="0" w:color="auto"/>
              <w:bottom w:val="single" w:sz="4" w:space="0" w:color="auto"/>
              <w:right w:val="single" w:sz="4" w:space="0" w:color="auto"/>
            </w:tcBorders>
            <w:vAlign w:val="bottom"/>
          </w:tcPr>
          <w:p w:rsidR="008967E5" w:rsidRDefault="008967E5" w:rsidP="00F21801">
            <w:pPr>
              <w:rPr>
                <w:rFonts w:ascii="Arial" w:hAnsi="Arial" w:cs="Arial"/>
                <w:b/>
                <w:bCs/>
                <w:sz w:val="20"/>
                <w:szCs w:val="20"/>
              </w:rPr>
            </w:pPr>
            <w:r>
              <w:rPr>
                <w:rFonts w:ascii="Arial" w:hAnsi="Arial" w:cs="Arial"/>
                <w:b/>
                <w:bCs/>
                <w:sz w:val="20"/>
                <w:szCs w:val="20"/>
              </w:rPr>
              <w:t>WORKLOAD/ RESOURCES</w:t>
            </w:r>
          </w:p>
        </w:tc>
        <w:tc>
          <w:tcPr>
            <w:tcW w:w="1440" w:type="dxa"/>
            <w:gridSpan w:val="2"/>
            <w:tcBorders>
              <w:top w:val="single" w:sz="8" w:space="0" w:color="auto"/>
              <w:left w:val="nil"/>
              <w:bottom w:val="single" w:sz="4" w:space="0" w:color="auto"/>
              <w:right w:val="single" w:sz="4" w:space="0" w:color="auto"/>
            </w:tcBorders>
            <w:vAlign w:val="center"/>
          </w:tcPr>
          <w:p w:rsidR="008967E5" w:rsidRDefault="008967E5" w:rsidP="00F21801">
            <w:pPr>
              <w:jc w:val="center"/>
              <w:rPr>
                <w:rFonts w:ascii="Arial" w:hAnsi="Arial" w:cs="Arial"/>
                <w:b/>
                <w:bCs/>
                <w:sz w:val="16"/>
                <w:szCs w:val="16"/>
              </w:rPr>
            </w:pPr>
            <w:r>
              <w:rPr>
                <w:rFonts w:ascii="Arial" w:hAnsi="Arial" w:cs="Arial"/>
                <w:b/>
                <w:bCs/>
                <w:sz w:val="16"/>
                <w:szCs w:val="16"/>
              </w:rPr>
              <w:t>Final Target</w:t>
            </w:r>
          </w:p>
        </w:tc>
        <w:tc>
          <w:tcPr>
            <w:tcW w:w="1440" w:type="dxa"/>
            <w:gridSpan w:val="2"/>
            <w:tcBorders>
              <w:top w:val="single" w:sz="8" w:space="0" w:color="auto"/>
              <w:left w:val="nil"/>
              <w:bottom w:val="single" w:sz="4" w:space="0" w:color="auto"/>
              <w:right w:val="single" w:sz="4" w:space="0" w:color="auto"/>
            </w:tcBorders>
            <w:shd w:val="clear" w:color="auto" w:fill="C0C0C0"/>
            <w:vAlign w:val="center"/>
          </w:tcPr>
          <w:p w:rsidR="008967E5" w:rsidRDefault="008967E5" w:rsidP="00F21801">
            <w:pPr>
              <w:jc w:val="center"/>
              <w:rPr>
                <w:rFonts w:ascii="Arial" w:hAnsi="Arial" w:cs="Arial"/>
                <w:b/>
                <w:bCs/>
                <w:sz w:val="16"/>
                <w:szCs w:val="16"/>
              </w:rPr>
            </w:pPr>
            <w:r>
              <w:rPr>
                <w:rFonts w:ascii="Arial" w:hAnsi="Arial" w:cs="Arial"/>
                <w:b/>
                <w:bCs/>
                <w:sz w:val="16"/>
                <w:szCs w:val="16"/>
              </w:rPr>
              <w:t>Actual</w:t>
            </w:r>
          </w:p>
        </w:tc>
        <w:tc>
          <w:tcPr>
            <w:tcW w:w="1620" w:type="dxa"/>
            <w:gridSpan w:val="2"/>
            <w:tcBorders>
              <w:top w:val="single" w:sz="8" w:space="0" w:color="auto"/>
              <w:left w:val="nil"/>
              <w:bottom w:val="single" w:sz="4" w:space="0" w:color="auto"/>
              <w:right w:val="single" w:sz="4" w:space="0" w:color="auto"/>
            </w:tcBorders>
            <w:vAlign w:val="center"/>
          </w:tcPr>
          <w:p w:rsidR="008967E5" w:rsidRDefault="008967E5" w:rsidP="00F21801">
            <w:pPr>
              <w:jc w:val="center"/>
              <w:rPr>
                <w:rFonts w:ascii="Arial" w:hAnsi="Arial" w:cs="Arial"/>
                <w:b/>
                <w:bCs/>
                <w:sz w:val="16"/>
                <w:szCs w:val="16"/>
              </w:rPr>
            </w:pPr>
            <w:r>
              <w:rPr>
                <w:rFonts w:ascii="Arial" w:hAnsi="Arial" w:cs="Arial"/>
                <w:b/>
                <w:bCs/>
                <w:sz w:val="16"/>
                <w:szCs w:val="16"/>
              </w:rPr>
              <w:t>Projected</w:t>
            </w:r>
          </w:p>
        </w:tc>
        <w:tc>
          <w:tcPr>
            <w:tcW w:w="1545" w:type="dxa"/>
            <w:gridSpan w:val="2"/>
            <w:tcBorders>
              <w:top w:val="single" w:sz="8" w:space="0" w:color="auto"/>
              <w:left w:val="nil"/>
              <w:bottom w:val="single" w:sz="4" w:space="0" w:color="auto"/>
              <w:right w:val="single" w:sz="4" w:space="0" w:color="auto"/>
            </w:tcBorders>
            <w:vAlign w:val="center"/>
          </w:tcPr>
          <w:p w:rsidR="008967E5" w:rsidRDefault="008967E5" w:rsidP="00F21801">
            <w:pPr>
              <w:jc w:val="center"/>
              <w:rPr>
                <w:rFonts w:ascii="Arial" w:hAnsi="Arial" w:cs="Arial"/>
                <w:b/>
                <w:bCs/>
                <w:sz w:val="16"/>
                <w:szCs w:val="16"/>
              </w:rPr>
            </w:pPr>
            <w:r>
              <w:rPr>
                <w:rFonts w:ascii="Arial" w:hAnsi="Arial" w:cs="Arial"/>
                <w:b/>
                <w:bCs/>
                <w:sz w:val="16"/>
                <w:szCs w:val="16"/>
              </w:rPr>
              <w:t>Changes</w:t>
            </w:r>
          </w:p>
        </w:tc>
        <w:tc>
          <w:tcPr>
            <w:tcW w:w="1508" w:type="dxa"/>
            <w:gridSpan w:val="2"/>
            <w:tcBorders>
              <w:top w:val="single" w:sz="8" w:space="0" w:color="auto"/>
              <w:left w:val="nil"/>
              <w:bottom w:val="single" w:sz="4" w:space="0" w:color="auto"/>
              <w:right w:val="single" w:sz="8" w:space="0" w:color="000000"/>
            </w:tcBorders>
            <w:vAlign w:val="center"/>
          </w:tcPr>
          <w:p w:rsidR="008967E5" w:rsidRDefault="008967E5" w:rsidP="00F21801">
            <w:pPr>
              <w:jc w:val="center"/>
              <w:rPr>
                <w:rFonts w:ascii="Arial" w:hAnsi="Arial" w:cs="Arial"/>
                <w:b/>
                <w:bCs/>
                <w:sz w:val="16"/>
                <w:szCs w:val="16"/>
              </w:rPr>
            </w:pPr>
            <w:r>
              <w:rPr>
                <w:rFonts w:ascii="Arial" w:hAnsi="Arial" w:cs="Arial"/>
                <w:b/>
                <w:bCs/>
                <w:sz w:val="16"/>
                <w:szCs w:val="16"/>
              </w:rPr>
              <w:t>Requested (Total)</w:t>
            </w:r>
          </w:p>
        </w:tc>
      </w:tr>
      <w:tr w:rsidR="008967E5" w:rsidTr="00F21801">
        <w:trPr>
          <w:trHeight w:val="900"/>
        </w:trPr>
        <w:tc>
          <w:tcPr>
            <w:tcW w:w="4515" w:type="dxa"/>
            <w:gridSpan w:val="2"/>
            <w:tcBorders>
              <w:top w:val="single" w:sz="4" w:space="0" w:color="auto"/>
              <w:left w:val="single" w:sz="8" w:space="0" w:color="auto"/>
              <w:bottom w:val="single" w:sz="4" w:space="0" w:color="auto"/>
              <w:right w:val="single" w:sz="4" w:space="0" w:color="auto"/>
            </w:tcBorders>
            <w:noWrap/>
            <w:vAlign w:val="bottom"/>
          </w:tcPr>
          <w:p w:rsidR="008967E5" w:rsidRDefault="008967E5" w:rsidP="00F21801">
            <w:pPr>
              <w:rPr>
                <w:rFonts w:ascii="Arial" w:hAnsi="Arial" w:cs="Arial"/>
                <w:sz w:val="20"/>
                <w:szCs w:val="20"/>
              </w:rPr>
            </w:pPr>
            <w:r>
              <w:rPr>
                <w:rFonts w:ascii="Arial" w:hAnsi="Arial" w:cs="Arial"/>
                <w:sz w:val="20"/>
                <w:szCs w:val="20"/>
              </w:rPr>
              <w:t> </w:t>
            </w:r>
          </w:p>
        </w:tc>
        <w:tc>
          <w:tcPr>
            <w:tcW w:w="1440" w:type="dxa"/>
            <w:gridSpan w:val="2"/>
            <w:tcBorders>
              <w:top w:val="single" w:sz="4" w:space="0" w:color="auto"/>
              <w:left w:val="nil"/>
              <w:bottom w:val="single" w:sz="4" w:space="0" w:color="auto"/>
              <w:right w:val="single" w:sz="4" w:space="0" w:color="auto"/>
            </w:tcBorders>
            <w:shd w:val="clear" w:color="FFFFFF" w:fill="FFFFFF"/>
            <w:vAlign w:val="center"/>
          </w:tcPr>
          <w:p w:rsidR="008967E5" w:rsidRDefault="008967E5" w:rsidP="00F21801">
            <w:pPr>
              <w:jc w:val="center"/>
              <w:rPr>
                <w:rFonts w:ascii="Arial" w:hAnsi="Arial" w:cs="Arial"/>
                <w:b/>
                <w:bCs/>
                <w:sz w:val="16"/>
                <w:szCs w:val="16"/>
              </w:rPr>
            </w:pPr>
            <w:r>
              <w:rPr>
                <w:rFonts w:ascii="Arial" w:hAnsi="Arial" w:cs="Arial"/>
                <w:b/>
                <w:bCs/>
                <w:sz w:val="16"/>
                <w:szCs w:val="16"/>
              </w:rPr>
              <w:t>FY 2010</w:t>
            </w:r>
          </w:p>
        </w:tc>
        <w:tc>
          <w:tcPr>
            <w:tcW w:w="1440" w:type="dxa"/>
            <w:gridSpan w:val="2"/>
            <w:tcBorders>
              <w:top w:val="single" w:sz="4" w:space="0" w:color="auto"/>
              <w:left w:val="nil"/>
              <w:bottom w:val="single" w:sz="4" w:space="0" w:color="auto"/>
              <w:right w:val="single" w:sz="4" w:space="0" w:color="auto"/>
            </w:tcBorders>
            <w:shd w:val="clear" w:color="auto" w:fill="C0C0C0"/>
            <w:vAlign w:val="center"/>
          </w:tcPr>
          <w:p w:rsidR="008967E5" w:rsidRDefault="008967E5" w:rsidP="00F21801">
            <w:pPr>
              <w:jc w:val="center"/>
              <w:rPr>
                <w:rFonts w:ascii="Arial" w:hAnsi="Arial" w:cs="Arial"/>
                <w:b/>
                <w:bCs/>
                <w:sz w:val="16"/>
                <w:szCs w:val="16"/>
              </w:rPr>
            </w:pPr>
            <w:r>
              <w:rPr>
                <w:rFonts w:ascii="Arial" w:hAnsi="Arial" w:cs="Arial"/>
                <w:b/>
                <w:bCs/>
                <w:sz w:val="16"/>
                <w:szCs w:val="16"/>
              </w:rPr>
              <w:t>FY 2010</w:t>
            </w:r>
          </w:p>
        </w:tc>
        <w:tc>
          <w:tcPr>
            <w:tcW w:w="1620" w:type="dxa"/>
            <w:gridSpan w:val="2"/>
            <w:tcBorders>
              <w:top w:val="single" w:sz="4" w:space="0" w:color="auto"/>
              <w:left w:val="nil"/>
              <w:bottom w:val="single" w:sz="4" w:space="0" w:color="auto"/>
              <w:right w:val="single" w:sz="4" w:space="0" w:color="auto"/>
            </w:tcBorders>
            <w:vAlign w:val="center"/>
          </w:tcPr>
          <w:p w:rsidR="008967E5" w:rsidRDefault="008967E5" w:rsidP="00F21801">
            <w:pPr>
              <w:jc w:val="center"/>
              <w:rPr>
                <w:rFonts w:ascii="Arial" w:hAnsi="Arial" w:cs="Arial"/>
                <w:b/>
                <w:bCs/>
                <w:sz w:val="16"/>
                <w:szCs w:val="16"/>
              </w:rPr>
            </w:pPr>
            <w:r>
              <w:rPr>
                <w:rFonts w:ascii="Arial" w:hAnsi="Arial" w:cs="Arial"/>
                <w:b/>
                <w:bCs/>
                <w:sz w:val="16"/>
                <w:szCs w:val="16"/>
              </w:rPr>
              <w:t>FY 2011 CR</w:t>
            </w:r>
          </w:p>
        </w:tc>
        <w:tc>
          <w:tcPr>
            <w:tcW w:w="1545" w:type="dxa"/>
            <w:gridSpan w:val="2"/>
            <w:tcBorders>
              <w:top w:val="single" w:sz="4" w:space="0" w:color="auto"/>
              <w:left w:val="nil"/>
              <w:bottom w:val="single" w:sz="4" w:space="0" w:color="auto"/>
              <w:right w:val="single" w:sz="4" w:space="0" w:color="auto"/>
            </w:tcBorders>
            <w:vAlign w:val="center"/>
          </w:tcPr>
          <w:p w:rsidR="008967E5" w:rsidRDefault="008967E5" w:rsidP="00F21801">
            <w:pPr>
              <w:jc w:val="center"/>
              <w:rPr>
                <w:rFonts w:ascii="Arial" w:hAnsi="Arial" w:cs="Arial"/>
                <w:b/>
                <w:bCs/>
                <w:sz w:val="16"/>
                <w:szCs w:val="16"/>
              </w:rPr>
            </w:pPr>
            <w:r>
              <w:rPr>
                <w:rFonts w:ascii="Arial" w:hAnsi="Arial" w:cs="Arial"/>
                <w:b/>
                <w:bCs/>
                <w:sz w:val="16"/>
                <w:szCs w:val="16"/>
              </w:rPr>
              <w:t xml:space="preserve">Current Services Adjustments and FY 2012 Program Change  </w:t>
            </w:r>
          </w:p>
        </w:tc>
        <w:tc>
          <w:tcPr>
            <w:tcW w:w="1508" w:type="dxa"/>
            <w:gridSpan w:val="2"/>
            <w:tcBorders>
              <w:top w:val="single" w:sz="4" w:space="0" w:color="auto"/>
              <w:left w:val="nil"/>
              <w:bottom w:val="single" w:sz="4" w:space="0" w:color="auto"/>
              <w:right w:val="single" w:sz="8" w:space="0" w:color="000000"/>
            </w:tcBorders>
            <w:noWrap/>
            <w:vAlign w:val="center"/>
          </w:tcPr>
          <w:p w:rsidR="008967E5" w:rsidRDefault="008967E5" w:rsidP="00F21801">
            <w:pPr>
              <w:jc w:val="center"/>
              <w:rPr>
                <w:rFonts w:ascii="Arial" w:hAnsi="Arial" w:cs="Arial"/>
                <w:b/>
                <w:bCs/>
                <w:sz w:val="16"/>
                <w:szCs w:val="16"/>
              </w:rPr>
            </w:pPr>
            <w:r>
              <w:rPr>
                <w:rFonts w:ascii="Arial" w:hAnsi="Arial" w:cs="Arial"/>
                <w:b/>
                <w:bCs/>
                <w:sz w:val="16"/>
                <w:szCs w:val="16"/>
              </w:rPr>
              <w:t>FY 2012 Request</w:t>
            </w:r>
          </w:p>
        </w:tc>
      </w:tr>
      <w:tr w:rsidR="008967E5" w:rsidTr="00F21801">
        <w:trPr>
          <w:trHeight w:val="215"/>
        </w:trPr>
        <w:tc>
          <w:tcPr>
            <w:tcW w:w="4515" w:type="dxa"/>
            <w:gridSpan w:val="2"/>
            <w:tcBorders>
              <w:top w:val="single" w:sz="4" w:space="0" w:color="auto"/>
              <w:left w:val="single" w:sz="8" w:space="0" w:color="auto"/>
              <w:bottom w:val="single" w:sz="4" w:space="0" w:color="auto"/>
              <w:right w:val="single" w:sz="4" w:space="0" w:color="000000"/>
            </w:tcBorders>
            <w:noWrap/>
            <w:vAlign w:val="bottom"/>
          </w:tcPr>
          <w:p w:rsidR="008967E5" w:rsidRDefault="008967E5" w:rsidP="00F21801">
            <w:pPr>
              <w:rPr>
                <w:rFonts w:ascii="Arial" w:hAnsi="Arial" w:cs="Arial"/>
                <w:sz w:val="16"/>
                <w:szCs w:val="16"/>
              </w:rPr>
            </w:pPr>
            <w:r>
              <w:rPr>
                <w:rFonts w:ascii="Arial" w:hAnsi="Arial" w:cs="Arial"/>
                <w:sz w:val="16"/>
                <w:szCs w:val="16"/>
              </w:rPr>
              <w:t>Workload</w:t>
            </w:r>
          </w:p>
        </w:tc>
        <w:tc>
          <w:tcPr>
            <w:tcW w:w="1440" w:type="dxa"/>
            <w:gridSpan w:val="2"/>
            <w:tcBorders>
              <w:top w:val="single" w:sz="4" w:space="0" w:color="auto"/>
              <w:left w:val="nil"/>
              <w:bottom w:val="single" w:sz="4" w:space="0" w:color="auto"/>
              <w:right w:val="single" w:sz="4" w:space="0" w:color="000000"/>
            </w:tcBorders>
            <w:noWrap/>
            <w:vAlign w:val="center"/>
          </w:tcPr>
          <w:p w:rsidR="008967E5" w:rsidRDefault="008967E5" w:rsidP="00F21801">
            <w:pPr>
              <w:jc w:val="center"/>
              <w:rPr>
                <w:rFonts w:ascii="Arial" w:hAnsi="Arial" w:cs="Arial"/>
                <w:sz w:val="16"/>
                <w:szCs w:val="16"/>
              </w:rPr>
            </w:pPr>
            <w:r>
              <w:rPr>
                <w:rFonts w:ascii="Arial" w:hAnsi="Arial" w:cs="Arial"/>
                <w:sz w:val="16"/>
                <w:szCs w:val="16"/>
              </w:rPr>
              <w:t> </w:t>
            </w:r>
          </w:p>
        </w:tc>
        <w:tc>
          <w:tcPr>
            <w:tcW w:w="1440" w:type="dxa"/>
            <w:gridSpan w:val="2"/>
            <w:tcBorders>
              <w:top w:val="single" w:sz="4" w:space="0" w:color="auto"/>
              <w:left w:val="nil"/>
              <w:bottom w:val="single" w:sz="4" w:space="0" w:color="auto"/>
              <w:right w:val="single" w:sz="4" w:space="0" w:color="000000"/>
            </w:tcBorders>
            <w:shd w:val="clear" w:color="auto" w:fill="C0C0C0"/>
            <w:noWrap/>
            <w:vAlign w:val="center"/>
          </w:tcPr>
          <w:p w:rsidR="008967E5" w:rsidRDefault="008967E5" w:rsidP="00F21801">
            <w:pPr>
              <w:jc w:val="center"/>
              <w:rPr>
                <w:rFonts w:ascii="Arial" w:hAnsi="Arial" w:cs="Arial"/>
                <w:sz w:val="16"/>
                <w:szCs w:val="16"/>
              </w:rPr>
            </w:pPr>
            <w:r>
              <w:rPr>
                <w:rFonts w:ascii="Arial" w:hAnsi="Arial" w:cs="Arial"/>
                <w:sz w:val="16"/>
                <w:szCs w:val="16"/>
              </w:rPr>
              <w:t> </w:t>
            </w:r>
          </w:p>
        </w:tc>
        <w:tc>
          <w:tcPr>
            <w:tcW w:w="1620" w:type="dxa"/>
            <w:gridSpan w:val="2"/>
            <w:tcBorders>
              <w:top w:val="single" w:sz="4" w:space="0" w:color="auto"/>
              <w:left w:val="nil"/>
              <w:bottom w:val="single" w:sz="4" w:space="0" w:color="auto"/>
              <w:right w:val="single" w:sz="4" w:space="0" w:color="000000"/>
            </w:tcBorders>
            <w:noWrap/>
            <w:vAlign w:val="center"/>
          </w:tcPr>
          <w:p w:rsidR="008967E5" w:rsidRDefault="008967E5" w:rsidP="00F21801">
            <w:pPr>
              <w:jc w:val="center"/>
              <w:rPr>
                <w:rFonts w:ascii="Arial" w:hAnsi="Arial" w:cs="Arial"/>
                <w:sz w:val="16"/>
                <w:szCs w:val="16"/>
              </w:rPr>
            </w:pPr>
            <w:r>
              <w:rPr>
                <w:rFonts w:ascii="Arial" w:hAnsi="Arial" w:cs="Arial"/>
                <w:sz w:val="16"/>
                <w:szCs w:val="16"/>
              </w:rPr>
              <w:t> </w:t>
            </w:r>
          </w:p>
        </w:tc>
        <w:tc>
          <w:tcPr>
            <w:tcW w:w="1545" w:type="dxa"/>
            <w:gridSpan w:val="2"/>
            <w:tcBorders>
              <w:top w:val="single" w:sz="4" w:space="0" w:color="auto"/>
              <w:left w:val="nil"/>
              <w:bottom w:val="single" w:sz="4" w:space="0" w:color="auto"/>
              <w:right w:val="single" w:sz="4" w:space="0" w:color="000000"/>
            </w:tcBorders>
            <w:noWrap/>
            <w:vAlign w:val="center"/>
          </w:tcPr>
          <w:p w:rsidR="008967E5" w:rsidRDefault="008967E5" w:rsidP="00F21801">
            <w:pPr>
              <w:jc w:val="center"/>
              <w:rPr>
                <w:rFonts w:ascii="Arial" w:hAnsi="Arial" w:cs="Arial"/>
                <w:sz w:val="16"/>
                <w:szCs w:val="16"/>
              </w:rPr>
            </w:pPr>
            <w:r>
              <w:rPr>
                <w:rFonts w:ascii="Arial" w:hAnsi="Arial" w:cs="Arial"/>
                <w:sz w:val="16"/>
                <w:szCs w:val="16"/>
              </w:rPr>
              <w:t> </w:t>
            </w:r>
          </w:p>
        </w:tc>
        <w:tc>
          <w:tcPr>
            <w:tcW w:w="1508" w:type="dxa"/>
            <w:gridSpan w:val="2"/>
            <w:tcBorders>
              <w:top w:val="single" w:sz="4" w:space="0" w:color="auto"/>
              <w:left w:val="nil"/>
              <w:bottom w:val="single" w:sz="4" w:space="0" w:color="auto"/>
              <w:right w:val="single" w:sz="8" w:space="0" w:color="000000"/>
            </w:tcBorders>
            <w:noWrap/>
            <w:vAlign w:val="center"/>
          </w:tcPr>
          <w:p w:rsidR="008967E5" w:rsidRDefault="008967E5" w:rsidP="00F21801">
            <w:pPr>
              <w:jc w:val="center"/>
              <w:rPr>
                <w:rFonts w:ascii="Arial" w:hAnsi="Arial" w:cs="Arial"/>
                <w:sz w:val="16"/>
                <w:szCs w:val="16"/>
              </w:rPr>
            </w:pPr>
            <w:r>
              <w:rPr>
                <w:rFonts w:ascii="Arial" w:hAnsi="Arial" w:cs="Arial"/>
                <w:sz w:val="16"/>
                <w:szCs w:val="16"/>
              </w:rPr>
              <w:t> </w:t>
            </w:r>
          </w:p>
        </w:tc>
      </w:tr>
      <w:tr w:rsidR="008967E5" w:rsidTr="00F21801">
        <w:trPr>
          <w:trHeight w:val="170"/>
        </w:trPr>
        <w:tc>
          <w:tcPr>
            <w:tcW w:w="4515" w:type="dxa"/>
            <w:gridSpan w:val="2"/>
            <w:tcBorders>
              <w:top w:val="single" w:sz="4" w:space="0" w:color="auto"/>
              <w:left w:val="single" w:sz="8" w:space="0" w:color="auto"/>
              <w:bottom w:val="single" w:sz="4" w:space="0" w:color="auto"/>
              <w:right w:val="single" w:sz="4" w:space="0" w:color="auto"/>
            </w:tcBorders>
            <w:noWrap/>
            <w:vAlign w:val="bottom"/>
          </w:tcPr>
          <w:p w:rsidR="008967E5" w:rsidRDefault="008967E5" w:rsidP="00F21801">
            <w:pPr>
              <w:rPr>
                <w:rFonts w:ascii="Arial" w:hAnsi="Arial" w:cs="Arial"/>
                <w:b/>
                <w:bCs/>
                <w:sz w:val="16"/>
                <w:szCs w:val="16"/>
              </w:rPr>
            </w:pPr>
            <w:r>
              <w:rPr>
                <w:rFonts w:ascii="Arial" w:hAnsi="Arial" w:cs="Arial"/>
                <w:b/>
                <w:bCs/>
                <w:sz w:val="16"/>
                <w:szCs w:val="16"/>
              </w:rPr>
              <w:t> </w:t>
            </w:r>
          </w:p>
        </w:tc>
        <w:tc>
          <w:tcPr>
            <w:tcW w:w="1440" w:type="dxa"/>
            <w:gridSpan w:val="2"/>
            <w:tcBorders>
              <w:top w:val="single" w:sz="4" w:space="0" w:color="auto"/>
              <w:left w:val="nil"/>
              <w:bottom w:val="single" w:sz="4" w:space="0" w:color="auto"/>
              <w:right w:val="single" w:sz="4" w:space="0" w:color="000000"/>
            </w:tcBorders>
            <w:noWrap/>
            <w:vAlign w:val="bottom"/>
          </w:tcPr>
          <w:p w:rsidR="008967E5" w:rsidRDefault="008967E5" w:rsidP="00F21801">
            <w:pPr>
              <w:jc w:val="center"/>
              <w:rPr>
                <w:rFonts w:ascii="Arial" w:hAnsi="Arial" w:cs="Arial"/>
                <w:b/>
                <w:bCs/>
                <w:sz w:val="16"/>
                <w:szCs w:val="16"/>
              </w:rPr>
            </w:pPr>
            <w:r>
              <w:rPr>
                <w:rFonts w:ascii="Arial" w:hAnsi="Arial" w:cs="Arial"/>
                <w:b/>
                <w:bCs/>
                <w:sz w:val="16"/>
                <w:szCs w:val="16"/>
              </w:rPr>
              <w:t> </w:t>
            </w:r>
          </w:p>
        </w:tc>
        <w:tc>
          <w:tcPr>
            <w:tcW w:w="1440" w:type="dxa"/>
            <w:gridSpan w:val="2"/>
            <w:tcBorders>
              <w:top w:val="single" w:sz="4" w:space="0" w:color="auto"/>
              <w:left w:val="nil"/>
              <w:bottom w:val="single" w:sz="4" w:space="0" w:color="auto"/>
              <w:right w:val="single" w:sz="4" w:space="0" w:color="000000"/>
            </w:tcBorders>
            <w:shd w:val="clear" w:color="auto" w:fill="C0C0C0"/>
            <w:noWrap/>
            <w:vAlign w:val="bottom"/>
          </w:tcPr>
          <w:p w:rsidR="008967E5" w:rsidRDefault="008967E5" w:rsidP="00F21801">
            <w:pPr>
              <w:jc w:val="center"/>
              <w:rPr>
                <w:rFonts w:ascii="Arial" w:hAnsi="Arial" w:cs="Arial"/>
                <w:sz w:val="16"/>
                <w:szCs w:val="16"/>
              </w:rPr>
            </w:pPr>
            <w:r>
              <w:rPr>
                <w:rFonts w:ascii="Arial" w:hAnsi="Arial" w:cs="Arial"/>
                <w:sz w:val="16"/>
                <w:szCs w:val="16"/>
              </w:rPr>
              <w:t> </w:t>
            </w:r>
          </w:p>
        </w:tc>
        <w:tc>
          <w:tcPr>
            <w:tcW w:w="1620" w:type="dxa"/>
            <w:gridSpan w:val="2"/>
            <w:tcBorders>
              <w:top w:val="single" w:sz="4" w:space="0" w:color="auto"/>
              <w:left w:val="nil"/>
              <w:bottom w:val="single" w:sz="4" w:space="0" w:color="auto"/>
              <w:right w:val="single" w:sz="4" w:space="0" w:color="000000"/>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 </w:t>
            </w:r>
          </w:p>
        </w:tc>
        <w:tc>
          <w:tcPr>
            <w:tcW w:w="1545" w:type="dxa"/>
            <w:gridSpan w:val="2"/>
            <w:tcBorders>
              <w:top w:val="single" w:sz="4" w:space="0" w:color="auto"/>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 </w:t>
            </w:r>
          </w:p>
        </w:tc>
        <w:tc>
          <w:tcPr>
            <w:tcW w:w="1508" w:type="dxa"/>
            <w:gridSpan w:val="2"/>
            <w:tcBorders>
              <w:top w:val="single" w:sz="4" w:space="0" w:color="auto"/>
              <w:left w:val="nil"/>
              <w:bottom w:val="single" w:sz="4" w:space="0" w:color="auto"/>
              <w:right w:val="single" w:sz="8" w:space="0" w:color="000000"/>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 </w:t>
            </w:r>
          </w:p>
        </w:tc>
      </w:tr>
      <w:tr w:rsidR="008967E5" w:rsidTr="00F21801">
        <w:trPr>
          <w:trHeight w:val="450"/>
        </w:trPr>
        <w:tc>
          <w:tcPr>
            <w:tcW w:w="4515" w:type="dxa"/>
            <w:gridSpan w:val="2"/>
            <w:vMerge w:val="restart"/>
            <w:tcBorders>
              <w:top w:val="single" w:sz="4" w:space="0" w:color="auto"/>
              <w:left w:val="single" w:sz="8" w:space="0" w:color="auto"/>
              <w:bottom w:val="single" w:sz="4" w:space="0" w:color="auto"/>
              <w:right w:val="single" w:sz="4" w:space="0" w:color="auto"/>
            </w:tcBorders>
            <w:vAlign w:val="center"/>
          </w:tcPr>
          <w:p w:rsidR="008967E5" w:rsidRDefault="008967E5" w:rsidP="00F21801">
            <w:pPr>
              <w:rPr>
                <w:rFonts w:ascii="Arial" w:hAnsi="Arial" w:cs="Arial"/>
                <w:b/>
                <w:bCs/>
                <w:sz w:val="20"/>
                <w:szCs w:val="20"/>
              </w:rPr>
            </w:pPr>
            <w:r>
              <w:rPr>
                <w:rFonts w:ascii="Arial" w:hAnsi="Arial" w:cs="Arial"/>
                <w:b/>
                <w:bCs/>
                <w:sz w:val="20"/>
                <w:szCs w:val="20"/>
              </w:rPr>
              <w:t>Total Costs and FTE</w:t>
            </w:r>
            <w:r>
              <w:rPr>
                <w:rFonts w:ascii="Arial" w:hAnsi="Arial" w:cs="Arial"/>
                <w:b/>
                <w:bCs/>
                <w:sz w:val="16"/>
                <w:szCs w:val="16"/>
              </w:rPr>
              <w:t xml:space="preserve">                                                                                                                                                                                                                                   </w:t>
            </w:r>
            <w:r>
              <w:rPr>
                <w:rFonts w:ascii="Arial" w:hAnsi="Arial" w:cs="Arial"/>
                <w:sz w:val="16"/>
                <w:szCs w:val="16"/>
              </w:rPr>
              <w:t>(reimbursable FTE are included, but reimbursable costs are bracketed and not included in the total)</w:t>
            </w:r>
          </w:p>
        </w:tc>
        <w:tc>
          <w:tcPr>
            <w:tcW w:w="540" w:type="dxa"/>
            <w:tcBorders>
              <w:top w:val="nil"/>
              <w:left w:val="nil"/>
              <w:bottom w:val="single" w:sz="4" w:space="0" w:color="auto"/>
              <w:right w:val="single" w:sz="4" w:space="0" w:color="auto"/>
            </w:tcBorders>
            <w:vAlign w:val="bottom"/>
          </w:tcPr>
          <w:p w:rsidR="008967E5" w:rsidRDefault="008967E5" w:rsidP="00F21801">
            <w:pPr>
              <w:jc w:val="center"/>
              <w:rPr>
                <w:rFonts w:ascii="Arial" w:hAnsi="Arial" w:cs="Arial"/>
                <w:b/>
                <w:bCs/>
                <w:sz w:val="16"/>
                <w:szCs w:val="16"/>
              </w:rPr>
            </w:pPr>
            <w:r>
              <w:rPr>
                <w:rFonts w:ascii="Arial" w:hAnsi="Arial" w:cs="Arial"/>
                <w:b/>
                <w:bCs/>
                <w:sz w:val="16"/>
                <w:szCs w:val="16"/>
              </w:rPr>
              <w:t>FTE</w:t>
            </w:r>
          </w:p>
        </w:tc>
        <w:tc>
          <w:tcPr>
            <w:tcW w:w="900" w:type="dxa"/>
            <w:tcBorders>
              <w:top w:val="nil"/>
              <w:left w:val="nil"/>
              <w:bottom w:val="single" w:sz="4" w:space="0" w:color="auto"/>
              <w:right w:val="single" w:sz="4" w:space="0" w:color="auto"/>
            </w:tcBorders>
            <w:vAlign w:val="bottom"/>
          </w:tcPr>
          <w:p w:rsidR="008967E5" w:rsidRDefault="008967E5" w:rsidP="00F21801">
            <w:pPr>
              <w:jc w:val="center"/>
              <w:rPr>
                <w:rFonts w:ascii="Arial" w:hAnsi="Arial" w:cs="Arial"/>
                <w:b/>
                <w:bCs/>
                <w:sz w:val="16"/>
                <w:szCs w:val="16"/>
              </w:rPr>
            </w:pPr>
            <w:r>
              <w:rPr>
                <w:rFonts w:ascii="Arial" w:hAnsi="Arial" w:cs="Arial"/>
                <w:b/>
                <w:bCs/>
                <w:sz w:val="16"/>
                <w:szCs w:val="16"/>
              </w:rPr>
              <w:t>$000</w:t>
            </w:r>
          </w:p>
        </w:tc>
        <w:tc>
          <w:tcPr>
            <w:tcW w:w="540" w:type="dxa"/>
            <w:tcBorders>
              <w:top w:val="nil"/>
              <w:left w:val="nil"/>
              <w:bottom w:val="single" w:sz="4" w:space="0" w:color="auto"/>
              <w:right w:val="single" w:sz="4" w:space="0" w:color="auto"/>
            </w:tcBorders>
            <w:shd w:val="clear" w:color="auto" w:fill="C0C0C0"/>
            <w:noWrap/>
            <w:vAlign w:val="bottom"/>
          </w:tcPr>
          <w:p w:rsidR="008967E5" w:rsidRDefault="008967E5" w:rsidP="00F21801">
            <w:pPr>
              <w:jc w:val="center"/>
              <w:rPr>
                <w:rFonts w:ascii="Arial" w:hAnsi="Arial" w:cs="Arial"/>
                <w:b/>
                <w:bCs/>
                <w:sz w:val="16"/>
                <w:szCs w:val="16"/>
              </w:rPr>
            </w:pPr>
            <w:r>
              <w:rPr>
                <w:rFonts w:ascii="Arial" w:hAnsi="Arial" w:cs="Arial"/>
                <w:b/>
                <w:bCs/>
                <w:sz w:val="16"/>
                <w:szCs w:val="16"/>
              </w:rPr>
              <w:t>FTE</w:t>
            </w:r>
          </w:p>
        </w:tc>
        <w:tc>
          <w:tcPr>
            <w:tcW w:w="900" w:type="dxa"/>
            <w:tcBorders>
              <w:top w:val="nil"/>
              <w:left w:val="nil"/>
              <w:bottom w:val="single" w:sz="4" w:space="0" w:color="auto"/>
              <w:right w:val="single" w:sz="4" w:space="0" w:color="auto"/>
            </w:tcBorders>
            <w:shd w:val="clear" w:color="auto" w:fill="C0C0C0"/>
            <w:vAlign w:val="bottom"/>
          </w:tcPr>
          <w:p w:rsidR="008967E5" w:rsidRDefault="008967E5" w:rsidP="00F21801">
            <w:pPr>
              <w:jc w:val="center"/>
              <w:rPr>
                <w:rFonts w:ascii="Arial" w:hAnsi="Arial" w:cs="Arial"/>
                <w:b/>
                <w:bCs/>
                <w:sz w:val="16"/>
                <w:szCs w:val="16"/>
              </w:rPr>
            </w:pPr>
            <w:r>
              <w:rPr>
                <w:rFonts w:ascii="Arial" w:hAnsi="Arial" w:cs="Arial"/>
                <w:b/>
                <w:bCs/>
                <w:sz w:val="16"/>
                <w:szCs w:val="16"/>
              </w:rPr>
              <w:t>$000</w:t>
            </w:r>
          </w:p>
        </w:tc>
        <w:tc>
          <w:tcPr>
            <w:tcW w:w="720" w:type="dxa"/>
            <w:tcBorders>
              <w:top w:val="nil"/>
              <w:left w:val="nil"/>
              <w:bottom w:val="single" w:sz="4" w:space="0" w:color="auto"/>
              <w:right w:val="single" w:sz="4" w:space="0" w:color="auto"/>
            </w:tcBorders>
            <w:noWrap/>
            <w:vAlign w:val="bottom"/>
          </w:tcPr>
          <w:p w:rsidR="008967E5" w:rsidRDefault="008967E5" w:rsidP="00F21801">
            <w:pPr>
              <w:jc w:val="center"/>
              <w:rPr>
                <w:rFonts w:ascii="Arial" w:hAnsi="Arial" w:cs="Arial"/>
                <w:b/>
                <w:bCs/>
                <w:sz w:val="16"/>
                <w:szCs w:val="16"/>
              </w:rPr>
            </w:pPr>
            <w:r>
              <w:rPr>
                <w:rFonts w:ascii="Arial" w:hAnsi="Arial" w:cs="Arial"/>
                <w:b/>
                <w:bCs/>
                <w:sz w:val="16"/>
                <w:szCs w:val="16"/>
              </w:rPr>
              <w:t>FTE</w:t>
            </w:r>
          </w:p>
        </w:tc>
        <w:tc>
          <w:tcPr>
            <w:tcW w:w="900" w:type="dxa"/>
            <w:tcBorders>
              <w:top w:val="nil"/>
              <w:left w:val="nil"/>
              <w:bottom w:val="single" w:sz="4" w:space="0" w:color="auto"/>
              <w:right w:val="single" w:sz="4" w:space="0" w:color="auto"/>
            </w:tcBorders>
            <w:vAlign w:val="bottom"/>
          </w:tcPr>
          <w:p w:rsidR="008967E5" w:rsidRDefault="008967E5" w:rsidP="00F21801">
            <w:pPr>
              <w:jc w:val="center"/>
              <w:rPr>
                <w:rFonts w:ascii="Arial" w:hAnsi="Arial" w:cs="Arial"/>
                <w:b/>
                <w:bCs/>
                <w:sz w:val="16"/>
                <w:szCs w:val="16"/>
              </w:rPr>
            </w:pPr>
            <w:r>
              <w:rPr>
                <w:rFonts w:ascii="Arial" w:hAnsi="Arial" w:cs="Arial"/>
                <w:b/>
                <w:bCs/>
                <w:sz w:val="16"/>
                <w:szCs w:val="16"/>
              </w:rPr>
              <w:t>$000</w:t>
            </w:r>
          </w:p>
        </w:tc>
        <w:tc>
          <w:tcPr>
            <w:tcW w:w="540" w:type="dxa"/>
            <w:tcBorders>
              <w:top w:val="nil"/>
              <w:left w:val="nil"/>
              <w:bottom w:val="single" w:sz="4" w:space="0" w:color="auto"/>
              <w:right w:val="single" w:sz="4" w:space="0" w:color="auto"/>
            </w:tcBorders>
            <w:noWrap/>
            <w:vAlign w:val="bottom"/>
          </w:tcPr>
          <w:p w:rsidR="008967E5" w:rsidRDefault="008967E5" w:rsidP="00F21801">
            <w:pPr>
              <w:jc w:val="center"/>
              <w:rPr>
                <w:rFonts w:ascii="Arial" w:hAnsi="Arial" w:cs="Arial"/>
                <w:b/>
                <w:bCs/>
                <w:sz w:val="16"/>
                <w:szCs w:val="16"/>
              </w:rPr>
            </w:pPr>
            <w:r>
              <w:rPr>
                <w:rFonts w:ascii="Arial" w:hAnsi="Arial" w:cs="Arial"/>
                <w:b/>
                <w:bCs/>
                <w:sz w:val="16"/>
                <w:szCs w:val="16"/>
              </w:rPr>
              <w:t>FTE</w:t>
            </w:r>
          </w:p>
        </w:tc>
        <w:tc>
          <w:tcPr>
            <w:tcW w:w="1005" w:type="dxa"/>
            <w:tcBorders>
              <w:top w:val="nil"/>
              <w:left w:val="nil"/>
              <w:bottom w:val="single" w:sz="4" w:space="0" w:color="auto"/>
              <w:right w:val="single" w:sz="4" w:space="0" w:color="auto"/>
            </w:tcBorders>
            <w:vAlign w:val="bottom"/>
          </w:tcPr>
          <w:p w:rsidR="008967E5" w:rsidRDefault="008967E5" w:rsidP="00F21801">
            <w:pPr>
              <w:jc w:val="center"/>
              <w:rPr>
                <w:rFonts w:ascii="Arial" w:hAnsi="Arial" w:cs="Arial"/>
                <w:b/>
                <w:bCs/>
                <w:sz w:val="16"/>
                <w:szCs w:val="16"/>
              </w:rPr>
            </w:pPr>
            <w:r>
              <w:rPr>
                <w:rFonts w:ascii="Arial" w:hAnsi="Arial" w:cs="Arial"/>
                <w:b/>
                <w:bCs/>
                <w:sz w:val="16"/>
                <w:szCs w:val="16"/>
              </w:rPr>
              <w:t>$000</w:t>
            </w:r>
          </w:p>
        </w:tc>
        <w:tc>
          <w:tcPr>
            <w:tcW w:w="608" w:type="dxa"/>
            <w:tcBorders>
              <w:top w:val="nil"/>
              <w:left w:val="nil"/>
              <w:bottom w:val="single" w:sz="4" w:space="0" w:color="auto"/>
              <w:right w:val="single" w:sz="4" w:space="0" w:color="auto"/>
            </w:tcBorders>
            <w:noWrap/>
            <w:vAlign w:val="bottom"/>
          </w:tcPr>
          <w:p w:rsidR="008967E5" w:rsidRDefault="008967E5" w:rsidP="00F21801">
            <w:pPr>
              <w:jc w:val="center"/>
              <w:rPr>
                <w:rFonts w:ascii="Arial" w:hAnsi="Arial" w:cs="Arial"/>
                <w:b/>
                <w:bCs/>
                <w:sz w:val="16"/>
                <w:szCs w:val="16"/>
              </w:rPr>
            </w:pPr>
            <w:r>
              <w:rPr>
                <w:rFonts w:ascii="Arial" w:hAnsi="Arial" w:cs="Arial"/>
                <w:b/>
                <w:bCs/>
                <w:sz w:val="16"/>
                <w:szCs w:val="16"/>
              </w:rPr>
              <w:t>FTE</w:t>
            </w:r>
          </w:p>
        </w:tc>
        <w:tc>
          <w:tcPr>
            <w:tcW w:w="900" w:type="dxa"/>
            <w:tcBorders>
              <w:top w:val="nil"/>
              <w:left w:val="nil"/>
              <w:bottom w:val="single" w:sz="4" w:space="0" w:color="auto"/>
              <w:right w:val="single" w:sz="8" w:space="0" w:color="auto"/>
            </w:tcBorders>
            <w:vAlign w:val="bottom"/>
          </w:tcPr>
          <w:p w:rsidR="008967E5" w:rsidRDefault="008967E5" w:rsidP="00F21801">
            <w:pPr>
              <w:jc w:val="center"/>
              <w:rPr>
                <w:rFonts w:ascii="Arial" w:hAnsi="Arial" w:cs="Arial"/>
                <w:b/>
                <w:bCs/>
                <w:sz w:val="16"/>
                <w:szCs w:val="16"/>
              </w:rPr>
            </w:pPr>
            <w:r>
              <w:rPr>
                <w:rFonts w:ascii="Arial" w:hAnsi="Arial" w:cs="Arial"/>
                <w:b/>
                <w:bCs/>
                <w:sz w:val="16"/>
                <w:szCs w:val="16"/>
              </w:rPr>
              <w:t>$000</w:t>
            </w:r>
          </w:p>
        </w:tc>
      </w:tr>
      <w:tr w:rsidR="008967E5" w:rsidTr="00F21801">
        <w:trPr>
          <w:trHeight w:val="660"/>
        </w:trPr>
        <w:tc>
          <w:tcPr>
            <w:tcW w:w="4515" w:type="dxa"/>
            <w:gridSpan w:val="2"/>
            <w:vMerge/>
            <w:tcBorders>
              <w:top w:val="single" w:sz="4" w:space="0" w:color="auto"/>
              <w:left w:val="single" w:sz="8" w:space="0" w:color="auto"/>
              <w:bottom w:val="single" w:sz="4" w:space="0" w:color="auto"/>
              <w:right w:val="single" w:sz="4" w:space="0" w:color="auto"/>
            </w:tcBorders>
            <w:vAlign w:val="center"/>
          </w:tcPr>
          <w:p w:rsidR="008967E5" w:rsidRDefault="008967E5" w:rsidP="00F21801">
            <w:pPr>
              <w:rPr>
                <w:rFonts w:ascii="Arial" w:hAnsi="Arial" w:cs="Arial"/>
                <w:b/>
                <w:bCs/>
                <w:sz w:val="20"/>
                <w:szCs w:val="20"/>
              </w:rPr>
            </w:pPr>
          </w:p>
        </w:tc>
        <w:tc>
          <w:tcPr>
            <w:tcW w:w="540" w:type="dxa"/>
            <w:tcBorders>
              <w:top w:val="nil"/>
              <w:left w:val="nil"/>
              <w:bottom w:val="single" w:sz="4" w:space="0" w:color="auto"/>
              <w:right w:val="single" w:sz="4" w:space="0" w:color="auto"/>
            </w:tcBorders>
            <w:vAlign w:val="center"/>
          </w:tcPr>
          <w:p w:rsidR="008967E5" w:rsidRDefault="008967E5" w:rsidP="00F21801">
            <w:pPr>
              <w:jc w:val="center"/>
              <w:rPr>
                <w:rFonts w:ascii="Arial" w:hAnsi="Arial" w:cs="Arial"/>
                <w:sz w:val="16"/>
                <w:szCs w:val="16"/>
              </w:rPr>
            </w:pPr>
            <w:r>
              <w:rPr>
                <w:rFonts w:ascii="Arial" w:hAnsi="Arial" w:cs="Arial"/>
                <w:sz w:val="16"/>
                <w:szCs w:val="16"/>
              </w:rPr>
              <w:t>72</w:t>
            </w:r>
          </w:p>
        </w:tc>
        <w:tc>
          <w:tcPr>
            <w:tcW w:w="900" w:type="dxa"/>
            <w:tcBorders>
              <w:top w:val="nil"/>
              <w:left w:val="nil"/>
              <w:bottom w:val="single" w:sz="4" w:space="0" w:color="auto"/>
              <w:right w:val="single" w:sz="4" w:space="0" w:color="auto"/>
            </w:tcBorders>
            <w:vAlign w:val="center"/>
          </w:tcPr>
          <w:p w:rsidR="008967E5" w:rsidRDefault="008967E5" w:rsidP="00F21801">
            <w:pPr>
              <w:jc w:val="center"/>
              <w:rPr>
                <w:rFonts w:ascii="Arial" w:hAnsi="Arial" w:cs="Arial"/>
                <w:sz w:val="16"/>
                <w:szCs w:val="16"/>
              </w:rPr>
            </w:pPr>
            <w:r>
              <w:rPr>
                <w:rFonts w:ascii="Arial" w:hAnsi="Arial" w:cs="Arial"/>
                <w:sz w:val="16"/>
                <w:szCs w:val="16"/>
              </w:rPr>
              <w:t>88,285 [163,430]</w:t>
            </w:r>
          </w:p>
        </w:tc>
        <w:tc>
          <w:tcPr>
            <w:tcW w:w="540" w:type="dxa"/>
            <w:tcBorders>
              <w:top w:val="nil"/>
              <w:left w:val="nil"/>
              <w:bottom w:val="single" w:sz="4" w:space="0" w:color="auto"/>
              <w:right w:val="single" w:sz="4" w:space="0" w:color="auto"/>
            </w:tcBorders>
            <w:shd w:val="clear" w:color="auto" w:fill="C0C0C0"/>
            <w:vAlign w:val="center"/>
          </w:tcPr>
          <w:p w:rsidR="008967E5" w:rsidRDefault="008967E5" w:rsidP="00F21801">
            <w:pPr>
              <w:jc w:val="center"/>
              <w:rPr>
                <w:rFonts w:ascii="Arial" w:hAnsi="Arial" w:cs="Arial"/>
                <w:sz w:val="16"/>
                <w:szCs w:val="16"/>
              </w:rPr>
            </w:pPr>
            <w:r>
              <w:rPr>
                <w:rFonts w:ascii="Arial" w:hAnsi="Arial" w:cs="Arial"/>
                <w:sz w:val="16"/>
                <w:szCs w:val="16"/>
              </w:rPr>
              <w:t xml:space="preserve">72 </w:t>
            </w:r>
          </w:p>
        </w:tc>
        <w:tc>
          <w:tcPr>
            <w:tcW w:w="900" w:type="dxa"/>
            <w:tcBorders>
              <w:top w:val="nil"/>
              <w:left w:val="nil"/>
              <w:bottom w:val="single" w:sz="4" w:space="0" w:color="auto"/>
              <w:right w:val="single" w:sz="4" w:space="0" w:color="auto"/>
            </w:tcBorders>
            <w:shd w:val="clear" w:color="auto" w:fill="C0C0C0"/>
            <w:vAlign w:val="center"/>
          </w:tcPr>
          <w:p w:rsidR="008967E5" w:rsidRDefault="008967E5" w:rsidP="00F21801">
            <w:pPr>
              <w:jc w:val="center"/>
              <w:rPr>
                <w:rFonts w:ascii="Arial" w:hAnsi="Arial" w:cs="Arial"/>
                <w:sz w:val="16"/>
                <w:szCs w:val="16"/>
              </w:rPr>
            </w:pPr>
            <w:r>
              <w:rPr>
                <w:rFonts w:ascii="Arial" w:hAnsi="Arial" w:cs="Arial"/>
                <w:sz w:val="16"/>
                <w:szCs w:val="16"/>
              </w:rPr>
              <w:t>88,285 [52,984]</w:t>
            </w:r>
          </w:p>
        </w:tc>
        <w:tc>
          <w:tcPr>
            <w:tcW w:w="720" w:type="dxa"/>
            <w:tcBorders>
              <w:top w:val="nil"/>
              <w:left w:val="nil"/>
              <w:bottom w:val="single" w:sz="4" w:space="0" w:color="auto"/>
              <w:right w:val="single" w:sz="4" w:space="0" w:color="auto"/>
            </w:tcBorders>
            <w:vAlign w:val="center"/>
          </w:tcPr>
          <w:p w:rsidR="008967E5" w:rsidRDefault="008967E5" w:rsidP="00F21801">
            <w:pPr>
              <w:jc w:val="center"/>
              <w:rPr>
                <w:rFonts w:ascii="Arial" w:hAnsi="Arial" w:cs="Arial"/>
                <w:sz w:val="16"/>
                <w:szCs w:val="16"/>
              </w:rPr>
            </w:pPr>
            <w:r>
              <w:rPr>
                <w:rFonts w:ascii="Arial" w:hAnsi="Arial" w:cs="Arial"/>
                <w:sz w:val="16"/>
                <w:szCs w:val="16"/>
              </w:rPr>
              <w:t>72</w:t>
            </w:r>
          </w:p>
        </w:tc>
        <w:tc>
          <w:tcPr>
            <w:tcW w:w="900" w:type="dxa"/>
            <w:tcBorders>
              <w:top w:val="nil"/>
              <w:left w:val="nil"/>
              <w:bottom w:val="single" w:sz="4" w:space="0" w:color="auto"/>
              <w:right w:val="single" w:sz="4" w:space="0" w:color="auto"/>
            </w:tcBorders>
            <w:vAlign w:val="center"/>
          </w:tcPr>
          <w:p w:rsidR="008967E5" w:rsidRDefault="008967E5" w:rsidP="00F21801">
            <w:pPr>
              <w:jc w:val="center"/>
              <w:rPr>
                <w:rFonts w:ascii="Arial" w:hAnsi="Arial" w:cs="Arial"/>
                <w:sz w:val="16"/>
                <w:szCs w:val="16"/>
              </w:rPr>
            </w:pPr>
            <w:r>
              <w:rPr>
                <w:rFonts w:ascii="Arial" w:hAnsi="Arial" w:cs="Arial"/>
                <w:sz w:val="16"/>
                <w:szCs w:val="16"/>
              </w:rPr>
              <w:t>88,285 [121,865]</w:t>
            </w:r>
          </w:p>
        </w:tc>
        <w:tc>
          <w:tcPr>
            <w:tcW w:w="540" w:type="dxa"/>
            <w:tcBorders>
              <w:top w:val="nil"/>
              <w:left w:val="nil"/>
              <w:bottom w:val="single" w:sz="4" w:space="0" w:color="auto"/>
              <w:right w:val="single" w:sz="4" w:space="0" w:color="auto"/>
            </w:tcBorders>
            <w:vAlign w:val="center"/>
          </w:tcPr>
          <w:p w:rsidR="008967E5" w:rsidRDefault="008967E5" w:rsidP="00F21801">
            <w:pPr>
              <w:jc w:val="center"/>
              <w:rPr>
                <w:rFonts w:ascii="Arial" w:hAnsi="Arial" w:cs="Arial"/>
                <w:sz w:val="16"/>
                <w:szCs w:val="16"/>
              </w:rPr>
            </w:pPr>
            <w:r>
              <w:rPr>
                <w:rFonts w:ascii="Arial" w:hAnsi="Arial" w:cs="Arial"/>
                <w:sz w:val="16"/>
                <w:szCs w:val="16"/>
              </w:rPr>
              <w:t>0</w:t>
            </w:r>
          </w:p>
        </w:tc>
        <w:tc>
          <w:tcPr>
            <w:tcW w:w="1005" w:type="dxa"/>
            <w:tcBorders>
              <w:top w:val="nil"/>
              <w:left w:val="nil"/>
              <w:bottom w:val="single" w:sz="4" w:space="0" w:color="auto"/>
              <w:right w:val="single" w:sz="4" w:space="0" w:color="auto"/>
            </w:tcBorders>
            <w:vAlign w:val="center"/>
          </w:tcPr>
          <w:p w:rsidR="008967E5" w:rsidRDefault="008967E5" w:rsidP="00193399">
            <w:pPr>
              <w:jc w:val="center"/>
              <w:rPr>
                <w:rFonts w:ascii="Arial" w:hAnsi="Arial" w:cs="Arial"/>
                <w:color w:val="000000"/>
                <w:sz w:val="16"/>
                <w:szCs w:val="16"/>
              </w:rPr>
            </w:pPr>
            <w:r>
              <w:rPr>
                <w:rFonts w:ascii="Arial" w:hAnsi="Arial" w:cs="Arial"/>
                <w:color w:val="000000"/>
                <w:sz w:val="16"/>
                <w:szCs w:val="16"/>
              </w:rPr>
              <w:t>-33,978        [-</w:t>
            </w:r>
            <w:r w:rsidR="00193399">
              <w:rPr>
                <w:rFonts w:ascii="Arial" w:hAnsi="Arial" w:cs="Arial"/>
                <w:color w:val="000000"/>
                <w:sz w:val="16"/>
                <w:szCs w:val="16"/>
              </w:rPr>
              <w:t>99</w:t>
            </w:r>
            <w:r>
              <w:rPr>
                <w:rFonts w:ascii="Arial" w:hAnsi="Arial" w:cs="Arial"/>
                <w:color w:val="000000"/>
                <w:sz w:val="16"/>
                <w:szCs w:val="16"/>
              </w:rPr>
              <w:t>,</w:t>
            </w:r>
            <w:r w:rsidR="00193399">
              <w:rPr>
                <w:rFonts w:ascii="Arial" w:hAnsi="Arial" w:cs="Arial"/>
                <w:color w:val="000000"/>
                <w:sz w:val="16"/>
                <w:szCs w:val="16"/>
              </w:rPr>
              <w:t>152</w:t>
            </w:r>
            <w:r>
              <w:rPr>
                <w:rFonts w:ascii="Arial" w:hAnsi="Arial" w:cs="Arial"/>
                <w:color w:val="000000"/>
                <w:sz w:val="16"/>
                <w:szCs w:val="16"/>
              </w:rPr>
              <w:t>]</w:t>
            </w:r>
          </w:p>
        </w:tc>
        <w:tc>
          <w:tcPr>
            <w:tcW w:w="608" w:type="dxa"/>
            <w:tcBorders>
              <w:top w:val="nil"/>
              <w:left w:val="nil"/>
              <w:bottom w:val="single" w:sz="4" w:space="0" w:color="auto"/>
              <w:right w:val="single" w:sz="4" w:space="0" w:color="auto"/>
            </w:tcBorders>
            <w:vAlign w:val="center"/>
          </w:tcPr>
          <w:p w:rsidR="008967E5" w:rsidRDefault="008967E5" w:rsidP="00F21801">
            <w:pPr>
              <w:jc w:val="center"/>
              <w:rPr>
                <w:rFonts w:ascii="Arial" w:hAnsi="Arial" w:cs="Arial"/>
                <w:sz w:val="16"/>
                <w:szCs w:val="16"/>
              </w:rPr>
            </w:pPr>
            <w:r>
              <w:rPr>
                <w:rFonts w:ascii="Arial" w:hAnsi="Arial" w:cs="Arial"/>
                <w:sz w:val="16"/>
                <w:szCs w:val="16"/>
              </w:rPr>
              <w:t xml:space="preserve">72 </w:t>
            </w:r>
          </w:p>
        </w:tc>
        <w:tc>
          <w:tcPr>
            <w:tcW w:w="900" w:type="dxa"/>
            <w:tcBorders>
              <w:top w:val="nil"/>
              <w:left w:val="nil"/>
              <w:bottom w:val="single" w:sz="4" w:space="0" w:color="auto"/>
              <w:right w:val="single" w:sz="8" w:space="0" w:color="auto"/>
            </w:tcBorders>
            <w:vAlign w:val="center"/>
          </w:tcPr>
          <w:p w:rsidR="008967E5" w:rsidRDefault="008967E5" w:rsidP="00193399">
            <w:pPr>
              <w:jc w:val="center"/>
              <w:rPr>
                <w:rFonts w:ascii="Arial" w:hAnsi="Arial" w:cs="Arial"/>
                <w:color w:val="000000"/>
                <w:sz w:val="16"/>
                <w:szCs w:val="16"/>
              </w:rPr>
            </w:pPr>
            <w:r>
              <w:rPr>
                <w:rFonts w:ascii="Arial" w:hAnsi="Arial" w:cs="Arial"/>
                <w:color w:val="000000"/>
                <w:sz w:val="16"/>
                <w:szCs w:val="16"/>
              </w:rPr>
              <w:t>54,307 [</w:t>
            </w:r>
            <w:r w:rsidR="00193399">
              <w:rPr>
                <w:rFonts w:ascii="Arial" w:hAnsi="Arial" w:cs="Arial"/>
                <w:color w:val="000000"/>
                <w:sz w:val="16"/>
                <w:szCs w:val="16"/>
              </w:rPr>
              <w:t>22</w:t>
            </w:r>
            <w:r>
              <w:rPr>
                <w:rFonts w:ascii="Arial" w:hAnsi="Arial" w:cs="Arial"/>
                <w:color w:val="000000"/>
                <w:sz w:val="16"/>
                <w:szCs w:val="16"/>
              </w:rPr>
              <w:t>,</w:t>
            </w:r>
            <w:r w:rsidR="00193399">
              <w:rPr>
                <w:rFonts w:ascii="Arial" w:hAnsi="Arial" w:cs="Arial"/>
                <w:color w:val="000000"/>
                <w:sz w:val="16"/>
                <w:szCs w:val="16"/>
              </w:rPr>
              <w:t>713</w:t>
            </w:r>
            <w:r>
              <w:rPr>
                <w:rFonts w:ascii="Arial" w:hAnsi="Arial" w:cs="Arial"/>
                <w:color w:val="000000"/>
                <w:sz w:val="16"/>
                <w:szCs w:val="16"/>
              </w:rPr>
              <w:t>]</w:t>
            </w:r>
          </w:p>
        </w:tc>
      </w:tr>
      <w:tr w:rsidR="008967E5" w:rsidTr="00F21801">
        <w:trPr>
          <w:trHeight w:val="885"/>
        </w:trPr>
        <w:tc>
          <w:tcPr>
            <w:tcW w:w="1220" w:type="dxa"/>
            <w:tcBorders>
              <w:top w:val="nil"/>
              <w:left w:val="single" w:sz="8" w:space="0" w:color="auto"/>
              <w:bottom w:val="single" w:sz="4" w:space="0" w:color="auto"/>
              <w:right w:val="single" w:sz="4" w:space="0" w:color="auto"/>
            </w:tcBorders>
            <w:vAlign w:val="center"/>
          </w:tcPr>
          <w:p w:rsidR="008967E5" w:rsidRDefault="008967E5" w:rsidP="00F21801">
            <w:pPr>
              <w:rPr>
                <w:rFonts w:ascii="Arial" w:hAnsi="Arial" w:cs="Arial"/>
                <w:b/>
                <w:bCs/>
                <w:sz w:val="16"/>
                <w:szCs w:val="16"/>
              </w:rPr>
            </w:pPr>
            <w:r>
              <w:rPr>
                <w:rFonts w:ascii="Arial" w:hAnsi="Arial" w:cs="Arial"/>
                <w:b/>
                <w:bCs/>
                <w:sz w:val="16"/>
                <w:szCs w:val="16"/>
              </w:rPr>
              <w:t>TYPE/ STRATEGIC OBJECTIVE</w:t>
            </w:r>
          </w:p>
        </w:tc>
        <w:tc>
          <w:tcPr>
            <w:tcW w:w="3295" w:type="dxa"/>
            <w:tcBorders>
              <w:top w:val="nil"/>
              <w:left w:val="nil"/>
              <w:bottom w:val="single" w:sz="4" w:space="0" w:color="auto"/>
              <w:right w:val="single" w:sz="4" w:space="0" w:color="auto"/>
            </w:tcBorders>
            <w:noWrap/>
            <w:vAlign w:val="center"/>
          </w:tcPr>
          <w:p w:rsidR="008967E5" w:rsidRDefault="008967E5" w:rsidP="00F21801">
            <w:pPr>
              <w:jc w:val="center"/>
              <w:rPr>
                <w:rFonts w:ascii="Arial" w:hAnsi="Arial" w:cs="Arial"/>
                <w:b/>
                <w:bCs/>
                <w:sz w:val="16"/>
                <w:szCs w:val="16"/>
              </w:rPr>
            </w:pPr>
            <w:r>
              <w:rPr>
                <w:rFonts w:ascii="Arial" w:hAnsi="Arial" w:cs="Arial"/>
                <w:b/>
                <w:bCs/>
                <w:sz w:val="16"/>
                <w:szCs w:val="16"/>
              </w:rPr>
              <w:t>PERFORMANCE</w:t>
            </w:r>
          </w:p>
        </w:tc>
        <w:tc>
          <w:tcPr>
            <w:tcW w:w="1440" w:type="dxa"/>
            <w:gridSpan w:val="2"/>
            <w:tcBorders>
              <w:top w:val="single" w:sz="4" w:space="0" w:color="auto"/>
              <w:left w:val="nil"/>
              <w:bottom w:val="single" w:sz="4" w:space="0" w:color="auto"/>
              <w:right w:val="single" w:sz="4" w:space="0" w:color="auto"/>
            </w:tcBorders>
            <w:vAlign w:val="center"/>
          </w:tcPr>
          <w:p w:rsidR="008967E5" w:rsidRDefault="008967E5" w:rsidP="00F21801">
            <w:pPr>
              <w:jc w:val="center"/>
              <w:rPr>
                <w:rFonts w:ascii="Arial" w:hAnsi="Arial" w:cs="Arial"/>
                <w:b/>
                <w:bCs/>
                <w:sz w:val="16"/>
                <w:szCs w:val="16"/>
              </w:rPr>
            </w:pPr>
            <w:r>
              <w:rPr>
                <w:rFonts w:ascii="Arial" w:hAnsi="Arial" w:cs="Arial"/>
                <w:b/>
                <w:bCs/>
                <w:sz w:val="16"/>
                <w:szCs w:val="16"/>
              </w:rPr>
              <w:t>FY 2010</w:t>
            </w:r>
          </w:p>
        </w:tc>
        <w:tc>
          <w:tcPr>
            <w:tcW w:w="1440" w:type="dxa"/>
            <w:gridSpan w:val="2"/>
            <w:tcBorders>
              <w:top w:val="single" w:sz="4" w:space="0" w:color="auto"/>
              <w:left w:val="nil"/>
              <w:bottom w:val="single" w:sz="4" w:space="0" w:color="auto"/>
              <w:right w:val="single" w:sz="4" w:space="0" w:color="auto"/>
            </w:tcBorders>
            <w:shd w:val="clear" w:color="auto" w:fill="C0C0C0"/>
            <w:vAlign w:val="center"/>
          </w:tcPr>
          <w:p w:rsidR="008967E5" w:rsidRDefault="008967E5" w:rsidP="00F21801">
            <w:pPr>
              <w:jc w:val="center"/>
              <w:rPr>
                <w:rFonts w:ascii="Arial" w:hAnsi="Arial" w:cs="Arial"/>
                <w:b/>
                <w:bCs/>
                <w:sz w:val="16"/>
                <w:szCs w:val="16"/>
              </w:rPr>
            </w:pPr>
            <w:r>
              <w:rPr>
                <w:rFonts w:ascii="Arial" w:hAnsi="Arial" w:cs="Arial"/>
                <w:b/>
                <w:bCs/>
                <w:sz w:val="16"/>
                <w:szCs w:val="16"/>
              </w:rPr>
              <w:t>FY 2010</w:t>
            </w:r>
          </w:p>
        </w:tc>
        <w:tc>
          <w:tcPr>
            <w:tcW w:w="1620" w:type="dxa"/>
            <w:gridSpan w:val="2"/>
            <w:tcBorders>
              <w:top w:val="single" w:sz="4" w:space="0" w:color="auto"/>
              <w:left w:val="nil"/>
              <w:bottom w:val="single" w:sz="4" w:space="0" w:color="auto"/>
              <w:right w:val="single" w:sz="4" w:space="0" w:color="auto"/>
            </w:tcBorders>
            <w:vAlign w:val="center"/>
          </w:tcPr>
          <w:p w:rsidR="008967E5" w:rsidRDefault="008967E5" w:rsidP="00F21801">
            <w:pPr>
              <w:jc w:val="center"/>
              <w:rPr>
                <w:rFonts w:ascii="Arial" w:hAnsi="Arial" w:cs="Arial"/>
                <w:b/>
                <w:bCs/>
                <w:sz w:val="16"/>
                <w:szCs w:val="16"/>
              </w:rPr>
            </w:pPr>
            <w:r>
              <w:rPr>
                <w:rFonts w:ascii="Arial" w:hAnsi="Arial" w:cs="Arial"/>
                <w:b/>
                <w:bCs/>
                <w:sz w:val="16"/>
                <w:szCs w:val="16"/>
              </w:rPr>
              <w:t>FY 2011 CR</w:t>
            </w:r>
          </w:p>
        </w:tc>
        <w:tc>
          <w:tcPr>
            <w:tcW w:w="1545" w:type="dxa"/>
            <w:gridSpan w:val="2"/>
            <w:tcBorders>
              <w:top w:val="single" w:sz="4" w:space="0" w:color="auto"/>
              <w:left w:val="nil"/>
              <w:bottom w:val="single" w:sz="4" w:space="0" w:color="auto"/>
              <w:right w:val="single" w:sz="4" w:space="0" w:color="auto"/>
            </w:tcBorders>
            <w:vAlign w:val="center"/>
          </w:tcPr>
          <w:p w:rsidR="008967E5" w:rsidRDefault="008967E5" w:rsidP="00F21801">
            <w:pPr>
              <w:jc w:val="center"/>
              <w:rPr>
                <w:rFonts w:ascii="Arial" w:hAnsi="Arial" w:cs="Arial"/>
                <w:b/>
                <w:bCs/>
                <w:sz w:val="16"/>
                <w:szCs w:val="16"/>
              </w:rPr>
            </w:pPr>
            <w:r>
              <w:rPr>
                <w:rFonts w:ascii="Arial" w:hAnsi="Arial" w:cs="Arial"/>
                <w:b/>
                <w:bCs/>
                <w:sz w:val="16"/>
                <w:szCs w:val="16"/>
              </w:rPr>
              <w:t xml:space="preserve">Current Services Adjustments and FY 2012 Program Change  </w:t>
            </w:r>
          </w:p>
        </w:tc>
        <w:tc>
          <w:tcPr>
            <w:tcW w:w="1508" w:type="dxa"/>
            <w:gridSpan w:val="2"/>
            <w:tcBorders>
              <w:top w:val="single" w:sz="4" w:space="0" w:color="auto"/>
              <w:left w:val="nil"/>
              <w:bottom w:val="single" w:sz="4" w:space="0" w:color="auto"/>
              <w:right w:val="single" w:sz="8" w:space="0" w:color="000000"/>
            </w:tcBorders>
            <w:noWrap/>
            <w:vAlign w:val="center"/>
          </w:tcPr>
          <w:p w:rsidR="008967E5" w:rsidRDefault="008967E5" w:rsidP="00F21801">
            <w:pPr>
              <w:jc w:val="center"/>
              <w:rPr>
                <w:rFonts w:ascii="Arial" w:hAnsi="Arial" w:cs="Arial"/>
                <w:b/>
                <w:bCs/>
                <w:sz w:val="16"/>
                <w:szCs w:val="16"/>
              </w:rPr>
            </w:pPr>
            <w:r>
              <w:rPr>
                <w:rFonts w:ascii="Arial" w:hAnsi="Arial" w:cs="Arial"/>
                <w:b/>
                <w:bCs/>
                <w:sz w:val="16"/>
                <w:szCs w:val="16"/>
              </w:rPr>
              <w:t>FY 2012 Request</w:t>
            </w:r>
          </w:p>
        </w:tc>
      </w:tr>
      <w:tr w:rsidR="008967E5" w:rsidTr="00F21801">
        <w:trPr>
          <w:trHeight w:val="450"/>
        </w:trPr>
        <w:tc>
          <w:tcPr>
            <w:tcW w:w="1220" w:type="dxa"/>
            <w:vMerge w:val="restart"/>
            <w:tcBorders>
              <w:top w:val="nil"/>
              <w:left w:val="single" w:sz="8" w:space="0" w:color="auto"/>
              <w:bottom w:val="single" w:sz="4" w:space="0" w:color="auto"/>
              <w:right w:val="single" w:sz="4" w:space="0" w:color="auto"/>
            </w:tcBorders>
            <w:vAlign w:val="center"/>
          </w:tcPr>
          <w:p w:rsidR="008967E5" w:rsidRDefault="008967E5" w:rsidP="00F21801">
            <w:pPr>
              <w:rPr>
                <w:rFonts w:ascii="Arial" w:hAnsi="Arial" w:cs="Arial"/>
                <w:b/>
                <w:bCs/>
                <w:sz w:val="16"/>
                <w:szCs w:val="16"/>
              </w:rPr>
            </w:pPr>
            <w:r>
              <w:rPr>
                <w:rFonts w:ascii="Arial" w:hAnsi="Arial" w:cs="Arial"/>
                <w:b/>
                <w:bCs/>
                <w:sz w:val="16"/>
                <w:szCs w:val="16"/>
              </w:rPr>
              <w:t>Program Activity</w:t>
            </w:r>
          </w:p>
        </w:tc>
        <w:tc>
          <w:tcPr>
            <w:tcW w:w="3295" w:type="dxa"/>
            <w:tcBorders>
              <w:top w:val="nil"/>
              <w:left w:val="nil"/>
              <w:bottom w:val="single" w:sz="4" w:space="0" w:color="auto"/>
              <w:right w:val="single" w:sz="4" w:space="0" w:color="auto"/>
            </w:tcBorders>
            <w:noWrap/>
            <w:vAlign w:val="bottom"/>
          </w:tcPr>
          <w:p w:rsidR="008967E5" w:rsidRDefault="008967E5" w:rsidP="00F21801">
            <w:pPr>
              <w:rPr>
                <w:rFonts w:ascii="Arial" w:hAnsi="Arial" w:cs="Arial"/>
                <w:sz w:val="16"/>
                <w:szCs w:val="16"/>
              </w:rPr>
            </w:pPr>
            <w:r>
              <w:rPr>
                <w:rFonts w:ascii="Arial" w:hAnsi="Arial" w:cs="Arial"/>
                <w:sz w:val="16"/>
                <w:szCs w:val="16"/>
              </w:rPr>
              <w:t> </w:t>
            </w:r>
          </w:p>
        </w:tc>
        <w:tc>
          <w:tcPr>
            <w:tcW w:w="540" w:type="dxa"/>
            <w:tcBorders>
              <w:top w:val="nil"/>
              <w:left w:val="nil"/>
              <w:bottom w:val="single" w:sz="4" w:space="0" w:color="auto"/>
              <w:right w:val="single" w:sz="4" w:space="0" w:color="auto"/>
            </w:tcBorders>
            <w:vAlign w:val="bottom"/>
          </w:tcPr>
          <w:p w:rsidR="008967E5" w:rsidRDefault="008967E5" w:rsidP="00F21801">
            <w:pPr>
              <w:jc w:val="center"/>
              <w:rPr>
                <w:rFonts w:ascii="Arial" w:hAnsi="Arial" w:cs="Arial"/>
                <w:b/>
                <w:bCs/>
                <w:sz w:val="16"/>
                <w:szCs w:val="16"/>
              </w:rPr>
            </w:pPr>
            <w:r>
              <w:rPr>
                <w:rFonts w:ascii="Arial" w:hAnsi="Arial" w:cs="Arial"/>
                <w:b/>
                <w:bCs/>
                <w:sz w:val="16"/>
                <w:szCs w:val="16"/>
              </w:rPr>
              <w:t>FTE</w:t>
            </w:r>
          </w:p>
        </w:tc>
        <w:tc>
          <w:tcPr>
            <w:tcW w:w="900" w:type="dxa"/>
            <w:tcBorders>
              <w:top w:val="nil"/>
              <w:left w:val="nil"/>
              <w:bottom w:val="single" w:sz="4" w:space="0" w:color="auto"/>
              <w:right w:val="single" w:sz="4" w:space="0" w:color="auto"/>
            </w:tcBorders>
            <w:vAlign w:val="bottom"/>
          </w:tcPr>
          <w:p w:rsidR="008967E5" w:rsidRDefault="008967E5" w:rsidP="00F21801">
            <w:pPr>
              <w:jc w:val="center"/>
              <w:rPr>
                <w:rFonts w:ascii="Arial" w:hAnsi="Arial" w:cs="Arial"/>
                <w:b/>
                <w:bCs/>
                <w:sz w:val="16"/>
                <w:szCs w:val="16"/>
              </w:rPr>
            </w:pPr>
            <w:r>
              <w:rPr>
                <w:rFonts w:ascii="Arial" w:hAnsi="Arial" w:cs="Arial"/>
                <w:b/>
                <w:bCs/>
                <w:sz w:val="16"/>
                <w:szCs w:val="16"/>
              </w:rPr>
              <w:t>$000</w:t>
            </w:r>
          </w:p>
        </w:tc>
        <w:tc>
          <w:tcPr>
            <w:tcW w:w="540" w:type="dxa"/>
            <w:tcBorders>
              <w:top w:val="nil"/>
              <w:left w:val="nil"/>
              <w:bottom w:val="single" w:sz="4" w:space="0" w:color="auto"/>
              <w:right w:val="single" w:sz="4" w:space="0" w:color="auto"/>
            </w:tcBorders>
            <w:shd w:val="clear" w:color="auto" w:fill="C0C0C0"/>
            <w:noWrap/>
            <w:vAlign w:val="bottom"/>
          </w:tcPr>
          <w:p w:rsidR="008967E5" w:rsidRDefault="008967E5" w:rsidP="00F21801">
            <w:pPr>
              <w:jc w:val="center"/>
              <w:rPr>
                <w:rFonts w:ascii="Arial" w:hAnsi="Arial" w:cs="Arial"/>
                <w:b/>
                <w:bCs/>
                <w:sz w:val="16"/>
                <w:szCs w:val="16"/>
              </w:rPr>
            </w:pPr>
            <w:r>
              <w:rPr>
                <w:rFonts w:ascii="Arial" w:hAnsi="Arial" w:cs="Arial"/>
                <w:b/>
                <w:bCs/>
                <w:sz w:val="16"/>
                <w:szCs w:val="16"/>
              </w:rPr>
              <w:t>FTE</w:t>
            </w:r>
          </w:p>
        </w:tc>
        <w:tc>
          <w:tcPr>
            <w:tcW w:w="900" w:type="dxa"/>
            <w:tcBorders>
              <w:top w:val="nil"/>
              <w:left w:val="nil"/>
              <w:bottom w:val="single" w:sz="4" w:space="0" w:color="auto"/>
              <w:right w:val="single" w:sz="4" w:space="0" w:color="auto"/>
            </w:tcBorders>
            <w:shd w:val="clear" w:color="auto" w:fill="C0C0C0"/>
            <w:vAlign w:val="bottom"/>
          </w:tcPr>
          <w:p w:rsidR="008967E5" w:rsidRDefault="008967E5" w:rsidP="00F21801">
            <w:pPr>
              <w:jc w:val="center"/>
              <w:rPr>
                <w:rFonts w:ascii="Arial" w:hAnsi="Arial" w:cs="Arial"/>
                <w:b/>
                <w:bCs/>
                <w:sz w:val="16"/>
                <w:szCs w:val="16"/>
              </w:rPr>
            </w:pPr>
            <w:r>
              <w:rPr>
                <w:rFonts w:ascii="Arial" w:hAnsi="Arial" w:cs="Arial"/>
                <w:b/>
                <w:bCs/>
                <w:sz w:val="16"/>
                <w:szCs w:val="16"/>
              </w:rPr>
              <w:t>$000</w:t>
            </w:r>
          </w:p>
        </w:tc>
        <w:tc>
          <w:tcPr>
            <w:tcW w:w="720" w:type="dxa"/>
            <w:tcBorders>
              <w:top w:val="nil"/>
              <w:left w:val="nil"/>
              <w:bottom w:val="single" w:sz="4" w:space="0" w:color="auto"/>
              <w:right w:val="single" w:sz="4" w:space="0" w:color="auto"/>
            </w:tcBorders>
            <w:noWrap/>
            <w:vAlign w:val="bottom"/>
          </w:tcPr>
          <w:p w:rsidR="008967E5" w:rsidRDefault="008967E5" w:rsidP="00F21801">
            <w:pPr>
              <w:jc w:val="center"/>
              <w:rPr>
                <w:rFonts w:ascii="Arial" w:hAnsi="Arial" w:cs="Arial"/>
                <w:b/>
                <w:bCs/>
                <w:sz w:val="16"/>
                <w:szCs w:val="16"/>
              </w:rPr>
            </w:pPr>
            <w:r>
              <w:rPr>
                <w:rFonts w:ascii="Arial" w:hAnsi="Arial" w:cs="Arial"/>
                <w:b/>
                <w:bCs/>
                <w:sz w:val="16"/>
                <w:szCs w:val="16"/>
              </w:rPr>
              <w:t>FTE</w:t>
            </w:r>
          </w:p>
        </w:tc>
        <w:tc>
          <w:tcPr>
            <w:tcW w:w="900" w:type="dxa"/>
            <w:tcBorders>
              <w:top w:val="nil"/>
              <w:left w:val="nil"/>
              <w:bottom w:val="single" w:sz="4" w:space="0" w:color="auto"/>
              <w:right w:val="single" w:sz="4" w:space="0" w:color="auto"/>
            </w:tcBorders>
            <w:vAlign w:val="bottom"/>
          </w:tcPr>
          <w:p w:rsidR="008967E5" w:rsidRDefault="008967E5" w:rsidP="00F21801">
            <w:pPr>
              <w:jc w:val="center"/>
              <w:rPr>
                <w:rFonts w:ascii="Arial" w:hAnsi="Arial" w:cs="Arial"/>
                <w:b/>
                <w:bCs/>
                <w:sz w:val="16"/>
                <w:szCs w:val="16"/>
              </w:rPr>
            </w:pPr>
            <w:r>
              <w:rPr>
                <w:rFonts w:ascii="Arial" w:hAnsi="Arial" w:cs="Arial"/>
                <w:b/>
                <w:bCs/>
                <w:sz w:val="16"/>
                <w:szCs w:val="16"/>
              </w:rPr>
              <w:t>$000</w:t>
            </w:r>
          </w:p>
        </w:tc>
        <w:tc>
          <w:tcPr>
            <w:tcW w:w="540" w:type="dxa"/>
            <w:tcBorders>
              <w:top w:val="nil"/>
              <w:left w:val="nil"/>
              <w:bottom w:val="single" w:sz="4" w:space="0" w:color="auto"/>
              <w:right w:val="single" w:sz="4" w:space="0" w:color="auto"/>
            </w:tcBorders>
            <w:noWrap/>
            <w:vAlign w:val="bottom"/>
          </w:tcPr>
          <w:p w:rsidR="008967E5" w:rsidRDefault="008967E5" w:rsidP="00F21801">
            <w:pPr>
              <w:jc w:val="center"/>
              <w:rPr>
                <w:rFonts w:ascii="Arial" w:hAnsi="Arial" w:cs="Arial"/>
                <w:b/>
                <w:bCs/>
                <w:sz w:val="16"/>
                <w:szCs w:val="16"/>
              </w:rPr>
            </w:pPr>
            <w:r>
              <w:rPr>
                <w:rFonts w:ascii="Arial" w:hAnsi="Arial" w:cs="Arial"/>
                <w:b/>
                <w:bCs/>
                <w:sz w:val="16"/>
                <w:szCs w:val="16"/>
              </w:rPr>
              <w:t xml:space="preserve">FTE </w:t>
            </w:r>
          </w:p>
        </w:tc>
        <w:tc>
          <w:tcPr>
            <w:tcW w:w="1005" w:type="dxa"/>
            <w:tcBorders>
              <w:top w:val="nil"/>
              <w:left w:val="nil"/>
              <w:bottom w:val="single" w:sz="4" w:space="0" w:color="auto"/>
              <w:right w:val="single" w:sz="4" w:space="0" w:color="auto"/>
            </w:tcBorders>
            <w:vAlign w:val="bottom"/>
          </w:tcPr>
          <w:p w:rsidR="008967E5" w:rsidRDefault="008967E5" w:rsidP="00F21801">
            <w:pPr>
              <w:jc w:val="center"/>
              <w:rPr>
                <w:rFonts w:ascii="Arial" w:hAnsi="Arial" w:cs="Arial"/>
                <w:b/>
                <w:bCs/>
                <w:sz w:val="16"/>
                <w:szCs w:val="16"/>
              </w:rPr>
            </w:pPr>
            <w:r>
              <w:rPr>
                <w:rFonts w:ascii="Arial" w:hAnsi="Arial" w:cs="Arial"/>
                <w:b/>
                <w:bCs/>
                <w:sz w:val="16"/>
                <w:szCs w:val="16"/>
              </w:rPr>
              <w:t>$000</w:t>
            </w:r>
          </w:p>
        </w:tc>
        <w:tc>
          <w:tcPr>
            <w:tcW w:w="608" w:type="dxa"/>
            <w:tcBorders>
              <w:top w:val="nil"/>
              <w:left w:val="nil"/>
              <w:bottom w:val="single" w:sz="4" w:space="0" w:color="auto"/>
              <w:right w:val="single" w:sz="4" w:space="0" w:color="auto"/>
            </w:tcBorders>
            <w:noWrap/>
            <w:vAlign w:val="bottom"/>
          </w:tcPr>
          <w:p w:rsidR="008967E5" w:rsidRDefault="008967E5" w:rsidP="00F21801">
            <w:pPr>
              <w:jc w:val="center"/>
              <w:rPr>
                <w:rFonts w:ascii="Arial" w:hAnsi="Arial" w:cs="Arial"/>
                <w:b/>
                <w:bCs/>
                <w:sz w:val="16"/>
                <w:szCs w:val="16"/>
              </w:rPr>
            </w:pPr>
            <w:r>
              <w:rPr>
                <w:rFonts w:ascii="Arial" w:hAnsi="Arial" w:cs="Arial"/>
                <w:b/>
                <w:bCs/>
                <w:sz w:val="16"/>
                <w:szCs w:val="16"/>
              </w:rPr>
              <w:t>FTE</w:t>
            </w:r>
          </w:p>
        </w:tc>
        <w:tc>
          <w:tcPr>
            <w:tcW w:w="900" w:type="dxa"/>
            <w:tcBorders>
              <w:top w:val="nil"/>
              <w:left w:val="nil"/>
              <w:bottom w:val="single" w:sz="4" w:space="0" w:color="auto"/>
              <w:right w:val="single" w:sz="8" w:space="0" w:color="auto"/>
            </w:tcBorders>
            <w:vAlign w:val="bottom"/>
          </w:tcPr>
          <w:p w:rsidR="008967E5" w:rsidRDefault="008967E5" w:rsidP="00F21801">
            <w:pPr>
              <w:jc w:val="center"/>
              <w:rPr>
                <w:rFonts w:ascii="Arial" w:hAnsi="Arial" w:cs="Arial"/>
                <w:b/>
                <w:bCs/>
                <w:sz w:val="16"/>
                <w:szCs w:val="16"/>
              </w:rPr>
            </w:pPr>
            <w:r>
              <w:rPr>
                <w:rFonts w:ascii="Arial" w:hAnsi="Arial" w:cs="Arial"/>
                <w:b/>
                <w:bCs/>
                <w:sz w:val="16"/>
                <w:szCs w:val="16"/>
              </w:rPr>
              <w:t>$000</w:t>
            </w:r>
          </w:p>
        </w:tc>
      </w:tr>
      <w:tr w:rsidR="008967E5" w:rsidTr="00F21801">
        <w:trPr>
          <w:trHeight w:val="735"/>
        </w:trPr>
        <w:tc>
          <w:tcPr>
            <w:tcW w:w="1220" w:type="dxa"/>
            <w:vMerge/>
            <w:tcBorders>
              <w:top w:val="nil"/>
              <w:left w:val="single" w:sz="8" w:space="0" w:color="auto"/>
              <w:bottom w:val="single" w:sz="4" w:space="0" w:color="auto"/>
              <w:right w:val="single" w:sz="4" w:space="0" w:color="auto"/>
            </w:tcBorders>
            <w:vAlign w:val="center"/>
          </w:tcPr>
          <w:p w:rsidR="008967E5" w:rsidRDefault="008967E5" w:rsidP="00F21801">
            <w:pPr>
              <w:rPr>
                <w:rFonts w:ascii="Arial" w:hAnsi="Arial" w:cs="Arial"/>
                <w:b/>
                <w:bCs/>
                <w:sz w:val="16"/>
                <w:szCs w:val="16"/>
              </w:rPr>
            </w:pPr>
          </w:p>
        </w:tc>
        <w:tc>
          <w:tcPr>
            <w:tcW w:w="3295" w:type="dxa"/>
            <w:tcBorders>
              <w:top w:val="nil"/>
              <w:left w:val="nil"/>
              <w:bottom w:val="single" w:sz="4" w:space="0" w:color="auto"/>
              <w:right w:val="single" w:sz="4" w:space="0" w:color="auto"/>
            </w:tcBorders>
            <w:vAlign w:val="center"/>
          </w:tcPr>
          <w:p w:rsidR="008967E5" w:rsidRDefault="008967E5" w:rsidP="00F21801">
            <w:pPr>
              <w:rPr>
                <w:sz w:val="16"/>
                <w:szCs w:val="16"/>
              </w:rPr>
            </w:pPr>
            <w:r>
              <w:rPr>
                <w:sz w:val="16"/>
                <w:szCs w:val="16"/>
              </w:rPr>
              <w:t> </w:t>
            </w:r>
          </w:p>
        </w:tc>
        <w:tc>
          <w:tcPr>
            <w:tcW w:w="540" w:type="dxa"/>
            <w:tcBorders>
              <w:top w:val="nil"/>
              <w:left w:val="nil"/>
              <w:bottom w:val="single" w:sz="4" w:space="0" w:color="auto"/>
              <w:right w:val="single" w:sz="4" w:space="0" w:color="auto"/>
            </w:tcBorders>
            <w:vAlign w:val="center"/>
          </w:tcPr>
          <w:p w:rsidR="008967E5" w:rsidRDefault="008967E5" w:rsidP="00F21801">
            <w:pPr>
              <w:jc w:val="center"/>
              <w:rPr>
                <w:rFonts w:ascii="Arial" w:hAnsi="Arial" w:cs="Arial"/>
                <w:sz w:val="16"/>
                <w:szCs w:val="16"/>
              </w:rPr>
            </w:pPr>
            <w:r>
              <w:rPr>
                <w:rFonts w:ascii="Arial" w:hAnsi="Arial" w:cs="Arial"/>
                <w:sz w:val="16"/>
                <w:szCs w:val="16"/>
              </w:rPr>
              <w:t>72</w:t>
            </w:r>
          </w:p>
        </w:tc>
        <w:tc>
          <w:tcPr>
            <w:tcW w:w="900" w:type="dxa"/>
            <w:tcBorders>
              <w:top w:val="nil"/>
              <w:left w:val="nil"/>
              <w:bottom w:val="single" w:sz="4" w:space="0" w:color="auto"/>
              <w:right w:val="single" w:sz="4" w:space="0" w:color="auto"/>
            </w:tcBorders>
            <w:vAlign w:val="center"/>
          </w:tcPr>
          <w:p w:rsidR="008967E5" w:rsidRDefault="008967E5" w:rsidP="00F21801">
            <w:pPr>
              <w:jc w:val="center"/>
              <w:rPr>
                <w:rFonts w:ascii="Arial" w:hAnsi="Arial" w:cs="Arial"/>
                <w:sz w:val="16"/>
                <w:szCs w:val="16"/>
              </w:rPr>
            </w:pPr>
            <w:r>
              <w:rPr>
                <w:rFonts w:ascii="Arial" w:hAnsi="Arial" w:cs="Arial"/>
                <w:sz w:val="16"/>
                <w:szCs w:val="16"/>
              </w:rPr>
              <w:t>88,285 [163,430]</w:t>
            </w:r>
          </w:p>
        </w:tc>
        <w:tc>
          <w:tcPr>
            <w:tcW w:w="540" w:type="dxa"/>
            <w:tcBorders>
              <w:top w:val="nil"/>
              <w:left w:val="nil"/>
              <w:bottom w:val="single" w:sz="4" w:space="0" w:color="auto"/>
              <w:right w:val="single" w:sz="4" w:space="0" w:color="auto"/>
            </w:tcBorders>
            <w:shd w:val="clear" w:color="auto" w:fill="C0C0C0"/>
            <w:vAlign w:val="center"/>
          </w:tcPr>
          <w:p w:rsidR="008967E5" w:rsidRDefault="008967E5" w:rsidP="00F21801">
            <w:pPr>
              <w:jc w:val="center"/>
              <w:rPr>
                <w:rFonts w:ascii="Arial" w:hAnsi="Arial" w:cs="Arial"/>
                <w:sz w:val="16"/>
                <w:szCs w:val="16"/>
              </w:rPr>
            </w:pPr>
            <w:r>
              <w:rPr>
                <w:rFonts w:ascii="Arial" w:hAnsi="Arial" w:cs="Arial"/>
                <w:sz w:val="16"/>
                <w:szCs w:val="16"/>
              </w:rPr>
              <w:t xml:space="preserve">72 </w:t>
            </w:r>
          </w:p>
        </w:tc>
        <w:tc>
          <w:tcPr>
            <w:tcW w:w="900" w:type="dxa"/>
            <w:tcBorders>
              <w:top w:val="nil"/>
              <w:left w:val="nil"/>
              <w:bottom w:val="single" w:sz="4" w:space="0" w:color="auto"/>
              <w:right w:val="single" w:sz="4" w:space="0" w:color="auto"/>
            </w:tcBorders>
            <w:shd w:val="clear" w:color="auto" w:fill="C0C0C0"/>
            <w:vAlign w:val="center"/>
          </w:tcPr>
          <w:p w:rsidR="008967E5" w:rsidRDefault="008967E5" w:rsidP="00F21801">
            <w:pPr>
              <w:jc w:val="center"/>
              <w:rPr>
                <w:rFonts w:ascii="Arial" w:hAnsi="Arial" w:cs="Arial"/>
                <w:sz w:val="16"/>
                <w:szCs w:val="16"/>
              </w:rPr>
            </w:pPr>
            <w:r>
              <w:rPr>
                <w:rFonts w:ascii="Arial" w:hAnsi="Arial" w:cs="Arial"/>
                <w:sz w:val="16"/>
                <w:szCs w:val="16"/>
              </w:rPr>
              <w:t>88,285 [52,984]</w:t>
            </w:r>
          </w:p>
        </w:tc>
        <w:tc>
          <w:tcPr>
            <w:tcW w:w="720" w:type="dxa"/>
            <w:tcBorders>
              <w:top w:val="nil"/>
              <w:left w:val="nil"/>
              <w:bottom w:val="single" w:sz="4" w:space="0" w:color="auto"/>
              <w:right w:val="single" w:sz="4" w:space="0" w:color="auto"/>
            </w:tcBorders>
            <w:vAlign w:val="center"/>
          </w:tcPr>
          <w:p w:rsidR="008967E5" w:rsidRDefault="008967E5" w:rsidP="00F21801">
            <w:pPr>
              <w:jc w:val="center"/>
              <w:rPr>
                <w:rFonts w:ascii="Arial" w:hAnsi="Arial" w:cs="Arial"/>
                <w:sz w:val="16"/>
                <w:szCs w:val="16"/>
              </w:rPr>
            </w:pPr>
            <w:r>
              <w:rPr>
                <w:rFonts w:ascii="Arial" w:hAnsi="Arial" w:cs="Arial"/>
                <w:sz w:val="16"/>
                <w:szCs w:val="16"/>
              </w:rPr>
              <w:t>72</w:t>
            </w:r>
          </w:p>
        </w:tc>
        <w:tc>
          <w:tcPr>
            <w:tcW w:w="900" w:type="dxa"/>
            <w:tcBorders>
              <w:top w:val="nil"/>
              <w:left w:val="nil"/>
              <w:bottom w:val="single" w:sz="4" w:space="0" w:color="auto"/>
              <w:right w:val="single" w:sz="4" w:space="0" w:color="auto"/>
            </w:tcBorders>
            <w:vAlign w:val="center"/>
          </w:tcPr>
          <w:p w:rsidR="008967E5" w:rsidRDefault="008967E5" w:rsidP="00F21801">
            <w:pPr>
              <w:jc w:val="center"/>
              <w:rPr>
                <w:rFonts w:ascii="Arial" w:hAnsi="Arial" w:cs="Arial"/>
                <w:sz w:val="16"/>
                <w:szCs w:val="16"/>
              </w:rPr>
            </w:pPr>
            <w:r>
              <w:rPr>
                <w:rFonts w:ascii="Arial" w:hAnsi="Arial" w:cs="Arial"/>
                <w:sz w:val="16"/>
                <w:szCs w:val="16"/>
              </w:rPr>
              <w:t>88,285 [121,865]</w:t>
            </w:r>
          </w:p>
        </w:tc>
        <w:tc>
          <w:tcPr>
            <w:tcW w:w="540" w:type="dxa"/>
            <w:tcBorders>
              <w:top w:val="nil"/>
              <w:left w:val="nil"/>
              <w:bottom w:val="single" w:sz="4" w:space="0" w:color="auto"/>
              <w:right w:val="single" w:sz="4" w:space="0" w:color="auto"/>
            </w:tcBorders>
            <w:vAlign w:val="center"/>
          </w:tcPr>
          <w:p w:rsidR="008967E5" w:rsidRDefault="008967E5" w:rsidP="00F21801">
            <w:pPr>
              <w:jc w:val="center"/>
              <w:rPr>
                <w:rFonts w:ascii="Arial" w:hAnsi="Arial" w:cs="Arial"/>
                <w:sz w:val="16"/>
                <w:szCs w:val="16"/>
              </w:rPr>
            </w:pPr>
            <w:r>
              <w:rPr>
                <w:rFonts w:ascii="Arial" w:hAnsi="Arial" w:cs="Arial"/>
                <w:sz w:val="16"/>
                <w:szCs w:val="16"/>
              </w:rPr>
              <w:t>0</w:t>
            </w:r>
          </w:p>
        </w:tc>
        <w:tc>
          <w:tcPr>
            <w:tcW w:w="1005" w:type="dxa"/>
            <w:tcBorders>
              <w:top w:val="nil"/>
              <w:left w:val="nil"/>
              <w:bottom w:val="single" w:sz="4" w:space="0" w:color="auto"/>
              <w:right w:val="single" w:sz="4" w:space="0" w:color="auto"/>
            </w:tcBorders>
            <w:vAlign w:val="center"/>
          </w:tcPr>
          <w:p w:rsidR="00193399" w:rsidRDefault="008967E5" w:rsidP="00193399">
            <w:pPr>
              <w:jc w:val="center"/>
              <w:rPr>
                <w:rFonts w:ascii="Arial" w:hAnsi="Arial" w:cs="Arial"/>
                <w:color w:val="000000"/>
                <w:sz w:val="16"/>
                <w:szCs w:val="16"/>
              </w:rPr>
            </w:pPr>
            <w:r>
              <w:rPr>
                <w:rFonts w:ascii="Arial" w:hAnsi="Arial" w:cs="Arial"/>
                <w:color w:val="000000"/>
                <w:sz w:val="16"/>
                <w:szCs w:val="16"/>
              </w:rPr>
              <w:t>-33,978</w:t>
            </w:r>
          </w:p>
          <w:p w:rsidR="008967E5" w:rsidRDefault="00193399" w:rsidP="00193399">
            <w:pPr>
              <w:jc w:val="center"/>
              <w:rPr>
                <w:rFonts w:ascii="Arial" w:hAnsi="Arial" w:cs="Arial"/>
                <w:color w:val="000000"/>
                <w:sz w:val="16"/>
                <w:szCs w:val="16"/>
              </w:rPr>
            </w:pPr>
            <w:r>
              <w:rPr>
                <w:rFonts w:ascii="Arial" w:hAnsi="Arial" w:cs="Arial"/>
                <w:color w:val="000000"/>
                <w:sz w:val="16"/>
                <w:szCs w:val="16"/>
              </w:rPr>
              <w:t>[-99,152]</w:t>
            </w:r>
            <w:r w:rsidR="008967E5">
              <w:rPr>
                <w:rFonts w:ascii="Arial" w:hAnsi="Arial" w:cs="Arial"/>
                <w:color w:val="000000"/>
                <w:sz w:val="16"/>
                <w:szCs w:val="16"/>
              </w:rPr>
              <w:t xml:space="preserve">        </w:t>
            </w:r>
          </w:p>
        </w:tc>
        <w:tc>
          <w:tcPr>
            <w:tcW w:w="608" w:type="dxa"/>
            <w:tcBorders>
              <w:top w:val="nil"/>
              <w:left w:val="nil"/>
              <w:bottom w:val="single" w:sz="4" w:space="0" w:color="auto"/>
              <w:right w:val="single" w:sz="4" w:space="0" w:color="auto"/>
            </w:tcBorders>
            <w:vAlign w:val="center"/>
          </w:tcPr>
          <w:p w:rsidR="008967E5" w:rsidRDefault="008967E5" w:rsidP="00F21801">
            <w:pPr>
              <w:jc w:val="center"/>
              <w:rPr>
                <w:rFonts w:ascii="Arial" w:hAnsi="Arial" w:cs="Arial"/>
                <w:sz w:val="16"/>
                <w:szCs w:val="16"/>
              </w:rPr>
            </w:pPr>
            <w:r>
              <w:rPr>
                <w:rFonts w:ascii="Arial" w:hAnsi="Arial" w:cs="Arial"/>
                <w:sz w:val="16"/>
                <w:szCs w:val="16"/>
              </w:rPr>
              <w:t xml:space="preserve">72 </w:t>
            </w:r>
          </w:p>
        </w:tc>
        <w:tc>
          <w:tcPr>
            <w:tcW w:w="900" w:type="dxa"/>
            <w:tcBorders>
              <w:top w:val="nil"/>
              <w:left w:val="nil"/>
              <w:bottom w:val="single" w:sz="4" w:space="0" w:color="auto"/>
              <w:right w:val="single" w:sz="8" w:space="0" w:color="auto"/>
            </w:tcBorders>
            <w:vAlign w:val="center"/>
          </w:tcPr>
          <w:p w:rsidR="008967E5" w:rsidRDefault="008967E5" w:rsidP="00193399">
            <w:pPr>
              <w:jc w:val="center"/>
              <w:rPr>
                <w:rFonts w:ascii="Arial" w:hAnsi="Arial" w:cs="Arial"/>
                <w:color w:val="000000"/>
                <w:sz w:val="16"/>
                <w:szCs w:val="16"/>
              </w:rPr>
            </w:pPr>
            <w:r>
              <w:rPr>
                <w:rFonts w:ascii="Arial" w:hAnsi="Arial" w:cs="Arial"/>
                <w:color w:val="000000"/>
                <w:sz w:val="16"/>
                <w:szCs w:val="16"/>
              </w:rPr>
              <w:t>54,307]</w:t>
            </w:r>
            <w:r w:rsidR="00193399">
              <w:rPr>
                <w:rFonts w:ascii="Arial" w:hAnsi="Arial" w:cs="Arial"/>
                <w:color w:val="000000"/>
                <w:sz w:val="16"/>
                <w:szCs w:val="16"/>
              </w:rPr>
              <w:t xml:space="preserve"> [22,713]</w:t>
            </w:r>
          </w:p>
        </w:tc>
      </w:tr>
      <w:tr w:rsidR="008967E5" w:rsidTr="00F21801">
        <w:trPr>
          <w:trHeight w:val="450"/>
        </w:trPr>
        <w:tc>
          <w:tcPr>
            <w:tcW w:w="1220" w:type="dxa"/>
            <w:tcBorders>
              <w:top w:val="nil"/>
              <w:left w:val="single" w:sz="8" w:space="0" w:color="auto"/>
              <w:bottom w:val="single" w:sz="4" w:space="0" w:color="auto"/>
              <w:right w:val="single" w:sz="4" w:space="0" w:color="auto"/>
            </w:tcBorders>
            <w:vAlign w:val="center"/>
          </w:tcPr>
          <w:p w:rsidR="008967E5" w:rsidRDefault="008967E5" w:rsidP="00F21801">
            <w:pPr>
              <w:rPr>
                <w:rFonts w:ascii="Arial" w:hAnsi="Arial" w:cs="Arial"/>
                <w:b/>
                <w:bCs/>
                <w:sz w:val="16"/>
                <w:szCs w:val="16"/>
              </w:rPr>
            </w:pPr>
            <w:r>
              <w:rPr>
                <w:rFonts w:ascii="Arial" w:hAnsi="Arial" w:cs="Arial"/>
                <w:b/>
                <w:bCs/>
                <w:sz w:val="16"/>
                <w:szCs w:val="16"/>
              </w:rPr>
              <w:t>Performance Measure</w:t>
            </w:r>
          </w:p>
        </w:tc>
        <w:tc>
          <w:tcPr>
            <w:tcW w:w="3295" w:type="dxa"/>
            <w:tcBorders>
              <w:top w:val="nil"/>
              <w:left w:val="nil"/>
              <w:bottom w:val="single" w:sz="4" w:space="0" w:color="auto"/>
              <w:right w:val="single" w:sz="4" w:space="0" w:color="auto"/>
            </w:tcBorders>
            <w:vAlign w:val="center"/>
          </w:tcPr>
          <w:p w:rsidR="008967E5" w:rsidRDefault="008967E5" w:rsidP="00F21801">
            <w:pPr>
              <w:rPr>
                <w:sz w:val="16"/>
                <w:szCs w:val="16"/>
              </w:rPr>
            </w:pPr>
            <w:r>
              <w:rPr>
                <w:sz w:val="16"/>
                <w:szCs w:val="16"/>
              </w:rPr>
              <w:t>Percentage of offenders booked through JABS</w:t>
            </w:r>
          </w:p>
        </w:tc>
        <w:tc>
          <w:tcPr>
            <w:tcW w:w="1440" w:type="dxa"/>
            <w:gridSpan w:val="2"/>
            <w:tcBorders>
              <w:top w:val="single" w:sz="4" w:space="0" w:color="auto"/>
              <w:left w:val="nil"/>
              <w:bottom w:val="single" w:sz="4" w:space="0" w:color="auto"/>
              <w:right w:val="single" w:sz="4" w:space="0" w:color="auto"/>
            </w:tcBorders>
            <w:noWrap/>
            <w:vAlign w:val="center"/>
          </w:tcPr>
          <w:p w:rsidR="008967E5" w:rsidRDefault="008967E5" w:rsidP="00F21801">
            <w:pPr>
              <w:jc w:val="center"/>
              <w:rPr>
                <w:rFonts w:ascii="Arial" w:hAnsi="Arial" w:cs="Arial"/>
                <w:sz w:val="16"/>
                <w:szCs w:val="16"/>
              </w:rPr>
            </w:pPr>
            <w:r>
              <w:rPr>
                <w:rFonts w:ascii="Arial" w:hAnsi="Arial" w:cs="Arial"/>
                <w:sz w:val="16"/>
                <w:szCs w:val="16"/>
              </w:rPr>
              <w:t>99%</w:t>
            </w:r>
          </w:p>
        </w:tc>
        <w:tc>
          <w:tcPr>
            <w:tcW w:w="1440" w:type="dxa"/>
            <w:gridSpan w:val="2"/>
            <w:tcBorders>
              <w:top w:val="single" w:sz="4" w:space="0" w:color="auto"/>
              <w:left w:val="nil"/>
              <w:bottom w:val="single" w:sz="4" w:space="0" w:color="auto"/>
              <w:right w:val="single" w:sz="4" w:space="0" w:color="auto"/>
            </w:tcBorders>
            <w:shd w:val="clear" w:color="auto" w:fill="C0C0C0"/>
            <w:noWrap/>
            <w:vAlign w:val="center"/>
          </w:tcPr>
          <w:p w:rsidR="008967E5" w:rsidRDefault="008967E5" w:rsidP="00F21801">
            <w:pPr>
              <w:jc w:val="center"/>
              <w:rPr>
                <w:rFonts w:ascii="Arial" w:hAnsi="Arial" w:cs="Arial"/>
                <w:sz w:val="16"/>
                <w:szCs w:val="16"/>
              </w:rPr>
            </w:pPr>
            <w:r>
              <w:rPr>
                <w:rFonts w:ascii="Arial" w:hAnsi="Arial" w:cs="Arial"/>
                <w:sz w:val="16"/>
                <w:szCs w:val="16"/>
              </w:rPr>
              <w:t>98%</w:t>
            </w:r>
          </w:p>
        </w:tc>
        <w:tc>
          <w:tcPr>
            <w:tcW w:w="1620" w:type="dxa"/>
            <w:gridSpan w:val="2"/>
            <w:tcBorders>
              <w:top w:val="single" w:sz="4" w:space="0" w:color="auto"/>
              <w:left w:val="nil"/>
              <w:bottom w:val="single" w:sz="4" w:space="0" w:color="auto"/>
              <w:right w:val="single" w:sz="4" w:space="0" w:color="auto"/>
            </w:tcBorders>
            <w:noWrap/>
            <w:vAlign w:val="center"/>
          </w:tcPr>
          <w:p w:rsidR="008967E5" w:rsidRDefault="008967E5" w:rsidP="00F21801">
            <w:pPr>
              <w:jc w:val="center"/>
              <w:rPr>
                <w:rFonts w:ascii="Arial" w:hAnsi="Arial" w:cs="Arial"/>
                <w:sz w:val="16"/>
                <w:szCs w:val="16"/>
              </w:rPr>
            </w:pPr>
            <w:r>
              <w:rPr>
                <w:rFonts w:ascii="Arial" w:hAnsi="Arial" w:cs="Arial"/>
                <w:sz w:val="16"/>
                <w:szCs w:val="16"/>
              </w:rPr>
              <w:t>98%</w:t>
            </w:r>
          </w:p>
        </w:tc>
        <w:tc>
          <w:tcPr>
            <w:tcW w:w="1545" w:type="dxa"/>
            <w:gridSpan w:val="2"/>
            <w:tcBorders>
              <w:top w:val="single" w:sz="4" w:space="0" w:color="auto"/>
              <w:left w:val="nil"/>
              <w:bottom w:val="single" w:sz="4" w:space="0" w:color="auto"/>
              <w:right w:val="single" w:sz="4" w:space="0" w:color="auto"/>
            </w:tcBorders>
            <w:noWrap/>
            <w:vAlign w:val="center"/>
          </w:tcPr>
          <w:p w:rsidR="008967E5" w:rsidRDefault="008967E5" w:rsidP="00F21801">
            <w:pPr>
              <w:jc w:val="center"/>
              <w:rPr>
                <w:rFonts w:ascii="Arial" w:hAnsi="Arial" w:cs="Arial"/>
                <w:sz w:val="16"/>
                <w:szCs w:val="16"/>
              </w:rPr>
            </w:pPr>
            <w:r>
              <w:rPr>
                <w:rFonts w:ascii="Arial" w:hAnsi="Arial" w:cs="Arial"/>
                <w:sz w:val="16"/>
                <w:szCs w:val="16"/>
              </w:rPr>
              <w:t>N/A</w:t>
            </w:r>
          </w:p>
        </w:tc>
        <w:tc>
          <w:tcPr>
            <w:tcW w:w="1508" w:type="dxa"/>
            <w:gridSpan w:val="2"/>
            <w:tcBorders>
              <w:top w:val="single" w:sz="4" w:space="0" w:color="auto"/>
              <w:left w:val="nil"/>
              <w:bottom w:val="single" w:sz="4" w:space="0" w:color="auto"/>
              <w:right w:val="single" w:sz="8" w:space="0" w:color="000000"/>
            </w:tcBorders>
            <w:noWrap/>
            <w:vAlign w:val="center"/>
          </w:tcPr>
          <w:p w:rsidR="008967E5" w:rsidRDefault="008967E5" w:rsidP="00F21801">
            <w:pPr>
              <w:jc w:val="center"/>
              <w:rPr>
                <w:rFonts w:ascii="Arial" w:hAnsi="Arial" w:cs="Arial"/>
                <w:sz w:val="16"/>
                <w:szCs w:val="16"/>
              </w:rPr>
            </w:pPr>
            <w:r>
              <w:rPr>
                <w:rFonts w:ascii="Arial" w:hAnsi="Arial" w:cs="Arial"/>
                <w:sz w:val="16"/>
                <w:szCs w:val="16"/>
              </w:rPr>
              <w:t>98%</w:t>
            </w:r>
          </w:p>
        </w:tc>
      </w:tr>
      <w:tr w:rsidR="008967E5" w:rsidTr="00F21801">
        <w:trPr>
          <w:trHeight w:val="675"/>
        </w:trPr>
        <w:tc>
          <w:tcPr>
            <w:tcW w:w="1220" w:type="dxa"/>
            <w:tcBorders>
              <w:top w:val="nil"/>
              <w:left w:val="single" w:sz="8" w:space="0" w:color="auto"/>
              <w:bottom w:val="single" w:sz="4" w:space="0" w:color="auto"/>
              <w:right w:val="single" w:sz="4" w:space="0" w:color="auto"/>
            </w:tcBorders>
            <w:vAlign w:val="center"/>
          </w:tcPr>
          <w:p w:rsidR="008967E5" w:rsidRDefault="008967E5" w:rsidP="00F21801">
            <w:pPr>
              <w:rPr>
                <w:rFonts w:ascii="Arial" w:hAnsi="Arial" w:cs="Arial"/>
                <w:b/>
                <w:bCs/>
                <w:sz w:val="16"/>
                <w:szCs w:val="16"/>
              </w:rPr>
            </w:pPr>
            <w:r>
              <w:rPr>
                <w:rFonts w:ascii="Arial" w:hAnsi="Arial" w:cs="Arial"/>
                <w:b/>
                <w:bCs/>
                <w:sz w:val="16"/>
                <w:szCs w:val="16"/>
              </w:rPr>
              <w:t>Performance Measure</w:t>
            </w:r>
          </w:p>
        </w:tc>
        <w:tc>
          <w:tcPr>
            <w:tcW w:w="3295" w:type="dxa"/>
            <w:tcBorders>
              <w:top w:val="nil"/>
              <w:left w:val="nil"/>
              <w:bottom w:val="single" w:sz="4" w:space="0" w:color="auto"/>
              <w:right w:val="single" w:sz="4" w:space="0" w:color="auto"/>
            </w:tcBorders>
            <w:vAlign w:val="center"/>
          </w:tcPr>
          <w:p w:rsidR="008967E5" w:rsidRDefault="008967E5" w:rsidP="00F21801">
            <w:pPr>
              <w:rPr>
                <w:sz w:val="16"/>
                <w:szCs w:val="16"/>
              </w:rPr>
            </w:pPr>
            <w:r>
              <w:rPr>
                <w:sz w:val="16"/>
                <w:szCs w:val="16"/>
              </w:rPr>
              <w:t>Percentage of total JCON workstations deployed in the fiscal year (non-cumulative)</w:t>
            </w:r>
          </w:p>
        </w:tc>
        <w:tc>
          <w:tcPr>
            <w:tcW w:w="1440" w:type="dxa"/>
            <w:gridSpan w:val="2"/>
            <w:tcBorders>
              <w:top w:val="single" w:sz="4" w:space="0" w:color="auto"/>
              <w:left w:val="nil"/>
              <w:bottom w:val="single" w:sz="4" w:space="0" w:color="auto"/>
              <w:right w:val="single" w:sz="4" w:space="0" w:color="auto"/>
            </w:tcBorders>
            <w:noWrap/>
            <w:vAlign w:val="center"/>
          </w:tcPr>
          <w:p w:rsidR="008967E5" w:rsidRDefault="008967E5" w:rsidP="00F21801">
            <w:pPr>
              <w:jc w:val="center"/>
              <w:rPr>
                <w:rFonts w:ascii="Arial" w:hAnsi="Arial" w:cs="Arial"/>
                <w:sz w:val="16"/>
                <w:szCs w:val="16"/>
              </w:rPr>
            </w:pPr>
            <w:r>
              <w:rPr>
                <w:rFonts w:ascii="Arial" w:hAnsi="Arial" w:cs="Arial"/>
                <w:sz w:val="16"/>
                <w:szCs w:val="16"/>
              </w:rPr>
              <w:t>100%</w:t>
            </w:r>
          </w:p>
        </w:tc>
        <w:tc>
          <w:tcPr>
            <w:tcW w:w="1440" w:type="dxa"/>
            <w:gridSpan w:val="2"/>
            <w:tcBorders>
              <w:top w:val="single" w:sz="4" w:space="0" w:color="auto"/>
              <w:left w:val="nil"/>
              <w:bottom w:val="single" w:sz="4" w:space="0" w:color="auto"/>
              <w:right w:val="single" w:sz="4" w:space="0" w:color="auto"/>
            </w:tcBorders>
            <w:shd w:val="clear" w:color="auto" w:fill="C0C0C0"/>
            <w:noWrap/>
            <w:vAlign w:val="center"/>
          </w:tcPr>
          <w:p w:rsidR="008967E5" w:rsidRDefault="008967E5" w:rsidP="00F21801">
            <w:pPr>
              <w:jc w:val="center"/>
              <w:rPr>
                <w:rFonts w:ascii="Arial" w:hAnsi="Arial" w:cs="Arial"/>
                <w:sz w:val="16"/>
                <w:szCs w:val="16"/>
              </w:rPr>
            </w:pPr>
            <w:r>
              <w:rPr>
                <w:rFonts w:ascii="Arial" w:hAnsi="Arial" w:cs="Arial"/>
                <w:sz w:val="16"/>
                <w:szCs w:val="16"/>
              </w:rPr>
              <w:t>36%</w:t>
            </w:r>
          </w:p>
        </w:tc>
        <w:tc>
          <w:tcPr>
            <w:tcW w:w="1620" w:type="dxa"/>
            <w:gridSpan w:val="2"/>
            <w:tcBorders>
              <w:top w:val="single" w:sz="4" w:space="0" w:color="auto"/>
              <w:left w:val="nil"/>
              <w:bottom w:val="single" w:sz="4" w:space="0" w:color="auto"/>
              <w:right w:val="single" w:sz="4" w:space="0" w:color="auto"/>
            </w:tcBorders>
            <w:noWrap/>
            <w:vAlign w:val="center"/>
          </w:tcPr>
          <w:p w:rsidR="008967E5" w:rsidRDefault="008967E5" w:rsidP="00F21801">
            <w:pPr>
              <w:jc w:val="center"/>
              <w:rPr>
                <w:rFonts w:ascii="Arial" w:hAnsi="Arial" w:cs="Arial"/>
                <w:sz w:val="16"/>
                <w:szCs w:val="16"/>
              </w:rPr>
            </w:pPr>
            <w:r>
              <w:rPr>
                <w:rFonts w:ascii="Arial" w:hAnsi="Arial" w:cs="Arial"/>
                <w:sz w:val="16"/>
                <w:szCs w:val="16"/>
              </w:rPr>
              <w:t>100%</w:t>
            </w:r>
          </w:p>
        </w:tc>
        <w:tc>
          <w:tcPr>
            <w:tcW w:w="1545" w:type="dxa"/>
            <w:gridSpan w:val="2"/>
            <w:tcBorders>
              <w:top w:val="single" w:sz="4" w:space="0" w:color="auto"/>
              <w:left w:val="nil"/>
              <w:bottom w:val="single" w:sz="4" w:space="0" w:color="auto"/>
              <w:right w:val="single" w:sz="4" w:space="0" w:color="auto"/>
            </w:tcBorders>
            <w:noWrap/>
            <w:vAlign w:val="center"/>
          </w:tcPr>
          <w:p w:rsidR="008967E5" w:rsidRDefault="008967E5" w:rsidP="00F21801">
            <w:pPr>
              <w:jc w:val="center"/>
              <w:rPr>
                <w:rFonts w:ascii="Arial" w:hAnsi="Arial" w:cs="Arial"/>
                <w:sz w:val="16"/>
                <w:szCs w:val="16"/>
              </w:rPr>
            </w:pPr>
            <w:r>
              <w:rPr>
                <w:rFonts w:ascii="Arial" w:hAnsi="Arial" w:cs="Arial"/>
                <w:sz w:val="16"/>
                <w:szCs w:val="16"/>
              </w:rPr>
              <w:t>N/A</w:t>
            </w:r>
          </w:p>
        </w:tc>
        <w:tc>
          <w:tcPr>
            <w:tcW w:w="1508" w:type="dxa"/>
            <w:gridSpan w:val="2"/>
            <w:tcBorders>
              <w:top w:val="single" w:sz="4" w:space="0" w:color="auto"/>
              <w:left w:val="nil"/>
              <w:bottom w:val="single" w:sz="4" w:space="0" w:color="auto"/>
              <w:right w:val="single" w:sz="8" w:space="0" w:color="000000"/>
            </w:tcBorders>
            <w:noWrap/>
            <w:vAlign w:val="center"/>
          </w:tcPr>
          <w:p w:rsidR="008967E5" w:rsidRDefault="008967E5" w:rsidP="00F21801">
            <w:pPr>
              <w:jc w:val="center"/>
              <w:rPr>
                <w:rFonts w:ascii="Arial" w:hAnsi="Arial" w:cs="Arial"/>
                <w:sz w:val="16"/>
                <w:szCs w:val="16"/>
              </w:rPr>
            </w:pPr>
            <w:r>
              <w:rPr>
                <w:rFonts w:ascii="Arial" w:hAnsi="Arial" w:cs="Arial"/>
                <w:sz w:val="16"/>
                <w:szCs w:val="16"/>
              </w:rPr>
              <w:t>100%</w:t>
            </w:r>
          </w:p>
        </w:tc>
      </w:tr>
      <w:tr w:rsidR="008967E5" w:rsidTr="00F21801">
        <w:trPr>
          <w:trHeight w:val="450"/>
        </w:trPr>
        <w:tc>
          <w:tcPr>
            <w:tcW w:w="1220" w:type="dxa"/>
            <w:tcBorders>
              <w:top w:val="nil"/>
              <w:left w:val="single" w:sz="8" w:space="0" w:color="auto"/>
              <w:bottom w:val="single" w:sz="4" w:space="0" w:color="auto"/>
              <w:right w:val="single" w:sz="4" w:space="0" w:color="auto"/>
            </w:tcBorders>
            <w:vAlign w:val="center"/>
          </w:tcPr>
          <w:p w:rsidR="008967E5" w:rsidRDefault="008967E5" w:rsidP="00F21801">
            <w:pPr>
              <w:rPr>
                <w:rFonts w:ascii="Arial" w:hAnsi="Arial" w:cs="Arial"/>
                <w:b/>
                <w:bCs/>
                <w:sz w:val="16"/>
                <w:szCs w:val="16"/>
              </w:rPr>
            </w:pPr>
            <w:r>
              <w:rPr>
                <w:rFonts w:ascii="Arial" w:hAnsi="Arial" w:cs="Arial"/>
                <w:b/>
                <w:bCs/>
                <w:sz w:val="16"/>
                <w:szCs w:val="16"/>
              </w:rPr>
              <w:t>Performance Measure</w:t>
            </w:r>
          </w:p>
        </w:tc>
        <w:tc>
          <w:tcPr>
            <w:tcW w:w="3295" w:type="dxa"/>
            <w:tcBorders>
              <w:top w:val="nil"/>
              <w:left w:val="nil"/>
              <w:bottom w:val="single" w:sz="4" w:space="0" w:color="auto"/>
              <w:right w:val="single" w:sz="4" w:space="0" w:color="auto"/>
            </w:tcBorders>
            <w:vAlign w:val="center"/>
          </w:tcPr>
          <w:p w:rsidR="008967E5" w:rsidRDefault="008967E5" w:rsidP="00F21801">
            <w:pPr>
              <w:rPr>
                <w:sz w:val="16"/>
                <w:szCs w:val="16"/>
              </w:rPr>
            </w:pPr>
            <w:r>
              <w:rPr>
                <w:sz w:val="16"/>
                <w:szCs w:val="16"/>
              </w:rPr>
              <w:t>Maintain mainframe enterprise system availability for client organizations</w:t>
            </w:r>
          </w:p>
        </w:tc>
        <w:tc>
          <w:tcPr>
            <w:tcW w:w="1440" w:type="dxa"/>
            <w:gridSpan w:val="2"/>
            <w:tcBorders>
              <w:top w:val="single" w:sz="4" w:space="0" w:color="auto"/>
              <w:left w:val="nil"/>
              <w:bottom w:val="single" w:sz="4" w:space="0" w:color="auto"/>
              <w:right w:val="single" w:sz="4" w:space="0" w:color="auto"/>
            </w:tcBorders>
            <w:noWrap/>
            <w:vAlign w:val="center"/>
          </w:tcPr>
          <w:p w:rsidR="008967E5" w:rsidRDefault="008967E5" w:rsidP="00F21801">
            <w:pPr>
              <w:jc w:val="center"/>
              <w:rPr>
                <w:rFonts w:ascii="Arial" w:hAnsi="Arial" w:cs="Arial"/>
                <w:sz w:val="16"/>
                <w:szCs w:val="16"/>
              </w:rPr>
            </w:pPr>
            <w:r>
              <w:rPr>
                <w:rFonts w:ascii="Arial" w:hAnsi="Arial" w:cs="Arial"/>
                <w:sz w:val="16"/>
                <w:szCs w:val="16"/>
              </w:rPr>
              <w:t>99%</w:t>
            </w:r>
          </w:p>
        </w:tc>
        <w:tc>
          <w:tcPr>
            <w:tcW w:w="1440" w:type="dxa"/>
            <w:gridSpan w:val="2"/>
            <w:tcBorders>
              <w:top w:val="single" w:sz="4" w:space="0" w:color="auto"/>
              <w:left w:val="nil"/>
              <w:bottom w:val="single" w:sz="4" w:space="0" w:color="auto"/>
              <w:right w:val="single" w:sz="4" w:space="0" w:color="auto"/>
            </w:tcBorders>
            <w:shd w:val="clear" w:color="auto" w:fill="C0C0C0"/>
            <w:noWrap/>
            <w:vAlign w:val="center"/>
          </w:tcPr>
          <w:p w:rsidR="008967E5" w:rsidRDefault="008967E5" w:rsidP="00F21801">
            <w:pPr>
              <w:jc w:val="center"/>
              <w:rPr>
                <w:rFonts w:ascii="Arial" w:hAnsi="Arial" w:cs="Arial"/>
                <w:sz w:val="16"/>
                <w:szCs w:val="16"/>
              </w:rPr>
            </w:pPr>
            <w:r>
              <w:rPr>
                <w:rFonts w:ascii="Arial" w:hAnsi="Arial" w:cs="Arial"/>
                <w:sz w:val="16"/>
                <w:szCs w:val="16"/>
              </w:rPr>
              <w:t>99%</w:t>
            </w:r>
          </w:p>
        </w:tc>
        <w:tc>
          <w:tcPr>
            <w:tcW w:w="1620" w:type="dxa"/>
            <w:gridSpan w:val="2"/>
            <w:tcBorders>
              <w:top w:val="single" w:sz="4" w:space="0" w:color="auto"/>
              <w:left w:val="nil"/>
              <w:bottom w:val="single" w:sz="4" w:space="0" w:color="auto"/>
              <w:right w:val="single" w:sz="4" w:space="0" w:color="auto"/>
            </w:tcBorders>
            <w:noWrap/>
            <w:vAlign w:val="center"/>
          </w:tcPr>
          <w:p w:rsidR="008967E5" w:rsidRDefault="008967E5" w:rsidP="00F21801">
            <w:pPr>
              <w:jc w:val="center"/>
              <w:rPr>
                <w:rFonts w:ascii="Arial" w:hAnsi="Arial" w:cs="Arial"/>
                <w:sz w:val="16"/>
                <w:szCs w:val="16"/>
              </w:rPr>
            </w:pPr>
            <w:r>
              <w:rPr>
                <w:rFonts w:ascii="Arial" w:hAnsi="Arial" w:cs="Arial"/>
                <w:sz w:val="16"/>
                <w:szCs w:val="16"/>
              </w:rPr>
              <w:t>99%</w:t>
            </w:r>
          </w:p>
        </w:tc>
        <w:tc>
          <w:tcPr>
            <w:tcW w:w="1545" w:type="dxa"/>
            <w:gridSpan w:val="2"/>
            <w:tcBorders>
              <w:top w:val="single" w:sz="4" w:space="0" w:color="auto"/>
              <w:left w:val="nil"/>
              <w:bottom w:val="single" w:sz="4" w:space="0" w:color="auto"/>
              <w:right w:val="single" w:sz="4" w:space="0" w:color="auto"/>
            </w:tcBorders>
            <w:noWrap/>
            <w:vAlign w:val="center"/>
          </w:tcPr>
          <w:p w:rsidR="008967E5" w:rsidRDefault="008967E5" w:rsidP="00F21801">
            <w:pPr>
              <w:jc w:val="center"/>
              <w:rPr>
                <w:rFonts w:ascii="Arial" w:hAnsi="Arial" w:cs="Arial"/>
                <w:sz w:val="16"/>
                <w:szCs w:val="16"/>
              </w:rPr>
            </w:pPr>
            <w:r>
              <w:rPr>
                <w:rFonts w:ascii="Arial" w:hAnsi="Arial" w:cs="Arial"/>
                <w:sz w:val="16"/>
                <w:szCs w:val="16"/>
              </w:rPr>
              <w:t>N/A</w:t>
            </w:r>
          </w:p>
        </w:tc>
        <w:tc>
          <w:tcPr>
            <w:tcW w:w="1508" w:type="dxa"/>
            <w:gridSpan w:val="2"/>
            <w:tcBorders>
              <w:top w:val="single" w:sz="4" w:space="0" w:color="auto"/>
              <w:left w:val="nil"/>
              <w:bottom w:val="single" w:sz="4" w:space="0" w:color="auto"/>
              <w:right w:val="single" w:sz="8" w:space="0" w:color="000000"/>
            </w:tcBorders>
            <w:noWrap/>
            <w:vAlign w:val="center"/>
          </w:tcPr>
          <w:p w:rsidR="008967E5" w:rsidRDefault="008967E5" w:rsidP="00F21801">
            <w:pPr>
              <w:jc w:val="center"/>
              <w:rPr>
                <w:rFonts w:ascii="Arial" w:hAnsi="Arial" w:cs="Arial"/>
                <w:sz w:val="16"/>
                <w:szCs w:val="16"/>
              </w:rPr>
            </w:pPr>
            <w:r>
              <w:rPr>
                <w:rFonts w:ascii="Arial" w:hAnsi="Arial" w:cs="Arial"/>
                <w:sz w:val="16"/>
                <w:szCs w:val="16"/>
              </w:rPr>
              <w:t>99%</w:t>
            </w:r>
          </w:p>
        </w:tc>
      </w:tr>
      <w:tr w:rsidR="008967E5" w:rsidTr="00F21801">
        <w:trPr>
          <w:trHeight w:val="450"/>
        </w:trPr>
        <w:tc>
          <w:tcPr>
            <w:tcW w:w="1220" w:type="dxa"/>
            <w:tcBorders>
              <w:top w:val="nil"/>
              <w:left w:val="single" w:sz="8" w:space="0" w:color="auto"/>
              <w:bottom w:val="single" w:sz="4" w:space="0" w:color="auto"/>
              <w:right w:val="single" w:sz="4" w:space="0" w:color="auto"/>
            </w:tcBorders>
            <w:vAlign w:val="center"/>
          </w:tcPr>
          <w:p w:rsidR="008967E5" w:rsidRDefault="008967E5" w:rsidP="00F21801">
            <w:pPr>
              <w:rPr>
                <w:rFonts w:ascii="Arial" w:hAnsi="Arial" w:cs="Arial"/>
                <w:b/>
                <w:bCs/>
                <w:sz w:val="16"/>
                <w:szCs w:val="16"/>
              </w:rPr>
            </w:pPr>
            <w:r>
              <w:rPr>
                <w:rFonts w:ascii="Arial" w:hAnsi="Arial" w:cs="Arial"/>
                <w:b/>
                <w:bCs/>
                <w:sz w:val="16"/>
                <w:szCs w:val="16"/>
              </w:rPr>
              <w:t>Performance Measure</w:t>
            </w:r>
          </w:p>
        </w:tc>
        <w:tc>
          <w:tcPr>
            <w:tcW w:w="3295" w:type="dxa"/>
            <w:tcBorders>
              <w:top w:val="nil"/>
              <w:left w:val="nil"/>
              <w:bottom w:val="single" w:sz="4" w:space="0" w:color="auto"/>
              <w:right w:val="single" w:sz="4" w:space="0" w:color="auto"/>
            </w:tcBorders>
            <w:vAlign w:val="center"/>
          </w:tcPr>
          <w:p w:rsidR="008967E5" w:rsidRDefault="008967E5" w:rsidP="00F21801">
            <w:pPr>
              <w:rPr>
                <w:sz w:val="16"/>
                <w:szCs w:val="16"/>
              </w:rPr>
            </w:pPr>
            <w:r>
              <w:rPr>
                <w:sz w:val="16"/>
                <w:szCs w:val="16"/>
              </w:rPr>
              <w:t>Maintain JMD/SMO JCON system availability for client organizations</w:t>
            </w:r>
          </w:p>
        </w:tc>
        <w:tc>
          <w:tcPr>
            <w:tcW w:w="1440" w:type="dxa"/>
            <w:gridSpan w:val="2"/>
            <w:tcBorders>
              <w:top w:val="single" w:sz="4" w:space="0" w:color="auto"/>
              <w:left w:val="nil"/>
              <w:bottom w:val="single" w:sz="4" w:space="0" w:color="auto"/>
              <w:right w:val="single" w:sz="4" w:space="0" w:color="auto"/>
            </w:tcBorders>
            <w:noWrap/>
            <w:vAlign w:val="center"/>
          </w:tcPr>
          <w:p w:rsidR="008967E5" w:rsidRDefault="008967E5" w:rsidP="00F21801">
            <w:pPr>
              <w:jc w:val="center"/>
              <w:rPr>
                <w:rFonts w:ascii="Arial" w:hAnsi="Arial" w:cs="Arial"/>
                <w:sz w:val="16"/>
                <w:szCs w:val="16"/>
              </w:rPr>
            </w:pPr>
            <w:r>
              <w:rPr>
                <w:rFonts w:ascii="Arial" w:hAnsi="Arial" w:cs="Arial"/>
                <w:sz w:val="16"/>
                <w:szCs w:val="16"/>
              </w:rPr>
              <w:t>99%</w:t>
            </w:r>
          </w:p>
        </w:tc>
        <w:tc>
          <w:tcPr>
            <w:tcW w:w="1440" w:type="dxa"/>
            <w:gridSpan w:val="2"/>
            <w:tcBorders>
              <w:top w:val="single" w:sz="4" w:space="0" w:color="auto"/>
              <w:left w:val="nil"/>
              <w:bottom w:val="single" w:sz="4" w:space="0" w:color="auto"/>
              <w:right w:val="single" w:sz="4" w:space="0" w:color="auto"/>
            </w:tcBorders>
            <w:shd w:val="clear" w:color="auto" w:fill="C0C0C0"/>
            <w:noWrap/>
            <w:vAlign w:val="center"/>
          </w:tcPr>
          <w:p w:rsidR="008967E5" w:rsidRDefault="008967E5" w:rsidP="00F21801">
            <w:pPr>
              <w:jc w:val="center"/>
              <w:rPr>
                <w:rFonts w:ascii="Arial" w:hAnsi="Arial" w:cs="Arial"/>
                <w:sz w:val="16"/>
                <w:szCs w:val="16"/>
              </w:rPr>
            </w:pPr>
            <w:r>
              <w:rPr>
                <w:rFonts w:ascii="Arial" w:hAnsi="Arial" w:cs="Arial"/>
                <w:sz w:val="16"/>
                <w:szCs w:val="16"/>
              </w:rPr>
              <w:t>99%</w:t>
            </w:r>
          </w:p>
        </w:tc>
        <w:tc>
          <w:tcPr>
            <w:tcW w:w="1620" w:type="dxa"/>
            <w:gridSpan w:val="2"/>
            <w:tcBorders>
              <w:top w:val="single" w:sz="4" w:space="0" w:color="auto"/>
              <w:left w:val="nil"/>
              <w:bottom w:val="single" w:sz="4" w:space="0" w:color="auto"/>
              <w:right w:val="single" w:sz="4" w:space="0" w:color="auto"/>
            </w:tcBorders>
            <w:noWrap/>
            <w:vAlign w:val="center"/>
          </w:tcPr>
          <w:p w:rsidR="008967E5" w:rsidRDefault="008967E5" w:rsidP="00F21801">
            <w:pPr>
              <w:jc w:val="center"/>
              <w:rPr>
                <w:rFonts w:ascii="Arial" w:hAnsi="Arial" w:cs="Arial"/>
                <w:sz w:val="16"/>
                <w:szCs w:val="16"/>
              </w:rPr>
            </w:pPr>
            <w:r>
              <w:rPr>
                <w:rFonts w:ascii="Arial" w:hAnsi="Arial" w:cs="Arial"/>
                <w:sz w:val="16"/>
                <w:szCs w:val="16"/>
              </w:rPr>
              <w:t>99%</w:t>
            </w:r>
          </w:p>
        </w:tc>
        <w:tc>
          <w:tcPr>
            <w:tcW w:w="1545" w:type="dxa"/>
            <w:gridSpan w:val="2"/>
            <w:tcBorders>
              <w:top w:val="single" w:sz="4" w:space="0" w:color="auto"/>
              <w:left w:val="nil"/>
              <w:bottom w:val="single" w:sz="4" w:space="0" w:color="auto"/>
              <w:right w:val="single" w:sz="4" w:space="0" w:color="auto"/>
            </w:tcBorders>
            <w:noWrap/>
            <w:vAlign w:val="center"/>
          </w:tcPr>
          <w:p w:rsidR="008967E5" w:rsidRDefault="008967E5" w:rsidP="00F21801">
            <w:pPr>
              <w:jc w:val="center"/>
              <w:rPr>
                <w:rFonts w:ascii="Arial" w:hAnsi="Arial" w:cs="Arial"/>
                <w:sz w:val="16"/>
                <w:szCs w:val="16"/>
              </w:rPr>
            </w:pPr>
            <w:r>
              <w:rPr>
                <w:rFonts w:ascii="Arial" w:hAnsi="Arial" w:cs="Arial"/>
                <w:sz w:val="16"/>
                <w:szCs w:val="16"/>
              </w:rPr>
              <w:t>N/A</w:t>
            </w:r>
          </w:p>
        </w:tc>
        <w:tc>
          <w:tcPr>
            <w:tcW w:w="1508" w:type="dxa"/>
            <w:gridSpan w:val="2"/>
            <w:tcBorders>
              <w:top w:val="single" w:sz="4" w:space="0" w:color="auto"/>
              <w:left w:val="nil"/>
              <w:bottom w:val="single" w:sz="4" w:space="0" w:color="auto"/>
              <w:right w:val="single" w:sz="8" w:space="0" w:color="000000"/>
            </w:tcBorders>
            <w:noWrap/>
            <w:vAlign w:val="center"/>
          </w:tcPr>
          <w:p w:rsidR="008967E5" w:rsidRDefault="008967E5" w:rsidP="00F21801">
            <w:pPr>
              <w:jc w:val="center"/>
              <w:rPr>
                <w:rFonts w:ascii="Arial" w:hAnsi="Arial" w:cs="Arial"/>
                <w:sz w:val="16"/>
                <w:szCs w:val="16"/>
              </w:rPr>
            </w:pPr>
            <w:r>
              <w:rPr>
                <w:rFonts w:ascii="Arial" w:hAnsi="Arial" w:cs="Arial"/>
                <w:sz w:val="16"/>
                <w:szCs w:val="16"/>
              </w:rPr>
              <w:t>99%</w:t>
            </w:r>
          </w:p>
        </w:tc>
      </w:tr>
      <w:tr w:rsidR="008967E5" w:rsidTr="00F21801">
        <w:trPr>
          <w:trHeight w:val="450"/>
        </w:trPr>
        <w:tc>
          <w:tcPr>
            <w:tcW w:w="1220" w:type="dxa"/>
            <w:tcBorders>
              <w:top w:val="nil"/>
              <w:left w:val="single" w:sz="8" w:space="0" w:color="auto"/>
              <w:bottom w:val="single" w:sz="4" w:space="0" w:color="auto"/>
              <w:right w:val="single" w:sz="4" w:space="0" w:color="auto"/>
            </w:tcBorders>
            <w:vAlign w:val="center"/>
          </w:tcPr>
          <w:p w:rsidR="008967E5" w:rsidRDefault="008967E5" w:rsidP="00F21801">
            <w:pPr>
              <w:rPr>
                <w:rFonts w:ascii="Arial" w:hAnsi="Arial" w:cs="Arial"/>
                <w:b/>
                <w:bCs/>
                <w:sz w:val="16"/>
                <w:szCs w:val="16"/>
              </w:rPr>
            </w:pPr>
            <w:r>
              <w:rPr>
                <w:rFonts w:ascii="Arial" w:hAnsi="Arial" w:cs="Arial"/>
                <w:b/>
                <w:bCs/>
                <w:sz w:val="16"/>
                <w:szCs w:val="16"/>
              </w:rPr>
              <w:t>Performance Measure</w:t>
            </w:r>
          </w:p>
        </w:tc>
        <w:tc>
          <w:tcPr>
            <w:tcW w:w="3295" w:type="dxa"/>
            <w:tcBorders>
              <w:top w:val="nil"/>
              <w:left w:val="nil"/>
              <w:bottom w:val="single" w:sz="4" w:space="0" w:color="auto"/>
              <w:right w:val="single" w:sz="4" w:space="0" w:color="auto"/>
            </w:tcBorders>
            <w:vAlign w:val="center"/>
          </w:tcPr>
          <w:p w:rsidR="008967E5" w:rsidRDefault="008967E5" w:rsidP="00F21801">
            <w:pPr>
              <w:rPr>
                <w:sz w:val="16"/>
                <w:szCs w:val="16"/>
              </w:rPr>
            </w:pPr>
            <w:r>
              <w:rPr>
                <w:sz w:val="16"/>
                <w:szCs w:val="16"/>
              </w:rPr>
              <w:t>Ensure IT systems are certified and accredited</w:t>
            </w:r>
          </w:p>
        </w:tc>
        <w:tc>
          <w:tcPr>
            <w:tcW w:w="1440" w:type="dxa"/>
            <w:gridSpan w:val="2"/>
            <w:tcBorders>
              <w:top w:val="single" w:sz="4" w:space="0" w:color="auto"/>
              <w:left w:val="nil"/>
              <w:bottom w:val="single" w:sz="4" w:space="0" w:color="auto"/>
              <w:right w:val="single" w:sz="4" w:space="0" w:color="auto"/>
            </w:tcBorders>
            <w:noWrap/>
            <w:vAlign w:val="center"/>
          </w:tcPr>
          <w:p w:rsidR="008967E5" w:rsidRDefault="008967E5" w:rsidP="00F21801">
            <w:pPr>
              <w:jc w:val="center"/>
              <w:rPr>
                <w:rFonts w:ascii="Arial" w:hAnsi="Arial" w:cs="Arial"/>
                <w:sz w:val="16"/>
                <w:szCs w:val="16"/>
              </w:rPr>
            </w:pPr>
            <w:r>
              <w:rPr>
                <w:rFonts w:ascii="Arial" w:hAnsi="Arial" w:cs="Arial"/>
                <w:sz w:val="16"/>
                <w:szCs w:val="16"/>
              </w:rPr>
              <w:t>100%</w:t>
            </w:r>
          </w:p>
        </w:tc>
        <w:tc>
          <w:tcPr>
            <w:tcW w:w="1440" w:type="dxa"/>
            <w:gridSpan w:val="2"/>
            <w:tcBorders>
              <w:top w:val="single" w:sz="4" w:space="0" w:color="auto"/>
              <w:left w:val="nil"/>
              <w:bottom w:val="single" w:sz="4" w:space="0" w:color="auto"/>
              <w:right w:val="single" w:sz="4" w:space="0" w:color="auto"/>
            </w:tcBorders>
            <w:shd w:val="clear" w:color="auto" w:fill="C0C0C0"/>
            <w:noWrap/>
            <w:vAlign w:val="center"/>
          </w:tcPr>
          <w:p w:rsidR="008967E5" w:rsidRDefault="008967E5" w:rsidP="00F21801">
            <w:pPr>
              <w:jc w:val="center"/>
              <w:rPr>
                <w:rFonts w:ascii="Arial" w:hAnsi="Arial" w:cs="Arial"/>
                <w:sz w:val="16"/>
                <w:szCs w:val="16"/>
              </w:rPr>
            </w:pPr>
            <w:r>
              <w:rPr>
                <w:rFonts w:ascii="Arial" w:hAnsi="Arial" w:cs="Arial"/>
                <w:sz w:val="16"/>
                <w:szCs w:val="16"/>
              </w:rPr>
              <w:t>100%</w:t>
            </w:r>
          </w:p>
        </w:tc>
        <w:tc>
          <w:tcPr>
            <w:tcW w:w="1620" w:type="dxa"/>
            <w:gridSpan w:val="2"/>
            <w:tcBorders>
              <w:top w:val="single" w:sz="4" w:space="0" w:color="auto"/>
              <w:left w:val="nil"/>
              <w:bottom w:val="single" w:sz="4" w:space="0" w:color="auto"/>
              <w:right w:val="single" w:sz="4" w:space="0" w:color="auto"/>
            </w:tcBorders>
            <w:noWrap/>
            <w:vAlign w:val="center"/>
          </w:tcPr>
          <w:p w:rsidR="008967E5" w:rsidRDefault="008967E5" w:rsidP="00F21801">
            <w:pPr>
              <w:jc w:val="center"/>
              <w:rPr>
                <w:rFonts w:ascii="Arial" w:hAnsi="Arial" w:cs="Arial"/>
                <w:sz w:val="16"/>
                <w:szCs w:val="16"/>
              </w:rPr>
            </w:pPr>
            <w:r>
              <w:rPr>
                <w:rFonts w:ascii="Arial" w:hAnsi="Arial" w:cs="Arial"/>
                <w:sz w:val="16"/>
                <w:szCs w:val="16"/>
              </w:rPr>
              <w:t>100%</w:t>
            </w:r>
          </w:p>
        </w:tc>
        <w:tc>
          <w:tcPr>
            <w:tcW w:w="1545" w:type="dxa"/>
            <w:gridSpan w:val="2"/>
            <w:tcBorders>
              <w:top w:val="single" w:sz="4" w:space="0" w:color="auto"/>
              <w:left w:val="nil"/>
              <w:bottom w:val="single" w:sz="4" w:space="0" w:color="auto"/>
              <w:right w:val="single" w:sz="4" w:space="0" w:color="auto"/>
            </w:tcBorders>
            <w:noWrap/>
            <w:vAlign w:val="center"/>
          </w:tcPr>
          <w:p w:rsidR="008967E5" w:rsidRDefault="008967E5" w:rsidP="00F21801">
            <w:pPr>
              <w:jc w:val="center"/>
              <w:rPr>
                <w:rFonts w:ascii="Arial" w:hAnsi="Arial" w:cs="Arial"/>
                <w:sz w:val="16"/>
                <w:szCs w:val="16"/>
              </w:rPr>
            </w:pPr>
            <w:r>
              <w:rPr>
                <w:rFonts w:ascii="Arial" w:hAnsi="Arial" w:cs="Arial"/>
                <w:sz w:val="16"/>
                <w:szCs w:val="16"/>
              </w:rPr>
              <w:t>N/A</w:t>
            </w:r>
          </w:p>
        </w:tc>
        <w:tc>
          <w:tcPr>
            <w:tcW w:w="1508" w:type="dxa"/>
            <w:gridSpan w:val="2"/>
            <w:tcBorders>
              <w:top w:val="single" w:sz="4" w:space="0" w:color="auto"/>
              <w:left w:val="nil"/>
              <w:bottom w:val="single" w:sz="4" w:space="0" w:color="auto"/>
              <w:right w:val="single" w:sz="8" w:space="0" w:color="000000"/>
            </w:tcBorders>
            <w:noWrap/>
            <w:vAlign w:val="center"/>
          </w:tcPr>
          <w:p w:rsidR="008967E5" w:rsidRDefault="008967E5" w:rsidP="00F21801">
            <w:pPr>
              <w:jc w:val="center"/>
              <w:rPr>
                <w:rFonts w:ascii="Arial" w:hAnsi="Arial" w:cs="Arial"/>
                <w:sz w:val="16"/>
                <w:szCs w:val="16"/>
              </w:rPr>
            </w:pPr>
            <w:r>
              <w:rPr>
                <w:rFonts w:ascii="Arial" w:hAnsi="Arial" w:cs="Arial"/>
                <w:sz w:val="16"/>
                <w:szCs w:val="16"/>
              </w:rPr>
              <w:t>100%</w:t>
            </w:r>
          </w:p>
        </w:tc>
      </w:tr>
      <w:tr w:rsidR="008967E5" w:rsidTr="00F21801">
        <w:trPr>
          <w:trHeight w:val="675"/>
        </w:trPr>
        <w:tc>
          <w:tcPr>
            <w:tcW w:w="1220" w:type="dxa"/>
            <w:tcBorders>
              <w:top w:val="nil"/>
              <w:left w:val="single" w:sz="8" w:space="0" w:color="auto"/>
              <w:bottom w:val="single" w:sz="4" w:space="0" w:color="auto"/>
              <w:right w:val="single" w:sz="4" w:space="0" w:color="auto"/>
            </w:tcBorders>
            <w:vAlign w:val="center"/>
          </w:tcPr>
          <w:p w:rsidR="008967E5" w:rsidRDefault="008967E5" w:rsidP="00F21801">
            <w:pPr>
              <w:rPr>
                <w:rFonts w:ascii="Arial" w:hAnsi="Arial" w:cs="Arial"/>
                <w:b/>
                <w:bCs/>
                <w:sz w:val="16"/>
                <w:szCs w:val="16"/>
              </w:rPr>
            </w:pPr>
            <w:r>
              <w:rPr>
                <w:rFonts w:ascii="Arial" w:hAnsi="Arial" w:cs="Arial"/>
                <w:b/>
                <w:bCs/>
                <w:sz w:val="16"/>
                <w:szCs w:val="16"/>
              </w:rPr>
              <w:t>Performance Measure</w:t>
            </w:r>
          </w:p>
        </w:tc>
        <w:tc>
          <w:tcPr>
            <w:tcW w:w="3295" w:type="dxa"/>
            <w:tcBorders>
              <w:top w:val="nil"/>
              <w:left w:val="nil"/>
              <w:bottom w:val="single" w:sz="4" w:space="0" w:color="auto"/>
              <w:right w:val="single" w:sz="4" w:space="0" w:color="auto"/>
            </w:tcBorders>
            <w:vAlign w:val="center"/>
          </w:tcPr>
          <w:p w:rsidR="008967E5" w:rsidRDefault="008967E5" w:rsidP="00F21801">
            <w:pPr>
              <w:rPr>
                <w:sz w:val="16"/>
                <w:szCs w:val="16"/>
              </w:rPr>
            </w:pPr>
            <w:r>
              <w:rPr>
                <w:sz w:val="16"/>
                <w:szCs w:val="16"/>
              </w:rPr>
              <w:t>Ensure IT help desk calls are answered and resolved within service level agreement terms</w:t>
            </w:r>
          </w:p>
        </w:tc>
        <w:tc>
          <w:tcPr>
            <w:tcW w:w="1440" w:type="dxa"/>
            <w:gridSpan w:val="2"/>
            <w:tcBorders>
              <w:top w:val="single" w:sz="4" w:space="0" w:color="auto"/>
              <w:left w:val="nil"/>
              <w:bottom w:val="single" w:sz="4" w:space="0" w:color="auto"/>
              <w:right w:val="single" w:sz="4" w:space="0" w:color="auto"/>
            </w:tcBorders>
            <w:noWrap/>
            <w:vAlign w:val="center"/>
          </w:tcPr>
          <w:p w:rsidR="008967E5" w:rsidRDefault="008967E5" w:rsidP="00F21801">
            <w:pPr>
              <w:jc w:val="center"/>
              <w:rPr>
                <w:rFonts w:ascii="Arial" w:hAnsi="Arial" w:cs="Arial"/>
                <w:sz w:val="16"/>
                <w:szCs w:val="16"/>
              </w:rPr>
            </w:pPr>
            <w:r>
              <w:rPr>
                <w:rFonts w:ascii="Arial" w:hAnsi="Arial" w:cs="Arial"/>
                <w:sz w:val="16"/>
                <w:szCs w:val="16"/>
              </w:rPr>
              <w:t>75%</w:t>
            </w:r>
          </w:p>
        </w:tc>
        <w:tc>
          <w:tcPr>
            <w:tcW w:w="1440" w:type="dxa"/>
            <w:gridSpan w:val="2"/>
            <w:tcBorders>
              <w:top w:val="single" w:sz="4" w:space="0" w:color="auto"/>
              <w:left w:val="nil"/>
              <w:bottom w:val="single" w:sz="4" w:space="0" w:color="auto"/>
              <w:right w:val="single" w:sz="4" w:space="0" w:color="auto"/>
            </w:tcBorders>
            <w:shd w:val="clear" w:color="auto" w:fill="C0C0C0"/>
            <w:noWrap/>
            <w:vAlign w:val="center"/>
          </w:tcPr>
          <w:p w:rsidR="008967E5" w:rsidRDefault="008967E5" w:rsidP="00F21801">
            <w:pPr>
              <w:jc w:val="center"/>
              <w:rPr>
                <w:rFonts w:ascii="Arial" w:hAnsi="Arial" w:cs="Arial"/>
                <w:sz w:val="16"/>
                <w:szCs w:val="16"/>
              </w:rPr>
            </w:pPr>
            <w:r>
              <w:rPr>
                <w:rFonts w:ascii="Arial" w:hAnsi="Arial" w:cs="Arial"/>
                <w:sz w:val="16"/>
                <w:szCs w:val="16"/>
              </w:rPr>
              <w:t>90%</w:t>
            </w:r>
          </w:p>
        </w:tc>
        <w:tc>
          <w:tcPr>
            <w:tcW w:w="1620" w:type="dxa"/>
            <w:gridSpan w:val="2"/>
            <w:tcBorders>
              <w:top w:val="single" w:sz="4" w:space="0" w:color="auto"/>
              <w:left w:val="nil"/>
              <w:bottom w:val="single" w:sz="4" w:space="0" w:color="auto"/>
              <w:right w:val="single" w:sz="4" w:space="0" w:color="auto"/>
            </w:tcBorders>
            <w:noWrap/>
            <w:vAlign w:val="center"/>
          </w:tcPr>
          <w:p w:rsidR="008967E5" w:rsidRDefault="008967E5" w:rsidP="00F21801">
            <w:pPr>
              <w:jc w:val="center"/>
              <w:rPr>
                <w:rFonts w:ascii="Arial" w:hAnsi="Arial" w:cs="Arial"/>
                <w:sz w:val="16"/>
                <w:szCs w:val="16"/>
              </w:rPr>
            </w:pPr>
            <w:r>
              <w:rPr>
                <w:rFonts w:ascii="Arial" w:hAnsi="Arial" w:cs="Arial"/>
                <w:sz w:val="16"/>
                <w:szCs w:val="16"/>
              </w:rPr>
              <w:t>75%</w:t>
            </w:r>
          </w:p>
        </w:tc>
        <w:tc>
          <w:tcPr>
            <w:tcW w:w="1545" w:type="dxa"/>
            <w:gridSpan w:val="2"/>
            <w:tcBorders>
              <w:top w:val="single" w:sz="4" w:space="0" w:color="auto"/>
              <w:left w:val="nil"/>
              <w:bottom w:val="single" w:sz="4" w:space="0" w:color="auto"/>
              <w:right w:val="single" w:sz="4" w:space="0" w:color="auto"/>
            </w:tcBorders>
            <w:noWrap/>
            <w:vAlign w:val="center"/>
          </w:tcPr>
          <w:p w:rsidR="008967E5" w:rsidRDefault="008967E5" w:rsidP="00F21801">
            <w:pPr>
              <w:jc w:val="center"/>
              <w:rPr>
                <w:rFonts w:ascii="Arial" w:hAnsi="Arial" w:cs="Arial"/>
                <w:sz w:val="16"/>
                <w:szCs w:val="16"/>
              </w:rPr>
            </w:pPr>
            <w:r>
              <w:rPr>
                <w:rFonts w:ascii="Arial" w:hAnsi="Arial" w:cs="Arial"/>
                <w:sz w:val="16"/>
                <w:szCs w:val="16"/>
              </w:rPr>
              <w:t>N/A</w:t>
            </w:r>
          </w:p>
        </w:tc>
        <w:tc>
          <w:tcPr>
            <w:tcW w:w="1508" w:type="dxa"/>
            <w:gridSpan w:val="2"/>
            <w:tcBorders>
              <w:top w:val="single" w:sz="4" w:space="0" w:color="auto"/>
              <w:left w:val="nil"/>
              <w:bottom w:val="single" w:sz="4" w:space="0" w:color="auto"/>
              <w:right w:val="single" w:sz="8" w:space="0" w:color="000000"/>
            </w:tcBorders>
            <w:noWrap/>
            <w:vAlign w:val="center"/>
          </w:tcPr>
          <w:p w:rsidR="008967E5" w:rsidRDefault="008967E5" w:rsidP="00F21801">
            <w:pPr>
              <w:jc w:val="center"/>
              <w:rPr>
                <w:rFonts w:ascii="Arial" w:hAnsi="Arial" w:cs="Arial"/>
                <w:sz w:val="16"/>
                <w:szCs w:val="16"/>
              </w:rPr>
            </w:pPr>
            <w:r>
              <w:rPr>
                <w:rFonts w:ascii="Arial" w:hAnsi="Arial" w:cs="Arial"/>
                <w:sz w:val="16"/>
                <w:szCs w:val="16"/>
              </w:rPr>
              <w:t>75%</w:t>
            </w:r>
          </w:p>
        </w:tc>
      </w:tr>
    </w:tbl>
    <w:p w:rsidR="008967E5" w:rsidRDefault="008967E5" w:rsidP="00594104"/>
    <w:tbl>
      <w:tblPr>
        <w:tblW w:w="13978" w:type="dxa"/>
        <w:tblInd w:w="-503" w:type="dxa"/>
        <w:tblLook w:val="0000"/>
      </w:tblPr>
      <w:tblGrid>
        <w:gridCol w:w="1275"/>
        <w:gridCol w:w="2880"/>
        <w:gridCol w:w="910"/>
        <w:gridCol w:w="910"/>
        <w:gridCol w:w="910"/>
        <w:gridCol w:w="910"/>
        <w:gridCol w:w="910"/>
        <w:gridCol w:w="910"/>
        <w:gridCol w:w="910"/>
        <w:gridCol w:w="839"/>
        <w:gridCol w:w="794"/>
        <w:gridCol w:w="910"/>
        <w:gridCol w:w="910"/>
      </w:tblGrid>
      <w:tr w:rsidR="008967E5" w:rsidTr="00F21801">
        <w:trPr>
          <w:trHeight w:val="555"/>
        </w:trPr>
        <w:tc>
          <w:tcPr>
            <w:tcW w:w="13978" w:type="dxa"/>
            <w:gridSpan w:val="13"/>
            <w:tcBorders>
              <w:top w:val="single" w:sz="4" w:space="0" w:color="auto"/>
              <w:left w:val="single" w:sz="4" w:space="0" w:color="auto"/>
              <w:bottom w:val="single" w:sz="4" w:space="0" w:color="auto"/>
              <w:right w:val="single" w:sz="4" w:space="0" w:color="auto"/>
            </w:tcBorders>
            <w:vAlign w:val="center"/>
          </w:tcPr>
          <w:p w:rsidR="008967E5" w:rsidRDefault="008967E5" w:rsidP="00F21801">
            <w:pPr>
              <w:jc w:val="center"/>
              <w:rPr>
                <w:rFonts w:ascii="Arial" w:hAnsi="Arial" w:cs="Arial"/>
                <w:b/>
                <w:bCs/>
                <w:sz w:val="20"/>
                <w:szCs w:val="20"/>
              </w:rPr>
            </w:pPr>
            <w:r>
              <w:rPr>
                <w:rFonts w:ascii="Arial" w:hAnsi="Arial" w:cs="Arial"/>
                <w:b/>
                <w:bCs/>
                <w:sz w:val="20"/>
                <w:szCs w:val="20"/>
              </w:rPr>
              <w:t>PERFORMANCE MEASURE TABLE</w:t>
            </w:r>
          </w:p>
        </w:tc>
      </w:tr>
      <w:tr w:rsidR="008967E5" w:rsidTr="00F21801">
        <w:trPr>
          <w:trHeight w:val="480"/>
        </w:trPr>
        <w:tc>
          <w:tcPr>
            <w:tcW w:w="13978" w:type="dxa"/>
            <w:gridSpan w:val="13"/>
            <w:tcBorders>
              <w:top w:val="single" w:sz="4" w:space="0" w:color="auto"/>
              <w:left w:val="single" w:sz="4" w:space="0" w:color="auto"/>
              <w:bottom w:val="single" w:sz="4" w:space="0" w:color="auto"/>
              <w:right w:val="single" w:sz="4" w:space="0" w:color="auto"/>
            </w:tcBorders>
            <w:vAlign w:val="bottom"/>
          </w:tcPr>
          <w:p w:rsidR="008967E5" w:rsidRDefault="008967E5" w:rsidP="00F21801">
            <w:pPr>
              <w:rPr>
                <w:rFonts w:ascii="Arial" w:hAnsi="Arial" w:cs="Arial"/>
                <w:b/>
                <w:bCs/>
                <w:sz w:val="20"/>
                <w:szCs w:val="20"/>
              </w:rPr>
            </w:pPr>
            <w:r>
              <w:rPr>
                <w:rFonts w:ascii="Arial" w:hAnsi="Arial" w:cs="Arial"/>
                <w:b/>
                <w:bCs/>
                <w:sz w:val="20"/>
                <w:szCs w:val="20"/>
              </w:rPr>
              <w:t>Decision Unit:</w:t>
            </w:r>
            <w:r>
              <w:rPr>
                <w:rFonts w:ascii="Arial" w:hAnsi="Arial" w:cs="Arial"/>
                <w:sz w:val="20"/>
                <w:szCs w:val="20"/>
              </w:rPr>
              <w:t xml:space="preserve"> JMD/OCIO/Justice Information Sharing Technology (JIST)</w:t>
            </w:r>
          </w:p>
        </w:tc>
      </w:tr>
      <w:tr w:rsidR="008967E5" w:rsidTr="00F21801">
        <w:trPr>
          <w:trHeight w:val="630"/>
        </w:trPr>
        <w:tc>
          <w:tcPr>
            <w:tcW w:w="4155" w:type="dxa"/>
            <w:gridSpan w:val="2"/>
            <w:vMerge w:val="restart"/>
            <w:tcBorders>
              <w:top w:val="nil"/>
              <w:left w:val="single" w:sz="8" w:space="0" w:color="auto"/>
              <w:bottom w:val="nil"/>
              <w:right w:val="single" w:sz="4" w:space="0" w:color="000000"/>
            </w:tcBorders>
            <w:vAlign w:val="center"/>
          </w:tcPr>
          <w:p w:rsidR="008967E5" w:rsidRDefault="008967E5" w:rsidP="00F21801">
            <w:pPr>
              <w:jc w:val="center"/>
              <w:rPr>
                <w:rFonts w:ascii="Arial" w:hAnsi="Arial" w:cs="Arial"/>
                <w:b/>
                <w:bCs/>
                <w:sz w:val="16"/>
                <w:szCs w:val="16"/>
              </w:rPr>
            </w:pPr>
            <w:r>
              <w:rPr>
                <w:rFonts w:ascii="Arial" w:hAnsi="Arial" w:cs="Arial"/>
                <w:b/>
                <w:bCs/>
                <w:sz w:val="16"/>
                <w:szCs w:val="16"/>
              </w:rPr>
              <w:t>Performance Report and Performance Plan Targets</w:t>
            </w:r>
          </w:p>
        </w:tc>
        <w:tc>
          <w:tcPr>
            <w:tcW w:w="910" w:type="dxa"/>
            <w:tcBorders>
              <w:top w:val="nil"/>
              <w:left w:val="nil"/>
              <w:bottom w:val="single" w:sz="4" w:space="0" w:color="auto"/>
              <w:right w:val="nil"/>
            </w:tcBorders>
            <w:noWrap/>
            <w:vAlign w:val="center"/>
          </w:tcPr>
          <w:p w:rsidR="008967E5" w:rsidRDefault="008967E5" w:rsidP="00F21801">
            <w:pPr>
              <w:jc w:val="center"/>
              <w:rPr>
                <w:rFonts w:ascii="Arial" w:hAnsi="Arial" w:cs="Arial"/>
                <w:b/>
                <w:bCs/>
                <w:sz w:val="16"/>
                <w:szCs w:val="16"/>
              </w:rPr>
            </w:pPr>
            <w:r>
              <w:rPr>
                <w:rFonts w:ascii="Arial" w:hAnsi="Arial" w:cs="Arial"/>
                <w:b/>
                <w:bCs/>
                <w:sz w:val="16"/>
                <w:szCs w:val="16"/>
              </w:rPr>
              <w:t>FY 2003</w:t>
            </w:r>
          </w:p>
        </w:tc>
        <w:tc>
          <w:tcPr>
            <w:tcW w:w="910" w:type="dxa"/>
            <w:tcBorders>
              <w:top w:val="nil"/>
              <w:left w:val="single" w:sz="4" w:space="0" w:color="auto"/>
              <w:bottom w:val="single" w:sz="4" w:space="0" w:color="auto"/>
              <w:right w:val="nil"/>
            </w:tcBorders>
            <w:noWrap/>
            <w:vAlign w:val="center"/>
          </w:tcPr>
          <w:p w:rsidR="008967E5" w:rsidRDefault="008967E5" w:rsidP="00F21801">
            <w:pPr>
              <w:jc w:val="center"/>
              <w:rPr>
                <w:rFonts w:ascii="Arial" w:hAnsi="Arial" w:cs="Arial"/>
                <w:b/>
                <w:bCs/>
                <w:sz w:val="16"/>
                <w:szCs w:val="16"/>
              </w:rPr>
            </w:pPr>
            <w:r>
              <w:rPr>
                <w:rFonts w:ascii="Arial" w:hAnsi="Arial" w:cs="Arial"/>
                <w:b/>
                <w:bCs/>
                <w:sz w:val="16"/>
                <w:szCs w:val="16"/>
              </w:rPr>
              <w:t>FY 2004</w:t>
            </w:r>
          </w:p>
        </w:tc>
        <w:tc>
          <w:tcPr>
            <w:tcW w:w="910" w:type="dxa"/>
            <w:tcBorders>
              <w:top w:val="nil"/>
              <w:left w:val="single" w:sz="4" w:space="0" w:color="auto"/>
              <w:bottom w:val="single" w:sz="4" w:space="0" w:color="auto"/>
              <w:right w:val="single" w:sz="4" w:space="0" w:color="auto"/>
            </w:tcBorders>
            <w:noWrap/>
            <w:vAlign w:val="center"/>
          </w:tcPr>
          <w:p w:rsidR="008967E5" w:rsidRDefault="008967E5" w:rsidP="00F21801">
            <w:pPr>
              <w:jc w:val="center"/>
              <w:rPr>
                <w:rFonts w:ascii="Arial" w:hAnsi="Arial" w:cs="Arial"/>
                <w:b/>
                <w:bCs/>
                <w:sz w:val="16"/>
                <w:szCs w:val="16"/>
              </w:rPr>
            </w:pPr>
            <w:r>
              <w:rPr>
                <w:rFonts w:ascii="Arial" w:hAnsi="Arial" w:cs="Arial"/>
                <w:b/>
                <w:bCs/>
                <w:sz w:val="16"/>
                <w:szCs w:val="16"/>
              </w:rPr>
              <w:t>FY 2005</w:t>
            </w:r>
          </w:p>
        </w:tc>
        <w:tc>
          <w:tcPr>
            <w:tcW w:w="910" w:type="dxa"/>
            <w:tcBorders>
              <w:top w:val="nil"/>
              <w:left w:val="nil"/>
              <w:bottom w:val="single" w:sz="4" w:space="0" w:color="auto"/>
              <w:right w:val="single" w:sz="4" w:space="0" w:color="auto"/>
            </w:tcBorders>
            <w:vAlign w:val="center"/>
          </w:tcPr>
          <w:p w:rsidR="008967E5" w:rsidRDefault="008967E5" w:rsidP="00F21801">
            <w:pPr>
              <w:jc w:val="center"/>
              <w:rPr>
                <w:rFonts w:ascii="Arial" w:hAnsi="Arial" w:cs="Arial"/>
                <w:b/>
                <w:bCs/>
                <w:sz w:val="16"/>
                <w:szCs w:val="16"/>
              </w:rPr>
            </w:pPr>
            <w:r>
              <w:rPr>
                <w:rFonts w:ascii="Arial" w:hAnsi="Arial" w:cs="Arial"/>
                <w:b/>
                <w:bCs/>
                <w:sz w:val="16"/>
                <w:szCs w:val="16"/>
              </w:rPr>
              <w:t>FY 2006</w:t>
            </w:r>
          </w:p>
        </w:tc>
        <w:tc>
          <w:tcPr>
            <w:tcW w:w="910" w:type="dxa"/>
            <w:tcBorders>
              <w:top w:val="nil"/>
              <w:left w:val="nil"/>
              <w:bottom w:val="single" w:sz="4" w:space="0" w:color="auto"/>
              <w:right w:val="single" w:sz="4" w:space="0" w:color="auto"/>
            </w:tcBorders>
            <w:noWrap/>
            <w:vAlign w:val="center"/>
          </w:tcPr>
          <w:p w:rsidR="008967E5" w:rsidRDefault="008967E5" w:rsidP="00F21801">
            <w:pPr>
              <w:jc w:val="center"/>
              <w:rPr>
                <w:rFonts w:ascii="Arial" w:hAnsi="Arial" w:cs="Arial"/>
                <w:b/>
                <w:bCs/>
                <w:sz w:val="16"/>
                <w:szCs w:val="16"/>
              </w:rPr>
            </w:pPr>
            <w:r>
              <w:rPr>
                <w:rFonts w:ascii="Arial" w:hAnsi="Arial" w:cs="Arial"/>
                <w:b/>
                <w:bCs/>
                <w:sz w:val="16"/>
                <w:szCs w:val="16"/>
              </w:rPr>
              <w:t>FY 2007</w:t>
            </w:r>
          </w:p>
        </w:tc>
        <w:tc>
          <w:tcPr>
            <w:tcW w:w="910" w:type="dxa"/>
            <w:tcBorders>
              <w:top w:val="nil"/>
              <w:left w:val="nil"/>
              <w:bottom w:val="single" w:sz="4" w:space="0" w:color="auto"/>
              <w:right w:val="nil"/>
            </w:tcBorders>
            <w:vAlign w:val="center"/>
          </w:tcPr>
          <w:p w:rsidR="008967E5" w:rsidRDefault="008967E5" w:rsidP="00F21801">
            <w:pPr>
              <w:jc w:val="center"/>
              <w:rPr>
                <w:rFonts w:ascii="Arial" w:hAnsi="Arial" w:cs="Arial"/>
                <w:b/>
                <w:bCs/>
                <w:sz w:val="16"/>
                <w:szCs w:val="16"/>
              </w:rPr>
            </w:pPr>
            <w:r>
              <w:rPr>
                <w:rFonts w:ascii="Arial" w:hAnsi="Arial" w:cs="Arial"/>
                <w:b/>
                <w:bCs/>
                <w:sz w:val="16"/>
                <w:szCs w:val="16"/>
              </w:rPr>
              <w:t>FY 2008</w:t>
            </w:r>
          </w:p>
        </w:tc>
        <w:tc>
          <w:tcPr>
            <w:tcW w:w="910" w:type="dxa"/>
            <w:tcBorders>
              <w:top w:val="nil"/>
              <w:left w:val="single" w:sz="4" w:space="0" w:color="auto"/>
              <w:bottom w:val="single" w:sz="4" w:space="0" w:color="auto"/>
              <w:right w:val="nil"/>
            </w:tcBorders>
            <w:vAlign w:val="center"/>
          </w:tcPr>
          <w:p w:rsidR="008967E5" w:rsidRDefault="008967E5" w:rsidP="00F21801">
            <w:pPr>
              <w:jc w:val="center"/>
              <w:rPr>
                <w:rFonts w:ascii="Arial" w:hAnsi="Arial" w:cs="Arial"/>
                <w:b/>
                <w:bCs/>
                <w:sz w:val="16"/>
                <w:szCs w:val="16"/>
              </w:rPr>
            </w:pPr>
            <w:r>
              <w:rPr>
                <w:rFonts w:ascii="Arial" w:hAnsi="Arial" w:cs="Arial"/>
                <w:b/>
                <w:bCs/>
                <w:sz w:val="16"/>
                <w:szCs w:val="16"/>
              </w:rPr>
              <w:t>FY 2009</w:t>
            </w:r>
          </w:p>
        </w:tc>
        <w:tc>
          <w:tcPr>
            <w:tcW w:w="1633" w:type="dxa"/>
            <w:gridSpan w:val="2"/>
            <w:tcBorders>
              <w:top w:val="single" w:sz="4" w:space="0" w:color="auto"/>
              <w:left w:val="single" w:sz="4" w:space="0" w:color="auto"/>
              <w:bottom w:val="single" w:sz="4" w:space="0" w:color="auto"/>
              <w:right w:val="single" w:sz="4" w:space="0" w:color="000000"/>
            </w:tcBorders>
            <w:vAlign w:val="center"/>
          </w:tcPr>
          <w:p w:rsidR="008967E5" w:rsidRDefault="008967E5" w:rsidP="00F21801">
            <w:pPr>
              <w:jc w:val="center"/>
              <w:rPr>
                <w:rFonts w:ascii="Arial" w:hAnsi="Arial" w:cs="Arial"/>
                <w:b/>
                <w:bCs/>
                <w:sz w:val="16"/>
                <w:szCs w:val="16"/>
              </w:rPr>
            </w:pPr>
            <w:r>
              <w:rPr>
                <w:rFonts w:ascii="Arial" w:hAnsi="Arial" w:cs="Arial"/>
                <w:b/>
                <w:bCs/>
                <w:sz w:val="16"/>
                <w:szCs w:val="16"/>
              </w:rPr>
              <w:t>FY 2010</w:t>
            </w:r>
          </w:p>
        </w:tc>
        <w:tc>
          <w:tcPr>
            <w:tcW w:w="910" w:type="dxa"/>
            <w:tcBorders>
              <w:top w:val="nil"/>
              <w:left w:val="nil"/>
              <w:bottom w:val="single" w:sz="4" w:space="0" w:color="auto"/>
              <w:right w:val="nil"/>
            </w:tcBorders>
            <w:vAlign w:val="center"/>
          </w:tcPr>
          <w:p w:rsidR="008967E5" w:rsidRDefault="008967E5" w:rsidP="00F21801">
            <w:pPr>
              <w:jc w:val="center"/>
              <w:rPr>
                <w:rFonts w:ascii="Arial" w:hAnsi="Arial" w:cs="Arial"/>
                <w:b/>
                <w:bCs/>
                <w:sz w:val="16"/>
                <w:szCs w:val="16"/>
              </w:rPr>
            </w:pPr>
            <w:r>
              <w:rPr>
                <w:rFonts w:ascii="Arial" w:hAnsi="Arial" w:cs="Arial"/>
                <w:b/>
                <w:bCs/>
                <w:sz w:val="16"/>
                <w:szCs w:val="16"/>
              </w:rPr>
              <w:t>FY 2011</w:t>
            </w:r>
          </w:p>
        </w:tc>
        <w:tc>
          <w:tcPr>
            <w:tcW w:w="910" w:type="dxa"/>
            <w:tcBorders>
              <w:top w:val="nil"/>
              <w:left w:val="single" w:sz="4" w:space="0" w:color="auto"/>
              <w:bottom w:val="single" w:sz="4" w:space="0" w:color="auto"/>
              <w:right w:val="single" w:sz="4" w:space="0" w:color="auto"/>
            </w:tcBorders>
            <w:vAlign w:val="center"/>
          </w:tcPr>
          <w:p w:rsidR="008967E5" w:rsidRDefault="008967E5" w:rsidP="00F21801">
            <w:pPr>
              <w:jc w:val="center"/>
              <w:rPr>
                <w:rFonts w:ascii="Arial" w:hAnsi="Arial" w:cs="Arial"/>
                <w:b/>
                <w:bCs/>
                <w:sz w:val="16"/>
                <w:szCs w:val="16"/>
              </w:rPr>
            </w:pPr>
            <w:r>
              <w:rPr>
                <w:rFonts w:ascii="Arial" w:hAnsi="Arial" w:cs="Arial"/>
                <w:b/>
                <w:bCs/>
                <w:sz w:val="16"/>
                <w:szCs w:val="16"/>
              </w:rPr>
              <w:t>FY 2012</w:t>
            </w:r>
          </w:p>
        </w:tc>
      </w:tr>
      <w:tr w:rsidR="008967E5" w:rsidTr="00F21801">
        <w:trPr>
          <w:trHeight w:val="450"/>
        </w:trPr>
        <w:tc>
          <w:tcPr>
            <w:tcW w:w="4155" w:type="dxa"/>
            <w:gridSpan w:val="2"/>
            <w:vMerge/>
            <w:tcBorders>
              <w:top w:val="nil"/>
              <w:left w:val="single" w:sz="8" w:space="0" w:color="auto"/>
              <w:bottom w:val="nil"/>
              <w:right w:val="single" w:sz="4" w:space="0" w:color="000000"/>
            </w:tcBorders>
            <w:vAlign w:val="center"/>
          </w:tcPr>
          <w:p w:rsidR="008967E5" w:rsidRDefault="008967E5" w:rsidP="00F21801">
            <w:pPr>
              <w:rPr>
                <w:rFonts w:ascii="Arial" w:hAnsi="Arial" w:cs="Arial"/>
                <w:b/>
                <w:bCs/>
                <w:sz w:val="16"/>
                <w:szCs w:val="16"/>
              </w:rPr>
            </w:pPr>
          </w:p>
        </w:tc>
        <w:tc>
          <w:tcPr>
            <w:tcW w:w="910" w:type="dxa"/>
            <w:tcBorders>
              <w:top w:val="nil"/>
              <w:left w:val="nil"/>
              <w:bottom w:val="nil"/>
              <w:right w:val="single" w:sz="4" w:space="0" w:color="auto"/>
            </w:tcBorders>
            <w:vAlign w:val="bottom"/>
          </w:tcPr>
          <w:p w:rsidR="008967E5" w:rsidRDefault="008967E5" w:rsidP="00F21801">
            <w:pPr>
              <w:jc w:val="center"/>
              <w:rPr>
                <w:rFonts w:ascii="Arial" w:hAnsi="Arial" w:cs="Arial"/>
                <w:b/>
                <w:bCs/>
                <w:sz w:val="16"/>
                <w:szCs w:val="16"/>
              </w:rPr>
            </w:pPr>
            <w:r>
              <w:rPr>
                <w:rFonts w:ascii="Arial" w:hAnsi="Arial" w:cs="Arial"/>
                <w:b/>
                <w:bCs/>
                <w:sz w:val="16"/>
                <w:szCs w:val="16"/>
              </w:rPr>
              <w:t xml:space="preserve">Actual </w:t>
            </w:r>
          </w:p>
        </w:tc>
        <w:tc>
          <w:tcPr>
            <w:tcW w:w="910" w:type="dxa"/>
            <w:tcBorders>
              <w:top w:val="nil"/>
              <w:left w:val="nil"/>
              <w:bottom w:val="nil"/>
              <w:right w:val="single" w:sz="4" w:space="0" w:color="auto"/>
            </w:tcBorders>
            <w:vAlign w:val="bottom"/>
          </w:tcPr>
          <w:p w:rsidR="008967E5" w:rsidRDefault="008967E5" w:rsidP="00F21801">
            <w:pPr>
              <w:jc w:val="center"/>
              <w:rPr>
                <w:rFonts w:ascii="Arial" w:hAnsi="Arial" w:cs="Arial"/>
                <w:b/>
                <w:bCs/>
                <w:sz w:val="16"/>
                <w:szCs w:val="16"/>
              </w:rPr>
            </w:pPr>
            <w:r>
              <w:rPr>
                <w:rFonts w:ascii="Arial" w:hAnsi="Arial" w:cs="Arial"/>
                <w:b/>
                <w:bCs/>
                <w:sz w:val="16"/>
                <w:szCs w:val="16"/>
              </w:rPr>
              <w:t xml:space="preserve">Actual </w:t>
            </w:r>
          </w:p>
        </w:tc>
        <w:tc>
          <w:tcPr>
            <w:tcW w:w="910" w:type="dxa"/>
            <w:tcBorders>
              <w:top w:val="nil"/>
              <w:left w:val="nil"/>
              <w:bottom w:val="nil"/>
              <w:right w:val="single" w:sz="4" w:space="0" w:color="auto"/>
            </w:tcBorders>
            <w:vAlign w:val="bottom"/>
          </w:tcPr>
          <w:p w:rsidR="008967E5" w:rsidRDefault="008967E5" w:rsidP="00F21801">
            <w:pPr>
              <w:jc w:val="center"/>
              <w:rPr>
                <w:rFonts w:ascii="Arial" w:hAnsi="Arial" w:cs="Arial"/>
                <w:b/>
                <w:bCs/>
                <w:sz w:val="16"/>
                <w:szCs w:val="16"/>
              </w:rPr>
            </w:pPr>
            <w:r>
              <w:rPr>
                <w:rFonts w:ascii="Arial" w:hAnsi="Arial" w:cs="Arial"/>
                <w:b/>
                <w:bCs/>
                <w:sz w:val="16"/>
                <w:szCs w:val="16"/>
              </w:rPr>
              <w:t xml:space="preserve">Actual </w:t>
            </w:r>
          </w:p>
        </w:tc>
        <w:tc>
          <w:tcPr>
            <w:tcW w:w="910" w:type="dxa"/>
            <w:tcBorders>
              <w:top w:val="nil"/>
              <w:left w:val="nil"/>
              <w:bottom w:val="nil"/>
              <w:right w:val="single" w:sz="4" w:space="0" w:color="auto"/>
            </w:tcBorders>
            <w:vAlign w:val="bottom"/>
          </w:tcPr>
          <w:p w:rsidR="008967E5" w:rsidRDefault="008967E5" w:rsidP="00F21801">
            <w:pPr>
              <w:jc w:val="center"/>
              <w:rPr>
                <w:rFonts w:ascii="Arial" w:hAnsi="Arial" w:cs="Arial"/>
                <w:b/>
                <w:bCs/>
                <w:sz w:val="16"/>
                <w:szCs w:val="16"/>
              </w:rPr>
            </w:pPr>
            <w:r>
              <w:rPr>
                <w:rFonts w:ascii="Arial" w:hAnsi="Arial" w:cs="Arial"/>
                <w:b/>
                <w:bCs/>
                <w:sz w:val="16"/>
                <w:szCs w:val="16"/>
              </w:rPr>
              <w:t xml:space="preserve">Actual </w:t>
            </w:r>
          </w:p>
        </w:tc>
        <w:tc>
          <w:tcPr>
            <w:tcW w:w="910" w:type="dxa"/>
            <w:tcBorders>
              <w:top w:val="nil"/>
              <w:left w:val="nil"/>
              <w:bottom w:val="nil"/>
              <w:right w:val="single" w:sz="4" w:space="0" w:color="auto"/>
            </w:tcBorders>
            <w:vAlign w:val="bottom"/>
          </w:tcPr>
          <w:p w:rsidR="008967E5" w:rsidRDefault="008967E5" w:rsidP="00F21801">
            <w:pPr>
              <w:jc w:val="center"/>
              <w:rPr>
                <w:rFonts w:ascii="Arial" w:hAnsi="Arial" w:cs="Arial"/>
                <w:b/>
                <w:bCs/>
                <w:sz w:val="16"/>
                <w:szCs w:val="16"/>
              </w:rPr>
            </w:pPr>
            <w:r>
              <w:rPr>
                <w:rFonts w:ascii="Arial" w:hAnsi="Arial" w:cs="Arial"/>
                <w:b/>
                <w:bCs/>
                <w:sz w:val="16"/>
                <w:szCs w:val="16"/>
              </w:rPr>
              <w:t xml:space="preserve">Actual </w:t>
            </w:r>
          </w:p>
        </w:tc>
        <w:tc>
          <w:tcPr>
            <w:tcW w:w="910" w:type="dxa"/>
            <w:tcBorders>
              <w:top w:val="nil"/>
              <w:left w:val="nil"/>
              <w:bottom w:val="nil"/>
              <w:right w:val="single" w:sz="4" w:space="0" w:color="auto"/>
            </w:tcBorders>
            <w:vAlign w:val="bottom"/>
          </w:tcPr>
          <w:p w:rsidR="008967E5" w:rsidRDefault="008967E5" w:rsidP="00F21801">
            <w:pPr>
              <w:jc w:val="center"/>
              <w:rPr>
                <w:rFonts w:ascii="Arial" w:hAnsi="Arial" w:cs="Arial"/>
                <w:b/>
                <w:bCs/>
                <w:sz w:val="16"/>
                <w:szCs w:val="16"/>
              </w:rPr>
            </w:pPr>
            <w:r>
              <w:rPr>
                <w:rFonts w:ascii="Arial" w:hAnsi="Arial" w:cs="Arial"/>
                <w:b/>
                <w:bCs/>
                <w:sz w:val="16"/>
                <w:szCs w:val="16"/>
              </w:rPr>
              <w:t xml:space="preserve">Actual </w:t>
            </w:r>
          </w:p>
        </w:tc>
        <w:tc>
          <w:tcPr>
            <w:tcW w:w="910" w:type="dxa"/>
            <w:tcBorders>
              <w:top w:val="nil"/>
              <w:left w:val="nil"/>
              <w:bottom w:val="nil"/>
              <w:right w:val="single" w:sz="4" w:space="0" w:color="auto"/>
            </w:tcBorders>
            <w:noWrap/>
            <w:vAlign w:val="bottom"/>
          </w:tcPr>
          <w:p w:rsidR="008967E5" w:rsidRDefault="008967E5" w:rsidP="00F21801">
            <w:pPr>
              <w:jc w:val="center"/>
              <w:rPr>
                <w:rFonts w:ascii="Arial" w:hAnsi="Arial" w:cs="Arial"/>
                <w:b/>
                <w:bCs/>
                <w:sz w:val="16"/>
                <w:szCs w:val="16"/>
              </w:rPr>
            </w:pPr>
            <w:r>
              <w:rPr>
                <w:rFonts w:ascii="Arial" w:hAnsi="Arial" w:cs="Arial"/>
                <w:b/>
                <w:bCs/>
                <w:sz w:val="16"/>
                <w:szCs w:val="16"/>
              </w:rPr>
              <w:t>Actual</w:t>
            </w:r>
          </w:p>
        </w:tc>
        <w:tc>
          <w:tcPr>
            <w:tcW w:w="839" w:type="dxa"/>
            <w:tcBorders>
              <w:top w:val="nil"/>
              <w:left w:val="nil"/>
              <w:bottom w:val="nil"/>
              <w:right w:val="nil"/>
            </w:tcBorders>
            <w:noWrap/>
            <w:vAlign w:val="bottom"/>
          </w:tcPr>
          <w:p w:rsidR="008967E5" w:rsidRDefault="008967E5" w:rsidP="00F21801">
            <w:pPr>
              <w:jc w:val="center"/>
              <w:rPr>
                <w:rFonts w:ascii="Arial" w:hAnsi="Arial" w:cs="Arial"/>
                <w:b/>
                <w:bCs/>
                <w:sz w:val="16"/>
                <w:szCs w:val="16"/>
              </w:rPr>
            </w:pPr>
            <w:r>
              <w:rPr>
                <w:rFonts w:ascii="Arial" w:hAnsi="Arial" w:cs="Arial"/>
                <w:b/>
                <w:bCs/>
                <w:sz w:val="16"/>
                <w:szCs w:val="16"/>
              </w:rPr>
              <w:t xml:space="preserve">Target </w:t>
            </w:r>
          </w:p>
        </w:tc>
        <w:tc>
          <w:tcPr>
            <w:tcW w:w="794" w:type="dxa"/>
            <w:tcBorders>
              <w:top w:val="nil"/>
              <w:left w:val="single" w:sz="4" w:space="0" w:color="auto"/>
              <w:bottom w:val="single" w:sz="8" w:space="0" w:color="auto"/>
              <w:right w:val="single" w:sz="4" w:space="0" w:color="auto"/>
            </w:tcBorders>
            <w:noWrap/>
            <w:vAlign w:val="bottom"/>
          </w:tcPr>
          <w:p w:rsidR="008967E5" w:rsidRDefault="008967E5" w:rsidP="00F21801">
            <w:pPr>
              <w:jc w:val="center"/>
              <w:rPr>
                <w:rFonts w:ascii="Arial" w:hAnsi="Arial" w:cs="Arial"/>
                <w:b/>
                <w:bCs/>
                <w:sz w:val="16"/>
                <w:szCs w:val="16"/>
              </w:rPr>
            </w:pPr>
            <w:r>
              <w:rPr>
                <w:rFonts w:ascii="Arial" w:hAnsi="Arial" w:cs="Arial"/>
                <w:b/>
                <w:bCs/>
                <w:sz w:val="16"/>
                <w:szCs w:val="16"/>
              </w:rPr>
              <w:t>Actual</w:t>
            </w:r>
          </w:p>
        </w:tc>
        <w:tc>
          <w:tcPr>
            <w:tcW w:w="910" w:type="dxa"/>
            <w:tcBorders>
              <w:top w:val="nil"/>
              <w:left w:val="nil"/>
              <w:bottom w:val="nil"/>
              <w:right w:val="single" w:sz="4" w:space="0" w:color="auto"/>
            </w:tcBorders>
            <w:noWrap/>
            <w:vAlign w:val="bottom"/>
          </w:tcPr>
          <w:p w:rsidR="008967E5" w:rsidRDefault="008967E5" w:rsidP="00F21801">
            <w:pPr>
              <w:jc w:val="center"/>
              <w:rPr>
                <w:rFonts w:ascii="Arial" w:hAnsi="Arial" w:cs="Arial"/>
                <w:b/>
                <w:bCs/>
                <w:sz w:val="16"/>
                <w:szCs w:val="16"/>
              </w:rPr>
            </w:pPr>
            <w:r>
              <w:rPr>
                <w:rFonts w:ascii="Arial" w:hAnsi="Arial" w:cs="Arial"/>
                <w:b/>
                <w:bCs/>
                <w:sz w:val="16"/>
                <w:szCs w:val="16"/>
              </w:rPr>
              <w:t xml:space="preserve">Target </w:t>
            </w:r>
          </w:p>
        </w:tc>
        <w:tc>
          <w:tcPr>
            <w:tcW w:w="910" w:type="dxa"/>
            <w:tcBorders>
              <w:top w:val="nil"/>
              <w:left w:val="nil"/>
              <w:bottom w:val="nil"/>
              <w:right w:val="single" w:sz="4" w:space="0" w:color="auto"/>
            </w:tcBorders>
            <w:noWrap/>
            <w:vAlign w:val="bottom"/>
          </w:tcPr>
          <w:p w:rsidR="008967E5" w:rsidRDefault="008967E5" w:rsidP="00F21801">
            <w:pPr>
              <w:jc w:val="center"/>
              <w:rPr>
                <w:rFonts w:ascii="Arial" w:hAnsi="Arial" w:cs="Arial"/>
                <w:b/>
                <w:bCs/>
                <w:sz w:val="16"/>
                <w:szCs w:val="16"/>
              </w:rPr>
            </w:pPr>
            <w:r>
              <w:rPr>
                <w:rFonts w:ascii="Arial" w:hAnsi="Arial" w:cs="Arial"/>
                <w:b/>
                <w:bCs/>
                <w:sz w:val="16"/>
                <w:szCs w:val="16"/>
              </w:rPr>
              <w:t xml:space="preserve">Target </w:t>
            </w:r>
          </w:p>
        </w:tc>
      </w:tr>
      <w:tr w:rsidR="008967E5" w:rsidTr="00F21801">
        <w:trPr>
          <w:trHeight w:val="450"/>
        </w:trPr>
        <w:tc>
          <w:tcPr>
            <w:tcW w:w="1275" w:type="dxa"/>
            <w:tcBorders>
              <w:top w:val="single" w:sz="8" w:space="0" w:color="auto"/>
              <w:left w:val="single" w:sz="8" w:space="0" w:color="auto"/>
              <w:bottom w:val="single" w:sz="4" w:space="0" w:color="auto"/>
              <w:right w:val="single" w:sz="4" w:space="0" w:color="auto"/>
            </w:tcBorders>
            <w:vAlign w:val="center"/>
          </w:tcPr>
          <w:p w:rsidR="008967E5" w:rsidRDefault="008967E5" w:rsidP="00F21801">
            <w:pPr>
              <w:jc w:val="center"/>
              <w:rPr>
                <w:rFonts w:ascii="Arial" w:hAnsi="Arial" w:cs="Arial"/>
                <w:b/>
                <w:bCs/>
                <w:sz w:val="16"/>
                <w:szCs w:val="16"/>
              </w:rPr>
            </w:pPr>
            <w:r>
              <w:rPr>
                <w:rFonts w:ascii="Arial" w:hAnsi="Arial" w:cs="Arial"/>
                <w:b/>
                <w:bCs/>
                <w:sz w:val="16"/>
                <w:szCs w:val="16"/>
              </w:rPr>
              <w:t>Performance Measure</w:t>
            </w:r>
          </w:p>
        </w:tc>
        <w:tc>
          <w:tcPr>
            <w:tcW w:w="2880" w:type="dxa"/>
            <w:tcBorders>
              <w:top w:val="single" w:sz="8" w:space="0" w:color="auto"/>
              <w:left w:val="nil"/>
              <w:bottom w:val="single" w:sz="4" w:space="0" w:color="auto"/>
              <w:right w:val="single" w:sz="4" w:space="0" w:color="auto"/>
            </w:tcBorders>
          </w:tcPr>
          <w:p w:rsidR="008967E5" w:rsidRDefault="008967E5" w:rsidP="00F21801">
            <w:pPr>
              <w:rPr>
                <w:rFonts w:ascii="Arial" w:hAnsi="Arial" w:cs="Arial"/>
                <w:sz w:val="16"/>
                <w:szCs w:val="16"/>
              </w:rPr>
            </w:pPr>
            <w:r>
              <w:rPr>
                <w:rFonts w:ascii="Arial" w:hAnsi="Arial" w:cs="Arial"/>
                <w:sz w:val="16"/>
                <w:szCs w:val="16"/>
              </w:rPr>
              <w:t>Percentage of offenders booked through JABS</w:t>
            </w:r>
          </w:p>
        </w:tc>
        <w:tc>
          <w:tcPr>
            <w:tcW w:w="910" w:type="dxa"/>
            <w:tcBorders>
              <w:top w:val="single" w:sz="8" w:space="0" w:color="auto"/>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N/A</w:t>
            </w:r>
          </w:p>
        </w:tc>
        <w:tc>
          <w:tcPr>
            <w:tcW w:w="910" w:type="dxa"/>
            <w:tcBorders>
              <w:top w:val="single" w:sz="8" w:space="0" w:color="auto"/>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N/A</w:t>
            </w:r>
          </w:p>
        </w:tc>
        <w:tc>
          <w:tcPr>
            <w:tcW w:w="910" w:type="dxa"/>
            <w:tcBorders>
              <w:top w:val="single" w:sz="8" w:space="0" w:color="auto"/>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95%</w:t>
            </w:r>
          </w:p>
        </w:tc>
        <w:tc>
          <w:tcPr>
            <w:tcW w:w="910" w:type="dxa"/>
            <w:tcBorders>
              <w:top w:val="single" w:sz="8" w:space="0" w:color="auto"/>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97%</w:t>
            </w:r>
          </w:p>
        </w:tc>
        <w:tc>
          <w:tcPr>
            <w:tcW w:w="910" w:type="dxa"/>
            <w:tcBorders>
              <w:top w:val="single" w:sz="8" w:space="0" w:color="auto"/>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99%</w:t>
            </w:r>
          </w:p>
        </w:tc>
        <w:tc>
          <w:tcPr>
            <w:tcW w:w="910" w:type="dxa"/>
            <w:tcBorders>
              <w:top w:val="single" w:sz="8" w:space="0" w:color="auto"/>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99%</w:t>
            </w:r>
          </w:p>
        </w:tc>
        <w:tc>
          <w:tcPr>
            <w:tcW w:w="910" w:type="dxa"/>
            <w:tcBorders>
              <w:top w:val="single" w:sz="8" w:space="0" w:color="auto"/>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98%</w:t>
            </w:r>
          </w:p>
        </w:tc>
        <w:tc>
          <w:tcPr>
            <w:tcW w:w="839" w:type="dxa"/>
            <w:tcBorders>
              <w:top w:val="single" w:sz="8" w:space="0" w:color="auto"/>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99%</w:t>
            </w:r>
          </w:p>
        </w:tc>
        <w:tc>
          <w:tcPr>
            <w:tcW w:w="794" w:type="dxa"/>
            <w:tcBorders>
              <w:top w:val="single" w:sz="8" w:space="0" w:color="auto"/>
              <w:left w:val="nil"/>
              <w:bottom w:val="single" w:sz="4" w:space="0" w:color="auto"/>
              <w:right w:val="single" w:sz="4" w:space="0" w:color="auto"/>
            </w:tcBorders>
            <w:shd w:val="clear" w:color="auto" w:fill="CCCCCC"/>
            <w:noWrap/>
            <w:vAlign w:val="bottom"/>
          </w:tcPr>
          <w:p w:rsidR="008967E5" w:rsidRDefault="008967E5" w:rsidP="00F21801">
            <w:pPr>
              <w:jc w:val="center"/>
              <w:rPr>
                <w:rFonts w:ascii="Arial" w:hAnsi="Arial" w:cs="Arial"/>
                <w:sz w:val="16"/>
                <w:szCs w:val="16"/>
              </w:rPr>
            </w:pPr>
            <w:r>
              <w:rPr>
                <w:rFonts w:ascii="Arial" w:hAnsi="Arial" w:cs="Arial"/>
                <w:sz w:val="16"/>
                <w:szCs w:val="16"/>
              </w:rPr>
              <w:t>98%</w:t>
            </w:r>
          </w:p>
        </w:tc>
        <w:tc>
          <w:tcPr>
            <w:tcW w:w="910" w:type="dxa"/>
            <w:tcBorders>
              <w:top w:val="single" w:sz="8" w:space="0" w:color="auto"/>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98%</w:t>
            </w:r>
          </w:p>
        </w:tc>
        <w:tc>
          <w:tcPr>
            <w:tcW w:w="910" w:type="dxa"/>
            <w:tcBorders>
              <w:top w:val="single" w:sz="4" w:space="0" w:color="auto"/>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98%</w:t>
            </w:r>
          </w:p>
        </w:tc>
      </w:tr>
      <w:tr w:rsidR="008967E5" w:rsidTr="00F21801">
        <w:trPr>
          <w:trHeight w:val="675"/>
        </w:trPr>
        <w:tc>
          <w:tcPr>
            <w:tcW w:w="1275" w:type="dxa"/>
            <w:tcBorders>
              <w:top w:val="nil"/>
              <w:left w:val="single" w:sz="8" w:space="0" w:color="auto"/>
              <w:bottom w:val="single" w:sz="4" w:space="0" w:color="auto"/>
              <w:right w:val="single" w:sz="4" w:space="0" w:color="auto"/>
            </w:tcBorders>
            <w:vAlign w:val="center"/>
          </w:tcPr>
          <w:p w:rsidR="008967E5" w:rsidRDefault="008967E5" w:rsidP="00F21801">
            <w:pPr>
              <w:jc w:val="center"/>
              <w:rPr>
                <w:rFonts w:ascii="Arial" w:hAnsi="Arial" w:cs="Arial"/>
                <w:b/>
                <w:bCs/>
                <w:sz w:val="16"/>
                <w:szCs w:val="16"/>
              </w:rPr>
            </w:pPr>
            <w:r>
              <w:rPr>
                <w:rFonts w:ascii="Arial" w:hAnsi="Arial" w:cs="Arial"/>
                <w:b/>
                <w:bCs/>
                <w:sz w:val="16"/>
                <w:szCs w:val="16"/>
              </w:rPr>
              <w:t>Performance Measure</w:t>
            </w:r>
          </w:p>
        </w:tc>
        <w:tc>
          <w:tcPr>
            <w:tcW w:w="2880" w:type="dxa"/>
            <w:tcBorders>
              <w:top w:val="nil"/>
              <w:left w:val="nil"/>
              <w:bottom w:val="single" w:sz="4" w:space="0" w:color="auto"/>
              <w:right w:val="single" w:sz="4" w:space="0" w:color="auto"/>
            </w:tcBorders>
          </w:tcPr>
          <w:p w:rsidR="008967E5" w:rsidRDefault="008967E5" w:rsidP="00F21801">
            <w:pPr>
              <w:rPr>
                <w:rFonts w:ascii="Arial" w:hAnsi="Arial" w:cs="Arial"/>
                <w:sz w:val="16"/>
                <w:szCs w:val="16"/>
              </w:rPr>
            </w:pPr>
            <w:r>
              <w:rPr>
                <w:rFonts w:ascii="Arial" w:hAnsi="Arial" w:cs="Arial"/>
                <w:sz w:val="16"/>
                <w:szCs w:val="16"/>
              </w:rPr>
              <w:t>Percentage of total JCON workstations deployed in the fiscal year (non-cumulative)</w:t>
            </w:r>
          </w:p>
        </w:tc>
        <w:tc>
          <w:tcPr>
            <w:tcW w:w="910" w:type="dxa"/>
            <w:tcBorders>
              <w:top w:val="nil"/>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N/A</w:t>
            </w:r>
          </w:p>
        </w:tc>
        <w:tc>
          <w:tcPr>
            <w:tcW w:w="910" w:type="dxa"/>
            <w:tcBorders>
              <w:top w:val="nil"/>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N/A</w:t>
            </w:r>
          </w:p>
        </w:tc>
        <w:tc>
          <w:tcPr>
            <w:tcW w:w="910" w:type="dxa"/>
            <w:tcBorders>
              <w:top w:val="nil"/>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N/A</w:t>
            </w:r>
          </w:p>
        </w:tc>
        <w:tc>
          <w:tcPr>
            <w:tcW w:w="910" w:type="dxa"/>
            <w:tcBorders>
              <w:top w:val="nil"/>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45%</w:t>
            </w:r>
          </w:p>
        </w:tc>
        <w:tc>
          <w:tcPr>
            <w:tcW w:w="910" w:type="dxa"/>
            <w:tcBorders>
              <w:top w:val="nil"/>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0%</w:t>
            </w:r>
          </w:p>
        </w:tc>
        <w:tc>
          <w:tcPr>
            <w:tcW w:w="910" w:type="dxa"/>
            <w:tcBorders>
              <w:top w:val="nil"/>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15%</w:t>
            </w:r>
          </w:p>
        </w:tc>
        <w:tc>
          <w:tcPr>
            <w:tcW w:w="910" w:type="dxa"/>
            <w:tcBorders>
              <w:top w:val="nil"/>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100%</w:t>
            </w:r>
          </w:p>
        </w:tc>
        <w:tc>
          <w:tcPr>
            <w:tcW w:w="839" w:type="dxa"/>
            <w:tcBorders>
              <w:top w:val="nil"/>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100%</w:t>
            </w:r>
          </w:p>
        </w:tc>
        <w:tc>
          <w:tcPr>
            <w:tcW w:w="794" w:type="dxa"/>
            <w:tcBorders>
              <w:top w:val="single" w:sz="4" w:space="0" w:color="auto"/>
              <w:left w:val="nil"/>
              <w:bottom w:val="single" w:sz="4" w:space="0" w:color="auto"/>
              <w:right w:val="single" w:sz="4" w:space="0" w:color="auto"/>
            </w:tcBorders>
            <w:shd w:val="clear" w:color="auto" w:fill="CCCCCC"/>
            <w:noWrap/>
            <w:vAlign w:val="bottom"/>
          </w:tcPr>
          <w:p w:rsidR="008967E5" w:rsidRDefault="008967E5" w:rsidP="00F21801">
            <w:pPr>
              <w:jc w:val="center"/>
              <w:rPr>
                <w:rFonts w:ascii="Arial" w:hAnsi="Arial" w:cs="Arial"/>
                <w:sz w:val="16"/>
                <w:szCs w:val="16"/>
              </w:rPr>
            </w:pPr>
            <w:r>
              <w:rPr>
                <w:rFonts w:ascii="Arial" w:hAnsi="Arial" w:cs="Arial"/>
                <w:sz w:val="16"/>
                <w:szCs w:val="16"/>
              </w:rPr>
              <w:t>36%</w:t>
            </w:r>
          </w:p>
        </w:tc>
        <w:tc>
          <w:tcPr>
            <w:tcW w:w="910" w:type="dxa"/>
            <w:tcBorders>
              <w:top w:val="nil"/>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100%</w:t>
            </w:r>
          </w:p>
        </w:tc>
        <w:tc>
          <w:tcPr>
            <w:tcW w:w="910" w:type="dxa"/>
            <w:tcBorders>
              <w:top w:val="nil"/>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100%</w:t>
            </w:r>
          </w:p>
        </w:tc>
      </w:tr>
      <w:tr w:rsidR="008967E5" w:rsidTr="00F21801">
        <w:trPr>
          <w:trHeight w:val="675"/>
        </w:trPr>
        <w:tc>
          <w:tcPr>
            <w:tcW w:w="1275" w:type="dxa"/>
            <w:tcBorders>
              <w:top w:val="nil"/>
              <w:left w:val="single" w:sz="8" w:space="0" w:color="auto"/>
              <w:bottom w:val="single" w:sz="4" w:space="0" w:color="auto"/>
              <w:right w:val="single" w:sz="4" w:space="0" w:color="auto"/>
            </w:tcBorders>
            <w:vAlign w:val="center"/>
          </w:tcPr>
          <w:p w:rsidR="008967E5" w:rsidRDefault="008967E5" w:rsidP="00F21801">
            <w:pPr>
              <w:jc w:val="center"/>
              <w:rPr>
                <w:rFonts w:ascii="Arial" w:hAnsi="Arial" w:cs="Arial"/>
                <w:b/>
                <w:bCs/>
                <w:sz w:val="16"/>
                <w:szCs w:val="16"/>
              </w:rPr>
            </w:pPr>
            <w:r>
              <w:rPr>
                <w:rFonts w:ascii="Arial" w:hAnsi="Arial" w:cs="Arial"/>
                <w:b/>
                <w:bCs/>
                <w:sz w:val="16"/>
                <w:szCs w:val="16"/>
              </w:rPr>
              <w:t>Performance Measure</w:t>
            </w:r>
          </w:p>
        </w:tc>
        <w:tc>
          <w:tcPr>
            <w:tcW w:w="2880" w:type="dxa"/>
            <w:tcBorders>
              <w:top w:val="nil"/>
              <w:left w:val="nil"/>
              <w:bottom w:val="single" w:sz="4" w:space="0" w:color="auto"/>
              <w:right w:val="single" w:sz="4" w:space="0" w:color="auto"/>
            </w:tcBorders>
          </w:tcPr>
          <w:p w:rsidR="008967E5" w:rsidRDefault="008967E5" w:rsidP="00F21801">
            <w:pPr>
              <w:rPr>
                <w:rFonts w:ascii="Arial" w:hAnsi="Arial" w:cs="Arial"/>
                <w:sz w:val="16"/>
                <w:szCs w:val="16"/>
              </w:rPr>
            </w:pPr>
            <w:r>
              <w:rPr>
                <w:rFonts w:ascii="Arial" w:hAnsi="Arial" w:cs="Arial"/>
                <w:sz w:val="16"/>
                <w:szCs w:val="16"/>
              </w:rPr>
              <w:t>Maintain mainframe enterprise system availability for client organizations</w:t>
            </w:r>
          </w:p>
        </w:tc>
        <w:tc>
          <w:tcPr>
            <w:tcW w:w="910" w:type="dxa"/>
            <w:tcBorders>
              <w:top w:val="nil"/>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N/A</w:t>
            </w:r>
          </w:p>
        </w:tc>
        <w:tc>
          <w:tcPr>
            <w:tcW w:w="910" w:type="dxa"/>
            <w:tcBorders>
              <w:top w:val="nil"/>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N/A</w:t>
            </w:r>
          </w:p>
        </w:tc>
        <w:tc>
          <w:tcPr>
            <w:tcW w:w="910" w:type="dxa"/>
            <w:tcBorders>
              <w:top w:val="nil"/>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N/A</w:t>
            </w:r>
          </w:p>
        </w:tc>
        <w:tc>
          <w:tcPr>
            <w:tcW w:w="910" w:type="dxa"/>
            <w:tcBorders>
              <w:top w:val="nil"/>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N/A</w:t>
            </w:r>
          </w:p>
        </w:tc>
        <w:tc>
          <w:tcPr>
            <w:tcW w:w="910" w:type="dxa"/>
            <w:tcBorders>
              <w:top w:val="nil"/>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100%</w:t>
            </w:r>
          </w:p>
        </w:tc>
        <w:tc>
          <w:tcPr>
            <w:tcW w:w="910" w:type="dxa"/>
            <w:tcBorders>
              <w:top w:val="nil"/>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100%</w:t>
            </w:r>
          </w:p>
        </w:tc>
        <w:tc>
          <w:tcPr>
            <w:tcW w:w="910" w:type="dxa"/>
            <w:tcBorders>
              <w:top w:val="nil"/>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99%</w:t>
            </w:r>
          </w:p>
        </w:tc>
        <w:tc>
          <w:tcPr>
            <w:tcW w:w="839" w:type="dxa"/>
            <w:tcBorders>
              <w:top w:val="nil"/>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99%</w:t>
            </w:r>
          </w:p>
        </w:tc>
        <w:tc>
          <w:tcPr>
            <w:tcW w:w="794" w:type="dxa"/>
            <w:tcBorders>
              <w:top w:val="single" w:sz="4" w:space="0" w:color="auto"/>
              <w:left w:val="nil"/>
              <w:bottom w:val="single" w:sz="4" w:space="0" w:color="auto"/>
              <w:right w:val="single" w:sz="4" w:space="0" w:color="auto"/>
            </w:tcBorders>
            <w:shd w:val="clear" w:color="auto" w:fill="CCCCCC"/>
            <w:noWrap/>
            <w:vAlign w:val="bottom"/>
          </w:tcPr>
          <w:p w:rsidR="008967E5" w:rsidRDefault="008967E5" w:rsidP="00F21801">
            <w:pPr>
              <w:jc w:val="center"/>
              <w:rPr>
                <w:rFonts w:ascii="Arial" w:hAnsi="Arial" w:cs="Arial"/>
                <w:sz w:val="16"/>
                <w:szCs w:val="16"/>
              </w:rPr>
            </w:pPr>
            <w:r>
              <w:rPr>
                <w:rFonts w:ascii="Arial" w:hAnsi="Arial" w:cs="Arial"/>
                <w:sz w:val="16"/>
                <w:szCs w:val="16"/>
              </w:rPr>
              <w:t>99%</w:t>
            </w:r>
          </w:p>
        </w:tc>
        <w:tc>
          <w:tcPr>
            <w:tcW w:w="910" w:type="dxa"/>
            <w:tcBorders>
              <w:top w:val="nil"/>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99%</w:t>
            </w:r>
          </w:p>
        </w:tc>
        <w:tc>
          <w:tcPr>
            <w:tcW w:w="910" w:type="dxa"/>
            <w:tcBorders>
              <w:top w:val="nil"/>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99%</w:t>
            </w:r>
          </w:p>
        </w:tc>
      </w:tr>
      <w:tr w:rsidR="008967E5" w:rsidTr="00F21801">
        <w:trPr>
          <w:trHeight w:val="450"/>
        </w:trPr>
        <w:tc>
          <w:tcPr>
            <w:tcW w:w="1275" w:type="dxa"/>
            <w:tcBorders>
              <w:top w:val="nil"/>
              <w:left w:val="single" w:sz="8" w:space="0" w:color="auto"/>
              <w:bottom w:val="single" w:sz="4" w:space="0" w:color="auto"/>
              <w:right w:val="single" w:sz="4" w:space="0" w:color="auto"/>
            </w:tcBorders>
            <w:vAlign w:val="center"/>
          </w:tcPr>
          <w:p w:rsidR="008967E5" w:rsidRDefault="008967E5" w:rsidP="00F21801">
            <w:pPr>
              <w:jc w:val="center"/>
              <w:rPr>
                <w:rFonts w:ascii="Arial" w:hAnsi="Arial" w:cs="Arial"/>
                <w:b/>
                <w:bCs/>
                <w:sz w:val="16"/>
                <w:szCs w:val="16"/>
              </w:rPr>
            </w:pPr>
            <w:r>
              <w:rPr>
                <w:rFonts w:ascii="Arial" w:hAnsi="Arial" w:cs="Arial"/>
                <w:b/>
                <w:bCs/>
                <w:sz w:val="16"/>
                <w:szCs w:val="16"/>
              </w:rPr>
              <w:t>Performance Measure</w:t>
            </w:r>
          </w:p>
        </w:tc>
        <w:tc>
          <w:tcPr>
            <w:tcW w:w="2880" w:type="dxa"/>
            <w:tcBorders>
              <w:top w:val="nil"/>
              <w:left w:val="nil"/>
              <w:bottom w:val="single" w:sz="4" w:space="0" w:color="auto"/>
              <w:right w:val="single" w:sz="4" w:space="0" w:color="auto"/>
            </w:tcBorders>
          </w:tcPr>
          <w:p w:rsidR="008967E5" w:rsidRDefault="008967E5" w:rsidP="00F21801">
            <w:pPr>
              <w:rPr>
                <w:rFonts w:ascii="Arial" w:hAnsi="Arial" w:cs="Arial"/>
                <w:sz w:val="16"/>
                <w:szCs w:val="16"/>
              </w:rPr>
            </w:pPr>
            <w:r>
              <w:rPr>
                <w:rFonts w:ascii="Arial" w:hAnsi="Arial" w:cs="Arial"/>
                <w:sz w:val="16"/>
                <w:szCs w:val="16"/>
              </w:rPr>
              <w:t>Maintain JMD/SMO JCON system availability for client organizations</w:t>
            </w:r>
          </w:p>
        </w:tc>
        <w:tc>
          <w:tcPr>
            <w:tcW w:w="910" w:type="dxa"/>
            <w:tcBorders>
              <w:top w:val="nil"/>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N/A</w:t>
            </w:r>
          </w:p>
        </w:tc>
        <w:tc>
          <w:tcPr>
            <w:tcW w:w="910" w:type="dxa"/>
            <w:tcBorders>
              <w:top w:val="nil"/>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N/A</w:t>
            </w:r>
          </w:p>
        </w:tc>
        <w:tc>
          <w:tcPr>
            <w:tcW w:w="910" w:type="dxa"/>
            <w:tcBorders>
              <w:top w:val="nil"/>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100%</w:t>
            </w:r>
          </w:p>
        </w:tc>
        <w:tc>
          <w:tcPr>
            <w:tcW w:w="910" w:type="dxa"/>
            <w:tcBorders>
              <w:top w:val="nil"/>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99%</w:t>
            </w:r>
          </w:p>
        </w:tc>
        <w:tc>
          <w:tcPr>
            <w:tcW w:w="910" w:type="dxa"/>
            <w:tcBorders>
              <w:top w:val="nil"/>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100%</w:t>
            </w:r>
          </w:p>
        </w:tc>
        <w:tc>
          <w:tcPr>
            <w:tcW w:w="910" w:type="dxa"/>
            <w:tcBorders>
              <w:top w:val="nil"/>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100%</w:t>
            </w:r>
          </w:p>
        </w:tc>
        <w:tc>
          <w:tcPr>
            <w:tcW w:w="910" w:type="dxa"/>
            <w:tcBorders>
              <w:top w:val="nil"/>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99%</w:t>
            </w:r>
          </w:p>
        </w:tc>
        <w:tc>
          <w:tcPr>
            <w:tcW w:w="839" w:type="dxa"/>
            <w:tcBorders>
              <w:top w:val="nil"/>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99%</w:t>
            </w:r>
          </w:p>
        </w:tc>
        <w:tc>
          <w:tcPr>
            <w:tcW w:w="794" w:type="dxa"/>
            <w:tcBorders>
              <w:top w:val="single" w:sz="4" w:space="0" w:color="auto"/>
              <w:left w:val="nil"/>
              <w:bottom w:val="single" w:sz="4" w:space="0" w:color="auto"/>
              <w:right w:val="single" w:sz="4" w:space="0" w:color="auto"/>
            </w:tcBorders>
            <w:shd w:val="clear" w:color="auto" w:fill="CCCCCC"/>
            <w:noWrap/>
            <w:vAlign w:val="bottom"/>
          </w:tcPr>
          <w:p w:rsidR="008967E5" w:rsidRDefault="008967E5" w:rsidP="00F21801">
            <w:pPr>
              <w:jc w:val="center"/>
              <w:rPr>
                <w:rFonts w:ascii="Arial" w:hAnsi="Arial" w:cs="Arial"/>
                <w:sz w:val="16"/>
                <w:szCs w:val="16"/>
              </w:rPr>
            </w:pPr>
            <w:r>
              <w:rPr>
                <w:rFonts w:ascii="Arial" w:hAnsi="Arial" w:cs="Arial"/>
                <w:sz w:val="16"/>
                <w:szCs w:val="16"/>
              </w:rPr>
              <w:t>99%</w:t>
            </w:r>
          </w:p>
        </w:tc>
        <w:tc>
          <w:tcPr>
            <w:tcW w:w="910" w:type="dxa"/>
            <w:tcBorders>
              <w:top w:val="nil"/>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99%</w:t>
            </w:r>
          </w:p>
        </w:tc>
        <w:tc>
          <w:tcPr>
            <w:tcW w:w="910" w:type="dxa"/>
            <w:tcBorders>
              <w:top w:val="nil"/>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99%</w:t>
            </w:r>
          </w:p>
        </w:tc>
      </w:tr>
      <w:tr w:rsidR="008967E5" w:rsidTr="00F21801">
        <w:trPr>
          <w:trHeight w:val="450"/>
        </w:trPr>
        <w:tc>
          <w:tcPr>
            <w:tcW w:w="1275" w:type="dxa"/>
            <w:tcBorders>
              <w:top w:val="nil"/>
              <w:left w:val="single" w:sz="8" w:space="0" w:color="auto"/>
              <w:bottom w:val="single" w:sz="4" w:space="0" w:color="auto"/>
              <w:right w:val="single" w:sz="4" w:space="0" w:color="auto"/>
            </w:tcBorders>
            <w:vAlign w:val="center"/>
          </w:tcPr>
          <w:p w:rsidR="008967E5" w:rsidRDefault="008967E5" w:rsidP="00F21801">
            <w:pPr>
              <w:jc w:val="center"/>
              <w:rPr>
                <w:rFonts w:ascii="Arial" w:hAnsi="Arial" w:cs="Arial"/>
                <w:b/>
                <w:bCs/>
                <w:sz w:val="16"/>
                <w:szCs w:val="16"/>
              </w:rPr>
            </w:pPr>
            <w:r>
              <w:rPr>
                <w:rFonts w:ascii="Arial" w:hAnsi="Arial" w:cs="Arial"/>
                <w:b/>
                <w:bCs/>
                <w:sz w:val="16"/>
                <w:szCs w:val="16"/>
              </w:rPr>
              <w:t>Performance Measure</w:t>
            </w:r>
          </w:p>
        </w:tc>
        <w:tc>
          <w:tcPr>
            <w:tcW w:w="2880" w:type="dxa"/>
            <w:tcBorders>
              <w:top w:val="nil"/>
              <w:left w:val="nil"/>
              <w:bottom w:val="single" w:sz="4" w:space="0" w:color="auto"/>
              <w:right w:val="single" w:sz="4" w:space="0" w:color="auto"/>
            </w:tcBorders>
          </w:tcPr>
          <w:p w:rsidR="008967E5" w:rsidRDefault="008967E5" w:rsidP="00F21801">
            <w:pPr>
              <w:rPr>
                <w:rFonts w:ascii="Arial" w:hAnsi="Arial" w:cs="Arial"/>
                <w:sz w:val="16"/>
                <w:szCs w:val="16"/>
              </w:rPr>
            </w:pPr>
            <w:r>
              <w:rPr>
                <w:rFonts w:ascii="Arial" w:hAnsi="Arial" w:cs="Arial"/>
                <w:sz w:val="16"/>
                <w:szCs w:val="16"/>
              </w:rPr>
              <w:t>Ensure IT systems are certified and accredited</w:t>
            </w:r>
          </w:p>
        </w:tc>
        <w:tc>
          <w:tcPr>
            <w:tcW w:w="910" w:type="dxa"/>
            <w:tcBorders>
              <w:top w:val="nil"/>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N/A</w:t>
            </w:r>
          </w:p>
        </w:tc>
        <w:tc>
          <w:tcPr>
            <w:tcW w:w="910" w:type="dxa"/>
            <w:tcBorders>
              <w:top w:val="nil"/>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N/A</w:t>
            </w:r>
          </w:p>
        </w:tc>
        <w:tc>
          <w:tcPr>
            <w:tcW w:w="910" w:type="dxa"/>
            <w:tcBorders>
              <w:top w:val="nil"/>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91%</w:t>
            </w:r>
          </w:p>
        </w:tc>
        <w:tc>
          <w:tcPr>
            <w:tcW w:w="910" w:type="dxa"/>
            <w:tcBorders>
              <w:top w:val="nil"/>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22%</w:t>
            </w:r>
          </w:p>
        </w:tc>
        <w:tc>
          <w:tcPr>
            <w:tcW w:w="910" w:type="dxa"/>
            <w:tcBorders>
              <w:top w:val="nil"/>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100%</w:t>
            </w:r>
          </w:p>
        </w:tc>
        <w:tc>
          <w:tcPr>
            <w:tcW w:w="910" w:type="dxa"/>
            <w:tcBorders>
              <w:top w:val="nil"/>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100%</w:t>
            </w:r>
          </w:p>
        </w:tc>
        <w:tc>
          <w:tcPr>
            <w:tcW w:w="910" w:type="dxa"/>
            <w:tcBorders>
              <w:top w:val="nil"/>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100%</w:t>
            </w:r>
          </w:p>
        </w:tc>
        <w:tc>
          <w:tcPr>
            <w:tcW w:w="839" w:type="dxa"/>
            <w:tcBorders>
              <w:top w:val="nil"/>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100%</w:t>
            </w:r>
          </w:p>
        </w:tc>
        <w:tc>
          <w:tcPr>
            <w:tcW w:w="794" w:type="dxa"/>
            <w:tcBorders>
              <w:top w:val="single" w:sz="4" w:space="0" w:color="auto"/>
              <w:left w:val="nil"/>
              <w:bottom w:val="single" w:sz="4" w:space="0" w:color="auto"/>
              <w:right w:val="single" w:sz="4" w:space="0" w:color="auto"/>
            </w:tcBorders>
            <w:shd w:val="clear" w:color="auto" w:fill="CCCCCC"/>
            <w:noWrap/>
            <w:vAlign w:val="bottom"/>
          </w:tcPr>
          <w:p w:rsidR="008967E5" w:rsidRDefault="008967E5" w:rsidP="00F21801">
            <w:pPr>
              <w:jc w:val="center"/>
              <w:rPr>
                <w:rFonts w:ascii="Arial" w:hAnsi="Arial" w:cs="Arial"/>
                <w:sz w:val="16"/>
                <w:szCs w:val="16"/>
              </w:rPr>
            </w:pPr>
            <w:r>
              <w:rPr>
                <w:rFonts w:ascii="Arial" w:hAnsi="Arial" w:cs="Arial"/>
                <w:sz w:val="16"/>
                <w:szCs w:val="16"/>
              </w:rPr>
              <w:t>100%</w:t>
            </w:r>
          </w:p>
        </w:tc>
        <w:tc>
          <w:tcPr>
            <w:tcW w:w="910" w:type="dxa"/>
            <w:tcBorders>
              <w:top w:val="nil"/>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100%</w:t>
            </w:r>
          </w:p>
        </w:tc>
        <w:tc>
          <w:tcPr>
            <w:tcW w:w="910" w:type="dxa"/>
            <w:tcBorders>
              <w:top w:val="nil"/>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100%</w:t>
            </w:r>
          </w:p>
        </w:tc>
      </w:tr>
      <w:tr w:rsidR="008967E5" w:rsidTr="00F21801">
        <w:trPr>
          <w:trHeight w:val="675"/>
        </w:trPr>
        <w:tc>
          <w:tcPr>
            <w:tcW w:w="1275" w:type="dxa"/>
            <w:tcBorders>
              <w:top w:val="single" w:sz="4" w:space="0" w:color="auto"/>
              <w:left w:val="single" w:sz="8" w:space="0" w:color="auto"/>
              <w:bottom w:val="single" w:sz="4" w:space="0" w:color="auto"/>
              <w:right w:val="single" w:sz="4" w:space="0" w:color="auto"/>
            </w:tcBorders>
            <w:vAlign w:val="center"/>
          </w:tcPr>
          <w:p w:rsidR="008967E5" w:rsidRDefault="008967E5" w:rsidP="00F21801">
            <w:pPr>
              <w:jc w:val="center"/>
              <w:rPr>
                <w:rFonts w:ascii="Arial" w:hAnsi="Arial" w:cs="Arial"/>
                <w:b/>
                <w:bCs/>
                <w:sz w:val="16"/>
                <w:szCs w:val="16"/>
              </w:rPr>
            </w:pPr>
            <w:r>
              <w:rPr>
                <w:rFonts w:ascii="Arial" w:hAnsi="Arial" w:cs="Arial"/>
                <w:b/>
                <w:bCs/>
                <w:sz w:val="16"/>
                <w:szCs w:val="16"/>
              </w:rPr>
              <w:t>Performance Measure</w:t>
            </w:r>
          </w:p>
        </w:tc>
        <w:tc>
          <w:tcPr>
            <w:tcW w:w="2880" w:type="dxa"/>
            <w:tcBorders>
              <w:top w:val="single" w:sz="4" w:space="0" w:color="auto"/>
              <w:left w:val="nil"/>
              <w:bottom w:val="single" w:sz="4" w:space="0" w:color="auto"/>
              <w:right w:val="single" w:sz="4" w:space="0" w:color="auto"/>
            </w:tcBorders>
          </w:tcPr>
          <w:p w:rsidR="008967E5" w:rsidRDefault="008967E5" w:rsidP="00F21801">
            <w:pPr>
              <w:rPr>
                <w:rFonts w:ascii="Arial" w:hAnsi="Arial" w:cs="Arial"/>
                <w:sz w:val="16"/>
                <w:szCs w:val="16"/>
              </w:rPr>
            </w:pPr>
            <w:r>
              <w:rPr>
                <w:rFonts w:ascii="Arial" w:hAnsi="Arial" w:cs="Arial"/>
                <w:sz w:val="16"/>
                <w:szCs w:val="16"/>
              </w:rPr>
              <w:t>Ensure IT help desk calls are answered and resolved within service level agreement terms</w:t>
            </w:r>
          </w:p>
        </w:tc>
        <w:tc>
          <w:tcPr>
            <w:tcW w:w="910" w:type="dxa"/>
            <w:tcBorders>
              <w:top w:val="single" w:sz="4" w:space="0" w:color="auto"/>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N/A</w:t>
            </w:r>
          </w:p>
        </w:tc>
        <w:tc>
          <w:tcPr>
            <w:tcW w:w="910" w:type="dxa"/>
            <w:tcBorders>
              <w:top w:val="single" w:sz="4" w:space="0" w:color="auto"/>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N/A</w:t>
            </w:r>
          </w:p>
        </w:tc>
        <w:tc>
          <w:tcPr>
            <w:tcW w:w="910" w:type="dxa"/>
            <w:tcBorders>
              <w:top w:val="single" w:sz="4" w:space="0" w:color="auto"/>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N/A</w:t>
            </w:r>
          </w:p>
        </w:tc>
        <w:tc>
          <w:tcPr>
            <w:tcW w:w="910" w:type="dxa"/>
            <w:tcBorders>
              <w:top w:val="single" w:sz="4" w:space="0" w:color="auto"/>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N/A</w:t>
            </w:r>
          </w:p>
        </w:tc>
        <w:tc>
          <w:tcPr>
            <w:tcW w:w="910" w:type="dxa"/>
            <w:tcBorders>
              <w:top w:val="single" w:sz="4" w:space="0" w:color="auto"/>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87%</w:t>
            </w:r>
          </w:p>
        </w:tc>
        <w:tc>
          <w:tcPr>
            <w:tcW w:w="910" w:type="dxa"/>
            <w:tcBorders>
              <w:top w:val="single" w:sz="4" w:space="0" w:color="auto"/>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78%</w:t>
            </w:r>
          </w:p>
        </w:tc>
        <w:tc>
          <w:tcPr>
            <w:tcW w:w="910" w:type="dxa"/>
            <w:tcBorders>
              <w:top w:val="single" w:sz="4" w:space="0" w:color="auto"/>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75%</w:t>
            </w:r>
          </w:p>
        </w:tc>
        <w:tc>
          <w:tcPr>
            <w:tcW w:w="839" w:type="dxa"/>
            <w:tcBorders>
              <w:top w:val="single" w:sz="4" w:space="0" w:color="auto"/>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75%</w:t>
            </w:r>
          </w:p>
        </w:tc>
        <w:tc>
          <w:tcPr>
            <w:tcW w:w="794" w:type="dxa"/>
            <w:tcBorders>
              <w:top w:val="single" w:sz="4" w:space="0" w:color="auto"/>
              <w:left w:val="nil"/>
              <w:bottom w:val="single" w:sz="4" w:space="0" w:color="auto"/>
              <w:right w:val="single" w:sz="4" w:space="0" w:color="auto"/>
            </w:tcBorders>
            <w:shd w:val="clear" w:color="auto" w:fill="CCCCCC"/>
            <w:noWrap/>
            <w:vAlign w:val="bottom"/>
          </w:tcPr>
          <w:p w:rsidR="008967E5" w:rsidRDefault="008967E5" w:rsidP="00F21801">
            <w:pPr>
              <w:jc w:val="center"/>
              <w:rPr>
                <w:rFonts w:ascii="Arial" w:hAnsi="Arial" w:cs="Arial"/>
                <w:sz w:val="16"/>
                <w:szCs w:val="16"/>
              </w:rPr>
            </w:pPr>
            <w:r>
              <w:rPr>
                <w:rFonts w:ascii="Arial" w:hAnsi="Arial" w:cs="Arial"/>
                <w:sz w:val="16"/>
                <w:szCs w:val="16"/>
              </w:rPr>
              <w:t>90%</w:t>
            </w:r>
          </w:p>
        </w:tc>
        <w:tc>
          <w:tcPr>
            <w:tcW w:w="910" w:type="dxa"/>
            <w:tcBorders>
              <w:top w:val="single" w:sz="4" w:space="0" w:color="auto"/>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75%</w:t>
            </w:r>
          </w:p>
        </w:tc>
        <w:tc>
          <w:tcPr>
            <w:tcW w:w="910" w:type="dxa"/>
            <w:tcBorders>
              <w:top w:val="single" w:sz="4" w:space="0" w:color="auto"/>
              <w:left w:val="nil"/>
              <w:bottom w:val="single" w:sz="4" w:space="0" w:color="auto"/>
              <w:right w:val="single" w:sz="4" w:space="0" w:color="auto"/>
            </w:tcBorders>
            <w:noWrap/>
            <w:vAlign w:val="bottom"/>
          </w:tcPr>
          <w:p w:rsidR="008967E5" w:rsidRDefault="008967E5" w:rsidP="00F21801">
            <w:pPr>
              <w:jc w:val="center"/>
              <w:rPr>
                <w:rFonts w:ascii="Arial" w:hAnsi="Arial" w:cs="Arial"/>
                <w:sz w:val="16"/>
                <w:szCs w:val="16"/>
              </w:rPr>
            </w:pPr>
            <w:r>
              <w:rPr>
                <w:rFonts w:ascii="Arial" w:hAnsi="Arial" w:cs="Arial"/>
                <w:sz w:val="16"/>
                <w:szCs w:val="16"/>
              </w:rPr>
              <w:t>75%</w:t>
            </w:r>
          </w:p>
        </w:tc>
      </w:tr>
      <w:tr w:rsidR="008967E5" w:rsidTr="00F21801">
        <w:trPr>
          <w:trHeight w:val="255"/>
        </w:trPr>
        <w:tc>
          <w:tcPr>
            <w:tcW w:w="1275" w:type="dxa"/>
            <w:tcBorders>
              <w:top w:val="single" w:sz="4" w:space="0" w:color="auto"/>
              <w:left w:val="nil"/>
              <w:bottom w:val="nil"/>
              <w:right w:val="nil"/>
            </w:tcBorders>
            <w:noWrap/>
            <w:vAlign w:val="bottom"/>
          </w:tcPr>
          <w:p w:rsidR="008967E5" w:rsidRDefault="008967E5" w:rsidP="00F21801">
            <w:pPr>
              <w:rPr>
                <w:rFonts w:ascii="Arial" w:hAnsi="Arial" w:cs="Arial"/>
                <w:sz w:val="20"/>
                <w:szCs w:val="20"/>
              </w:rPr>
            </w:pPr>
          </w:p>
        </w:tc>
        <w:tc>
          <w:tcPr>
            <w:tcW w:w="2880" w:type="dxa"/>
            <w:tcBorders>
              <w:top w:val="single" w:sz="4" w:space="0" w:color="auto"/>
              <w:left w:val="nil"/>
              <w:bottom w:val="nil"/>
              <w:right w:val="nil"/>
            </w:tcBorders>
            <w:noWrap/>
            <w:vAlign w:val="bottom"/>
          </w:tcPr>
          <w:p w:rsidR="008967E5" w:rsidRDefault="008967E5" w:rsidP="00F21801">
            <w:pPr>
              <w:rPr>
                <w:rFonts w:ascii="Arial" w:hAnsi="Arial" w:cs="Arial"/>
                <w:sz w:val="20"/>
                <w:szCs w:val="20"/>
              </w:rPr>
            </w:pPr>
          </w:p>
        </w:tc>
        <w:tc>
          <w:tcPr>
            <w:tcW w:w="910" w:type="dxa"/>
            <w:tcBorders>
              <w:top w:val="single" w:sz="4" w:space="0" w:color="auto"/>
              <w:left w:val="nil"/>
              <w:bottom w:val="nil"/>
              <w:right w:val="nil"/>
            </w:tcBorders>
            <w:noWrap/>
            <w:vAlign w:val="bottom"/>
          </w:tcPr>
          <w:p w:rsidR="008967E5" w:rsidRDefault="008967E5" w:rsidP="00F21801">
            <w:pPr>
              <w:rPr>
                <w:rFonts w:ascii="Arial" w:hAnsi="Arial" w:cs="Arial"/>
                <w:sz w:val="20"/>
                <w:szCs w:val="20"/>
              </w:rPr>
            </w:pPr>
          </w:p>
        </w:tc>
        <w:tc>
          <w:tcPr>
            <w:tcW w:w="910" w:type="dxa"/>
            <w:tcBorders>
              <w:top w:val="single" w:sz="4" w:space="0" w:color="auto"/>
              <w:left w:val="nil"/>
              <w:bottom w:val="nil"/>
              <w:right w:val="nil"/>
            </w:tcBorders>
            <w:noWrap/>
            <w:vAlign w:val="bottom"/>
          </w:tcPr>
          <w:p w:rsidR="008967E5" w:rsidRDefault="008967E5" w:rsidP="00F21801">
            <w:pPr>
              <w:rPr>
                <w:rFonts w:ascii="Arial" w:hAnsi="Arial" w:cs="Arial"/>
                <w:sz w:val="20"/>
                <w:szCs w:val="20"/>
              </w:rPr>
            </w:pPr>
          </w:p>
        </w:tc>
        <w:tc>
          <w:tcPr>
            <w:tcW w:w="910" w:type="dxa"/>
            <w:tcBorders>
              <w:top w:val="single" w:sz="4" w:space="0" w:color="auto"/>
              <w:left w:val="nil"/>
              <w:bottom w:val="nil"/>
              <w:right w:val="nil"/>
            </w:tcBorders>
            <w:noWrap/>
            <w:vAlign w:val="bottom"/>
          </w:tcPr>
          <w:p w:rsidR="008967E5" w:rsidRDefault="008967E5" w:rsidP="00F21801">
            <w:pPr>
              <w:rPr>
                <w:rFonts w:ascii="Arial" w:hAnsi="Arial" w:cs="Arial"/>
                <w:sz w:val="20"/>
                <w:szCs w:val="20"/>
              </w:rPr>
            </w:pPr>
          </w:p>
        </w:tc>
        <w:tc>
          <w:tcPr>
            <w:tcW w:w="910" w:type="dxa"/>
            <w:tcBorders>
              <w:top w:val="single" w:sz="4" w:space="0" w:color="auto"/>
              <w:left w:val="nil"/>
              <w:bottom w:val="nil"/>
              <w:right w:val="nil"/>
            </w:tcBorders>
            <w:noWrap/>
            <w:vAlign w:val="bottom"/>
          </w:tcPr>
          <w:p w:rsidR="008967E5" w:rsidRDefault="008967E5" w:rsidP="00F21801">
            <w:pPr>
              <w:rPr>
                <w:rFonts w:ascii="Arial" w:hAnsi="Arial" w:cs="Arial"/>
                <w:sz w:val="20"/>
                <w:szCs w:val="20"/>
              </w:rPr>
            </w:pPr>
          </w:p>
        </w:tc>
        <w:tc>
          <w:tcPr>
            <w:tcW w:w="910" w:type="dxa"/>
            <w:tcBorders>
              <w:top w:val="single" w:sz="4" w:space="0" w:color="auto"/>
              <w:left w:val="nil"/>
              <w:bottom w:val="nil"/>
              <w:right w:val="nil"/>
            </w:tcBorders>
            <w:noWrap/>
            <w:vAlign w:val="bottom"/>
          </w:tcPr>
          <w:p w:rsidR="008967E5" w:rsidRDefault="008967E5" w:rsidP="00F21801">
            <w:pPr>
              <w:rPr>
                <w:rFonts w:ascii="Arial" w:hAnsi="Arial" w:cs="Arial"/>
                <w:sz w:val="20"/>
                <w:szCs w:val="20"/>
              </w:rPr>
            </w:pPr>
          </w:p>
        </w:tc>
        <w:tc>
          <w:tcPr>
            <w:tcW w:w="910" w:type="dxa"/>
            <w:tcBorders>
              <w:top w:val="single" w:sz="4" w:space="0" w:color="auto"/>
              <w:left w:val="nil"/>
              <w:bottom w:val="nil"/>
              <w:right w:val="nil"/>
            </w:tcBorders>
            <w:noWrap/>
            <w:vAlign w:val="bottom"/>
          </w:tcPr>
          <w:p w:rsidR="008967E5" w:rsidRDefault="008967E5" w:rsidP="00F21801">
            <w:pPr>
              <w:rPr>
                <w:rFonts w:ascii="Arial" w:hAnsi="Arial" w:cs="Arial"/>
                <w:sz w:val="20"/>
                <w:szCs w:val="20"/>
              </w:rPr>
            </w:pPr>
          </w:p>
        </w:tc>
        <w:tc>
          <w:tcPr>
            <w:tcW w:w="910" w:type="dxa"/>
            <w:tcBorders>
              <w:top w:val="single" w:sz="4" w:space="0" w:color="auto"/>
              <w:left w:val="nil"/>
              <w:bottom w:val="nil"/>
              <w:right w:val="nil"/>
            </w:tcBorders>
            <w:noWrap/>
            <w:vAlign w:val="bottom"/>
          </w:tcPr>
          <w:p w:rsidR="008967E5" w:rsidRDefault="008967E5" w:rsidP="00F21801">
            <w:pPr>
              <w:rPr>
                <w:rFonts w:ascii="Arial" w:hAnsi="Arial" w:cs="Arial"/>
                <w:sz w:val="20"/>
                <w:szCs w:val="20"/>
              </w:rPr>
            </w:pPr>
          </w:p>
        </w:tc>
        <w:tc>
          <w:tcPr>
            <w:tcW w:w="839" w:type="dxa"/>
            <w:tcBorders>
              <w:top w:val="single" w:sz="4" w:space="0" w:color="auto"/>
              <w:left w:val="nil"/>
              <w:bottom w:val="nil"/>
              <w:right w:val="nil"/>
            </w:tcBorders>
            <w:noWrap/>
            <w:vAlign w:val="bottom"/>
          </w:tcPr>
          <w:p w:rsidR="008967E5" w:rsidRDefault="008967E5" w:rsidP="00F21801">
            <w:pPr>
              <w:rPr>
                <w:rFonts w:ascii="Arial" w:hAnsi="Arial" w:cs="Arial"/>
                <w:sz w:val="20"/>
                <w:szCs w:val="20"/>
              </w:rPr>
            </w:pPr>
          </w:p>
        </w:tc>
        <w:tc>
          <w:tcPr>
            <w:tcW w:w="794" w:type="dxa"/>
            <w:tcBorders>
              <w:top w:val="single" w:sz="4" w:space="0" w:color="auto"/>
              <w:left w:val="nil"/>
              <w:bottom w:val="nil"/>
              <w:right w:val="nil"/>
            </w:tcBorders>
            <w:noWrap/>
            <w:vAlign w:val="bottom"/>
          </w:tcPr>
          <w:p w:rsidR="008967E5" w:rsidRDefault="008967E5" w:rsidP="00F21801">
            <w:pPr>
              <w:rPr>
                <w:rFonts w:ascii="Arial" w:hAnsi="Arial" w:cs="Arial"/>
                <w:sz w:val="20"/>
                <w:szCs w:val="20"/>
              </w:rPr>
            </w:pPr>
          </w:p>
        </w:tc>
        <w:tc>
          <w:tcPr>
            <w:tcW w:w="910" w:type="dxa"/>
            <w:tcBorders>
              <w:top w:val="single" w:sz="4" w:space="0" w:color="auto"/>
              <w:left w:val="nil"/>
              <w:bottom w:val="nil"/>
              <w:right w:val="nil"/>
            </w:tcBorders>
            <w:noWrap/>
            <w:vAlign w:val="bottom"/>
          </w:tcPr>
          <w:p w:rsidR="008967E5" w:rsidRDefault="008967E5" w:rsidP="00F21801">
            <w:pPr>
              <w:rPr>
                <w:rFonts w:ascii="Arial" w:hAnsi="Arial" w:cs="Arial"/>
                <w:sz w:val="20"/>
                <w:szCs w:val="20"/>
              </w:rPr>
            </w:pPr>
          </w:p>
        </w:tc>
        <w:tc>
          <w:tcPr>
            <w:tcW w:w="910" w:type="dxa"/>
            <w:tcBorders>
              <w:top w:val="single" w:sz="4" w:space="0" w:color="auto"/>
              <w:left w:val="nil"/>
              <w:bottom w:val="nil"/>
              <w:right w:val="nil"/>
            </w:tcBorders>
            <w:noWrap/>
            <w:vAlign w:val="bottom"/>
          </w:tcPr>
          <w:p w:rsidR="008967E5" w:rsidRDefault="008967E5" w:rsidP="00F21801">
            <w:pPr>
              <w:rPr>
                <w:rFonts w:ascii="Arial" w:hAnsi="Arial" w:cs="Arial"/>
                <w:sz w:val="20"/>
                <w:szCs w:val="20"/>
              </w:rPr>
            </w:pPr>
          </w:p>
        </w:tc>
      </w:tr>
      <w:tr w:rsidR="008967E5" w:rsidTr="00F21801">
        <w:trPr>
          <w:trHeight w:val="255"/>
        </w:trPr>
        <w:tc>
          <w:tcPr>
            <w:tcW w:w="4155" w:type="dxa"/>
            <w:gridSpan w:val="2"/>
            <w:tcBorders>
              <w:top w:val="nil"/>
              <w:left w:val="nil"/>
              <w:bottom w:val="nil"/>
              <w:right w:val="nil"/>
            </w:tcBorders>
            <w:noWrap/>
            <w:vAlign w:val="bottom"/>
          </w:tcPr>
          <w:p w:rsidR="008967E5" w:rsidRDefault="008967E5" w:rsidP="00F21801">
            <w:pPr>
              <w:rPr>
                <w:rFonts w:ascii="Arial" w:hAnsi="Arial" w:cs="Arial"/>
                <w:b/>
                <w:bCs/>
                <w:sz w:val="16"/>
                <w:szCs w:val="16"/>
              </w:rPr>
            </w:pPr>
            <w:r>
              <w:rPr>
                <w:rFonts w:ascii="Arial" w:hAnsi="Arial" w:cs="Arial"/>
                <w:b/>
                <w:bCs/>
                <w:sz w:val="16"/>
                <w:szCs w:val="16"/>
              </w:rPr>
              <w:t>N/A = Data unavailable</w:t>
            </w:r>
          </w:p>
        </w:tc>
        <w:tc>
          <w:tcPr>
            <w:tcW w:w="910" w:type="dxa"/>
            <w:tcBorders>
              <w:top w:val="nil"/>
              <w:left w:val="nil"/>
              <w:bottom w:val="nil"/>
              <w:right w:val="nil"/>
            </w:tcBorders>
            <w:noWrap/>
            <w:vAlign w:val="bottom"/>
          </w:tcPr>
          <w:p w:rsidR="008967E5" w:rsidRDefault="008967E5" w:rsidP="00F21801">
            <w:pPr>
              <w:rPr>
                <w:rFonts w:ascii="Arial" w:hAnsi="Arial" w:cs="Arial"/>
                <w:sz w:val="20"/>
                <w:szCs w:val="20"/>
              </w:rPr>
            </w:pPr>
          </w:p>
        </w:tc>
        <w:tc>
          <w:tcPr>
            <w:tcW w:w="910" w:type="dxa"/>
            <w:tcBorders>
              <w:top w:val="nil"/>
              <w:left w:val="nil"/>
              <w:bottom w:val="nil"/>
              <w:right w:val="nil"/>
            </w:tcBorders>
            <w:noWrap/>
            <w:vAlign w:val="bottom"/>
          </w:tcPr>
          <w:p w:rsidR="008967E5" w:rsidRDefault="008967E5" w:rsidP="00F21801">
            <w:pPr>
              <w:rPr>
                <w:rFonts w:ascii="Arial" w:hAnsi="Arial" w:cs="Arial"/>
                <w:sz w:val="20"/>
                <w:szCs w:val="20"/>
              </w:rPr>
            </w:pPr>
          </w:p>
        </w:tc>
        <w:tc>
          <w:tcPr>
            <w:tcW w:w="910" w:type="dxa"/>
            <w:tcBorders>
              <w:top w:val="nil"/>
              <w:left w:val="nil"/>
              <w:bottom w:val="nil"/>
              <w:right w:val="nil"/>
            </w:tcBorders>
            <w:noWrap/>
            <w:vAlign w:val="bottom"/>
          </w:tcPr>
          <w:p w:rsidR="008967E5" w:rsidRDefault="008967E5" w:rsidP="00F21801">
            <w:pPr>
              <w:rPr>
                <w:rFonts w:ascii="Arial" w:hAnsi="Arial" w:cs="Arial"/>
                <w:sz w:val="20"/>
                <w:szCs w:val="20"/>
              </w:rPr>
            </w:pPr>
          </w:p>
        </w:tc>
        <w:tc>
          <w:tcPr>
            <w:tcW w:w="910" w:type="dxa"/>
            <w:tcBorders>
              <w:top w:val="nil"/>
              <w:left w:val="nil"/>
              <w:bottom w:val="nil"/>
              <w:right w:val="nil"/>
            </w:tcBorders>
            <w:noWrap/>
            <w:vAlign w:val="bottom"/>
          </w:tcPr>
          <w:p w:rsidR="008967E5" w:rsidRDefault="008967E5" w:rsidP="00F21801">
            <w:pPr>
              <w:rPr>
                <w:rFonts w:ascii="Arial" w:hAnsi="Arial" w:cs="Arial"/>
                <w:sz w:val="20"/>
                <w:szCs w:val="20"/>
              </w:rPr>
            </w:pPr>
          </w:p>
        </w:tc>
        <w:tc>
          <w:tcPr>
            <w:tcW w:w="910" w:type="dxa"/>
            <w:tcBorders>
              <w:top w:val="nil"/>
              <w:left w:val="nil"/>
              <w:bottom w:val="nil"/>
              <w:right w:val="nil"/>
            </w:tcBorders>
            <w:noWrap/>
            <w:vAlign w:val="bottom"/>
          </w:tcPr>
          <w:p w:rsidR="008967E5" w:rsidRDefault="008967E5" w:rsidP="00F21801">
            <w:pPr>
              <w:rPr>
                <w:rFonts w:ascii="Arial" w:hAnsi="Arial" w:cs="Arial"/>
                <w:sz w:val="20"/>
                <w:szCs w:val="20"/>
              </w:rPr>
            </w:pPr>
          </w:p>
        </w:tc>
        <w:tc>
          <w:tcPr>
            <w:tcW w:w="910" w:type="dxa"/>
            <w:tcBorders>
              <w:top w:val="nil"/>
              <w:left w:val="nil"/>
              <w:bottom w:val="nil"/>
              <w:right w:val="nil"/>
            </w:tcBorders>
            <w:noWrap/>
            <w:vAlign w:val="bottom"/>
          </w:tcPr>
          <w:p w:rsidR="008967E5" w:rsidRDefault="008967E5" w:rsidP="00F21801">
            <w:pPr>
              <w:rPr>
                <w:rFonts w:ascii="Arial" w:hAnsi="Arial" w:cs="Arial"/>
                <w:sz w:val="20"/>
                <w:szCs w:val="20"/>
              </w:rPr>
            </w:pPr>
          </w:p>
        </w:tc>
        <w:tc>
          <w:tcPr>
            <w:tcW w:w="910" w:type="dxa"/>
            <w:tcBorders>
              <w:top w:val="nil"/>
              <w:left w:val="nil"/>
              <w:bottom w:val="nil"/>
              <w:right w:val="nil"/>
            </w:tcBorders>
            <w:noWrap/>
            <w:vAlign w:val="bottom"/>
          </w:tcPr>
          <w:p w:rsidR="008967E5" w:rsidRDefault="008967E5" w:rsidP="00F21801">
            <w:pPr>
              <w:rPr>
                <w:rFonts w:ascii="Arial" w:hAnsi="Arial" w:cs="Arial"/>
                <w:sz w:val="20"/>
                <w:szCs w:val="20"/>
              </w:rPr>
            </w:pPr>
          </w:p>
        </w:tc>
        <w:tc>
          <w:tcPr>
            <w:tcW w:w="839" w:type="dxa"/>
            <w:tcBorders>
              <w:top w:val="nil"/>
              <w:left w:val="nil"/>
              <w:bottom w:val="nil"/>
              <w:right w:val="nil"/>
            </w:tcBorders>
            <w:noWrap/>
            <w:vAlign w:val="bottom"/>
          </w:tcPr>
          <w:p w:rsidR="008967E5" w:rsidRDefault="008967E5" w:rsidP="00F21801">
            <w:pPr>
              <w:rPr>
                <w:rFonts w:ascii="Arial" w:hAnsi="Arial" w:cs="Arial"/>
                <w:sz w:val="20"/>
                <w:szCs w:val="20"/>
              </w:rPr>
            </w:pPr>
          </w:p>
        </w:tc>
        <w:tc>
          <w:tcPr>
            <w:tcW w:w="794" w:type="dxa"/>
            <w:tcBorders>
              <w:top w:val="nil"/>
              <w:left w:val="nil"/>
              <w:bottom w:val="nil"/>
              <w:right w:val="nil"/>
            </w:tcBorders>
            <w:noWrap/>
            <w:vAlign w:val="bottom"/>
          </w:tcPr>
          <w:p w:rsidR="008967E5" w:rsidRDefault="008967E5" w:rsidP="00F21801">
            <w:pPr>
              <w:rPr>
                <w:rFonts w:ascii="Arial" w:hAnsi="Arial" w:cs="Arial"/>
                <w:sz w:val="20"/>
                <w:szCs w:val="20"/>
              </w:rPr>
            </w:pPr>
          </w:p>
        </w:tc>
        <w:tc>
          <w:tcPr>
            <w:tcW w:w="910" w:type="dxa"/>
            <w:tcBorders>
              <w:top w:val="nil"/>
              <w:left w:val="nil"/>
              <w:bottom w:val="nil"/>
              <w:right w:val="nil"/>
            </w:tcBorders>
            <w:noWrap/>
            <w:vAlign w:val="bottom"/>
          </w:tcPr>
          <w:p w:rsidR="008967E5" w:rsidRDefault="008967E5" w:rsidP="00F21801">
            <w:pPr>
              <w:rPr>
                <w:rFonts w:ascii="Arial" w:hAnsi="Arial" w:cs="Arial"/>
                <w:sz w:val="20"/>
                <w:szCs w:val="20"/>
              </w:rPr>
            </w:pPr>
          </w:p>
        </w:tc>
        <w:tc>
          <w:tcPr>
            <w:tcW w:w="910" w:type="dxa"/>
            <w:tcBorders>
              <w:top w:val="nil"/>
              <w:left w:val="nil"/>
              <w:bottom w:val="nil"/>
              <w:right w:val="nil"/>
            </w:tcBorders>
            <w:noWrap/>
            <w:vAlign w:val="bottom"/>
          </w:tcPr>
          <w:p w:rsidR="008967E5" w:rsidRDefault="008967E5" w:rsidP="00F21801">
            <w:pPr>
              <w:rPr>
                <w:rFonts w:ascii="Arial" w:hAnsi="Arial" w:cs="Arial"/>
                <w:sz w:val="20"/>
                <w:szCs w:val="20"/>
              </w:rPr>
            </w:pPr>
          </w:p>
        </w:tc>
      </w:tr>
    </w:tbl>
    <w:p w:rsidR="008967E5" w:rsidRDefault="008967E5" w:rsidP="00594104"/>
    <w:p w:rsidR="008967E5" w:rsidRDefault="008967E5" w:rsidP="005B5BF9">
      <w:pPr>
        <w:rPr>
          <w:b/>
        </w:rPr>
        <w:sectPr w:rsidR="008967E5" w:rsidSect="0068172F">
          <w:pgSz w:w="15840" w:h="12240" w:orient="landscape" w:code="1"/>
          <w:pgMar w:top="1152" w:right="1008" w:bottom="1152" w:left="1008" w:header="432" w:footer="432" w:gutter="0"/>
          <w:cols w:space="720"/>
          <w:docGrid w:linePitch="326"/>
        </w:sectPr>
      </w:pPr>
    </w:p>
    <w:p w:rsidR="008967E5" w:rsidRPr="00CC3D1A" w:rsidRDefault="008967E5" w:rsidP="005B5BF9">
      <w:pPr>
        <w:rPr>
          <w:b/>
        </w:rPr>
      </w:pPr>
      <w:r w:rsidRPr="00CC3D1A">
        <w:rPr>
          <w:b/>
        </w:rPr>
        <w:lastRenderedPageBreak/>
        <w:t>3.   Performance, Resources, and Strategies</w:t>
      </w:r>
    </w:p>
    <w:p w:rsidR="008967E5" w:rsidRPr="002567E4" w:rsidRDefault="008967E5">
      <w:pPr>
        <w:pStyle w:val="BodyText"/>
        <w:rPr>
          <w:sz w:val="22"/>
          <w:szCs w:val="22"/>
        </w:rPr>
      </w:pPr>
    </w:p>
    <w:p w:rsidR="008967E5" w:rsidRPr="00CC3D1A" w:rsidRDefault="008967E5" w:rsidP="00937AFA">
      <w:pPr>
        <w:pStyle w:val="BodyText"/>
        <w:ind w:left="432"/>
        <w:rPr>
          <w:b/>
        </w:rPr>
      </w:pPr>
      <w:r>
        <w:rPr>
          <w:b/>
        </w:rPr>
        <w:t xml:space="preserve">a.  </w:t>
      </w:r>
      <w:r w:rsidRPr="00CC3D1A">
        <w:rPr>
          <w:b/>
        </w:rPr>
        <w:t>Performance Plan and Report for Outcomes</w:t>
      </w:r>
    </w:p>
    <w:p w:rsidR="008967E5" w:rsidRPr="002567E4" w:rsidRDefault="008967E5">
      <w:pPr>
        <w:pStyle w:val="BodyText"/>
        <w:rPr>
          <w:i/>
          <w:iCs/>
          <w:sz w:val="22"/>
          <w:szCs w:val="22"/>
        </w:rPr>
      </w:pPr>
    </w:p>
    <w:p w:rsidR="008967E5" w:rsidRPr="0093541E" w:rsidRDefault="008967E5" w:rsidP="00567FC1">
      <w:pPr>
        <w:ind w:left="720"/>
        <w:rPr>
          <w:sz w:val="22"/>
          <w:szCs w:val="22"/>
        </w:rPr>
      </w:pPr>
      <w:r w:rsidRPr="0093541E">
        <w:rPr>
          <w:sz w:val="22"/>
          <w:szCs w:val="22"/>
        </w:rPr>
        <w:t>JIST provides resources so that the DOJ CIO can ensure that investments in IT systems</w:t>
      </w:r>
      <w:r>
        <w:rPr>
          <w:sz w:val="22"/>
          <w:szCs w:val="22"/>
        </w:rPr>
        <w:t>, information sharing technology,</w:t>
      </w:r>
      <w:r w:rsidRPr="0093541E">
        <w:rPr>
          <w:sz w:val="22"/>
          <w:szCs w:val="22"/>
        </w:rPr>
        <w:t xml:space="preserve"> and cyber security are well planned and aligned with the Department’s overall IT strategy and enterprise architecture</w:t>
      </w:r>
      <w:r>
        <w:rPr>
          <w:sz w:val="22"/>
          <w:szCs w:val="22"/>
        </w:rPr>
        <w:t>.  I</w:t>
      </w:r>
      <w:r w:rsidRPr="0093541E">
        <w:rPr>
          <w:sz w:val="22"/>
          <w:szCs w:val="22"/>
        </w:rPr>
        <w:t xml:space="preserve">t </w:t>
      </w:r>
      <w:r>
        <w:rPr>
          <w:sz w:val="22"/>
          <w:szCs w:val="22"/>
        </w:rPr>
        <w:t xml:space="preserve">also </w:t>
      </w:r>
      <w:r w:rsidRPr="0093541E">
        <w:rPr>
          <w:sz w:val="22"/>
          <w:szCs w:val="22"/>
        </w:rPr>
        <w:t>directly finance</w:t>
      </w:r>
      <w:r>
        <w:rPr>
          <w:sz w:val="22"/>
          <w:szCs w:val="22"/>
        </w:rPr>
        <w:t>s</w:t>
      </w:r>
      <w:r w:rsidRPr="0093541E">
        <w:rPr>
          <w:sz w:val="22"/>
          <w:szCs w:val="22"/>
        </w:rPr>
        <w:t xml:space="preserve"> certain enterprise investments in infrastructure improvements and cyber security.</w:t>
      </w:r>
    </w:p>
    <w:p w:rsidR="008967E5" w:rsidRPr="002567E4" w:rsidRDefault="008967E5" w:rsidP="00743895">
      <w:pPr>
        <w:autoSpaceDE w:val="0"/>
        <w:autoSpaceDN w:val="0"/>
        <w:adjustRightInd w:val="0"/>
        <w:ind w:left="540"/>
        <w:rPr>
          <w:color w:val="000000"/>
          <w:sz w:val="22"/>
          <w:szCs w:val="22"/>
        </w:rPr>
      </w:pPr>
    </w:p>
    <w:p w:rsidR="008967E5" w:rsidRPr="002567E4" w:rsidRDefault="008967E5" w:rsidP="00937AFA">
      <w:pPr>
        <w:autoSpaceDE w:val="0"/>
        <w:autoSpaceDN w:val="0"/>
        <w:adjustRightInd w:val="0"/>
        <w:ind w:left="763"/>
        <w:rPr>
          <w:color w:val="000000"/>
          <w:sz w:val="22"/>
          <w:szCs w:val="22"/>
        </w:rPr>
      </w:pPr>
      <w:r w:rsidRPr="002567E4">
        <w:rPr>
          <w:b/>
          <w:bCs/>
          <w:i/>
          <w:iCs/>
          <w:color w:val="000000"/>
          <w:sz w:val="22"/>
          <w:szCs w:val="22"/>
        </w:rPr>
        <w:t xml:space="preserve">Oversight of these resources and key programs </w:t>
      </w:r>
      <w:r w:rsidRPr="002567E4">
        <w:rPr>
          <w:color w:val="000000"/>
          <w:sz w:val="22"/>
          <w:szCs w:val="22"/>
        </w:rPr>
        <w:t>is critical to their success and ensuring outcomes that support the Department’s mission.</w:t>
      </w:r>
    </w:p>
    <w:p w:rsidR="008967E5" w:rsidRPr="002567E4" w:rsidRDefault="008967E5" w:rsidP="00937AFA">
      <w:pPr>
        <w:autoSpaceDE w:val="0"/>
        <w:autoSpaceDN w:val="0"/>
        <w:adjustRightInd w:val="0"/>
        <w:ind w:left="763"/>
        <w:rPr>
          <w:color w:val="000000"/>
          <w:sz w:val="22"/>
          <w:szCs w:val="22"/>
        </w:rPr>
      </w:pPr>
    </w:p>
    <w:p w:rsidR="008967E5" w:rsidRPr="002567E4" w:rsidRDefault="008967E5" w:rsidP="00937AFA">
      <w:pPr>
        <w:autoSpaceDE w:val="0"/>
        <w:autoSpaceDN w:val="0"/>
        <w:adjustRightInd w:val="0"/>
        <w:ind w:left="763"/>
        <w:rPr>
          <w:color w:val="000000"/>
          <w:sz w:val="22"/>
          <w:szCs w:val="22"/>
        </w:rPr>
      </w:pPr>
      <w:r>
        <w:rPr>
          <w:color w:val="000000"/>
          <w:sz w:val="22"/>
          <w:szCs w:val="22"/>
        </w:rPr>
        <w:t>In</w:t>
      </w:r>
      <w:r w:rsidRPr="002567E4">
        <w:rPr>
          <w:color w:val="000000"/>
          <w:sz w:val="22"/>
          <w:szCs w:val="22"/>
        </w:rPr>
        <w:t xml:space="preserve"> FY 2006, the Department established a Department IT Investment Review Board (DIRB). </w:t>
      </w:r>
      <w:r>
        <w:rPr>
          <w:color w:val="000000"/>
          <w:sz w:val="22"/>
          <w:szCs w:val="22"/>
        </w:rPr>
        <w:t>Members of the DIRB are composed of</w:t>
      </w:r>
      <w:r w:rsidRPr="002567E4">
        <w:rPr>
          <w:color w:val="000000"/>
          <w:sz w:val="22"/>
          <w:szCs w:val="22"/>
        </w:rPr>
        <w:t xml:space="preserve"> </w:t>
      </w:r>
      <w:r>
        <w:rPr>
          <w:color w:val="000000"/>
          <w:sz w:val="22"/>
          <w:szCs w:val="22"/>
        </w:rPr>
        <w:t>the</w:t>
      </w:r>
      <w:r w:rsidRPr="002567E4">
        <w:rPr>
          <w:color w:val="000000"/>
          <w:sz w:val="22"/>
          <w:szCs w:val="22"/>
        </w:rPr>
        <w:t xml:space="preserve"> </w:t>
      </w:r>
      <w:r>
        <w:rPr>
          <w:color w:val="000000"/>
          <w:sz w:val="22"/>
          <w:szCs w:val="22"/>
        </w:rPr>
        <w:t>DOJ</w:t>
      </w:r>
      <w:r w:rsidRPr="002567E4">
        <w:rPr>
          <w:color w:val="000000"/>
          <w:sz w:val="22"/>
          <w:szCs w:val="22"/>
        </w:rPr>
        <w:t xml:space="preserve"> executive officers</w:t>
      </w:r>
      <w:r>
        <w:rPr>
          <w:color w:val="000000"/>
          <w:sz w:val="22"/>
          <w:szCs w:val="22"/>
        </w:rPr>
        <w:t>,</w:t>
      </w:r>
      <w:r w:rsidRPr="002567E4">
        <w:rPr>
          <w:color w:val="000000"/>
          <w:sz w:val="22"/>
          <w:szCs w:val="22"/>
        </w:rPr>
        <w:t xml:space="preserve"> augmented by non-voting DOJ representatives and component members. The Deputy Attorney General (DAG) chairs the board</w:t>
      </w:r>
      <w:r>
        <w:rPr>
          <w:color w:val="000000"/>
          <w:sz w:val="22"/>
          <w:szCs w:val="22"/>
        </w:rPr>
        <w:t>,</w:t>
      </w:r>
      <w:r w:rsidRPr="002567E4">
        <w:rPr>
          <w:color w:val="000000"/>
          <w:sz w:val="22"/>
          <w:szCs w:val="22"/>
        </w:rPr>
        <w:t xml:space="preserve"> and the DOJ CIO serves as vice chair. The DIRB is composed primarily of members with IT subject matter and financial management expertise, thereby providing complementary perspectives on the best use of resources to improve the management of </w:t>
      </w:r>
      <w:r>
        <w:rPr>
          <w:color w:val="000000"/>
          <w:sz w:val="22"/>
          <w:szCs w:val="22"/>
        </w:rPr>
        <w:t xml:space="preserve">IT investments of </w:t>
      </w:r>
      <w:r w:rsidRPr="002567E4">
        <w:rPr>
          <w:color w:val="000000"/>
          <w:sz w:val="22"/>
          <w:szCs w:val="22"/>
        </w:rPr>
        <w:t>the Department.</w:t>
      </w:r>
    </w:p>
    <w:p w:rsidR="008967E5" w:rsidRPr="002567E4" w:rsidRDefault="008967E5" w:rsidP="00937AFA">
      <w:pPr>
        <w:autoSpaceDE w:val="0"/>
        <w:autoSpaceDN w:val="0"/>
        <w:adjustRightInd w:val="0"/>
        <w:ind w:left="763"/>
        <w:rPr>
          <w:color w:val="000000"/>
          <w:sz w:val="22"/>
          <w:szCs w:val="22"/>
        </w:rPr>
      </w:pPr>
    </w:p>
    <w:p w:rsidR="008967E5" w:rsidRPr="002567E4" w:rsidRDefault="008967E5" w:rsidP="00937AFA">
      <w:pPr>
        <w:autoSpaceDE w:val="0"/>
        <w:autoSpaceDN w:val="0"/>
        <w:adjustRightInd w:val="0"/>
        <w:ind w:left="763"/>
        <w:rPr>
          <w:color w:val="000000"/>
          <w:sz w:val="22"/>
          <w:szCs w:val="22"/>
        </w:rPr>
      </w:pPr>
      <w:r w:rsidRPr="002567E4">
        <w:rPr>
          <w:color w:val="000000"/>
          <w:sz w:val="22"/>
          <w:szCs w:val="22"/>
        </w:rPr>
        <w:t>The DIRB provides the highest level of investment oversight as part of the Department’s overall IT investment management process. The Department’s IT investments are vetted annually through the budget submission process</w:t>
      </w:r>
      <w:r>
        <w:rPr>
          <w:color w:val="000000"/>
          <w:sz w:val="22"/>
          <w:szCs w:val="22"/>
        </w:rPr>
        <w:t>,</w:t>
      </w:r>
      <w:r w:rsidRPr="002567E4">
        <w:rPr>
          <w:color w:val="000000"/>
          <w:sz w:val="22"/>
          <w:szCs w:val="22"/>
        </w:rPr>
        <w:t xml:space="preserve"> in conjunction with each component’s Information Technology Investment Management (ITIM) process. Of the hundreds of projects that are funded annually across the Department, approximately a dozen are selected each year for DIRB review based on the size of their budget and/or their strategic importance to </w:t>
      </w:r>
      <w:r>
        <w:rPr>
          <w:color w:val="000000"/>
          <w:sz w:val="22"/>
          <w:szCs w:val="22"/>
        </w:rPr>
        <w:t xml:space="preserve">the </w:t>
      </w:r>
      <w:r w:rsidRPr="002567E4">
        <w:rPr>
          <w:color w:val="000000"/>
          <w:sz w:val="22"/>
          <w:szCs w:val="22"/>
        </w:rPr>
        <w:t>Department</w:t>
      </w:r>
      <w:r>
        <w:rPr>
          <w:color w:val="000000"/>
          <w:sz w:val="22"/>
          <w:szCs w:val="22"/>
        </w:rPr>
        <w:t xml:space="preserve">’s missions.  </w:t>
      </w:r>
      <w:r w:rsidRPr="002567E4">
        <w:rPr>
          <w:color w:val="000000"/>
          <w:sz w:val="22"/>
          <w:szCs w:val="22"/>
        </w:rPr>
        <w:t>The DIRB’s principal functions in fulfilling its decision-making responsibilities are to:</w:t>
      </w:r>
    </w:p>
    <w:p w:rsidR="008967E5" w:rsidRPr="002567E4" w:rsidRDefault="008967E5" w:rsidP="00937AFA">
      <w:pPr>
        <w:autoSpaceDE w:val="0"/>
        <w:autoSpaceDN w:val="0"/>
        <w:adjustRightInd w:val="0"/>
        <w:ind w:left="763"/>
        <w:rPr>
          <w:color w:val="000000"/>
          <w:sz w:val="22"/>
          <w:szCs w:val="22"/>
        </w:rPr>
      </w:pPr>
    </w:p>
    <w:p w:rsidR="008967E5" w:rsidRPr="002567E4" w:rsidRDefault="008967E5" w:rsidP="00A74152">
      <w:pPr>
        <w:numPr>
          <w:ilvl w:val="0"/>
          <w:numId w:val="18"/>
        </w:numPr>
        <w:autoSpaceDE w:val="0"/>
        <w:autoSpaceDN w:val="0"/>
        <w:adjustRightInd w:val="0"/>
        <w:ind w:left="1440"/>
        <w:rPr>
          <w:color w:val="000000"/>
          <w:sz w:val="22"/>
          <w:szCs w:val="22"/>
        </w:rPr>
      </w:pPr>
      <w:r>
        <w:rPr>
          <w:color w:val="000000"/>
          <w:sz w:val="22"/>
          <w:szCs w:val="22"/>
        </w:rPr>
        <w:t xml:space="preserve">   </w:t>
      </w:r>
      <w:r w:rsidRPr="002567E4">
        <w:rPr>
          <w:color w:val="000000"/>
          <w:sz w:val="22"/>
          <w:szCs w:val="22"/>
        </w:rPr>
        <w:t>Ensure compliance with the Clinger-Cohen Act and all other applicable laws, rules, and regulations regarding infor</w:t>
      </w:r>
      <w:r>
        <w:rPr>
          <w:color w:val="000000"/>
          <w:sz w:val="22"/>
          <w:szCs w:val="22"/>
        </w:rPr>
        <w:t>mation resources management,</w:t>
      </w:r>
    </w:p>
    <w:p w:rsidR="008967E5" w:rsidRPr="002567E4" w:rsidRDefault="008967E5" w:rsidP="00A74152">
      <w:pPr>
        <w:numPr>
          <w:ilvl w:val="0"/>
          <w:numId w:val="18"/>
        </w:numPr>
        <w:autoSpaceDE w:val="0"/>
        <w:autoSpaceDN w:val="0"/>
        <w:adjustRightInd w:val="0"/>
        <w:ind w:left="1440"/>
        <w:rPr>
          <w:color w:val="000000"/>
          <w:sz w:val="22"/>
          <w:szCs w:val="22"/>
        </w:rPr>
      </w:pPr>
      <w:r>
        <w:rPr>
          <w:color w:val="000000"/>
          <w:sz w:val="22"/>
          <w:szCs w:val="22"/>
        </w:rPr>
        <w:t xml:space="preserve">   </w:t>
      </w:r>
      <w:r w:rsidRPr="002567E4">
        <w:rPr>
          <w:color w:val="000000"/>
          <w:sz w:val="22"/>
          <w:szCs w:val="22"/>
        </w:rPr>
        <w:t>Monitor the Department’s most important IT investments throughout their project lifecycle to ensure goals are met and the expected ret</w:t>
      </w:r>
      <w:r>
        <w:rPr>
          <w:color w:val="000000"/>
          <w:sz w:val="22"/>
          <w:szCs w:val="22"/>
        </w:rPr>
        <w:t>urns on investment are achieved,</w:t>
      </w:r>
    </w:p>
    <w:p w:rsidR="008967E5" w:rsidRPr="002567E4" w:rsidRDefault="008967E5" w:rsidP="00A74152">
      <w:pPr>
        <w:numPr>
          <w:ilvl w:val="0"/>
          <w:numId w:val="18"/>
        </w:numPr>
        <w:autoSpaceDE w:val="0"/>
        <w:autoSpaceDN w:val="0"/>
        <w:adjustRightInd w:val="0"/>
        <w:ind w:left="1440"/>
        <w:rPr>
          <w:color w:val="000000"/>
          <w:sz w:val="22"/>
          <w:szCs w:val="22"/>
        </w:rPr>
      </w:pPr>
      <w:r>
        <w:rPr>
          <w:color w:val="000000"/>
          <w:sz w:val="22"/>
          <w:szCs w:val="22"/>
        </w:rPr>
        <w:t xml:space="preserve">   </w:t>
      </w:r>
      <w:r w:rsidRPr="002567E4">
        <w:rPr>
          <w:color w:val="000000"/>
          <w:sz w:val="22"/>
          <w:szCs w:val="22"/>
        </w:rPr>
        <w:t>Ensure each project under review has established effective budget, schedule, operational, performance, and security metrics that support the achiev</w:t>
      </w:r>
      <w:r>
        <w:rPr>
          <w:color w:val="000000"/>
          <w:sz w:val="22"/>
          <w:szCs w:val="22"/>
        </w:rPr>
        <w:t>ement of key project milestones,</w:t>
      </w:r>
    </w:p>
    <w:p w:rsidR="008967E5" w:rsidRPr="002567E4" w:rsidRDefault="008967E5" w:rsidP="00A74152">
      <w:pPr>
        <w:numPr>
          <w:ilvl w:val="0"/>
          <w:numId w:val="18"/>
        </w:numPr>
        <w:autoSpaceDE w:val="0"/>
        <w:autoSpaceDN w:val="0"/>
        <w:adjustRightInd w:val="0"/>
        <w:ind w:left="1440"/>
        <w:rPr>
          <w:color w:val="000000"/>
          <w:sz w:val="22"/>
          <w:szCs w:val="22"/>
        </w:rPr>
      </w:pPr>
      <w:r>
        <w:rPr>
          <w:color w:val="000000"/>
          <w:sz w:val="22"/>
          <w:szCs w:val="22"/>
        </w:rPr>
        <w:lastRenderedPageBreak/>
        <w:t xml:space="preserve">   </w:t>
      </w:r>
      <w:r w:rsidRPr="002567E4">
        <w:rPr>
          <w:color w:val="000000"/>
          <w:sz w:val="22"/>
          <w:szCs w:val="22"/>
        </w:rPr>
        <w:t>Review the recommendations and issues raised by the components</w:t>
      </w:r>
      <w:r>
        <w:rPr>
          <w:color w:val="000000"/>
          <w:sz w:val="22"/>
          <w:szCs w:val="22"/>
        </w:rPr>
        <w:t>’ IT investment management process,</w:t>
      </w:r>
    </w:p>
    <w:p w:rsidR="008967E5" w:rsidRPr="002567E4" w:rsidRDefault="008967E5" w:rsidP="00A74152">
      <w:pPr>
        <w:numPr>
          <w:ilvl w:val="0"/>
          <w:numId w:val="18"/>
        </w:numPr>
        <w:autoSpaceDE w:val="0"/>
        <w:autoSpaceDN w:val="0"/>
        <w:adjustRightInd w:val="0"/>
        <w:ind w:left="1440"/>
        <w:rPr>
          <w:color w:val="000000"/>
          <w:sz w:val="22"/>
          <w:szCs w:val="22"/>
        </w:rPr>
      </w:pPr>
      <w:r>
        <w:rPr>
          <w:color w:val="000000"/>
          <w:sz w:val="22"/>
          <w:szCs w:val="22"/>
        </w:rPr>
        <w:t xml:space="preserve">   </w:t>
      </w:r>
      <w:r w:rsidRPr="002567E4">
        <w:rPr>
          <w:color w:val="000000"/>
          <w:sz w:val="22"/>
          <w:szCs w:val="22"/>
        </w:rPr>
        <w:t xml:space="preserve">Review annually each component’s IT investment portfolio, including business cases for new investments, to </w:t>
      </w:r>
      <w:r>
        <w:rPr>
          <w:color w:val="000000"/>
          <w:sz w:val="22"/>
          <w:szCs w:val="22"/>
        </w:rPr>
        <w:t xml:space="preserve">enable </w:t>
      </w:r>
      <w:r w:rsidRPr="002567E4">
        <w:rPr>
          <w:color w:val="000000"/>
          <w:sz w:val="22"/>
          <w:szCs w:val="22"/>
        </w:rPr>
        <w:t>inform</w:t>
      </w:r>
      <w:r>
        <w:rPr>
          <w:color w:val="000000"/>
          <w:sz w:val="22"/>
          <w:szCs w:val="22"/>
        </w:rPr>
        <w:t>ed</w:t>
      </w:r>
      <w:r w:rsidRPr="002567E4">
        <w:rPr>
          <w:color w:val="000000"/>
          <w:sz w:val="22"/>
          <w:szCs w:val="22"/>
        </w:rPr>
        <w:t xml:space="preserve"> depa</w:t>
      </w:r>
      <w:r>
        <w:rPr>
          <w:color w:val="000000"/>
          <w:sz w:val="22"/>
          <w:szCs w:val="22"/>
        </w:rPr>
        <w:t>rtmental IT portfolio decisions,</w:t>
      </w:r>
    </w:p>
    <w:p w:rsidR="008967E5" w:rsidRPr="002567E4" w:rsidRDefault="008967E5" w:rsidP="00A74152">
      <w:pPr>
        <w:numPr>
          <w:ilvl w:val="0"/>
          <w:numId w:val="18"/>
        </w:numPr>
        <w:autoSpaceDE w:val="0"/>
        <w:autoSpaceDN w:val="0"/>
        <w:adjustRightInd w:val="0"/>
        <w:ind w:left="1440"/>
        <w:rPr>
          <w:color w:val="000000"/>
          <w:sz w:val="22"/>
          <w:szCs w:val="22"/>
        </w:rPr>
      </w:pPr>
      <w:r>
        <w:rPr>
          <w:color w:val="000000"/>
          <w:sz w:val="22"/>
          <w:szCs w:val="22"/>
        </w:rPr>
        <w:t xml:space="preserve">   </w:t>
      </w:r>
      <w:r w:rsidRPr="002567E4">
        <w:rPr>
          <w:color w:val="000000"/>
          <w:sz w:val="22"/>
          <w:szCs w:val="22"/>
        </w:rPr>
        <w:t>Develop and implement decision-making processes that are consistent with the purposes of the DIRB, and with applicable Congressional and O</w:t>
      </w:r>
      <w:r>
        <w:rPr>
          <w:color w:val="000000"/>
          <w:sz w:val="22"/>
          <w:szCs w:val="22"/>
        </w:rPr>
        <w:t>MB guidelines for selecting, monitoring, and evaluating</w:t>
      </w:r>
      <w:r w:rsidRPr="002567E4">
        <w:rPr>
          <w:color w:val="000000"/>
          <w:sz w:val="22"/>
          <w:szCs w:val="22"/>
        </w:rPr>
        <w:t xml:space="preserve"> information system investments (these processes shall be designed to ensure that the DIRB’s decisions are consistent, valid, and actionable, support the Department’s business needs and processes, align with the Department’s strategic goals and objectives, comply with enterprise architecture, and consider the delivery of a modernized IT infrastructure and efficient, effect</w:t>
      </w:r>
      <w:r>
        <w:rPr>
          <w:color w:val="000000"/>
          <w:sz w:val="22"/>
          <w:szCs w:val="22"/>
        </w:rPr>
        <w:t>ive services as a driving goal),</w:t>
      </w:r>
      <w:r w:rsidRPr="002567E4">
        <w:rPr>
          <w:color w:val="000000"/>
          <w:sz w:val="22"/>
          <w:szCs w:val="22"/>
        </w:rPr>
        <w:t xml:space="preserve"> and</w:t>
      </w:r>
    </w:p>
    <w:p w:rsidR="008967E5" w:rsidRPr="002567E4" w:rsidRDefault="008967E5" w:rsidP="00A74152">
      <w:pPr>
        <w:numPr>
          <w:ilvl w:val="0"/>
          <w:numId w:val="18"/>
        </w:numPr>
        <w:autoSpaceDE w:val="0"/>
        <w:autoSpaceDN w:val="0"/>
        <w:adjustRightInd w:val="0"/>
        <w:ind w:left="1440"/>
        <w:rPr>
          <w:color w:val="000000"/>
          <w:sz w:val="22"/>
          <w:szCs w:val="22"/>
        </w:rPr>
      </w:pPr>
      <w:r>
        <w:rPr>
          <w:color w:val="000000"/>
          <w:sz w:val="22"/>
          <w:szCs w:val="22"/>
        </w:rPr>
        <w:t xml:space="preserve">   </w:t>
      </w:r>
      <w:r w:rsidRPr="002567E4">
        <w:rPr>
          <w:color w:val="000000"/>
          <w:sz w:val="22"/>
          <w:szCs w:val="22"/>
        </w:rPr>
        <w:t>E</w:t>
      </w:r>
      <w:r>
        <w:rPr>
          <w:color w:val="000000"/>
          <w:sz w:val="22"/>
          <w:szCs w:val="22"/>
        </w:rPr>
        <w:t xml:space="preserve">stablish a communication </w:t>
      </w:r>
      <w:r w:rsidRPr="002567E4">
        <w:rPr>
          <w:color w:val="000000"/>
          <w:sz w:val="22"/>
          <w:szCs w:val="22"/>
        </w:rPr>
        <w:t>plan that conveys DIRB actions and progress against the Department’s identified process</w:t>
      </w:r>
      <w:r>
        <w:rPr>
          <w:color w:val="000000"/>
          <w:sz w:val="22"/>
          <w:szCs w:val="22"/>
        </w:rPr>
        <w:t>es</w:t>
      </w:r>
      <w:r w:rsidRPr="002567E4">
        <w:rPr>
          <w:color w:val="000000"/>
          <w:sz w:val="22"/>
          <w:szCs w:val="22"/>
        </w:rPr>
        <w:t xml:space="preserve"> and goals.</w:t>
      </w:r>
    </w:p>
    <w:p w:rsidR="008967E5" w:rsidRPr="002567E4" w:rsidRDefault="008967E5" w:rsidP="00937AFA">
      <w:pPr>
        <w:autoSpaceDE w:val="0"/>
        <w:autoSpaceDN w:val="0"/>
        <w:adjustRightInd w:val="0"/>
        <w:ind w:left="763"/>
        <w:rPr>
          <w:color w:val="000000"/>
          <w:sz w:val="22"/>
          <w:szCs w:val="22"/>
        </w:rPr>
      </w:pPr>
    </w:p>
    <w:p w:rsidR="008967E5" w:rsidRPr="002567E4" w:rsidRDefault="008967E5" w:rsidP="00937AFA">
      <w:pPr>
        <w:autoSpaceDE w:val="0"/>
        <w:autoSpaceDN w:val="0"/>
        <w:adjustRightInd w:val="0"/>
        <w:ind w:left="763"/>
        <w:rPr>
          <w:color w:val="000000"/>
          <w:sz w:val="22"/>
          <w:szCs w:val="22"/>
        </w:rPr>
      </w:pPr>
      <w:r w:rsidRPr="002567E4">
        <w:rPr>
          <w:color w:val="000000"/>
          <w:sz w:val="22"/>
          <w:szCs w:val="22"/>
        </w:rPr>
        <w:t>In addition to the DIRB, the Department has established an IT Dashboard that allows management to review various aspects of major initiatives across the Department.  The Dashboard is considered another oversight tool since all projects cannot be reviewed by the DIRB. The dashboard includes Earned Value Management System (EVMS) reporting</w:t>
      </w:r>
      <w:r>
        <w:rPr>
          <w:color w:val="000000"/>
          <w:sz w:val="22"/>
          <w:szCs w:val="22"/>
        </w:rPr>
        <w:t>,</w:t>
      </w:r>
      <w:r w:rsidRPr="002567E4">
        <w:rPr>
          <w:color w:val="000000"/>
          <w:sz w:val="22"/>
          <w:szCs w:val="22"/>
        </w:rPr>
        <w:t xml:space="preserve"> to ensure projects are evaluated against acceptable variances for scope, schedule</w:t>
      </w:r>
      <w:r>
        <w:rPr>
          <w:color w:val="000000"/>
          <w:sz w:val="22"/>
          <w:szCs w:val="22"/>
        </w:rPr>
        <w:t>,</w:t>
      </w:r>
      <w:r w:rsidRPr="002567E4">
        <w:rPr>
          <w:color w:val="000000"/>
          <w:sz w:val="22"/>
          <w:szCs w:val="22"/>
        </w:rPr>
        <w:t xml:space="preserve"> and costs. Risk analysis and project funding information are also available in this tool.  T</w:t>
      </w:r>
      <w:r w:rsidRPr="002567E4">
        <w:rPr>
          <w:sz w:val="22"/>
          <w:szCs w:val="22"/>
        </w:rPr>
        <w:t xml:space="preserve">his allows the Department’s CIO and senior management team to have </w:t>
      </w:r>
      <w:r>
        <w:rPr>
          <w:sz w:val="22"/>
          <w:szCs w:val="22"/>
        </w:rPr>
        <w:t xml:space="preserve">timely </w:t>
      </w:r>
      <w:r w:rsidRPr="002567E4">
        <w:rPr>
          <w:sz w:val="22"/>
          <w:szCs w:val="22"/>
        </w:rPr>
        <w:t>access to project information via the web.</w:t>
      </w:r>
    </w:p>
    <w:p w:rsidR="008967E5" w:rsidRPr="002567E4" w:rsidRDefault="008967E5">
      <w:pPr>
        <w:pStyle w:val="BodyText"/>
        <w:rPr>
          <w:sz w:val="22"/>
          <w:szCs w:val="22"/>
        </w:rPr>
      </w:pPr>
    </w:p>
    <w:p w:rsidR="008967E5" w:rsidRDefault="008967E5" w:rsidP="00FA5382">
      <w:pPr>
        <w:pStyle w:val="BodyText"/>
        <w:ind w:left="432"/>
        <w:rPr>
          <w:b/>
          <w:sz w:val="22"/>
          <w:szCs w:val="22"/>
        </w:rPr>
      </w:pPr>
    </w:p>
    <w:p w:rsidR="008967E5" w:rsidRPr="00601FF7" w:rsidRDefault="008967E5" w:rsidP="00937AFA">
      <w:pPr>
        <w:pStyle w:val="BodyText"/>
        <w:ind w:left="432"/>
        <w:rPr>
          <w:b/>
        </w:rPr>
      </w:pPr>
      <w:r>
        <w:rPr>
          <w:b/>
        </w:rPr>
        <w:t>b</w:t>
      </w:r>
      <w:r w:rsidRPr="00601FF7">
        <w:rPr>
          <w:b/>
        </w:rPr>
        <w:t>.</w:t>
      </w:r>
      <w:r w:rsidRPr="00601FF7">
        <w:rPr>
          <w:b/>
        </w:rPr>
        <w:tab/>
        <w:t xml:space="preserve">  Strategies to Accomplish Outcomes</w:t>
      </w:r>
    </w:p>
    <w:p w:rsidR="008967E5" w:rsidRPr="002567E4" w:rsidRDefault="008967E5">
      <w:pPr>
        <w:pStyle w:val="BodyText"/>
        <w:rPr>
          <w:sz w:val="22"/>
          <w:szCs w:val="22"/>
        </w:rPr>
      </w:pPr>
    </w:p>
    <w:p w:rsidR="008967E5" w:rsidRPr="002567E4" w:rsidRDefault="008967E5" w:rsidP="00937AFA">
      <w:pPr>
        <w:autoSpaceDE w:val="0"/>
        <w:autoSpaceDN w:val="0"/>
        <w:adjustRightInd w:val="0"/>
        <w:ind w:left="763"/>
        <w:rPr>
          <w:color w:val="000000"/>
          <w:sz w:val="22"/>
          <w:szCs w:val="22"/>
        </w:rPr>
      </w:pPr>
      <w:r>
        <w:rPr>
          <w:color w:val="000000"/>
          <w:sz w:val="22"/>
          <w:szCs w:val="22"/>
        </w:rPr>
        <w:t>Specific</w:t>
      </w:r>
      <w:r w:rsidRPr="002567E4">
        <w:rPr>
          <w:color w:val="000000"/>
          <w:sz w:val="22"/>
          <w:szCs w:val="22"/>
        </w:rPr>
        <w:t xml:space="preserve"> mission critical IT infrastructure investments are designed, engineered</w:t>
      </w:r>
      <w:r>
        <w:rPr>
          <w:color w:val="000000"/>
          <w:sz w:val="22"/>
          <w:szCs w:val="22"/>
        </w:rPr>
        <w:t>,</w:t>
      </w:r>
      <w:r w:rsidRPr="002567E4">
        <w:rPr>
          <w:color w:val="000000"/>
          <w:sz w:val="22"/>
          <w:szCs w:val="22"/>
        </w:rPr>
        <w:t xml:space="preserve"> and deployed with JIST resources.</w:t>
      </w:r>
    </w:p>
    <w:p w:rsidR="008967E5" w:rsidRPr="002567E4" w:rsidRDefault="008967E5" w:rsidP="00937AFA">
      <w:pPr>
        <w:autoSpaceDE w:val="0"/>
        <w:autoSpaceDN w:val="0"/>
        <w:adjustRightInd w:val="0"/>
        <w:ind w:left="763"/>
        <w:rPr>
          <w:color w:val="000000"/>
          <w:sz w:val="22"/>
          <w:szCs w:val="22"/>
        </w:rPr>
      </w:pPr>
    </w:p>
    <w:p w:rsidR="008967E5" w:rsidRDefault="008967E5" w:rsidP="00A74152">
      <w:pPr>
        <w:numPr>
          <w:ilvl w:val="0"/>
          <w:numId w:val="26"/>
        </w:numPr>
        <w:autoSpaceDE w:val="0"/>
        <w:autoSpaceDN w:val="0"/>
        <w:adjustRightInd w:val="0"/>
        <w:rPr>
          <w:color w:val="000000"/>
          <w:sz w:val="22"/>
          <w:szCs w:val="22"/>
        </w:rPr>
      </w:pPr>
      <w:r w:rsidRPr="002567E4">
        <w:rPr>
          <w:color w:val="000000"/>
          <w:sz w:val="22"/>
          <w:szCs w:val="22"/>
        </w:rPr>
        <w:t xml:space="preserve">The </w:t>
      </w:r>
      <w:r>
        <w:rPr>
          <w:color w:val="000000"/>
          <w:sz w:val="22"/>
          <w:szCs w:val="22"/>
        </w:rPr>
        <w:t xml:space="preserve">complementary JSOC and CSP programs </w:t>
      </w:r>
      <w:r w:rsidRPr="002567E4">
        <w:rPr>
          <w:color w:val="000000"/>
          <w:sz w:val="22"/>
          <w:szCs w:val="22"/>
        </w:rPr>
        <w:t>provide for the implementation and maintenance of an enterprise-wide security architecture to reduce the number of Internet access points and deploy a</w:t>
      </w:r>
      <w:r>
        <w:rPr>
          <w:color w:val="000000"/>
          <w:sz w:val="22"/>
          <w:szCs w:val="22"/>
        </w:rPr>
        <w:t xml:space="preserve">n in-depth </w:t>
      </w:r>
      <w:r w:rsidRPr="002567E4">
        <w:rPr>
          <w:color w:val="000000"/>
          <w:sz w:val="22"/>
          <w:szCs w:val="22"/>
        </w:rPr>
        <w:t>cyber attack defense strategy to lessen the effectiveness and im</w:t>
      </w:r>
      <w:r>
        <w:rPr>
          <w:color w:val="000000"/>
          <w:sz w:val="22"/>
          <w:szCs w:val="22"/>
        </w:rPr>
        <w:t xml:space="preserve">pact of external cyber attacks, </w:t>
      </w:r>
      <w:r w:rsidRPr="002567E4">
        <w:rPr>
          <w:color w:val="000000"/>
          <w:sz w:val="22"/>
          <w:szCs w:val="22"/>
        </w:rPr>
        <w:t>with the capability to conduct end-to-end monitoring of data traffic flows and to take defensive actions when and where necessary</w:t>
      </w:r>
      <w:r>
        <w:rPr>
          <w:color w:val="000000"/>
          <w:sz w:val="22"/>
          <w:szCs w:val="22"/>
        </w:rPr>
        <w:t>.</w:t>
      </w:r>
    </w:p>
    <w:p w:rsidR="008967E5" w:rsidRDefault="008967E5" w:rsidP="00A74152">
      <w:pPr>
        <w:numPr>
          <w:ilvl w:val="0"/>
          <w:numId w:val="26"/>
        </w:numPr>
        <w:autoSpaceDE w:val="0"/>
        <w:autoSpaceDN w:val="0"/>
        <w:adjustRightInd w:val="0"/>
        <w:rPr>
          <w:color w:val="000000"/>
          <w:sz w:val="22"/>
          <w:szCs w:val="22"/>
        </w:rPr>
      </w:pPr>
      <w:r w:rsidRPr="002567E4">
        <w:rPr>
          <w:color w:val="000000"/>
          <w:sz w:val="22"/>
          <w:szCs w:val="22"/>
        </w:rPr>
        <w:lastRenderedPageBreak/>
        <w:t>LEISP creates the core law enforcement information sharing services that will allow information to be routinely exchanged between agencies and their systems.  Its objectives are to</w:t>
      </w:r>
      <w:r>
        <w:rPr>
          <w:color w:val="000000"/>
          <w:sz w:val="22"/>
          <w:szCs w:val="22"/>
        </w:rPr>
        <w:t>:</w:t>
      </w:r>
    </w:p>
    <w:p w:rsidR="008967E5" w:rsidRDefault="008967E5" w:rsidP="00B923C8">
      <w:pPr>
        <w:autoSpaceDE w:val="0"/>
        <w:autoSpaceDN w:val="0"/>
        <w:adjustRightInd w:val="0"/>
        <w:ind w:left="1382" w:hanging="360"/>
        <w:rPr>
          <w:color w:val="000000"/>
          <w:sz w:val="22"/>
          <w:szCs w:val="22"/>
        </w:rPr>
      </w:pPr>
    </w:p>
    <w:p w:rsidR="008967E5" w:rsidRPr="002567E4" w:rsidRDefault="008967E5" w:rsidP="00A74152">
      <w:pPr>
        <w:numPr>
          <w:ilvl w:val="1"/>
          <w:numId w:val="31"/>
        </w:numPr>
        <w:autoSpaceDE w:val="0"/>
        <w:autoSpaceDN w:val="0"/>
        <w:adjustRightInd w:val="0"/>
        <w:rPr>
          <w:color w:val="000000"/>
          <w:sz w:val="22"/>
          <w:szCs w:val="22"/>
        </w:rPr>
      </w:pPr>
      <w:r>
        <w:rPr>
          <w:color w:val="000000"/>
          <w:sz w:val="22"/>
          <w:szCs w:val="22"/>
        </w:rPr>
        <w:t>I</w:t>
      </w:r>
      <w:r w:rsidRPr="002567E4">
        <w:rPr>
          <w:color w:val="000000"/>
          <w:sz w:val="22"/>
          <w:szCs w:val="22"/>
        </w:rPr>
        <w:t>ntegrate several existing or newly initiated DOJ funded information sharing systems</w:t>
      </w:r>
      <w:r>
        <w:rPr>
          <w:color w:val="000000"/>
          <w:sz w:val="22"/>
          <w:szCs w:val="22"/>
        </w:rPr>
        <w:t>,</w:t>
      </w:r>
    </w:p>
    <w:p w:rsidR="008967E5" w:rsidRPr="002567E4" w:rsidRDefault="008967E5" w:rsidP="00A74152">
      <w:pPr>
        <w:numPr>
          <w:ilvl w:val="1"/>
          <w:numId w:val="31"/>
        </w:numPr>
        <w:autoSpaceDE w:val="0"/>
        <w:autoSpaceDN w:val="0"/>
        <w:adjustRightInd w:val="0"/>
        <w:rPr>
          <w:color w:val="000000"/>
          <w:sz w:val="22"/>
          <w:szCs w:val="22"/>
        </w:rPr>
      </w:pPr>
      <w:r w:rsidRPr="002567E4">
        <w:rPr>
          <w:color w:val="000000"/>
          <w:sz w:val="22"/>
          <w:szCs w:val="22"/>
        </w:rPr>
        <w:t>Direct the integration and support the timely completion of ongoing projects by infusing project coordination guidance, technology direction, and project oversight from the Office of the CIO</w:t>
      </w:r>
      <w:r>
        <w:rPr>
          <w:color w:val="000000"/>
          <w:sz w:val="22"/>
          <w:szCs w:val="22"/>
        </w:rPr>
        <w:t>,</w:t>
      </w:r>
    </w:p>
    <w:p w:rsidR="008967E5" w:rsidRPr="002567E4" w:rsidRDefault="008967E5" w:rsidP="00A74152">
      <w:pPr>
        <w:numPr>
          <w:ilvl w:val="1"/>
          <w:numId w:val="31"/>
        </w:numPr>
        <w:autoSpaceDE w:val="0"/>
        <w:autoSpaceDN w:val="0"/>
        <w:adjustRightInd w:val="0"/>
        <w:rPr>
          <w:color w:val="000000"/>
          <w:sz w:val="22"/>
          <w:szCs w:val="22"/>
        </w:rPr>
      </w:pPr>
      <w:r w:rsidRPr="002567E4">
        <w:rPr>
          <w:color w:val="000000"/>
          <w:sz w:val="22"/>
          <w:szCs w:val="22"/>
        </w:rPr>
        <w:t>Provide access to other federal, state</w:t>
      </w:r>
      <w:r>
        <w:rPr>
          <w:color w:val="000000"/>
          <w:sz w:val="22"/>
          <w:szCs w:val="22"/>
        </w:rPr>
        <w:t>,</w:t>
      </w:r>
      <w:r w:rsidRPr="002567E4">
        <w:rPr>
          <w:color w:val="000000"/>
          <w:sz w:val="22"/>
          <w:szCs w:val="22"/>
        </w:rPr>
        <w:t xml:space="preserve"> and local agency communications infrastructure to exchange law enforcement information. This will be achieved by connecting (or enhancing existing connections) between DOJ networks (JUTNET, CJIS</w:t>
      </w:r>
      <w:r>
        <w:rPr>
          <w:color w:val="000000"/>
          <w:sz w:val="22"/>
          <w:szCs w:val="22"/>
        </w:rPr>
        <w:t>,</w:t>
      </w:r>
      <w:r w:rsidRPr="002567E4">
        <w:rPr>
          <w:color w:val="000000"/>
          <w:sz w:val="22"/>
          <w:szCs w:val="22"/>
        </w:rPr>
        <w:t xml:space="preserve"> WAN, LEO) and the networks of other federal partners such as the Department of Homeland Security (DHS), as well as selected state/local networks such as the National Law Enforcement Telecommunications System (NLETS) and the Regional Information Sharing System (RISS). </w:t>
      </w:r>
    </w:p>
    <w:p w:rsidR="008967E5" w:rsidRPr="002567E4" w:rsidRDefault="008967E5" w:rsidP="00B923C8">
      <w:pPr>
        <w:autoSpaceDE w:val="0"/>
        <w:autoSpaceDN w:val="0"/>
        <w:adjustRightInd w:val="0"/>
        <w:ind w:left="1382" w:hanging="360"/>
        <w:rPr>
          <w:color w:val="000000"/>
          <w:sz w:val="22"/>
          <w:szCs w:val="22"/>
        </w:rPr>
      </w:pPr>
    </w:p>
    <w:p w:rsidR="008967E5" w:rsidRDefault="008967E5" w:rsidP="00A74152">
      <w:pPr>
        <w:numPr>
          <w:ilvl w:val="0"/>
          <w:numId w:val="27"/>
        </w:numPr>
        <w:autoSpaceDE w:val="0"/>
        <w:autoSpaceDN w:val="0"/>
        <w:adjustRightInd w:val="0"/>
        <w:ind w:left="1483"/>
        <w:rPr>
          <w:color w:val="000000"/>
          <w:sz w:val="22"/>
          <w:szCs w:val="22"/>
        </w:rPr>
      </w:pPr>
      <w:r w:rsidRPr="002567E4">
        <w:rPr>
          <w:color w:val="000000"/>
          <w:sz w:val="22"/>
          <w:szCs w:val="22"/>
        </w:rPr>
        <w:t xml:space="preserve">The JCON Program is a mature infrastructure program that provides a reliable and robust common office automation platform upon which 16 of the DOJ litigating, management, and law enforcement components operate their mission-critical applications. </w:t>
      </w:r>
      <w:r>
        <w:rPr>
          <w:color w:val="000000"/>
          <w:sz w:val="22"/>
          <w:szCs w:val="22"/>
        </w:rPr>
        <w:t xml:space="preserve"> </w:t>
      </w:r>
      <w:r w:rsidRPr="002567E4">
        <w:rPr>
          <w:color w:val="000000"/>
          <w:sz w:val="22"/>
          <w:szCs w:val="22"/>
        </w:rPr>
        <w:t>JCON centrally funds and</w:t>
      </w:r>
      <w:r>
        <w:rPr>
          <w:color w:val="000000"/>
          <w:sz w:val="22"/>
          <w:szCs w:val="22"/>
        </w:rPr>
        <w:t xml:space="preserve"> manages the planning, acquiring, and implementing of a </w:t>
      </w:r>
      <w:r w:rsidRPr="002567E4">
        <w:rPr>
          <w:color w:val="000000"/>
          <w:sz w:val="22"/>
          <w:szCs w:val="22"/>
        </w:rPr>
        <w:t>commercial-off-the-shelf (COTS) product-based office automation solution for participating components across the Department.</w:t>
      </w:r>
    </w:p>
    <w:p w:rsidR="008967E5" w:rsidRDefault="008967E5" w:rsidP="00A74152">
      <w:pPr>
        <w:numPr>
          <w:ilvl w:val="0"/>
          <w:numId w:val="27"/>
        </w:numPr>
        <w:autoSpaceDE w:val="0"/>
        <w:autoSpaceDN w:val="0"/>
        <w:adjustRightInd w:val="0"/>
        <w:ind w:left="1483"/>
        <w:rPr>
          <w:color w:val="000000"/>
          <w:sz w:val="22"/>
          <w:szCs w:val="22"/>
        </w:rPr>
      </w:pPr>
      <w:r w:rsidRPr="002567E4">
        <w:rPr>
          <w:color w:val="000000"/>
          <w:sz w:val="22"/>
          <w:szCs w:val="22"/>
        </w:rPr>
        <w:t>JABS is a nationwide automated booking system for DOJ law enforcement agencies and serves as the information sharing system that</w:t>
      </w:r>
      <w:r>
        <w:rPr>
          <w:color w:val="000000"/>
          <w:sz w:val="22"/>
          <w:szCs w:val="22"/>
        </w:rPr>
        <w:t xml:space="preserve"> eliminated</w:t>
      </w:r>
      <w:r w:rsidRPr="002567E4">
        <w:rPr>
          <w:color w:val="000000"/>
          <w:sz w:val="22"/>
          <w:szCs w:val="22"/>
        </w:rPr>
        <w:t xml:space="preserve"> redundant successive bookings, and established a federal offender tracking system by enabling agencies to share and exchange booking information</w:t>
      </w:r>
      <w:r w:rsidRPr="002567E4">
        <w:rPr>
          <w:sz w:val="22"/>
          <w:szCs w:val="22"/>
        </w:rPr>
        <w:t>.  It is the Department</w:t>
      </w:r>
      <w:r>
        <w:rPr>
          <w:sz w:val="22"/>
          <w:szCs w:val="22"/>
        </w:rPr>
        <w:t>’s</w:t>
      </w:r>
      <w:r w:rsidRPr="002567E4">
        <w:rPr>
          <w:sz w:val="22"/>
          <w:szCs w:val="22"/>
        </w:rPr>
        <w:t xml:space="preserve"> “front end” to the FBI’s Integrated Automated Fingerprint Identification System (IAFIS) </w:t>
      </w:r>
      <w:r>
        <w:rPr>
          <w:sz w:val="22"/>
          <w:szCs w:val="22"/>
        </w:rPr>
        <w:t xml:space="preserve">which provides </w:t>
      </w:r>
      <w:r w:rsidRPr="002567E4">
        <w:rPr>
          <w:sz w:val="22"/>
          <w:szCs w:val="22"/>
        </w:rPr>
        <w:t>an automated process for the collection and transmission of fingerprint, phot</w:t>
      </w:r>
      <w:r>
        <w:rPr>
          <w:sz w:val="22"/>
          <w:szCs w:val="22"/>
        </w:rPr>
        <w:t xml:space="preserve">ographic, and biographical data.  </w:t>
      </w:r>
      <w:r w:rsidRPr="002567E4">
        <w:rPr>
          <w:sz w:val="22"/>
          <w:szCs w:val="22"/>
        </w:rPr>
        <w:t>JABS enable</w:t>
      </w:r>
      <w:r>
        <w:rPr>
          <w:sz w:val="22"/>
          <w:szCs w:val="22"/>
        </w:rPr>
        <w:t xml:space="preserve">s </w:t>
      </w:r>
      <w:r w:rsidRPr="002567E4">
        <w:rPr>
          <w:sz w:val="22"/>
          <w:szCs w:val="22"/>
        </w:rPr>
        <w:t>agencies to share and exchange boo</w:t>
      </w:r>
      <w:r>
        <w:rPr>
          <w:sz w:val="22"/>
          <w:szCs w:val="22"/>
        </w:rPr>
        <w:t xml:space="preserve">king information and maintain </w:t>
      </w:r>
      <w:r w:rsidRPr="002567E4">
        <w:rPr>
          <w:sz w:val="22"/>
          <w:szCs w:val="22"/>
        </w:rPr>
        <w:t>federal offender tracking capability.</w:t>
      </w:r>
    </w:p>
    <w:p w:rsidR="008967E5" w:rsidRPr="002567E4" w:rsidRDefault="008967E5" w:rsidP="00A74152">
      <w:pPr>
        <w:numPr>
          <w:ilvl w:val="0"/>
          <w:numId w:val="27"/>
        </w:numPr>
        <w:autoSpaceDE w:val="0"/>
        <w:autoSpaceDN w:val="0"/>
        <w:adjustRightInd w:val="0"/>
        <w:ind w:left="1483"/>
        <w:rPr>
          <w:color w:val="000000"/>
          <w:sz w:val="22"/>
          <w:szCs w:val="22"/>
        </w:rPr>
      </w:pPr>
      <w:r w:rsidRPr="002B3A66">
        <w:rPr>
          <w:sz w:val="22"/>
        </w:rPr>
        <w:t>The PKI program was started by consolidating several security related initiatives.  The program develops the enterprise architecture policies, best practices and standards for HSPD-12 investment, and IT improvements across DOJ and provides planning, training, operational support</w:t>
      </w:r>
      <w:r>
        <w:rPr>
          <w:sz w:val="22"/>
        </w:rPr>
        <w:t>,</w:t>
      </w:r>
      <w:r w:rsidRPr="002B3A66">
        <w:rPr>
          <w:sz w:val="22"/>
        </w:rPr>
        <w:t xml:space="preserve"> and oversight of the Personal Identification Verification card (PIVCard) deployment process for </w:t>
      </w:r>
      <w:r w:rsidRPr="002B3A66">
        <w:rPr>
          <w:sz w:val="22"/>
        </w:rPr>
        <w:lastRenderedPageBreak/>
        <w:t xml:space="preserve">DOJ component employees and contractors.  The PIVCard contains logical elements including PKI certificates, digital photos, and fingerprint biometrics and will be used by government employees and contractors for achieving both logical and physical access to Federal controlled facilities and information systems. </w:t>
      </w:r>
    </w:p>
    <w:p w:rsidR="008967E5" w:rsidRPr="002567E4" w:rsidRDefault="008967E5" w:rsidP="00743895">
      <w:pPr>
        <w:pStyle w:val="BodyText"/>
        <w:ind w:left="540"/>
        <w:rPr>
          <w:sz w:val="22"/>
          <w:szCs w:val="22"/>
        </w:rPr>
      </w:pPr>
    </w:p>
    <w:p w:rsidR="008967E5" w:rsidRPr="002567E4" w:rsidRDefault="008967E5" w:rsidP="00FA5382">
      <w:pPr>
        <w:pStyle w:val="BodyText"/>
        <w:ind w:left="432"/>
        <w:rPr>
          <w:b/>
          <w:bCs/>
          <w:sz w:val="22"/>
          <w:szCs w:val="22"/>
        </w:rPr>
      </w:pPr>
      <w:r>
        <w:rPr>
          <w:b/>
          <w:bCs/>
        </w:rPr>
        <w:t>c</w:t>
      </w:r>
      <w:r w:rsidRPr="00CC3D1A">
        <w:rPr>
          <w:b/>
          <w:bCs/>
        </w:rPr>
        <w:t xml:space="preserve">.   Results of Program Assessment </w:t>
      </w:r>
    </w:p>
    <w:p w:rsidR="008967E5" w:rsidRPr="002567E4" w:rsidRDefault="008967E5" w:rsidP="00743895">
      <w:pPr>
        <w:pStyle w:val="BodyText"/>
        <w:ind w:left="540"/>
        <w:rPr>
          <w:bCs/>
          <w:sz w:val="22"/>
          <w:szCs w:val="22"/>
        </w:rPr>
      </w:pPr>
    </w:p>
    <w:p w:rsidR="008967E5" w:rsidRDefault="008967E5" w:rsidP="00F55BBB">
      <w:pPr>
        <w:autoSpaceDE w:val="0"/>
        <w:autoSpaceDN w:val="0"/>
        <w:adjustRightInd w:val="0"/>
        <w:rPr>
          <w:bCs/>
          <w:sz w:val="22"/>
          <w:szCs w:val="22"/>
        </w:rPr>
      </w:pPr>
      <w:r>
        <w:rPr>
          <w:bCs/>
          <w:sz w:val="22"/>
          <w:szCs w:val="22"/>
        </w:rPr>
        <w:t xml:space="preserve">               JIST has not been selected for a Program Assessment Review.</w:t>
      </w:r>
    </w:p>
    <w:p w:rsidR="008967E5" w:rsidRDefault="008967E5" w:rsidP="00F55BBB">
      <w:pPr>
        <w:autoSpaceDE w:val="0"/>
        <w:autoSpaceDN w:val="0"/>
        <w:adjustRightInd w:val="0"/>
        <w:rPr>
          <w:bCs/>
          <w:sz w:val="22"/>
          <w:szCs w:val="22"/>
        </w:rPr>
      </w:pPr>
    </w:p>
    <w:p w:rsidR="008967E5" w:rsidRDefault="008967E5" w:rsidP="00942E76">
      <w:pPr>
        <w:rPr>
          <w:b/>
        </w:rPr>
      </w:pPr>
      <w:r>
        <w:rPr>
          <w:b/>
          <w:bCs/>
          <w:color w:val="000000"/>
        </w:rPr>
        <w:br w:type="page"/>
      </w:r>
      <w:r>
        <w:rPr>
          <w:b/>
        </w:rPr>
        <w:lastRenderedPageBreak/>
        <w:t xml:space="preserve">V.   </w:t>
      </w:r>
      <w:r w:rsidRPr="00A06230">
        <w:rPr>
          <w:b/>
        </w:rPr>
        <w:t>Program Offsets by Item</w:t>
      </w:r>
    </w:p>
    <w:p w:rsidR="008967E5" w:rsidRPr="00273CDD" w:rsidRDefault="008967E5" w:rsidP="00942E76"/>
    <w:p w:rsidR="008967E5" w:rsidRPr="00B0461D" w:rsidRDefault="008967E5" w:rsidP="001C0461">
      <w:pPr>
        <w:pStyle w:val="xl19"/>
        <w:tabs>
          <w:tab w:val="left" w:pos="3420"/>
          <w:tab w:val="right" w:pos="8640"/>
        </w:tabs>
        <w:spacing w:before="0" w:after="0"/>
        <w:rPr>
          <w:b/>
          <w:bCs/>
          <w:sz w:val="22"/>
          <w:szCs w:val="22"/>
        </w:rPr>
      </w:pPr>
      <w:r>
        <w:rPr>
          <w:b/>
          <w:bCs/>
          <w:sz w:val="22"/>
          <w:szCs w:val="22"/>
        </w:rPr>
        <w:t>1</w:t>
      </w:r>
      <w:r w:rsidRPr="00B0461D">
        <w:rPr>
          <w:b/>
          <w:bCs/>
          <w:sz w:val="22"/>
          <w:szCs w:val="22"/>
        </w:rPr>
        <w:t xml:space="preserve">.   </w:t>
      </w:r>
      <w:r>
        <w:rPr>
          <w:b/>
          <w:bCs/>
          <w:sz w:val="22"/>
          <w:szCs w:val="22"/>
        </w:rPr>
        <w:t xml:space="preserve"> Operations Reductions</w:t>
      </w:r>
    </w:p>
    <w:p w:rsidR="008967E5" w:rsidRPr="00B0461D" w:rsidRDefault="008967E5" w:rsidP="001C0461">
      <w:pPr>
        <w:pStyle w:val="xl19"/>
        <w:tabs>
          <w:tab w:val="left" w:pos="3420"/>
          <w:tab w:val="right" w:pos="8640"/>
        </w:tabs>
        <w:spacing w:before="0" w:after="0"/>
        <w:rPr>
          <w:sz w:val="22"/>
          <w:szCs w:val="22"/>
        </w:rPr>
      </w:pPr>
    </w:p>
    <w:p w:rsidR="008967E5" w:rsidRPr="00B0461D" w:rsidRDefault="008967E5" w:rsidP="00573FE3">
      <w:pPr>
        <w:pStyle w:val="xl19"/>
        <w:tabs>
          <w:tab w:val="left" w:pos="3420"/>
          <w:tab w:val="right" w:pos="8640"/>
        </w:tabs>
        <w:spacing w:before="0" w:after="0"/>
        <w:ind w:left="432"/>
        <w:rPr>
          <w:sz w:val="22"/>
          <w:szCs w:val="22"/>
        </w:rPr>
      </w:pPr>
      <w:r w:rsidRPr="00B0461D">
        <w:rPr>
          <w:sz w:val="22"/>
          <w:szCs w:val="22"/>
        </w:rPr>
        <w:t xml:space="preserve">Budget Decision Unit(s): </w:t>
      </w:r>
      <w:r w:rsidRPr="00B0461D">
        <w:rPr>
          <w:sz w:val="22"/>
          <w:szCs w:val="22"/>
        </w:rPr>
        <w:tab/>
        <w:t xml:space="preserve">      JIST</w:t>
      </w:r>
    </w:p>
    <w:p w:rsidR="008967E5" w:rsidRPr="00B0461D" w:rsidRDefault="008967E5" w:rsidP="00573FE3">
      <w:pPr>
        <w:pStyle w:val="xl19"/>
        <w:tabs>
          <w:tab w:val="left" w:pos="3420"/>
          <w:tab w:val="right" w:pos="8640"/>
        </w:tabs>
        <w:spacing w:before="0" w:after="0"/>
        <w:ind w:left="432"/>
        <w:rPr>
          <w:sz w:val="22"/>
          <w:szCs w:val="22"/>
        </w:rPr>
      </w:pPr>
      <w:r w:rsidRPr="00B0461D">
        <w:rPr>
          <w:sz w:val="22"/>
          <w:szCs w:val="22"/>
        </w:rPr>
        <w:t>Strategic Goal(s) &amp; Objective(s):</w:t>
      </w:r>
      <w:r w:rsidRPr="00B0461D">
        <w:rPr>
          <w:sz w:val="22"/>
          <w:szCs w:val="22"/>
        </w:rPr>
        <w:tab/>
        <w:t xml:space="preserve">   </w:t>
      </w:r>
      <w:r>
        <w:rPr>
          <w:sz w:val="22"/>
          <w:szCs w:val="22"/>
        </w:rPr>
        <w:t xml:space="preserve">   </w:t>
      </w:r>
      <w:r w:rsidRPr="00B0461D">
        <w:rPr>
          <w:sz w:val="22"/>
          <w:szCs w:val="22"/>
        </w:rPr>
        <w:t>Goal 1 – Prevent terrorism and promote the nation’s security</w:t>
      </w:r>
    </w:p>
    <w:p w:rsidR="008967E5" w:rsidRPr="00B0461D" w:rsidRDefault="008967E5" w:rsidP="00573FE3">
      <w:pPr>
        <w:pStyle w:val="xl19"/>
        <w:tabs>
          <w:tab w:val="left" w:pos="3420"/>
          <w:tab w:val="right" w:pos="8640"/>
        </w:tabs>
        <w:spacing w:before="0" w:after="0"/>
        <w:ind w:left="432"/>
        <w:rPr>
          <w:sz w:val="22"/>
          <w:szCs w:val="22"/>
        </w:rPr>
      </w:pPr>
      <w:r w:rsidRPr="00B0461D">
        <w:rPr>
          <w:sz w:val="22"/>
          <w:szCs w:val="22"/>
        </w:rPr>
        <w:tab/>
        <w:t xml:space="preserve">      Goal 2 – Prevent crime, enforce federal laws, and represent the</w:t>
      </w:r>
    </w:p>
    <w:p w:rsidR="008967E5" w:rsidRPr="00B0461D" w:rsidRDefault="008967E5" w:rsidP="00573FE3">
      <w:pPr>
        <w:pStyle w:val="xl19"/>
        <w:tabs>
          <w:tab w:val="left" w:pos="3420"/>
          <w:tab w:val="right" w:pos="8640"/>
        </w:tabs>
        <w:spacing w:before="0" w:after="0"/>
        <w:ind w:left="432"/>
        <w:rPr>
          <w:sz w:val="22"/>
          <w:szCs w:val="22"/>
        </w:rPr>
      </w:pPr>
      <w:r w:rsidRPr="00B0461D">
        <w:rPr>
          <w:sz w:val="22"/>
          <w:szCs w:val="22"/>
        </w:rPr>
        <w:tab/>
        <w:t xml:space="preserve">                     rights and interest of the American people</w:t>
      </w:r>
    </w:p>
    <w:p w:rsidR="008967E5" w:rsidRDefault="008967E5" w:rsidP="00573FE3">
      <w:pPr>
        <w:pStyle w:val="xl19"/>
        <w:tabs>
          <w:tab w:val="left" w:pos="3420"/>
          <w:tab w:val="right" w:pos="8640"/>
        </w:tabs>
        <w:spacing w:before="0" w:after="0"/>
        <w:ind w:left="432"/>
        <w:rPr>
          <w:sz w:val="22"/>
          <w:szCs w:val="22"/>
        </w:rPr>
      </w:pPr>
      <w:r w:rsidRPr="00B0461D">
        <w:rPr>
          <w:sz w:val="22"/>
          <w:szCs w:val="22"/>
        </w:rPr>
        <w:tab/>
        <w:t xml:space="preserve">      Goal 3 – Ensure the fair and efficient administration of justice</w:t>
      </w:r>
    </w:p>
    <w:p w:rsidR="008967E5" w:rsidRPr="00B0461D" w:rsidRDefault="008967E5" w:rsidP="00573FE3">
      <w:pPr>
        <w:pStyle w:val="xl19"/>
        <w:tabs>
          <w:tab w:val="left" w:pos="3420"/>
          <w:tab w:val="right" w:pos="8640"/>
        </w:tabs>
        <w:spacing w:before="0" w:after="0"/>
        <w:ind w:left="432"/>
        <w:rPr>
          <w:sz w:val="22"/>
          <w:szCs w:val="22"/>
        </w:rPr>
      </w:pPr>
      <w:r>
        <w:rPr>
          <w:sz w:val="22"/>
          <w:szCs w:val="22"/>
        </w:rPr>
        <w:t xml:space="preserve">                                                            Goal 4 -- </w:t>
      </w:r>
      <w:r>
        <w:rPr>
          <w:color w:val="000000"/>
          <w:sz w:val="22"/>
          <w:szCs w:val="22"/>
        </w:rPr>
        <w:t>Enabling administration</w:t>
      </w:r>
      <w:r w:rsidRPr="00B0461D">
        <w:rPr>
          <w:sz w:val="22"/>
          <w:szCs w:val="22"/>
          <w:u w:val="single"/>
        </w:rPr>
        <w:t xml:space="preserve">                                                                                   </w:t>
      </w:r>
    </w:p>
    <w:p w:rsidR="008967E5" w:rsidRPr="00B0461D" w:rsidRDefault="008967E5" w:rsidP="002B1B50">
      <w:pPr>
        <w:pStyle w:val="xl19"/>
        <w:tabs>
          <w:tab w:val="left" w:pos="3420"/>
          <w:tab w:val="right" w:pos="8640"/>
        </w:tabs>
        <w:spacing w:before="0" w:after="0"/>
        <w:ind w:left="432"/>
        <w:rPr>
          <w:sz w:val="22"/>
          <w:szCs w:val="22"/>
        </w:rPr>
      </w:pPr>
      <w:r w:rsidRPr="00B0461D">
        <w:rPr>
          <w:sz w:val="22"/>
          <w:szCs w:val="22"/>
        </w:rPr>
        <w:t>Organizational Program</w:t>
      </w:r>
      <w:r>
        <w:rPr>
          <w:sz w:val="22"/>
          <w:szCs w:val="22"/>
        </w:rPr>
        <w:t>s</w:t>
      </w:r>
      <w:r w:rsidRPr="00B0461D">
        <w:rPr>
          <w:sz w:val="22"/>
          <w:szCs w:val="22"/>
        </w:rPr>
        <w:t>:</w:t>
      </w:r>
      <w:r w:rsidRPr="00B0461D">
        <w:rPr>
          <w:sz w:val="22"/>
          <w:szCs w:val="22"/>
        </w:rPr>
        <w:tab/>
        <w:t xml:space="preserve">      </w:t>
      </w:r>
      <w:r>
        <w:rPr>
          <w:sz w:val="22"/>
          <w:szCs w:val="22"/>
        </w:rPr>
        <w:t>CSP, LEISP, PKI, and PPS</w:t>
      </w:r>
    </w:p>
    <w:p w:rsidR="008967E5" w:rsidRPr="00B0461D" w:rsidRDefault="008967E5" w:rsidP="00573FE3">
      <w:pPr>
        <w:pStyle w:val="xl19"/>
        <w:tabs>
          <w:tab w:val="left" w:pos="3420"/>
          <w:tab w:val="right" w:pos="4320"/>
        </w:tabs>
        <w:spacing w:before="0" w:after="0"/>
        <w:ind w:left="432"/>
        <w:rPr>
          <w:sz w:val="22"/>
          <w:szCs w:val="22"/>
        </w:rPr>
      </w:pPr>
      <w:r>
        <w:rPr>
          <w:sz w:val="22"/>
          <w:szCs w:val="22"/>
        </w:rPr>
        <w:t>Programs Reduction</w:t>
      </w:r>
      <w:r w:rsidRPr="00B0461D">
        <w:rPr>
          <w:sz w:val="22"/>
          <w:szCs w:val="22"/>
        </w:rPr>
        <w:t>:</w:t>
      </w:r>
      <w:r>
        <w:rPr>
          <w:sz w:val="22"/>
          <w:szCs w:val="22"/>
        </w:rPr>
        <w:t xml:space="preserve">   </w:t>
      </w:r>
      <w:r>
        <w:rPr>
          <w:sz w:val="22"/>
          <w:szCs w:val="22"/>
        </w:rPr>
        <w:tab/>
      </w:r>
      <w:r>
        <w:rPr>
          <w:sz w:val="22"/>
          <w:szCs w:val="22"/>
        </w:rPr>
        <w:tab/>
        <w:t xml:space="preserve">      Positions  </w:t>
      </w:r>
      <w:r>
        <w:rPr>
          <w:sz w:val="22"/>
          <w:szCs w:val="22"/>
          <w:u w:val="single"/>
        </w:rPr>
        <w:t>0</w:t>
      </w:r>
      <w:r>
        <w:rPr>
          <w:sz w:val="22"/>
          <w:szCs w:val="22"/>
        </w:rPr>
        <w:t xml:space="preserve">   FTE  </w:t>
      </w:r>
      <w:r>
        <w:rPr>
          <w:sz w:val="22"/>
          <w:szCs w:val="22"/>
          <w:u w:val="single"/>
        </w:rPr>
        <w:t>0</w:t>
      </w:r>
      <w:r>
        <w:rPr>
          <w:sz w:val="22"/>
          <w:szCs w:val="22"/>
        </w:rPr>
        <w:t xml:space="preserve">   Dollars  </w:t>
      </w:r>
      <w:r w:rsidRPr="002B1B50">
        <w:rPr>
          <w:sz w:val="22"/>
          <w:szCs w:val="22"/>
          <w:u w:val="single"/>
        </w:rPr>
        <w:t>$1</w:t>
      </w:r>
      <w:r>
        <w:rPr>
          <w:sz w:val="22"/>
          <w:szCs w:val="22"/>
          <w:u w:val="single"/>
        </w:rPr>
        <w:t>1</w:t>
      </w:r>
      <w:r w:rsidRPr="002B1B50">
        <w:rPr>
          <w:sz w:val="22"/>
          <w:szCs w:val="22"/>
          <w:u w:val="single"/>
        </w:rPr>
        <w:t>,500,000</w:t>
      </w:r>
    </w:p>
    <w:p w:rsidR="008967E5" w:rsidRDefault="008967E5" w:rsidP="00897A8D"/>
    <w:p w:rsidR="008967E5" w:rsidRPr="00E37D68" w:rsidRDefault="008967E5" w:rsidP="00573FE3">
      <w:pPr>
        <w:pStyle w:val="xl24"/>
        <w:spacing w:before="0" w:after="0"/>
        <w:ind w:left="432"/>
        <w:rPr>
          <w:b/>
          <w:sz w:val="22"/>
          <w:szCs w:val="22"/>
        </w:rPr>
      </w:pPr>
      <w:r w:rsidRPr="00E37D68">
        <w:rPr>
          <w:b/>
          <w:sz w:val="22"/>
          <w:szCs w:val="22"/>
        </w:rPr>
        <w:t>Description of Item</w:t>
      </w:r>
    </w:p>
    <w:p w:rsidR="008967E5" w:rsidRDefault="008967E5" w:rsidP="00223BF8">
      <w:pPr>
        <w:pStyle w:val="xl24"/>
        <w:spacing w:before="0" w:after="0"/>
        <w:ind w:left="432"/>
        <w:rPr>
          <w:sz w:val="22"/>
          <w:szCs w:val="22"/>
          <w:u w:val="none"/>
        </w:rPr>
      </w:pPr>
      <w:r>
        <w:rPr>
          <w:sz w:val="22"/>
          <w:szCs w:val="22"/>
          <w:u w:val="none"/>
        </w:rPr>
        <w:t>Realign the CSP, LEISP, PKI and PPS Program’s business operational and financial goals to achieve cost savings and review and evaluate operations and maintenance costs to identify change opportunities to increase operating efficiencies and reduce cost.</w:t>
      </w:r>
    </w:p>
    <w:p w:rsidR="008967E5" w:rsidRDefault="008967E5" w:rsidP="00573FE3">
      <w:pPr>
        <w:pStyle w:val="BodyText2"/>
        <w:ind w:left="432"/>
      </w:pPr>
    </w:p>
    <w:p w:rsidR="008967E5" w:rsidRPr="00E37D68" w:rsidRDefault="008967E5" w:rsidP="00573FE3">
      <w:pPr>
        <w:pStyle w:val="BodyText2"/>
        <w:ind w:left="432"/>
        <w:rPr>
          <w:b/>
          <w:sz w:val="22"/>
          <w:szCs w:val="22"/>
          <w:u w:val="single"/>
        </w:rPr>
      </w:pPr>
      <w:r w:rsidRPr="00E37D68">
        <w:rPr>
          <w:b/>
          <w:sz w:val="22"/>
          <w:szCs w:val="22"/>
          <w:u w:val="single"/>
        </w:rPr>
        <w:t>Summary Justification</w:t>
      </w:r>
    </w:p>
    <w:p w:rsidR="008967E5" w:rsidRDefault="008967E5" w:rsidP="006C2377">
      <w:pPr>
        <w:ind w:left="432"/>
        <w:rPr>
          <w:sz w:val="22"/>
          <w:szCs w:val="22"/>
        </w:rPr>
      </w:pPr>
      <w:r>
        <w:rPr>
          <w:sz w:val="22"/>
          <w:szCs w:val="22"/>
        </w:rPr>
        <w:t>The OCIO will review and evaluate the each Program’s (CSP, LEISP, PKI, and PPS) business operational and financial plans to identify opportunities to decrease cost while continuing support of the Department’s Strategic Goals.  In addition, the OCIO will review and evaluate operating and maintenance costs within and across Programs to identify change actions to increase efficiency and save cost.</w:t>
      </w:r>
    </w:p>
    <w:p w:rsidR="008967E5" w:rsidRPr="007861FD" w:rsidRDefault="008967E5" w:rsidP="00EB697F">
      <w:pPr>
        <w:jc w:val="both"/>
        <w:rPr>
          <w:sz w:val="22"/>
          <w:szCs w:val="22"/>
        </w:rPr>
      </w:pPr>
    </w:p>
    <w:p w:rsidR="008967E5" w:rsidRPr="00E37D68" w:rsidRDefault="008967E5" w:rsidP="00573FE3">
      <w:pPr>
        <w:pStyle w:val="BodyText2"/>
        <w:ind w:left="432"/>
        <w:rPr>
          <w:b/>
          <w:sz w:val="22"/>
          <w:szCs w:val="22"/>
          <w:u w:val="single"/>
        </w:rPr>
      </w:pPr>
      <w:r w:rsidRPr="00E37D68">
        <w:rPr>
          <w:b/>
          <w:sz w:val="22"/>
          <w:szCs w:val="22"/>
          <w:u w:val="single"/>
        </w:rPr>
        <w:t xml:space="preserve">Impact on Performance </w:t>
      </w:r>
    </w:p>
    <w:p w:rsidR="008967E5" w:rsidRDefault="008967E5" w:rsidP="00EA7B86">
      <w:pPr>
        <w:pStyle w:val="BodyText2"/>
        <w:ind w:left="432"/>
        <w:rPr>
          <w:sz w:val="22"/>
          <w:szCs w:val="22"/>
        </w:rPr>
      </w:pPr>
      <w:r>
        <w:rPr>
          <w:sz w:val="22"/>
          <w:szCs w:val="22"/>
        </w:rPr>
        <w:t>CSP, LEISP, PKI, and PPS</w:t>
      </w:r>
      <w:r w:rsidRPr="00D01B17">
        <w:rPr>
          <w:sz w:val="22"/>
          <w:szCs w:val="22"/>
        </w:rPr>
        <w:t xml:space="preserve"> support the Department’s </w:t>
      </w:r>
      <w:r>
        <w:rPr>
          <w:sz w:val="22"/>
          <w:szCs w:val="22"/>
        </w:rPr>
        <w:t>four</w:t>
      </w:r>
      <w:r w:rsidRPr="00D01B17">
        <w:rPr>
          <w:sz w:val="22"/>
          <w:szCs w:val="22"/>
        </w:rPr>
        <w:t xml:space="preserve"> Strategic Goals</w:t>
      </w:r>
      <w:r>
        <w:rPr>
          <w:sz w:val="22"/>
          <w:szCs w:val="22"/>
        </w:rPr>
        <w:t xml:space="preserve">:  Goal 1 - Prevent terrorism and promote the nation’s security, Goal 2 - Prevent crime, enforce federal laws, and represent the rights and interests of the America People, Goal 3 - Ensure the fair and efficient administration of justice, and Goal 4 - </w:t>
      </w:r>
      <w:r>
        <w:rPr>
          <w:color w:val="000000"/>
          <w:sz w:val="22"/>
          <w:szCs w:val="22"/>
        </w:rPr>
        <w:t>Enabling administration</w:t>
      </w:r>
      <w:r>
        <w:rPr>
          <w:sz w:val="22"/>
          <w:szCs w:val="22"/>
        </w:rPr>
        <w:t>.  Cost reduction actions will be identified and implemented with a view to minimize the impact on system availability and security and the performance of other DOJ components, or on other agencies outside of DOJ, that depend on these Programs to execute their missions.</w:t>
      </w:r>
    </w:p>
    <w:p w:rsidR="008967E5" w:rsidRDefault="008967E5" w:rsidP="008063A3">
      <w:pPr>
        <w:pStyle w:val="Heading1"/>
        <w:rPr>
          <w:rFonts w:ascii="Times New Roman" w:hAnsi="Times New Roman"/>
          <w:bCs w:val="0"/>
        </w:rPr>
      </w:pPr>
    </w:p>
    <w:p w:rsidR="008967E5" w:rsidRPr="00AA7387" w:rsidRDefault="008967E5" w:rsidP="00E37D68">
      <w:pPr>
        <w:pStyle w:val="Heading1"/>
        <w:jc w:val="left"/>
        <w:rPr>
          <w:rFonts w:ascii="Times New Roman" w:hAnsi="Times New Roman"/>
          <w:bCs w:val="0"/>
          <w:sz w:val="24"/>
          <w:szCs w:val="24"/>
          <w:u w:val="single"/>
        </w:rPr>
      </w:pPr>
      <w:r w:rsidRPr="00AA7387">
        <w:rPr>
          <w:rFonts w:ascii="Times New Roman" w:hAnsi="Times New Roman"/>
          <w:sz w:val="24"/>
          <w:szCs w:val="24"/>
          <w:u w:val="single"/>
        </w:rPr>
        <w:t>Funding</w:t>
      </w:r>
    </w:p>
    <w:p w:rsidR="008967E5" w:rsidRDefault="008967E5" w:rsidP="008063A3"/>
    <w:p w:rsidR="008967E5" w:rsidRDefault="008967E5" w:rsidP="008063A3">
      <w:pPr>
        <w:pStyle w:val="xl24"/>
        <w:spacing w:before="0" w:after="0"/>
      </w:pPr>
      <w:r>
        <w:t>Base Funding</w:t>
      </w:r>
    </w:p>
    <w:p w:rsidR="008967E5" w:rsidRDefault="008967E5" w:rsidP="008063A3">
      <w:pPr>
        <w:pStyle w:val="xl24"/>
        <w:spacing w:before="0" w:after="0"/>
      </w:pPr>
    </w:p>
    <w:tbl>
      <w:tblPr>
        <w:tblW w:w="9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3"/>
        <w:gridCol w:w="672"/>
        <w:gridCol w:w="671"/>
        <w:gridCol w:w="1292"/>
        <w:gridCol w:w="671"/>
        <w:gridCol w:w="671"/>
        <w:gridCol w:w="1292"/>
        <w:gridCol w:w="671"/>
        <w:gridCol w:w="671"/>
        <w:gridCol w:w="1294"/>
      </w:tblGrid>
      <w:tr w:rsidR="008967E5" w:rsidTr="001D4B5E">
        <w:tc>
          <w:tcPr>
            <w:tcW w:w="1263" w:type="dxa"/>
          </w:tcPr>
          <w:p w:rsidR="008967E5" w:rsidRPr="000F321C" w:rsidRDefault="008967E5" w:rsidP="00086CF6">
            <w:pPr>
              <w:pStyle w:val="xl24"/>
              <w:spacing w:before="0" w:after="0"/>
              <w:jc w:val="center"/>
              <w:rPr>
                <w:sz w:val="20"/>
                <w:u w:val="none"/>
              </w:rPr>
            </w:pPr>
            <w:r>
              <w:rPr>
                <w:sz w:val="20"/>
                <w:u w:val="none"/>
              </w:rPr>
              <w:t>Program</w:t>
            </w:r>
          </w:p>
        </w:tc>
        <w:tc>
          <w:tcPr>
            <w:tcW w:w="2635" w:type="dxa"/>
            <w:gridSpan w:val="3"/>
          </w:tcPr>
          <w:p w:rsidR="008967E5" w:rsidRPr="000F321C" w:rsidRDefault="008967E5" w:rsidP="00086CF6">
            <w:pPr>
              <w:pStyle w:val="xl24"/>
              <w:spacing w:before="0" w:after="0"/>
              <w:jc w:val="center"/>
              <w:rPr>
                <w:sz w:val="20"/>
                <w:u w:val="none"/>
              </w:rPr>
            </w:pPr>
            <w:r>
              <w:rPr>
                <w:sz w:val="20"/>
                <w:u w:val="none"/>
              </w:rPr>
              <w:t>FY 2010 Enacted</w:t>
            </w:r>
          </w:p>
        </w:tc>
        <w:tc>
          <w:tcPr>
            <w:tcW w:w="2634" w:type="dxa"/>
            <w:gridSpan w:val="3"/>
          </w:tcPr>
          <w:p w:rsidR="008967E5" w:rsidRPr="000F321C" w:rsidRDefault="008967E5" w:rsidP="00086CF6">
            <w:pPr>
              <w:pStyle w:val="xl24"/>
              <w:spacing w:before="0" w:after="0"/>
              <w:jc w:val="center"/>
              <w:rPr>
                <w:sz w:val="20"/>
                <w:u w:val="none"/>
              </w:rPr>
            </w:pPr>
            <w:r>
              <w:rPr>
                <w:sz w:val="20"/>
                <w:u w:val="none"/>
              </w:rPr>
              <w:t>FY 2011 CR</w:t>
            </w:r>
          </w:p>
        </w:tc>
        <w:tc>
          <w:tcPr>
            <w:tcW w:w="2636" w:type="dxa"/>
            <w:gridSpan w:val="3"/>
          </w:tcPr>
          <w:p w:rsidR="008967E5" w:rsidRPr="000F321C" w:rsidRDefault="008967E5" w:rsidP="00086CF6">
            <w:pPr>
              <w:pStyle w:val="xl24"/>
              <w:spacing w:before="0" w:after="0"/>
              <w:jc w:val="center"/>
              <w:rPr>
                <w:sz w:val="20"/>
                <w:u w:val="none"/>
              </w:rPr>
            </w:pPr>
            <w:r>
              <w:rPr>
                <w:sz w:val="20"/>
                <w:u w:val="none"/>
              </w:rPr>
              <w:t>FY 2012 Current Services</w:t>
            </w:r>
          </w:p>
        </w:tc>
      </w:tr>
      <w:tr w:rsidR="008967E5" w:rsidTr="00086CF6">
        <w:tc>
          <w:tcPr>
            <w:tcW w:w="1263" w:type="dxa"/>
          </w:tcPr>
          <w:p w:rsidR="008967E5" w:rsidRPr="000F321C" w:rsidRDefault="008967E5" w:rsidP="00AB52AF">
            <w:pPr>
              <w:pStyle w:val="xl24"/>
              <w:spacing w:before="0" w:after="0"/>
              <w:jc w:val="center"/>
              <w:rPr>
                <w:sz w:val="20"/>
              </w:rPr>
            </w:pPr>
          </w:p>
        </w:tc>
        <w:tc>
          <w:tcPr>
            <w:tcW w:w="672" w:type="dxa"/>
          </w:tcPr>
          <w:p w:rsidR="008967E5" w:rsidRPr="00086CF6" w:rsidRDefault="008967E5" w:rsidP="00AB52AF">
            <w:pPr>
              <w:pStyle w:val="xl24"/>
              <w:spacing w:before="0" w:after="0"/>
              <w:jc w:val="center"/>
              <w:rPr>
                <w:sz w:val="20"/>
                <w:u w:val="none"/>
              </w:rPr>
            </w:pPr>
            <w:r w:rsidRPr="00086CF6">
              <w:rPr>
                <w:sz w:val="20"/>
                <w:u w:val="none"/>
              </w:rPr>
              <w:t>Pos</w:t>
            </w:r>
          </w:p>
        </w:tc>
        <w:tc>
          <w:tcPr>
            <w:tcW w:w="671" w:type="dxa"/>
          </w:tcPr>
          <w:p w:rsidR="008967E5" w:rsidRPr="00086CF6" w:rsidRDefault="008967E5" w:rsidP="00AB52AF">
            <w:pPr>
              <w:pStyle w:val="xl24"/>
              <w:spacing w:before="0" w:after="0"/>
              <w:jc w:val="center"/>
              <w:rPr>
                <w:sz w:val="20"/>
                <w:u w:val="none"/>
              </w:rPr>
            </w:pPr>
            <w:r w:rsidRPr="00086CF6">
              <w:rPr>
                <w:sz w:val="20"/>
                <w:u w:val="none"/>
              </w:rPr>
              <w:t>FTE</w:t>
            </w:r>
          </w:p>
        </w:tc>
        <w:tc>
          <w:tcPr>
            <w:tcW w:w="1292" w:type="dxa"/>
          </w:tcPr>
          <w:p w:rsidR="008967E5" w:rsidRPr="00086CF6" w:rsidRDefault="008967E5" w:rsidP="00AB52AF">
            <w:pPr>
              <w:pStyle w:val="xl24"/>
              <w:spacing w:before="0" w:after="0"/>
              <w:jc w:val="center"/>
              <w:rPr>
                <w:sz w:val="20"/>
                <w:u w:val="none"/>
              </w:rPr>
            </w:pPr>
            <w:r w:rsidRPr="00086CF6">
              <w:rPr>
                <w:sz w:val="20"/>
                <w:u w:val="none"/>
              </w:rPr>
              <w:t>(</w:t>
            </w:r>
            <w:r>
              <w:rPr>
                <w:sz w:val="20"/>
                <w:u w:val="none"/>
              </w:rPr>
              <w:t>$</w:t>
            </w:r>
            <w:r w:rsidRPr="00086CF6">
              <w:rPr>
                <w:sz w:val="20"/>
                <w:u w:val="none"/>
              </w:rPr>
              <w:t>000)</w:t>
            </w:r>
          </w:p>
        </w:tc>
        <w:tc>
          <w:tcPr>
            <w:tcW w:w="671" w:type="dxa"/>
          </w:tcPr>
          <w:p w:rsidR="008967E5" w:rsidRPr="00086CF6" w:rsidRDefault="008967E5" w:rsidP="00AB52AF">
            <w:pPr>
              <w:pStyle w:val="xl24"/>
              <w:spacing w:before="0" w:after="0"/>
              <w:jc w:val="center"/>
              <w:rPr>
                <w:sz w:val="20"/>
                <w:u w:val="none"/>
              </w:rPr>
            </w:pPr>
            <w:r w:rsidRPr="00086CF6">
              <w:rPr>
                <w:sz w:val="20"/>
                <w:u w:val="none"/>
              </w:rPr>
              <w:t>Pos</w:t>
            </w:r>
          </w:p>
        </w:tc>
        <w:tc>
          <w:tcPr>
            <w:tcW w:w="671" w:type="dxa"/>
          </w:tcPr>
          <w:p w:rsidR="008967E5" w:rsidRPr="00086CF6" w:rsidRDefault="008967E5" w:rsidP="00AB52AF">
            <w:pPr>
              <w:pStyle w:val="xl24"/>
              <w:spacing w:before="0" w:after="0"/>
              <w:jc w:val="center"/>
              <w:rPr>
                <w:sz w:val="20"/>
                <w:u w:val="none"/>
              </w:rPr>
            </w:pPr>
            <w:r w:rsidRPr="00086CF6">
              <w:rPr>
                <w:sz w:val="20"/>
                <w:u w:val="none"/>
              </w:rPr>
              <w:t>FTE</w:t>
            </w:r>
          </w:p>
        </w:tc>
        <w:tc>
          <w:tcPr>
            <w:tcW w:w="1292" w:type="dxa"/>
          </w:tcPr>
          <w:p w:rsidR="008967E5" w:rsidRPr="00086CF6" w:rsidRDefault="008967E5" w:rsidP="00AB52AF">
            <w:pPr>
              <w:pStyle w:val="xl24"/>
              <w:spacing w:before="0" w:after="0"/>
              <w:jc w:val="center"/>
              <w:rPr>
                <w:sz w:val="20"/>
                <w:u w:val="none"/>
              </w:rPr>
            </w:pPr>
            <w:r w:rsidRPr="00086CF6">
              <w:rPr>
                <w:sz w:val="20"/>
                <w:u w:val="none"/>
              </w:rPr>
              <w:t>(</w:t>
            </w:r>
            <w:r>
              <w:rPr>
                <w:sz w:val="20"/>
                <w:u w:val="none"/>
              </w:rPr>
              <w:t>$</w:t>
            </w:r>
            <w:r w:rsidRPr="00086CF6">
              <w:rPr>
                <w:sz w:val="20"/>
                <w:u w:val="none"/>
              </w:rPr>
              <w:t>000)</w:t>
            </w:r>
          </w:p>
        </w:tc>
        <w:tc>
          <w:tcPr>
            <w:tcW w:w="671" w:type="dxa"/>
          </w:tcPr>
          <w:p w:rsidR="008967E5" w:rsidRPr="00086CF6" w:rsidRDefault="008967E5" w:rsidP="00AB52AF">
            <w:pPr>
              <w:pStyle w:val="xl24"/>
              <w:spacing w:before="0" w:after="0"/>
              <w:jc w:val="center"/>
              <w:rPr>
                <w:sz w:val="20"/>
                <w:u w:val="none"/>
              </w:rPr>
            </w:pPr>
            <w:r w:rsidRPr="00086CF6">
              <w:rPr>
                <w:sz w:val="20"/>
                <w:u w:val="none"/>
              </w:rPr>
              <w:t>Pos</w:t>
            </w:r>
          </w:p>
        </w:tc>
        <w:tc>
          <w:tcPr>
            <w:tcW w:w="671" w:type="dxa"/>
          </w:tcPr>
          <w:p w:rsidR="008967E5" w:rsidRPr="00086CF6" w:rsidRDefault="008967E5" w:rsidP="00AB52AF">
            <w:pPr>
              <w:pStyle w:val="xl24"/>
              <w:spacing w:before="0" w:after="0"/>
              <w:jc w:val="center"/>
              <w:rPr>
                <w:sz w:val="20"/>
                <w:u w:val="none"/>
              </w:rPr>
            </w:pPr>
            <w:r w:rsidRPr="00086CF6">
              <w:rPr>
                <w:sz w:val="20"/>
                <w:u w:val="none"/>
              </w:rPr>
              <w:t>FTE</w:t>
            </w:r>
          </w:p>
        </w:tc>
        <w:tc>
          <w:tcPr>
            <w:tcW w:w="1294" w:type="dxa"/>
          </w:tcPr>
          <w:p w:rsidR="008967E5" w:rsidRPr="00086CF6" w:rsidRDefault="008967E5" w:rsidP="00AB52AF">
            <w:pPr>
              <w:pStyle w:val="xl24"/>
              <w:spacing w:before="0" w:after="0"/>
              <w:jc w:val="center"/>
              <w:rPr>
                <w:sz w:val="20"/>
                <w:u w:val="none"/>
              </w:rPr>
            </w:pPr>
            <w:r w:rsidRPr="00086CF6">
              <w:rPr>
                <w:sz w:val="20"/>
                <w:u w:val="none"/>
              </w:rPr>
              <w:t>(</w:t>
            </w:r>
            <w:r>
              <w:rPr>
                <w:sz w:val="20"/>
                <w:u w:val="none"/>
              </w:rPr>
              <w:t>$</w:t>
            </w:r>
            <w:r w:rsidRPr="00086CF6">
              <w:rPr>
                <w:sz w:val="20"/>
                <w:u w:val="none"/>
              </w:rPr>
              <w:t>000)</w:t>
            </w:r>
          </w:p>
        </w:tc>
      </w:tr>
      <w:tr w:rsidR="008967E5" w:rsidTr="007A10B5">
        <w:tc>
          <w:tcPr>
            <w:tcW w:w="1263" w:type="dxa"/>
          </w:tcPr>
          <w:p w:rsidR="008967E5" w:rsidRPr="00170EF3" w:rsidRDefault="008967E5" w:rsidP="00170EF3">
            <w:pPr>
              <w:pStyle w:val="xl24"/>
              <w:spacing w:before="0" w:after="0"/>
              <w:rPr>
                <w:sz w:val="20"/>
                <w:u w:val="none"/>
              </w:rPr>
            </w:pPr>
            <w:r>
              <w:rPr>
                <w:sz w:val="20"/>
                <w:u w:val="none"/>
              </w:rPr>
              <w:t>CSP</w:t>
            </w:r>
          </w:p>
        </w:tc>
        <w:tc>
          <w:tcPr>
            <w:tcW w:w="672" w:type="dxa"/>
            <w:vAlign w:val="center"/>
          </w:tcPr>
          <w:p w:rsidR="008967E5" w:rsidRPr="00FE4866" w:rsidRDefault="008967E5" w:rsidP="007A10B5">
            <w:pPr>
              <w:pStyle w:val="xl24"/>
              <w:spacing w:before="0" w:after="0"/>
              <w:jc w:val="center"/>
              <w:rPr>
                <w:sz w:val="20"/>
                <w:u w:val="none"/>
              </w:rPr>
            </w:pPr>
            <w:r>
              <w:rPr>
                <w:sz w:val="20"/>
                <w:u w:val="none"/>
              </w:rPr>
              <w:t>5</w:t>
            </w:r>
          </w:p>
        </w:tc>
        <w:tc>
          <w:tcPr>
            <w:tcW w:w="671" w:type="dxa"/>
            <w:vAlign w:val="center"/>
          </w:tcPr>
          <w:p w:rsidR="008967E5" w:rsidRPr="00812166" w:rsidRDefault="008967E5" w:rsidP="009340BC">
            <w:pPr>
              <w:pStyle w:val="xl24"/>
              <w:spacing w:before="0" w:after="0"/>
              <w:jc w:val="center"/>
              <w:rPr>
                <w:sz w:val="20"/>
                <w:u w:val="none"/>
              </w:rPr>
            </w:pPr>
            <w:r>
              <w:rPr>
                <w:sz w:val="20"/>
                <w:u w:val="none"/>
              </w:rPr>
              <w:t>5</w:t>
            </w:r>
          </w:p>
        </w:tc>
        <w:tc>
          <w:tcPr>
            <w:tcW w:w="1292" w:type="dxa"/>
            <w:vAlign w:val="center"/>
          </w:tcPr>
          <w:p w:rsidR="008967E5" w:rsidRPr="005172F3" w:rsidRDefault="008967E5" w:rsidP="007A10B5">
            <w:pPr>
              <w:pStyle w:val="xl24"/>
              <w:spacing w:before="0" w:after="0"/>
              <w:jc w:val="center"/>
              <w:rPr>
                <w:sz w:val="20"/>
                <w:u w:val="none"/>
              </w:rPr>
            </w:pPr>
            <w:r>
              <w:rPr>
                <w:sz w:val="20"/>
                <w:u w:val="none"/>
              </w:rPr>
              <w:t>$16,036</w:t>
            </w:r>
          </w:p>
        </w:tc>
        <w:tc>
          <w:tcPr>
            <w:tcW w:w="671" w:type="dxa"/>
            <w:vAlign w:val="center"/>
          </w:tcPr>
          <w:p w:rsidR="008967E5" w:rsidRPr="00FE4866" w:rsidRDefault="008967E5" w:rsidP="007A10B5">
            <w:pPr>
              <w:pStyle w:val="xl24"/>
              <w:spacing w:before="0" w:after="0"/>
              <w:jc w:val="center"/>
              <w:rPr>
                <w:sz w:val="20"/>
                <w:u w:val="none"/>
              </w:rPr>
            </w:pPr>
            <w:r>
              <w:rPr>
                <w:sz w:val="20"/>
                <w:u w:val="none"/>
              </w:rPr>
              <w:t>5</w:t>
            </w:r>
          </w:p>
        </w:tc>
        <w:tc>
          <w:tcPr>
            <w:tcW w:w="671" w:type="dxa"/>
            <w:vAlign w:val="center"/>
          </w:tcPr>
          <w:p w:rsidR="008967E5" w:rsidRPr="00FE4866" w:rsidRDefault="008967E5" w:rsidP="007A10B5">
            <w:pPr>
              <w:pStyle w:val="xl24"/>
              <w:spacing w:before="0" w:after="0"/>
              <w:jc w:val="center"/>
              <w:rPr>
                <w:sz w:val="20"/>
                <w:u w:val="none"/>
              </w:rPr>
            </w:pPr>
            <w:r>
              <w:rPr>
                <w:sz w:val="20"/>
                <w:u w:val="none"/>
              </w:rPr>
              <w:t>5</w:t>
            </w:r>
          </w:p>
        </w:tc>
        <w:tc>
          <w:tcPr>
            <w:tcW w:w="1292" w:type="dxa"/>
            <w:vAlign w:val="center"/>
          </w:tcPr>
          <w:p w:rsidR="008967E5" w:rsidRPr="00170EF3" w:rsidRDefault="008967E5" w:rsidP="007A10B5">
            <w:pPr>
              <w:pStyle w:val="xl24"/>
              <w:spacing w:before="0" w:after="0"/>
              <w:jc w:val="center"/>
              <w:rPr>
                <w:sz w:val="20"/>
                <w:u w:val="none"/>
              </w:rPr>
            </w:pPr>
            <w:r>
              <w:rPr>
                <w:sz w:val="20"/>
                <w:u w:val="none"/>
              </w:rPr>
              <w:t>$16,036</w:t>
            </w:r>
          </w:p>
        </w:tc>
        <w:tc>
          <w:tcPr>
            <w:tcW w:w="671" w:type="dxa"/>
            <w:vAlign w:val="center"/>
          </w:tcPr>
          <w:p w:rsidR="008967E5" w:rsidRDefault="008967E5" w:rsidP="007A10B5">
            <w:pPr>
              <w:pStyle w:val="xl24"/>
              <w:spacing w:before="0" w:after="0"/>
              <w:jc w:val="center"/>
              <w:rPr>
                <w:sz w:val="20"/>
                <w:u w:val="none"/>
              </w:rPr>
            </w:pPr>
            <w:r>
              <w:rPr>
                <w:sz w:val="20"/>
                <w:u w:val="none"/>
              </w:rPr>
              <w:t>5</w:t>
            </w:r>
          </w:p>
        </w:tc>
        <w:tc>
          <w:tcPr>
            <w:tcW w:w="671" w:type="dxa"/>
            <w:vAlign w:val="center"/>
          </w:tcPr>
          <w:p w:rsidR="008967E5" w:rsidRDefault="008967E5" w:rsidP="007A10B5">
            <w:pPr>
              <w:pStyle w:val="xl24"/>
              <w:spacing w:before="0" w:after="0"/>
              <w:jc w:val="center"/>
              <w:rPr>
                <w:sz w:val="20"/>
                <w:u w:val="none"/>
              </w:rPr>
            </w:pPr>
            <w:r>
              <w:rPr>
                <w:sz w:val="20"/>
                <w:u w:val="none"/>
              </w:rPr>
              <w:t>5</w:t>
            </w:r>
          </w:p>
        </w:tc>
        <w:tc>
          <w:tcPr>
            <w:tcW w:w="1294" w:type="dxa"/>
            <w:vAlign w:val="center"/>
          </w:tcPr>
          <w:p w:rsidR="008967E5" w:rsidRPr="00170EF3" w:rsidRDefault="008967E5" w:rsidP="007A10B5">
            <w:pPr>
              <w:pStyle w:val="xl24"/>
              <w:spacing w:before="0" w:after="0"/>
              <w:jc w:val="center"/>
              <w:rPr>
                <w:sz w:val="20"/>
                <w:u w:val="none"/>
              </w:rPr>
            </w:pPr>
            <w:r>
              <w:rPr>
                <w:sz w:val="20"/>
                <w:u w:val="none"/>
              </w:rPr>
              <w:t>$16,086</w:t>
            </w:r>
          </w:p>
        </w:tc>
      </w:tr>
      <w:tr w:rsidR="008967E5" w:rsidTr="007A10B5">
        <w:tc>
          <w:tcPr>
            <w:tcW w:w="1263" w:type="dxa"/>
          </w:tcPr>
          <w:p w:rsidR="008967E5" w:rsidRPr="00170EF3" w:rsidRDefault="008967E5" w:rsidP="00170EF3">
            <w:pPr>
              <w:pStyle w:val="xl24"/>
              <w:spacing w:before="0" w:after="0"/>
              <w:rPr>
                <w:sz w:val="20"/>
                <w:u w:val="none"/>
              </w:rPr>
            </w:pPr>
            <w:r>
              <w:rPr>
                <w:sz w:val="20"/>
                <w:u w:val="none"/>
              </w:rPr>
              <w:t>LEISP</w:t>
            </w:r>
          </w:p>
        </w:tc>
        <w:tc>
          <w:tcPr>
            <w:tcW w:w="672" w:type="dxa"/>
            <w:vAlign w:val="center"/>
          </w:tcPr>
          <w:p w:rsidR="008967E5" w:rsidRPr="00FE4866" w:rsidRDefault="008967E5" w:rsidP="007A10B5">
            <w:pPr>
              <w:pStyle w:val="xl24"/>
              <w:spacing w:before="0" w:after="0"/>
              <w:jc w:val="center"/>
              <w:rPr>
                <w:sz w:val="20"/>
                <w:u w:val="none"/>
              </w:rPr>
            </w:pPr>
            <w:r>
              <w:rPr>
                <w:sz w:val="20"/>
                <w:u w:val="none"/>
              </w:rPr>
              <w:t>3</w:t>
            </w:r>
          </w:p>
        </w:tc>
        <w:tc>
          <w:tcPr>
            <w:tcW w:w="671" w:type="dxa"/>
            <w:vAlign w:val="center"/>
          </w:tcPr>
          <w:p w:rsidR="008967E5" w:rsidRPr="007A10B5" w:rsidRDefault="008967E5" w:rsidP="007A10B5">
            <w:pPr>
              <w:pStyle w:val="xl24"/>
              <w:spacing w:before="0" w:after="0"/>
              <w:jc w:val="center"/>
              <w:rPr>
                <w:sz w:val="20"/>
                <w:u w:val="none"/>
              </w:rPr>
            </w:pPr>
            <w:r>
              <w:rPr>
                <w:sz w:val="20"/>
                <w:u w:val="none"/>
              </w:rPr>
              <w:t>3</w:t>
            </w:r>
          </w:p>
        </w:tc>
        <w:tc>
          <w:tcPr>
            <w:tcW w:w="1292" w:type="dxa"/>
            <w:vAlign w:val="center"/>
          </w:tcPr>
          <w:p w:rsidR="008967E5" w:rsidRPr="005172F3" w:rsidRDefault="008967E5" w:rsidP="007A10B5">
            <w:pPr>
              <w:pStyle w:val="xl24"/>
              <w:spacing w:before="0" w:after="0"/>
              <w:jc w:val="center"/>
              <w:rPr>
                <w:sz w:val="20"/>
                <w:u w:val="none"/>
              </w:rPr>
            </w:pPr>
            <w:r>
              <w:rPr>
                <w:sz w:val="20"/>
                <w:u w:val="none"/>
              </w:rPr>
              <w:t>$  4,300</w:t>
            </w:r>
          </w:p>
        </w:tc>
        <w:tc>
          <w:tcPr>
            <w:tcW w:w="671" w:type="dxa"/>
            <w:vAlign w:val="center"/>
          </w:tcPr>
          <w:p w:rsidR="008967E5" w:rsidRPr="00FE4866" w:rsidRDefault="008967E5" w:rsidP="007A10B5">
            <w:pPr>
              <w:pStyle w:val="xl24"/>
              <w:spacing w:before="0" w:after="0"/>
              <w:jc w:val="center"/>
              <w:rPr>
                <w:sz w:val="20"/>
                <w:u w:val="none"/>
              </w:rPr>
            </w:pPr>
            <w:r>
              <w:rPr>
                <w:sz w:val="20"/>
                <w:u w:val="none"/>
              </w:rPr>
              <w:t>3</w:t>
            </w:r>
          </w:p>
        </w:tc>
        <w:tc>
          <w:tcPr>
            <w:tcW w:w="671" w:type="dxa"/>
            <w:vAlign w:val="center"/>
          </w:tcPr>
          <w:p w:rsidR="008967E5" w:rsidRPr="00FE4866" w:rsidRDefault="008967E5" w:rsidP="007A10B5">
            <w:pPr>
              <w:pStyle w:val="xl24"/>
              <w:spacing w:before="0" w:after="0"/>
              <w:jc w:val="center"/>
              <w:rPr>
                <w:sz w:val="20"/>
                <w:u w:val="none"/>
              </w:rPr>
            </w:pPr>
            <w:r>
              <w:rPr>
                <w:sz w:val="20"/>
                <w:u w:val="none"/>
              </w:rPr>
              <w:t>3</w:t>
            </w:r>
          </w:p>
        </w:tc>
        <w:tc>
          <w:tcPr>
            <w:tcW w:w="1292" w:type="dxa"/>
            <w:vAlign w:val="center"/>
          </w:tcPr>
          <w:p w:rsidR="008967E5" w:rsidRPr="00170EF3" w:rsidRDefault="008967E5" w:rsidP="007A10B5">
            <w:pPr>
              <w:pStyle w:val="xl24"/>
              <w:spacing w:before="0" w:after="0"/>
              <w:jc w:val="center"/>
              <w:rPr>
                <w:sz w:val="20"/>
                <w:u w:val="none"/>
              </w:rPr>
            </w:pPr>
            <w:r>
              <w:rPr>
                <w:sz w:val="20"/>
                <w:u w:val="none"/>
              </w:rPr>
              <w:t>$  4,300</w:t>
            </w:r>
          </w:p>
        </w:tc>
        <w:tc>
          <w:tcPr>
            <w:tcW w:w="671" w:type="dxa"/>
            <w:vAlign w:val="center"/>
          </w:tcPr>
          <w:p w:rsidR="008967E5" w:rsidRDefault="008967E5" w:rsidP="007A10B5">
            <w:pPr>
              <w:pStyle w:val="xl24"/>
              <w:spacing w:before="0" w:after="0"/>
              <w:jc w:val="center"/>
              <w:rPr>
                <w:sz w:val="20"/>
                <w:u w:val="none"/>
              </w:rPr>
            </w:pPr>
            <w:r>
              <w:rPr>
                <w:sz w:val="20"/>
                <w:u w:val="none"/>
              </w:rPr>
              <w:t>3</w:t>
            </w:r>
          </w:p>
        </w:tc>
        <w:tc>
          <w:tcPr>
            <w:tcW w:w="671" w:type="dxa"/>
            <w:vAlign w:val="center"/>
          </w:tcPr>
          <w:p w:rsidR="008967E5" w:rsidRDefault="008967E5" w:rsidP="007A10B5">
            <w:pPr>
              <w:pStyle w:val="xl24"/>
              <w:spacing w:before="0" w:after="0"/>
              <w:jc w:val="center"/>
              <w:rPr>
                <w:sz w:val="20"/>
                <w:u w:val="none"/>
              </w:rPr>
            </w:pPr>
            <w:r>
              <w:rPr>
                <w:sz w:val="20"/>
                <w:u w:val="none"/>
              </w:rPr>
              <w:t>3</w:t>
            </w:r>
          </w:p>
        </w:tc>
        <w:tc>
          <w:tcPr>
            <w:tcW w:w="1294" w:type="dxa"/>
            <w:vAlign w:val="center"/>
          </w:tcPr>
          <w:p w:rsidR="008967E5" w:rsidRPr="00170EF3" w:rsidRDefault="008967E5" w:rsidP="007A10B5">
            <w:pPr>
              <w:pStyle w:val="xl24"/>
              <w:spacing w:before="0" w:after="0"/>
              <w:jc w:val="center"/>
              <w:rPr>
                <w:sz w:val="20"/>
                <w:u w:val="none"/>
              </w:rPr>
            </w:pPr>
            <w:r>
              <w:rPr>
                <w:sz w:val="20"/>
                <w:u w:val="none"/>
              </w:rPr>
              <w:t>$  4,331</w:t>
            </w:r>
          </w:p>
        </w:tc>
      </w:tr>
      <w:tr w:rsidR="008967E5" w:rsidTr="007A10B5">
        <w:tc>
          <w:tcPr>
            <w:tcW w:w="1263" w:type="dxa"/>
          </w:tcPr>
          <w:p w:rsidR="008967E5" w:rsidRPr="00170EF3" w:rsidRDefault="008967E5" w:rsidP="00170EF3">
            <w:pPr>
              <w:pStyle w:val="xl24"/>
              <w:spacing w:before="0" w:after="0"/>
              <w:rPr>
                <w:sz w:val="20"/>
                <w:u w:val="none"/>
              </w:rPr>
            </w:pPr>
            <w:r>
              <w:rPr>
                <w:sz w:val="20"/>
                <w:u w:val="none"/>
              </w:rPr>
              <w:t>PKI</w:t>
            </w:r>
          </w:p>
        </w:tc>
        <w:tc>
          <w:tcPr>
            <w:tcW w:w="672" w:type="dxa"/>
            <w:vAlign w:val="center"/>
          </w:tcPr>
          <w:p w:rsidR="008967E5" w:rsidRPr="00FE4866" w:rsidRDefault="008967E5" w:rsidP="007A10B5">
            <w:pPr>
              <w:pStyle w:val="xl24"/>
              <w:spacing w:before="0" w:after="0"/>
              <w:jc w:val="center"/>
              <w:rPr>
                <w:sz w:val="20"/>
                <w:u w:val="none"/>
              </w:rPr>
            </w:pPr>
            <w:r>
              <w:rPr>
                <w:sz w:val="20"/>
                <w:u w:val="none"/>
              </w:rPr>
              <w:t>7</w:t>
            </w:r>
          </w:p>
        </w:tc>
        <w:tc>
          <w:tcPr>
            <w:tcW w:w="671" w:type="dxa"/>
            <w:vAlign w:val="center"/>
          </w:tcPr>
          <w:p w:rsidR="008967E5" w:rsidRPr="007A10B5" w:rsidRDefault="008967E5" w:rsidP="007A10B5">
            <w:pPr>
              <w:pStyle w:val="xl24"/>
              <w:spacing w:before="0" w:after="0"/>
              <w:jc w:val="center"/>
              <w:rPr>
                <w:sz w:val="20"/>
                <w:u w:val="none"/>
              </w:rPr>
            </w:pPr>
            <w:r>
              <w:rPr>
                <w:sz w:val="20"/>
                <w:u w:val="none"/>
              </w:rPr>
              <w:t>7</w:t>
            </w:r>
          </w:p>
        </w:tc>
        <w:tc>
          <w:tcPr>
            <w:tcW w:w="1292" w:type="dxa"/>
            <w:vAlign w:val="center"/>
          </w:tcPr>
          <w:p w:rsidR="008967E5" w:rsidRPr="005172F3" w:rsidRDefault="008967E5" w:rsidP="00B91A30">
            <w:pPr>
              <w:pStyle w:val="xl24"/>
              <w:spacing w:before="0" w:after="0"/>
              <w:jc w:val="center"/>
              <w:rPr>
                <w:sz w:val="20"/>
                <w:u w:val="none"/>
              </w:rPr>
            </w:pPr>
            <w:r>
              <w:rPr>
                <w:sz w:val="20"/>
                <w:u w:val="none"/>
              </w:rPr>
              <w:t>$  6,000</w:t>
            </w:r>
          </w:p>
        </w:tc>
        <w:tc>
          <w:tcPr>
            <w:tcW w:w="671" w:type="dxa"/>
            <w:vAlign w:val="center"/>
          </w:tcPr>
          <w:p w:rsidR="008967E5" w:rsidRPr="00FE4866" w:rsidRDefault="008967E5" w:rsidP="007A10B5">
            <w:pPr>
              <w:pStyle w:val="xl24"/>
              <w:spacing w:before="0" w:after="0"/>
              <w:jc w:val="center"/>
              <w:rPr>
                <w:sz w:val="20"/>
                <w:u w:val="none"/>
              </w:rPr>
            </w:pPr>
            <w:r>
              <w:rPr>
                <w:sz w:val="20"/>
                <w:u w:val="none"/>
              </w:rPr>
              <w:t>7</w:t>
            </w:r>
          </w:p>
        </w:tc>
        <w:tc>
          <w:tcPr>
            <w:tcW w:w="671" w:type="dxa"/>
            <w:vAlign w:val="center"/>
          </w:tcPr>
          <w:p w:rsidR="008967E5" w:rsidRPr="00FE4866" w:rsidRDefault="008967E5" w:rsidP="007A10B5">
            <w:pPr>
              <w:pStyle w:val="xl24"/>
              <w:spacing w:before="0" w:after="0"/>
              <w:jc w:val="center"/>
              <w:rPr>
                <w:sz w:val="20"/>
                <w:u w:val="none"/>
              </w:rPr>
            </w:pPr>
            <w:r>
              <w:rPr>
                <w:sz w:val="20"/>
                <w:u w:val="none"/>
              </w:rPr>
              <w:t>7</w:t>
            </w:r>
          </w:p>
        </w:tc>
        <w:tc>
          <w:tcPr>
            <w:tcW w:w="1292" w:type="dxa"/>
            <w:vAlign w:val="center"/>
          </w:tcPr>
          <w:p w:rsidR="008967E5" w:rsidRPr="00170EF3" w:rsidRDefault="008967E5" w:rsidP="007A10B5">
            <w:pPr>
              <w:pStyle w:val="xl24"/>
              <w:spacing w:before="0" w:after="0"/>
              <w:jc w:val="center"/>
              <w:rPr>
                <w:sz w:val="20"/>
                <w:u w:val="none"/>
              </w:rPr>
            </w:pPr>
            <w:r>
              <w:rPr>
                <w:sz w:val="20"/>
                <w:u w:val="none"/>
              </w:rPr>
              <w:t>$  6,000</w:t>
            </w:r>
          </w:p>
        </w:tc>
        <w:tc>
          <w:tcPr>
            <w:tcW w:w="671" w:type="dxa"/>
            <w:vAlign w:val="center"/>
          </w:tcPr>
          <w:p w:rsidR="008967E5" w:rsidRDefault="008967E5" w:rsidP="007A10B5">
            <w:pPr>
              <w:pStyle w:val="xl24"/>
              <w:spacing w:before="0" w:after="0"/>
              <w:jc w:val="center"/>
              <w:rPr>
                <w:sz w:val="20"/>
                <w:u w:val="none"/>
              </w:rPr>
            </w:pPr>
            <w:r>
              <w:rPr>
                <w:sz w:val="20"/>
                <w:u w:val="none"/>
              </w:rPr>
              <w:t>7</w:t>
            </w:r>
          </w:p>
        </w:tc>
        <w:tc>
          <w:tcPr>
            <w:tcW w:w="671" w:type="dxa"/>
            <w:vAlign w:val="center"/>
          </w:tcPr>
          <w:p w:rsidR="008967E5" w:rsidRDefault="008967E5" w:rsidP="007A10B5">
            <w:pPr>
              <w:pStyle w:val="xl24"/>
              <w:spacing w:before="0" w:after="0"/>
              <w:jc w:val="center"/>
              <w:rPr>
                <w:sz w:val="20"/>
                <w:u w:val="none"/>
              </w:rPr>
            </w:pPr>
            <w:r>
              <w:rPr>
                <w:sz w:val="20"/>
                <w:u w:val="none"/>
              </w:rPr>
              <w:t>7</w:t>
            </w:r>
          </w:p>
        </w:tc>
        <w:tc>
          <w:tcPr>
            <w:tcW w:w="1294" w:type="dxa"/>
            <w:vAlign w:val="center"/>
          </w:tcPr>
          <w:p w:rsidR="008967E5" w:rsidRPr="00170EF3" w:rsidRDefault="008967E5" w:rsidP="007A10B5">
            <w:pPr>
              <w:pStyle w:val="xl24"/>
              <w:spacing w:before="0" w:after="0"/>
              <w:jc w:val="center"/>
              <w:rPr>
                <w:sz w:val="20"/>
                <w:u w:val="none"/>
              </w:rPr>
            </w:pPr>
            <w:r>
              <w:rPr>
                <w:sz w:val="20"/>
                <w:u w:val="none"/>
              </w:rPr>
              <w:t>$  6,059</w:t>
            </w:r>
          </w:p>
        </w:tc>
      </w:tr>
      <w:tr w:rsidR="008967E5" w:rsidTr="007A10B5">
        <w:tc>
          <w:tcPr>
            <w:tcW w:w="1263" w:type="dxa"/>
          </w:tcPr>
          <w:p w:rsidR="008967E5" w:rsidRPr="00170EF3" w:rsidRDefault="008967E5" w:rsidP="00170EF3">
            <w:pPr>
              <w:pStyle w:val="xl24"/>
              <w:spacing w:before="0" w:after="0"/>
              <w:rPr>
                <w:sz w:val="20"/>
                <w:u w:val="none"/>
              </w:rPr>
            </w:pPr>
            <w:r>
              <w:rPr>
                <w:sz w:val="20"/>
                <w:u w:val="none"/>
              </w:rPr>
              <w:t>PPS</w:t>
            </w:r>
          </w:p>
        </w:tc>
        <w:tc>
          <w:tcPr>
            <w:tcW w:w="672" w:type="dxa"/>
            <w:vAlign w:val="center"/>
          </w:tcPr>
          <w:p w:rsidR="008967E5" w:rsidRPr="00FE4866" w:rsidRDefault="008967E5" w:rsidP="005511E3">
            <w:pPr>
              <w:pStyle w:val="xl24"/>
              <w:spacing w:before="0" w:after="0"/>
              <w:jc w:val="center"/>
              <w:rPr>
                <w:sz w:val="20"/>
                <w:u w:val="none"/>
              </w:rPr>
            </w:pPr>
            <w:r>
              <w:rPr>
                <w:sz w:val="20"/>
                <w:u w:val="none"/>
              </w:rPr>
              <w:t>25</w:t>
            </w:r>
          </w:p>
        </w:tc>
        <w:tc>
          <w:tcPr>
            <w:tcW w:w="671" w:type="dxa"/>
            <w:vAlign w:val="center"/>
          </w:tcPr>
          <w:p w:rsidR="008967E5" w:rsidRPr="007A10B5" w:rsidRDefault="008967E5" w:rsidP="007A10B5">
            <w:pPr>
              <w:pStyle w:val="xl24"/>
              <w:spacing w:before="0" w:after="0"/>
              <w:jc w:val="center"/>
              <w:rPr>
                <w:sz w:val="20"/>
                <w:u w:val="none"/>
              </w:rPr>
            </w:pPr>
            <w:r>
              <w:rPr>
                <w:sz w:val="20"/>
                <w:u w:val="none"/>
              </w:rPr>
              <w:t>25</w:t>
            </w:r>
          </w:p>
        </w:tc>
        <w:tc>
          <w:tcPr>
            <w:tcW w:w="1292" w:type="dxa"/>
            <w:vAlign w:val="center"/>
          </w:tcPr>
          <w:p w:rsidR="008967E5" w:rsidRPr="005172F3" w:rsidRDefault="008967E5" w:rsidP="007A10B5">
            <w:pPr>
              <w:pStyle w:val="xl24"/>
              <w:spacing w:before="0" w:after="0"/>
              <w:jc w:val="center"/>
              <w:rPr>
                <w:sz w:val="20"/>
                <w:u w:val="none"/>
              </w:rPr>
            </w:pPr>
            <w:r>
              <w:rPr>
                <w:sz w:val="20"/>
                <w:u w:val="none"/>
              </w:rPr>
              <w:t>$  6,930</w:t>
            </w:r>
          </w:p>
        </w:tc>
        <w:tc>
          <w:tcPr>
            <w:tcW w:w="671" w:type="dxa"/>
            <w:vAlign w:val="center"/>
          </w:tcPr>
          <w:p w:rsidR="008967E5" w:rsidRPr="00FE4866" w:rsidRDefault="008967E5" w:rsidP="007A10B5">
            <w:pPr>
              <w:pStyle w:val="xl24"/>
              <w:spacing w:before="0" w:after="0"/>
              <w:jc w:val="center"/>
              <w:rPr>
                <w:sz w:val="20"/>
                <w:u w:val="none"/>
              </w:rPr>
            </w:pPr>
            <w:r>
              <w:rPr>
                <w:sz w:val="20"/>
                <w:u w:val="none"/>
              </w:rPr>
              <w:t>25</w:t>
            </w:r>
          </w:p>
        </w:tc>
        <w:tc>
          <w:tcPr>
            <w:tcW w:w="671" w:type="dxa"/>
            <w:vAlign w:val="center"/>
          </w:tcPr>
          <w:p w:rsidR="008967E5" w:rsidRPr="00FE4866" w:rsidRDefault="008967E5" w:rsidP="007A10B5">
            <w:pPr>
              <w:pStyle w:val="xl24"/>
              <w:spacing w:before="0" w:after="0"/>
              <w:jc w:val="center"/>
              <w:rPr>
                <w:sz w:val="20"/>
                <w:u w:val="none"/>
              </w:rPr>
            </w:pPr>
            <w:r>
              <w:rPr>
                <w:sz w:val="20"/>
                <w:u w:val="none"/>
              </w:rPr>
              <w:t>25</w:t>
            </w:r>
          </w:p>
        </w:tc>
        <w:tc>
          <w:tcPr>
            <w:tcW w:w="1292" w:type="dxa"/>
            <w:vAlign w:val="center"/>
          </w:tcPr>
          <w:p w:rsidR="008967E5" w:rsidRPr="00170EF3" w:rsidRDefault="008967E5" w:rsidP="007A10B5">
            <w:pPr>
              <w:pStyle w:val="xl24"/>
              <w:spacing w:before="0" w:after="0"/>
              <w:jc w:val="center"/>
              <w:rPr>
                <w:sz w:val="20"/>
                <w:u w:val="none"/>
              </w:rPr>
            </w:pPr>
            <w:r>
              <w:rPr>
                <w:sz w:val="20"/>
                <w:u w:val="none"/>
              </w:rPr>
              <w:t>$  6,930</w:t>
            </w:r>
          </w:p>
        </w:tc>
        <w:tc>
          <w:tcPr>
            <w:tcW w:w="671" w:type="dxa"/>
            <w:vAlign w:val="center"/>
          </w:tcPr>
          <w:p w:rsidR="008967E5" w:rsidRDefault="008967E5" w:rsidP="007A10B5">
            <w:pPr>
              <w:pStyle w:val="xl24"/>
              <w:spacing w:before="0" w:after="0"/>
              <w:jc w:val="center"/>
              <w:rPr>
                <w:sz w:val="20"/>
                <w:u w:val="none"/>
              </w:rPr>
            </w:pPr>
            <w:r>
              <w:rPr>
                <w:sz w:val="20"/>
                <w:u w:val="none"/>
              </w:rPr>
              <w:t>25</w:t>
            </w:r>
          </w:p>
        </w:tc>
        <w:tc>
          <w:tcPr>
            <w:tcW w:w="671" w:type="dxa"/>
            <w:vAlign w:val="center"/>
          </w:tcPr>
          <w:p w:rsidR="008967E5" w:rsidRDefault="008967E5" w:rsidP="007A10B5">
            <w:pPr>
              <w:pStyle w:val="xl24"/>
              <w:spacing w:before="0" w:after="0"/>
              <w:jc w:val="center"/>
              <w:rPr>
                <w:sz w:val="20"/>
                <w:u w:val="none"/>
              </w:rPr>
            </w:pPr>
            <w:r>
              <w:rPr>
                <w:sz w:val="20"/>
                <w:u w:val="none"/>
              </w:rPr>
              <w:t>25</w:t>
            </w:r>
          </w:p>
        </w:tc>
        <w:tc>
          <w:tcPr>
            <w:tcW w:w="1294" w:type="dxa"/>
            <w:vAlign w:val="center"/>
          </w:tcPr>
          <w:p w:rsidR="008967E5" w:rsidRPr="00170EF3" w:rsidRDefault="008967E5" w:rsidP="007A10B5">
            <w:pPr>
              <w:pStyle w:val="xl24"/>
              <w:spacing w:before="0" w:after="0"/>
              <w:jc w:val="center"/>
              <w:rPr>
                <w:sz w:val="20"/>
                <w:u w:val="none"/>
              </w:rPr>
            </w:pPr>
            <w:r>
              <w:rPr>
                <w:sz w:val="20"/>
                <w:u w:val="none"/>
              </w:rPr>
              <w:t>$   7,171</w:t>
            </w:r>
          </w:p>
        </w:tc>
      </w:tr>
      <w:tr w:rsidR="008967E5" w:rsidTr="007A10B5">
        <w:tc>
          <w:tcPr>
            <w:tcW w:w="1263" w:type="dxa"/>
          </w:tcPr>
          <w:p w:rsidR="008967E5" w:rsidRPr="00170EF3" w:rsidRDefault="008967E5" w:rsidP="001D4B5E">
            <w:pPr>
              <w:pStyle w:val="xl24"/>
              <w:spacing w:before="0" w:after="0"/>
              <w:jc w:val="right"/>
              <w:rPr>
                <w:sz w:val="20"/>
                <w:u w:val="none"/>
              </w:rPr>
            </w:pPr>
            <w:r w:rsidRPr="00170EF3">
              <w:rPr>
                <w:sz w:val="20"/>
                <w:u w:val="none"/>
              </w:rPr>
              <w:t>Total</w:t>
            </w:r>
          </w:p>
        </w:tc>
        <w:tc>
          <w:tcPr>
            <w:tcW w:w="672" w:type="dxa"/>
            <w:vAlign w:val="center"/>
          </w:tcPr>
          <w:p w:rsidR="008967E5" w:rsidRPr="00FE4866" w:rsidRDefault="008967E5" w:rsidP="005511E3">
            <w:pPr>
              <w:pStyle w:val="xl24"/>
              <w:spacing w:before="0" w:after="0"/>
              <w:jc w:val="center"/>
              <w:rPr>
                <w:sz w:val="20"/>
                <w:u w:val="none"/>
              </w:rPr>
            </w:pPr>
            <w:r>
              <w:rPr>
                <w:sz w:val="20"/>
                <w:u w:val="none"/>
              </w:rPr>
              <w:t>41</w:t>
            </w:r>
          </w:p>
        </w:tc>
        <w:tc>
          <w:tcPr>
            <w:tcW w:w="671" w:type="dxa"/>
            <w:vAlign w:val="center"/>
          </w:tcPr>
          <w:p w:rsidR="008967E5" w:rsidRPr="007A10B5" w:rsidRDefault="008967E5" w:rsidP="007A10B5">
            <w:pPr>
              <w:pStyle w:val="xl24"/>
              <w:spacing w:before="0" w:after="0"/>
              <w:jc w:val="center"/>
              <w:rPr>
                <w:sz w:val="20"/>
                <w:u w:val="none"/>
              </w:rPr>
            </w:pPr>
            <w:r>
              <w:rPr>
                <w:sz w:val="20"/>
                <w:u w:val="none"/>
              </w:rPr>
              <w:t>41</w:t>
            </w:r>
          </w:p>
        </w:tc>
        <w:tc>
          <w:tcPr>
            <w:tcW w:w="1292" w:type="dxa"/>
            <w:vAlign w:val="center"/>
          </w:tcPr>
          <w:p w:rsidR="008967E5" w:rsidRPr="005172F3" w:rsidRDefault="008967E5" w:rsidP="007A10B5">
            <w:pPr>
              <w:pStyle w:val="xl24"/>
              <w:spacing w:before="0" w:after="0"/>
              <w:jc w:val="center"/>
              <w:rPr>
                <w:sz w:val="20"/>
                <w:u w:val="none"/>
              </w:rPr>
            </w:pPr>
            <w:r>
              <w:rPr>
                <w:sz w:val="20"/>
                <w:u w:val="none"/>
              </w:rPr>
              <w:t>$33,266</w:t>
            </w:r>
          </w:p>
        </w:tc>
        <w:tc>
          <w:tcPr>
            <w:tcW w:w="671" w:type="dxa"/>
            <w:vAlign w:val="center"/>
          </w:tcPr>
          <w:p w:rsidR="008967E5" w:rsidRPr="00FE4866" w:rsidRDefault="008967E5" w:rsidP="007A10B5">
            <w:pPr>
              <w:pStyle w:val="xl24"/>
              <w:spacing w:before="0" w:after="0"/>
              <w:jc w:val="center"/>
              <w:rPr>
                <w:sz w:val="20"/>
                <w:u w:val="none"/>
              </w:rPr>
            </w:pPr>
            <w:r>
              <w:rPr>
                <w:sz w:val="20"/>
                <w:u w:val="none"/>
              </w:rPr>
              <w:t>41</w:t>
            </w:r>
          </w:p>
        </w:tc>
        <w:tc>
          <w:tcPr>
            <w:tcW w:w="671" w:type="dxa"/>
            <w:vAlign w:val="center"/>
          </w:tcPr>
          <w:p w:rsidR="008967E5" w:rsidRPr="00FE4866" w:rsidRDefault="008967E5" w:rsidP="007A10B5">
            <w:pPr>
              <w:pStyle w:val="xl24"/>
              <w:spacing w:before="0" w:after="0"/>
              <w:jc w:val="center"/>
              <w:rPr>
                <w:sz w:val="20"/>
                <w:u w:val="none"/>
              </w:rPr>
            </w:pPr>
            <w:r>
              <w:rPr>
                <w:sz w:val="20"/>
                <w:u w:val="none"/>
              </w:rPr>
              <w:t>41</w:t>
            </w:r>
          </w:p>
        </w:tc>
        <w:tc>
          <w:tcPr>
            <w:tcW w:w="1292" w:type="dxa"/>
            <w:vAlign w:val="center"/>
          </w:tcPr>
          <w:p w:rsidR="008967E5" w:rsidRPr="00170EF3" w:rsidRDefault="008967E5" w:rsidP="007A10B5">
            <w:pPr>
              <w:pStyle w:val="xl24"/>
              <w:spacing w:before="0" w:after="0"/>
              <w:jc w:val="center"/>
              <w:rPr>
                <w:sz w:val="20"/>
                <w:u w:val="none"/>
              </w:rPr>
            </w:pPr>
            <w:r>
              <w:rPr>
                <w:sz w:val="20"/>
                <w:u w:val="none"/>
              </w:rPr>
              <w:t>$33,266</w:t>
            </w:r>
          </w:p>
        </w:tc>
        <w:tc>
          <w:tcPr>
            <w:tcW w:w="671" w:type="dxa"/>
            <w:vAlign w:val="center"/>
          </w:tcPr>
          <w:p w:rsidR="008967E5" w:rsidRPr="00170EF3" w:rsidRDefault="008967E5" w:rsidP="007A10B5">
            <w:pPr>
              <w:pStyle w:val="xl24"/>
              <w:spacing w:before="0" w:after="0"/>
              <w:jc w:val="center"/>
              <w:rPr>
                <w:sz w:val="20"/>
                <w:u w:val="none"/>
              </w:rPr>
            </w:pPr>
            <w:r>
              <w:rPr>
                <w:sz w:val="20"/>
                <w:u w:val="none"/>
              </w:rPr>
              <w:t>41</w:t>
            </w:r>
          </w:p>
        </w:tc>
        <w:tc>
          <w:tcPr>
            <w:tcW w:w="671" w:type="dxa"/>
            <w:vAlign w:val="center"/>
          </w:tcPr>
          <w:p w:rsidR="008967E5" w:rsidRPr="00170EF3" w:rsidRDefault="008967E5" w:rsidP="007A10B5">
            <w:pPr>
              <w:pStyle w:val="xl24"/>
              <w:spacing w:before="0" w:after="0"/>
              <w:jc w:val="center"/>
              <w:rPr>
                <w:sz w:val="20"/>
                <w:u w:val="none"/>
              </w:rPr>
            </w:pPr>
            <w:r>
              <w:rPr>
                <w:sz w:val="20"/>
                <w:u w:val="none"/>
              </w:rPr>
              <w:t>41</w:t>
            </w:r>
          </w:p>
        </w:tc>
        <w:tc>
          <w:tcPr>
            <w:tcW w:w="1294" w:type="dxa"/>
            <w:vAlign w:val="center"/>
          </w:tcPr>
          <w:p w:rsidR="008967E5" w:rsidRPr="00170EF3" w:rsidRDefault="008967E5" w:rsidP="007A10B5">
            <w:pPr>
              <w:pStyle w:val="xl24"/>
              <w:spacing w:before="0" w:after="0"/>
              <w:jc w:val="center"/>
              <w:rPr>
                <w:sz w:val="20"/>
                <w:u w:val="none"/>
              </w:rPr>
            </w:pPr>
            <w:r>
              <w:rPr>
                <w:sz w:val="20"/>
                <w:u w:val="none"/>
              </w:rPr>
              <w:t>$33,647</w:t>
            </w:r>
          </w:p>
        </w:tc>
      </w:tr>
    </w:tbl>
    <w:p w:rsidR="008967E5" w:rsidRDefault="008967E5" w:rsidP="008063A3">
      <w:pPr>
        <w:pStyle w:val="xl24"/>
        <w:spacing w:before="0" w:after="0"/>
      </w:pPr>
    </w:p>
    <w:p w:rsidR="008967E5" w:rsidRDefault="008967E5" w:rsidP="008063A3">
      <w:pPr>
        <w:pStyle w:val="BodyText"/>
        <w:rPr>
          <w:u w:val="single"/>
        </w:rPr>
      </w:pPr>
    </w:p>
    <w:p w:rsidR="008967E5" w:rsidRDefault="008967E5" w:rsidP="008063A3">
      <w:pPr>
        <w:pStyle w:val="BodyText"/>
      </w:pPr>
      <w:r>
        <w:rPr>
          <w:u w:val="single"/>
        </w:rPr>
        <w:t>Personnel Reduction Cost Summary</w:t>
      </w:r>
    </w:p>
    <w:p w:rsidR="008967E5" w:rsidRDefault="008967E5" w:rsidP="008063A3">
      <w:pPr>
        <w:pStyle w:val="BodyText"/>
        <w:rPr>
          <w:sz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5"/>
        <w:gridCol w:w="1433"/>
        <w:gridCol w:w="1440"/>
        <w:gridCol w:w="1530"/>
        <w:gridCol w:w="1890"/>
        <w:gridCol w:w="1890"/>
      </w:tblGrid>
      <w:tr w:rsidR="008967E5" w:rsidTr="001D4B5E">
        <w:tc>
          <w:tcPr>
            <w:tcW w:w="1645" w:type="dxa"/>
            <w:shd w:val="clear" w:color="auto" w:fill="E6E6E6"/>
            <w:vAlign w:val="center"/>
          </w:tcPr>
          <w:p w:rsidR="008967E5" w:rsidRDefault="008967E5" w:rsidP="001D4B5E">
            <w:pPr>
              <w:jc w:val="center"/>
              <w:rPr>
                <w:sz w:val="20"/>
              </w:rPr>
            </w:pPr>
            <w:r>
              <w:rPr>
                <w:sz w:val="20"/>
              </w:rPr>
              <w:t>Type of Position</w:t>
            </w:r>
          </w:p>
        </w:tc>
        <w:tc>
          <w:tcPr>
            <w:tcW w:w="1433" w:type="dxa"/>
            <w:vAlign w:val="center"/>
          </w:tcPr>
          <w:p w:rsidR="008967E5" w:rsidRDefault="008967E5" w:rsidP="001D4B5E">
            <w:pPr>
              <w:jc w:val="center"/>
              <w:rPr>
                <w:sz w:val="20"/>
              </w:rPr>
            </w:pPr>
            <w:r>
              <w:rPr>
                <w:sz w:val="20"/>
              </w:rPr>
              <w:t>Modular Cost</w:t>
            </w:r>
          </w:p>
          <w:p w:rsidR="008967E5" w:rsidRDefault="008967E5" w:rsidP="001D4B5E">
            <w:pPr>
              <w:jc w:val="center"/>
              <w:rPr>
                <w:sz w:val="20"/>
              </w:rPr>
            </w:pPr>
            <w:r>
              <w:rPr>
                <w:sz w:val="20"/>
              </w:rPr>
              <w:t>per Position</w:t>
            </w:r>
          </w:p>
          <w:p w:rsidR="008967E5" w:rsidRDefault="008967E5" w:rsidP="001D4B5E">
            <w:pPr>
              <w:jc w:val="center"/>
              <w:rPr>
                <w:sz w:val="20"/>
              </w:rPr>
            </w:pPr>
            <w:r>
              <w:rPr>
                <w:sz w:val="20"/>
              </w:rPr>
              <w:t>($000)</w:t>
            </w:r>
          </w:p>
        </w:tc>
        <w:tc>
          <w:tcPr>
            <w:tcW w:w="1440" w:type="dxa"/>
            <w:vAlign w:val="center"/>
          </w:tcPr>
          <w:p w:rsidR="008967E5" w:rsidRDefault="008967E5" w:rsidP="001D4B5E">
            <w:pPr>
              <w:jc w:val="center"/>
              <w:rPr>
                <w:sz w:val="20"/>
              </w:rPr>
            </w:pPr>
            <w:r>
              <w:rPr>
                <w:sz w:val="20"/>
              </w:rPr>
              <w:t>Number of</w:t>
            </w:r>
          </w:p>
          <w:p w:rsidR="008967E5" w:rsidRDefault="008967E5" w:rsidP="001D4B5E">
            <w:pPr>
              <w:jc w:val="center"/>
              <w:rPr>
                <w:sz w:val="20"/>
              </w:rPr>
            </w:pPr>
            <w:r>
              <w:rPr>
                <w:sz w:val="20"/>
              </w:rPr>
              <w:t>Positions</w:t>
            </w:r>
          </w:p>
          <w:p w:rsidR="008967E5" w:rsidRDefault="008967E5" w:rsidP="001D4B5E">
            <w:pPr>
              <w:jc w:val="center"/>
              <w:rPr>
                <w:sz w:val="20"/>
              </w:rPr>
            </w:pPr>
            <w:r>
              <w:rPr>
                <w:sz w:val="20"/>
              </w:rPr>
              <w:t>Reduced</w:t>
            </w:r>
          </w:p>
        </w:tc>
        <w:tc>
          <w:tcPr>
            <w:tcW w:w="1530" w:type="dxa"/>
            <w:vAlign w:val="center"/>
          </w:tcPr>
          <w:p w:rsidR="008967E5" w:rsidRDefault="008967E5" w:rsidP="001D4B5E">
            <w:pPr>
              <w:jc w:val="center"/>
              <w:rPr>
                <w:sz w:val="20"/>
              </w:rPr>
            </w:pPr>
            <w:r>
              <w:rPr>
                <w:sz w:val="20"/>
              </w:rPr>
              <w:t>FY 2012</w:t>
            </w:r>
          </w:p>
          <w:p w:rsidR="008967E5" w:rsidRDefault="008967E5" w:rsidP="001D4B5E">
            <w:pPr>
              <w:jc w:val="center"/>
              <w:rPr>
                <w:sz w:val="20"/>
              </w:rPr>
            </w:pPr>
            <w:r>
              <w:rPr>
                <w:sz w:val="20"/>
              </w:rPr>
              <w:t>Request</w:t>
            </w:r>
          </w:p>
          <w:p w:rsidR="008967E5" w:rsidRDefault="008967E5" w:rsidP="001D4B5E">
            <w:pPr>
              <w:jc w:val="center"/>
              <w:rPr>
                <w:sz w:val="20"/>
              </w:rPr>
            </w:pPr>
            <w:r>
              <w:rPr>
                <w:sz w:val="20"/>
              </w:rPr>
              <w:t>($000)</w:t>
            </w:r>
          </w:p>
        </w:tc>
        <w:tc>
          <w:tcPr>
            <w:tcW w:w="1890" w:type="dxa"/>
            <w:vAlign w:val="center"/>
          </w:tcPr>
          <w:p w:rsidR="008967E5" w:rsidRDefault="008967E5" w:rsidP="001D4B5E">
            <w:pPr>
              <w:jc w:val="center"/>
              <w:rPr>
                <w:sz w:val="20"/>
              </w:rPr>
            </w:pPr>
            <w:r>
              <w:rPr>
                <w:sz w:val="20"/>
              </w:rPr>
              <w:t>FY 2013 Net</w:t>
            </w:r>
          </w:p>
          <w:p w:rsidR="008967E5" w:rsidRDefault="008967E5" w:rsidP="001D4B5E">
            <w:pPr>
              <w:jc w:val="center"/>
              <w:rPr>
                <w:sz w:val="20"/>
              </w:rPr>
            </w:pPr>
            <w:r>
              <w:rPr>
                <w:sz w:val="20"/>
              </w:rPr>
              <w:t>Annualization (change from 2012)</w:t>
            </w:r>
          </w:p>
          <w:p w:rsidR="008967E5" w:rsidRDefault="008967E5" w:rsidP="001D4B5E">
            <w:pPr>
              <w:jc w:val="center"/>
              <w:rPr>
                <w:sz w:val="20"/>
              </w:rPr>
            </w:pPr>
            <w:r>
              <w:rPr>
                <w:sz w:val="20"/>
              </w:rPr>
              <w:t>($000)</w:t>
            </w:r>
          </w:p>
        </w:tc>
        <w:tc>
          <w:tcPr>
            <w:tcW w:w="1890" w:type="dxa"/>
          </w:tcPr>
          <w:p w:rsidR="008967E5" w:rsidRDefault="008967E5" w:rsidP="001D4B5E">
            <w:pPr>
              <w:jc w:val="center"/>
              <w:rPr>
                <w:sz w:val="20"/>
              </w:rPr>
            </w:pPr>
            <w:r>
              <w:rPr>
                <w:sz w:val="20"/>
              </w:rPr>
              <w:t>FY 2014 Net</w:t>
            </w:r>
          </w:p>
          <w:p w:rsidR="008967E5" w:rsidRDefault="008967E5" w:rsidP="001D4B5E">
            <w:pPr>
              <w:jc w:val="center"/>
              <w:rPr>
                <w:sz w:val="20"/>
              </w:rPr>
            </w:pPr>
            <w:r>
              <w:rPr>
                <w:sz w:val="20"/>
              </w:rPr>
              <w:t>Annualization (change from 2013)</w:t>
            </w:r>
          </w:p>
          <w:p w:rsidR="008967E5" w:rsidRDefault="008967E5" w:rsidP="001D4B5E">
            <w:pPr>
              <w:jc w:val="center"/>
              <w:rPr>
                <w:sz w:val="20"/>
              </w:rPr>
            </w:pPr>
            <w:r>
              <w:rPr>
                <w:sz w:val="20"/>
              </w:rPr>
              <w:t>($000)</w:t>
            </w:r>
          </w:p>
        </w:tc>
      </w:tr>
      <w:tr w:rsidR="008967E5" w:rsidTr="001D4B5E">
        <w:tc>
          <w:tcPr>
            <w:tcW w:w="1645" w:type="dxa"/>
          </w:tcPr>
          <w:p w:rsidR="008967E5" w:rsidRDefault="008967E5" w:rsidP="001D4B5E">
            <w:pPr>
              <w:rPr>
                <w:sz w:val="20"/>
              </w:rPr>
            </w:pPr>
          </w:p>
        </w:tc>
        <w:tc>
          <w:tcPr>
            <w:tcW w:w="1433" w:type="dxa"/>
            <w:vAlign w:val="center"/>
          </w:tcPr>
          <w:p w:rsidR="008967E5" w:rsidRDefault="008967E5" w:rsidP="001D4B5E">
            <w:pPr>
              <w:jc w:val="right"/>
              <w:rPr>
                <w:sz w:val="20"/>
              </w:rPr>
            </w:pPr>
          </w:p>
        </w:tc>
        <w:tc>
          <w:tcPr>
            <w:tcW w:w="1440" w:type="dxa"/>
            <w:vAlign w:val="center"/>
          </w:tcPr>
          <w:p w:rsidR="008967E5" w:rsidRDefault="008967E5" w:rsidP="001D4B5E">
            <w:pPr>
              <w:jc w:val="right"/>
              <w:rPr>
                <w:sz w:val="20"/>
              </w:rPr>
            </w:pPr>
          </w:p>
        </w:tc>
        <w:tc>
          <w:tcPr>
            <w:tcW w:w="1530" w:type="dxa"/>
            <w:vAlign w:val="center"/>
          </w:tcPr>
          <w:p w:rsidR="008967E5" w:rsidRDefault="008967E5" w:rsidP="001D4B5E">
            <w:pPr>
              <w:jc w:val="right"/>
              <w:rPr>
                <w:sz w:val="20"/>
              </w:rPr>
            </w:pPr>
          </w:p>
        </w:tc>
        <w:tc>
          <w:tcPr>
            <w:tcW w:w="1890" w:type="dxa"/>
            <w:vAlign w:val="center"/>
          </w:tcPr>
          <w:p w:rsidR="008967E5" w:rsidRDefault="008967E5" w:rsidP="001D4B5E">
            <w:pPr>
              <w:jc w:val="right"/>
              <w:rPr>
                <w:sz w:val="20"/>
              </w:rPr>
            </w:pPr>
          </w:p>
        </w:tc>
        <w:tc>
          <w:tcPr>
            <w:tcW w:w="1890" w:type="dxa"/>
          </w:tcPr>
          <w:p w:rsidR="008967E5" w:rsidRDefault="008967E5" w:rsidP="001D4B5E">
            <w:pPr>
              <w:jc w:val="right"/>
              <w:rPr>
                <w:sz w:val="20"/>
              </w:rPr>
            </w:pPr>
          </w:p>
        </w:tc>
      </w:tr>
      <w:tr w:rsidR="008967E5" w:rsidTr="001D4B5E">
        <w:tc>
          <w:tcPr>
            <w:tcW w:w="1645" w:type="dxa"/>
          </w:tcPr>
          <w:p w:rsidR="008967E5" w:rsidRDefault="008967E5" w:rsidP="001D4B5E">
            <w:pPr>
              <w:rPr>
                <w:sz w:val="20"/>
              </w:rPr>
            </w:pPr>
            <w:r>
              <w:rPr>
                <w:sz w:val="20"/>
              </w:rPr>
              <w:t>Total Personnel</w:t>
            </w:r>
          </w:p>
        </w:tc>
        <w:tc>
          <w:tcPr>
            <w:tcW w:w="1433" w:type="dxa"/>
            <w:vAlign w:val="center"/>
          </w:tcPr>
          <w:p w:rsidR="008967E5" w:rsidRDefault="008967E5" w:rsidP="001D4B5E">
            <w:pPr>
              <w:jc w:val="right"/>
              <w:rPr>
                <w:sz w:val="20"/>
              </w:rPr>
            </w:pPr>
          </w:p>
        </w:tc>
        <w:tc>
          <w:tcPr>
            <w:tcW w:w="1440" w:type="dxa"/>
            <w:vAlign w:val="center"/>
          </w:tcPr>
          <w:p w:rsidR="008967E5" w:rsidRDefault="008967E5" w:rsidP="001D4B5E">
            <w:pPr>
              <w:jc w:val="right"/>
              <w:rPr>
                <w:sz w:val="20"/>
              </w:rPr>
            </w:pPr>
            <w:r>
              <w:rPr>
                <w:sz w:val="20"/>
              </w:rPr>
              <w:t>0</w:t>
            </w:r>
          </w:p>
        </w:tc>
        <w:tc>
          <w:tcPr>
            <w:tcW w:w="1530" w:type="dxa"/>
            <w:vAlign w:val="center"/>
          </w:tcPr>
          <w:p w:rsidR="008967E5" w:rsidRDefault="008967E5" w:rsidP="001D4B5E">
            <w:pPr>
              <w:jc w:val="right"/>
              <w:rPr>
                <w:sz w:val="20"/>
              </w:rPr>
            </w:pPr>
            <w:r>
              <w:rPr>
                <w:sz w:val="20"/>
              </w:rPr>
              <w:t>0</w:t>
            </w:r>
          </w:p>
        </w:tc>
        <w:tc>
          <w:tcPr>
            <w:tcW w:w="1890" w:type="dxa"/>
            <w:vAlign w:val="center"/>
          </w:tcPr>
          <w:p w:rsidR="008967E5" w:rsidRDefault="008967E5" w:rsidP="001D4B5E">
            <w:pPr>
              <w:jc w:val="right"/>
              <w:rPr>
                <w:sz w:val="20"/>
              </w:rPr>
            </w:pPr>
            <w:r>
              <w:rPr>
                <w:sz w:val="20"/>
              </w:rPr>
              <w:t>0</w:t>
            </w:r>
          </w:p>
        </w:tc>
        <w:tc>
          <w:tcPr>
            <w:tcW w:w="1890" w:type="dxa"/>
          </w:tcPr>
          <w:p w:rsidR="008967E5" w:rsidRDefault="008967E5" w:rsidP="001D4B5E">
            <w:pPr>
              <w:jc w:val="right"/>
              <w:rPr>
                <w:sz w:val="20"/>
              </w:rPr>
            </w:pPr>
            <w:r>
              <w:rPr>
                <w:sz w:val="20"/>
              </w:rPr>
              <w:t>0</w:t>
            </w:r>
          </w:p>
        </w:tc>
      </w:tr>
    </w:tbl>
    <w:p w:rsidR="008967E5" w:rsidRDefault="008967E5" w:rsidP="008063A3">
      <w:pPr>
        <w:rPr>
          <w:sz w:val="20"/>
        </w:rPr>
      </w:pPr>
    </w:p>
    <w:p w:rsidR="008967E5" w:rsidRDefault="008967E5" w:rsidP="008063A3">
      <w:pPr>
        <w:pStyle w:val="xl24"/>
        <w:spacing w:before="0" w:after="0"/>
      </w:pPr>
    </w:p>
    <w:p w:rsidR="008967E5" w:rsidRDefault="008967E5" w:rsidP="008063A3">
      <w:pPr>
        <w:pStyle w:val="xl24"/>
        <w:spacing w:before="0" w:after="0"/>
      </w:pPr>
      <w:r>
        <w:t>Non-Personnel Reduction Cost Summary</w:t>
      </w:r>
    </w:p>
    <w:p w:rsidR="008967E5" w:rsidRDefault="008967E5" w:rsidP="008063A3">
      <w:pPr>
        <w:rPr>
          <w:sz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4"/>
        <w:gridCol w:w="1344"/>
        <w:gridCol w:w="1530"/>
        <w:gridCol w:w="1530"/>
        <w:gridCol w:w="1890"/>
        <w:gridCol w:w="1890"/>
      </w:tblGrid>
      <w:tr w:rsidR="008967E5" w:rsidTr="001D4B5E">
        <w:tc>
          <w:tcPr>
            <w:tcW w:w="1644" w:type="dxa"/>
            <w:shd w:val="clear" w:color="auto" w:fill="E6E6E6"/>
            <w:vAlign w:val="center"/>
          </w:tcPr>
          <w:p w:rsidR="008967E5" w:rsidRDefault="008967E5" w:rsidP="001D4B5E">
            <w:pPr>
              <w:jc w:val="center"/>
              <w:rPr>
                <w:sz w:val="20"/>
              </w:rPr>
            </w:pPr>
            <w:r>
              <w:rPr>
                <w:sz w:val="20"/>
              </w:rPr>
              <w:t>Non-Personnel Item</w:t>
            </w:r>
          </w:p>
        </w:tc>
        <w:tc>
          <w:tcPr>
            <w:tcW w:w="1344" w:type="dxa"/>
            <w:vAlign w:val="center"/>
          </w:tcPr>
          <w:p w:rsidR="008967E5" w:rsidRDefault="008967E5" w:rsidP="001D4B5E">
            <w:pPr>
              <w:jc w:val="center"/>
              <w:rPr>
                <w:sz w:val="20"/>
              </w:rPr>
            </w:pPr>
            <w:r>
              <w:rPr>
                <w:sz w:val="20"/>
              </w:rPr>
              <w:t>Unit Cost ($000)</w:t>
            </w:r>
          </w:p>
        </w:tc>
        <w:tc>
          <w:tcPr>
            <w:tcW w:w="1530" w:type="dxa"/>
            <w:vAlign w:val="center"/>
          </w:tcPr>
          <w:p w:rsidR="008967E5" w:rsidRDefault="008967E5" w:rsidP="001D4B5E">
            <w:pPr>
              <w:jc w:val="center"/>
              <w:rPr>
                <w:sz w:val="20"/>
              </w:rPr>
            </w:pPr>
            <w:r>
              <w:rPr>
                <w:sz w:val="20"/>
              </w:rPr>
              <w:t>Quantity</w:t>
            </w:r>
          </w:p>
        </w:tc>
        <w:tc>
          <w:tcPr>
            <w:tcW w:w="1530" w:type="dxa"/>
            <w:vAlign w:val="center"/>
          </w:tcPr>
          <w:p w:rsidR="008967E5" w:rsidRDefault="008967E5" w:rsidP="001D4B5E">
            <w:pPr>
              <w:jc w:val="center"/>
              <w:rPr>
                <w:sz w:val="20"/>
              </w:rPr>
            </w:pPr>
            <w:r>
              <w:rPr>
                <w:sz w:val="20"/>
              </w:rPr>
              <w:t>FY 2012</w:t>
            </w:r>
          </w:p>
          <w:p w:rsidR="008967E5" w:rsidRDefault="008967E5" w:rsidP="001D4B5E">
            <w:pPr>
              <w:jc w:val="center"/>
              <w:rPr>
                <w:sz w:val="20"/>
              </w:rPr>
            </w:pPr>
            <w:r>
              <w:rPr>
                <w:sz w:val="20"/>
              </w:rPr>
              <w:t>Request</w:t>
            </w:r>
          </w:p>
          <w:p w:rsidR="008967E5" w:rsidRDefault="008967E5" w:rsidP="001D4B5E">
            <w:pPr>
              <w:jc w:val="center"/>
              <w:rPr>
                <w:sz w:val="20"/>
              </w:rPr>
            </w:pPr>
            <w:r>
              <w:rPr>
                <w:sz w:val="20"/>
              </w:rPr>
              <w:t>($000)</w:t>
            </w:r>
          </w:p>
        </w:tc>
        <w:tc>
          <w:tcPr>
            <w:tcW w:w="1890" w:type="dxa"/>
            <w:vAlign w:val="center"/>
          </w:tcPr>
          <w:p w:rsidR="008967E5" w:rsidRDefault="008967E5" w:rsidP="001D4B5E">
            <w:pPr>
              <w:jc w:val="center"/>
              <w:rPr>
                <w:sz w:val="20"/>
              </w:rPr>
            </w:pPr>
            <w:r>
              <w:rPr>
                <w:sz w:val="20"/>
              </w:rPr>
              <w:t>FY 2013 Net</w:t>
            </w:r>
          </w:p>
          <w:p w:rsidR="008967E5" w:rsidRDefault="008967E5" w:rsidP="001D4B5E">
            <w:pPr>
              <w:jc w:val="center"/>
              <w:rPr>
                <w:sz w:val="20"/>
              </w:rPr>
            </w:pPr>
            <w:r>
              <w:rPr>
                <w:sz w:val="20"/>
              </w:rPr>
              <w:t>Annualization (change from 2012)</w:t>
            </w:r>
          </w:p>
          <w:p w:rsidR="008967E5" w:rsidRDefault="008967E5" w:rsidP="001D4B5E">
            <w:pPr>
              <w:jc w:val="center"/>
              <w:rPr>
                <w:sz w:val="20"/>
              </w:rPr>
            </w:pPr>
            <w:r>
              <w:rPr>
                <w:sz w:val="20"/>
              </w:rPr>
              <w:t>($000)</w:t>
            </w:r>
          </w:p>
        </w:tc>
        <w:tc>
          <w:tcPr>
            <w:tcW w:w="1890" w:type="dxa"/>
          </w:tcPr>
          <w:p w:rsidR="008967E5" w:rsidRDefault="008967E5" w:rsidP="001D4B5E">
            <w:pPr>
              <w:jc w:val="center"/>
              <w:rPr>
                <w:sz w:val="20"/>
              </w:rPr>
            </w:pPr>
            <w:r>
              <w:rPr>
                <w:sz w:val="20"/>
              </w:rPr>
              <w:t>FY 2014 Net</w:t>
            </w:r>
          </w:p>
          <w:p w:rsidR="008967E5" w:rsidRDefault="008967E5" w:rsidP="001D4B5E">
            <w:pPr>
              <w:jc w:val="center"/>
              <w:rPr>
                <w:sz w:val="20"/>
              </w:rPr>
            </w:pPr>
            <w:r>
              <w:rPr>
                <w:sz w:val="20"/>
              </w:rPr>
              <w:t>Annualization (change from 2013)</w:t>
            </w:r>
          </w:p>
          <w:p w:rsidR="008967E5" w:rsidRDefault="008967E5" w:rsidP="001D4B5E">
            <w:pPr>
              <w:jc w:val="center"/>
              <w:rPr>
                <w:sz w:val="20"/>
              </w:rPr>
            </w:pPr>
            <w:r>
              <w:rPr>
                <w:sz w:val="20"/>
              </w:rPr>
              <w:t>($000)</w:t>
            </w:r>
          </w:p>
        </w:tc>
      </w:tr>
      <w:tr w:rsidR="008967E5" w:rsidTr="001D4B5E">
        <w:tc>
          <w:tcPr>
            <w:tcW w:w="1644" w:type="dxa"/>
          </w:tcPr>
          <w:p w:rsidR="008967E5" w:rsidRDefault="008967E5" w:rsidP="001D4B5E">
            <w:pPr>
              <w:rPr>
                <w:sz w:val="20"/>
              </w:rPr>
            </w:pPr>
          </w:p>
        </w:tc>
        <w:tc>
          <w:tcPr>
            <w:tcW w:w="1344" w:type="dxa"/>
            <w:vAlign w:val="center"/>
          </w:tcPr>
          <w:p w:rsidR="008967E5" w:rsidRDefault="008967E5" w:rsidP="001D4B5E">
            <w:pPr>
              <w:pStyle w:val="xl19"/>
              <w:spacing w:before="0" w:after="0"/>
              <w:jc w:val="right"/>
              <w:rPr>
                <w:sz w:val="20"/>
                <w:szCs w:val="24"/>
              </w:rPr>
            </w:pPr>
          </w:p>
        </w:tc>
        <w:tc>
          <w:tcPr>
            <w:tcW w:w="1530" w:type="dxa"/>
            <w:vAlign w:val="center"/>
          </w:tcPr>
          <w:p w:rsidR="008967E5" w:rsidRDefault="008967E5" w:rsidP="001D4B5E">
            <w:pPr>
              <w:jc w:val="right"/>
              <w:rPr>
                <w:sz w:val="20"/>
              </w:rPr>
            </w:pPr>
          </w:p>
        </w:tc>
        <w:tc>
          <w:tcPr>
            <w:tcW w:w="1530" w:type="dxa"/>
            <w:vAlign w:val="center"/>
          </w:tcPr>
          <w:p w:rsidR="008967E5" w:rsidRDefault="008967E5" w:rsidP="001D4B5E">
            <w:pPr>
              <w:jc w:val="right"/>
              <w:rPr>
                <w:sz w:val="20"/>
              </w:rPr>
            </w:pPr>
          </w:p>
        </w:tc>
        <w:tc>
          <w:tcPr>
            <w:tcW w:w="1890" w:type="dxa"/>
            <w:vAlign w:val="center"/>
          </w:tcPr>
          <w:p w:rsidR="008967E5" w:rsidRDefault="008967E5" w:rsidP="001D4B5E">
            <w:pPr>
              <w:jc w:val="right"/>
              <w:rPr>
                <w:sz w:val="20"/>
              </w:rPr>
            </w:pPr>
          </w:p>
        </w:tc>
        <w:tc>
          <w:tcPr>
            <w:tcW w:w="1890" w:type="dxa"/>
          </w:tcPr>
          <w:p w:rsidR="008967E5" w:rsidRDefault="008967E5" w:rsidP="001D4B5E">
            <w:pPr>
              <w:jc w:val="right"/>
              <w:rPr>
                <w:sz w:val="20"/>
              </w:rPr>
            </w:pPr>
          </w:p>
        </w:tc>
      </w:tr>
      <w:tr w:rsidR="008967E5" w:rsidTr="007A10B5">
        <w:tc>
          <w:tcPr>
            <w:tcW w:w="1644" w:type="dxa"/>
          </w:tcPr>
          <w:p w:rsidR="008967E5" w:rsidRDefault="008967E5" w:rsidP="001D4B5E">
            <w:pPr>
              <w:rPr>
                <w:sz w:val="20"/>
              </w:rPr>
            </w:pPr>
            <w:r>
              <w:rPr>
                <w:sz w:val="20"/>
              </w:rPr>
              <w:t>Total Non-Personnel</w:t>
            </w:r>
          </w:p>
        </w:tc>
        <w:tc>
          <w:tcPr>
            <w:tcW w:w="1344" w:type="dxa"/>
            <w:vAlign w:val="center"/>
          </w:tcPr>
          <w:p w:rsidR="008967E5" w:rsidRDefault="008967E5" w:rsidP="001D4B5E">
            <w:pPr>
              <w:pStyle w:val="xl19"/>
              <w:spacing w:before="0" w:after="0"/>
              <w:jc w:val="right"/>
              <w:rPr>
                <w:sz w:val="20"/>
                <w:szCs w:val="24"/>
              </w:rPr>
            </w:pPr>
            <w:r>
              <w:rPr>
                <w:sz w:val="20"/>
                <w:szCs w:val="24"/>
              </w:rPr>
              <w:t>($11,500)</w:t>
            </w:r>
          </w:p>
        </w:tc>
        <w:tc>
          <w:tcPr>
            <w:tcW w:w="1530" w:type="dxa"/>
            <w:vAlign w:val="center"/>
          </w:tcPr>
          <w:p w:rsidR="008967E5" w:rsidRDefault="008967E5" w:rsidP="00FE4866">
            <w:pPr>
              <w:jc w:val="center"/>
              <w:rPr>
                <w:sz w:val="20"/>
              </w:rPr>
            </w:pPr>
            <w:r>
              <w:rPr>
                <w:sz w:val="20"/>
              </w:rPr>
              <w:t>N.A.</w:t>
            </w:r>
          </w:p>
        </w:tc>
        <w:tc>
          <w:tcPr>
            <w:tcW w:w="1530" w:type="dxa"/>
            <w:vAlign w:val="center"/>
          </w:tcPr>
          <w:p w:rsidR="008967E5" w:rsidRDefault="008967E5" w:rsidP="001D4B5E">
            <w:pPr>
              <w:jc w:val="right"/>
              <w:rPr>
                <w:sz w:val="20"/>
              </w:rPr>
            </w:pPr>
            <w:r>
              <w:rPr>
                <w:sz w:val="20"/>
              </w:rPr>
              <w:t>($11,500)</w:t>
            </w:r>
          </w:p>
        </w:tc>
        <w:tc>
          <w:tcPr>
            <w:tcW w:w="1890" w:type="dxa"/>
            <w:vAlign w:val="center"/>
          </w:tcPr>
          <w:p w:rsidR="008967E5" w:rsidRDefault="008967E5" w:rsidP="004B0F0B">
            <w:pPr>
              <w:jc w:val="center"/>
              <w:rPr>
                <w:sz w:val="20"/>
              </w:rPr>
            </w:pPr>
            <w:r>
              <w:rPr>
                <w:sz w:val="20"/>
              </w:rPr>
              <w:t>0</w:t>
            </w:r>
          </w:p>
        </w:tc>
        <w:tc>
          <w:tcPr>
            <w:tcW w:w="1890" w:type="dxa"/>
            <w:vAlign w:val="center"/>
          </w:tcPr>
          <w:p w:rsidR="008967E5" w:rsidRDefault="008967E5" w:rsidP="004B0F0B">
            <w:pPr>
              <w:jc w:val="center"/>
              <w:rPr>
                <w:sz w:val="20"/>
              </w:rPr>
            </w:pPr>
            <w:r>
              <w:rPr>
                <w:sz w:val="20"/>
              </w:rPr>
              <w:t>0</w:t>
            </w:r>
          </w:p>
        </w:tc>
      </w:tr>
    </w:tbl>
    <w:p w:rsidR="008967E5" w:rsidRDefault="008967E5" w:rsidP="008063A3">
      <w:pPr>
        <w:rPr>
          <w:sz w:val="20"/>
        </w:rPr>
      </w:pPr>
    </w:p>
    <w:p w:rsidR="008967E5" w:rsidRDefault="008967E5" w:rsidP="008063A3">
      <w:pPr>
        <w:pStyle w:val="xl24"/>
        <w:spacing w:before="0" w:after="0"/>
        <w:rPr>
          <w:szCs w:val="24"/>
        </w:rPr>
      </w:pPr>
    </w:p>
    <w:p w:rsidR="008967E5" w:rsidRDefault="008967E5" w:rsidP="008063A3">
      <w:pPr>
        <w:pStyle w:val="xl24"/>
        <w:spacing w:before="0" w:after="0"/>
        <w:rPr>
          <w:szCs w:val="24"/>
        </w:rPr>
      </w:pPr>
      <w:r>
        <w:rPr>
          <w:szCs w:val="24"/>
        </w:rPr>
        <w:t>Total Request for this item</w:t>
      </w:r>
    </w:p>
    <w:p w:rsidR="008967E5" w:rsidRDefault="008967E5" w:rsidP="008063A3">
      <w:pPr>
        <w:pStyle w:val="xl24"/>
        <w:spacing w:before="0" w:after="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15"/>
        <w:gridCol w:w="608"/>
        <w:gridCol w:w="694"/>
        <w:gridCol w:w="1078"/>
        <w:gridCol w:w="1005"/>
        <w:gridCol w:w="1000"/>
        <w:gridCol w:w="2036"/>
        <w:gridCol w:w="1916"/>
      </w:tblGrid>
      <w:tr w:rsidR="008967E5" w:rsidTr="00A74152">
        <w:tc>
          <w:tcPr>
            <w:tcW w:w="1815" w:type="dxa"/>
          </w:tcPr>
          <w:p w:rsidR="008967E5" w:rsidRPr="00A74152" w:rsidRDefault="008967E5" w:rsidP="00A74152">
            <w:pPr>
              <w:pStyle w:val="xl24"/>
              <w:spacing w:before="0" w:after="0"/>
              <w:rPr>
                <w:szCs w:val="24"/>
              </w:rPr>
            </w:pPr>
          </w:p>
        </w:tc>
        <w:tc>
          <w:tcPr>
            <w:tcW w:w="608" w:type="dxa"/>
            <w:vAlign w:val="center"/>
          </w:tcPr>
          <w:p w:rsidR="008967E5" w:rsidRPr="00A74152" w:rsidRDefault="008967E5" w:rsidP="00A74152">
            <w:pPr>
              <w:pStyle w:val="xl24"/>
              <w:spacing w:before="0" w:after="0"/>
              <w:jc w:val="center"/>
              <w:rPr>
                <w:sz w:val="20"/>
                <w:u w:val="none"/>
              </w:rPr>
            </w:pPr>
            <w:r w:rsidRPr="00A74152">
              <w:rPr>
                <w:sz w:val="20"/>
                <w:u w:val="none"/>
              </w:rPr>
              <w:t>Pos</w:t>
            </w:r>
          </w:p>
        </w:tc>
        <w:tc>
          <w:tcPr>
            <w:tcW w:w="694" w:type="dxa"/>
            <w:vAlign w:val="center"/>
          </w:tcPr>
          <w:p w:rsidR="008967E5" w:rsidRPr="00A74152" w:rsidRDefault="008967E5" w:rsidP="00A74152">
            <w:pPr>
              <w:pStyle w:val="xl24"/>
              <w:spacing w:before="0" w:after="0"/>
              <w:jc w:val="center"/>
              <w:rPr>
                <w:sz w:val="20"/>
                <w:u w:val="none"/>
              </w:rPr>
            </w:pPr>
            <w:r w:rsidRPr="00A74152">
              <w:rPr>
                <w:sz w:val="20"/>
                <w:u w:val="none"/>
              </w:rPr>
              <w:t>FTE</w:t>
            </w:r>
          </w:p>
        </w:tc>
        <w:tc>
          <w:tcPr>
            <w:tcW w:w="1078" w:type="dxa"/>
            <w:vAlign w:val="center"/>
          </w:tcPr>
          <w:p w:rsidR="008967E5" w:rsidRPr="00A74152" w:rsidRDefault="008967E5" w:rsidP="00A74152">
            <w:pPr>
              <w:pStyle w:val="xl24"/>
              <w:spacing w:before="0" w:after="0"/>
              <w:jc w:val="center"/>
              <w:rPr>
                <w:sz w:val="20"/>
                <w:u w:val="none"/>
              </w:rPr>
            </w:pPr>
            <w:r w:rsidRPr="00A74152">
              <w:rPr>
                <w:sz w:val="20"/>
                <w:u w:val="none"/>
              </w:rPr>
              <w:t>Personnel</w:t>
            </w:r>
          </w:p>
          <w:p w:rsidR="008967E5" w:rsidRPr="00A74152" w:rsidRDefault="008967E5" w:rsidP="00A74152">
            <w:pPr>
              <w:pStyle w:val="xl24"/>
              <w:spacing w:before="0" w:after="0"/>
              <w:jc w:val="center"/>
              <w:rPr>
                <w:sz w:val="20"/>
                <w:u w:val="none"/>
              </w:rPr>
            </w:pPr>
            <w:r w:rsidRPr="00A74152">
              <w:rPr>
                <w:sz w:val="20"/>
                <w:u w:val="none"/>
              </w:rPr>
              <w:t>($000)</w:t>
            </w:r>
          </w:p>
        </w:tc>
        <w:tc>
          <w:tcPr>
            <w:tcW w:w="1005" w:type="dxa"/>
            <w:vAlign w:val="center"/>
          </w:tcPr>
          <w:p w:rsidR="008967E5" w:rsidRPr="00A74152" w:rsidRDefault="008967E5" w:rsidP="00A74152">
            <w:pPr>
              <w:pStyle w:val="xl24"/>
              <w:spacing w:before="0" w:after="0"/>
              <w:jc w:val="center"/>
              <w:rPr>
                <w:sz w:val="20"/>
                <w:u w:val="none"/>
              </w:rPr>
            </w:pPr>
            <w:r w:rsidRPr="00A74152">
              <w:rPr>
                <w:sz w:val="20"/>
                <w:u w:val="none"/>
              </w:rPr>
              <w:t>Non- Personnel</w:t>
            </w:r>
          </w:p>
          <w:p w:rsidR="008967E5" w:rsidRPr="00A74152" w:rsidRDefault="008967E5" w:rsidP="00A74152">
            <w:pPr>
              <w:pStyle w:val="xl24"/>
              <w:spacing w:before="0" w:after="0"/>
              <w:jc w:val="center"/>
              <w:rPr>
                <w:sz w:val="20"/>
              </w:rPr>
            </w:pPr>
            <w:r w:rsidRPr="00A74152">
              <w:rPr>
                <w:sz w:val="20"/>
                <w:u w:val="none"/>
              </w:rPr>
              <w:t>($000)</w:t>
            </w:r>
          </w:p>
        </w:tc>
        <w:tc>
          <w:tcPr>
            <w:tcW w:w="1000" w:type="dxa"/>
            <w:vAlign w:val="center"/>
          </w:tcPr>
          <w:p w:rsidR="008967E5" w:rsidRPr="00A74152" w:rsidRDefault="008967E5" w:rsidP="00A74152">
            <w:pPr>
              <w:pStyle w:val="xl24"/>
              <w:spacing w:before="0" w:after="0"/>
              <w:jc w:val="center"/>
              <w:rPr>
                <w:sz w:val="20"/>
                <w:u w:val="none"/>
              </w:rPr>
            </w:pPr>
            <w:r w:rsidRPr="00A74152">
              <w:rPr>
                <w:sz w:val="20"/>
                <w:u w:val="none"/>
              </w:rPr>
              <w:t>Total</w:t>
            </w:r>
          </w:p>
          <w:p w:rsidR="008967E5" w:rsidRPr="00A74152" w:rsidRDefault="008967E5" w:rsidP="00A74152">
            <w:pPr>
              <w:pStyle w:val="xl24"/>
              <w:spacing w:before="0" w:after="0"/>
              <w:jc w:val="center"/>
              <w:rPr>
                <w:sz w:val="20"/>
              </w:rPr>
            </w:pPr>
            <w:r w:rsidRPr="00A74152">
              <w:rPr>
                <w:sz w:val="20"/>
                <w:u w:val="none"/>
              </w:rPr>
              <w:t>($000)</w:t>
            </w:r>
          </w:p>
        </w:tc>
        <w:tc>
          <w:tcPr>
            <w:tcW w:w="2036" w:type="dxa"/>
          </w:tcPr>
          <w:p w:rsidR="008967E5" w:rsidRPr="00A74152" w:rsidRDefault="008967E5" w:rsidP="00A74152">
            <w:pPr>
              <w:jc w:val="center"/>
              <w:rPr>
                <w:sz w:val="20"/>
                <w:szCs w:val="20"/>
              </w:rPr>
            </w:pPr>
            <w:r w:rsidRPr="00A74152">
              <w:rPr>
                <w:sz w:val="20"/>
                <w:szCs w:val="20"/>
              </w:rPr>
              <w:t>FY 2013 Net</w:t>
            </w:r>
          </w:p>
          <w:p w:rsidR="008967E5" w:rsidRPr="00A74152" w:rsidRDefault="008967E5" w:rsidP="00A74152">
            <w:pPr>
              <w:jc w:val="center"/>
              <w:rPr>
                <w:sz w:val="20"/>
                <w:szCs w:val="20"/>
              </w:rPr>
            </w:pPr>
            <w:r w:rsidRPr="00A74152">
              <w:rPr>
                <w:sz w:val="20"/>
                <w:szCs w:val="20"/>
              </w:rPr>
              <w:t xml:space="preserve">Annualization  (change from 2012) ($000) </w:t>
            </w:r>
          </w:p>
        </w:tc>
        <w:tc>
          <w:tcPr>
            <w:tcW w:w="1916" w:type="dxa"/>
          </w:tcPr>
          <w:p w:rsidR="008967E5" w:rsidRPr="00A74152" w:rsidRDefault="008967E5" w:rsidP="00A74152">
            <w:pPr>
              <w:jc w:val="center"/>
              <w:rPr>
                <w:sz w:val="20"/>
              </w:rPr>
            </w:pPr>
            <w:r w:rsidRPr="00A74152">
              <w:rPr>
                <w:sz w:val="20"/>
              </w:rPr>
              <w:t>FY 2014 Net</w:t>
            </w:r>
          </w:p>
          <w:p w:rsidR="008967E5" w:rsidRPr="00A74152" w:rsidRDefault="008967E5" w:rsidP="00A74152">
            <w:pPr>
              <w:jc w:val="center"/>
              <w:rPr>
                <w:sz w:val="20"/>
              </w:rPr>
            </w:pPr>
            <w:r w:rsidRPr="00A74152">
              <w:rPr>
                <w:sz w:val="20"/>
              </w:rPr>
              <w:t>Annualization</w:t>
            </w:r>
          </w:p>
          <w:p w:rsidR="008967E5" w:rsidRPr="00A74152" w:rsidRDefault="008967E5" w:rsidP="00A74152">
            <w:pPr>
              <w:jc w:val="center"/>
              <w:rPr>
                <w:sz w:val="20"/>
              </w:rPr>
            </w:pPr>
            <w:r w:rsidRPr="00A74152">
              <w:rPr>
                <w:sz w:val="20"/>
              </w:rPr>
              <w:t xml:space="preserve"> (change from 2013)</w:t>
            </w:r>
          </w:p>
          <w:p w:rsidR="008967E5" w:rsidRPr="00A74152" w:rsidRDefault="008967E5" w:rsidP="00A74152">
            <w:pPr>
              <w:jc w:val="center"/>
              <w:rPr>
                <w:sz w:val="20"/>
              </w:rPr>
            </w:pPr>
            <w:r w:rsidRPr="00A74152">
              <w:rPr>
                <w:sz w:val="20"/>
              </w:rPr>
              <w:t>($000)</w:t>
            </w:r>
          </w:p>
        </w:tc>
      </w:tr>
      <w:tr w:rsidR="008967E5" w:rsidRPr="00A74152" w:rsidTr="00A74152">
        <w:tc>
          <w:tcPr>
            <w:tcW w:w="1815" w:type="dxa"/>
          </w:tcPr>
          <w:p w:rsidR="008967E5" w:rsidRPr="00A74152" w:rsidRDefault="008967E5" w:rsidP="00A74152">
            <w:pPr>
              <w:pStyle w:val="xl24"/>
              <w:spacing w:before="0" w:after="0"/>
              <w:rPr>
                <w:sz w:val="20"/>
                <w:u w:val="none"/>
              </w:rPr>
            </w:pPr>
            <w:r w:rsidRPr="00A74152">
              <w:rPr>
                <w:sz w:val="20"/>
                <w:u w:val="none"/>
              </w:rPr>
              <w:t>Current Services</w:t>
            </w:r>
          </w:p>
        </w:tc>
        <w:tc>
          <w:tcPr>
            <w:tcW w:w="608" w:type="dxa"/>
          </w:tcPr>
          <w:p w:rsidR="008967E5" w:rsidRPr="00A74152" w:rsidRDefault="008967E5" w:rsidP="00A74152">
            <w:pPr>
              <w:pStyle w:val="xl24"/>
              <w:spacing w:before="0" w:after="0"/>
              <w:jc w:val="center"/>
              <w:rPr>
                <w:sz w:val="20"/>
                <w:u w:val="none"/>
              </w:rPr>
            </w:pPr>
            <w:r w:rsidRPr="00A74152">
              <w:rPr>
                <w:sz w:val="20"/>
                <w:u w:val="none"/>
              </w:rPr>
              <w:t>58</w:t>
            </w:r>
          </w:p>
        </w:tc>
        <w:tc>
          <w:tcPr>
            <w:tcW w:w="694" w:type="dxa"/>
          </w:tcPr>
          <w:p w:rsidR="008967E5" w:rsidRPr="00A74152" w:rsidRDefault="008967E5" w:rsidP="00A74152">
            <w:pPr>
              <w:pStyle w:val="xl24"/>
              <w:spacing w:before="0" w:after="0"/>
              <w:jc w:val="center"/>
              <w:rPr>
                <w:sz w:val="20"/>
                <w:u w:val="none"/>
              </w:rPr>
            </w:pPr>
            <w:r w:rsidRPr="00A74152">
              <w:rPr>
                <w:sz w:val="20"/>
                <w:u w:val="none"/>
              </w:rPr>
              <w:t>58</w:t>
            </w:r>
          </w:p>
        </w:tc>
        <w:tc>
          <w:tcPr>
            <w:tcW w:w="1078" w:type="dxa"/>
          </w:tcPr>
          <w:p w:rsidR="008967E5" w:rsidRPr="00A74152" w:rsidRDefault="008967E5" w:rsidP="00A74152">
            <w:pPr>
              <w:pStyle w:val="xl24"/>
              <w:spacing w:before="0" w:after="0"/>
              <w:rPr>
                <w:sz w:val="20"/>
                <w:u w:val="none"/>
              </w:rPr>
            </w:pPr>
            <w:r w:rsidRPr="00A74152">
              <w:rPr>
                <w:sz w:val="20"/>
                <w:u w:val="none"/>
              </w:rPr>
              <w:t>$</w:t>
            </w:r>
            <w:r>
              <w:rPr>
                <w:sz w:val="20"/>
                <w:u w:val="none"/>
              </w:rPr>
              <w:t xml:space="preserve"> 6,774</w:t>
            </w:r>
          </w:p>
        </w:tc>
        <w:tc>
          <w:tcPr>
            <w:tcW w:w="1005" w:type="dxa"/>
          </w:tcPr>
          <w:p w:rsidR="008967E5" w:rsidRPr="00A74152" w:rsidRDefault="008967E5" w:rsidP="00A74152">
            <w:pPr>
              <w:pStyle w:val="xl24"/>
              <w:spacing w:before="0" w:after="0"/>
              <w:rPr>
                <w:sz w:val="20"/>
                <w:u w:val="none"/>
              </w:rPr>
            </w:pPr>
            <w:r w:rsidRPr="00A74152">
              <w:rPr>
                <w:sz w:val="20"/>
                <w:u w:val="none"/>
              </w:rPr>
              <w:t>$</w:t>
            </w:r>
            <w:r>
              <w:rPr>
                <w:sz w:val="20"/>
                <w:u w:val="none"/>
              </w:rPr>
              <w:t>26,873</w:t>
            </w:r>
          </w:p>
        </w:tc>
        <w:tc>
          <w:tcPr>
            <w:tcW w:w="1000" w:type="dxa"/>
          </w:tcPr>
          <w:p w:rsidR="008967E5" w:rsidRPr="00A74152" w:rsidRDefault="008967E5" w:rsidP="00A74152">
            <w:pPr>
              <w:pStyle w:val="xl24"/>
              <w:spacing w:before="0" w:after="0"/>
              <w:rPr>
                <w:sz w:val="20"/>
                <w:u w:val="none"/>
              </w:rPr>
            </w:pPr>
            <w:r>
              <w:rPr>
                <w:sz w:val="20"/>
                <w:u w:val="none"/>
              </w:rPr>
              <w:t>$33,647</w:t>
            </w:r>
          </w:p>
        </w:tc>
        <w:tc>
          <w:tcPr>
            <w:tcW w:w="2036" w:type="dxa"/>
          </w:tcPr>
          <w:p w:rsidR="008967E5" w:rsidRPr="00A74152" w:rsidRDefault="008967E5" w:rsidP="00A74152">
            <w:pPr>
              <w:pStyle w:val="xl24"/>
              <w:spacing w:before="0" w:after="0"/>
              <w:rPr>
                <w:sz w:val="20"/>
              </w:rPr>
            </w:pPr>
          </w:p>
        </w:tc>
        <w:tc>
          <w:tcPr>
            <w:tcW w:w="1916" w:type="dxa"/>
          </w:tcPr>
          <w:p w:rsidR="008967E5" w:rsidRPr="00A74152" w:rsidRDefault="008967E5" w:rsidP="00A74152">
            <w:pPr>
              <w:pStyle w:val="xl24"/>
              <w:spacing w:before="0" w:after="0"/>
              <w:rPr>
                <w:sz w:val="20"/>
              </w:rPr>
            </w:pPr>
          </w:p>
        </w:tc>
      </w:tr>
      <w:tr w:rsidR="008967E5" w:rsidRPr="00A74152" w:rsidTr="00A74152">
        <w:tc>
          <w:tcPr>
            <w:tcW w:w="1815" w:type="dxa"/>
          </w:tcPr>
          <w:p w:rsidR="008967E5" w:rsidRPr="00A74152" w:rsidRDefault="008967E5" w:rsidP="00A74152">
            <w:pPr>
              <w:pStyle w:val="xl24"/>
              <w:spacing w:before="0" w:after="0"/>
              <w:rPr>
                <w:sz w:val="20"/>
                <w:u w:val="none"/>
              </w:rPr>
            </w:pPr>
            <w:r w:rsidRPr="00A74152">
              <w:rPr>
                <w:sz w:val="20"/>
                <w:u w:val="none"/>
              </w:rPr>
              <w:t>Decreases</w:t>
            </w:r>
          </w:p>
        </w:tc>
        <w:tc>
          <w:tcPr>
            <w:tcW w:w="608" w:type="dxa"/>
          </w:tcPr>
          <w:p w:rsidR="008967E5" w:rsidRPr="00A74152" w:rsidRDefault="008967E5" w:rsidP="00A74152">
            <w:pPr>
              <w:pStyle w:val="xl24"/>
              <w:spacing w:before="0" w:after="0"/>
              <w:jc w:val="center"/>
              <w:rPr>
                <w:sz w:val="20"/>
              </w:rPr>
            </w:pPr>
          </w:p>
        </w:tc>
        <w:tc>
          <w:tcPr>
            <w:tcW w:w="694" w:type="dxa"/>
          </w:tcPr>
          <w:p w:rsidR="008967E5" w:rsidRPr="00A74152" w:rsidRDefault="008967E5" w:rsidP="00A74152">
            <w:pPr>
              <w:pStyle w:val="xl24"/>
              <w:spacing w:before="0" w:after="0"/>
              <w:jc w:val="center"/>
              <w:rPr>
                <w:sz w:val="20"/>
                <w:u w:val="none"/>
              </w:rPr>
            </w:pPr>
          </w:p>
        </w:tc>
        <w:tc>
          <w:tcPr>
            <w:tcW w:w="1078" w:type="dxa"/>
          </w:tcPr>
          <w:p w:rsidR="008967E5" w:rsidRPr="00A74152" w:rsidRDefault="008967E5" w:rsidP="00A74152">
            <w:pPr>
              <w:pStyle w:val="xl24"/>
              <w:spacing w:before="0" w:after="0"/>
              <w:rPr>
                <w:sz w:val="20"/>
                <w:u w:val="none"/>
              </w:rPr>
            </w:pPr>
          </w:p>
        </w:tc>
        <w:tc>
          <w:tcPr>
            <w:tcW w:w="1005" w:type="dxa"/>
          </w:tcPr>
          <w:p w:rsidR="008967E5" w:rsidRPr="00A74152" w:rsidRDefault="008967E5" w:rsidP="00A74152">
            <w:pPr>
              <w:pStyle w:val="xl24"/>
              <w:spacing w:before="0" w:after="0"/>
              <w:rPr>
                <w:sz w:val="20"/>
                <w:u w:val="none"/>
              </w:rPr>
            </w:pPr>
            <w:r>
              <w:rPr>
                <w:sz w:val="20"/>
                <w:u w:val="none"/>
              </w:rPr>
              <w:t>($11</w:t>
            </w:r>
            <w:r w:rsidRPr="00A74152">
              <w:rPr>
                <w:sz w:val="20"/>
                <w:u w:val="none"/>
              </w:rPr>
              <w:t>,500)</w:t>
            </w:r>
          </w:p>
        </w:tc>
        <w:tc>
          <w:tcPr>
            <w:tcW w:w="1000" w:type="dxa"/>
          </w:tcPr>
          <w:p w:rsidR="008967E5" w:rsidRPr="00A74152" w:rsidRDefault="008967E5" w:rsidP="00A74152">
            <w:pPr>
              <w:pStyle w:val="xl24"/>
              <w:spacing w:before="0" w:after="0"/>
              <w:rPr>
                <w:sz w:val="20"/>
                <w:u w:val="none"/>
              </w:rPr>
            </w:pPr>
            <w:r>
              <w:rPr>
                <w:sz w:val="20"/>
                <w:u w:val="none"/>
              </w:rPr>
              <w:t>($11</w:t>
            </w:r>
            <w:r w:rsidRPr="00A74152">
              <w:rPr>
                <w:sz w:val="20"/>
                <w:u w:val="none"/>
              </w:rPr>
              <w:t>,500)</w:t>
            </w:r>
          </w:p>
        </w:tc>
        <w:tc>
          <w:tcPr>
            <w:tcW w:w="2036" w:type="dxa"/>
          </w:tcPr>
          <w:p w:rsidR="008967E5" w:rsidRPr="00A74152" w:rsidRDefault="008967E5" w:rsidP="00A74152">
            <w:pPr>
              <w:pStyle w:val="xl24"/>
              <w:spacing w:before="0" w:after="0"/>
              <w:rPr>
                <w:sz w:val="20"/>
              </w:rPr>
            </w:pPr>
          </w:p>
        </w:tc>
        <w:tc>
          <w:tcPr>
            <w:tcW w:w="1916" w:type="dxa"/>
          </w:tcPr>
          <w:p w:rsidR="008967E5" w:rsidRPr="00A74152" w:rsidRDefault="008967E5" w:rsidP="00A74152">
            <w:pPr>
              <w:pStyle w:val="xl24"/>
              <w:spacing w:before="0" w:after="0"/>
              <w:rPr>
                <w:sz w:val="20"/>
              </w:rPr>
            </w:pPr>
          </w:p>
        </w:tc>
      </w:tr>
      <w:tr w:rsidR="008967E5" w:rsidRPr="00A74152" w:rsidTr="00A74152">
        <w:tc>
          <w:tcPr>
            <w:tcW w:w="1815" w:type="dxa"/>
          </w:tcPr>
          <w:p w:rsidR="008967E5" w:rsidRPr="00A74152" w:rsidRDefault="008967E5" w:rsidP="00A74152">
            <w:pPr>
              <w:pStyle w:val="xl24"/>
              <w:spacing w:before="0" w:after="0"/>
              <w:rPr>
                <w:sz w:val="20"/>
                <w:u w:val="none"/>
              </w:rPr>
            </w:pPr>
            <w:r w:rsidRPr="00A74152">
              <w:rPr>
                <w:sz w:val="20"/>
                <w:u w:val="none"/>
              </w:rPr>
              <w:t>Grand Total</w:t>
            </w:r>
          </w:p>
        </w:tc>
        <w:tc>
          <w:tcPr>
            <w:tcW w:w="608" w:type="dxa"/>
          </w:tcPr>
          <w:p w:rsidR="008967E5" w:rsidRPr="00A74152" w:rsidRDefault="008967E5" w:rsidP="00A74152">
            <w:pPr>
              <w:pStyle w:val="xl24"/>
              <w:spacing w:before="0" w:after="0"/>
              <w:jc w:val="center"/>
              <w:rPr>
                <w:sz w:val="20"/>
                <w:u w:val="none"/>
              </w:rPr>
            </w:pPr>
            <w:r w:rsidRPr="00A74152">
              <w:rPr>
                <w:sz w:val="20"/>
                <w:u w:val="none"/>
              </w:rPr>
              <w:t>58</w:t>
            </w:r>
          </w:p>
        </w:tc>
        <w:tc>
          <w:tcPr>
            <w:tcW w:w="694" w:type="dxa"/>
          </w:tcPr>
          <w:p w:rsidR="008967E5" w:rsidRPr="00A74152" w:rsidRDefault="008967E5" w:rsidP="00A74152">
            <w:pPr>
              <w:pStyle w:val="xl24"/>
              <w:spacing w:before="0" w:after="0"/>
              <w:jc w:val="center"/>
              <w:rPr>
                <w:sz w:val="20"/>
                <w:u w:val="none"/>
              </w:rPr>
            </w:pPr>
            <w:r w:rsidRPr="00A74152">
              <w:rPr>
                <w:sz w:val="20"/>
                <w:u w:val="none"/>
              </w:rPr>
              <w:t>58</w:t>
            </w:r>
          </w:p>
        </w:tc>
        <w:tc>
          <w:tcPr>
            <w:tcW w:w="1078" w:type="dxa"/>
          </w:tcPr>
          <w:p w:rsidR="008967E5" w:rsidRPr="00A74152" w:rsidRDefault="008967E5" w:rsidP="00A74152">
            <w:pPr>
              <w:pStyle w:val="xl24"/>
              <w:spacing w:before="0" w:after="0"/>
              <w:rPr>
                <w:sz w:val="20"/>
                <w:u w:val="none"/>
              </w:rPr>
            </w:pPr>
            <w:r>
              <w:rPr>
                <w:sz w:val="20"/>
                <w:u w:val="none"/>
              </w:rPr>
              <w:t>$ 6,774</w:t>
            </w:r>
          </w:p>
        </w:tc>
        <w:tc>
          <w:tcPr>
            <w:tcW w:w="1005" w:type="dxa"/>
          </w:tcPr>
          <w:p w:rsidR="008967E5" w:rsidRPr="00A74152" w:rsidRDefault="008967E5" w:rsidP="00A74152">
            <w:pPr>
              <w:pStyle w:val="xl24"/>
              <w:spacing w:before="0" w:after="0"/>
              <w:rPr>
                <w:sz w:val="20"/>
                <w:u w:val="none"/>
              </w:rPr>
            </w:pPr>
            <w:r>
              <w:rPr>
                <w:sz w:val="20"/>
                <w:u w:val="none"/>
              </w:rPr>
              <w:t>$15,373</w:t>
            </w:r>
          </w:p>
        </w:tc>
        <w:tc>
          <w:tcPr>
            <w:tcW w:w="1000" w:type="dxa"/>
          </w:tcPr>
          <w:p w:rsidR="008967E5" w:rsidRPr="00A74152" w:rsidRDefault="008967E5" w:rsidP="00A74152">
            <w:pPr>
              <w:pStyle w:val="xl24"/>
              <w:spacing w:before="0" w:after="0"/>
              <w:rPr>
                <w:sz w:val="20"/>
                <w:u w:val="none"/>
              </w:rPr>
            </w:pPr>
            <w:r>
              <w:rPr>
                <w:sz w:val="20"/>
                <w:u w:val="none"/>
              </w:rPr>
              <w:t>$22,147</w:t>
            </w:r>
          </w:p>
        </w:tc>
        <w:tc>
          <w:tcPr>
            <w:tcW w:w="2036" w:type="dxa"/>
          </w:tcPr>
          <w:p w:rsidR="008967E5" w:rsidRPr="00A74152" w:rsidRDefault="008967E5" w:rsidP="00A74152">
            <w:pPr>
              <w:pStyle w:val="xl24"/>
              <w:spacing w:before="0" w:after="0"/>
              <w:rPr>
                <w:sz w:val="20"/>
              </w:rPr>
            </w:pPr>
          </w:p>
        </w:tc>
        <w:tc>
          <w:tcPr>
            <w:tcW w:w="1916" w:type="dxa"/>
          </w:tcPr>
          <w:p w:rsidR="008967E5" w:rsidRPr="00A74152" w:rsidRDefault="008967E5" w:rsidP="00A74152">
            <w:pPr>
              <w:pStyle w:val="xl24"/>
              <w:spacing w:before="0" w:after="0"/>
              <w:rPr>
                <w:sz w:val="20"/>
              </w:rPr>
            </w:pPr>
          </w:p>
        </w:tc>
      </w:tr>
    </w:tbl>
    <w:p w:rsidR="008967E5" w:rsidRPr="007D0BAB" w:rsidRDefault="008967E5" w:rsidP="008063A3">
      <w:pPr>
        <w:pStyle w:val="xl24"/>
        <w:spacing w:before="0" w:after="0"/>
        <w:rPr>
          <w:sz w:val="20"/>
        </w:rPr>
      </w:pPr>
    </w:p>
    <w:p w:rsidR="008967E5" w:rsidRDefault="008967E5" w:rsidP="00942E76"/>
    <w:p w:rsidR="008967E5" w:rsidRDefault="008967E5" w:rsidP="00F25F22">
      <w:pPr>
        <w:rPr>
          <w:b/>
        </w:rPr>
      </w:pPr>
      <w:r>
        <w:br w:type="page"/>
      </w:r>
      <w:r w:rsidRPr="00A06230">
        <w:rPr>
          <w:b/>
        </w:rPr>
        <w:lastRenderedPageBreak/>
        <w:t>V. Program Offsets by Item</w:t>
      </w:r>
      <w:r>
        <w:rPr>
          <w:b/>
        </w:rPr>
        <w:t xml:space="preserve"> (continued)</w:t>
      </w:r>
    </w:p>
    <w:p w:rsidR="008967E5" w:rsidRDefault="008967E5" w:rsidP="00F25F22"/>
    <w:p w:rsidR="008967E5" w:rsidRPr="00B0461D" w:rsidRDefault="008967E5" w:rsidP="00F25F22">
      <w:pPr>
        <w:pStyle w:val="xl19"/>
        <w:tabs>
          <w:tab w:val="left" w:pos="3420"/>
          <w:tab w:val="right" w:pos="8640"/>
        </w:tabs>
        <w:spacing w:before="0" w:after="0"/>
        <w:rPr>
          <w:b/>
          <w:bCs/>
          <w:sz w:val="22"/>
          <w:szCs w:val="22"/>
        </w:rPr>
      </w:pPr>
      <w:r w:rsidRPr="00B0461D">
        <w:rPr>
          <w:b/>
          <w:bCs/>
          <w:sz w:val="22"/>
          <w:szCs w:val="22"/>
        </w:rPr>
        <w:t xml:space="preserve">2.   </w:t>
      </w:r>
      <w:r>
        <w:rPr>
          <w:b/>
          <w:bCs/>
          <w:sz w:val="22"/>
          <w:szCs w:val="22"/>
        </w:rPr>
        <w:t xml:space="preserve"> Realign and </w:t>
      </w:r>
      <w:r w:rsidR="00A40BD6">
        <w:rPr>
          <w:b/>
          <w:bCs/>
          <w:sz w:val="22"/>
          <w:szCs w:val="22"/>
        </w:rPr>
        <w:t>Consolidate</w:t>
      </w:r>
      <w:r w:rsidRPr="00B0461D">
        <w:rPr>
          <w:b/>
          <w:bCs/>
          <w:sz w:val="22"/>
          <w:szCs w:val="22"/>
        </w:rPr>
        <w:t xml:space="preserve"> PMOs</w:t>
      </w:r>
    </w:p>
    <w:p w:rsidR="008967E5" w:rsidRPr="00B0461D" w:rsidRDefault="008967E5" w:rsidP="00F25F22">
      <w:pPr>
        <w:pStyle w:val="xl19"/>
        <w:tabs>
          <w:tab w:val="left" w:pos="3420"/>
          <w:tab w:val="right" w:pos="8640"/>
        </w:tabs>
        <w:spacing w:before="0" w:after="0"/>
        <w:rPr>
          <w:sz w:val="22"/>
          <w:szCs w:val="22"/>
        </w:rPr>
      </w:pPr>
    </w:p>
    <w:p w:rsidR="008967E5" w:rsidRPr="00B0461D" w:rsidRDefault="008967E5" w:rsidP="00F25F22">
      <w:pPr>
        <w:pStyle w:val="xl19"/>
        <w:tabs>
          <w:tab w:val="left" w:pos="3420"/>
          <w:tab w:val="right" w:pos="8640"/>
        </w:tabs>
        <w:spacing w:before="0" w:after="0"/>
        <w:ind w:left="432"/>
        <w:rPr>
          <w:sz w:val="22"/>
          <w:szCs w:val="22"/>
        </w:rPr>
      </w:pPr>
      <w:r w:rsidRPr="00B0461D">
        <w:rPr>
          <w:sz w:val="22"/>
          <w:szCs w:val="22"/>
        </w:rPr>
        <w:t xml:space="preserve">Budget Decision Unit(s): </w:t>
      </w:r>
      <w:r w:rsidRPr="00B0461D">
        <w:rPr>
          <w:sz w:val="22"/>
          <w:szCs w:val="22"/>
        </w:rPr>
        <w:tab/>
        <w:t xml:space="preserve">      JIST</w:t>
      </w:r>
    </w:p>
    <w:p w:rsidR="008967E5" w:rsidRPr="00B0461D" w:rsidRDefault="008967E5" w:rsidP="00F25F22">
      <w:pPr>
        <w:pStyle w:val="xl19"/>
        <w:tabs>
          <w:tab w:val="left" w:pos="3420"/>
          <w:tab w:val="right" w:pos="8640"/>
        </w:tabs>
        <w:spacing w:before="0" w:after="0"/>
        <w:ind w:left="432"/>
        <w:rPr>
          <w:sz w:val="22"/>
          <w:szCs w:val="22"/>
        </w:rPr>
      </w:pPr>
      <w:r w:rsidRPr="00B0461D">
        <w:rPr>
          <w:sz w:val="22"/>
          <w:szCs w:val="22"/>
        </w:rPr>
        <w:t>Strategic Goal(s) &amp; Objective(s):</w:t>
      </w:r>
      <w:r w:rsidRPr="00B0461D">
        <w:rPr>
          <w:sz w:val="22"/>
          <w:szCs w:val="22"/>
        </w:rPr>
        <w:tab/>
        <w:t xml:space="preserve">   </w:t>
      </w:r>
      <w:r>
        <w:rPr>
          <w:sz w:val="22"/>
          <w:szCs w:val="22"/>
        </w:rPr>
        <w:t xml:space="preserve">   </w:t>
      </w:r>
      <w:r w:rsidRPr="00B0461D">
        <w:rPr>
          <w:sz w:val="22"/>
          <w:szCs w:val="22"/>
        </w:rPr>
        <w:t>Goal 1 – Prevent terrorism and promote the nation’s security</w:t>
      </w:r>
    </w:p>
    <w:p w:rsidR="008967E5" w:rsidRPr="00B0461D" w:rsidRDefault="008967E5" w:rsidP="00F25F22">
      <w:pPr>
        <w:pStyle w:val="xl19"/>
        <w:tabs>
          <w:tab w:val="left" w:pos="3420"/>
          <w:tab w:val="right" w:pos="8640"/>
        </w:tabs>
        <w:spacing w:before="0" w:after="0"/>
        <w:ind w:left="432"/>
        <w:rPr>
          <w:sz w:val="22"/>
          <w:szCs w:val="22"/>
        </w:rPr>
      </w:pPr>
      <w:r w:rsidRPr="00B0461D">
        <w:rPr>
          <w:sz w:val="22"/>
          <w:szCs w:val="22"/>
        </w:rPr>
        <w:tab/>
        <w:t xml:space="preserve">      Goal 2 – Prevent crime, enforce federal laws, and represent the</w:t>
      </w:r>
    </w:p>
    <w:p w:rsidR="008967E5" w:rsidRPr="00B0461D" w:rsidRDefault="008967E5" w:rsidP="00F25F22">
      <w:pPr>
        <w:pStyle w:val="xl19"/>
        <w:tabs>
          <w:tab w:val="left" w:pos="3420"/>
          <w:tab w:val="right" w:pos="8640"/>
        </w:tabs>
        <w:spacing w:before="0" w:after="0"/>
        <w:ind w:left="432"/>
        <w:rPr>
          <w:sz w:val="22"/>
          <w:szCs w:val="22"/>
        </w:rPr>
      </w:pPr>
      <w:r w:rsidRPr="00B0461D">
        <w:rPr>
          <w:sz w:val="22"/>
          <w:szCs w:val="22"/>
        </w:rPr>
        <w:tab/>
        <w:t xml:space="preserve">                     rights and interest of the American people</w:t>
      </w:r>
    </w:p>
    <w:p w:rsidR="008967E5" w:rsidRPr="00B0461D" w:rsidRDefault="008967E5" w:rsidP="00F25F22">
      <w:pPr>
        <w:pStyle w:val="xl19"/>
        <w:tabs>
          <w:tab w:val="left" w:pos="3420"/>
          <w:tab w:val="right" w:pos="8640"/>
        </w:tabs>
        <w:spacing w:before="0" w:after="0"/>
        <w:ind w:left="432"/>
        <w:rPr>
          <w:sz w:val="22"/>
          <w:szCs w:val="22"/>
        </w:rPr>
      </w:pPr>
      <w:r w:rsidRPr="00B0461D">
        <w:rPr>
          <w:sz w:val="22"/>
          <w:szCs w:val="22"/>
        </w:rPr>
        <w:tab/>
        <w:t xml:space="preserve">      Goal 3 – Ensure the fair and efficient administration of justice</w:t>
      </w:r>
      <w:r w:rsidRPr="00B0461D">
        <w:rPr>
          <w:sz w:val="22"/>
          <w:szCs w:val="22"/>
          <w:u w:val="single"/>
        </w:rPr>
        <w:t xml:space="preserve">                                                                                     </w:t>
      </w:r>
    </w:p>
    <w:p w:rsidR="008967E5" w:rsidRPr="00B0461D" w:rsidRDefault="008967E5" w:rsidP="00F25F22">
      <w:pPr>
        <w:pStyle w:val="xl19"/>
        <w:tabs>
          <w:tab w:val="left" w:pos="3420"/>
          <w:tab w:val="right" w:pos="8640"/>
        </w:tabs>
        <w:spacing w:before="0" w:after="0"/>
        <w:ind w:left="432"/>
        <w:rPr>
          <w:sz w:val="22"/>
          <w:szCs w:val="22"/>
        </w:rPr>
      </w:pPr>
      <w:r w:rsidRPr="00B0461D">
        <w:rPr>
          <w:sz w:val="22"/>
          <w:szCs w:val="22"/>
        </w:rPr>
        <w:t>Organizational Program:</w:t>
      </w:r>
      <w:r w:rsidRPr="00B0461D">
        <w:rPr>
          <w:sz w:val="22"/>
          <w:szCs w:val="22"/>
        </w:rPr>
        <w:tab/>
        <w:t xml:space="preserve">      JABS, JCON, and JCON S/TS</w:t>
      </w:r>
    </w:p>
    <w:p w:rsidR="008967E5" w:rsidRPr="00B0461D" w:rsidRDefault="008967E5" w:rsidP="00F25F22">
      <w:pPr>
        <w:pStyle w:val="xl19"/>
        <w:tabs>
          <w:tab w:val="left" w:pos="3420"/>
          <w:tab w:val="right" w:pos="4320"/>
        </w:tabs>
        <w:spacing w:before="0" w:after="0"/>
        <w:ind w:left="432"/>
        <w:rPr>
          <w:sz w:val="22"/>
          <w:szCs w:val="22"/>
        </w:rPr>
      </w:pPr>
      <w:r w:rsidRPr="00B0461D">
        <w:rPr>
          <w:sz w:val="22"/>
          <w:szCs w:val="22"/>
        </w:rPr>
        <w:t>Offset Amount:</w:t>
      </w:r>
      <w:r w:rsidRPr="00B0461D">
        <w:rPr>
          <w:sz w:val="22"/>
          <w:szCs w:val="22"/>
        </w:rPr>
        <w:tab/>
        <w:t xml:space="preserve">     </w:t>
      </w:r>
      <w:r>
        <w:rPr>
          <w:sz w:val="22"/>
          <w:szCs w:val="22"/>
        </w:rPr>
        <w:t xml:space="preserve"> Positions  </w:t>
      </w:r>
      <w:r>
        <w:rPr>
          <w:sz w:val="22"/>
          <w:szCs w:val="22"/>
          <w:u w:val="single"/>
        </w:rPr>
        <w:t>0</w:t>
      </w:r>
      <w:r>
        <w:rPr>
          <w:sz w:val="22"/>
          <w:szCs w:val="22"/>
        </w:rPr>
        <w:t xml:space="preserve">  FTE  </w:t>
      </w:r>
      <w:r>
        <w:rPr>
          <w:sz w:val="22"/>
          <w:szCs w:val="22"/>
          <w:u w:val="single"/>
        </w:rPr>
        <w:t>0</w:t>
      </w:r>
      <w:r>
        <w:rPr>
          <w:sz w:val="22"/>
          <w:szCs w:val="22"/>
        </w:rPr>
        <w:t xml:space="preserve">  Dollars  </w:t>
      </w:r>
      <w:r w:rsidRPr="00D01FA4">
        <w:rPr>
          <w:sz w:val="22"/>
          <w:szCs w:val="22"/>
          <w:u w:val="single"/>
        </w:rPr>
        <w:t>$5,000,000</w:t>
      </w:r>
    </w:p>
    <w:p w:rsidR="008967E5" w:rsidRDefault="008967E5" w:rsidP="00F25F22"/>
    <w:p w:rsidR="008967E5" w:rsidRPr="00E37D68" w:rsidRDefault="008967E5" w:rsidP="00F25F22">
      <w:pPr>
        <w:pStyle w:val="xl24"/>
        <w:spacing w:before="0" w:after="0"/>
        <w:ind w:left="432"/>
        <w:rPr>
          <w:b/>
          <w:sz w:val="22"/>
          <w:szCs w:val="22"/>
        </w:rPr>
      </w:pPr>
      <w:r w:rsidRPr="00E37D68">
        <w:rPr>
          <w:b/>
          <w:sz w:val="22"/>
          <w:szCs w:val="22"/>
        </w:rPr>
        <w:t>Description of Item</w:t>
      </w:r>
    </w:p>
    <w:p w:rsidR="008967E5" w:rsidRPr="00223BF8" w:rsidRDefault="008967E5" w:rsidP="00F25F22">
      <w:pPr>
        <w:pStyle w:val="xl24"/>
        <w:spacing w:before="0" w:after="0"/>
        <w:ind w:left="432"/>
        <w:rPr>
          <w:sz w:val="22"/>
          <w:szCs w:val="22"/>
          <w:u w:val="none"/>
        </w:rPr>
      </w:pPr>
      <w:r>
        <w:rPr>
          <w:sz w:val="22"/>
          <w:szCs w:val="22"/>
          <w:u w:val="none"/>
        </w:rPr>
        <w:t xml:space="preserve">Realign and </w:t>
      </w:r>
      <w:r w:rsidR="00A40BD6">
        <w:rPr>
          <w:sz w:val="22"/>
          <w:szCs w:val="22"/>
          <w:u w:val="none"/>
        </w:rPr>
        <w:t>consolidate</w:t>
      </w:r>
      <w:r w:rsidRPr="00223BF8">
        <w:rPr>
          <w:sz w:val="22"/>
          <w:szCs w:val="22"/>
          <w:u w:val="none"/>
        </w:rPr>
        <w:t xml:space="preserve"> the JABS, JCON, and JCON S/TS Programs to achieve savings through efficiency, econom</w:t>
      </w:r>
      <w:r>
        <w:rPr>
          <w:sz w:val="22"/>
          <w:szCs w:val="22"/>
          <w:u w:val="none"/>
        </w:rPr>
        <w:t>ies</w:t>
      </w:r>
      <w:r w:rsidRPr="00223BF8">
        <w:rPr>
          <w:sz w:val="22"/>
          <w:szCs w:val="22"/>
          <w:u w:val="none"/>
        </w:rPr>
        <w:t xml:space="preserve"> of scale, common project management skills, methodology, and processes across the Programs.</w:t>
      </w:r>
    </w:p>
    <w:p w:rsidR="008967E5" w:rsidRDefault="008967E5" w:rsidP="00F25F22">
      <w:pPr>
        <w:pStyle w:val="BodyText2"/>
        <w:ind w:left="432"/>
      </w:pPr>
    </w:p>
    <w:p w:rsidR="008967E5" w:rsidRPr="00E37D68" w:rsidRDefault="008967E5" w:rsidP="00F25F22">
      <w:pPr>
        <w:pStyle w:val="BodyText2"/>
        <w:ind w:left="432"/>
        <w:rPr>
          <w:b/>
          <w:sz w:val="22"/>
          <w:szCs w:val="22"/>
          <w:u w:val="single"/>
        </w:rPr>
      </w:pPr>
      <w:r w:rsidRPr="00E37D68">
        <w:rPr>
          <w:b/>
          <w:sz w:val="22"/>
          <w:szCs w:val="22"/>
          <w:u w:val="single"/>
        </w:rPr>
        <w:t>Summary Justification</w:t>
      </w:r>
    </w:p>
    <w:p w:rsidR="008967E5" w:rsidRDefault="008967E5" w:rsidP="00F25F22">
      <w:pPr>
        <w:ind w:left="432"/>
        <w:jc w:val="both"/>
        <w:rPr>
          <w:sz w:val="22"/>
          <w:szCs w:val="22"/>
        </w:rPr>
      </w:pPr>
      <w:r w:rsidRPr="007861FD">
        <w:rPr>
          <w:sz w:val="22"/>
          <w:szCs w:val="22"/>
        </w:rPr>
        <w:t>Each of these Programs has an assigned leader with skills and knowledge to address the uniqueness of its mission, users, software applications, and security requirements and to meet ongoing and changing mission demands and technology requirements. The three leaders report to the same Deputy-CIO responsible for oversight and coordination of the Programs.  The OCIO will conduct a review and evaluation to identify cost savings through efficiency improvements and econom</w:t>
      </w:r>
      <w:r>
        <w:rPr>
          <w:sz w:val="22"/>
          <w:szCs w:val="22"/>
        </w:rPr>
        <w:t>ies</w:t>
      </w:r>
      <w:r w:rsidRPr="007861FD">
        <w:rPr>
          <w:sz w:val="22"/>
          <w:szCs w:val="22"/>
        </w:rPr>
        <w:t xml:space="preserve"> of scale that can be realized by sharing administrative functions, as well as advisory and other services</w:t>
      </w:r>
      <w:r>
        <w:rPr>
          <w:sz w:val="22"/>
          <w:szCs w:val="22"/>
        </w:rPr>
        <w:t>,</w:t>
      </w:r>
      <w:r w:rsidRPr="007861FD">
        <w:rPr>
          <w:sz w:val="22"/>
          <w:szCs w:val="22"/>
        </w:rPr>
        <w:t xml:space="preserve"> across the Programs. </w:t>
      </w:r>
    </w:p>
    <w:p w:rsidR="008967E5" w:rsidRPr="007861FD" w:rsidRDefault="008967E5" w:rsidP="00F25F22">
      <w:pPr>
        <w:ind w:left="432"/>
        <w:jc w:val="both"/>
        <w:rPr>
          <w:sz w:val="22"/>
          <w:szCs w:val="22"/>
        </w:rPr>
      </w:pPr>
    </w:p>
    <w:p w:rsidR="008967E5" w:rsidRPr="00E37D68" w:rsidRDefault="008967E5" w:rsidP="00F25F22">
      <w:pPr>
        <w:pStyle w:val="BodyText2"/>
        <w:ind w:left="432"/>
        <w:rPr>
          <w:b/>
          <w:sz w:val="22"/>
          <w:szCs w:val="22"/>
          <w:u w:val="single"/>
        </w:rPr>
      </w:pPr>
      <w:r w:rsidRPr="00E37D68">
        <w:rPr>
          <w:b/>
          <w:sz w:val="22"/>
          <w:szCs w:val="22"/>
          <w:u w:val="single"/>
        </w:rPr>
        <w:t xml:space="preserve">Impact on Performance </w:t>
      </w:r>
    </w:p>
    <w:p w:rsidR="008967E5" w:rsidRDefault="008967E5" w:rsidP="00F25F22">
      <w:pPr>
        <w:pStyle w:val="BodyText2"/>
        <w:ind w:left="432"/>
        <w:rPr>
          <w:sz w:val="22"/>
          <w:szCs w:val="22"/>
        </w:rPr>
      </w:pPr>
      <w:r w:rsidRPr="00D01B17">
        <w:rPr>
          <w:sz w:val="22"/>
          <w:szCs w:val="22"/>
        </w:rPr>
        <w:t>JABS, JCON, and JCON S/TS support the Department’s three Strategic Goals</w:t>
      </w:r>
      <w:r>
        <w:rPr>
          <w:sz w:val="22"/>
          <w:szCs w:val="22"/>
        </w:rPr>
        <w:t xml:space="preserve">:  Goal 1 - Prevent terrorism and promote the nation’s security, Goal 2 - Prevent crime, enforce federal laws, and represent the rights and interests of the America People, and Goal 3 - Ensure the fair and efficient administration of justice.  </w:t>
      </w:r>
    </w:p>
    <w:p w:rsidR="008967E5" w:rsidRDefault="008967E5" w:rsidP="00F25F22">
      <w:pPr>
        <w:pStyle w:val="BodyText2"/>
        <w:ind w:left="432"/>
        <w:rPr>
          <w:sz w:val="22"/>
          <w:szCs w:val="22"/>
        </w:rPr>
      </w:pPr>
      <w:r>
        <w:rPr>
          <w:sz w:val="22"/>
          <w:szCs w:val="22"/>
        </w:rPr>
        <w:t>Cost reduction actions will be identified and implemented with a view to minimize the impact on system availability and security and the performance of other DOJ components, or on other agencies outside of DOJ, that depend on these Programs to execute their missions.</w:t>
      </w:r>
    </w:p>
    <w:p w:rsidR="008967E5" w:rsidRDefault="008967E5" w:rsidP="00F25F22">
      <w:pPr>
        <w:pStyle w:val="Heading1"/>
        <w:rPr>
          <w:rFonts w:ascii="Times New Roman" w:hAnsi="Times New Roman"/>
          <w:bCs w:val="0"/>
        </w:rPr>
      </w:pPr>
    </w:p>
    <w:p w:rsidR="008967E5" w:rsidRPr="00F36A1C" w:rsidRDefault="008967E5" w:rsidP="00F25F22">
      <w:pPr>
        <w:pStyle w:val="Heading1"/>
        <w:jc w:val="left"/>
        <w:rPr>
          <w:rFonts w:ascii="Times New Roman" w:hAnsi="Times New Roman"/>
          <w:bCs w:val="0"/>
          <w:sz w:val="24"/>
          <w:szCs w:val="24"/>
          <w:u w:val="single"/>
        </w:rPr>
      </w:pPr>
      <w:r w:rsidRPr="00F36A1C">
        <w:rPr>
          <w:rFonts w:ascii="Times New Roman" w:hAnsi="Times New Roman"/>
          <w:bCs w:val="0"/>
          <w:sz w:val="24"/>
          <w:szCs w:val="24"/>
          <w:u w:val="single"/>
        </w:rPr>
        <w:t>Funding</w:t>
      </w:r>
    </w:p>
    <w:p w:rsidR="008967E5" w:rsidRDefault="008967E5" w:rsidP="00F25F22"/>
    <w:p w:rsidR="008967E5" w:rsidRDefault="008967E5" w:rsidP="00F25F22">
      <w:pPr>
        <w:pStyle w:val="xl24"/>
        <w:spacing w:before="0" w:after="0"/>
      </w:pPr>
      <w:r>
        <w:t>Base Funding</w:t>
      </w:r>
    </w:p>
    <w:p w:rsidR="008967E5" w:rsidRDefault="008967E5" w:rsidP="00F25F22">
      <w:pPr>
        <w:pStyle w:val="xl24"/>
        <w:spacing w:before="0" w:after="0"/>
      </w:pPr>
    </w:p>
    <w:tbl>
      <w:tblPr>
        <w:tblW w:w="9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3"/>
        <w:gridCol w:w="672"/>
        <w:gridCol w:w="671"/>
        <w:gridCol w:w="1292"/>
        <w:gridCol w:w="671"/>
        <w:gridCol w:w="671"/>
        <w:gridCol w:w="1292"/>
        <w:gridCol w:w="671"/>
        <w:gridCol w:w="671"/>
        <w:gridCol w:w="1294"/>
      </w:tblGrid>
      <w:tr w:rsidR="008967E5" w:rsidTr="00397DAA">
        <w:tc>
          <w:tcPr>
            <w:tcW w:w="1263" w:type="dxa"/>
          </w:tcPr>
          <w:p w:rsidR="008967E5" w:rsidRPr="000F321C" w:rsidRDefault="008967E5" w:rsidP="00397DAA">
            <w:pPr>
              <w:pStyle w:val="xl24"/>
              <w:spacing w:before="0" w:after="0"/>
              <w:jc w:val="center"/>
              <w:rPr>
                <w:sz w:val="20"/>
                <w:u w:val="none"/>
              </w:rPr>
            </w:pPr>
            <w:r>
              <w:rPr>
                <w:sz w:val="20"/>
                <w:u w:val="none"/>
              </w:rPr>
              <w:t>Program</w:t>
            </w:r>
          </w:p>
        </w:tc>
        <w:tc>
          <w:tcPr>
            <w:tcW w:w="2635" w:type="dxa"/>
            <w:gridSpan w:val="3"/>
          </w:tcPr>
          <w:p w:rsidR="008967E5" w:rsidRPr="000F321C" w:rsidRDefault="008967E5" w:rsidP="00397DAA">
            <w:pPr>
              <w:pStyle w:val="xl24"/>
              <w:spacing w:before="0" w:after="0"/>
              <w:jc w:val="center"/>
              <w:rPr>
                <w:sz w:val="20"/>
                <w:u w:val="none"/>
              </w:rPr>
            </w:pPr>
            <w:r>
              <w:rPr>
                <w:sz w:val="20"/>
                <w:u w:val="none"/>
              </w:rPr>
              <w:t>FY 2010 Enacted</w:t>
            </w:r>
          </w:p>
        </w:tc>
        <w:tc>
          <w:tcPr>
            <w:tcW w:w="2634" w:type="dxa"/>
            <w:gridSpan w:val="3"/>
          </w:tcPr>
          <w:p w:rsidR="008967E5" w:rsidRPr="000F321C" w:rsidRDefault="008967E5" w:rsidP="00397DAA">
            <w:pPr>
              <w:pStyle w:val="xl24"/>
              <w:spacing w:before="0" w:after="0"/>
              <w:jc w:val="center"/>
              <w:rPr>
                <w:sz w:val="20"/>
                <w:u w:val="none"/>
              </w:rPr>
            </w:pPr>
            <w:r>
              <w:rPr>
                <w:sz w:val="20"/>
                <w:u w:val="none"/>
              </w:rPr>
              <w:t>FY 2011 President’s Budget</w:t>
            </w:r>
          </w:p>
        </w:tc>
        <w:tc>
          <w:tcPr>
            <w:tcW w:w="2636" w:type="dxa"/>
            <w:gridSpan w:val="3"/>
          </w:tcPr>
          <w:p w:rsidR="008967E5" w:rsidRPr="000F321C" w:rsidRDefault="008967E5" w:rsidP="00397DAA">
            <w:pPr>
              <w:pStyle w:val="xl24"/>
              <w:spacing w:before="0" w:after="0"/>
              <w:jc w:val="center"/>
              <w:rPr>
                <w:sz w:val="20"/>
                <w:u w:val="none"/>
              </w:rPr>
            </w:pPr>
            <w:r>
              <w:rPr>
                <w:sz w:val="20"/>
                <w:u w:val="none"/>
              </w:rPr>
              <w:t>FY 2012 Current Services</w:t>
            </w:r>
          </w:p>
        </w:tc>
      </w:tr>
      <w:tr w:rsidR="008967E5" w:rsidTr="00397DAA">
        <w:tc>
          <w:tcPr>
            <w:tcW w:w="1263" w:type="dxa"/>
          </w:tcPr>
          <w:p w:rsidR="008967E5" w:rsidRPr="000F321C" w:rsidRDefault="008967E5" w:rsidP="00397DAA">
            <w:pPr>
              <w:pStyle w:val="xl24"/>
              <w:spacing w:before="0" w:after="0"/>
              <w:jc w:val="right"/>
              <w:rPr>
                <w:sz w:val="20"/>
              </w:rPr>
            </w:pPr>
          </w:p>
        </w:tc>
        <w:tc>
          <w:tcPr>
            <w:tcW w:w="672" w:type="dxa"/>
          </w:tcPr>
          <w:p w:rsidR="008967E5" w:rsidRPr="00086CF6" w:rsidRDefault="008967E5" w:rsidP="00397DAA">
            <w:pPr>
              <w:pStyle w:val="xl24"/>
              <w:spacing w:before="0" w:after="0"/>
              <w:jc w:val="center"/>
              <w:rPr>
                <w:sz w:val="20"/>
                <w:u w:val="none"/>
              </w:rPr>
            </w:pPr>
            <w:r w:rsidRPr="00086CF6">
              <w:rPr>
                <w:sz w:val="20"/>
                <w:u w:val="none"/>
              </w:rPr>
              <w:t>Pos</w:t>
            </w:r>
          </w:p>
        </w:tc>
        <w:tc>
          <w:tcPr>
            <w:tcW w:w="671" w:type="dxa"/>
          </w:tcPr>
          <w:p w:rsidR="008967E5" w:rsidRPr="00086CF6" w:rsidRDefault="008967E5" w:rsidP="00397DAA">
            <w:pPr>
              <w:pStyle w:val="xl24"/>
              <w:spacing w:before="0" w:after="0"/>
              <w:jc w:val="center"/>
              <w:rPr>
                <w:sz w:val="20"/>
                <w:u w:val="none"/>
              </w:rPr>
            </w:pPr>
            <w:r w:rsidRPr="00086CF6">
              <w:rPr>
                <w:sz w:val="20"/>
                <w:u w:val="none"/>
              </w:rPr>
              <w:t>FTE</w:t>
            </w:r>
          </w:p>
        </w:tc>
        <w:tc>
          <w:tcPr>
            <w:tcW w:w="1292" w:type="dxa"/>
          </w:tcPr>
          <w:p w:rsidR="008967E5" w:rsidRPr="00086CF6" w:rsidRDefault="008967E5" w:rsidP="00397DAA">
            <w:pPr>
              <w:pStyle w:val="xl24"/>
              <w:spacing w:before="0" w:after="0"/>
              <w:jc w:val="center"/>
              <w:rPr>
                <w:sz w:val="20"/>
                <w:u w:val="none"/>
              </w:rPr>
            </w:pPr>
            <w:r w:rsidRPr="00086CF6">
              <w:rPr>
                <w:sz w:val="20"/>
                <w:u w:val="none"/>
              </w:rPr>
              <w:t>(</w:t>
            </w:r>
            <w:r>
              <w:rPr>
                <w:sz w:val="20"/>
                <w:u w:val="none"/>
              </w:rPr>
              <w:t>$</w:t>
            </w:r>
            <w:r w:rsidRPr="00086CF6">
              <w:rPr>
                <w:sz w:val="20"/>
                <w:u w:val="none"/>
              </w:rPr>
              <w:t>000)</w:t>
            </w:r>
          </w:p>
        </w:tc>
        <w:tc>
          <w:tcPr>
            <w:tcW w:w="671" w:type="dxa"/>
          </w:tcPr>
          <w:p w:rsidR="008967E5" w:rsidRPr="00086CF6" w:rsidRDefault="008967E5" w:rsidP="00397DAA">
            <w:pPr>
              <w:pStyle w:val="xl24"/>
              <w:spacing w:before="0" w:after="0"/>
              <w:jc w:val="center"/>
              <w:rPr>
                <w:sz w:val="20"/>
                <w:u w:val="none"/>
              </w:rPr>
            </w:pPr>
            <w:r w:rsidRPr="00086CF6">
              <w:rPr>
                <w:sz w:val="20"/>
                <w:u w:val="none"/>
              </w:rPr>
              <w:t>Pos</w:t>
            </w:r>
          </w:p>
        </w:tc>
        <w:tc>
          <w:tcPr>
            <w:tcW w:w="671" w:type="dxa"/>
          </w:tcPr>
          <w:p w:rsidR="008967E5" w:rsidRPr="00086CF6" w:rsidRDefault="008967E5" w:rsidP="00397DAA">
            <w:pPr>
              <w:pStyle w:val="xl24"/>
              <w:spacing w:before="0" w:after="0"/>
              <w:jc w:val="center"/>
              <w:rPr>
                <w:sz w:val="20"/>
                <w:u w:val="none"/>
              </w:rPr>
            </w:pPr>
            <w:r w:rsidRPr="00086CF6">
              <w:rPr>
                <w:sz w:val="20"/>
                <w:u w:val="none"/>
              </w:rPr>
              <w:t>FTE</w:t>
            </w:r>
          </w:p>
        </w:tc>
        <w:tc>
          <w:tcPr>
            <w:tcW w:w="1292" w:type="dxa"/>
          </w:tcPr>
          <w:p w:rsidR="008967E5" w:rsidRPr="00086CF6" w:rsidRDefault="008967E5" w:rsidP="00397DAA">
            <w:pPr>
              <w:pStyle w:val="xl24"/>
              <w:spacing w:before="0" w:after="0"/>
              <w:jc w:val="center"/>
              <w:rPr>
                <w:sz w:val="20"/>
                <w:u w:val="none"/>
              </w:rPr>
            </w:pPr>
            <w:r w:rsidRPr="00086CF6">
              <w:rPr>
                <w:sz w:val="20"/>
                <w:u w:val="none"/>
              </w:rPr>
              <w:t>(</w:t>
            </w:r>
            <w:r>
              <w:rPr>
                <w:sz w:val="20"/>
                <w:u w:val="none"/>
              </w:rPr>
              <w:t>$</w:t>
            </w:r>
            <w:r w:rsidRPr="00086CF6">
              <w:rPr>
                <w:sz w:val="20"/>
                <w:u w:val="none"/>
              </w:rPr>
              <w:t>000)</w:t>
            </w:r>
          </w:p>
        </w:tc>
        <w:tc>
          <w:tcPr>
            <w:tcW w:w="671" w:type="dxa"/>
          </w:tcPr>
          <w:p w:rsidR="008967E5" w:rsidRPr="00086CF6" w:rsidRDefault="008967E5" w:rsidP="00397DAA">
            <w:pPr>
              <w:pStyle w:val="xl24"/>
              <w:spacing w:before="0" w:after="0"/>
              <w:jc w:val="center"/>
              <w:rPr>
                <w:sz w:val="20"/>
                <w:u w:val="none"/>
              </w:rPr>
            </w:pPr>
            <w:r w:rsidRPr="00086CF6">
              <w:rPr>
                <w:sz w:val="20"/>
                <w:u w:val="none"/>
              </w:rPr>
              <w:t>Pos</w:t>
            </w:r>
          </w:p>
        </w:tc>
        <w:tc>
          <w:tcPr>
            <w:tcW w:w="671" w:type="dxa"/>
          </w:tcPr>
          <w:p w:rsidR="008967E5" w:rsidRPr="00086CF6" w:rsidRDefault="008967E5" w:rsidP="00397DAA">
            <w:pPr>
              <w:pStyle w:val="xl24"/>
              <w:spacing w:before="0" w:after="0"/>
              <w:jc w:val="center"/>
              <w:rPr>
                <w:sz w:val="20"/>
                <w:u w:val="none"/>
              </w:rPr>
            </w:pPr>
            <w:r w:rsidRPr="00086CF6">
              <w:rPr>
                <w:sz w:val="20"/>
                <w:u w:val="none"/>
              </w:rPr>
              <w:t>FTE</w:t>
            </w:r>
          </w:p>
        </w:tc>
        <w:tc>
          <w:tcPr>
            <w:tcW w:w="1294" w:type="dxa"/>
          </w:tcPr>
          <w:p w:rsidR="008967E5" w:rsidRPr="00086CF6" w:rsidRDefault="008967E5" w:rsidP="00397DAA">
            <w:pPr>
              <w:pStyle w:val="xl24"/>
              <w:spacing w:before="0" w:after="0"/>
              <w:jc w:val="center"/>
              <w:rPr>
                <w:sz w:val="20"/>
                <w:u w:val="none"/>
              </w:rPr>
            </w:pPr>
            <w:r w:rsidRPr="00086CF6">
              <w:rPr>
                <w:sz w:val="20"/>
                <w:u w:val="none"/>
              </w:rPr>
              <w:t>(</w:t>
            </w:r>
            <w:r>
              <w:rPr>
                <w:sz w:val="20"/>
                <w:u w:val="none"/>
              </w:rPr>
              <w:t>$</w:t>
            </w:r>
            <w:r w:rsidRPr="00086CF6">
              <w:rPr>
                <w:sz w:val="20"/>
                <w:u w:val="none"/>
              </w:rPr>
              <w:t>000)</w:t>
            </w:r>
          </w:p>
        </w:tc>
      </w:tr>
      <w:tr w:rsidR="008967E5" w:rsidTr="00397DAA">
        <w:tc>
          <w:tcPr>
            <w:tcW w:w="1263" w:type="dxa"/>
          </w:tcPr>
          <w:p w:rsidR="008967E5" w:rsidRPr="00170EF3" w:rsidRDefault="008967E5" w:rsidP="00397DAA">
            <w:pPr>
              <w:pStyle w:val="xl24"/>
              <w:spacing w:before="0" w:after="0"/>
              <w:rPr>
                <w:sz w:val="20"/>
                <w:u w:val="none"/>
              </w:rPr>
            </w:pPr>
            <w:r w:rsidRPr="00170EF3">
              <w:rPr>
                <w:sz w:val="20"/>
                <w:u w:val="none"/>
              </w:rPr>
              <w:t>JABS</w:t>
            </w:r>
          </w:p>
        </w:tc>
        <w:tc>
          <w:tcPr>
            <w:tcW w:w="672" w:type="dxa"/>
            <w:vAlign w:val="center"/>
          </w:tcPr>
          <w:p w:rsidR="008967E5" w:rsidRPr="00FE4866" w:rsidRDefault="008967E5" w:rsidP="00397DAA">
            <w:pPr>
              <w:pStyle w:val="xl24"/>
              <w:spacing w:before="0" w:after="0"/>
              <w:jc w:val="center"/>
              <w:rPr>
                <w:sz w:val="20"/>
                <w:u w:val="none"/>
              </w:rPr>
            </w:pPr>
            <w:r w:rsidRPr="00FE4866">
              <w:rPr>
                <w:sz w:val="20"/>
                <w:u w:val="none"/>
              </w:rPr>
              <w:t>7</w:t>
            </w:r>
          </w:p>
        </w:tc>
        <w:tc>
          <w:tcPr>
            <w:tcW w:w="671" w:type="dxa"/>
            <w:vAlign w:val="center"/>
          </w:tcPr>
          <w:p w:rsidR="008967E5" w:rsidRPr="00601FF7" w:rsidRDefault="008967E5" w:rsidP="00277CF8">
            <w:pPr>
              <w:pStyle w:val="xl24"/>
              <w:spacing w:before="0" w:after="0"/>
              <w:jc w:val="center"/>
              <w:rPr>
                <w:sz w:val="20"/>
                <w:u w:val="none"/>
              </w:rPr>
            </w:pPr>
            <w:r w:rsidRPr="00812166">
              <w:rPr>
                <w:sz w:val="20"/>
                <w:u w:val="none"/>
              </w:rPr>
              <w:t>7</w:t>
            </w:r>
          </w:p>
        </w:tc>
        <w:tc>
          <w:tcPr>
            <w:tcW w:w="1292" w:type="dxa"/>
            <w:vAlign w:val="center"/>
          </w:tcPr>
          <w:p w:rsidR="008967E5" w:rsidRPr="005172F3" w:rsidRDefault="008967E5" w:rsidP="00397DAA">
            <w:pPr>
              <w:pStyle w:val="xl24"/>
              <w:spacing w:before="0" w:after="0"/>
              <w:jc w:val="center"/>
              <w:rPr>
                <w:sz w:val="20"/>
                <w:u w:val="none"/>
              </w:rPr>
            </w:pPr>
            <w:r>
              <w:rPr>
                <w:sz w:val="20"/>
                <w:u w:val="none"/>
              </w:rPr>
              <w:t>$ 9,6</w:t>
            </w:r>
            <w:r w:rsidRPr="005172F3">
              <w:rPr>
                <w:sz w:val="20"/>
                <w:u w:val="none"/>
              </w:rPr>
              <w:t>00</w:t>
            </w:r>
          </w:p>
        </w:tc>
        <w:tc>
          <w:tcPr>
            <w:tcW w:w="671" w:type="dxa"/>
            <w:vAlign w:val="center"/>
          </w:tcPr>
          <w:p w:rsidR="008967E5" w:rsidRPr="00FE4866" w:rsidRDefault="008967E5" w:rsidP="00397DAA">
            <w:pPr>
              <w:pStyle w:val="xl24"/>
              <w:spacing w:before="0" w:after="0"/>
              <w:jc w:val="center"/>
              <w:rPr>
                <w:sz w:val="20"/>
                <w:u w:val="none"/>
              </w:rPr>
            </w:pPr>
            <w:r w:rsidRPr="00FE4866">
              <w:rPr>
                <w:sz w:val="20"/>
                <w:u w:val="none"/>
              </w:rPr>
              <w:t>7</w:t>
            </w:r>
          </w:p>
        </w:tc>
        <w:tc>
          <w:tcPr>
            <w:tcW w:w="671" w:type="dxa"/>
            <w:vAlign w:val="center"/>
          </w:tcPr>
          <w:p w:rsidR="008967E5" w:rsidRPr="00FE4866" w:rsidRDefault="008967E5" w:rsidP="00397DAA">
            <w:pPr>
              <w:pStyle w:val="xl24"/>
              <w:spacing w:before="0" w:after="0"/>
              <w:jc w:val="center"/>
              <w:rPr>
                <w:sz w:val="20"/>
                <w:u w:val="none"/>
              </w:rPr>
            </w:pPr>
            <w:r w:rsidRPr="00FE4866">
              <w:rPr>
                <w:sz w:val="20"/>
                <w:u w:val="none"/>
              </w:rPr>
              <w:t>7</w:t>
            </w:r>
          </w:p>
        </w:tc>
        <w:tc>
          <w:tcPr>
            <w:tcW w:w="1292" w:type="dxa"/>
            <w:vAlign w:val="center"/>
          </w:tcPr>
          <w:p w:rsidR="008967E5" w:rsidRPr="00170EF3" w:rsidRDefault="008967E5" w:rsidP="00397DAA">
            <w:pPr>
              <w:pStyle w:val="xl24"/>
              <w:spacing w:before="0" w:after="0"/>
              <w:jc w:val="center"/>
              <w:rPr>
                <w:sz w:val="20"/>
                <w:u w:val="none"/>
              </w:rPr>
            </w:pPr>
            <w:r>
              <w:rPr>
                <w:sz w:val="20"/>
                <w:u w:val="none"/>
              </w:rPr>
              <w:t>$ 9,600</w:t>
            </w:r>
          </w:p>
        </w:tc>
        <w:tc>
          <w:tcPr>
            <w:tcW w:w="671" w:type="dxa"/>
            <w:vAlign w:val="center"/>
          </w:tcPr>
          <w:p w:rsidR="008967E5" w:rsidRPr="00170EF3" w:rsidRDefault="008967E5" w:rsidP="00397DAA">
            <w:pPr>
              <w:pStyle w:val="xl24"/>
              <w:spacing w:before="0" w:after="0"/>
              <w:jc w:val="center"/>
              <w:rPr>
                <w:sz w:val="20"/>
                <w:u w:val="none"/>
              </w:rPr>
            </w:pPr>
            <w:r>
              <w:rPr>
                <w:sz w:val="20"/>
                <w:u w:val="none"/>
              </w:rPr>
              <w:t>7</w:t>
            </w:r>
          </w:p>
        </w:tc>
        <w:tc>
          <w:tcPr>
            <w:tcW w:w="671" w:type="dxa"/>
            <w:vAlign w:val="center"/>
          </w:tcPr>
          <w:p w:rsidR="008967E5" w:rsidRPr="00170EF3" w:rsidRDefault="008967E5" w:rsidP="00397DAA">
            <w:pPr>
              <w:pStyle w:val="xl24"/>
              <w:spacing w:before="0" w:after="0"/>
              <w:jc w:val="center"/>
              <w:rPr>
                <w:sz w:val="20"/>
                <w:u w:val="none"/>
              </w:rPr>
            </w:pPr>
            <w:r>
              <w:rPr>
                <w:sz w:val="20"/>
                <w:u w:val="none"/>
              </w:rPr>
              <w:t>7</w:t>
            </w:r>
          </w:p>
        </w:tc>
        <w:tc>
          <w:tcPr>
            <w:tcW w:w="1294" w:type="dxa"/>
            <w:vAlign w:val="center"/>
          </w:tcPr>
          <w:p w:rsidR="008967E5" w:rsidRPr="00170EF3" w:rsidRDefault="008967E5" w:rsidP="00397DAA">
            <w:pPr>
              <w:pStyle w:val="xl24"/>
              <w:spacing w:before="0" w:after="0"/>
              <w:jc w:val="center"/>
              <w:rPr>
                <w:sz w:val="20"/>
                <w:u w:val="none"/>
              </w:rPr>
            </w:pPr>
            <w:r>
              <w:rPr>
                <w:sz w:val="20"/>
                <w:u w:val="none"/>
              </w:rPr>
              <w:t>$ 9,669</w:t>
            </w:r>
          </w:p>
        </w:tc>
      </w:tr>
      <w:tr w:rsidR="008967E5" w:rsidTr="00397DAA">
        <w:tc>
          <w:tcPr>
            <w:tcW w:w="1263" w:type="dxa"/>
          </w:tcPr>
          <w:p w:rsidR="008967E5" w:rsidRPr="00170EF3" w:rsidRDefault="008967E5" w:rsidP="00397DAA">
            <w:pPr>
              <w:pStyle w:val="xl24"/>
              <w:spacing w:before="0" w:after="0"/>
              <w:rPr>
                <w:sz w:val="20"/>
                <w:u w:val="none"/>
              </w:rPr>
            </w:pPr>
            <w:r w:rsidRPr="00170EF3">
              <w:rPr>
                <w:sz w:val="20"/>
                <w:u w:val="none"/>
              </w:rPr>
              <w:t xml:space="preserve">JCON </w:t>
            </w:r>
          </w:p>
        </w:tc>
        <w:tc>
          <w:tcPr>
            <w:tcW w:w="672" w:type="dxa"/>
            <w:vAlign w:val="center"/>
          </w:tcPr>
          <w:p w:rsidR="008967E5" w:rsidRPr="00FE4866" w:rsidRDefault="008967E5" w:rsidP="00397DAA">
            <w:pPr>
              <w:pStyle w:val="xl24"/>
              <w:spacing w:before="0" w:after="0"/>
              <w:jc w:val="center"/>
              <w:rPr>
                <w:sz w:val="20"/>
                <w:u w:val="none"/>
              </w:rPr>
            </w:pPr>
            <w:r w:rsidRPr="00FE4866">
              <w:rPr>
                <w:sz w:val="20"/>
                <w:u w:val="none"/>
              </w:rPr>
              <w:t>7</w:t>
            </w:r>
          </w:p>
        </w:tc>
        <w:tc>
          <w:tcPr>
            <w:tcW w:w="671" w:type="dxa"/>
            <w:vAlign w:val="center"/>
          </w:tcPr>
          <w:p w:rsidR="008967E5" w:rsidRPr="007A10B5" w:rsidRDefault="008967E5" w:rsidP="00397DAA">
            <w:pPr>
              <w:pStyle w:val="xl24"/>
              <w:spacing w:before="0" w:after="0"/>
              <w:jc w:val="center"/>
              <w:rPr>
                <w:sz w:val="20"/>
                <w:u w:val="none"/>
              </w:rPr>
            </w:pPr>
            <w:r w:rsidRPr="007A10B5">
              <w:rPr>
                <w:sz w:val="20"/>
                <w:u w:val="none"/>
              </w:rPr>
              <w:t>7</w:t>
            </w:r>
          </w:p>
        </w:tc>
        <w:tc>
          <w:tcPr>
            <w:tcW w:w="1292" w:type="dxa"/>
            <w:vAlign w:val="center"/>
          </w:tcPr>
          <w:p w:rsidR="008967E5" w:rsidRPr="005172F3" w:rsidRDefault="008967E5" w:rsidP="00397DAA">
            <w:pPr>
              <w:pStyle w:val="xl24"/>
              <w:spacing w:before="0" w:after="0"/>
              <w:jc w:val="center"/>
              <w:rPr>
                <w:sz w:val="20"/>
                <w:u w:val="none"/>
              </w:rPr>
            </w:pPr>
            <w:r>
              <w:rPr>
                <w:sz w:val="20"/>
                <w:u w:val="none"/>
              </w:rPr>
              <w:t>$20,179</w:t>
            </w:r>
          </w:p>
        </w:tc>
        <w:tc>
          <w:tcPr>
            <w:tcW w:w="671" w:type="dxa"/>
            <w:vAlign w:val="center"/>
          </w:tcPr>
          <w:p w:rsidR="008967E5" w:rsidRPr="00FE4866" w:rsidRDefault="008967E5" w:rsidP="00397DAA">
            <w:pPr>
              <w:pStyle w:val="xl24"/>
              <w:spacing w:before="0" w:after="0"/>
              <w:jc w:val="center"/>
              <w:rPr>
                <w:sz w:val="20"/>
                <w:u w:val="none"/>
              </w:rPr>
            </w:pPr>
            <w:r w:rsidRPr="00FE4866">
              <w:rPr>
                <w:sz w:val="20"/>
                <w:u w:val="none"/>
              </w:rPr>
              <w:t>7</w:t>
            </w:r>
          </w:p>
        </w:tc>
        <w:tc>
          <w:tcPr>
            <w:tcW w:w="671" w:type="dxa"/>
            <w:vAlign w:val="center"/>
          </w:tcPr>
          <w:p w:rsidR="008967E5" w:rsidRPr="00FE4866" w:rsidRDefault="008967E5" w:rsidP="00397DAA">
            <w:pPr>
              <w:pStyle w:val="xl24"/>
              <w:spacing w:before="0" w:after="0"/>
              <w:jc w:val="center"/>
              <w:rPr>
                <w:sz w:val="20"/>
                <w:u w:val="none"/>
              </w:rPr>
            </w:pPr>
            <w:r w:rsidRPr="00FE4866">
              <w:rPr>
                <w:sz w:val="20"/>
                <w:u w:val="none"/>
              </w:rPr>
              <w:t>7</w:t>
            </w:r>
          </w:p>
        </w:tc>
        <w:tc>
          <w:tcPr>
            <w:tcW w:w="1292" w:type="dxa"/>
            <w:vAlign w:val="center"/>
          </w:tcPr>
          <w:p w:rsidR="008967E5" w:rsidRPr="00170EF3" w:rsidRDefault="008967E5" w:rsidP="00397DAA">
            <w:pPr>
              <w:pStyle w:val="xl24"/>
              <w:spacing w:before="0" w:after="0"/>
              <w:jc w:val="center"/>
              <w:rPr>
                <w:sz w:val="20"/>
                <w:u w:val="none"/>
              </w:rPr>
            </w:pPr>
            <w:r>
              <w:rPr>
                <w:sz w:val="20"/>
                <w:u w:val="none"/>
              </w:rPr>
              <w:t>$20,179</w:t>
            </w:r>
          </w:p>
        </w:tc>
        <w:tc>
          <w:tcPr>
            <w:tcW w:w="671" w:type="dxa"/>
            <w:vAlign w:val="center"/>
          </w:tcPr>
          <w:p w:rsidR="008967E5" w:rsidRPr="00170EF3" w:rsidRDefault="008967E5" w:rsidP="00397DAA">
            <w:pPr>
              <w:pStyle w:val="xl24"/>
              <w:spacing w:before="0" w:after="0"/>
              <w:jc w:val="center"/>
              <w:rPr>
                <w:sz w:val="20"/>
                <w:u w:val="none"/>
              </w:rPr>
            </w:pPr>
            <w:r>
              <w:rPr>
                <w:sz w:val="20"/>
                <w:u w:val="none"/>
              </w:rPr>
              <w:t>7</w:t>
            </w:r>
          </w:p>
        </w:tc>
        <w:tc>
          <w:tcPr>
            <w:tcW w:w="671" w:type="dxa"/>
            <w:vAlign w:val="center"/>
          </w:tcPr>
          <w:p w:rsidR="008967E5" w:rsidRPr="00170EF3" w:rsidRDefault="008967E5" w:rsidP="00397DAA">
            <w:pPr>
              <w:pStyle w:val="xl24"/>
              <w:spacing w:before="0" w:after="0"/>
              <w:jc w:val="center"/>
              <w:rPr>
                <w:sz w:val="20"/>
                <w:u w:val="none"/>
              </w:rPr>
            </w:pPr>
            <w:r>
              <w:rPr>
                <w:sz w:val="20"/>
                <w:u w:val="none"/>
              </w:rPr>
              <w:t>7</w:t>
            </w:r>
          </w:p>
        </w:tc>
        <w:tc>
          <w:tcPr>
            <w:tcW w:w="1294" w:type="dxa"/>
            <w:vAlign w:val="center"/>
          </w:tcPr>
          <w:p w:rsidR="008967E5" w:rsidRPr="00170EF3" w:rsidRDefault="008967E5" w:rsidP="00397DAA">
            <w:pPr>
              <w:pStyle w:val="xl24"/>
              <w:spacing w:before="0" w:after="0"/>
              <w:jc w:val="center"/>
              <w:rPr>
                <w:sz w:val="20"/>
                <w:u w:val="none"/>
              </w:rPr>
            </w:pPr>
            <w:r>
              <w:rPr>
                <w:sz w:val="20"/>
                <w:u w:val="none"/>
              </w:rPr>
              <w:t>$20,248</w:t>
            </w:r>
          </w:p>
        </w:tc>
      </w:tr>
      <w:tr w:rsidR="008967E5" w:rsidTr="00397DAA">
        <w:tc>
          <w:tcPr>
            <w:tcW w:w="1263" w:type="dxa"/>
          </w:tcPr>
          <w:p w:rsidR="008967E5" w:rsidRPr="00170EF3" w:rsidRDefault="008967E5" w:rsidP="00397DAA">
            <w:pPr>
              <w:pStyle w:val="xl24"/>
              <w:spacing w:before="0" w:after="0"/>
              <w:rPr>
                <w:sz w:val="20"/>
                <w:u w:val="none"/>
              </w:rPr>
            </w:pPr>
            <w:r w:rsidRPr="00170EF3">
              <w:rPr>
                <w:sz w:val="20"/>
                <w:u w:val="none"/>
              </w:rPr>
              <w:t xml:space="preserve">JCON </w:t>
            </w:r>
            <w:r>
              <w:rPr>
                <w:sz w:val="20"/>
                <w:u w:val="none"/>
              </w:rPr>
              <w:t>S/TS</w:t>
            </w:r>
          </w:p>
        </w:tc>
        <w:tc>
          <w:tcPr>
            <w:tcW w:w="672" w:type="dxa"/>
            <w:vAlign w:val="center"/>
          </w:tcPr>
          <w:p w:rsidR="008967E5" w:rsidRPr="00FE4866" w:rsidRDefault="008967E5" w:rsidP="00397DAA">
            <w:pPr>
              <w:pStyle w:val="xl24"/>
              <w:spacing w:before="0" w:after="0"/>
              <w:jc w:val="center"/>
              <w:rPr>
                <w:sz w:val="20"/>
                <w:u w:val="none"/>
              </w:rPr>
            </w:pPr>
            <w:r>
              <w:rPr>
                <w:sz w:val="20"/>
                <w:u w:val="none"/>
              </w:rPr>
              <w:t>4</w:t>
            </w:r>
          </w:p>
        </w:tc>
        <w:tc>
          <w:tcPr>
            <w:tcW w:w="671" w:type="dxa"/>
            <w:vAlign w:val="center"/>
          </w:tcPr>
          <w:p w:rsidR="008967E5" w:rsidRPr="007A10B5" w:rsidRDefault="008967E5" w:rsidP="00397DAA">
            <w:pPr>
              <w:pStyle w:val="xl24"/>
              <w:spacing w:before="0" w:after="0"/>
              <w:jc w:val="center"/>
              <w:rPr>
                <w:sz w:val="20"/>
                <w:u w:val="none"/>
              </w:rPr>
            </w:pPr>
            <w:r>
              <w:rPr>
                <w:sz w:val="20"/>
                <w:u w:val="none"/>
              </w:rPr>
              <w:t>4</w:t>
            </w:r>
          </w:p>
        </w:tc>
        <w:tc>
          <w:tcPr>
            <w:tcW w:w="1292" w:type="dxa"/>
            <w:vAlign w:val="center"/>
          </w:tcPr>
          <w:p w:rsidR="008967E5" w:rsidRPr="005172F3" w:rsidRDefault="008967E5" w:rsidP="00397DAA">
            <w:pPr>
              <w:pStyle w:val="xl24"/>
              <w:spacing w:before="0" w:after="0"/>
              <w:jc w:val="center"/>
              <w:rPr>
                <w:sz w:val="20"/>
                <w:u w:val="none"/>
              </w:rPr>
            </w:pPr>
            <w:r w:rsidRPr="005172F3">
              <w:rPr>
                <w:sz w:val="20"/>
                <w:u w:val="none"/>
              </w:rPr>
              <w:t>$</w:t>
            </w:r>
            <w:r>
              <w:rPr>
                <w:sz w:val="20"/>
                <w:u w:val="none"/>
              </w:rPr>
              <w:t xml:space="preserve"> 5,5</w:t>
            </w:r>
            <w:r w:rsidRPr="005172F3">
              <w:rPr>
                <w:sz w:val="20"/>
                <w:u w:val="none"/>
              </w:rPr>
              <w:t>00</w:t>
            </w:r>
          </w:p>
        </w:tc>
        <w:tc>
          <w:tcPr>
            <w:tcW w:w="671" w:type="dxa"/>
            <w:vAlign w:val="center"/>
          </w:tcPr>
          <w:p w:rsidR="008967E5" w:rsidRPr="00FE4866" w:rsidRDefault="008967E5" w:rsidP="00397DAA">
            <w:pPr>
              <w:pStyle w:val="xl24"/>
              <w:spacing w:before="0" w:after="0"/>
              <w:jc w:val="center"/>
              <w:rPr>
                <w:sz w:val="20"/>
                <w:u w:val="none"/>
              </w:rPr>
            </w:pPr>
            <w:r>
              <w:rPr>
                <w:sz w:val="20"/>
                <w:u w:val="none"/>
              </w:rPr>
              <w:t>4</w:t>
            </w:r>
          </w:p>
        </w:tc>
        <w:tc>
          <w:tcPr>
            <w:tcW w:w="671" w:type="dxa"/>
            <w:vAlign w:val="center"/>
          </w:tcPr>
          <w:p w:rsidR="008967E5" w:rsidRPr="00FE4866" w:rsidRDefault="008967E5" w:rsidP="00397DAA">
            <w:pPr>
              <w:pStyle w:val="xl24"/>
              <w:spacing w:before="0" w:after="0"/>
              <w:jc w:val="center"/>
              <w:rPr>
                <w:sz w:val="20"/>
                <w:u w:val="none"/>
              </w:rPr>
            </w:pPr>
            <w:r>
              <w:rPr>
                <w:sz w:val="20"/>
                <w:u w:val="none"/>
              </w:rPr>
              <w:t>4</w:t>
            </w:r>
          </w:p>
        </w:tc>
        <w:tc>
          <w:tcPr>
            <w:tcW w:w="1292" w:type="dxa"/>
            <w:vAlign w:val="center"/>
          </w:tcPr>
          <w:p w:rsidR="008967E5" w:rsidRPr="00170EF3" w:rsidRDefault="008967E5" w:rsidP="00397DAA">
            <w:pPr>
              <w:pStyle w:val="xl24"/>
              <w:spacing w:before="0" w:after="0"/>
              <w:jc w:val="center"/>
              <w:rPr>
                <w:sz w:val="20"/>
                <w:u w:val="none"/>
              </w:rPr>
            </w:pPr>
            <w:r>
              <w:rPr>
                <w:sz w:val="20"/>
                <w:u w:val="none"/>
              </w:rPr>
              <w:t>$ 5,500</w:t>
            </w:r>
          </w:p>
        </w:tc>
        <w:tc>
          <w:tcPr>
            <w:tcW w:w="671" w:type="dxa"/>
            <w:vAlign w:val="center"/>
          </w:tcPr>
          <w:p w:rsidR="008967E5" w:rsidRPr="00170EF3" w:rsidRDefault="008967E5" w:rsidP="00397DAA">
            <w:pPr>
              <w:pStyle w:val="xl24"/>
              <w:spacing w:before="0" w:after="0"/>
              <w:jc w:val="center"/>
              <w:rPr>
                <w:sz w:val="20"/>
                <w:u w:val="none"/>
              </w:rPr>
            </w:pPr>
            <w:r>
              <w:rPr>
                <w:sz w:val="20"/>
                <w:u w:val="none"/>
              </w:rPr>
              <w:t>4</w:t>
            </w:r>
          </w:p>
        </w:tc>
        <w:tc>
          <w:tcPr>
            <w:tcW w:w="671" w:type="dxa"/>
            <w:vAlign w:val="center"/>
          </w:tcPr>
          <w:p w:rsidR="008967E5" w:rsidRPr="00170EF3" w:rsidRDefault="008967E5" w:rsidP="00397DAA">
            <w:pPr>
              <w:pStyle w:val="xl24"/>
              <w:spacing w:before="0" w:after="0"/>
              <w:jc w:val="center"/>
              <w:rPr>
                <w:sz w:val="20"/>
                <w:u w:val="none"/>
              </w:rPr>
            </w:pPr>
            <w:r>
              <w:rPr>
                <w:sz w:val="20"/>
                <w:u w:val="none"/>
              </w:rPr>
              <w:t>4</w:t>
            </w:r>
          </w:p>
        </w:tc>
        <w:tc>
          <w:tcPr>
            <w:tcW w:w="1294" w:type="dxa"/>
            <w:vAlign w:val="center"/>
          </w:tcPr>
          <w:p w:rsidR="008967E5" w:rsidRPr="00170EF3" w:rsidRDefault="008967E5" w:rsidP="00397DAA">
            <w:pPr>
              <w:pStyle w:val="xl24"/>
              <w:spacing w:before="0" w:after="0"/>
              <w:jc w:val="center"/>
              <w:rPr>
                <w:sz w:val="20"/>
                <w:u w:val="none"/>
              </w:rPr>
            </w:pPr>
            <w:r>
              <w:rPr>
                <w:sz w:val="20"/>
                <w:u w:val="none"/>
              </w:rPr>
              <w:t>$  5,531</w:t>
            </w:r>
          </w:p>
        </w:tc>
      </w:tr>
      <w:tr w:rsidR="008967E5" w:rsidTr="00397DAA">
        <w:tc>
          <w:tcPr>
            <w:tcW w:w="1263" w:type="dxa"/>
          </w:tcPr>
          <w:p w:rsidR="008967E5" w:rsidRPr="00170EF3" w:rsidRDefault="008967E5" w:rsidP="00397DAA">
            <w:pPr>
              <w:pStyle w:val="xl24"/>
              <w:spacing w:before="0" w:after="0"/>
              <w:jc w:val="right"/>
              <w:rPr>
                <w:sz w:val="20"/>
                <w:u w:val="none"/>
              </w:rPr>
            </w:pPr>
            <w:r w:rsidRPr="00170EF3">
              <w:rPr>
                <w:sz w:val="20"/>
                <w:u w:val="none"/>
              </w:rPr>
              <w:t>Total</w:t>
            </w:r>
          </w:p>
        </w:tc>
        <w:tc>
          <w:tcPr>
            <w:tcW w:w="672" w:type="dxa"/>
            <w:vAlign w:val="center"/>
          </w:tcPr>
          <w:p w:rsidR="008967E5" w:rsidRPr="00FE4866" w:rsidRDefault="008967E5" w:rsidP="00397DAA">
            <w:pPr>
              <w:pStyle w:val="xl24"/>
              <w:spacing w:before="0" w:after="0"/>
              <w:jc w:val="center"/>
              <w:rPr>
                <w:sz w:val="20"/>
                <w:u w:val="none"/>
              </w:rPr>
            </w:pPr>
            <w:r>
              <w:rPr>
                <w:sz w:val="20"/>
                <w:u w:val="none"/>
              </w:rPr>
              <w:t>18</w:t>
            </w:r>
          </w:p>
        </w:tc>
        <w:tc>
          <w:tcPr>
            <w:tcW w:w="671" w:type="dxa"/>
            <w:vAlign w:val="center"/>
          </w:tcPr>
          <w:p w:rsidR="008967E5" w:rsidRPr="007A10B5" w:rsidRDefault="008967E5" w:rsidP="00397DAA">
            <w:pPr>
              <w:pStyle w:val="xl24"/>
              <w:spacing w:before="0" w:after="0"/>
              <w:jc w:val="center"/>
              <w:rPr>
                <w:sz w:val="20"/>
                <w:u w:val="none"/>
              </w:rPr>
            </w:pPr>
            <w:r>
              <w:rPr>
                <w:sz w:val="20"/>
                <w:u w:val="none"/>
              </w:rPr>
              <w:t>18</w:t>
            </w:r>
          </w:p>
        </w:tc>
        <w:tc>
          <w:tcPr>
            <w:tcW w:w="1292" w:type="dxa"/>
            <w:vAlign w:val="center"/>
          </w:tcPr>
          <w:p w:rsidR="008967E5" w:rsidRPr="005172F3" w:rsidRDefault="008967E5" w:rsidP="00397DAA">
            <w:pPr>
              <w:pStyle w:val="xl24"/>
              <w:spacing w:before="0" w:after="0"/>
              <w:jc w:val="center"/>
              <w:rPr>
                <w:sz w:val="20"/>
                <w:u w:val="none"/>
              </w:rPr>
            </w:pPr>
            <w:r>
              <w:rPr>
                <w:sz w:val="20"/>
                <w:u w:val="none"/>
              </w:rPr>
              <w:t>$35,279</w:t>
            </w:r>
          </w:p>
        </w:tc>
        <w:tc>
          <w:tcPr>
            <w:tcW w:w="671" w:type="dxa"/>
            <w:vAlign w:val="center"/>
          </w:tcPr>
          <w:p w:rsidR="008967E5" w:rsidRPr="00FE4866" w:rsidRDefault="008967E5" w:rsidP="00397DAA">
            <w:pPr>
              <w:pStyle w:val="xl24"/>
              <w:spacing w:before="0" w:after="0"/>
              <w:jc w:val="center"/>
              <w:rPr>
                <w:sz w:val="20"/>
                <w:u w:val="none"/>
              </w:rPr>
            </w:pPr>
            <w:r>
              <w:rPr>
                <w:sz w:val="20"/>
                <w:u w:val="none"/>
              </w:rPr>
              <w:t>18</w:t>
            </w:r>
          </w:p>
        </w:tc>
        <w:tc>
          <w:tcPr>
            <w:tcW w:w="671" w:type="dxa"/>
            <w:vAlign w:val="center"/>
          </w:tcPr>
          <w:p w:rsidR="008967E5" w:rsidRPr="00FE4866" w:rsidRDefault="008967E5" w:rsidP="00397DAA">
            <w:pPr>
              <w:pStyle w:val="xl24"/>
              <w:spacing w:before="0" w:after="0"/>
              <w:jc w:val="center"/>
              <w:rPr>
                <w:sz w:val="20"/>
                <w:u w:val="none"/>
              </w:rPr>
            </w:pPr>
            <w:r>
              <w:rPr>
                <w:sz w:val="20"/>
                <w:u w:val="none"/>
              </w:rPr>
              <w:t>18</w:t>
            </w:r>
          </w:p>
        </w:tc>
        <w:tc>
          <w:tcPr>
            <w:tcW w:w="1292" w:type="dxa"/>
            <w:vAlign w:val="center"/>
          </w:tcPr>
          <w:p w:rsidR="008967E5" w:rsidRPr="00170EF3" w:rsidRDefault="008967E5" w:rsidP="00397DAA">
            <w:pPr>
              <w:pStyle w:val="xl24"/>
              <w:spacing w:before="0" w:after="0"/>
              <w:jc w:val="center"/>
              <w:rPr>
                <w:sz w:val="20"/>
                <w:u w:val="none"/>
              </w:rPr>
            </w:pPr>
            <w:r>
              <w:rPr>
                <w:sz w:val="20"/>
                <w:u w:val="none"/>
              </w:rPr>
              <w:t>$35,279</w:t>
            </w:r>
          </w:p>
        </w:tc>
        <w:tc>
          <w:tcPr>
            <w:tcW w:w="671" w:type="dxa"/>
            <w:vAlign w:val="center"/>
          </w:tcPr>
          <w:p w:rsidR="008967E5" w:rsidRPr="00170EF3" w:rsidRDefault="008967E5" w:rsidP="00397DAA">
            <w:pPr>
              <w:pStyle w:val="xl24"/>
              <w:spacing w:before="0" w:after="0"/>
              <w:jc w:val="center"/>
              <w:rPr>
                <w:sz w:val="20"/>
                <w:u w:val="none"/>
              </w:rPr>
            </w:pPr>
            <w:r>
              <w:rPr>
                <w:sz w:val="20"/>
                <w:u w:val="none"/>
              </w:rPr>
              <w:t>18</w:t>
            </w:r>
          </w:p>
        </w:tc>
        <w:tc>
          <w:tcPr>
            <w:tcW w:w="671" w:type="dxa"/>
            <w:vAlign w:val="center"/>
          </w:tcPr>
          <w:p w:rsidR="008967E5" w:rsidRPr="00170EF3" w:rsidRDefault="008967E5" w:rsidP="00397DAA">
            <w:pPr>
              <w:pStyle w:val="xl24"/>
              <w:spacing w:before="0" w:after="0"/>
              <w:jc w:val="center"/>
              <w:rPr>
                <w:sz w:val="20"/>
                <w:u w:val="none"/>
              </w:rPr>
            </w:pPr>
            <w:r>
              <w:rPr>
                <w:sz w:val="20"/>
                <w:u w:val="none"/>
              </w:rPr>
              <w:t>18</w:t>
            </w:r>
          </w:p>
        </w:tc>
        <w:tc>
          <w:tcPr>
            <w:tcW w:w="1294" w:type="dxa"/>
            <w:vAlign w:val="center"/>
          </w:tcPr>
          <w:p w:rsidR="008967E5" w:rsidRPr="00170EF3" w:rsidRDefault="008967E5" w:rsidP="00397DAA">
            <w:pPr>
              <w:pStyle w:val="xl24"/>
              <w:spacing w:before="0" w:after="0"/>
              <w:jc w:val="center"/>
              <w:rPr>
                <w:sz w:val="20"/>
                <w:u w:val="none"/>
              </w:rPr>
            </w:pPr>
            <w:r>
              <w:rPr>
                <w:sz w:val="20"/>
                <w:u w:val="none"/>
              </w:rPr>
              <w:t>$35,448</w:t>
            </w:r>
          </w:p>
        </w:tc>
      </w:tr>
    </w:tbl>
    <w:p w:rsidR="008967E5" w:rsidRDefault="008967E5" w:rsidP="00F25F22">
      <w:pPr>
        <w:pStyle w:val="xl24"/>
        <w:spacing w:before="0" w:after="0"/>
      </w:pPr>
    </w:p>
    <w:p w:rsidR="008967E5" w:rsidRDefault="008967E5" w:rsidP="00F25F22">
      <w:pPr>
        <w:pStyle w:val="BodyText"/>
      </w:pPr>
      <w:r>
        <w:rPr>
          <w:u w:val="single"/>
        </w:rPr>
        <w:t>Personnel Reduction Cost Summary</w:t>
      </w:r>
    </w:p>
    <w:p w:rsidR="008967E5" w:rsidRDefault="008967E5" w:rsidP="00F25F22">
      <w:pPr>
        <w:pStyle w:val="BodyText"/>
        <w:rPr>
          <w:sz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5"/>
        <w:gridCol w:w="1433"/>
        <w:gridCol w:w="1440"/>
        <w:gridCol w:w="1530"/>
        <w:gridCol w:w="1890"/>
        <w:gridCol w:w="1890"/>
      </w:tblGrid>
      <w:tr w:rsidR="008967E5" w:rsidTr="00397DAA">
        <w:tc>
          <w:tcPr>
            <w:tcW w:w="1645" w:type="dxa"/>
            <w:shd w:val="clear" w:color="auto" w:fill="E6E6E6"/>
            <w:vAlign w:val="center"/>
          </w:tcPr>
          <w:p w:rsidR="008967E5" w:rsidRDefault="008967E5" w:rsidP="00397DAA">
            <w:pPr>
              <w:jc w:val="center"/>
              <w:rPr>
                <w:sz w:val="20"/>
              </w:rPr>
            </w:pPr>
            <w:r>
              <w:rPr>
                <w:sz w:val="20"/>
              </w:rPr>
              <w:t>Type of Position</w:t>
            </w:r>
          </w:p>
        </w:tc>
        <w:tc>
          <w:tcPr>
            <w:tcW w:w="1433" w:type="dxa"/>
            <w:vAlign w:val="center"/>
          </w:tcPr>
          <w:p w:rsidR="008967E5" w:rsidRDefault="008967E5" w:rsidP="00397DAA">
            <w:pPr>
              <w:jc w:val="center"/>
              <w:rPr>
                <w:sz w:val="20"/>
              </w:rPr>
            </w:pPr>
            <w:r>
              <w:rPr>
                <w:sz w:val="20"/>
              </w:rPr>
              <w:t>Modular Cost</w:t>
            </w:r>
          </w:p>
          <w:p w:rsidR="008967E5" w:rsidRDefault="008967E5" w:rsidP="00397DAA">
            <w:pPr>
              <w:jc w:val="center"/>
              <w:rPr>
                <w:sz w:val="20"/>
              </w:rPr>
            </w:pPr>
            <w:r>
              <w:rPr>
                <w:sz w:val="20"/>
              </w:rPr>
              <w:t>per Position</w:t>
            </w:r>
          </w:p>
          <w:p w:rsidR="008967E5" w:rsidRDefault="008967E5" w:rsidP="00397DAA">
            <w:pPr>
              <w:jc w:val="center"/>
              <w:rPr>
                <w:sz w:val="20"/>
              </w:rPr>
            </w:pPr>
            <w:r>
              <w:rPr>
                <w:sz w:val="20"/>
              </w:rPr>
              <w:t>($000)</w:t>
            </w:r>
          </w:p>
        </w:tc>
        <w:tc>
          <w:tcPr>
            <w:tcW w:w="1440" w:type="dxa"/>
            <w:vAlign w:val="center"/>
          </w:tcPr>
          <w:p w:rsidR="008967E5" w:rsidRDefault="008967E5" w:rsidP="00397DAA">
            <w:pPr>
              <w:jc w:val="center"/>
              <w:rPr>
                <w:sz w:val="20"/>
              </w:rPr>
            </w:pPr>
            <w:r>
              <w:rPr>
                <w:sz w:val="20"/>
              </w:rPr>
              <w:t>Number of</w:t>
            </w:r>
          </w:p>
          <w:p w:rsidR="008967E5" w:rsidRDefault="008967E5" w:rsidP="00397DAA">
            <w:pPr>
              <w:jc w:val="center"/>
              <w:rPr>
                <w:sz w:val="20"/>
              </w:rPr>
            </w:pPr>
            <w:r>
              <w:rPr>
                <w:sz w:val="20"/>
              </w:rPr>
              <w:t>Positions</w:t>
            </w:r>
          </w:p>
          <w:p w:rsidR="008967E5" w:rsidRDefault="008967E5" w:rsidP="00397DAA">
            <w:pPr>
              <w:jc w:val="center"/>
              <w:rPr>
                <w:sz w:val="20"/>
              </w:rPr>
            </w:pPr>
            <w:r>
              <w:rPr>
                <w:sz w:val="20"/>
              </w:rPr>
              <w:t>Reduced</w:t>
            </w:r>
          </w:p>
        </w:tc>
        <w:tc>
          <w:tcPr>
            <w:tcW w:w="1530" w:type="dxa"/>
            <w:vAlign w:val="center"/>
          </w:tcPr>
          <w:p w:rsidR="008967E5" w:rsidRDefault="008967E5" w:rsidP="00397DAA">
            <w:pPr>
              <w:jc w:val="center"/>
              <w:rPr>
                <w:sz w:val="20"/>
              </w:rPr>
            </w:pPr>
            <w:r>
              <w:rPr>
                <w:sz w:val="20"/>
              </w:rPr>
              <w:t>FY 2012</w:t>
            </w:r>
          </w:p>
          <w:p w:rsidR="008967E5" w:rsidRDefault="008967E5" w:rsidP="00397DAA">
            <w:pPr>
              <w:jc w:val="center"/>
              <w:rPr>
                <w:sz w:val="20"/>
              </w:rPr>
            </w:pPr>
            <w:r>
              <w:rPr>
                <w:sz w:val="20"/>
              </w:rPr>
              <w:t>Request</w:t>
            </w:r>
          </w:p>
          <w:p w:rsidR="008967E5" w:rsidRDefault="008967E5" w:rsidP="00397DAA">
            <w:pPr>
              <w:jc w:val="center"/>
              <w:rPr>
                <w:sz w:val="20"/>
              </w:rPr>
            </w:pPr>
            <w:r>
              <w:rPr>
                <w:sz w:val="20"/>
              </w:rPr>
              <w:t>($000)</w:t>
            </w:r>
          </w:p>
        </w:tc>
        <w:tc>
          <w:tcPr>
            <w:tcW w:w="1890" w:type="dxa"/>
            <w:vAlign w:val="center"/>
          </w:tcPr>
          <w:p w:rsidR="008967E5" w:rsidRDefault="008967E5" w:rsidP="00397DAA">
            <w:pPr>
              <w:jc w:val="center"/>
              <w:rPr>
                <w:sz w:val="20"/>
              </w:rPr>
            </w:pPr>
            <w:r>
              <w:rPr>
                <w:sz w:val="20"/>
              </w:rPr>
              <w:t>FY 2013 Net</w:t>
            </w:r>
          </w:p>
          <w:p w:rsidR="008967E5" w:rsidRDefault="008967E5" w:rsidP="00397DAA">
            <w:pPr>
              <w:jc w:val="center"/>
              <w:rPr>
                <w:sz w:val="20"/>
              </w:rPr>
            </w:pPr>
            <w:r>
              <w:rPr>
                <w:sz w:val="20"/>
              </w:rPr>
              <w:t>Annualization (change from 2012)</w:t>
            </w:r>
          </w:p>
          <w:p w:rsidR="008967E5" w:rsidRDefault="008967E5" w:rsidP="00397DAA">
            <w:pPr>
              <w:jc w:val="center"/>
              <w:rPr>
                <w:sz w:val="20"/>
              </w:rPr>
            </w:pPr>
            <w:r>
              <w:rPr>
                <w:sz w:val="20"/>
              </w:rPr>
              <w:t>($000)</w:t>
            </w:r>
          </w:p>
        </w:tc>
        <w:tc>
          <w:tcPr>
            <w:tcW w:w="1890" w:type="dxa"/>
          </w:tcPr>
          <w:p w:rsidR="008967E5" w:rsidRDefault="008967E5" w:rsidP="00397DAA">
            <w:pPr>
              <w:jc w:val="center"/>
              <w:rPr>
                <w:sz w:val="20"/>
              </w:rPr>
            </w:pPr>
            <w:r>
              <w:rPr>
                <w:sz w:val="20"/>
              </w:rPr>
              <w:t>FY 2014 Net</w:t>
            </w:r>
          </w:p>
          <w:p w:rsidR="008967E5" w:rsidRDefault="008967E5" w:rsidP="00397DAA">
            <w:pPr>
              <w:jc w:val="center"/>
              <w:rPr>
                <w:sz w:val="20"/>
              </w:rPr>
            </w:pPr>
            <w:r>
              <w:rPr>
                <w:sz w:val="20"/>
              </w:rPr>
              <w:t>Annualization (change from 2013)</w:t>
            </w:r>
          </w:p>
          <w:p w:rsidR="008967E5" w:rsidRDefault="008967E5" w:rsidP="00397DAA">
            <w:pPr>
              <w:jc w:val="center"/>
              <w:rPr>
                <w:sz w:val="20"/>
              </w:rPr>
            </w:pPr>
            <w:r>
              <w:rPr>
                <w:sz w:val="20"/>
              </w:rPr>
              <w:t>($000)</w:t>
            </w:r>
          </w:p>
        </w:tc>
      </w:tr>
      <w:tr w:rsidR="008967E5" w:rsidTr="00397DAA">
        <w:tc>
          <w:tcPr>
            <w:tcW w:w="1645" w:type="dxa"/>
          </w:tcPr>
          <w:p w:rsidR="008967E5" w:rsidRDefault="008967E5" w:rsidP="00397DAA">
            <w:pPr>
              <w:rPr>
                <w:sz w:val="20"/>
              </w:rPr>
            </w:pPr>
          </w:p>
        </w:tc>
        <w:tc>
          <w:tcPr>
            <w:tcW w:w="1433" w:type="dxa"/>
            <w:vAlign w:val="center"/>
          </w:tcPr>
          <w:p w:rsidR="008967E5" w:rsidRDefault="008967E5" w:rsidP="00397DAA">
            <w:pPr>
              <w:jc w:val="right"/>
              <w:rPr>
                <w:sz w:val="20"/>
              </w:rPr>
            </w:pPr>
          </w:p>
        </w:tc>
        <w:tc>
          <w:tcPr>
            <w:tcW w:w="1440" w:type="dxa"/>
            <w:vAlign w:val="center"/>
          </w:tcPr>
          <w:p w:rsidR="008967E5" w:rsidRDefault="008967E5" w:rsidP="00397DAA">
            <w:pPr>
              <w:jc w:val="right"/>
              <w:rPr>
                <w:sz w:val="20"/>
              </w:rPr>
            </w:pPr>
          </w:p>
        </w:tc>
        <w:tc>
          <w:tcPr>
            <w:tcW w:w="1530" w:type="dxa"/>
            <w:vAlign w:val="center"/>
          </w:tcPr>
          <w:p w:rsidR="008967E5" w:rsidRDefault="008967E5" w:rsidP="00397DAA">
            <w:pPr>
              <w:jc w:val="right"/>
              <w:rPr>
                <w:sz w:val="20"/>
              </w:rPr>
            </w:pPr>
          </w:p>
        </w:tc>
        <w:tc>
          <w:tcPr>
            <w:tcW w:w="1890" w:type="dxa"/>
            <w:vAlign w:val="center"/>
          </w:tcPr>
          <w:p w:rsidR="008967E5" w:rsidRDefault="008967E5" w:rsidP="00397DAA">
            <w:pPr>
              <w:jc w:val="right"/>
              <w:rPr>
                <w:sz w:val="20"/>
              </w:rPr>
            </w:pPr>
          </w:p>
        </w:tc>
        <w:tc>
          <w:tcPr>
            <w:tcW w:w="1890" w:type="dxa"/>
          </w:tcPr>
          <w:p w:rsidR="008967E5" w:rsidRDefault="008967E5" w:rsidP="00397DAA">
            <w:pPr>
              <w:jc w:val="right"/>
              <w:rPr>
                <w:sz w:val="20"/>
              </w:rPr>
            </w:pPr>
          </w:p>
        </w:tc>
      </w:tr>
      <w:tr w:rsidR="008967E5" w:rsidTr="00397DAA">
        <w:tc>
          <w:tcPr>
            <w:tcW w:w="1645" w:type="dxa"/>
          </w:tcPr>
          <w:p w:rsidR="008967E5" w:rsidRDefault="008967E5" w:rsidP="00397DAA">
            <w:pPr>
              <w:rPr>
                <w:sz w:val="20"/>
              </w:rPr>
            </w:pPr>
            <w:r>
              <w:rPr>
                <w:sz w:val="20"/>
              </w:rPr>
              <w:t>Total Personnel</w:t>
            </w:r>
          </w:p>
        </w:tc>
        <w:tc>
          <w:tcPr>
            <w:tcW w:w="1433" w:type="dxa"/>
            <w:vAlign w:val="center"/>
          </w:tcPr>
          <w:p w:rsidR="008967E5" w:rsidRDefault="008967E5" w:rsidP="00397DAA">
            <w:pPr>
              <w:jc w:val="right"/>
              <w:rPr>
                <w:sz w:val="20"/>
              </w:rPr>
            </w:pPr>
          </w:p>
        </w:tc>
        <w:tc>
          <w:tcPr>
            <w:tcW w:w="1440" w:type="dxa"/>
            <w:vAlign w:val="center"/>
          </w:tcPr>
          <w:p w:rsidR="008967E5" w:rsidRDefault="008967E5" w:rsidP="00397DAA">
            <w:pPr>
              <w:jc w:val="right"/>
              <w:rPr>
                <w:sz w:val="20"/>
              </w:rPr>
            </w:pPr>
            <w:r>
              <w:rPr>
                <w:sz w:val="20"/>
              </w:rPr>
              <w:t>0</w:t>
            </w:r>
          </w:p>
        </w:tc>
        <w:tc>
          <w:tcPr>
            <w:tcW w:w="1530" w:type="dxa"/>
            <w:vAlign w:val="center"/>
          </w:tcPr>
          <w:p w:rsidR="008967E5" w:rsidRDefault="008967E5" w:rsidP="00397DAA">
            <w:pPr>
              <w:jc w:val="right"/>
              <w:rPr>
                <w:sz w:val="20"/>
              </w:rPr>
            </w:pPr>
            <w:r>
              <w:rPr>
                <w:sz w:val="20"/>
              </w:rPr>
              <w:t>0</w:t>
            </w:r>
          </w:p>
        </w:tc>
        <w:tc>
          <w:tcPr>
            <w:tcW w:w="1890" w:type="dxa"/>
            <w:vAlign w:val="center"/>
          </w:tcPr>
          <w:p w:rsidR="008967E5" w:rsidRDefault="008967E5" w:rsidP="00397DAA">
            <w:pPr>
              <w:jc w:val="right"/>
              <w:rPr>
                <w:sz w:val="20"/>
              </w:rPr>
            </w:pPr>
            <w:r>
              <w:rPr>
                <w:sz w:val="20"/>
              </w:rPr>
              <w:t>0</w:t>
            </w:r>
          </w:p>
        </w:tc>
        <w:tc>
          <w:tcPr>
            <w:tcW w:w="1890" w:type="dxa"/>
          </w:tcPr>
          <w:p w:rsidR="008967E5" w:rsidRDefault="008967E5" w:rsidP="00397DAA">
            <w:pPr>
              <w:jc w:val="right"/>
              <w:rPr>
                <w:sz w:val="20"/>
              </w:rPr>
            </w:pPr>
            <w:r>
              <w:rPr>
                <w:sz w:val="20"/>
              </w:rPr>
              <w:t>0</w:t>
            </w:r>
          </w:p>
        </w:tc>
      </w:tr>
    </w:tbl>
    <w:p w:rsidR="008967E5" w:rsidRDefault="008967E5" w:rsidP="00F25F22">
      <w:pPr>
        <w:rPr>
          <w:sz w:val="20"/>
        </w:rPr>
      </w:pPr>
    </w:p>
    <w:p w:rsidR="008967E5" w:rsidRDefault="008967E5" w:rsidP="00F25F22">
      <w:pPr>
        <w:pStyle w:val="xl24"/>
        <w:spacing w:before="0" w:after="0"/>
      </w:pPr>
    </w:p>
    <w:p w:rsidR="008967E5" w:rsidRDefault="008967E5" w:rsidP="00F25F22">
      <w:pPr>
        <w:pStyle w:val="xl24"/>
        <w:spacing w:before="0" w:after="0"/>
      </w:pPr>
      <w:r>
        <w:t>Non-Personnel Reduction Cost Summary</w:t>
      </w:r>
    </w:p>
    <w:p w:rsidR="008967E5" w:rsidRDefault="008967E5" w:rsidP="00F25F22">
      <w:pPr>
        <w:rPr>
          <w:sz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4"/>
        <w:gridCol w:w="1344"/>
        <w:gridCol w:w="1530"/>
        <w:gridCol w:w="1530"/>
        <w:gridCol w:w="1890"/>
        <w:gridCol w:w="1890"/>
      </w:tblGrid>
      <w:tr w:rsidR="008967E5" w:rsidTr="00397DAA">
        <w:tc>
          <w:tcPr>
            <w:tcW w:w="1644" w:type="dxa"/>
            <w:shd w:val="clear" w:color="auto" w:fill="E6E6E6"/>
            <w:vAlign w:val="center"/>
          </w:tcPr>
          <w:p w:rsidR="008967E5" w:rsidRDefault="008967E5" w:rsidP="00397DAA">
            <w:pPr>
              <w:jc w:val="center"/>
              <w:rPr>
                <w:sz w:val="20"/>
              </w:rPr>
            </w:pPr>
            <w:r>
              <w:rPr>
                <w:sz w:val="20"/>
              </w:rPr>
              <w:t>Non-Personnel Item</w:t>
            </w:r>
          </w:p>
        </w:tc>
        <w:tc>
          <w:tcPr>
            <w:tcW w:w="1344" w:type="dxa"/>
            <w:vAlign w:val="center"/>
          </w:tcPr>
          <w:p w:rsidR="008967E5" w:rsidRDefault="008967E5" w:rsidP="00397DAA">
            <w:pPr>
              <w:jc w:val="center"/>
              <w:rPr>
                <w:sz w:val="20"/>
              </w:rPr>
            </w:pPr>
            <w:r>
              <w:rPr>
                <w:sz w:val="20"/>
              </w:rPr>
              <w:t>Unit Cost ($000)</w:t>
            </w:r>
          </w:p>
        </w:tc>
        <w:tc>
          <w:tcPr>
            <w:tcW w:w="1530" w:type="dxa"/>
            <w:vAlign w:val="center"/>
          </w:tcPr>
          <w:p w:rsidR="008967E5" w:rsidRDefault="008967E5" w:rsidP="00397DAA">
            <w:pPr>
              <w:jc w:val="center"/>
              <w:rPr>
                <w:sz w:val="20"/>
              </w:rPr>
            </w:pPr>
            <w:r>
              <w:rPr>
                <w:sz w:val="20"/>
              </w:rPr>
              <w:t>Quantity</w:t>
            </w:r>
          </w:p>
        </w:tc>
        <w:tc>
          <w:tcPr>
            <w:tcW w:w="1530" w:type="dxa"/>
            <w:vAlign w:val="center"/>
          </w:tcPr>
          <w:p w:rsidR="008967E5" w:rsidRDefault="008967E5" w:rsidP="00397DAA">
            <w:pPr>
              <w:jc w:val="center"/>
              <w:rPr>
                <w:sz w:val="20"/>
              </w:rPr>
            </w:pPr>
            <w:r>
              <w:rPr>
                <w:sz w:val="20"/>
              </w:rPr>
              <w:t>FY 2012</w:t>
            </w:r>
          </w:p>
          <w:p w:rsidR="008967E5" w:rsidRDefault="008967E5" w:rsidP="00397DAA">
            <w:pPr>
              <w:jc w:val="center"/>
              <w:rPr>
                <w:sz w:val="20"/>
              </w:rPr>
            </w:pPr>
            <w:r>
              <w:rPr>
                <w:sz w:val="20"/>
              </w:rPr>
              <w:t>Request</w:t>
            </w:r>
          </w:p>
          <w:p w:rsidR="008967E5" w:rsidRDefault="008967E5" w:rsidP="00397DAA">
            <w:pPr>
              <w:jc w:val="center"/>
              <w:rPr>
                <w:sz w:val="20"/>
              </w:rPr>
            </w:pPr>
            <w:r>
              <w:rPr>
                <w:sz w:val="20"/>
              </w:rPr>
              <w:t>($000)</w:t>
            </w:r>
          </w:p>
        </w:tc>
        <w:tc>
          <w:tcPr>
            <w:tcW w:w="1890" w:type="dxa"/>
            <w:vAlign w:val="center"/>
          </w:tcPr>
          <w:p w:rsidR="008967E5" w:rsidRDefault="008967E5" w:rsidP="00397DAA">
            <w:pPr>
              <w:jc w:val="center"/>
              <w:rPr>
                <w:sz w:val="20"/>
              </w:rPr>
            </w:pPr>
            <w:r>
              <w:rPr>
                <w:sz w:val="20"/>
              </w:rPr>
              <w:t>FY 2013 Net</w:t>
            </w:r>
          </w:p>
          <w:p w:rsidR="008967E5" w:rsidRDefault="008967E5" w:rsidP="00397DAA">
            <w:pPr>
              <w:jc w:val="center"/>
              <w:rPr>
                <w:sz w:val="20"/>
              </w:rPr>
            </w:pPr>
            <w:r>
              <w:rPr>
                <w:sz w:val="20"/>
              </w:rPr>
              <w:t>Annualization (change from 2012)</w:t>
            </w:r>
          </w:p>
          <w:p w:rsidR="008967E5" w:rsidRDefault="008967E5" w:rsidP="00397DAA">
            <w:pPr>
              <w:jc w:val="center"/>
              <w:rPr>
                <w:sz w:val="20"/>
              </w:rPr>
            </w:pPr>
            <w:r>
              <w:rPr>
                <w:sz w:val="20"/>
              </w:rPr>
              <w:t>($000)</w:t>
            </w:r>
          </w:p>
        </w:tc>
        <w:tc>
          <w:tcPr>
            <w:tcW w:w="1890" w:type="dxa"/>
          </w:tcPr>
          <w:p w:rsidR="008967E5" w:rsidRDefault="008967E5" w:rsidP="00397DAA">
            <w:pPr>
              <w:jc w:val="center"/>
              <w:rPr>
                <w:sz w:val="20"/>
              </w:rPr>
            </w:pPr>
            <w:r>
              <w:rPr>
                <w:sz w:val="20"/>
              </w:rPr>
              <w:t>FY 2014 Net</w:t>
            </w:r>
          </w:p>
          <w:p w:rsidR="008967E5" w:rsidRDefault="008967E5" w:rsidP="00397DAA">
            <w:pPr>
              <w:jc w:val="center"/>
              <w:rPr>
                <w:sz w:val="20"/>
              </w:rPr>
            </w:pPr>
            <w:r>
              <w:rPr>
                <w:sz w:val="20"/>
              </w:rPr>
              <w:t>Annualization (change from 2013)</w:t>
            </w:r>
          </w:p>
          <w:p w:rsidR="008967E5" w:rsidRDefault="008967E5" w:rsidP="00397DAA">
            <w:pPr>
              <w:jc w:val="center"/>
              <w:rPr>
                <w:sz w:val="20"/>
              </w:rPr>
            </w:pPr>
            <w:r>
              <w:rPr>
                <w:sz w:val="20"/>
              </w:rPr>
              <w:t>($000)</w:t>
            </w:r>
          </w:p>
        </w:tc>
      </w:tr>
      <w:tr w:rsidR="008967E5" w:rsidTr="00397DAA">
        <w:tc>
          <w:tcPr>
            <w:tcW w:w="1644" w:type="dxa"/>
          </w:tcPr>
          <w:p w:rsidR="008967E5" w:rsidRDefault="008967E5" w:rsidP="00397DAA">
            <w:pPr>
              <w:rPr>
                <w:sz w:val="20"/>
              </w:rPr>
            </w:pPr>
          </w:p>
        </w:tc>
        <w:tc>
          <w:tcPr>
            <w:tcW w:w="1344" w:type="dxa"/>
            <w:vAlign w:val="center"/>
          </w:tcPr>
          <w:p w:rsidR="008967E5" w:rsidRDefault="008967E5" w:rsidP="00397DAA">
            <w:pPr>
              <w:pStyle w:val="xl19"/>
              <w:spacing w:before="0" w:after="0"/>
              <w:jc w:val="right"/>
              <w:rPr>
                <w:sz w:val="20"/>
                <w:szCs w:val="24"/>
              </w:rPr>
            </w:pPr>
          </w:p>
        </w:tc>
        <w:tc>
          <w:tcPr>
            <w:tcW w:w="1530" w:type="dxa"/>
            <w:vAlign w:val="center"/>
          </w:tcPr>
          <w:p w:rsidR="008967E5" w:rsidRDefault="008967E5" w:rsidP="00397DAA">
            <w:pPr>
              <w:jc w:val="right"/>
              <w:rPr>
                <w:sz w:val="20"/>
              </w:rPr>
            </w:pPr>
          </w:p>
        </w:tc>
        <w:tc>
          <w:tcPr>
            <w:tcW w:w="1530" w:type="dxa"/>
            <w:vAlign w:val="center"/>
          </w:tcPr>
          <w:p w:rsidR="008967E5" w:rsidRDefault="008967E5" w:rsidP="00397DAA">
            <w:pPr>
              <w:jc w:val="right"/>
              <w:rPr>
                <w:sz w:val="20"/>
              </w:rPr>
            </w:pPr>
          </w:p>
        </w:tc>
        <w:tc>
          <w:tcPr>
            <w:tcW w:w="1890" w:type="dxa"/>
            <w:vAlign w:val="center"/>
          </w:tcPr>
          <w:p w:rsidR="008967E5" w:rsidRDefault="008967E5" w:rsidP="00397DAA">
            <w:pPr>
              <w:jc w:val="right"/>
              <w:rPr>
                <w:sz w:val="20"/>
              </w:rPr>
            </w:pPr>
          </w:p>
        </w:tc>
        <w:tc>
          <w:tcPr>
            <w:tcW w:w="1890" w:type="dxa"/>
          </w:tcPr>
          <w:p w:rsidR="008967E5" w:rsidRDefault="008967E5" w:rsidP="00397DAA">
            <w:pPr>
              <w:jc w:val="right"/>
              <w:rPr>
                <w:sz w:val="20"/>
              </w:rPr>
            </w:pPr>
          </w:p>
        </w:tc>
      </w:tr>
      <w:tr w:rsidR="008967E5" w:rsidTr="00397DAA">
        <w:tc>
          <w:tcPr>
            <w:tcW w:w="1644" w:type="dxa"/>
          </w:tcPr>
          <w:p w:rsidR="008967E5" w:rsidRDefault="008967E5" w:rsidP="00397DAA">
            <w:pPr>
              <w:rPr>
                <w:sz w:val="20"/>
              </w:rPr>
            </w:pPr>
            <w:r>
              <w:rPr>
                <w:sz w:val="20"/>
              </w:rPr>
              <w:t>Total Non-Personnel</w:t>
            </w:r>
          </w:p>
        </w:tc>
        <w:tc>
          <w:tcPr>
            <w:tcW w:w="1344" w:type="dxa"/>
            <w:vAlign w:val="center"/>
          </w:tcPr>
          <w:p w:rsidR="008967E5" w:rsidRDefault="008967E5" w:rsidP="00397DAA">
            <w:pPr>
              <w:pStyle w:val="xl19"/>
              <w:spacing w:before="0" w:after="0"/>
              <w:jc w:val="right"/>
              <w:rPr>
                <w:sz w:val="20"/>
                <w:szCs w:val="24"/>
              </w:rPr>
            </w:pPr>
            <w:r>
              <w:rPr>
                <w:sz w:val="20"/>
                <w:szCs w:val="24"/>
              </w:rPr>
              <w:t>($5,000)</w:t>
            </w:r>
          </w:p>
        </w:tc>
        <w:tc>
          <w:tcPr>
            <w:tcW w:w="1530" w:type="dxa"/>
            <w:vAlign w:val="center"/>
          </w:tcPr>
          <w:p w:rsidR="008967E5" w:rsidRDefault="008967E5" w:rsidP="00397DAA">
            <w:pPr>
              <w:jc w:val="center"/>
              <w:rPr>
                <w:sz w:val="20"/>
              </w:rPr>
            </w:pPr>
            <w:r>
              <w:rPr>
                <w:sz w:val="20"/>
              </w:rPr>
              <w:t>N.A.</w:t>
            </w:r>
          </w:p>
        </w:tc>
        <w:tc>
          <w:tcPr>
            <w:tcW w:w="1530" w:type="dxa"/>
            <w:vAlign w:val="center"/>
          </w:tcPr>
          <w:p w:rsidR="008967E5" w:rsidRDefault="008967E5" w:rsidP="00397DAA">
            <w:pPr>
              <w:jc w:val="right"/>
              <w:rPr>
                <w:sz w:val="20"/>
              </w:rPr>
            </w:pPr>
            <w:r>
              <w:rPr>
                <w:sz w:val="20"/>
              </w:rPr>
              <w:t>($5,000)</w:t>
            </w:r>
          </w:p>
        </w:tc>
        <w:tc>
          <w:tcPr>
            <w:tcW w:w="1890" w:type="dxa"/>
            <w:vAlign w:val="center"/>
          </w:tcPr>
          <w:p w:rsidR="008967E5" w:rsidRDefault="008967E5" w:rsidP="00397DAA">
            <w:pPr>
              <w:jc w:val="center"/>
              <w:rPr>
                <w:sz w:val="20"/>
              </w:rPr>
            </w:pPr>
            <w:r>
              <w:rPr>
                <w:sz w:val="20"/>
              </w:rPr>
              <w:t>0</w:t>
            </w:r>
          </w:p>
        </w:tc>
        <w:tc>
          <w:tcPr>
            <w:tcW w:w="1890" w:type="dxa"/>
            <w:vAlign w:val="center"/>
          </w:tcPr>
          <w:p w:rsidR="008967E5" w:rsidRDefault="008967E5" w:rsidP="00397DAA">
            <w:pPr>
              <w:jc w:val="center"/>
              <w:rPr>
                <w:sz w:val="20"/>
              </w:rPr>
            </w:pPr>
            <w:r>
              <w:rPr>
                <w:sz w:val="20"/>
              </w:rPr>
              <w:t>0</w:t>
            </w:r>
          </w:p>
        </w:tc>
      </w:tr>
    </w:tbl>
    <w:p w:rsidR="008967E5" w:rsidRDefault="008967E5" w:rsidP="00F25F22">
      <w:pPr>
        <w:rPr>
          <w:sz w:val="20"/>
        </w:rPr>
      </w:pPr>
    </w:p>
    <w:p w:rsidR="008967E5" w:rsidRDefault="008967E5" w:rsidP="00F25F22">
      <w:pPr>
        <w:pStyle w:val="xl24"/>
        <w:spacing w:before="0" w:after="0"/>
        <w:rPr>
          <w:szCs w:val="24"/>
        </w:rPr>
      </w:pPr>
      <w:r>
        <w:rPr>
          <w:szCs w:val="24"/>
        </w:rPr>
        <w:t>Total Request for this Item</w:t>
      </w:r>
    </w:p>
    <w:p w:rsidR="008967E5" w:rsidRDefault="008967E5" w:rsidP="00F25F22">
      <w:pPr>
        <w:pStyle w:val="xl24"/>
        <w:spacing w:before="0" w:after="0"/>
        <w:rPr>
          <w:szCs w:val="24"/>
        </w:rPr>
      </w:pP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9"/>
        <w:gridCol w:w="613"/>
        <w:gridCol w:w="646"/>
        <w:gridCol w:w="1132"/>
        <w:gridCol w:w="1177"/>
        <w:gridCol w:w="1091"/>
        <w:gridCol w:w="1741"/>
        <w:gridCol w:w="1890"/>
      </w:tblGrid>
      <w:tr w:rsidR="008967E5" w:rsidTr="00473EAF">
        <w:trPr>
          <w:trHeight w:val="658"/>
        </w:trPr>
        <w:tc>
          <w:tcPr>
            <w:tcW w:w="1119" w:type="dxa"/>
          </w:tcPr>
          <w:p w:rsidR="008967E5" w:rsidRDefault="008967E5" w:rsidP="00397DAA">
            <w:pPr>
              <w:rPr>
                <w:sz w:val="20"/>
              </w:rPr>
            </w:pPr>
          </w:p>
        </w:tc>
        <w:tc>
          <w:tcPr>
            <w:tcW w:w="613" w:type="dxa"/>
          </w:tcPr>
          <w:p w:rsidR="008967E5" w:rsidRDefault="008967E5" w:rsidP="00397DAA">
            <w:pPr>
              <w:jc w:val="center"/>
              <w:rPr>
                <w:sz w:val="20"/>
              </w:rPr>
            </w:pPr>
            <w:r>
              <w:rPr>
                <w:sz w:val="20"/>
              </w:rPr>
              <w:t>Pos</w:t>
            </w:r>
          </w:p>
        </w:tc>
        <w:tc>
          <w:tcPr>
            <w:tcW w:w="646" w:type="dxa"/>
          </w:tcPr>
          <w:p w:rsidR="008967E5" w:rsidRDefault="008967E5" w:rsidP="00397DAA">
            <w:pPr>
              <w:jc w:val="center"/>
              <w:rPr>
                <w:sz w:val="20"/>
              </w:rPr>
            </w:pPr>
            <w:r>
              <w:rPr>
                <w:sz w:val="20"/>
              </w:rPr>
              <w:t>FTE</w:t>
            </w:r>
          </w:p>
        </w:tc>
        <w:tc>
          <w:tcPr>
            <w:tcW w:w="1132" w:type="dxa"/>
          </w:tcPr>
          <w:p w:rsidR="008967E5" w:rsidRDefault="008967E5" w:rsidP="00397DAA">
            <w:pPr>
              <w:jc w:val="center"/>
              <w:rPr>
                <w:sz w:val="20"/>
              </w:rPr>
            </w:pPr>
            <w:r>
              <w:rPr>
                <w:sz w:val="20"/>
              </w:rPr>
              <w:t>Personnel</w:t>
            </w:r>
          </w:p>
          <w:p w:rsidR="008967E5" w:rsidRDefault="008967E5" w:rsidP="00397DAA">
            <w:pPr>
              <w:jc w:val="center"/>
              <w:rPr>
                <w:sz w:val="20"/>
              </w:rPr>
            </w:pPr>
            <w:r>
              <w:rPr>
                <w:sz w:val="20"/>
              </w:rPr>
              <w:t>($000)</w:t>
            </w:r>
          </w:p>
        </w:tc>
        <w:tc>
          <w:tcPr>
            <w:tcW w:w="1177" w:type="dxa"/>
          </w:tcPr>
          <w:p w:rsidR="008967E5" w:rsidRDefault="008967E5" w:rsidP="00397DAA">
            <w:pPr>
              <w:jc w:val="center"/>
              <w:rPr>
                <w:sz w:val="20"/>
              </w:rPr>
            </w:pPr>
            <w:r>
              <w:rPr>
                <w:sz w:val="20"/>
              </w:rPr>
              <w:t>Non-Personnel</w:t>
            </w:r>
          </w:p>
          <w:p w:rsidR="008967E5" w:rsidRDefault="008967E5" w:rsidP="00397DAA">
            <w:pPr>
              <w:jc w:val="center"/>
              <w:rPr>
                <w:sz w:val="20"/>
              </w:rPr>
            </w:pPr>
            <w:r>
              <w:rPr>
                <w:sz w:val="20"/>
              </w:rPr>
              <w:t>($000)</w:t>
            </w:r>
          </w:p>
        </w:tc>
        <w:tc>
          <w:tcPr>
            <w:tcW w:w="1091" w:type="dxa"/>
          </w:tcPr>
          <w:p w:rsidR="008967E5" w:rsidRDefault="008967E5" w:rsidP="00397DAA">
            <w:pPr>
              <w:jc w:val="center"/>
              <w:rPr>
                <w:sz w:val="20"/>
              </w:rPr>
            </w:pPr>
            <w:r>
              <w:rPr>
                <w:sz w:val="20"/>
              </w:rPr>
              <w:t>Total</w:t>
            </w:r>
          </w:p>
          <w:p w:rsidR="008967E5" w:rsidRDefault="008967E5" w:rsidP="00397DAA">
            <w:pPr>
              <w:jc w:val="center"/>
              <w:rPr>
                <w:sz w:val="20"/>
              </w:rPr>
            </w:pPr>
            <w:r>
              <w:rPr>
                <w:sz w:val="20"/>
              </w:rPr>
              <w:t>($000)</w:t>
            </w:r>
          </w:p>
        </w:tc>
        <w:tc>
          <w:tcPr>
            <w:tcW w:w="1741" w:type="dxa"/>
          </w:tcPr>
          <w:p w:rsidR="008967E5" w:rsidRDefault="008967E5" w:rsidP="00397DAA">
            <w:pPr>
              <w:jc w:val="center"/>
              <w:rPr>
                <w:sz w:val="20"/>
              </w:rPr>
            </w:pPr>
            <w:r>
              <w:rPr>
                <w:sz w:val="20"/>
              </w:rPr>
              <w:t>FY 2013 Net</w:t>
            </w:r>
          </w:p>
          <w:p w:rsidR="008967E5" w:rsidRDefault="008967E5" w:rsidP="00397DAA">
            <w:pPr>
              <w:jc w:val="center"/>
              <w:rPr>
                <w:sz w:val="20"/>
              </w:rPr>
            </w:pPr>
            <w:r>
              <w:rPr>
                <w:sz w:val="20"/>
              </w:rPr>
              <w:t>Annualization (change from 2012)</w:t>
            </w:r>
          </w:p>
          <w:p w:rsidR="008967E5" w:rsidRDefault="008967E5" w:rsidP="00397DAA">
            <w:pPr>
              <w:jc w:val="center"/>
              <w:rPr>
                <w:sz w:val="20"/>
              </w:rPr>
            </w:pPr>
            <w:r>
              <w:rPr>
                <w:sz w:val="20"/>
              </w:rPr>
              <w:t>($000)</w:t>
            </w:r>
          </w:p>
        </w:tc>
        <w:tc>
          <w:tcPr>
            <w:tcW w:w="1890" w:type="dxa"/>
          </w:tcPr>
          <w:p w:rsidR="008967E5" w:rsidRDefault="008967E5" w:rsidP="00397DAA">
            <w:pPr>
              <w:jc w:val="center"/>
              <w:rPr>
                <w:sz w:val="20"/>
              </w:rPr>
            </w:pPr>
            <w:r>
              <w:rPr>
                <w:sz w:val="20"/>
              </w:rPr>
              <w:t>FY 2014 Net</w:t>
            </w:r>
          </w:p>
          <w:p w:rsidR="008967E5" w:rsidRDefault="008967E5" w:rsidP="00397DAA">
            <w:pPr>
              <w:jc w:val="center"/>
              <w:rPr>
                <w:sz w:val="20"/>
              </w:rPr>
            </w:pPr>
            <w:r>
              <w:rPr>
                <w:sz w:val="20"/>
              </w:rPr>
              <w:t>Annualization (change from 2013)</w:t>
            </w:r>
          </w:p>
          <w:p w:rsidR="008967E5" w:rsidRDefault="008967E5" w:rsidP="00397DAA">
            <w:pPr>
              <w:jc w:val="center"/>
              <w:rPr>
                <w:sz w:val="20"/>
              </w:rPr>
            </w:pPr>
            <w:r>
              <w:rPr>
                <w:sz w:val="20"/>
              </w:rPr>
              <w:t>($000)</w:t>
            </w:r>
          </w:p>
        </w:tc>
      </w:tr>
      <w:tr w:rsidR="008967E5" w:rsidTr="00473EAF">
        <w:trPr>
          <w:trHeight w:val="215"/>
        </w:trPr>
        <w:tc>
          <w:tcPr>
            <w:tcW w:w="1119" w:type="dxa"/>
          </w:tcPr>
          <w:p w:rsidR="008967E5" w:rsidRDefault="008967E5" w:rsidP="00397DAA">
            <w:pPr>
              <w:rPr>
                <w:sz w:val="20"/>
              </w:rPr>
            </w:pPr>
            <w:r>
              <w:rPr>
                <w:sz w:val="20"/>
              </w:rPr>
              <w:t>Current Services</w:t>
            </w:r>
          </w:p>
        </w:tc>
        <w:tc>
          <w:tcPr>
            <w:tcW w:w="613" w:type="dxa"/>
          </w:tcPr>
          <w:p w:rsidR="008967E5" w:rsidRDefault="008967E5" w:rsidP="00397DAA">
            <w:pPr>
              <w:jc w:val="right"/>
              <w:rPr>
                <w:sz w:val="20"/>
              </w:rPr>
            </w:pPr>
            <w:r>
              <w:rPr>
                <w:sz w:val="20"/>
              </w:rPr>
              <w:t>17</w:t>
            </w:r>
          </w:p>
        </w:tc>
        <w:tc>
          <w:tcPr>
            <w:tcW w:w="646" w:type="dxa"/>
          </w:tcPr>
          <w:p w:rsidR="008967E5" w:rsidRDefault="008967E5" w:rsidP="00397DAA">
            <w:pPr>
              <w:jc w:val="center"/>
              <w:rPr>
                <w:sz w:val="20"/>
              </w:rPr>
            </w:pPr>
            <w:r>
              <w:rPr>
                <w:sz w:val="20"/>
              </w:rPr>
              <w:t>17</w:t>
            </w:r>
          </w:p>
        </w:tc>
        <w:tc>
          <w:tcPr>
            <w:tcW w:w="1132" w:type="dxa"/>
          </w:tcPr>
          <w:p w:rsidR="008967E5" w:rsidRDefault="008967E5" w:rsidP="00397DAA">
            <w:pPr>
              <w:jc w:val="center"/>
              <w:rPr>
                <w:sz w:val="20"/>
              </w:rPr>
            </w:pPr>
            <w:r>
              <w:rPr>
                <w:sz w:val="20"/>
              </w:rPr>
              <w:t>$ 2,704</w:t>
            </w:r>
          </w:p>
        </w:tc>
        <w:tc>
          <w:tcPr>
            <w:tcW w:w="1177" w:type="dxa"/>
          </w:tcPr>
          <w:p w:rsidR="008967E5" w:rsidRDefault="008967E5" w:rsidP="00397DAA">
            <w:pPr>
              <w:jc w:val="center"/>
              <w:rPr>
                <w:sz w:val="20"/>
              </w:rPr>
            </w:pPr>
            <w:r>
              <w:rPr>
                <w:sz w:val="20"/>
              </w:rPr>
              <w:t>$32,744</w:t>
            </w:r>
          </w:p>
        </w:tc>
        <w:tc>
          <w:tcPr>
            <w:tcW w:w="1091" w:type="dxa"/>
          </w:tcPr>
          <w:p w:rsidR="008967E5" w:rsidRDefault="008967E5" w:rsidP="00397DAA">
            <w:pPr>
              <w:jc w:val="center"/>
              <w:rPr>
                <w:sz w:val="20"/>
              </w:rPr>
            </w:pPr>
            <w:r>
              <w:rPr>
                <w:sz w:val="20"/>
              </w:rPr>
              <w:t>$35,448</w:t>
            </w:r>
          </w:p>
        </w:tc>
        <w:tc>
          <w:tcPr>
            <w:tcW w:w="1741" w:type="dxa"/>
          </w:tcPr>
          <w:p w:rsidR="008967E5" w:rsidRDefault="008967E5" w:rsidP="00397DAA">
            <w:pPr>
              <w:jc w:val="center"/>
              <w:rPr>
                <w:sz w:val="20"/>
              </w:rPr>
            </w:pPr>
            <w:r>
              <w:rPr>
                <w:sz w:val="20"/>
              </w:rPr>
              <w:t>0</w:t>
            </w:r>
          </w:p>
        </w:tc>
        <w:tc>
          <w:tcPr>
            <w:tcW w:w="1890" w:type="dxa"/>
          </w:tcPr>
          <w:p w:rsidR="008967E5" w:rsidRDefault="008967E5" w:rsidP="00397DAA">
            <w:pPr>
              <w:jc w:val="center"/>
              <w:rPr>
                <w:sz w:val="20"/>
              </w:rPr>
            </w:pPr>
            <w:r>
              <w:rPr>
                <w:sz w:val="20"/>
              </w:rPr>
              <w:t>0</w:t>
            </w:r>
          </w:p>
        </w:tc>
      </w:tr>
      <w:tr w:rsidR="008967E5" w:rsidTr="00473EAF">
        <w:trPr>
          <w:trHeight w:val="215"/>
        </w:trPr>
        <w:tc>
          <w:tcPr>
            <w:tcW w:w="1119" w:type="dxa"/>
          </w:tcPr>
          <w:p w:rsidR="008967E5" w:rsidRDefault="008967E5" w:rsidP="00397DAA">
            <w:pPr>
              <w:rPr>
                <w:sz w:val="20"/>
              </w:rPr>
            </w:pPr>
            <w:r>
              <w:rPr>
                <w:sz w:val="20"/>
              </w:rPr>
              <w:t>Decreases</w:t>
            </w:r>
          </w:p>
        </w:tc>
        <w:tc>
          <w:tcPr>
            <w:tcW w:w="613" w:type="dxa"/>
          </w:tcPr>
          <w:p w:rsidR="008967E5" w:rsidRDefault="008967E5" w:rsidP="00397DAA">
            <w:pPr>
              <w:jc w:val="right"/>
              <w:rPr>
                <w:sz w:val="20"/>
              </w:rPr>
            </w:pPr>
          </w:p>
        </w:tc>
        <w:tc>
          <w:tcPr>
            <w:tcW w:w="646" w:type="dxa"/>
          </w:tcPr>
          <w:p w:rsidR="008967E5" w:rsidRDefault="008967E5" w:rsidP="00397DAA">
            <w:pPr>
              <w:jc w:val="center"/>
              <w:rPr>
                <w:sz w:val="20"/>
              </w:rPr>
            </w:pPr>
          </w:p>
        </w:tc>
        <w:tc>
          <w:tcPr>
            <w:tcW w:w="1132" w:type="dxa"/>
          </w:tcPr>
          <w:p w:rsidR="008967E5" w:rsidRDefault="008967E5" w:rsidP="00397DAA">
            <w:pPr>
              <w:jc w:val="center"/>
              <w:rPr>
                <w:sz w:val="20"/>
              </w:rPr>
            </w:pPr>
          </w:p>
        </w:tc>
        <w:tc>
          <w:tcPr>
            <w:tcW w:w="1177" w:type="dxa"/>
          </w:tcPr>
          <w:p w:rsidR="008967E5" w:rsidRDefault="008967E5" w:rsidP="00397DAA">
            <w:pPr>
              <w:jc w:val="center"/>
              <w:rPr>
                <w:sz w:val="20"/>
              </w:rPr>
            </w:pPr>
            <w:r>
              <w:rPr>
                <w:sz w:val="20"/>
              </w:rPr>
              <w:t>($  5,000)</w:t>
            </w:r>
          </w:p>
        </w:tc>
        <w:tc>
          <w:tcPr>
            <w:tcW w:w="1091" w:type="dxa"/>
          </w:tcPr>
          <w:p w:rsidR="008967E5" w:rsidRDefault="008967E5" w:rsidP="00397DAA">
            <w:pPr>
              <w:jc w:val="center"/>
              <w:rPr>
                <w:sz w:val="20"/>
              </w:rPr>
            </w:pPr>
            <w:r>
              <w:rPr>
                <w:sz w:val="20"/>
              </w:rPr>
              <w:t>($  5,000)</w:t>
            </w:r>
          </w:p>
        </w:tc>
        <w:tc>
          <w:tcPr>
            <w:tcW w:w="1741" w:type="dxa"/>
          </w:tcPr>
          <w:p w:rsidR="008967E5" w:rsidRDefault="008967E5" w:rsidP="00397DAA">
            <w:pPr>
              <w:jc w:val="center"/>
              <w:rPr>
                <w:sz w:val="20"/>
              </w:rPr>
            </w:pPr>
            <w:r>
              <w:rPr>
                <w:sz w:val="20"/>
              </w:rPr>
              <w:t>0</w:t>
            </w:r>
          </w:p>
        </w:tc>
        <w:tc>
          <w:tcPr>
            <w:tcW w:w="1890" w:type="dxa"/>
          </w:tcPr>
          <w:p w:rsidR="008967E5" w:rsidRDefault="008967E5" w:rsidP="00397DAA">
            <w:pPr>
              <w:jc w:val="center"/>
              <w:rPr>
                <w:sz w:val="20"/>
              </w:rPr>
            </w:pPr>
            <w:r>
              <w:rPr>
                <w:sz w:val="20"/>
              </w:rPr>
              <w:t>0</w:t>
            </w:r>
          </w:p>
        </w:tc>
      </w:tr>
      <w:tr w:rsidR="008967E5" w:rsidTr="00473EAF">
        <w:trPr>
          <w:trHeight w:val="215"/>
        </w:trPr>
        <w:tc>
          <w:tcPr>
            <w:tcW w:w="1119" w:type="dxa"/>
          </w:tcPr>
          <w:p w:rsidR="008967E5" w:rsidRDefault="008967E5" w:rsidP="00397DAA">
            <w:pPr>
              <w:rPr>
                <w:sz w:val="20"/>
              </w:rPr>
            </w:pPr>
            <w:r>
              <w:rPr>
                <w:sz w:val="20"/>
              </w:rPr>
              <w:t>Grand Total</w:t>
            </w:r>
          </w:p>
        </w:tc>
        <w:tc>
          <w:tcPr>
            <w:tcW w:w="613" w:type="dxa"/>
            <w:vAlign w:val="center"/>
          </w:tcPr>
          <w:p w:rsidR="008967E5" w:rsidRDefault="008967E5" w:rsidP="00397DAA">
            <w:pPr>
              <w:jc w:val="right"/>
              <w:rPr>
                <w:sz w:val="20"/>
              </w:rPr>
            </w:pPr>
            <w:r>
              <w:rPr>
                <w:sz w:val="20"/>
              </w:rPr>
              <w:t>17</w:t>
            </w:r>
          </w:p>
        </w:tc>
        <w:tc>
          <w:tcPr>
            <w:tcW w:w="646" w:type="dxa"/>
            <w:vAlign w:val="center"/>
          </w:tcPr>
          <w:p w:rsidR="008967E5" w:rsidRDefault="008967E5" w:rsidP="00397DAA">
            <w:pPr>
              <w:jc w:val="center"/>
              <w:rPr>
                <w:sz w:val="20"/>
              </w:rPr>
            </w:pPr>
            <w:r>
              <w:rPr>
                <w:sz w:val="20"/>
              </w:rPr>
              <w:t>17</w:t>
            </w:r>
          </w:p>
        </w:tc>
        <w:tc>
          <w:tcPr>
            <w:tcW w:w="1132" w:type="dxa"/>
            <w:vAlign w:val="center"/>
          </w:tcPr>
          <w:p w:rsidR="008967E5" w:rsidRDefault="008967E5" w:rsidP="00397DAA">
            <w:pPr>
              <w:jc w:val="center"/>
              <w:rPr>
                <w:sz w:val="20"/>
              </w:rPr>
            </w:pPr>
            <w:r>
              <w:rPr>
                <w:sz w:val="20"/>
              </w:rPr>
              <w:t>$ 2,704</w:t>
            </w:r>
          </w:p>
        </w:tc>
        <w:tc>
          <w:tcPr>
            <w:tcW w:w="1177" w:type="dxa"/>
            <w:vAlign w:val="center"/>
          </w:tcPr>
          <w:p w:rsidR="008967E5" w:rsidRDefault="008967E5" w:rsidP="00397DAA">
            <w:pPr>
              <w:jc w:val="center"/>
              <w:rPr>
                <w:sz w:val="20"/>
              </w:rPr>
            </w:pPr>
            <w:r>
              <w:rPr>
                <w:sz w:val="20"/>
              </w:rPr>
              <w:t>$27,744</w:t>
            </w:r>
          </w:p>
        </w:tc>
        <w:tc>
          <w:tcPr>
            <w:tcW w:w="1091" w:type="dxa"/>
            <w:vAlign w:val="center"/>
          </w:tcPr>
          <w:p w:rsidR="008967E5" w:rsidRDefault="008967E5" w:rsidP="00397DAA">
            <w:pPr>
              <w:jc w:val="center"/>
              <w:rPr>
                <w:sz w:val="20"/>
              </w:rPr>
            </w:pPr>
            <w:r>
              <w:rPr>
                <w:sz w:val="20"/>
              </w:rPr>
              <w:t>$30,448</w:t>
            </w:r>
          </w:p>
        </w:tc>
        <w:tc>
          <w:tcPr>
            <w:tcW w:w="1741" w:type="dxa"/>
            <w:vAlign w:val="center"/>
          </w:tcPr>
          <w:p w:rsidR="008967E5" w:rsidRDefault="008967E5" w:rsidP="00397DAA">
            <w:pPr>
              <w:jc w:val="center"/>
              <w:rPr>
                <w:sz w:val="20"/>
              </w:rPr>
            </w:pPr>
            <w:r>
              <w:rPr>
                <w:sz w:val="20"/>
              </w:rPr>
              <w:t>0</w:t>
            </w:r>
          </w:p>
        </w:tc>
        <w:tc>
          <w:tcPr>
            <w:tcW w:w="1890" w:type="dxa"/>
            <w:vAlign w:val="center"/>
          </w:tcPr>
          <w:p w:rsidR="008967E5" w:rsidRDefault="008967E5" w:rsidP="00397DAA">
            <w:pPr>
              <w:jc w:val="center"/>
              <w:rPr>
                <w:sz w:val="20"/>
              </w:rPr>
            </w:pPr>
            <w:r>
              <w:rPr>
                <w:sz w:val="20"/>
              </w:rPr>
              <w:t>0</w:t>
            </w:r>
          </w:p>
        </w:tc>
      </w:tr>
    </w:tbl>
    <w:p w:rsidR="008967E5" w:rsidRDefault="008967E5" w:rsidP="00F25F22"/>
    <w:p w:rsidR="008967E5" w:rsidRDefault="008967E5" w:rsidP="00942E76"/>
    <w:p w:rsidR="00802FF1" w:rsidRDefault="00802FF1" w:rsidP="00942E76">
      <w:pPr>
        <w:sectPr w:rsidR="00802FF1" w:rsidSect="002076C9">
          <w:pgSz w:w="12240" w:h="15840" w:code="1"/>
          <w:pgMar w:top="1008" w:right="1152" w:bottom="1008" w:left="1152" w:header="432" w:footer="432" w:gutter="0"/>
          <w:cols w:space="720"/>
          <w:docGrid w:linePitch="360"/>
        </w:sectPr>
      </w:pPr>
    </w:p>
    <w:p w:rsidR="00802FF1" w:rsidRDefault="00802FF1" w:rsidP="00802FF1">
      <w:r>
        <w:rPr>
          <w:b/>
        </w:rPr>
        <w:t>V</w:t>
      </w:r>
      <w:r w:rsidRPr="00A06230">
        <w:rPr>
          <w:b/>
        </w:rPr>
        <w:t>. Program Offsets by Item</w:t>
      </w:r>
      <w:r>
        <w:rPr>
          <w:b/>
        </w:rPr>
        <w:t xml:space="preserve"> (continued)</w:t>
      </w:r>
    </w:p>
    <w:p w:rsidR="008967E5" w:rsidRDefault="008967E5" w:rsidP="00942E76"/>
    <w:p w:rsidR="008967E5" w:rsidRPr="00DD28EC" w:rsidRDefault="008967E5" w:rsidP="001C0461">
      <w:pPr>
        <w:pStyle w:val="xl19"/>
        <w:tabs>
          <w:tab w:val="left" w:pos="3420"/>
          <w:tab w:val="right" w:pos="8640"/>
        </w:tabs>
        <w:spacing w:before="0" w:after="0"/>
        <w:rPr>
          <w:b/>
          <w:bCs/>
          <w:sz w:val="22"/>
          <w:szCs w:val="22"/>
        </w:rPr>
      </w:pPr>
      <w:r>
        <w:rPr>
          <w:b/>
          <w:bCs/>
          <w:sz w:val="22"/>
          <w:szCs w:val="22"/>
        </w:rPr>
        <w:t xml:space="preserve">3.   </w:t>
      </w:r>
      <w:r w:rsidR="00123C8E">
        <w:rPr>
          <w:b/>
          <w:bCs/>
          <w:sz w:val="22"/>
          <w:szCs w:val="22"/>
        </w:rPr>
        <w:t>Extend Tech Refresh</w:t>
      </w:r>
      <w:r>
        <w:rPr>
          <w:b/>
          <w:bCs/>
          <w:sz w:val="22"/>
          <w:szCs w:val="22"/>
        </w:rPr>
        <w:t xml:space="preserve"> (PC workstations)</w:t>
      </w:r>
    </w:p>
    <w:p w:rsidR="008967E5" w:rsidRPr="00DD28EC" w:rsidRDefault="008967E5" w:rsidP="00B411E7">
      <w:pPr>
        <w:pStyle w:val="xl19"/>
        <w:tabs>
          <w:tab w:val="left" w:pos="3420"/>
          <w:tab w:val="right" w:pos="8640"/>
        </w:tabs>
        <w:spacing w:before="0" w:after="0"/>
        <w:ind w:left="432"/>
        <w:rPr>
          <w:sz w:val="22"/>
          <w:szCs w:val="22"/>
        </w:rPr>
      </w:pPr>
    </w:p>
    <w:p w:rsidR="008967E5" w:rsidRPr="00DD28EC" w:rsidRDefault="008967E5" w:rsidP="00573FE3">
      <w:pPr>
        <w:pStyle w:val="xl19"/>
        <w:tabs>
          <w:tab w:val="left" w:pos="3420"/>
          <w:tab w:val="right" w:pos="8640"/>
        </w:tabs>
        <w:spacing w:before="0" w:after="0"/>
        <w:ind w:left="432"/>
        <w:rPr>
          <w:sz w:val="22"/>
          <w:szCs w:val="22"/>
        </w:rPr>
      </w:pPr>
      <w:r>
        <w:rPr>
          <w:sz w:val="22"/>
          <w:szCs w:val="22"/>
        </w:rPr>
        <w:t>Budget Decision Unit</w:t>
      </w:r>
      <w:r w:rsidRPr="00DD28EC">
        <w:rPr>
          <w:sz w:val="22"/>
          <w:szCs w:val="22"/>
        </w:rPr>
        <w:t xml:space="preserve">: </w:t>
      </w:r>
      <w:r w:rsidRPr="00DD28EC">
        <w:rPr>
          <w:sz w:val="22"/>
          <w:szCs w:val="22"/>
        </w:rPr>
        <w:tab/>
        <w:t xml:space="preserve">      JIST</w:t>
      </w:r>
    </w:p>
    <w:p w:rsidR="008967E5" w:rsidRPr="00DD28EC" w:rsidRDefault="008967E5" w:rsidP="00573FE3">
      <w:pPr>
        <w:pStyle w:val="xl19"/>
        <w:tabs>
          <w:tab w:val="left" w:pos="3420"/>
          <w:tab w:val="right" w:pos="8640"/>
        </w:tabs>
        <w:spacing w:before="0" w:after="0"/>
        <w:ind w:left="432"/>
        <w:rPr>
          <w:sz w:val="22"/>
          <w:szCs w:val="22"/>
        </w:rPr>
      </w:pPr>
      <w:r w:rsidRPr="00DD28EC">
        <w:rPr>
          <w:sz w:val="22"/>
          <w:szCs w:val="22"/>
        </w:rPr>
        <w:t xml:space="preserve">Strategic Goal(s) &amp; Objective(s):  </w:t>
      </w:r>
      <w:r>
        <w:rPr>
          <w:sz w:val="22"/>
          <w:szCs w:val="22"/>
        </w:rPr>
        <w:t xml:space="preserve">     </w:t>
      </w:r>
      <w:r w:rsidRPr="00DD28EC">
        <w:rPr>
          <w:sz w:val="22"/>
          <w:szCs w:val="22"/>
        </w:rPr>
        <w:t>Goal 4 – Enabling administration</w:t>
      </w:r>
      <w:r w:rsidRPr="00DD28EC">
        <w:rPr>
          <w:sz w:val="22"/>
          <w:szCs w:val="22"/>
          <w:u w:val="single"/>
        </w:rPr>
        <w:t xml:space="preserve">                                                                                      </w:t>
      </w:r>
    </w:p>
    <w:p w:rsidR="008967E5" w:rsidRDefault="008967E5" w:rsidP="00573FE3">
      <w:pPr>
        <w:pStyle w:val="xl19"/>
        <w:tabs>
          <w:tab w:val="left" w:pos="3420"/>
          <w:tab w:val="right" w:pos="8640"/>
        </w:tabs>
        <w:spacing w:before="0" w:after="0"/>
        <w:ind w:left="432"/>
        <w:rPr>
          <w:sz w:val="22"/>
          <w:szCs w:val="22"/>
        </w:rPr>
      </w:pPr>
      <w:r w:rsidRPr="00DD28EC">
        <w:rPr>
          <w:sz w:val="22"/>
          <w:szCs w:val="22"/>
        </w:rPr>
        <w:t>Organizational Program:</w:t>
      </w:r>
      <w:r w:rsidRPr="00DD28EC">
        <w:rPr>
          <w:sz w:val="22"/>
          <w:szCs w:val="22"/>
        </w:rPr>
        <w:tab/>
        <w:t xml:space="preserve">      All JIST Programs</w:t>
      </w:r>
    </w:p>
    <w:p w:rsidR="008967E5" w:rsidRPr="00B0461D" w:rsidRDefault="008967E5" w:rsidP="002B1B50">
      <w:pPr>
        <w:pStyle w:val="xl19"/>
        <w:tabs>
          <w:tab w:val="left" w:pos="3420"/>
          <w:tab w:val="right" w:pos="4320"/>
        </w:tabs>
        <w:spacing w:before="0" w:after="0"/>
        <w:ind w:left="432"/>
        <w:rPr>
          <w:sz w:val="22"/>
          <w:szCs w:val="22"/>
        </w:rPr>
      </w:pPr>
      <w:r>
        <w:rPr>
          <w:sz w:val="22"/>
          <w:szCs w:val="22"/>
        </w:rPr>
        <w:t>Programs Reduction</w:t>
      </w:r>
      <w:r w:rsidRPr="00B0461D">
        <w:rPr>
          <w:sz w:val="22"/>
          <w:szCs w:val="22"/>
        </w:rPr>
        <w:t>:</w:t>
      </w:r>
      <w:r>
        <w:rPr>
          <w:sz w:val="22"/>
          <w:szCs w:val="22"/>
        </w:rPr>
        <w:t xml:space="preserve">  </w:t>
      </w:r>
      <w:r>
        <w:rPr>
          <w:sz w:val="22"/>
          <w:szCs w:val="22"/>
        </w:rPr>
        <w:tab/>
        <w:t xml:space="preserve">      Positions  </w:t>
      </w:r>
      <w:r>
        <w:rPr>
          <w:sz w:val="22"/>
          <w:szCs w:val="22"/>
          <w:u w:val="single"/>
        </w:rPr>
        <w:t>0</w:t>
      </w:r>
      <w:r>
        <w:rPr>
          <w:sz w:val="22"/>
          <w:szCs w:val="22"/>
        </w:rPr>
        <w:t xml:space="preserve">   FTE  </w:t>
      </w:r>
      <w:r>
        <w:rPr>
          <w:sz w:val="22"/>
          <w:szCs w:val="22"/>
          <w:u w:val="single"/>
        </w:rPr>
        <w:t>0</w:t>
      </w:r>
      <w:r>
        <w:rPr>
          <w:sz w:val="22"/>
          <w:szCs w:val="22"/>
        </w:rPr>
        <w:t xml:space="preserve">   Dollars  </w:t>
      </w:r>
      <w:r w:rsidRPr="002B1B50">
        <w:rPr>
          <w:sz w:val="22"/>
          <w:szCs w:val="22"/>
          <w:u w:val="single"/>
        </w:rPr>
        <w:t>$</w:t>
      </w:r>
      <w:r>
        <w:rPr>
          <w:sz w:val="22"/>
          <w:szCs w:val="22"/>
          <w:u w:val="single"/>
        </w:rPr>
        <w:t>443,000</w:t>
      </w:r>
    </w:p>
    <w:p w:rsidR="008967E5" w:rsidRDefault="008967E5" w:rsidP="00573FE3">
      <w:pPr>
        <w:ind w:left="432"/>
      </w:pPr>
    </w:p>
    <w:p w:rsidR="008967E5" w:rsidRPr="003253B1" w:rsidRDefault="008967E5" w:rsidP="00573FE3">
      <w:pPr>
        <w:pStyle w:val="xl24"/>
        <w:spacing w:before="0" w:after="0"/>
        <w:ind w:left="432"/>
        <w:rPr>
          <w:b/>
          <w:sz w:val="22"/>
          <w:szCs w:val="22"/>
        </w:rPr>
      </w:pPr>
      <w:r w:rsidRPr="003253B1">
        <w:rPr>
          <w:b/>
          <w:sz w:val="22"/>
          <w:szCs w:val="22"/>
        </w:rPr>
        <w:t>Description of Item</w:t>
      </w:r>
    </w:p>
    <w:p w:rsidR="008967E5" w:rsidRPr="007D073E" w:rsidRDefault="008967E5" w:rsidP="007D073E">
      <w:pPr>
        <w:ind w:left="432"/>
        <w:rPr>
          <w:sz w:val="22"/>
          <w:szCs w:val="22"/>
        </w:rPr>
      </w:pPr>
      <w:r w:rsidRPr="000F1398">
        <w:rPr>
          <w:bCs/>
          <w:sz w:val="22"/>
          <w:szCs w:val="22"/>
        </w:rPr>
        <w:t>Extend tech refresh cycle for desktop/laptop PC workstations by one year</w:t>
      </w:r>
      <w:r>
        <w:rPr>
          <w:sz w:val="22"/>
          <w:szCs w:val="22"/>
        </w:rPr>
        <w:t>.</w:t>
      </w:r>
    </w:p>
    <w:p w:rsidR="008967E5" w:rsidRDefault="008967E5" w:rsidP="00573FE3">
      <w:pPr>
        <w:pStyle w:val="BodyText2"/>
        <w:ind w:left="432"/>
      </w:pPr>
    </w:p>
    <w:p w:rsidR="008967E5" w:rsidRPr="003253B1" w:rsidRDefault="008967E5" w:rsidP="00573FE3">
      <w:pPr>
        <w:pStyle w:val="BodyText2"/>
        <w:ind w:left="432"/>
        <w:rPr>
          <w:b/>
          <w:sz w:val="22"/>
          <w:szCs w:val="22"/>
          <w:u w:val="single"/>
        </w:rPr>
      </w:pPr>
      <w:r w:rsidRPr="003253B1">
        <w:rPr>
          <w:b/>
          <w:sz w:val="22"/>
          <w:szCs w:val="22"/>
          <w:u w:val="single"/>
        </w:rPr>
        <w:t>Summary Justification</w:t>
      </w:r>
    </w:p>
    <w:p w:rsidR="008967E5" w:rsidRDefault="008967E5" w:rsidP="00836AAC">
      <w:pPr>
        <w:ind w:left="432"/>
        <w:rPr>
          <w:sz w:val="22"/>
          <w:szCs w:val="22"/>
        </w:rPr>
      </w:pPr>
      <w:r>
        <w:rPr>
          <w:sz w:val="22"/>
          <w:szCs w:val="22"/>
        </w:rPr>
        <w:t>Since most current generation desktop and laptop PC workstations used by staff and consultants have fast processors, large RAMs, and large hard drives, they have excess capacity relative to their primary use for running basic office automatic applications (e.g., spreadsheets and word processing).  Therefore, extending the refresh cycle by one year will have minimal impact, if any, on the users executing their normal work program, a</w:t>
      </w:r>
      <w:r w:rsidRPr="00A53135">
        <w:rPr>
          <w:sz w:val="22"/>
          <w:szCs w:val="22"/>
        </w:rPr>
        <w:t xml:space="preserve">s desktops and laptops </w:t>
      </w:r>
      <w:r>
        <w:rPr>
          <w:sz w:val="22"/>
          <w:szCs w:val="22"/>
        </w:rPr>
        <w:t xml:space="preserve">PC workstations </w:t>
      </w:r>
      <w:r w:rsidRPr="00A53135">
        <w:rPr>
          <w:sz w:val="22"/>
          <w:szCs w:val="22"/>
        </w:rPr>
        <w:t xml:space="preserve">are used primarily for basic office automation.  </w:t>
      </w:r>
    </w:p>
    <w:p w:rsidR="008967E5" w:rsidRDefault="008967E5" w:rsidP="00836AAC">
      <w:pPr>
        <w:ind w:left="432"/>
        <w:rPr>
          <w:sz w:val="22"/>
          <w:szCs w:val="22"/>
        </w:rPr>
      </w:pPr>
    </w:p>
    <w:p w:rsidR="008967E5" w:rsidRDefault="008967E5" w:rsidP="00573FE3">
      <w:pPr>
        <w:ind w:left="432"/>
        <w:rPr>
          <w:sz w:val="22"/>
          <w:szCs w:val="22"/>
        </w:rPr>
      </w:pPr>
      <w:r w:rsidRPr="00A53135">
        <w:rPr>
          <w:sz w:val="22"/>
          <w:szCs w:val="22"/>
        </w:rPr>
        <w:t xml:space="preserve">In FY 2012, the Department </w:t>
      </w:r>
      <w:r>
        <w:rPr>
          <w:sz w:val="22"/>
          <w:szCs w:val="22"/>
        </w:rPr>
        <w:t>will implement the extension of refresh cycle for all desktops and laptop PC workstations.  The allocated JIST share of the cost savings (offset) is ($443,000).</w:t>
      </w:r>
    </w:p>
    <w:p w:rsidR="008967E5" w:rsidRDefault="008967E5" w:rsidP="00573FE3">
      <w:pPr>
        <w:ind w:left="432"/>
        <w:rPr>
          <w:i/>
          <w:iCs/>
        </w:rPr>
      </w:pPr>
      <w:r>
        <w:rPr>
          <w:i/>
          <w:iCs/>
        </w:rPr>
        <w:t xml:space="preserve"> </w:t>
      </w:r>
    </w:p>
    <w:p w:rsidR="008967E5" w:rsidRPr="003253B1" w:rsidRDefault="008967E5" w:rsidP="00573FE3">
      <w:pPr>
        <w:pStyle w:val="xl24"/>
        <w:spacing w:before="0" w:after="0"/>
        <w:ind w:left="432"/>
        <w:rPr>
          <w:b/>
          <w:sz w:val="22"/>
          <w:szCs w:val="22"/>
        </w:rPr>
      </w:pPr>
      <w:r w:rsidRPr="003253B1">
        <w:rPr>
          <w:b/>
          <w:sz w:val="22"/>
          <w:szCs w:val="22"/>
        </w:rPr>
        <w:t xml:space="preserve">Impact on Performance </w:t>
      </w:r>
    </w:p>
    <w:p w:rsidR="008967E5" w:rsidRPr="003459B2" w:rsidRDefault="008967E5" w:rsidP="003459B2">
      <w:pPr>
        <w:pStyle w:val="xl24"/>
        <w:spacing w:before="0" w:after="0"/>
        <w:ind w:left="432"/>
        <w:rPr>
          <w:u w:val="none"/>
        </w:rPr>
      </w:pPr>
      <w:r w:rsidRPr="00A97EB0">
        <w:rPr>
          <w:sz w:val="22"/>
          <w:szCs w:val="22"/>
          <w:u w:val="none"/>
        </w:rPr>
        <w:t>As desktops and laptops PC workstations are used primarily for basic office automation applications (e.g., spreadsheets and word processing), extending the refresh cycle by one year will have minimal impact on the Department’</w:t>
      </w:r>
      <w:r>
        <w:rPr>
          <w:sz w:val="22"/>
          <w:szCs w:val="22"/>
          <w:u w:val="none"/>
        </w:rPr>
        <w:t>s performance</w:t>
      </w:r>
      <w:r w:rsidRPr="00A97EB0">
        <w:rPr>
          <w:sz w:val="22"/>
          <w:szCs w:val="22"/>
          <w:u w:val="none"/>
        </w:rPr>
        <w:t xml:space="preserve">.  </w:t>
      </w:r>
    </w:p>
    <w:p w:rsidR="008967E5" w:rsidRDefault="008967E5" w:rsidP="00942E76"/>
    <w:p w:rsidR="00802FF1" w:rsidRDefault="00802FF1" w:rsidP="00942E76">
      <w:pPr>
        <w:sectPr w:rsidR="00802FF1" w:rsidSect="002076C9">
          <w:pgSz w:w="12240" w:h="15840" w:code="1"/>
          <w:pgMar w:top="1008" w:right="1152" w:bottom="1008" w:left="1152" w:header="432" w:footer="432" w:gutter="0"/>
          <w:cols w:space="720"/>
          <w:docGrid w:linePitch="360"/>
        </w:sectPr>
      </w:pPr>
    </w:p>
    <w:p w:rsidR="008967E5" w:rsidRDefault="008967E5" w:rsidP="00F25F22">
      <w:r>
        <w:rPr>
          <w:b/>
        </w:rPr>
        <w:t>V</w:t>
      </w:r>
      <w:r w:rsidRPr="00A06230">
        <w:rPr>
          <w:b/>
        </w:rPr>
        <w:t>. Program Offsets by Item</w:t>
      </w:r>
      <w:r>
        <w:rPr>
          <w:b/>
        </w:rPr>
        <w:t xml:space="preserve"> (continued)</w:t>
      </w:r>
    </w:p>
    <w:p w:rsidR="008967E5" w:rsidRDefault="008967E5" w:rsidP="001C0461">
      <w:pPr>
        <w:pStyle w:val="xl19"/>
        <w:tabs>
          <w:tab w:val="left" w:pos="3420"/>
          <w:tab w:val="right" w:pos="8640"/>
        </w:tabs>
        <w:spacing w:before="0" w:after="0"/>
        <w:rPr>
          <w:b/>
          <w:bCs/>
        </w:rPr>
      </w:pPr>
    </w:p>
    <w:p w:rsidR="008967E5" w:rsidRDefault="008967E5" w:rsidP="001C0461">
      <w:pPr>
        <w:pStyle w:val="xl19"/>
        <w:tabs>
          <w:tab w:val="left" w:pos="3420"/>
          <w:tab w:val="right" w:pos="8640"/>
        </w:tabs>
        <w:spacing w:before="0" w:after="0"/>
        <w:rPr>
          <w:b/>
          <w:bCs/>
        </w:rPr>
      </w:pPr>
      <w:r>
        <w:rPr>
          <w:b/>
          <w:bCs/>
        </w:rPr>
        <w:t>4.   Administrative efficiencies</w:t>
      </w:r>
    </w:p>
    <w:p w:rsidR="008967E5" w:rsidRDefault="008967E5" w:rsidP="001C0461">
      <w:pPr>
        <w:pStyle w:val="xl19"/>
        <w:tabs>
          <w:tab w:val="left" w:pos="3420"/>
          <w:tab w:val="right" w:pos="8640"/>
        </w:tabs>
        <w:spacing w:before="0" w:after="0"/>
      </w:pPr>
    </w:p>
    <w:p w:rsidR="008967E5" w:rsidRPr="00AA539D" w:rsidRDefault="008967E5" w:rsidP="00573FE3">
      <w:pPr>
        <w:pStyle w:val="xl19"/>
        <w:tabs>
          <w:tab w:val="left" w:pos="3420"/>
          <w:tab w:val="right" w:pos="8640"/>
        </w:tabs>
        <w:spacing w:before="0" w:after="0"/>
        <w:ind w:left="432"/>
        <w:rPr>
          <w:sz w:val="22"/>
          <w:szCs w:val="22"/>
        </w:rPr>
      </w:pPr>
      <w:r w:rsidRPr="00AA539D">
        <w:rPr>
          <w:sz w:val="22"/>
          <w:szCs w:val="22"/>
        </w:rPr>
        <w:t xml:space="preserve">Budget Decision Unit(s): </w:t>
      </w:r>
      <w:r w:rsidRPr="00AA539D">
        <w:rPr>
          <w:sz w:val="22"/>
          <w:szCs w:val="22"/>
        </w:rPr>
        <w:tab/>
        <w:t xml:space="preserve">      JIST</w:t>
      </w:r>
    </w:p>
    <w:p w:rsidR="008967E5" w:rsidRPr="00AA539D" w:rsidRDefault="008967E5" w:rsidP="00573FE3">
      <w:pPr>
        <w:pStyle w:val="xl19"/>
        <w:tabs>
          <w:tab w:val="left" w:pos="3420"/>
          <w:tab w:val="right" w:pos="8640"/>
        </w:tabs>
        <w:spacing w:before="0" w:after="0"/>
        <w:ind w:left="432"/>
        <w:rPr>
          <w:sz w:val="22"/>
          <w:szCs w:val="22"/>
        </w:rPr>
      </w:pPr>
      <w:r w:rsidRPr="00AA539D">
        <w:rPr>
          <w:sz w:val="22"/>
          <w:szCs w:val="22"/>
        </w:rPr>
        <w:t xml:space="preserve">Strategic Goal(s) &amp; Objective(s):  </w:t>
      </w:r>
      <w:r>
        <w:rPr>
          <w:sz w:val="22"/>
          <w:szCs w:val="22"/>
        </w:rPr>
        <w:t xml:space="preserve">     </w:t>
      </w:r>
      <w:r w:rsidRPr="00AA539D">
        <w:rPr>
          <w:sz w:val="22"/>
          <w:szCs w:val="22"/>
        </w:rPr>
        <w:t xml:space="preserve">Goal 4 – Enabling administration                                                                                     </w:t>
      </w:r>
    </w:p>
    <w:p w:rsidR="008967E5" w:rsidRDefault="008967E5" w:rsidP="00573FE3">
      <w:pPr>
        <w:pStyle w:val="xl19"/>
        <w:tabs>
          <w:tab w:val="left" w:pos="3420"/>
          <w:tab w:val="right" w:pos="8640"/>
        </w:tabs>
        <w:spacing w:before="0" w:after="0"/>
        <w:ind w:left="432"/>
        <w:rPr>
          <w:sz w:val="22"/>
          <w:szCs w:val="22"/>
        </w:rPr>
      </w:pPr>
      <w:r w:rsidRPr="00AA539D">
        <w:rPr>
          <w:sz w:val="22"/>
          <w:szCs w:val="22"/>
        </w:rPr>
        <w:t>Organizational Program:</w:t>
      </w:r>
      <w:r w:rsidRPr="00AA539D">
        <w:rPr>
          <w:sz w:val="22"/>
          <w:szCs w:val="22"/>
        </w:rPr>
        <w:tab/>
        <w:t xml:space="preserve">      All JIST Programs</w:t>
      </w:r>
    </w:p>
    <w:p w:rsidR="008967E5" w:rsidRPr="00AA539D" w:rsidRDefault="008967E5" w:rsidP="002B1B50">
      <w:pPr>
        <w:pStyle w:val="xl19"/>
        <w:tabs>
          <w:tab w:val="left" w:pos="3420"/>
          <w:tab w:val="right" w:pos="4320"/>
        </w:tabs>
        <w:spacing w:before="0" w:after="0"/>
        <w:ind w:left="432"/>
        <w:rPr>
          <w:sz w:val="22"/>
          <w:szCs w:val="22"/>
        </w:rPr>
      </w:pPr>
      <w:r>
        <w:rPr>
          <w:sz w:val="22"/>
          <w:szCs w:val="22"/>
        </w:rPr>
        <w:t>Programs Reduction</w:t>
      </w:r>
      <w:r w:rsidRPr="00B0461D">
        <w:rPr>
          <w:sz w:val="22"/>
          <w:szCs w:val="22"/>
        </w:rPr>
        <w:t>:</w:t>
      </w:r>
      <w:r>
        <w:rPr>
          <w:sz w:val="22"/>
          <w:szCs w:val="22"/>
        </w:rPr>
        <w:t xml:space="preserve">  </w:t>
      </w:r>
      <w:r>
        <w:rPr>
          <w:sz w:val="22"/>
          <w:szCs w:val="22"/>
        </w:rPr>
        <w:tab/>
      </w:r>
      <w:r>
        <w:rPr>
          <w:sz w:val="22"/>
          <w:szCs w:val="22"/>
        </w:rPr>
        <w:tab/>
        <w:t xml:space="preserve">      Positions  </w:t>
      </w:r>
      <w:r>
        <w:rPr>
          <w:sz w:val="22"/>
          <w:szCs w:val="22"/>
          <w:u w:val="single"/>
        </w:rPr>
        <w:t>0</w:t>
      </w:r>
      <w:r>
        <w:rPr>
          <w:sz w:val="22"/>
          <w:szCs w:val="22"/>
        </w:rPr>
        <w:t xml:space="preserve">   FTE  </w:t>
      </w:r>
      <w:r>
        <w:rPr>
          <w:sz w:val="22"/>
          <w:szCs w:val="22"/>
          <w:u w:val="single"/>
        </w:rPr>
        <w:t>0</w:t>
      </w:r>
      <w:r>
        <w:rPr>
          <w:sz w:val="22"/>
          <w:szCs w:val="22"/>
        </w:rPr>
        <w:t xml:space="preserve">   Dollars  </w:t>
      </w:r>
      <w:r w:rsidRPr="002B1B50">
        <w:rPr>
          <w:sz w:val="22"/>
          <w:szCs w:val="22"/>
          <w:u w:val="single"/>
        </w:rPr>
        <w:t>$1</w:t>
      </w:r>
      <w:r>
        <w:rPr>
          <w:sz w:val="22"/>
          <w:szCs w:val="22"/>
          <w:u w:val="single"/>
        </w:rPr>
        <w:t>3,000</w:t>
      </w:r>
    </w:p>
    <w:p w:rsidR="008967E5" w:rsidRDefault="008967E5" w:rsidP="002B1B50">
      <w:pPr>
        <w:tabs>
          <w:tab w:val="left" w:pos="3600"/>
        </w:tabs>
      </w:pPr>
    </w:p>
    <w:p w:rsidR="008967E5" w:rsidRPr="003253B1" w:rsidRDefault="008967E5" w:rsidP="00573FE3">
      <w:pPr>
        <w:pStyle w:val="xl24"/>
        <w:spacing w:before="0" w:after="0"/>
        <w:ind w:left="432"/>
        <w:rPr>
          <w:b/>
          <w:sz w:val="22"/>
          <w:szCs w:val="22"/>
        </w:rPr>
      </w:pPr>
      <w:r w:rsidRPr="003253B1">
        <w:rPr>
          <w:b/>
          <w:sz w:val="22"/>
          <w:szCs w:val="22"/>
        </w:rPr>
        <w:t>Description of Item</w:t>
      </w:r>
    </w:p>
    <w:p w:rsidR="008967E5" w:rsidRPr="00A53135" w:rsidRDefault="008967E5" w:rsidP="00A53135">
      <w:pPr>
        <w:ind w:left="432" w:right="144"/>
        <w:jc w:val="both"/>
        <w:rPr>
          <w:sz w:val="22"/>
          <w:szCs w:val="22"/>
        </w:rPr>
      </w:pPr>
      <w:r w:rsidRPr="00A53135">
        <w:rPr>
          <w:sz w:val="22"/>
          <w:szCs w:val="22"/>
        </w:rPr>
        <w:t>The Department is continually evaluating its programs and operations with the goal of achieving across-the-board economies of scale that result in increased efficiencies and cost savings.  In FY 2012, the Department is focusing on areas in which savings can be achieved, which includes</w:t>
      </w:r>
      <w:r w:rsidRPr="00A53135">
        <w:rPr>
          <w:bCs/>
          <w:sz w:val="22"/>
          <w:szCs w:val="22"/>
        </w:rPr>
        <w:t>: printing, publications, travel, conferences, supplies, and general equipment</w:t>
      </w:r>
      <w:r w:rsidRPr="00A53135">
        <w:rPr>
          <w:sz w:val="22"/>
          <w:szCs w:val="22"/>
        </w:rPr>
        <w:t xml:space="preserve">.  </w:t>
      </w:r>
      <w:r>
        <w:rPr>
          <w:sz w:val="22"/>
          <w:szCs w:val="22"/>
        </w:rPr>
        <w:t>The allocated JIST share of the cost savings (offset) is ($13,000).</w:t>
      </w:r>
    </w:p>
    <w:p w:rsidR="008967E5" w:rsidRDefault="008967E5" w:rsidP="003459B2">
      <w:pPr>
        <w:pStyle w:val="BodyText2"/>
      </w:pPr>
    </w:p>
    <w:p w:rsidR="008967E5" w:rsidRPr="003253B1" w:rsidRDefault="008967E5" w:rsidP="00573FE3">
      <w:pPr>
        <w:pStyle w:val="BodyText2"/>
        <w:ind w:left="432"/>
        <w:rPr>
          <w:b/>
          <w:sz w:val="22"/>
          <w:szCs w:val="22"/>
          <w:u w:val="single"/>
        </w:rPr>
      </w:pPr>
      <w:r w:rsidRPr="003253B1">
        <w:rPr>
          <w:b/>
          <w:sz w:val="22"/>
          <w:szCs w:val="22"/>
          <w:u w:val="single"/>
        </w:rPr>
        <w:t>Summary Justification</w:t>
      </w:r>
    </w:p>
    <w:p w:rsidR="008967E5" w:rsidRPr="00A53135" w:rsidRDefault="008967E5" w:rsidP="00F710F2">
      <w:pPr>
        <w:ind w:left="432" w:right="144"/>
        <w:jc w:val="both"/>
        <w:rPr>
          <w:sz w:val="22"/>
          <w:szCs w:val="22"/>
        </w:rPr>
      </w:pPr>
      <w:r w:rsidRPr="00A53135">
        <w:rPr>
          <w:sz w:val="22"/>
          <w:szCs w:val="22"/>
        </w:rPr>
        <w:t xml:space="preserve">The Department is continually evaluating its programs and operations </w:t>
      </w:r>
      <w:r>
        <w:rPr>
          <w:sz w:val="22"/>
          <w:szCs w:val="22"/>
        </w:rPr>
        <w:t>to identify across-the-board economies of scale that result cost savings by increasing efficiencies.</w:t>
      </w:r>
      <w:r w:rsidRPr="00A53135">
        <w:rPr>
          <w:sz w:val="22"/>
          <w:szCs w:val="22"/>
        </w:rPr>
        <w:t xml:space="preserve"> In FY 2012, the Department is focusing on </w:t>
      </w:r>
      <w:r>
        <w:rPr>
          <w:sz w:val="22"/>
          <w:szCs w:val="22"/>
        </w:rPr>
        <w:t xml:space="preserve">achieving cost savings in the </w:t>
      </w:r>
      <w:r w:rsidRPr="00A53135">
        <w:rPr>
          <w:sz w:val="22"/>
          <w:szCs w:val="22"/>
        </w:rPr>
        <w:t xml:space="preserve">areas </w:t>
      </w:r>
      <w:r>
        <w:rPr>
          <w:sz w:val="22"/>
          <w:szCs w:val="22"/>
        </w:rPr>
        <w:t xml:space="preserve">of </w:t>
      </w:r>
      <w:r w:rsidRPr="00A53135">
        <w:rPr>
          <w:bCs/>
          <w:sz w:val="22"/>
          <w:szCs w:val="22"/>
        </w:rPr>
        <w:t>printing, publications, travel, conferences, supplies, and general equipment</w:t>
      </w:r>
      <w:r w:rsidRPr="00A53135">
        <w:rPr>
          <w:sz w:val="22"/>
          <w:szCs w:val="22"/>
        </w:rPr>
        <w:t xml:space="preserve">.  </w:t>
      </w:r>
    </w:p>
    <w:p w:rsidR="008967E5" w:rsidRDefault="008967E5" w:rsidP="00573FE3">
      <w:pPr>
        <w:ind w:left="432"/>
        <w:rPr>
          <w:i/>
          <w:iCs/>
        </w:rPr>
      </w:pPr>
    </w:p>
    <w:p w:rsidR="008967E5" w:rsidRPr="003253B1" w:rsidRDefault="008967E5" w:rsidP="00573FE3">
      <w:pPr>
        <w:pStyle w:val="xl24"/>
        <w:spacing w:before="0" w:after="0"/>
        <w:ind w:left="432"/>
        <w:rPr>
          <w:b/>
          <w:sz w:val="22"/>
          <w:szCs w:val="22"/>
        </w:rPr>
      </w:pPr>
      <w:r w:rsidRPr="003253B1">
        <w:rPr>
          <w:b/>
          <w:sz w:val="22"/>
          <w:szCs w:val="22"/>
        </w:rPr>
        <w:t xml:space="preserve">Impact on Performance </w:t>
      </w:r>
    </w:p>
    <w:p w:rsidR="008967E5" w:rsidRPr="00AA539D" w:rsidRDefault="008967E5" w:rsidP="003459B2">
      <w:pPr>
        <w:ind w:left="432"/>
        <w:rPr>
          <w:sz w:val="22"/>
          <w:szCs w:val="22"/>
        </w:rPr>
      </w:pPr>
      <w:r w:rsidRPr="00AA539D">
        <w:rPr>
          <w:sz w:val="22"/>
          <w:szCs w:val="22"/>
        </w:rPr>
        <w:t>The implementation of administrative efficiencies cost savings will have little impact on performance.</w:t>
      </w:r>
    </w:p>
    <w:p w:rsidR="008967E5" w:rsidRDefault="008967E5" w:rsidP="00942E76"/>
    <w:p w:rsidR="008967E5" w:rsidRDefault="008967E5" w:rsidP="00733F33">
      <w:pPr>
        <w:rPr>
          <w:b/>
          <w:bCs/>
          <w:color w:val="000000"/>
        </w:rPr>
      </w:pPr>
    </w:p>
    <w:sectPr w:rsidR="008967E5" w:rsidSect="002076C9">
      <w:pgSz w:w="12240" w:h="15840" w:code="1"/>
      <w:pgMar w:top="1008" w:right="1152" w:bottom="1008" w:left="1152"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053" w:rsidRDefault="00B81053">
      <w:r>
        <w:separator/>
      </w:r>
    </w:p>
  </w:endnote>
  <w:endnote w:type="continuationSeparator" w:id="0">
    <w:p w:rsidR="00B81053" w:rsidRDefault="00B810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053" w:rsidRDefault="00DD50A8" w:rsidP="00381E4B">
    <w:pPr>
      <w:pStyle w:val="Footer"/>
      <w:framePr w:wrap="around" w:vAnchor="text" w:hAnchor="margin" w:xAlign="center" w:y="1"/>
      <w:rPr>
        <w:rStyle w:val="PageNumber"/>
      </w:rPr>
    </w:pPr>
    <w:r>
      <w:rPr>
        <w:rStyle w:val="PageNumber"/>
      </w:rPr>
      <w:fldChar w:fldCharType="begin"/>
    </w:r>
    <w:r w:rsidR="00B81053">
      <w:rPr>
        <w:rStyle w:val="PageNumber"/>
      </w:rPr>
      <w:instrText xml:space="preserve">PAGE  </w:instrText>
    </w:r>
    <w:r>
      <w:rPr>
        <w:rStyle w:val="PageNumber"/>
      </w:rPr>
      <w:fldChar w:fldCharType="end"/>
    </w:r>
  </w:p>
  <w:p w:rsidR="00B81053" w:rsidRDefault="00B81053" w:rsidP="00381E4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053" w:rsidRDefault="00B81053" w:rsidP="00381E4B">
    <w:pPr>
      <w:pStyle w:val="Footer"/>
      <w:framePr w:wrap="around" w:vAnchor="text" w:hAnchor="margin" w:xAlign="center" w:y="1"/>
      <w:rPr>
        <w:rStyle w:val="PageNumber"/>
      </w:rPr>
    </w:pPr>
    <w:r w:rsidRPr="00C42AC1">
      <w:rPr>
        <w:rStyle w:val="PageNumber"/>
      </w:rPr>
      <w:t xml:space="preserve">Page </w:t>
    </w:r>
    <w:r w:rsidR="00DD50A8" w:rsidRPr="00C42AC1">
      <w:rPr>
        <w:rStyle w:val="PageNumber"/>
      </w:rPr>
      <w:fldChar w:fldCharType="begin"/>
    </w:r>
    <w:r w:rsidRPr="00C42AC1">
      <w:rPr>
        <w:rStyle w:val="PageNumber"/>
      </w:rPr>
      <w:instrText xml:space="preserve"> PAGE </w:instrText>
    </w:r>
    <w:r w:rsidR="00DD50A8" w:rsidRPr="00C42AC1">
      <w:rPr>
        <w:rStyle w:val="PageNumber"/>
      </w:rPr>
      <w:fldChar w:fldCharType="separate"/>
    </w:r>
    <w:r w:rsidR="00ED11CF">
      <w:rPr>
        <w:rStyle w:val="PageNumber"/>
        <w:noProof/>
      </w:rPr>
      <w:t>2</w:t>
    </w:r>
    <w:r w:rsidR="00DD50A8" w:rsidRPr="00C42AC1">
      <w:rPr>
        <w:rStyle w:val="PageNumber"/>
      </w:rPr>
      <w:fldChar w:fldCharType="end"/>
    </w:r>
    <w:r w:rsidRPr="00C42AC1">
      <w:rPr>
        <w:rStyle w:val="PageNumber"/>
      </w:rPr>
      <w:t xml:space="preserve"> of </w:t>
    </w:r>
    <w:r w:rsidR="00DD50A8" w:rsidRPr="00C42AC1">
      <w:rPr>
        <w:rStyle w:val="PageNumber"/>
      </w:rPr>
      <w:fldChar w:fldCharType="begin"/>
    </w:r>
    <w:r w:rsidRPr="00C42AC1">
      <w:rPr>
        <w:rStyle w:val="PageNumber"/>
      </w:rPr>
      <w:instrText xml:space="preserve"> NUMPAGES </w:instrText>
    </w:r>
    <w:r w:rsidR="00DD50A8" w:rsidRPr="00C42AC1">
      <w:rPr>
        <w:rStyle w:val="PageNumber"/>
      </w:rPr>
      <w:fldChar w:fldCharType="separate"/>
    </w:r>
    <w:r w:rsidR="00ED11CF">
      <w:rPr>
        <w:rStyle w:val="PageNumber"/>
        <w:noProof/>
      </w:rPr>
      <w:t>24</w:t>
    </w:r>
    <w:r w:rsidR="00DD50A8" w:rsidRPr="00C42AC1">
      <w:rPr>
        <w:rStyle w:val="PageNumber"/>
      </w:rPr>
      <w:fldChar w:fldCharType="end"/>
    </w:r>
  </w:p>
  <w:p w:rsidR="00B81053" w:rsidRDefault="00B81053" w:rsidP="00381E4B">
    <w:pPr>
      <w:pStyle w:val="Foote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053" w:rsidRDefault="00B81053" w:rsidP="003A2396">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053" w:rsidRDefault="00B81053">
      <w:r>
        <w:separator/>
      </w:r>
    </w:p>
  </w:footnote>
  <w:footnote w:type="continuationSeparator" w:id="0">
    <w:p w:rsidR="00B81053" w:rsidRDefault="00B810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053" w:rsidRPr="00A6502E" w:rsidRDefault="00B81053" w:rsidP="003647E7">
    <w:pPr>
      <w:pStyle w:val="Header"/>
      <w:jc w:val="center"/>
      <w:rPr>
        <w:rFonts w:ascii="Arial" w:hAnsi="Arial" w:cs="Arial"/>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5A20FE2"/>
    <w:lvl w:ilvl="0">
      <w:start w:val="1"/>
      <w:numFmt w:val="bullet"/>
      <w:lvlText w:val=""/>
      <w:lvlJc w:val="left"/>
      <w:pPr>
        <w:tabs>
          <w:tab w:val="num" w:pos="720"/>
        </w:tabs>
        <w:ind w:left="720" w:hanging="360"/>
      </w:pPr>
      <w:rPr>
        <w:rFonts w:ascii="Symbol" w:hAnsi="Symbol" w:hint="default"/>
      </w:rPr>
    </w:lvl>
  </w:abstractNum>
  <w:abstractNum w:abstractNumId="1">
    <w:nsid w:val="005E4BB4"/>
    <w:multiLevelType w:val="hybridMultilevel"/>
    <w:tmpl w:val="EB1AF35E"/>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7C615A"/>
    <w:multiLevelType w:val="hybridMultilevel"/>
    <w:tmpl w:val="2F02D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207436"/>
    <w:multiLevelType w:val="hybridMultilevel"/>
    <w:tmpl w:val="12244330"/>
    <w:lvl w:ilvl="0" w:tplc="04090015">
      <w:start w:val="1"/>
      <w:numFmt w:val="upperLetter"/>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E4B0D98"/>
    <w:multiLevelType w:val="hybridMultilevel"/>
    <w:tmpl w:val="86DAE6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F36800"/>
    <w:multiLevelType w:val="hybridMultilevel"/>
    <w:tmpl w:val="A13635C2"/>
    <w:lvl w:ilvl="0" w:tplc="04090015">
      <w:start w:val="4"/>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A3C1607"/>
    <w:multiLevelType w:val="hybridMultilevel"/>
    <w:tmpl w:val="2452D8C8"/>
    <w:lvl w:ilvl="0" w:tplc="281E4B58">
      <w:numFmt w:val="bullet"/>
      <w:lvlText w:val="$"/>
      <w:legacy w:legacy="1" w:legacySpace="0" w:legacyIndent="360"/>
      <w:lvlJc w:val="left"/>
      <w:pPr>
        <w:ind w:left="720" w:hanging="360"/>
      </w:pPr>
      <w:rPr>
        <w:rFonts w:ascii="WP TypographicSymbols" w:hAnsi="WP TypographicSymbol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09229F"/>
    <w:multiLevelType w:val="hybridMultilevel"/>
    <w:tmpl w:val="EB92F0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6FB23DC"/>
    <w:multiLevelType w:val="hybridMultilevel"/>
    <w:tmpl w:val="C556EB68"/>
    <w:lvl w:ilvl="0" w:tplc="04090001">
      <w:start w:val="1"/>
      <w:numFmt w:val="bullet"/>
      <w:lvlText w:val=""/>
      <w:lvlJc w:val="left"/>
      <w:pPr>
        <w:tabs>
          <w:tab w:val="num" w:pos="1483"/>
        </w:tabs>
        <w:ind w:left="1483" w:hanging="360"/>
      </w:pPr>
      <w:rPr>
        <w:rFonts w:ascii="Symbol" w:hAnsi="Symbol" w:hint="default"/>
      </w:rPr>
    </w:lvl>
    <w:lvl w:ilvl="1" w:tplc="04090003" w:tentative="1">
      <w:start w:val="1"/>
      <w:numFmt w:val="bullet"/>
      <w:lvlText w:val="o"/>
      <w:lvlJc w:val="left"/>
      <w:pPr>
        <w:tabs>
          <w:tab w:val="num" w:pos="2203"/>
        </w:tabs>
        <w:ind w:left="2203" w:hanging="360"/>
      </w:pPr>
      <w:rPr>
        <w:rFonts w:ascii="Courier New" w:hAnsi="Courier New" w:hint="default"/>
      </w:rPr>
    </w:lvl>
    <w:lvl w:ilvl="2" w:tplc="04090005" w:tentative="1">
      <w:start w:val="1"/>
      <w:numFmt w:val="bullet"/>
      <w:lvlText w:val=""/>
      <w:lvlJc w:val="left"/>
      <w:pPr>
        <w:tabs>
          <w:tab w:val="num" w:pos="2923"/>
        </w:tabs>
        <w:ind w:left="2923" w:hanging="360"/>
      </w:pPr>
      <w:rPr>
        <w:rFonts w:ascii="Wingdings" w:hAnsi="Wingdings" w:hint="default"/>
      </w:rPr>
    </w:lvl>
    <w:lvl w:ilvl="3" w:tplc="04090001" w:tentative="1">
      <w:start w:val="1"/>
      <w:numFmt w:val="bullet"/>
      <w:lvlText w:val=""/>
      <w:lvlJc w:val="left"/>
      <w:pPr>
        <w:tabs>
          <w:tab w:val="num" w:pos="3643"/>
        </w:tabs>
        <w:ind w:left="3643" w:hanging="360"/>
      </w:pPr>
      <w:rPr>
        <w:rFonts w:ascii="Symbol" w:hAnsi="Symbol" w:hint="default"/>
      </w:rPr>
    </w:lvl>
    <w:lvl w:ilvl="4" w:tplc="04090003" w:tentative="1">
      <w:start w:val="1"/>
      <w:numFmt w:val="bullet"/>
      <w:lvlText w:val="o"/>
      <w:lvlJc w:val="left"/>
      <w:pPr>
        <w:tabs>
          <w:tab w:val="num" w:pos="4363"/>
        </w:tabs>
        <w:ind w:left="4363" w:hanging="360"/>
      </w:pPr>
      <w:rPr>
        <w:rFonts w:ascii="Courier New" w:hAnsi="Courier New" w:hint="default"/>
      </w:rPr>
    </w:lvl>
    <w:lvl w:ilvl="5" w:tplc="04090005" w:tentative="1">
      <w:start w:val="1"/>
      <w:numFmt w:val="bullet"/>
      <w:lvlText w:val=""/>
      <w:lvlJc w:val="left"/>
      <w:pPr>
        <w:tabs>
          <w:tab w:val="num" w:pos="5083"/>
        </w:tabs>
        <w:ind w:left="5083" w:hanging="360"/>
      </w:pPr>
      <w:rPr>
        <w:rFonts w:ascii="Wingdings" w:hAnsi="Wingdings" w:hint="default"/>
      </w:rPr>
    </w:lvl>
    <w:lvl w:ilvl="6" w:tplc="04090001" w:tentative="1">
      <w:start w:val="1"/>
      <w:numFmt w:val="bullet"/>
      <w:lvlText w:val=""/>
      <w:lvlJc w:val="left"/>
      <w:pPr>
        <w:tabs>
          <w:tab w:val="num" w:pos="5803"/>
        </w:tabs>
        <w:ind w:left="5803" w:hanging="360"/>
      </w:pPr>
      <w:rPr>
        <w:rFonts w:ascii="Symbol" w:hAnsi="Symbol" w:hint="default"/>
      </w:rPr>
    </w:lvl>
    <w:lvl w:ilvl="7" w:tplc="04090003" w:tentative="1">
      <w:start w:val="1"/>
      <w:numFmt w:val="bullet"/>
      <w:lvlText w:val="o"/>
      <w:lvlJc w:val="left"/>
      <w:pPr>
        <w:tabs>
          <w:tab w:val="num" w:pos="6523"/>
        </w:tabs>
        <w:ind w:left="6523" w:hanging="360"/>
      </w:pPr>
      <w:rPr>
        <w:rFonts w:ascii="Courier New" w:hAnsi="Courier New" w:hint="default"/>
      </w:rPr>
    </w:lvl>
    <w:lvl w:ilvl="8" w:tplc="04090005" w:tentative="1">
      <w:start w:val="1"/>
      <w:numFmt w:val="bullet"/>
      <w:lvlText w:val=""/>
      <w:lvlJc w:val="left"/>
      <w:pPr>
        <w:tabs>
          <w:tab w:val="num" w:pos="7243"/>
        </w:tabs>
        <w:ind w:left="7243" w:hanging="360"/>
      </w:pPr>
      <w:rPr>
        <w:rFonts w:ascii="Wingdings" w:hAnsi="Wingdings" w:hint="default"/>
      </w:rPr>
    </w:lvl>
  </w:abstractNum>
  <w:abstractNum w:abstractNumId="9">
    <w:nsid w:val="2E42630E"/>
    <w:multiLevelType w:val="hybridMultilevel"/>
    <w:tmpl w:val="93CA51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8244D5D"/>
    <w:multiLevelType w:val="hybridMultilevel"/>
    <w:tmpl w:val="5B5E8E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26B225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5AB75A7B"/>
    <w:multiLevelType w:val="multilevel"/>
    <w:tmpl w:val="E46C8040"/>
    <w:lvl w:ilvl="0">
      <w:start w:val="1"/>
      <w:numFmt w:val="upperLetter"/>
      <w:pStyle w:val="Heading6"/>
      <w:lvlText w:val="%1."/>
      <w:lvlJc w:val="left"/>
      <w:pPr>
        <w:tabs>
          <w:tab w:val="num" w:pos="1080"/>
        </w:tabs>
        <w:ind w:left="1080" w:hanging="360"/>
      </w:pPr>
      <w:rPr>
        <w:rFonts w:cs="Times New Roman" w:hint="default"/>
        <w:b/>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3">
    <w:nsid w:val="5BA511E3"/>
    <w:multiLevelType w:val="hybridMultilevel"/>
    <w:tmpl w:val="AB043A7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61890FE2"/>
    <w:multiLevelType w:val="multilevel"/>
    <w:tmpl w:val="82768490"/>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5">
    <w:nsid w:val="7186711C"/>
    <w:multiLevelType w:val="hybridMultilevel"/>
    <w:tmpl w:val="C31E10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3571776"/>
    <w:multiLevelType w:val="hybridMultilevel"/>
    <w:tmpl w:val="7A5EDE50"/>
    <w:lvl w:ilvl="0" w:tplc="04090001">
      <w:start w:val="1"/>
      <w:numFmt w:val="bullet"/>
      <w:lvlText w:val=""/>
      <w:lvlJc w:val="left"/>
      <w:pPr>
        <w:tabs>
          <w:tab w:val="num" w:pos="1267"/>
        </w:tabs>
        <w:ind w:left="1267" w:hanging="360"/>
      </w:pPr>
      <w:rPr>
        <w:rFonts w:ascii="Symbol" w:hAnsi="Symbol" w:hint="default"/>
      </w:rPr>
    </w:lvl>
    <w:lvl w:ilvl="1" w:tplc="04090003" w:tentative="1">
      <w:start w:val="1"/>
      <w:numFmt w:val="bullet"/>
      <w:lvlText w:val="o"/>
      <w:lvlJc w:val="left"/>
      <w:pPr>
        <w:tabs>
          <w:tab w:val="num" w:pos="1987"/>
        </w:tabs>
        <w:ind w:left="1987" w:hanging="360"/>
      </w:pPr>
      <w:rPr>
        <w:rFonts w:ascii="Courier New" w:hAnsi="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17">
    <w:nsid w:val="771F3BE7"/>
    <w:multiLevelType w:val="hybridMultilevel"/>
    <w:tmpl w:val="81E0D6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95C1041"/>
    <w:multiLevelType w:val="hybridMultilevel"/>
    <w:tmpl w:val="5E22A1DE"/>
    <w:lvl w:ilvl="0" w:tplc="925673A6">
      <w:start w:val="1"/>
      <w:numFmt w:val="lowerLetter"/>
      <w:lvlText w:val="%1."/>
      <w:lvlJc w:val="left"/>
      <w:pPr>
        <w:tabs>
          <w:tab w:val="num" w:pos="2347"/>
        </w:tabs>
        <w:ind w:left="198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7AC353A2"/>
    <w:multiLevelType w:val="hybridMultilevel"/>
    <w:tmpl w:val="ABC67F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2"/>
  </w:num>
  <w:num w:numId="14">
    <w:abstractNumId w:val="1"/>
  </w:num>
  <w:num w:numId="15">
    <w:abstractNumId w:val="5"/>
  </w:num>
  <w:num w:numId="16">
    <w:abstractNumId w:val="17"/>
  </w:num>
  <w:num w:numId="17">
    <w:abstractNumId w:val="13"/>
  </w:num>
  <w:num w:numId="18">
    <w:abstractNumId w:val="16"/>
  </w:num>
  <w:num w:numId="19">
    <w:abstractNumId w:val="18"/>
  </w:num>
  <w:num w:numId="20">
    <w:abstractNumId w:val="6"/>
  </w:num>
  <w:num w:numId="21">
    <w:abstractNumId w:val="19"/>
  </w:num>
  <w:num w:numId="22">
    <w:abstractNumId w:val="15"/>
  </w:num>
  <w:num w:numId="23">
    <w:abstractNumId w:val="7"/>
  </w:num>
  <w:num w:numId="24">
    <w:abstractNumId w:val="4"/>
  </w:num>
  <w:num w:numId="25">
    <w:abstractNumId w:val="10"/>
  </w:num>
  <w:num w:numId="26">
    <w:abstractNumId w:val="8"/>
  </w:num>
  <w:num w:numId="27">
    <w:abstractNumId w:val="9"/>
  </w:num>
  <w:num w:numId="28">
    <w:abstractNumId w:val="2"/>
  </w:num>
  <w:num w:numId="29">
    <w:abstractNumId w:val="11"/>
  </w:num>
  <w:num w:numId="30">
    <w:abstractNumId w:val="3"/>
  </w:num>
  <w:num w:numId="31">
    <w:abstractNumId w:val="1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isplayBackgroundShape/>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3D0E7B"/>
    <w:rsid w:val="00000D2B"/>
    <w:rsid w:val="0000191F"/>
    <w:rsid w:val="00003948"/>
    <w:rsid w:val="00003BDC"/>
    <w:rsid w:val="00005F35"/>
    <w:rsid w:val="00010C83"/>
    <w:rsid w:val="0001124B"/>
    <w:rsid w:val="00011D78"/>
    <w:rsid w:val="00012DEC"/>
    <w:rsid w:val="00013CC7"/>
    <w:rsid w:val="0001553E"/>
    <w:rsid w:val="00017D3C"/>
    <w:rsid w:val="000200A4"/>
    <w:rsid w:val="00022EC2"/>
    <w:rsid w:val="00025332"/>
    <w:rsid w:val="000264BC"/>
    <w:rsid w:val="00027C00"/>
    <w:rsid w:val="00030D65"/>
    <w:rsid w:val="00030DB3"/>
    <w:rsid w:val="000318E3"/>
    <w:rsid w:val="00033807"/>
    <w:rsid w:val="000363AF"/>
    <w:rsid w:val="00037181"/>
    <w:rsid w:val="000414CD"/>
    <w:rsid w:val="00042AC3"/>
    <w:rsid w:val="00044823"/>
    <w:rsid w:val="00044936"/>
    <w:rsid w:val="00046079"/>
    <w:rsid w:val="00047B6A"/>
    <w:rsid w:val="00047D9A"/>
    <w:rsid w:val="00050771"/>
    <w:rsid w:val="000543EC"/>
    <w:rsid w:val="0005453E"/>
    <w:rsid w:val="0005582E"/>
    <w:rsid w:val="00056F09"/>
    <w:rsid w:val="000609D0"/>
    <w:rsid w:val="000622A4"/>
    <w:rsid w:val="00062FA0"/>
    <w:rsid w:val="000636B5"/>
    <w:rsid w:val="00063EF9"/>
    <w:rsid w:val="00067A5A"/>
    <w:rsid w:val="00067BB4"/>
    <w:rsid w:val="00070161"/>
    <w:rsid w:val="00070315"/>
    <w:rsid w:val="0007449E"/>
    <w:rsid w:val="00074753"/>
    <w:rsid w:val="00074B56"/>
    <w:rsid w:val="00076CDA"/>
    <w:rsid w:val="00076F9A"/>
    <w:rsid w:val="00077081"/>
    <w:rsid w:val="0008150B"/>
    <w:rsid w:val="000839BE"/>
    <w:rsid w:val="00083C8C"/>
    <w:rsid w:val="0008416F"/>
    <w:rsid w:val="0008573D"/>
    <w:rsid w:val="00085F3F"/>
    <w:rsid w:val="0008690A"/>
    <w:rsid w:val="00086CF6"/>
    <w:rsid w:val="00090DF0"/>
    <w:rsid w:val="00091DAF"/>
    <w:rsid w:val="00092A18"/>
    <w:rsid w:val="00095313"/>
    <w:rsid w:val="000A0ABD"/>
    <w:rsid w:val="000A393A"/>
    <w:rsid w:val="000A3E86"/>
    <w:rsid w:val="000A5601"/>
    <w:rsid w:val="000A59C2"/>
    <w:rsid w:val="000A72CA"/>
    <w:rsid w:val="000B2AE7"/>
    <w:rsid w:val="000B3AD8"/>
    <w:rsid w:val="000B67FB"/>
    <w:rsid w:val="000C213A"/>
    <w:rsid w:val="000C3F81"/>
    <w:rsid w:val="000C40C2"/>
    <w:rsid w:val="000C5100"/>
    <w:rsid w:val="000C5EFA"/>
    <w:rsid w:val="000C6E78"/>
    <w:rsid w:val="000D0D83"/>
    <w:rsid w:val="000D1DD6"/>
    <w:rsid w:val="000D53B0"/>
    <w:rsid w:val="000D550E"/>
    <w:rsid w:val="000D6399"/>
    <w:rsid w:val="000E2AEC"/>
    <w:rsid w:val="000E47A9"/>
    <w:rsid w:val="000F1398"/>
    <w:rsid w:val="000F242C"/>
    <w:rsid w:val="000F2D4D"/>
    <w:rsid w:val="000F321C"/>
    <w:rsid w:val="000F4BED"/>
    <w:rsid w:val="000F6500"/>
    <w:rsid w:val="00100459"/>
    <w:rsid w:val="001005DE"/>
    <w:rsid w:val="00103264"/>
    <w:rsid w:val="00103995"/>
    <w:rsid w:val="00103EF9"/>
    <w:rsid w:val="00104543"/>
    <w:rsid w:val="00104702"/>
    <w:rsid w:val="00106727"/>
    <w:rsid w:val="00111D86"/>
    <w:rsid w:val="00112E7D"/>
    <w:rsid w:val="001130D5"/>
    <w:rsid w:val="001134D9"/>
    <w:rsid w:val="001151BA"/>
    <w:rsid w:val="001155E9"/>
    <w:rsid w:val="00115D3D"/>
    <w:rsid w:val="00120018"/>
    <w:rsid w:val="0012117C"/>
    <w:rsid w:val="00121488"/>
    <w:rsid w:val="0012370D"/>
    <w:rsid w:val="00123C8E"/>
    <w:rsid w:val="00127B79"/>
    <w:rsid w:val="00130D9F"/>
    <w:rsid w:val="00131070"/>
    <w:rsid w:val="00132901"/>
    <w:rsid w:val="00134896"/>
    <w:rsid w:val="00135C8D"/>
    <w:rsid w:val="00140705"/>
    <w:rsid w:val="001407F5"/>
    <w:rsid w:val="00140E7B"/>
    <w:rsid w:val="001417C6"/>
    <w:rsid w:val="00145405"/>
    <w:rsid w:val="001456AA"/>
    <w:rsid w:val="00145ACA"/>
    <w:rsid w:val="0015025D"/>
    <w:rsid w:val="001505A4"/>
    <w:rsid w:val="001526DA"/>
    <w:rsid w:val="00152ED9"/>
    <w:rsid w:val="0015453B"/>
    <w:rsid w:val="001546A6"/>
    <w:rsid w:val="001558AD"/>
    <w:rsid w:val="00157B55"/>
    <w:rsid w:val="001602A5"/>
    <w:rsid w:val="00160FA0"/>
    <w:rsid w:val="00162465"/>
    <w:rsid w:val="00163AD7"/>
    <w:rsid w:val="00164138"/>
    <w:rsid w:val="00164351"/>
    <w:rsid w:val="00164481"/>
    <w:rsid w:val="00164B20"/>
    <w:rsid w:val="00165EC6"/>
    <w:rsid w:val="00166874"/>
    <w:rsid w:val="00167418"/>
    <w:rsid w:val="00170EF3"/>
    <w:rsid w:val="001721BF"/>
    <w:rsid w:val="001723E2"/>
    <w:rsid w:val="0017245D"/>
    <w:rsid w:val="001732A1"/>
    <w:rsid w:val="00175013"/>
    <w:rsid w:val="00176CF7"/>
    <w:rsid w:val="00180087"/>
    <w:rsid w:val="001811B8"/>
    <w:rsid w:val="00181353"/>
    <w:rsid w:val="001819E0"/>
    <w:rsid w:val="001845A0"/>
    <w:rsid w:val="00184FE1"/>
    <w:rsid w:val="00185A48"/>
    <w:rsid w:val="001918E8"/>
    <w:rsid w:val="00191AC5"/>
    <w:rsid w:val="00193399"/>
    <w:rsid w:val="0019544A"/>
    <w:rsid w:val="001A4418"/>
    <w:rsid w:val="001A5D65"/>
    <w:rsid w:val="001B29B2"/>
    <w:rsid w:val="001B42FA"/>
    <w:rsid w:val="001B5DB4"/>
    <w:rsid w:val="001C0461"/>
    <w:rsid w:val="001C4235"/>
    <w:rsid w:val="001D1825"/>
    <w:rsid w:val="001D1B28"/>
    <w:rsid w:val="001D2E9D"/>
    <w:rsid w:val="001D2ED9"/>
    <w:rsid w:val="001D3DB0"/>
    <w:rsid w:val="001D4079"/>
    <w:rsid w:val="001D4B5E"/>
    <w:rsid w:val="001D5436"/>
    <w:rsid w:val="001D69DB"/>
    <w:rsid w:val="001D6BF3"/>
    <w:rsid w:val="001D740B"/>
    <w:rsid w:val="001D7AE8"/>
    <w:rsid w:val="001E0515"/>
    <w:rsid w:val="001E0C3F"/>
    <w:rsid w:val="001E245D"/>
    <w:rsid w:val="001E4CCE"/>
    <w:rsid w:val="001E56EF"/>
    <w:rsid w:val="001F33C6"/>
    <w:rsid w:val="001F6609"/>
    <w:rsid w:val="001F7609"/>
    <w:rsid w:val="00204924"/>
    <w:rsid w:val="00206A89"/>
    <w:rsid w:val="0020723D"/>
    <w:rsid w:val="002076C9"/>
    <w:rsid w:val="00210D20"/>
    <w:rsid w:val="00211292"/>
    <w:rsid w:val="00215EAF"/>
    <w:rsid w:val="002161ED"/>
    <w:rsid w:val="0021661E"/>
    <w:rsid w:val="0022011E"/>
    <w:rsid w:val="0022254E"/>
    <w:rsid w:val="00222AA8"/>
    <w:rsid w:val="00223BF8"/>
    <w:rsid w:val="00224A36"/>
    <w:rsid w:val="00225B22"/>
    <w:rsid w:val="00225C53"/>
    <w:rsid w:val="00234922"/>
    <w:rsid w:val="00237151"/>
    <w:rsid w:val="00240143"/>
    <w:rsid w:val="00242635"/>
    <w:rsid w:val="00243003"/>
    <w:rsid w:val="00244647"/>
    <w:rsid w:val="00244695"/>
    <w:rsid w:val="002446A7"/>
    <w:rsid w:val="00246180"/>
    <w:rsid w:val="00246FF6"/>
    <w:rsid w:val="00250C77"/>
    <w:rsid w:val="00251EBC"/>
    <w:rsid w:val="002567E4"/>
    <w:rsid w:val="00260FA9"/>
    <w:rsid w:val="00262B36"/>
    <w:rsid w:val="002638CB"/>
    <w:rsid w:val="00273CDD"/>
    <w:rsid w:val="00275418"/>
    <w:rsid w:val="00275673"/>
    <w:rsid w:val="002759A8"/>
    <w:rsid w:val="00277CF8"/>
    <w:rsid w:val="00277E47"/>
    <w:rsid w:val="00282951"/>
    <w:rsid w:val="00283B48"/>
    <w:rsid w:val="00286B29"/>
    <w:rsid w:val="0029264F"/>
    <w:rsid w:val="00297EC6"/>
    <w:rsid w:val="002A33D5"/>
    <w:rsid w:val="002A3B92"/>
    <w:rsid w:val="002B11BB"/>
    <w:rsid w:val="002B1B50"/>
    <w:rsid w:val="002B3419"/>
    <w:rsid w:val="002B3A66"/>
    <w:rsid w:val="002B4426"/>
    <w:rsid w:val="002B56CD"/>
    <w:rsid w:val="002C0883"/>
    <w:rsid w:val="002C0A54"/>
    <w:rsid w:val="002C0B3A"/>
    <w:rsid w:val="002C45CD"/>
    <w:rsid w:val="002C5A1A"/>
    <w:rsid w:val="002C5D88"/>
    <w:rsid w:val="002C6CC8"/>
    <w:rsid w:val="002C7012"/>
    <w:rsid w:val="002D05D9"/>
    <w:rsid w:val="002D758E"/>
    <w:rsid w:val="002E05FD"/>
    <w:rsid w:val="002E2DB9"/>
    <w:rsid w:val="002E3416"/>
    <w:rsid w:val="002E346C"/>
    <w:rsid w:val="002E5777"/>
    <w:rsid w:val="002E5D2C"/>
    <w:rsid w:val="002E60D8"/>
    <w:rsid w:val="002E6C8B"/>
    <w:rsid w:val="002F1279"/>
    <w:rsid w:val="002F55C2"/>
    <w:rsid w:val="002F6D16"/>
    <w:rsid w:val="00300333"/>
    <w:rsid w:val="00305761"/>
    <w:rsid w:val="003105ED"/>
    <w:rsid w:val="003127AC"/>
    <w:rsid w:val="00312AD7"/>
    <w:rsid w:val="003163CB"/>
    <w:rsid w:val="00317541"/>
    <w:rsid w:val="00317730"/>
    <w:rsid w:val="00320D14"/>
    <w:rsid w:val="00324849"/>
    <w:rsid w:val="003253B1"/>
    <w:rsid w:val="00326175"/>
    <w:rsid w:val="00326AC8"/>
    <w:rsid w:val="0032711A"/>
    <w:rsid w:val="0033094F"/>
    <w:rsid w:val="003378EA"/>
    <w:rsid w:val="0034180A"/>
    <w:rsid w:val="003423C1"/>
    <w:rsid w:val="00342D0C"/>
    <w:rsid w:val="00343D02"/>
    <w:rsid w:val="003459B2"/>
    <w:rsid w:val="00346504"/>
    <w:rsid w:val="0034759C"/>
    <w:rsid w:val="003500CD"/>
    <w:rsid w:val="00350DF8"/>
    <w:rsid w:val="00352F8C"/>
    <w:rsid w:val="00353B1B"/>
    <w:rsid w:val="00354E4E"/>
    <w:rsid w:val="00355D80"/>
    <w:rsid w:val="00355DE8"/>
    <w:rsid w:val="00357799"/>
    <w:rsid w:val="00360410"/>
    <w:rsid w:val="00360F2A"/>
    <w:rsid w:val="00361C62"/>
    <w:rsid w:val="0036275A"/>
    <w:rsid w:val="00363817"/>
    <w:rsid w:val="00364090"/>
    <w:rsid w:val="003647E7"/>
    <w:rsid w:val="00364837"/>
    <w:rsid w:val="00367248"/>
    <w:rsid w:val="00370AF6"/>
    <w:rsid w:val="00371330"/>
    <w:rsid w:val="00371D25"/>
    <w:rsid w:val="003735FF"/>
    <w:rsid w:val="0037573F"/>
    <w:rsid w:val="003767AB"/>
    <w:rsid w:val="00381E4B"/>
    <w:rsid w:val="003829CD"/>
    <w:rsid w:val="00383E4E"/>
    <w:rsid w:val="00385987"/>
    <w:rsid w:val="00386F37"/>
    <w:rsid w:val="00393CAA"/>
    <w:rsid w:val="0039405D"/>
    <w:rsid w:val="00394C1A"/>
    <w:rsid w:val="00395790"/>
    <w:rsid w:val="00395AD8"/>
    <w:rsid w:val="00396525"/>
    <w:rsid w:val="00397DAA"/>
    <w:rsid w:val="003A08CF"/>
    <w:rsid w:val="003A0E1E"/>
    <w:rsid w:val="003A124F"/>
    <w:rsid w:val="003A1261"/>
    <w:rsid w:val="003A2396"/>
    <w:rsid w:val="003A3491"/>
    <w:rsid w:val="003A6C28"/>
    <w:rsid w:val="003B078F"/>
    <w:rsid w:val="003B0CB9"/>
    <w:rsid w:val="003B10C1"/>
    <w:rsid w:val="003B13DB"/>
    <w:rsid w:val="003B3CA3"/>
    <w:rsid w:val="003B4F57"/>
    <w:rsid w:val="003B5405"/>
    <w:rsid w:val="003B631B"/>
    <w:rsid w:val="003C0B05"/>
    <w:rsid w:val="003C0FF1"/>
    <w:rsid w:val="003C1CA4"/>
    <w:rsid w:val="003C5CBB"/>
    <w:rsid w:val="003C6055"/>
    <w:rsid w:val="003C6CB5"/>
    <w:rsid w:val="003C6D54"/>
    <w:rsid w:val="003D0E7B"/>
    <w:rsid w:val="003D0FEA"/>
    <w:rsid w:val="003D19AB"/>
    <w:rsid w:val="003D3FAB"/>
    <w:rsid w:val="003D6539"/>
    <w:rsid w:val="003D66EC"/>
    <w:rsid w:val="003D743E"/>
    <w:rsid w:val="003D7A86"/>
    <w:rsid w:val="003E08AD"/>
    <w:rsid w:val="003E0DB9"/>
    <w:rsid w:val="003E0E22"/>
    <w:rsid w:val="003E147A"/>
    <w:rsid w:val="003E1CC4"/>
    <w:rsid w:val="003E44D2"/>
    <w:rsid w:val="003E615F"/>
    <w:rsid w:val="003E6348"/>
    <w:rsid w:val="003E7334"/>
    <w:rsid w:val="003F0FB8"/>
    <w:rsid w:val="003F26CB"/>
    <w:rsid w:val="003F37BD"/>
    <w:rsid w:val="003F3B19"/>
    <w:rsid w:val="003F4D86"/>
    <w:rsid w:val="004008DD"/>
    <w:rsid w:val="00401174"/>
    <w:rsid w:val="00402759"/>
    <w:rsid w:val="0040505C"/>
    <w:rsid w:val="004054B8"/>
    <w:rsid w:val="00412F54"/>
    <w:rsid w:val="00413D62"/>
    <w:rsid w:val="00416B21"/>
    <w:rsid w:val="0041707F"/>
    <w:rsid w:val="004176EA"/>
    <w:rsid w:val="00417B99"/>
    <w:rsid w:val="00422FEF"/>
    <w:rsid w:val="00423A78"/>
    <w:rsid w:val="0042493C"/>
    <w:rsid w:val="004260A4"/>
    <w:rsid w:val="0042630D"/>
    <w:rsid w:val="00426481"/>
    <w:rsid w:val="00426E8A"/>
    <w:rsid w:val="004312BC"/>
    <w:rsid w:val="00431F59"/>
    <w:rsid w:val="0043252B"/>
    <w:rsid w:val="00432A6E"/>
    <w:rsid w:val="00433BB2"/>
    <w:rsid w:val="00440828"/>
    <w:rsid w:val="00440896"/>
    <w:rsid w:val="00440C4B"/>
    <w:rsid w:val="00446A90"/>
    <w:rsid w:val="00450705"/>
    <w:rsid w:val="00451E19"/>
    <w:rsid w:val="00452DDD"/>
    <w:rsid w:val="00453C83"/>
    <w:rsid w:val="0045481F"/>
    <w:rsid w:val="00456311"/>
    <w:rsid w:val="00457FD6"/>
    <w:rsid w:val="0046059C"/>
    <w:rsid w:val="0046239B"/>
    <w:rsid w:val="00463947"/>
    <w:rsid w:val="0046727E"/>
    <w:rsid w:val="00470437"/>
    <w:rsid w:val="00473EAF"/>
    <w:rsid w:val="00475D65"/>
    <w:rsid w:val="00477052"/>
    <w:rsid w:val="004770CE"/>
    <w:rsid w:val="004773B9"/>
    <w:rsid w:val="0048075E"/>
    <w:rsid w:val="004826C4"/>
    <w:rsid w:val="00483774"/>
    <w:rsid w:val="004850DB"/>
    <w:rsid w:val="004851B1"/>
    <w:rsid w:val="00487851"/>
    <w:rsid w:val="00490E11"/>
    <w:rsid w:val="0049178E"/>
    <w:rsid w:val="00493966"/>
    <w:rsid w:val="00496C12"/>
    <w:rsid w:val="004A238E"/>
    <w:rsid w:val="004A4BDC"/>
    <w:rsid w:val="004A63A4"/>
    <w:rsid w:val="004B0363"/>
    <w:rsid w:val="004B0F0B"/>
    <w:rsid w:val="004B2958"/>
    <w:rsid w:val="004B7B4D"/>
    <w:rsid w:val="004C0ACA"/>
    <w:rsid w:val="004C0AD7"/>
    <w:rsid w:val="004C260C"/>
    <w:rsid w:val="004C33C2"/>
    <w:rsid w:val="004C4E65"/>
    <w:rsid w:val="004C5177"/>
    <w:rsid w:val="004C789C"/>
    <w:rsid w:val="004D0378"/>
    <w:rsid w:val="004D21C7"/>
    <w:rsid w:val="004D3DBD"/>
    <w:rsid w:val="004E198B"/>
    <w:rsid w:val="004E216A"/>
    <w:rsid w:val="004E4228"/>
    <w:rsid w:val="004E6DE3"/>
    <w:rsid w:val="004F263A"/>
    <w:rsid w:val="004F3A96"/>
    <w:rsid w:val="004F471E"/>
    <w:rsid w:val="004F4E17"/>
    <w:rsid w:val="004F7D52"/>
    <w:rsid w:val="005005D4"/>
    <w:rsid w:val="005011C1"/>
    <w:rsid w:val="00503082"/>
    <w:rsid w:val="00504EF9"/>
    <w:rsid w:val="005075D4"/>
    <w:rsid w:val="005115BF"/>
    <w:rsid w:val="00511D5D"/>
    <w:rsid w:val="00511F88"/>
    <w:rsid w:val="00512579"/>
    <w:rsid w:val="0051490B"/>
    <w:rsid w:val="00514BDC"/>
    <w:rsid w:val="005153C1"/>
    <w:rsid w:val="005172F3"/>
    <w:rsid w:val="00517644"/>
    <w:rsid w:val="005203FA"/>
    <w:rsid w:val="00520BB6"/>
    <w:rsid w:val="005252BD"/>
    <w:rsid w:val="005254AB"/>
    <w:rsid w:val="0052768D"/>
    <w:rsid w:val="005339F3"/>
    <w:rsid w:val="0053497C"/>
    <w:rsid w:val="00537502"/>
    <w:rsid w:val="005403B2"/>
    <w:rsid w:val="005511E3"/>
    <w:rsid w:val="00553E21"/>
    <w:rsid w:val="00554BCC"/>
    <w:rsid w:val="00557958"/>
    <w:rsid w:val="0056719B"/>
    <w:rsid w:val="005671BC"/>
    <w:rsid w:val="00567FC1"/>
    <w:rsid w:val="00573FE3"/>
    <w:rsid w:val="00574941"/>
    <w:rsid w:val="00575DBD"/>
    <w:rsid w:val="00576247"/>
    <w:rsid w:val="0057785C"/>
    <w:rsid w:val="0058018E"/>
    <w:rsid w:val="00580696"/>
    <w:rsid w:val="00580DC7"/>
    <w:rsid w:val="00581412"/>
    <w:rsid w:val="00582050"/>
    <w:rsid w:val="00584C3E"/>
    <w:rsid w:val="00585FB4"/>
    <w:rsid w:val="00586F4C"/>
    <w:rsid w:val="005928F2"/>
    <w:rsid w:val="00592C32"/>
    <w:rsid w:val="00594104"/>
    <w:rsid w:val="00594157"/>
    <w:rsid w:val="00594FED"/>
    <w:rsid w:val="00595FE0"/>
    <w:rsid w:val="005962AA"/>
    <w:rsid w:val="005A1986"/>
    <w:rsid w:val="005A415C"/>
    <w:rsid w:val="005A4414"/>
    <w:rsid w:val="005A47BC"/>
    <w:rsid w:val="005A4AD1"/>
    <w:rsid w:val="005A6104"/>
    <w:rsid w:val="005A66A4"/>
    <w:rsid w:val="005A7821"/>
    <w:rsid w:val="005B1072"/>
    <w:rsid w:val="005B10EB"/>
    <w:rsid w:val="005B39ED"/>
    <w:rsid w:val="005B5BF9"/>
    <w:rsid w:val="005C0624"/>
    <w:rsid w:val="005C3B72"/>
    <w:rsid w:val="005C4EBE"/>
    <w:rsid w:val="005C5A97"/>
    <w:rsid w:val="005C684C"/>
    <w:rsid w:val="005C699C"/>
    <w:rsid w:val="005D14B4"/>
    <w:rsid w:val="005D1B6E"/>
    <w:rsid w:val="005D2509"/>
    <w:rsid w:val="005D2956"/>
    <w:rsid w:val="005D2A8E"/>
    <w:rsid w:val="005E0769"/>
    <w:rsid w:val="005E29A4"/>
    <w:rsid w:val="005E3B72"/>
    <w:rsid w:val="005E4DB6"/>
    <w:rsid w:val="005F37CD"/>
    <w:rsid w:val="005F3BFB"/>
    <w:rsid w:val="005F4838"/>
    <w:rsid w:val="005F4CDB"/>
    <w:rsid w:val="005F59C0"/>
    <w:rsid w:val="005F7288"/>
    <w:rsid w:val="0060070F"/>
    <w:rsid w:val="006017FE"/>
    <w:rsid w:val="006019EF"/>
    <w:rsid w:val="00601A72"/>
    <w:rsid w:val="00601B6B"/>
    <w:rsid w:val="00601FF7"/>
    <w:rsid w:val="006037B8"/>
    <w:rsid w:val="00604222"/>
    <w:rsid w:val="00604F34"/>
    <w:rsid w:val="00604F6F"/>
    <w:rsid w:val="00610746"/>
    <w:rsid w:val="0061213E"/>
    <w:rsid w:val="0061326C"/>
    <w:rsid w:val="00613BF3"/>
    <w:rsid w:val="00615F33"/>
    <w:rsid w:val="006172CA"/>
    <w:rsid w:val="0062050A"/>
    <w:rsid w:val="00621205"/>
    <w:rsid w:val="00621B5B"/>
    <w:rsid w:val="00622A0A"/>
    <w:rsid w:val="00624C6E"/>
    <w:rsid w:val="006267C6"/>
    <w:rsid w:val="00627CE5"/>
    <w:rsid w:val="00635773"/>
    <w:rsid w:val="006366E2"/>
    <w:rsid w:val="006414FB"/>
    <w:rsid w:val="0065198A"/>
    <w:rsid w:val="00651C4E"/>
    <w:rsid w:val="00652E64"/>
    <w:rsid w:val="00653FBC"/>
    <w:rsid w:val="00654CC9"/>
    <w:rsid w:val="0065782E"/>
    <w:rsid w:val="00663970"/>
    <w:rsid w:val="00663DD3"/>
    <w:rsid w:val="0066650B"/>
    <w:rsid w:val="00670138"/>
    <w:rsid w:val="00670357"/>
    <w:rsid w:val="0067073A"/>
    <w:rsid w:val="006751EA"/>
    <w:rsid w:val="006764C6"/>
    <w:rsid w:val="0067792D"/>
    <w:rsid w:val="00677CBD"/>
    <w:rsid w:val="00680946"/>
    <w:rsid w:val="0068172F"/>
    <w:rsid w:val="0068186E"/>
    <w:rsid w:val="00681FB9"/>
    <w:rsid w:val="00682A0E"/>
    <w:rsid w:val="006848E4"/>
    <w:rsid w:val="006863E1"/>
    <w:rsid w:val="00686E09"/>
    <w:rsid w:val="006875C2"/>
    <w:rsid w:val="00687EAB"/>
    <w:rsid w:val="00690AD3"/>
    <w:rsid w:val="00693F48"/>
    <w:rsid w:val="006A040B"/>
    <w:rsid w:val="006A1DAA"/>
    <w:rsid w:val="006A30E2"/>
    <w:rsid w:val="006A5EEE"/>
    <w:rsid w:val="006A69E5"/>
    <w:rsid w:val="006B0737"/>
    <w:rsid w:val="006B299A"/>
    <w:rsid w:val="006B2C8E"/>
    <w:rsid w:val="006B480F"/>
    <w:rsid w:val="006C0575"/>
    <w:rsid w:val="006C0A67"/>
    <w:rsid w:val="006C19DE"/>
    <w:rsid w:val="006C1CE0"/>
    <w:rsid w:val="006C2377"/>
    <w:rsid w:val="006C28AD"/>
    <w:rsid w:val="006C2E39"/>
    <w:rsid w:val="006C2EF0"/>
    <w:rsid w:val="006D0F30"/>
    <w:rsid w:val="006D219D"/>
    <w:rsid w:val="006D31AB"/>
    <w:rsid w:val="006D73AB"/>
    <w:rsid w:val="006E18F3"/>
    <w:rsid w:val="006E205E"/>
    <w:rsid w:val="006E2295"/>
    <w:rsid w:val="006E30E9"/>
    <w:rsid w:val="006E431D"/>
    <w:rsid w:val="006E483C"/>
    <w:rsid w:val="006E60A3"/>
    <w:rsid w:val="006E6B9A"/>
    <w:rsid w:val="006F056C"/>
    <w:rsid w:val="006F1E2F"/>
    <w:rsid w:val="006F21EF"/>
    <w:rsid w:val="006F2577"/>
    <w:rsid w:val="006F26BC"/>
    <w:rsid w:val="006F3017"/>
    <w:rsid w:val="006F3ABC"/>
    <w:rsid w:val="006F53E6"/>
    <w:rsid w:val="00702EB9"/>
    <w:rsid w:val="0070524F"/>
    <w:rsid w:val="007106AD"/>
    <w:rsid w:val="00710FEC"/>
    <w:rsid w:val="00712D24"/>
    <w:rsid w:val="00716DFB"/>
    <w:rsid w:val="00720897"/>
    <w:rsid w:val="00720C56"/>
    <w:rsid w:val="00721D45"/>
    <w:rsid w:val="00722829"/>
    <w:rsid w:val="007228B2"/>
    <w:rsid w:val="0072394D"/>
    <w:rsid w:val="0072553E"/>
    <w:rsid w:val="00733F33"/>
    <w:rsid w:val="0073661A"/>
    <w:rsid w:val="00736FFF"/>
    <w:rsid w:val="007406B9"/>
    <w:rsid w:val="00741017"/>
    <w:rsid w:val="00742A03"/>
    <w:rsid w:val="007432C3"/>
    <w:rsid w:val="00743895"/>
    <w:rsid w:val="0074407C"/>
    <w:rsid w:val="007512BD"/>
    <w:rsid w:val="00751609"/>
    <w:rsid w:val="007517DD"/>
    <w:rsid w:val="007517F3"/>
    <w:rsid w:val="00751C1E"/>
    <w:rsid w:val="00751FA0"/>
    <w:rsid w:val="00752C6A"/>
    <w:rsid w:val="0075386D"/>
    <w:rsid w:val="00754FE9"/>
    <w:rsid w:val="007560C8"/>
    <w:rsid w:val="00756C62"/>
    <w:rsid w:val="007637AE"/>
    <w:rsid w:val="007637E8"/>
    <w:rsid w:val="0076666E"/>
    <w:rsid w:val="00766D39"/>
    <w:rsid w:val="0076788E"/>
    <w:rsid w:val="00767FAE"/>
    <w:rsid w:val="00770880"/>
    <w:rsid w:val="007722E3"/>
    <w:rsid w:val="00772D81"/>
    <w:rsid w:val="00774111"/>
    <w:rsid w:val="00774A93"/>
    <w:rsid w:val="00776054"/>
    <w:rsid w:val="00777104"/>
    <w:rsid w:val="0078320D"/>
    <w:rsid w:val="007857E0"/>
    <w:rsid w:val="007861FD"/>
    <w:rsid w:val="00786BAC"/>
    <w:rsid w:val="00790720"/>
    <w:rsid w:val="00791125"/>
    <w:rsid w:val="00792741"/>
    <w:rsid w:val="00794794"/>
    <w:rsid w:val="00795C39"/>
    <w:rsid w:val="00795C67"/>
    <w:rsid w:val="0079770D"/>
    <w:rsid w:val="00797BC9"/>
    <w:rsid w:val="007A0951"/>
    <w:rsid w:val="007A10B5"/>
    <w:rsid w:val="007A160C"/>
    <w:rsid w:val="007A431C"/>
    <w:rsid w:val="007A4340"/>
    <w:rsid w:val="007A4E99"/>
    <w:rsid w:val="007A688C"/>
    <w:rsid w:val="007B2573"/>
    <w:rsid w:val="007B406F"/>
    <w:rsid w:val="007B6DF6"/>
    <w:rsid w:val="007C1432"/>
    <w:rsid w:val="007C4781"/>
    <w:rsid w:val="007C6A3A"/>
    <w:rsid w:val="007C7D54"/>
    <w:rsid w:val="007D073E"/>
    <w:rsid w:val="007D0BAB"/>
    <w:rsid w:val="007D0BE9"/>
    <w:rsid w:val="007D0F77"/>
    <w:rsid w:val="007D17B7"/>
    <w:rsid w:val="007D201F"/>
    <w:rsid w:val="007D20E6"/>
    <w:rsid w:val="007D27DD"/>
    <w:rsid w:val="007D457F"/>
    <w:rsid w:val="007D48C3"/>
    <w:rsid w:val="007D496C"/>
    <w:rsid w:val="007D4F1E"/>
    <w:rsid w:val="007D5D1F"/>
    <w:rsid w:val="007D7B1E"/>
    <w:rsid w:val="007D7F57"/>
    <w:rsid w:val="007E1579"/>
    <w:rsid w:val="007E333E"/>
    <w:rsid w:val="007E613C"/>
    <w:rsid w:val="007F2013"/>
    <w:rsid w:val="007F2995"/>
    <w:rsid w:val="007F399E"/>
    <w:rsid w:val="007F6312"/>
    <w:rsid w:val="0080049E"/>
    <w:rsid w:val="008021AD"/>
    <w:rsid w:val="008024D1"/>
    <w:rsid w:val="00802FF1"/>
    <w:rsid w:val="008063A3"/>
    <w:rsid w:val="0080670D"/>
    <w:rsid w:val="00807107"/>
    <w:rsid w:val="00812166"/>
    <w:rsid w:val="00814B6F"/>
    <w:rsid w:val="008219EF"/>
    <w:rsid w:val="008223DC"/>
    <w:rsid w:val="00823842"/>
    <w:rsid w:val="00824BC5"/>
    <w:rsid w:val="00832795"/>
    <w:rsid w:val="00834B40"/>
    <w:rsid w:val="00836AAC"/>
    <w:rsid w:val="008378DF"/>
    <w:rsid w:val="0084163B"/>
    <w:rsid w:val="0084232B"/>
    <w:rsid w:val="008456D2"/>
    <w:rsid w:val="008461AB"/>
    <w:rsid w:val="008537CD"/>
    <w:rsid w:val="008609DE"/>
    <w:rsid w:val="00861379"/>
    <w:rsid w:val="008640FD"/>
    <w:rsid w:val="0086501F"/>
    <w:rsid w:val="00870535"/>
    <w:rsid w:val="008732DB"/>
    <w:rsid w:val="0087565C"/>
    <w:rsid w:val="0088058B"/>
    <w:rsid w:val="00881967"/>
    <w:rsid w:val="00882316"/>
    <w:rsid w:val="00882C75"/>
    <w:rsid w:val="008967E5"/>
    <w:rsid w:val="00897352"/>
    <w:rsid w:val="00897A8D"/>
    <w:rsid w:val="008A52C9"/>
    <w:rsid w:val="008A53F9"/>
    <w:rsid w:val="008A549C"/>
    <w:rsid w:val="008A789C"/>
    <w:rsid w:val="008B02EC"/>
    <w:rsid w:val="008B256E"/>
    <w:rsid w:val="008B29B9"/>
    <w:rsid w:val="008B4806"/>
    <w:rsid w:val="008B59DE"/>
    <w:rsid w:val="008B672C"/>
    <w:rsid w:val="008C0400"/>
    <w:rsid w:val="008C083E"/>
    <w:rsid w:val="008C397D"/>
    <w:rsid w:val="008C5909"/>
    <w:rsid w:val="008C67A6"/>
    <w:rsid w:val="008D0AC5"/>
    <w:rsid w:val="008D1C71"/>
    <w:rsid w:val="008D4098"/>
    <w:rsid w:val="008D48CA"/>
    <w:rsid w:val="008D6134"/>
    <w:rsid w:val="008D6841"/>
    <w:rsid w:val="008D6F78"/>
    <w:rsid w:val="008D7910"/>
    <w:rsid w:val="008D7D02"/>
    <w:rsid w:val="008E2B1C"/>
    <w:rsid w:val="008E5FF8"/>
    <w:rsid w:val="008F1D83"/>
    <w:rsid w:val="008F23B5"/>
    <w:rsid w:val="008F2F01"/>
    <w:rsid w:val="008F5966"/>
    <w:rsid w:val="008F6B6C"/>
    <w:rsid w:val="008F6ED6"/>
    <w:rsid w:val="008F7887"/>
    <w:rsid w:val="008F7D0C"/>
    <w:rsid w:val="00901A30"/>
    <w:rsid w:val="009022FC"/>
    <w:rsid w:val="00902D15"/>
    <w:rsid w:val="00903009"/>
    <w:rsid w:val="009050CA"/>
    <w:rsid w:val="009079B1"/>
    <w:rsid w:val="009120B8"/>
    <w:rsid w:val="00913052"/>
    <w:rsid w:val="00914173"/>
    <w:rsid w:val="009147A6"/>
    <w:rsid w:val="00914E23"/>
    <w:rsid w:val="009210BC"/>
    <w:rsid w:val="0092460D"/>
    <w:rsid w:val="00924727"/>
    <w:rsid w:val="00925EFB"/>
    <w:rsid w:val="00930109"/>
    <w:rsid w:val="0093041D"/>
    <w:rsid w:val="0093042F"/>
    <w:rsid w:val="0093076A"/>
    <w:rsid w:val="00931E97"/>
    <w:rsid w:val="009340BC"/>
    <w:rsid w:val="0093541E"/>
    <w:rsid w:val="00936673"/>
    <w:rsid w:val="00937AFA"/>
    <w:rsid w:val="00942E76"/>
    <w:rsid w:val="009460D3"/>
    <w:rsid w:val="00947728"/>
    <w:rsid w:val="00951D15"/>
    <w:rsid w:val="00955FDA"/>
    <w:rsid w:val="0095733D"/>
    <w:rsid w:val="009605A7"/>
    <w:rsid w:val="00962A79"/>
    <w:rsid w:val="009665B6"/>
    <w:rsid w:val="00971E50"/>
    <w:rsid w:val="00972336"/>
    <w:rsid w:val="0097259E"/>
    <w:rsid w:val="00972966"/>
    <w:rsid w:val="00972E2A"/>
    <w:rsid w:val="00974035"/>
    <w:rsid w:val="00976E43"/>
    <w:rsid w:val="00982480"/>
    <w:rsid w:val="00983B1C"/>
    <w:rsid w:val="00983E20"/>
    <w:rsid w:val="009842DA"/>
    <w:rsid w:val="00984A2D"/>
    <w:rsid w:val="00986DF1"/>
    <w:rsid w:val="00987DA1"/>
    <w:rsid w:val="00990017"/>
    <w:rsid w:val="00990F69"/>
    <w:rsid w:val="00991530"/>
    <w:rsid w:val="009934EF"/>
    <w:rsid w:val="00993556"/>
    <w:rsid w:val="009945D8"/>
    <w:rsid w:val="00994AF0"/>
    <w:rsid w:val="0099502A"/>
    <w:rsid w:val="009A53EE"/>
    <w:rsid w:val="009A6FBD"/>
    <w:rsid w:val="009A7262"/>
    <w:rsid w:val="009B2A92"/>
    <w:rsid w:val="009B509E"/>
    <w:rsid w:val="009C3182"/>
    <w:rsid w:val="009C3618"/>
    <w:rsid w:val="009C3E38"/>
    <w:rsid w:val="009C6CE3"/>
    <w:rsid w:val="009C7CD7"/>
    <w:rsid w:val="009D06E4"/>
    <w:rsid w:val="009D3A7A"/>
    <w:rsid w:val="009D46FE"/>
    <w:rsid w:val="009D6B46"/>
    <w:rsid w:val="009D79CD"/>
    <w:rsid w:val="009E0CA5"/>
    <w:rsid w:val="009E0CAB"/>
    <w:rsid w:val="009E10F2"/>
    <w:rsid w:val="009E1411"/>
    <w:rsid w:val="009E34A0"/>
    <w:rsid w:val="009E370D"/>
    <w:rsid w:val="009E4858"/>
    <w:rsid w:val="009E7BA6"/>
    <w:rsid w:val="009F3710"/>
    <w:rsid w:val="009F5BCF"/>
    <w:rsid w:val="00A014C8"/>
    <w:rsid w:val="00A02161"/>
    <w:rsid w:val="00A06230"/>
    <w:rsid w:val="00A0692E"/>
    <w:rsid w:val="00A07FA4"/>
    <w:rsid w:val="00A10182"/>
    <w:rsid w:val="00A142AC"/>
    <w:rsid w:val="00A232AE"/>
    <w:rsid w:val="00A25111"/>
    <w:rsid w:val="00A25CD6"/>
    <w:rsid w:val="00A314A0"/>
    <w:rsid w:val="00A31D89"/>
    <w:rsid w:val="00A4002A"/>
    <w:rsid w:val="00A4096B"/>
    <w:rsid w:val="00A40BD6"/>
    <w:rsid w:val="00A40FE0"/>
    <w:rsid w:val="00A4179C"/>
    <w:rsid w:val="00A41FD9"/>
    <w:rsid w:val="00A426A5"/>
    <w:rsid w:val="00A441E0"/>
    <w:rsid w:val="00A44B98"/>
    <w:rsid w:val="00A45158"/>
    <w:rsid w:val="00A5200A"/>
    <w:rsid w:val="00A52147"/>
    <w:rsid w:val="00A53135"/>
    <w:rsid w:val="00A5371B"/>
    <w:rsid w:val="00A57849"/>
    <w:rsid w:val="00A6502E"/>
    <w:rsid w:val="00A701A7"/>
    <w:rsid w:val="00A70B93"/>
    <w:rsid w:val="00A71F1E"/>
    <w:rsid w:val="00A722BB"/>
    <w:rsid w:val="00A733D6"/>
    <w:rsid w:val="00A74152"/>
    <w:rsid w:val="00A773F4"/>
    <w:rsid w:val="00A80ED3"/>
    <w:rsid w:val="00A8385E"/>
    <w:rsid w:val="00A85C6C"/>
    <w:rsid w:val="00A86007"/>
    <w:rsid w:val="00A87E3F"/>
    <w:rsid w:val="00A9213B"/>
    <w:rsid w:val="00A96E66"/>
    <w:rsid w:val="00A97C31"/>
    <w:rsid w:val="00A97EB0"/>
    <w:rsid w:val="00AA011E"/>
    <w:rsid w:val="00AA104E"/>
    <w:rsid w:val="00AA45CE"/>
    <w:rsid w:val="00AA539D"/>
    <w:rsid w:val="00AA5FAD"/>
    <w:rsid w:val="00AA623F"/>
    <w:rsid w:val="00AA7387"/>
    <w:rsid w:val="00AA75E0"/>
    <w:rsid w:val="00AB00E7"/>
    <w:rsid w:val="00AB0526"/>
    <w:rsid w:val="00AB0E74"/>
    <w:rsid w:val="00AB2F87"/>
    <w:rsid w:val="00AB50CF"/>
    <w:rsid w:val="00AB52AF"/>
    <w:rsid w:val="00AB5E25"/>
    <w:rsid w:val="00AB6929"/>
    <w:rsid w:val="00AC0AF8"/>
    <w:rsid w:val="00AC2C96"/>
    <w:rsid w:val="00AC30E2"/>
    <w:rsid w:val="00AC59DE"/>
    <w:rsid w:val="00AD086D"/>
    <w:rsid w:val="00AD5228"/>
    <w:rsid w:val="00AD54E4"/>
    <w:rsid w:val="00AE3E21"/>
    <w:rsid w:val="00AF1B61"/>
    <w:rsid w:val="00AF2BE1"/>
    <w:rsid w:val="00AF55E4"/>
    <w:rsid w:val="00AF7099"/>
    <w:rsid w:val="00B0043C"/>
    <w:rsid w:val="00B0410C"/>
    <w:rsid w:val="00B0461D"/>
    <w:rsid w:val="00B05969"/>
    <w:rsid w:val="00B103AC"/>
    <w:rsid w:val="00B12628"/>
    <w:rsid w:val="00B130E1"/>
    <w:rsid w:val="00B1336F"/>
    <w:rsid w:val="00B139E3"/>
    <w:rsid w:val="00B15A8A"/>
    <w:rsid w:val="00B22527"/>
    <w:rsid w:val="00B25730"/>
    <w:rsid w:val="00B25F8E"/>
    <w:rsid w:val="00B270AC"/>
    <w:rsid w:val="00B30DAE"/>
    <w:rsid w:val="00B35E48"/>
    <w:rsid w:val="00B411E7"/>
    <w:rsid w:val="00B50CCC"/>
    <w:rsid w:val="00B51122"/>
    <w:rsid w:val="00B51DD2"/>
    <w:rsid w:val="00B55A25"/>
    <w:rsid w:val="00B55C05"/>
    <w:rsid w:val="00B6141C"/>
    <w:rsid w:val="00B65EBC"/>
    <w:rsid w:val="00B6710B"/>
    <w:rsid w:val="00B6721C"/>
    <w:rsid w:val="00B677C1"/>
    <w:rsid w:val="00B70029"/>
    <w:rsid w:val="00B70D87"/>
    <w:rsid w:val="00B72156"/>
    <w:rsid w:val="00B72CD4"/>
    <w:rsid w:val="00B75FA2"/>
    <w:rsid w:val="00B764F4"/>
    <w:rsid w:val="00B81053"/>
    <w:rsid w:val="00B85ADC"/>
    <w:rsid w:val="00B866AF"/>
    <w:rsid w:val="00B86D37"/>
    <w:rsid w:val="00B901A8"/>
    <w:rsid w:val="00B907EE"/>
    <w:rsid w:val="00B91A30"/>
    <w:rsid w:val="00B923C8"/>
    <w:rsid w:val="00B9394D"/>
    <w:rsid w:val="00B953EF"/>
    <w:rsid w:val="00B97227"/>
    <w:rsid w:val="00B97B61"/>
    <w:rsid w:val="00BA224F"/>
    <w:rsid w:val="00BA62D6"/>
    <w:rsid w:val="00BA6A68"/>
    <w:rsid w:val="00BB1185"/>
    <w:rsid w:val="00BB2679"/>
    <w:rsid w:val="00BB4263"/>
    <w:rsid w:val="00BB51F7"/>
    <w:rsid w:val="00BB7FDC"/>
    <w:rsid w:val="00BC2416"/>
    <w:rsid w:val="00BC444E"/>
    <w:rsid w:val="00BC4E44"/>
    <w:rsid w:val="00BD39FA"/>
    <w:rsid w:val="00BD4814"/>
    <w:rsid w:val="00BD7466"/>
    <w:rsid w:val="00BE21EA"/>
    <w:rsid w:val="00BE4D1E"/>
    <w:rsid w:val="00BE4FE7"/>
    <w:rsid w:val="00BF134D"/>
    <w:rsid w:val="00BF15A3"/>
    <w:rsid w:val="00BF2DA8"/>
    <w:rsid w:val="00BF391C"/>
    <w:rsid w:val="00C007DC"/>
    <w:rsid w:val="00C01F8A"/>
    <w:rsid w:val="00C039FF"/>
    <w:rsid w:val="00C06697"/>
    <w:rsid w:val="00C14015"/>
    <w:rsid w:val="00C16BEB"/>
    <w:rsid w:val="00C220EF"/>
    <w:rsid w:val="00C22E6D"/>
    <w:rsid w:val="00C24ABD"/>
    <w:rsid w:val="00C24CF4"/>
    <w:rsid w:val="00C26726"/>
    <w:rsid w:val="00C269E9"/>
    <w:rsid w:val="00C26C81"/>
    <w:rsid w:val="00C30114"/>
    <w:rsid w:val="00C30A12"/>
    <w:rsid w:val="00C30C7B"/>
    <w:rsid w:val="00C354BD"/>
    <w:rsid w:val="00C361B9"/>
    <w:rsid w:val="00C36DD2"/>
    <w:rsid w:val="00C3732F"/>
    <w:rsid w:val="00C37ACE"/>
    <w:rsid w:val="00C40769"/>
    <w:rsid w:val="00C4094F"/>
    <w:rsid w:val="00C41DD5"/>
    <w:rsid w:val="00C42AC1"/>
    <w:rsid w:val="00C43622"/>
    <w:rsid w:val="00C53314"/>
    <w:rsid w:val="00C562F6"/>
    <w:rsid w:val="00C61572"/>
    <w:rsid w:val="00C62824"/>
    <w:rsid w:val="00C62AC4"/>
    <w:rsid w:val="00C6452C"/>
    <w:rsid w:val="00C700A2"/>
    <w:rsid w:val="00C70503"/>
    <w:rsid w:val="00C7217D"/>
    <w:rsid w:val="00C72335"/>
    <w:rsid w:val="00C73B08"/>
    <w:rsid w:val="00C74952"/>
    <w:rsid w:val="00C75359"/>
    <w:rsid w:val="00C820EF"/>
    <w:rsid w:val="00C85F4D"/>
    <w:rsid w:val="00C8624A"/>
    <w:rsid w:val="00C871B7"/>
    <w:rsid w:val="00C91D03"/>
    <w:rsid w:val="00C95930"/>
    <w:rsid w:val="00CA09EF"/>
    <w:rsid w:val="00CA39BC"/>
    <w:rsid w:val="00CA455C"/>
    <w:rsid w:val="00CB028C"/>
    <w:rsid w:val="00CB3AD1"/>
    <w:rsid w:val="00CB3B0A"/>
    <w:rsid w:val="00CB4DFD"/>
    <w:rsid w:val="00CB51F9"/>
    <w:rsid w:val="00CC0618"/>
    <w:rsid w:val="00CC2C01"/>
    <w:rsid w:val="00CC2F4D"/>
    <w:rsid w:val="00CC3680"/>
    <w:rsid w:val="00CC3D1A"/>
    <w:rsid w:val="00CC608D"/>
    <w:rsid w:val="00CC622D"/>
    <w:rsid w:val="00CD0B74"/>
    <w:rsid w:val="00CD13C7"/>
    <w:rsid w:val="00CE1C9B"/>
    <w:rsid w:val="00CE1F7A"/>
    <w:rsid w:val="00CE4783"/>
    <w:rsid w:val="00CE4DD6"/>
    <w:rsid w:val="00CE508C"/>
    <w:rsid w:val="00CE50C0"/>
    <w:rsid w:val="00CF15F5"/>
    <w:rsid w:val="00CF2761"/>
    <w:rsid w:val="00CF37A6"/>
    <w:rsid w:val="00CF4593"/>
    <w:rsid w:val="00CF4B01"/>
    <w:rsid w:val="00D0110A"/>
    <w:rsid w:val="00D0157F"/>
    <w:rsid w:val="00D01B17"/>
    <w:rsid w:val="00D01FA4"/>
    <w:rsid w:val="00D02D17"/>
    <w:rsid w:val="00D03CDC"/>
    <w:rsid w:val="00D04468"/>
    <w:rsid w:val="00D04DE6"/>
    <w:rsid w:val="00D10E98"/>
    <w:rsid w:val="00D133F5"/>
    <w:rsid w:val="00D16252"/>
    <w:rsid w:val="00D167DD"/>
    <w:rsid w:val="00D203E4"/>
    <w:rsid w:val="00D21F6E"/>
    <w:rsid w:val="00D22D3C"/>
    <w:rsid w:val="00D23742"/>
    <w:rsid w:val="00D23CAB"/>
    <w:rsid w:val="00D248CF"/>
    <w:rsid w:val="00D2576A"/>
    <w:rsid w:val="00D27835"/>
    <w:rsid w:val="00D27BE6"/>
    <w:rsid w:val="00D319E6"/>
    <w:rsid w:val="00D33048"/>
    <w:rsid w:val="00D407CD"/>
    <w:rsid w:val="00D45B73"/>
    <w:rsid w:val="00D469FD"/>
    <w:rsid w:val="00D5068D"/>
    <w:rsid w:val="00D53CE4"/>
    <w:rsid w:val="00D62026"/>
    <w:rsid w:val="00D63628"/>
    <w:rsid w:val="00D64328"/>
    <w:rsid w:val="00D70448"/>
    <w:rsid w:val="00D72680"/>
    <w:rsid w:val="00D74FCC"/>
    <w:rsid w:val="00D771F3"/>
    <w:rsid w:val="00D775AA"/>
    <w:rsid w:val="00D952BA"/>
    <w:rsid w:val="00D96007"/>
    <w:rsid w:val="00DA07BE"/>
    <w:rsid w:val="00DA23D8"/>
    <w:rsid w:val="00DB4474"/>
    <w:rsid w:val="00DB5D7C"/>
    <w:rsid w:val="00DB66A5"/>
    <w:rsid w:val="00DB7D23"/>
    <w:rsid w:val="00DC078D"/>
    <w:rsid w:val="00DC0E8C"/>
    <w:rsid w:val="00DC165E"/>
    <w:rsid w:val="00DC25DB"/>
    <w:rsid w:val="00DC2835"/>
    <w:rsid w:val="00DC31E7"/>
    <w:rsid w:val="00DC3DC8"/>
    <w:rsid w:val="00DC7B7E"/>
    <w:rsid w:val="00DC7C5B"/>
    <w:rsid w:val="00DD0C86"/>
    <w:rsid w:val="00DD28EC"/>
    <w:rsid w:val="00DD50A8"/>
    <w:rsid w:val="00DD6CA5"/>
    <w:rsid w:val="00DD6F28"/>
    <w:rsid w:val="00DE6A6F"/>
    <w:rsid w:val="00DF07C7"/>
    <w:rsid w:val="00DF12B9"/>
    <w:rsid w:val="00DF3E73"/>
    <w:rsid w:val="00E0065D"/>
    <w:rsid w:val="00E0150E"/>
    <w:rsid w:val="00E01FF8"/>
    <w:rsid w:val="00E04CB6"/>
    <w:rsid w:val="00E04D7F"/>
    <w:rsid w:val="00E133F8"/>
    <w:rsid w:val="00E148EC"/>
    <w:rsid w:val="00E14B72"/>
    <w:rsid w:val="00E1700C"/>
    <w:rsid w:val="00E17707"/>
    <w:rsid w:val="00E24284"/>
    <w:rsid w:val="00E262C6"/>
    <w:rsid w:val="00E3078A"/>
    <w:rsid w:val="00E35886"/>
    <w:rsid w:val="00E37D68"/>
    <w:rsid w:val="00E403A6"/>
    <w:rsid w:val="00E43407"/>
    <w:rsid w:val="00E44A2A"/>
    <w:rsid w:val="00E45D3D"/>
    <w:rsid w:val="00E4629C"/>
    <w:rsid w:val="00E50B44"/>
    <w:rsid w:val="00E51795"/>
    <w:rsid w:val="00E51904"/>
    <w:rsid w:val="00E52444"/>
    <w:rsid w:val="00E55D16"/>
    <w:rsid w:val="00E564C1"/>
    <w:rsid w:val="00E56814"/>
    <w:rsid w:val="00E60E04"/>
    <w:rsid w:val="00E63F57"/>
    <w:rsid w:val="00E65B8C"/>
    <w:rsid w:val="00E65ECF"/>
    <w:rsid w:val="00E672BC"/>
    <w:rsid w:val="00E67FD7"/>
    <w:rsid w:val="00E706C5"/>
    <w:rsid w:val="00E707D5"/>
    <w:rsid w:val="00E71436"/>
    <w:rsid w:val="00E72849"/>
    <w:rsid w:val="00E74135"/>
    <w:rsid w:val="00E76B7F"/>
    <w:rsid w:val="00E776F4"/>
    <w:rsid w:val="00E8216F"/>
    <w:rsid w:val="00E823FA"/>
    <w:rsid w:val="00E82759"/>
    <w:rsid w:val="00E85EA1"/>
    <w:rsid w:val="00E87FEB"/>
    <w:rsid w:val="00E92377"/>
    <w:rsid w:val="00E9744D"/>
    <w:rsid w:val="00EA4107"/>
    <w:rsid w:val="00EA668D"/>
    <w:rsid w:val="00EA6C07"/>
    <w:rsid w:val="00EA7B86"/>
    <w:rsid w:val="00EB11C4"/>
    <w:rsid w:val="00EB120E"/>
    <w:rsid w:val="00EB1F09"/>
    <w:rsid w:val="00EB4DEE"/>
    <w:rsid w:val="00EB5461"/>
    <w:rsid w:val="00EB697F"/>
    <w:rsid w:val="00EC1D65"/>
    <w:rsid w:val="00EC213D"/>
    <w:rsid w:val="00EC32C9"/>
    <w:rsid w:val="00EC34B4"/>
    <w:rsid w:val="00EC438D"/>
    <w:rsid w:val="00ED11CF"/>
    <w:rsid w:val="00ED13C7"/>
    <w:rsid w:val="00EE16F7"/>
    <w:rsid w:val="00EE3A7C"/>
    <w:rsid w:val="00EE3FA6"/>
    <w:rsid w:val="00EE7701"/>
    <w:rsid w:val="00EF40FD"/>
    <w:rsid w:val="00EF6AE4"/>
    <w:rsid w:val="00EF720A"/>
    <w:rsid w:val="00F00EE0"/>
    <w:rsid w:val="00F03BDA"/>
    <w:rsid w:val="00F04480"/>
    <w:rsid w:val="00F07722"/>
    <w:rsid w:val="00F10212"/>
    <w:rsid w:val="00F14709"/>
    <w:rsid w:val="00F14F6E"/>
    <w:rsid w:val="00F159F9"/>
    <w:rsid w:val="00F15CED"/>
    <w:rsid w:val="00F15DB4"/>
    <w:rsid w:val="00F15EFF"/>
    <w:rsid w:val="00F15F9D"/>
    <w:rsid w:val="00F21801"/>
    <w:rsid w:val="00F21897"/>
    <w:rsid w:val="00F21A2D"/>
    <w:rsid w:val="00F21BEE"/>
    <w:rsid w:val="00F25F22"/>
    <w:rsid w:val="00F31617"/>
    <w:rsid w:val="00F35F69"/>
    <w:rsid w:val="00F36620"/>
    <w:rsid w:val="00F36749"/>
    <w:rsid w:val="00F36A1C"/>
    <w:rsid w:val="00F36EAA"/>
    <w:rsid w:val="00F377C4"/>
    <w:rsid w:val="00F42DF5"/>
    <w:rsid w:val="00F4595E"/>
    <w:rsid w:val="00F45FE9"/>
    <w:rsid w:val="00F50FEB"/>
    <w:rsid w:val="00F51084"/>
    <w:rsid w:val="00F5334C"/>
    <w:rsid w:val="00F54EFC"/>
    <w:rsid w:val="00F55BBB"/>
    <w:rsid w:val="00F56B08"/>
    <w:rsid w:val="00F61BF3"/>
    <w:rsid w:val="00F62B80"/>
    <w:rsid w:val="00F6327F"/>
    <w:rsid w:val="00F63A2B"/>
    <w:rsid w:val="00F6570A"/>
    <w:rsid w:val="00F70345"/>
    <w:rsid w:val="00F710F2"/>
    <w:rsid w:val="00F71CEA"/>
    <w:rsid w:val="00F754D4"/>
    <w:rsid w:val="00F7591F"/>
    <w:rsid w:val="00F75DC2"/>
    <w:rsid w:val="00F75EC2"/>
    <w:rsid w:val="00F773F1"/>
    <w:rsid w:val="00F8680B"/>
    <w:rsid w:val="00F86F72"/>
    <w:rsid w:val="00F870FC"/>
    <w:rsid w:val="00F9249D"/>
    <w:rsid w:val="00F93B2A"/>
    <w:rsid w:val="00F93B3D"/>
    <w:rsid w:val="00FA15D7"/>
    <w:rsid w:val="00FA1647"/>
    <w:rsid w:val="00FA4006"/>
    <w:rsid w:val="00FA47DB"/>
    <w:rsid w:val="00FA4DAE"/>
    <w:rsid w:val="00FA5382"/>
    <w:rsid w:val="00FA6436"/>
    <w:rsid w:val="00FA64E2"/>
    <w:rsid w:val="00FA68DB"/>
    <w:rsid w:val="00FB01DB"/>
    <w:rsid w:val="00FB3B1E"/>
    <w:rsid w:val="00FB3DB9"/>
    <w:rsid w:val="00FB60CE"/>
    <w:rsid w:val="00FB61A1"/>
    <w:rsid w:val="00FB6CA3"/>
    <w:rsid w:val="00FC00DD"/>
    <w:rsid w:val="00FC0ADE"/>
    <w:rsid w:val="00FC13BF"/>
    <w:rsid w:val="00FC2AC9"/>
    <w:rsid w:val="00FC41F3"/>
    <w:rsid w:val="00FC421E"/>
    <w:rsid w:val="00FC5B21"/>
    <w:rsid w:val="00FC617A"/>
    <w:rsid w:val="00FC6F30"/>
    <w:rsid w:val="00FD042C"/>
    <w:rsid w:val="00FD0F75"/>
    <w:rsid w:val="00FD1C96"/>
    <w:rsid w:val="00FD443D"/>
    <w:rsid w:val="00FD55D8"/>
    <w:rsid w:val="00FE45E8"/>
    <w:rsid w:val="00FE4866"/>
    <w:rsid w:val="00FE51C0"/>
    <w:rsid w:val="00FE53AE"/>
    <w:rsid w:val="00FE5619"/>
    <w:rsid w:val="00FE6CD8"/>
    <w:rsid w:val="00FF2485"/>
    <w:rsid w:val="00FF318E"/>
    <w:rsid w:val="00FF5D2F"/>
    <w:rsid w:val="00FF79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25F22"/>
    <w:rPr>
      <w:sz w:val="24"/>
      <w:szCs w:val="24"/>
    </w:rPr>
  </w:style>
  <w:style w:type="paragraph" w:styleId="Heading1">
    <w:name w:val="heading 1"/>
    <w:basedOn w:val="Normal"/>
    <w:next w:val="Normal"/>
    <w:link w:val="Heading1Char"/>
    <w:uiPriority w:val="99"/>
    <w:qFormat/>
    <w:rsid w:val="003B3CA3"/>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3B3CA3"/>
    <w:pPr>
      <w:keepNext/>
      <w:jc w:val="right"/>
      <w:outlineLvl w:val="1"/>
    </w:pPr>
    <w:rPr>
      <w:rFonts w:ascii="Cambria" w:hAnsi="Cambria"/>
      <w:b/>
      <w:bCs/>
      <w:i/>
      <w:iCs/>
      <w:sz w:val="28"/>
      <w:szCs w:val="28"/>
    </w:rPr>
  </w:style>
  <w:style w:type="paragraph" w:styleId="Heading3">
    <w:name w:val="heading 3"/>
    <w:basedOn w:val="Normal"/>
    <w:next w:val="Normal"/>
    <w:link w:val="Heading3Char"/>
    <w:uiPriority w:val="99"/>
    <w:qFormat/>
    <w:rsid w:val="003B3CA3"/>
    <w:pPr>
      <w:keepNext/>
      <w:tabs>
        <w:tab w:val="left" w:pos="540"/>
      </w:tabs>
      <w:autoSpaceDE w:val="0"/>
      <w:autoSpaceDN w:val="0"/>
      <w:adjustRightInd w:val="0"/>
      <w:outlineLvl w:val="2"/>
    </w:pPr>
    <w:rPr>
      <w:rFonts w:ascii="Cambria" w:hAnsi="Cambria"/>
      <w:b/>
      <w:bCs/>
      <w:sz w:val="26"/>
      <w:szCs w:val="26"/>
    </w:rPr>
  </w:style>
  <w:style w:type="paragraph" w:styleId="Heading4">
    <w:name w:val="heading 4"/>
    <w:basedOn w:val="Normal"/>
    <w:next w:val="Normal"/>
    <w:link w:val="Heading4Char"/>
    <w:uiPriority w:val="99"/>
    <w:qFormat/>
    <w:rsid w:val="003B3CA3"/>
    <w:pPr>
      <w:keepNext/>
      <w:tabs>
        <w:tab w:val="num" w:pos="1080"/>
      </w:tabs>
      <w:ind w:left="1080" w:hanging="720"/>
      <w:outlineLvl w:val="3"/>
    </w:pPr>
    <w:rPr>
      <w:rFonts w:ascii="Calibri" w:hAnsi="Calibri"/>
      <w:b/>
      <w:bCs/>
      <w:sz w:val="28"/>
      <w:szCs w:val="28"/>
    </w:rPr>
  </w:style>
  <w:style w:type="paragraph" w:styleId="Heading5">
    <w:name w:val="heading 5"/>
    <w:basedOn w:val="Normal"/>
    <w:next w:val="Normal"/>
    <w:link w:val="Heading5Char"/>
    <w:uiPriority w:val="99"/>
    <w:qFormat/>
    <w:rsid w:val="003B3CA3"/>
    <w:pPr>
      <w:keepNext/>
      <w:outlineLvl w:val="4"/>
    </w:pPr>
    <w:rPr>
      <w:rFonts w:ascii="Calibri" w:hAnsi="Calibri"/>
      <w:b/>
      <w:bCs/>
      <w:i/>
      <w:iCs/>
      <w:sz w:val="26"/>
      <w:szCs w:val="26"/>
    </w:rPr>
  </w:style>
  <w:style w:type="paragraph" w:styleId="Heading6">
    <w:name w:val="heading 6"/>
    <w:basedOn w:val="Normal"/>
    <w:next w:val="Normal"/>
    <w:link w:val="Heading6Char"/>
    <w:uiPriority w:val="99"/>
    <w:qFormat/>
    <w:rsid w:val="003B3CA3"/>
    <w:pPr>
      <w:keepNext/>
      <w:numPr>
        <w:numId w:val="13"/>
      </w:numPr>
      <w:outlineLvl w:val="5"/>
    </w:pPr>
    <w:rPr>
      <w:b/>
      <w:szCs w:val="20"/>
    </w:rPr>
  </w:style>
  <w:style w:type="paragraph" w:styleId="Heading7">
    <w:name w:val="heading 7"/>
    <w:basedOn w:val="Normal"/>
    <w:next w:val="Normal"/>
    <w:link w:val="Heading7Char"/>
    <w:uiPriority w:val="99"/>
    <w:qFormat/>
    <w:rsid w:val="003B3CA3"/>
    <w:pPr>
      <w:keepNext/>
      <w:jc w:val="center"/>
      <w:outlineLvl w:val="6"/>
    </w:pPr>
    <w:rPr>
      <w:rFonts w:ascii="Calibri" w:hAnsi="Calibri"/>
    </w:rPr>
  </w:style>
  <w:style w:type="paragraph" w:styleId="Heading8">
    <w:name w:val="heading 8"/>
    <w:basedOn w:val="Normal"/>
    <w:next w:val="Normal"/>
    <w:link w:val="Heading8Char"/>
    <w:uiPriority w:val="99"/>
    <w:qFormat/>
    <w:rsid w:val="003B3CA3"/>
    <w:pPr>
      <w:keepNext/>
      <w:tabs>
        <w:tab w:val="right" w:pos="8928"/>
      </w:tabs>
      <w:jc w:val="center"/>
      <w:outlineLvl w:val="7"/>
    </w:pPr>
    <w:rPr>
      <w:rFonts w:ascii="Calibri" w:hAnsi="Calibri"/>
      <w:i/>
      <w:iCs/>
    </w:rPr>
  </w:style>
  <w:style w:type="paragraph" w:styleId="Heading9">
    <w:name w:val="heading 9"/>
    <w:basedOn w:val="Normal"/>
    <w:next w:val="Normal"/>
    <w:link w:val="Heading9Char"/>
    <w:uiPriority w:val="99"/>
    <w:qFormat/>
    <w:rsid w:val="003B3CA3"/>
    <w:pPr>
      <w:keepNext/>
      <w:ind w:left="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216A"/>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4E216A"/>
    <w:rPr>
      <w:rFonts w:ascii="Cambria" w:hAnsi="Cambria" w:cs="Times New Roman"/>
      <w:b/>
      <w:i/>
      <w:sz w:val="28"/>
    </w:rPr>
  </w:style>
  <w:style w:type="character" w:customStyle="1" w:styleId="Heading3Char">
    <w:name w:val="Heading 3 Char"/>
    <w:basedOn w:val="DefaultParagraphFont"/>
    <w:link w:val="Heading3"/>
    <w:uiPriority w:val="99"/>
    <w:semiHidden/>
    <w:locked/>
    <w:rsid w:val="004E216A"/>
    <w:rPr>
      <w:rFonts w:ascii="Cambria" w:hAnsi="Cambria" w:cs="Times New Roman"/>
      <w:b/>
      <w:sz w:val="26"/>
    </w:rPr>
  </w:style>
  <w:style w:type="character" w:customStyle="1" w:styleId="Heading4Char">
    <w:name w:val="Heading 4 Char"/>
    <w:basedOn w:val="DefaultParagraphFont"/>
    <w:link w:val="Heading4"/>
    <w:uiPriority w:val="99"/>
    <w:semiHidden/>
    <w:locked/>
    <w:rsid w:val="004E216A"/>
    <w:rPr>
      <w:rFonts w:ascii="Calibri" w:hAnsi="Calibri" w:cs="Times New Roman"/>
      <w:b/>
      <w:sz w:val="28"/>
    </w:rPr>
  </w:style>
  <w:style w:type="character" w:customStyle="1" w:styleId="Heading5Char">
    <w:name w:val="Heading 5 Char"/>
    <w:basedOn w:val="DefaultParagraphFont"/>
    <w:link w:val="Heading5"/>
    <w:uiPriority w:val="99"/>
    <w:semiHidden/>
    <w:locked/>
    <w:rsid w:val="004E216A"/>
    <w:rPr>
      <w:rFonts w:ascii="Calibri" w:hAnsi="Calibri" w:cs="Times New Roman"/>
      <w:b/>
      <w:i/>
      <w:sz w:val="26"/>
    </w:rPr>
  </w:style>
  <w:style w:type="character" w:customStyle="1" w:styleId="Heading6Char">
    <w:name w:val="Heading 6 Char"/>
    <w:basedOn w:val="DefaultParagraphFont"/>
    <w:link w:val="Heading6"/>
    <w:uiPriority w:val="99"/>
    <w:locked/>
    <w:rsid w:val="004E216A"/>
    <w:rPr>
      <w:b/>
      <w:sz w:val="24"/>
      <w:szCs w:val="20"/>
    </w:rPr>
  </w:style>
  <w:style w:type="character" w:customStyle="1" w:styleId="Heading7Char">
    <w:name w:val="Heading 7 Char"/>
    <w:basedOn w:val="DefaultParagraphFont"/>
    <w:link w:val="Heading7"/>
    <w:uiPriority w:val="99"/>
    <w:semiHidden/>
    <w:locked/>
    <w:rsid w:val="004E216A"/>
    <w:rPr>
      <w:rFonts w:ascii="Calibri" w:hAnsi="Calibri" w:cs="Times New Roman"/>
      <w:sz w:val="24"/>
    </w:rPr>
  </w:style>
  <w:style w:type="character" w:customStyle="1" w:styleId="Heading8Char">
    <w:name w:val="Heading 8 Char"/>
    <w:basedOn w:val="DefaultParagraphFont"/>
    <w:link w:val="Heading8"/>
    <w:uiPriority w:val="99"/>
    <w:semiHidden/>
    <w:locked/>
    <w:rsid w:val="004E216A"/>
    <w:rPr>
      <w:rFonts w:ascii="Calibri" w:hAnsi="Calibri" w:cs="Times New Roman"/>
      <w:i/>
      <w:sz w:val="24"/>
    </w:rPr>
  </w:style>
  <w:style w:type="character" w:customStyle="1" w:styleId="Heading9Char">
    <w:name w:val="Heading 9 Char"/>
    <w:basedOn w:val="DefaultParagraphFont"/>
    <w:link w:val="Heading9"/>
    <w:uiPriority w:val="99"/>
    <w:semiHidden/>
    <w:locked/>
    <w:rsid w:val="004E216A"/>
    <w:rPr>
      <w:rFonts w:ascii="Cambria" w:hAnsi="Cambria" w:cs="Times New Roman"/>
    </w:rPr>
  </w:style>
  <w:style w:type="paragraph" w:styleId="Footer">
    <w:name w:val="footer"/>
    <w:basedOn w:val="Normal"/>
    <w:link w:val="FooterChar"/>
    <w:uiPriority w:val="99"/>
    <w:rsid w:val="003B3CA3"/>
    <w:pPr>
      <w:widowControl w:val="0"/>
      <w:tabs>
        <w:tab w:val="left" w:pos="432"/>
        <w:tab w:val="center" w:pos="4320"/>
        <w:tab w:val="right" w:pos="5040"/>
        <w:tab w:val="right" w:pos="6210"/>
        <w:tab w:val="right" w:pos="6930"/>
        <w:tab w:val="right" w:pos="8190"/>
        <w:tab w:val="right" w:pos="8640"/>
        <w:tab w:val="right" w:pos="8820"/>
        <w:tab w:val="right" w:pos="9810"/>
      </w:tabs>
    </w:pPr>
  </w:style>
  <w:style w:type="character" w:customStyle="1" w:styleId="FooterChar">
    <w:name w:val="Footer Char"/>
    <w:basedOn w:val="DefaultParagraphFont"/>
    <w:link w:val="Footer"/>
    <w:uiPriority w:val="99"/>
    <w:semiHidden/>
    <w:locked/>
    <w:rsid w:val="004E216A"/>
    <w:rPr>
      <w:rFonts w:cs="Times New Roman"/>
      <w:sz w:val="24"/>
    </w:rPr>
  </w:style>
  <w:style w:type="paragraph" w:customStyle="1" w:styleId="xl19">
    <w:name w:val="xl19"/>
    <w:basedOn w:val="Normal"/>
    <w:uiPriority w:val="99"/>
    <w:rsid w:val="003B3CA3"/>
    <w:pPr>
      <w:spacing w:before="100" w:after="100"/>
    </w:pPr>
    <w:rPr>
      <w:szCs w:val="20"/>
    </w:rPr>
  </w:style>
  <w:style w:type="paragraph" w:customStyle="1" w:styleId="APP-3A">
    <w:name w:val="APP-3A"/>
    <w:uiPriority w:val="99"/>
    <w:rsid w:val="003B3CA3"/>
    <w:rPr>
      <w:rFonts w:ascii="Arial" w:hAnsi="Arial"/>
      <w:b/>
      <w:sz w:val="20"/>
      <w:szCs w:val="20"/>
    </w:rPr>
  </w:style>
  <w:style w:type="paragraph" w:customStyle="1" w:styleId="xl33">
    <w:name w:val="xl33"/>
    <w:basedOn w:val="Normal"/>
    <w:uiPriority w:val="99"/>
    <w:rsid w:val="003B3CA3"/>
    <w:pPr>
      <w:spacing w:before="100" w:after="100"/>
      <w:jc w:val="center"/>
    </w:pPr>
    <w:rPr>
      <w:rFonts w:ascii="Arial" w:hAnsi="Arial"/>
      <w:b/>
      <w:szCs w:val="20"/>
    </w:rPr>
  </w:style>
  <w:style w:type="paragraph" w:styleId="BodyText">
    <w:name w:val="Body Text"/>
    <w:aliases w:val="body text,bt,heading3,NCDOT Body Text,1body,BodText,Body Txt,FL IND"/>
    <w:basedOn w:val="Normal"/>
    <w:link w:val="BodyTextChar"/>
    <w:uiPriority w:val="99"/>
    <w:rsid w:val="003B3CA3"/>
  </w:style>
  <w:style w:type="character" w:customStyle="1" w:styleId="BodyTextChar">
    <w:name w:val="Body Text Char"/>
    <w:aliases w:val="body text Char,bt Char,heading3 Char,NCDOT Body Text Char,1body Char,BodText Char,Body Txt Char,FL IND Char"/>
    <w:basedOn w:val="DefaultParagraphFont"/>
    <w:link w:val="BodyText"/>
    <w:uiPriority w:val="99"/>
    <w:semiHidden/>
    <w:locked/>
    <w:rsid w:val="004E216A"/>
    <w:rPr>
      <w:rFonts w:cs="Times New Roman"/>
      <w:sz w:val="24"/>
    </w:rPr>
  </w:style>
  <w:style w:type="paragraph" w:customStyle="1" w:styleId="xl27">
    <w:name w:val="xl27"/>
    <w:basedOn w:val="Normal"/>
    <w:uiPriority w:val="99"/>
    <w:rsid w:val="003B3CA3"/>
    <w:pPr>
      <w:spacing w:before="100" w:after="100"/>
    </w:pPr>
    <w:rPr>
      <w:rFonts w:ascii="Arial" w:hAnsi="Arial"/>
      <w:b/>
      <w:szCs w:val="20"/>
    </w:rPr>
  </w:style>
  <w:style w:type="paragraph" w:styleId="FootnoteText">
    <w:name w:val="footnote text"/>
    <w:basedOn w:val="Normal"/>
    <w:link w:val="FootnoteTextChar"/>
    <w:uiPriority w:val="99"/>
    <w:semiHidden/>
    <w:rsid w:val="003B3CA3"/>
    <w:rPr>
      <w:sz w:val="20"/>
      <w:szCs w:val="20"/>
    </w:rPr>
  </w:style>
  <w:style w:type="character" w:customStyle="1" w:styleId="FootnoteTextChar">
    <w:name w:val="Footnote Text Char"/>
    <w:basedOn w:val="DefaultParagraphFont"/>
    <w:link w:val="FootnoteText"/>
    <w:uiPriority w:val="99"/>
    <w:semiHidden/>
    <w:locked/>
    <w:rsid w:val="004E216A"/>
    <w:rPr>
      <w:rFonts w:cs="Times New Roman"/>
      <w:sz w:val="20"/>
    </w:rPr>
  </w:style>
  <w:style w:type="paragraph" w:customStyle="1" w:styleId="xl34">
    <w:name w:val="xl34"/>
    <w:basedOn w:val="Normal"/>
    <w:uiPriority w:val="99"/>
    <w:rsid w:val="003B3CA3"/>
    <w:pPr>
      <w:spacing w:before="100" w:after="100"/>
      <w:jc w:val="center"/>
    </w:pPr>
    <w:rPr>
      <w:b/>
      <w:sz w:val="20"/>
      <w:szCs w:val="20"/>
    </w:rPr>
  </w:style>
  <w:style w:type="paragraph" w:styleId="Title">
    <w:name w:val="Title"/>
    <w:basedOn w:val="Normal"/>
    <w:link w:val="TitleChar"/>
    <w:uiPriority w:val="99"/>
    <w:qFormat/>
    <w:rsid w:val="003B3CA3"/>
    <w:pPr>
      <w:ind w:left="720"/>
      <w:jc w:val="center"/>
    </w:pPr>
    <w:rPr>
      <w:rFonts w:ascii="Cambria" w:hAnsi="Cambria"/>
      <w:b/>
      <w:bCs/>
      <w:kern w:val="28"/>
      <w:sz w:val="32"/>
      <w:szCs w:val="32"/>
    </w:rPr>
  </w:style>
  <w:style w:type="character" w:customStyle="1" w:styleId="TitleChar">
    <w:name w:val="Title Char"/>
    <w:basedOn w:val="DefaultParagraphFont"/>
    <w:link w:val="Title"/>
    <w:uiPriority w:val="99"/>
    <w:locked/>
    <w:rsid w:val="004E216A"/>
    <w:rPr>
      <w:rFonts w:ascii="Cambria" w:hAnsi="Cambria" w:cs="Times New Roman"/>
      <w:b/>
      <w:kern w:val="28"/>
      <w:sz w:val="32"/>
    </w:rPr>
  </w:style>
  <w:style w:type="paragraph" w:styleId="BodyText2">
    <w:name w:val="Body Text 2"/>
    <w:basedOn w:val="Normal"/>
    <w:link w:val="BodyText2Char"/>
    <w:uiPriority w:val="99"/>
    <w:rsid w:val="003B3CA3"/>
  </w:style>
  <w:style w:type="character" w:customStyle="1" w:styleId="BodyText2Char">
    <w:name w:val="Body Text 2 Char"/>
    <w:basedOn w:val="DefaultParagraphFont"/>
    <w:link w:val="BodyText2"/>
    <w:uiPriority w:val="99"/>
    <w:semiHidden/>
    <w:locked/>
    <w:rsid w:val="004E216A"/>
    <w:rPr>
      <w:rFonts w:cs="Times New Roman"/>
      <w:sz w:val="24"/>
    </w:rPr>
  </w:style>
  <w:style w:type="paragraph" w:styleId="Header">
    <w:name w:val="header"/>
    <w:basedOn w:val="Normal"/>
    <w:link w:val="HeaderChar"/>
    <w:uiPriority w:val="99"/>
    <w:rsid w:val="003B3CA3"/>
    <w:pPr>
      <w:tabs>
        <w:tab w:val="center" w:pos="4320"/>
        <w:tab w:val="right" w:pos="8640"/>
      </w:tabs>
    </w:pPr>
  </w:style>
  <w:style w:type="character" w:customStyle="1" w:styleId="HeaderChar">
    <w:name w:val="Header Char"/>
    <w:basedOn w:val="DefaultParagraphFont"/>
    <w:link w:val="Header"/>
    <w:uiPriority w:val="99"/>
    <w:semiHidden/>
    <w:locked/>
    <w:rsid w:val="004E216A"/>
    <w:rPr>
      <w:rFonts w:cs="Times New Roman"/>
      <w:sz w:val="24"/>
    </w:rPr>
  </w:style>
  <w:style w:type="paragraph" w:customStyle="1" w:styleId="xl24">
    <w:name w:val="xl24"/>
    <w:basedOn w:val="Normal"/>
    <w:uiPriority w:val="99"/>
    <w:rsid w:val="003B3CA3"/>
    <w:pPr>
      <w:spacing w:before="100" w:after="100"/>
    </w:pPr>
    <w:rPr>
      <w:szCs w:val="20"/>
      <w:u w:val="single"/>
    </w:rPr>
  </w:style>
  <w:style w:type="paragraph" w:styleId="BodyText3">
    <w:name w:val="Body Text 3"/>
    <w:basedOn w:val="Normal"/>
    <w:link w:val="BodyText3Char"/>
    <w:uiPriority w:val="99"/>
    <w:rsid w:val="003B3CA3"/>
    <w:rPr>
      <w:sz w:val="16"/>
      <w:szCs w:val="16"/>
    </w:rPr>
  </w:style>
  <w:style w:type="character" w:customStyle="1" w:styleId="BodyText3Char">
    <w:name w:val="Body Text 3 Char"/>
    <w:basedOn w:val="DefaultParagraphFont"/>
    <w:link w:val="BodyText3"/>
    <w:uiPriority w:val="99"/>
    <w:semiHidden/>
    <w:locked/>
    <w:rsid w:val="004E216A"/>
    <w:rPr>
      <w:rFonts w:cs="Times New Roman"/>
      <w:sz w:val="16"/>
    </w:rPr>
  </w:style>
  <w:style w:type="paragraph" w:customStyle="1" w:styleId="xl22">
    <w:name w:val="xl22"/>
    <w:basedOn w:val="Normal"/>
    <w:uiPriority w:val="99"/>
    <w:rsid w:val="003B3CA3"/>
    <w:pPr>
      <w:spacing w:before="100" w:after="100"/>
      <w:jc w:val="center"/>
    </w:pPr>
    <w:rPr>
      <w:szCs w:val="20"/>
      <w:u w:val="single"/>
    </w:rPr>
  </w:style>
  <w:style w:type="paragraph" w:styleId="TOC1">
    <w:name w:val="toc 1"/>
    <w:basedOn w:val="Normal"/>
    <w:next w:val="Normal"/>
    <w:autoRedefine/>
    <w:uiPriority w:val="99"/>
    <w:semiHidden/>
    <w:rsid w:val="003B3CA3"/>
    <w:pPr>
      <w:jc w:val="right"/>
    </w:pPr>
    <w:rPr>
      <w:szCs w:val="20"/>
    </w:rPr>
  </w:style>
  <w:style w:type="paragraph" w:styleId="TOAHeading">
    <w:name w:val="toa heading"/>
    <w:basedOn w:val="Normal"/>
    <w:next w:val="Normal"/>
    <w:uiPriority w:val="99"/>
    <w:semiHidden/>
    <w:rsid w:val="003B3CA3"/>
    <w:pPr>
      <w:widowControl w:val="0"/>
      <w:tabs>
        <w:tab w:val="right" w:pos="9360"/>
      </w:tabs>
      <w:suppressAutoHyphens/>
    </w:pPr>
    <w:rPr>
      <w:rFonts w:ascii="Courier New" w:hAnsi="Courier New"/>
      <w:sz w:val="20"/>
      <w:szCs w:val="20"/>
    </w:rPr>
  </w:style>
  <w:style w:type="character" w:styleId="PageNumber">
    <w:name w:val="page number"/>
    <w:basedOn w:val="DefaultParagraphFont"/>
    <w:uiPriority w:val="99"/>
    <w:rsid w:val="003B3CA3"/>
    <w:rPr>
      <w:rFonts w:cs="Times New Roman"/>
    </w:rPr>
  </w:style>
  <w:style w:type="paragraph" w:styleId="BodyTextIndent">
    <w:name w:val="Body Text Indent"/>
    <w:basedOn w:val="Normal"/>
    <w:link w:val="BodyTextIndentChar"/>
    <w:uiPriority w:val="99"/>
    <w:rsid w:val="003B3CA3"/>
    <w:pPr>
      <w:tabs>
        <w:tab w:val="left" w:leader="dot" w:pos="7920"/>
        <w:tab w:val="right" w:pos="8640"/>
      </w:tabs>
      <w:ind w:left="720"/>
    </w:pPr>
  </w:style>
  <w:style w:type="character" w:customStyle="1" w:styleId="BodyTextIndentChar">
    <w:name w:val="Body Text Indent Char"/>
    <w:basedOn w:val="DefaultParagraphFont"/>
    <w:link w:val="BodyTextIndent"/>
    <w:uiPriority w:val="99"/>
    <w:semiHidden/>
    <w:locked/>
    <w:rsid w:val="004E216A"/>
    <w:rPr>
      <w:rFonts w:cs="Times New Roman"/>
      <w:sz w:val="24"/>
    </w:rPr>
  </w:style>
  <w:style w:type="paragraph" w:styleId="BalloonText">
    <w:name w:val="Balloon Text"/>
    <w:basedOn w:val="Normal"/>
    <w:link w:val="BalloonTextChar"/>
    <w:uiPriority w:val="99"/>
    <w:semiHidden/>
    <w:rsid w:val="003B3CA3"/>
    <w:rPr>
      <w:sz w:val="2"/>
      <w:szCs w:val="20"/>
    </w:rPr>
  </w:style>
  <w:style w:type="character" w:customStyle="1" w:styleId="BalloonTextChar">
    <w:name w:val="Balloon Text Char"/>
    <w:basedOn w:val="DefaultParagraphFont"/>
    <w:link w:val="BalloonText"/>
    <w:uiPriority w:val="99"/>
    <w:semiHidden/>
    <w:locked/>
    <w:rsid w:val="004E216A"/>
    <w:rPr>
      <w:rFonts w:cs="Times New Roman"/>
      <w:sz w:val="2"/>
    </w:rPr>
  </w:style>
  <w:style w:type="paragraph" w:styleId="List2">
    <w:name w:val="List 2"/>
    <w:basedOn w:val="Normal"/>
    <w:uiPriority w:val="99"/>
    <w:rsid w:val="00E0065D"/>
    <w:pPr>
      <w:ind w:left="720" w:hanging="360"/>
    </w:pPr>
  </w:style>
  <w:style w:type="paragraph" w:styleId="List3">
    <w:name w:val="List 3"/>
    <w:basedOn w:val="Normal"/>
    <w:uiPriority w:val="99"/>
    <w:rsid w:val="00E0065D"/>
    <w:pPr>
      <w:ind w:left="1080" w:hanging="360"/>
    </w:pPr>
  </w:style>
  <w:style w:type="paragraph" w:styleId="ListBullet2">
    <w:name w:val="List Bullet 2"/>
    <w:basedOn w:val="Normal"/>
    <w:uiPriority w:val="99"/>
    <w:rsid w:val="00E0065D"/>
    <w:pPr>
      <w:tabs>
        <w:tab w:val="num" w:pos="720"/>
      </w:tabs>
      <w:ind w:left="720" w:hanging="360"/>
    </w:pPr>
  </w:style>
  <w:style w:type="paragraph" w:styleId="BodyTextFirstIndent2">
    <w:name w:val="Body Text First Indent 2"/>
    <w:basedOn w:val="BodyTextIndent"/>
    <w:link w:val="BodyTextFirstIndent2Char"/>
    <w:uiPriority w:val="99"/>
    <w:rsid w:val="00E0065D"/>
    <w:pPr>
      <w:tabs>
        <w:tab w:val="clear" w:pos="7920"/>
        <w:tab w:val="clear" w:pos="8640"/>
      </w:tabs>
      <w:spacing w:after="120"/>
      <w:ind w:left="360" w:firstLine="210"/>
    </w:pPr>
    <w:rPr>
      <w:bCs/>
      <w:i/>
      <w:iCs/>
    </w:rPr>
  </w:style>
  <w:style w:type="character" w:customStyle="1" w:styleId="BodyTextFirstIndent2Char">
    <w:name w:val="Body Text First Indent 2 Char"/>
    <w:basedOn w:val="BodyTextIndentChar"/>
    <w:link w:val="BodyTextFirstIndent2"/>
    <w:uiPriority w:val="99"/>
    <w:semiHidden/>
    <w:locked/>
    <w:rsid w:val="004E216A"/>
  </w:style>
  <w:style w:type="table" w:styleId="TableGrid">
    <w:name w:val="Table Grid"/>
    <w:basedOn w:val="TableNormal"/>
    <w:uiPriority w:val="99"/>
    <w:rsid w:val="0087565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282951"/>
    <w:rPr>
      <w:rFonts w:cs="Times New Roman"/>
      <w:sz w:val="16"/>
    </w:rPr>
  </w:style>
  <w:style w:type="paragraph" w:styleId="CommentText">
    <w:name w:val="annotation text"/>
    <w:basedOn w:val="Normal"/>
    <w:link w:val="CommentTextChar"/>
    <w:uiPriority w:val="99"/>
    <w:semiHidden/>
    <w:rsid w:val="00282951"/>
    <w:rPr>
      <w:sz w:val="20"/>
      <w:szCs w:val="20"/>
    </w:rPr>
  </w:style>
  <w:style w:type="character" w:customStyle="1" w:styleId="CommentTextChar">
    <w:name w:val="Comment Text Char"/>
    <w:basedOn w:val="DefaultParagraphFont"/>
    <w:link w:val="CommentText"/>
    <w:uiPriority w:val="99"/>
    <w:locked/>
    <w:rsid w:val="007C6A3A"/>
    <w:rPr>
      <w:rFonts w:cs="Times New Roman"/>
      <w:lang w:val="en-US" w:eastAsia="en-US"/>
    </w:rPr>
  </w:style>
  <w:style w:type="paragraph" w:styleId="CommentSubject">
    <w:name w:val="annotation subject"/>
    <w:basedOn w:val="CommentText"/>
    <w:next w:val="CommentText"/>
    <w:link w:val="CommentSubjectChar"/>
    <w:uiPriority w:val="99"/>
    <w:semiHidden/>
    <w:rsid w:val="00282951"/>
    <w:rPr>
      <w:b/>
      <w:bCs/>
    </w:rPr>
  </w:style>
  <w:style w:type="character" w:customStyle="1" w:styleId="CommentSubjectChar">
    <w:name w:val="Comment Subject Char"/>
    <w:basedOn w:val="CommentTextChar"/>
    <w:link w:val="CommentSubject"/>
    <w:uiPriority w:val="99"/>
    <w:semiHidden/>
    <w:locked/>
    <w:rsid w:val="004E216A"/>
    <w:rPr>
      <w:b/>
      <w:sz w:val="20"/>
    </w:rPr>
  </w:style>
  <w:style w:type="character" w:styleId="FootnoteReference">
    <w:name w:val="footnote reference"/>
    <w:basedOn w:val="DefaultParagraphFont"/>
    <w:uiPriority w:val="99"/>
    <w:semiHidden/>
    <w:rsid w:val="0041707F"/>
    <w:rPr>
      <w:rFonts w:cs="Times New Roman"/>
      <w:vertAlign w:val="superscript"/>
    </w:rPr>
  </w:style>
  <w:style w:type="paragraph" w:customStyle="1" w:styleId="Level1">
    <w:name w:val="Level 1"/>
    <w:basedOn w:val="Normal"/>
    <w:uiPriority w:val="99"/>
    <w:rsid w:val="001456AA"/>
    <w:pPr>
      <w:widowControl w:val="0"/>
      <w:autoSpaceDE w:val="0"/>
      <w:autoSpaceDN w:val="0"/>
      <w:adjustRightInd w:val="0"/>
      <w:ind w:left="720" w:hanging="360"/>
    </w:pPr>
  </w:style>
  <w:style w:type="character" w:styleId="Hyperlink">
    <w:name w:val="Hyperlink"/>
    <w:basedOn w:val="DefaultParagraphFont"/>
    <w:uiPriority w:val="99"/>
    <w:rsid w:val="002567E4"/>
    <w:rPr>
      <w:rFonts w:cs="Times New Roman"/>
      <w:color w:val="0000FF"/>
      <w:u w:val="single"/>
    </w:rPr>
  </w:style>
  <w:style w:type="paragraph" w:styleId="NormalWeb">
    <w:name w:val="Normal (Web)"/>
    <w:basedOn w:val="Normal"/>
    <w:uiPriority w:val="99"/>
    <w:rsid w:val="00580DC7"/>
    <w:pPr>
      <w:spacing w:before="100" w:beforeAutospacing="1" w:after="100" w:afterAutospacing="1"/>
    </w:pPr>
  </w:style>
  <w:style w:type="paragraph" w:styleId="DocumentMap">
    <w:name w:val="Document Map"/>
    <w:basedOn w:val="Normal"/>
    <w:link w:val="DocumentMapChar"/>
    <w:uiPriority w:val="99"/>
    <w:semiHidden/>
    <w:rsid w:val="00C269E9"/>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4E216A"/>
    <w:rPr>
      <w:rFonts w:cs="Times New Roman"/>
      <w:sz w:val="2"/>
    </w:rPr>
  </w:style>
  <w:style w:type="paragraph" w:styleId="ListParagraph">
    <w:name w:val="List Paragraph"/>
    <w:basedOn w:val="Normal"/>
    <w:uiPriority w:val="99"/>
    <w:qFormat/>
    <w:rsid w:val="00677CBD"/>
    <w:pPr>
      <w:ind w:left="720"/>
      <w:contextualSpacing/>
    </w:pPr>
  </w:style>
  <w:style w:type="character" w:customStyle="1" w:styleId="BodyTextChar1">
    <w:name w:val="Body Text Char1"/>
    <w:basedOn w:val="DefaultParagraphFont"/>
    <w:uiPriority w:val="99"/>
    <w:rsid w:val="00594104"/>
    <w:rPr>
      <w:rFonts w:cs="Times New Roman"/>
      <w:sz w:val="24"/>
      <w:szCs w:val="24"/>
      <w:lang w:val="en-US" w:eastAsia="en-US" w:bidi="ar-SA"/>
    </w:rPr>
  </w:style>
  <w:style w:type="paragraph" w:customStyle="1" w:styleId="IGMLevel4">
    <w:name w:val="IGM Level 4"/>
    <w:basedOn w:val="Normal"/>
    <w:rsid w:val="001005DE"/>
    <w:rPr>
      <w:szCs w:val="20"/>
    </w:rPr>
  </w:style>
</w:styles>
</file>

<file path=word/webSettings.xml><?xml version="1.0" encoding="utf-8"?>
<w:webSettings xmlns:r="http://schemas.openxmlformats.org/officeDocument/2006/relationships" xmlns:w="http://schemas.openxmlformats.org/wordprocessingml/2006/main">
  <w:divs>
    <w:div w:id="1482194632">
      <w:marLeft w:val="0"/>
      <w:marRight w:val="0"/>
      <w:marTop w:val="0"/>
      <w:marBottom w:val="0"/>
      <w:divBdr>
        <w:top w:val="none" w:sz="0" w:space="0" w:color="auto"/>
        <w:left w:val="none" w:sz="0" w:space="0" w:color="auto"/>
        <w:bottom w:val="none" w:sz="0" w:space="0" w:color="auto"/>
        <w:right w:val="none" w:sz="0" w:space="0" w:color="auto"/>
      </w:divBdr>
    </w:div>
    <w:div w:id="1482194633">
      <w:marLeft w:val="0"/>
      <w:marRight w:val="0"/>
      <w:marTop w:val="0"/>
      <w:marBottom w:val="0"/>
      <w:divBdr>
        <w:top w:val="none" w:sz="0" w:space="0" w:color="auto"/>
        <w:left w:val="none" w:sz="0" w:space="0" w:color="auto"/>
        <w:bottom w:val="none" w:sz="0" w:space="0" w:color="auto"/>
        <w:right w:val="none" w:sz="0" w:space="0" w:color="auto"/>
      </w:divBdr>
    </w:div>
    <w:div w:id="1482194634">
      <w:marLeft w:val="0"/>
      <w:marRight w:val="0"/>
      <w:marTop w:val="0"/>
      <w:marBottom w:val="0"/>
      <w:divBdr>
        <w:top w:val="none" w:sz="0" w:space="0" w:color="auto"/>
        <w:left w:val="none" w:sz="0" w:space="0" w:color="auto"/>
        <w:bottom w:val="none" w:sz="0" w:space="0" w:color="auto"/>
        <w:right w:val="none" w:sz="0" w:space="0" w:color="auto"/>
      </w:divBdr>
    </w:div>
    <w:div w:id="1482194638">
      <w:marLeft w:val="0"/>
      <w:marRight w:val="0"/>
      <w:marTop w:val="0"/>
      <w:marBottom w:val="0"/>
      <w:divBdr>
        <w:top w:val="none" w:sz="0" w:space="0" w:color="auto"/>
        <w:left w:val="none" w:sz="0" w:space="0" w:color="auto"/>
        <w:bottom w:val="none" w:sz="0" w:space="0" w:color="auto"/>
        <w:right w:val="none" w:sz="0" w:space="0" w:color="auto"/>
      </w:divBdr>
    </w:div>
    <w:div w:id="1482194639">
      <w:marLeft w:val="0"/>
      <w:marRight w:val="0"/>
      <w:marTop w:val="0"/>
      <w:marBottom w:val="0"/>
      <w:divBdr>
        <w:top w:val="none" w:sz="0" w:space="0" w:color="auto"/>
        <w:left w:val="none" w:sz="0" w:space="0" w:color="auto"/>
        <w:bottom w:val="none" w:sz="0" w:space="0" w:color="auto"/>
        <w:right w:val="none" w:sz="0" w:space="0" w:color="auto"/>
      </w:divBdr>
    </w:div>
    <w:div w:id="1482194640">
      <w:marLeft w:val="0"/>
      <w:marRight w:val="0"/>
      <w:marTop w:val="0"/>
      <w:marBottom w:val="0"/>
      <w:divBdr>
        <w:top w:val="none" w:sz="0" w:space="0" w:color="auto"/>
        <w:left w:val="none" w:sz="0" w:space="0" w:color="auto"/>
        <w:bottom w:val="none" w:sz="0" w:space="0" w:color="auto"/>
        <w:right w:val="none" w:sz="0" w:space="0" w:color="auto"/>
      </w:divBdr>
    </w:div>
    <w:div w:id="1482194641">
      <w:marLeft w:val="0"/>
      <w:marRight w:val="0"/>
      <w:marTop w:val="0"/>
      <w:marBottom w:val="0"/>
      <w:divBdr>
        <w:top w:val="none" w:sz="0" w:space="0" w:color="auto"/>
        <w:left w:val="none" w:sz="0" w:space="0" w:color="auto"/>
        <w:bottom w:val="none" w:sz="0" w:space="0" w:color="auto"/>
        <w:right w:val="none" w:sz="0" w:space="0" w:color="auto"/>
      </w:divBdr>
    </w:div>
    <w:div w:id="1482194644">
      <w:marLeft w:val="0"/>
      <w:marRight w:val="0"/>
      <w:marTop w:val="0"/>
      <w:marBottom w:val="0"/>
      <w:divBdr>
        <w:top w:val="none" w:sz="0" w:space="0" w:color="auto"/>
        <w:left w:val="none" w:sz="0" w:space="0" w:color="auto"/>
        <w:bottom w:val="none" w:sz="0" w:space="0" w:color="auto"/>
        <w:right w:val="none" w:sz="0" w:space="0" w:color="auto"/>
      </w:divBdr>
      <w:divsChild>
        <w:div w:id="1482194645">
          <w:marLeft w:val="0"/>
          <w:marRight w:val="0"/>
          <w:marTop w:val="0"/>
          <w:marBottom w:val="0"/>
          <w:divBdr>
            <w:top w:val="none" w:sz="0" w:space="0" w:color="auto"/>
            <w:left w:val="none" w:sz="0" w:space="0" w:color="auto"/>
            <w:bottom w:val="none" w:sz="0" w:space="0" w:color="auto"/>
            <w:right w:val="none" w:sz="0" w:space="0" w:color="auto"/>
          </w:divBdr>
          <w:divsChild>
            <w:div w:id="1482194643">
              <w:marLeft w:val="0"/>
              <w:marRight w:val="0"/>
              <w:marTop w:val="0"/>
              <w:marBottom w:val="0"/>
              <w:divBdr>
                <w:top w:val="none" w:sz="0" w:space="0" w:color="auto"/>
                <w:left w:val="none" w:sz="0" w:space="0" w:color="auto"/>
                <w:bottom w:val="none" w:sz="0" w:space="0" w:color="auto"/>
                <w:right w:val="none" w:sz="0" w:space="0" w:color="auto"/>
              </w:divBdr>
              <w:divsChild>
                <w:div w:id="1482194642">
                  <w:marLeft w:val="0"/>
                  <w:marRight w:val="0"/>
                  <w:marTop w:val="0"/>
                  <w:marBottom w:val="0"/>
                  <w:divBdr>
                    <w:top w:val="none" w:sz="0" w:space="0" w:color="auto"/>
                    <w:left w:val="none" w:sz="0" w:space="0" w:color="auto"/>
                    <w:bottom w:val="none" w:sz="0" w:space="0" w:color="auto"/>
                    <w:right w:val="none" w:sz="0" w:space="0" w:color="auto"/>
                  </w:divBdr>
                  <w:divsChild>
                    <w:div w:id="1482194636">
                      <w:marLeft w:val="0"/>
                      <w:marRight w:val="0"/>
                      <w:marTop w:val="0"/>
                      <w:marBottom w:val="0"/>
                      <w:divBdr>
                        <w:top w:val="none" w:sz="0" w:space="0" w:color="auto"/>
                        <w:left w:val="none" w:sz="0" w:space="0" w:color="auto"/>
                        <w:bottom w:val="none" w:sz="0" w:space="0" w:color="auto"/>
                        <w:right w:val="none" w:sz="0" w:space="0" w:color="auto"/>
                      </w:divBdr>
                      <w:divsChild>
                        <w:div w:id="1482194635">
                          <w:marLeft w:val="0"/>
                          <w:marRight w:val="0"/>
                          <w:marTop w:val="0"/>
                          <w:marBottom w:val="0"/>
                          <w:divBdr>
                            <w:top w:val="none" w:sz="0" w:space="0" w:color="auto"/>
                            <w:left w:val="none" w:sz="0" w:space="0" w:color="auto"/>
                            <w:bottom w:val="none" w:sz="0" w:space="0" w:color="auto"/>
                            <w:right w:val="none" w:sz="0" w:space="0" w:color="auto"/>
                          </w:divBdr>
                          <w:divsChild>
                            <w:div w:id="148219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194646">
      <w:marLeft w:val="0"/>
      <w:marRight w:val="0"/>
      <w:marTop w:val="0"/>
      <w:marBottom w:val="0"/>
      <w:divBdr>
        <w:top w:val="none" w:sz="0" w:space="0" w:color="auto"/>
        <w:left w:val="none" w:sz="0" w:space="0" w:color="auto"/>
        <w:bottom w:val="none" w:sz="0" w:space="0" w:color="auto"/>
        <w:right w:val="none" w:sz="0" w:space="0" w:color="auto"/>
      </w:divBdr>
    </w:div>
    <w:div w:id="1482194647">
      <w:marLeft w:val="0"/>
      <w:marRight w:val="0"/>
      <w:marTop w:val="0"/>
      <w:marBottom w:val="0"/>
      <w:divBdr>
        <w:top w:val="none" w:sz="0" w:space="0" w:color="auto"/>
        <w:left w:val="none" w:sz="0" w:space="0" w:color="auto"/>
        <w:bottom w:val="none" w:sz="0" w:space="0" w:color="auto"/>
        <w:right w:val="none" w:sz="0" w:space="0" w:color="auto"/>
      </w:divBdr>
    </w:div>
    <w:div w:id="1482194648">
      <w:marLeft w:val="0"/>
      <w:marRight w:val="0"/>
      <w:marTop w:val="0"/>
      <w:marBottom w:val="0"/>
      <w:divBdr>
        <w:top w:val="none" w:sz="0" w:space="0" w:color="auto"/>
        <w:left w:val="none" w:sz="0" w:space="0" w:color="auto"/>
        <w:bottom w:val="none" w:sz="0" w:space="0" w:color="auto"/>
        <w:right w:val="none" w:sz="0" w:space="0" w:color="auto"/>
      </w:divBdr>
    </w:div>
    <w:div w:id="1482194649">
      <w:marLeft w:val="0"/>
      <w:marRight w:val="0"/>
      <w:marTop w:val="0"/>
      <w:marBottom w:val="0"/>
      <w:divBdr>
        <w:top w:val="none" w:sz="0" w:space="0" w:color="auto"/>
        <w:left w:val="none" w:sz="0" w:space="0" w:color="auto"/>
        <w:bottom w:val="none" w:sz="0" w:space="0" w:color="auto"/>
        <w:right w:val="none" w:sz="0" w:space="0" w:color="auto"/>
      </w:divBdr>
    </w:div>
    <w:div w:id="1482194650">
      <w:marLeft w:val="0"/>
      <w:marRight w:val="0"/>
      <w:marTop w:val="0"/>
      <w:marBottom w:val="0"/>
      <w:divBdr>
        <w:top w:val="none" w:sz="0" w:space="0" w:color="auto"/>
        <w:left w:val="none" w:sz="0" w:space="0" w:color="auto"/>
        <w:bottom w:val="none" w:sz="0" w:space="0" w:color="auto"/>
        <w:right w:val="none" w:sz="0" w:space="0" w:color="auto"/>
      </w:divBdr>
    </w:div>
    <w:div w:id="172098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ustice.gov/02organizations/bpp.htm" TargetMode="Externa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7032</Words>
  <Characters>44352</Characters>
  <Application>Microsoft Office Word</Application>
  <DocSecurity>0</DocSecurity>
  <Lines>369</Lines>
  <Paragraphs>102</Paragraphs>
  <ScaleCrop>false</ScaleCrop>
  <HeadingPairs>
    <vt:vector size="2" baseType="variant">
      <vt:variant>
        <vt:lpstr>Title</vt:lpstr>
      </vt:variant>
      <vt:variant>
        <vt:i4>1</vt:i4>
      </vt:variant>
    </vt:vector>
  </HeadingPairs>
  <TitlesOfParts>
    <vt:vector size="1" baseType="lpstr">
      <vt:lpstr>DRAFT</vt:lpstr>
    </vt:vector>
  </TitlesOfParts>
  <Company>Department of Justice</Company>
  <LinksUpToDate>false</LinksUpToDate>
  <CharactersWithSpaces>51282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debjones</dc:creator>
  <cp:lastModifiedBy>rlin</cp:lastModifiedBy>
  <cp:revision>2</cp:revision>
  <cp:lastPrinted>2011-02-01T16:41:00Z</cp:lastPrinted>
  <dcterms:created xsi:type="dcterms:W3CDTF">2011-02-08T21:17:00Z</dcterms:created>
  <dcterms:modified xsi:type="dcterms:W3CDTF">2011-02-08T21:17:00Z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