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95" w:rsidRDefault="00F56595" w:rsidP="00B416DD">
      <w:pPr>
        <w:pStyle w:val="Footer"/>
        <w:tabs>
          <w:tab w:val="clear" w:pos="8640"/>
          <w:tab w:val="left" w:leader="dot" w:pos="4320"/>
        </w:tabs>
        <w:jc w:val="center"/>
        <w:rPr>
          <w:rFonts w:ascii="Times New Roman" w:hAnsi="Times New Roman"/>
          <w:b/>
          <w:sz w:val="36"/>
        </w:rPr>
      </w:pPr>
      <w:smartTag w:uri="urn:schemas-microsoft-com:office:smarttags" w:element="country-region">
        <w:smartTag w:uri="urn:schemas-microsoft-com:office:smarttags" w:element="place">
          <w:r>
            <w:rPr>
              <w:rFonts w:ascii="Times New Roman" w:hAnsi="Times New Roman"/>
              <w:b/>
              <w:sz w:val="36"/>
            </w:rPr>
            <w:t>U.S.</w:t>
          </w:r>
        </w:smartTag>
      </w:smartTag>
      <w:r>
        <w:rPr>
          <w:rFonts w:ascii="Times New Roman" w:hAnsi="Times New Roman"/>
          <w:b/>
          <w:sz w:val="36"/>
        </w:rPr>
        <w:t xml:space="preserve"> Department of Justice</w:t>
      </w:r>
    </w:p>
    <w:p w:rsidR="00F56595" w:rsidRDefault="00F56595" w:rsidP="00B416DD">
      <w:pPr>
        <w:pStyle w:val="Footer"/>
        <w:tabs>
          <w:tab w:val="clear" w:pos="8640"/>
          <w:tab w:val="left" w:leader="dot" w:pos="4320"/>
        </w:tabs>
        <w:jc w:val="center"/>
        <w:rPr>
          <w:rFonts w:ascii="Times New Roman" w:hAnsi="Times New Roman"/>
          <w:b/>
          <w:sz w:val="36"/>
        </w:rPr>
      </w:pPr>
    </w:p>
    <w:p w:rsidR="00F56595" w:rsidRDefault="00F56595" w:rsidP="00B416DD">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FY 2012 PERFORMANCE BUDGET</w:t>
      </w:r>
    </w:p>
    <w:p w:rsidR="00F56595" w:rsidRDefault="002C7194" w:rsidP="00B416DD">
      <w:pPr>
        <w:pStyle w:val="Footer"/>
        <w:tabs>
          <w:tab w:val="clear" w:pos="8640"/>
          <w:tab w:val="left" w:leader="dot" w:pos="4320"/>
        </w:tabs>
        <w:jc w:val="center"/>
        <w:rPr>
          <w:rFonts w:ascii="Times New Roman" w:hAnsi="Times New Roman"/>
          <w:b/>
          <w:sz w:val="36"/>
        </w:rPr>
      </w:pPr>
      <w:r>
        <w:rPr>
          <w:rFonts w:ascii="Times New Roman" w:hAnsi="Times New Roman"/>
          <w:b/>
          <w:sz w:val="36"/>
        </w:rPr>
        <w:t>Congressional Justification</w:t>
      </w:r>
    </w:p>
    <w:p w:rsidR="00F56595" w:rsidRDefault="00F56595" w:rsidP="00B416DD">
      <w:pPr>
        <w:pStyle w:val="Footer"/>
        <w:tabs>
          <w:tab w:val="clear" w:pos="8640"/>
          <w:tab w:val="left" w:leader="dot" w:pos="4320"/>
        </w:tabs>
        <w:jc w:val="center"/>
        <w:rPr>
          <w:rFonts w:ascii="Times New Roman" w:hAnsi="Times New Roman"/>
          <w:b/>
          <w:sz w:val="36"/>
        </w:rPr>
      </w:pPr>
    </w:p>
    <w:p w:rsidR="00F56595" w:rsidRPr="00016410" w:rsidRDefault="00F56595" w:rsidP="00B416DD">
      <w:pPr>
        <w:pStyle w:val="Heading1"/>
        <w:tabs>
          <w:tab w:val="left" w:leader="dot" w:pos="7920"/>
          <w:tab w:val="right" w:pos="8640"/>
        </w:tabs>
        <w:rPr>
          <w:rFonts w:ascii="Times New Roman" w:hAnsi="Times New Roman"/>
        </w:rPr>
      </w:pPr>
      <w:r>
        <w:rPr>
          <w:rFonts w:ascii="Times New Roman" w:hAnsi="Times New Roman"/>
          <w:b w:val="0"/>
          <w:sz w:val="36"/>
        </w:rPr>
        <w:t>Law Enforcement Wireless Communications (LEWC)</w:t>
      </w:r>
    </w:p>
    <w:p w:rsidR="00F56595" w:rsidRDefault="00F56595" w:rsidP="00FA2839">
      <w:pPr>
        <w:pStyle w:val="ListParagraph"/>
      </w:pPr>
      <w:r>
        <w:br w:type="page"/>
      </w:r>
    </w:p>
    <w:p w:rsidR="00F56595" w:rsidRDefault="00F56595">
      <w:pPr>
        <w:pStyle w:val="Heading1"/>
        <w:tabs>
          <w:tab w:val="left" w:leader="dot" w:pos="7920"/>
          <w:tab w:val="right" w:pos="8640"/>
        </w:tabs>
        <w:rPr>
          <w:rFonts w:ascii="Times New Roman" w:hAnsi="Times New Roman"/>
        </w:rPr>
      </w:pPr>
      <w:r>
        <w:rPr>
          <w:rFonts w:ascii="Times New Roman" w:hAnsi="Times New Roman"/>
        </w:rPr>
        <w:lastRenderedPageBreak/>
        <w:t>Table of Contents</w:t>
      </w:r>
    </w:p>
    <w:p w:rsidR="00F56595" w:rsidRDefault="00F56595">
      <w:pPr>
        <w:tabs>
          <w:tab w:val="left" w:leader="dot" w:pos="7920"/>
          <w:tab w:val="right" w:pos="8640"/>
        </w:tabs>
        <w:rPr>
          <w:b/>
        </w:rPr>
      </w:pPr>
    </w:p>
    <w:p w:rsidR="00F56595" w:rsidRDefault="00F56595" w:rsidP="00E0065D">
      <w:pPr>
        <w:pStyle w:val="xl19"/>
        <w:tabs>
          <w:tab w:val="right" w:pos="8730"/>
        </w:tabs>
        <w:spacing w:before="0" w:after="0"/>
        <w:outlineLvl w:val="0"/>
        <w:rPr>
          <w:bCs/>
        </w:rPr>
      </w:pPr>
      <w:r>
        <w:rPr>
          <w:bCs/>
        </w:rPr>
        <w:tab/>
        <w:t>Page No.</w:t>
      </w:r>
    </w:p>
    <w:p w:rsidR="00F56595" w:rsidRDefault="00F56595" w:rsidP="00E0065D">
      <w:pPr>
        <w:pStyle w:val="xl19"/>
        <w:tabs>
          <w:tab w:val="right" w:pos="8730"/>
        </w:tabs>
        <w:spacing w:before="0" w:after="0"/>
        <w:outlineLvl w:val="0"/>
        <w:rPr>
          <w:bCs/>
        </w:rPr>
      </w:pPr>
    </w:p>
    <w:p w:rsidR="00F56595" w:rsidRPr="00E0065D" w:rsidRDefault="00F56595" w:rsidP="0047615A">
      <w:pPr>
        <w:pStyle w:val="xl19"/>
        <w:tabs>
          <w:tab w:val="right" w:leader="dot" w:pos="8400"/>
          <w:tab w:val="right" w:leader="dot" w:pos="8730"/>
        </w:tabs>
        <w:spacing w:before="0" w:after="0"/>
        <w:outlineLvl w:val="0"/>
        <w:rPr>
          <w:b/>
          <w:bCs/>
        </w:rPr>
      </w:pPr>
      <w:r w:rsidRPr="00E0065D">
        <w:rPr>
          <w:b/>
          <w:bCs/>
        </w:rPr>
        <w:t xml:space="preserve">I.  </w:t>
      </w:r>
      <w:r>
        <w:rPr>
          <w:b/>
          <w:bCs/>
        </w:rPr>
        <w:t xml:space="preserve">   </w:t>
      </w:r>
      <w:r w:rsidRPr="00E0065D">
        <w:rPr>
          <w:b/>
          <w:bCs/>
        </w:rPr>
        <w:t>Overview</w:t>
      </w:r>
      <w:r>
        <w:rPr>
          <w:b/>
          <w:bCs/>
        </w:rPr>
        <w:t>…</w:t>
      </w:r>
      <w:r>
        <w:rPr>
          <w:b/>
          <w:bCs/>
        </w:rPr>
        <w:tab/>
        <w:t>3</w:t>
      </w:r>
    </w:p>
    <w:p w:rsidR="00F56595" w:rsidRPr="00E0065D" w:rsidRDefault="00F56595" w:rsidP="00163AD7">
      <w:pPr>
        <w:pStyle w:val="xl19"/>
        <w:tabs>
          <w:tab w:val="right" w:pos="8730"/>
        </w:tabs>
        <w:spacing w:before="0" w:after="0"/>
        <w:ind w:firstLine="720"/>
        <w:outlineLvl w:val="0"/>
        <w:rPr>
          <w:b/>
          <w:bCs/>
        </w:rPr>
      </w:pPr>
    </w:p>
    <w:p w:rsidR="00F56595" w:rsidRDefault="00F56595" w:rsidP="00D66F19">
      <w:pPr>
        <w:pStyle w:val="xl19"/>
        <w:tabs>
          <w:tab w:val="right" w:leader="dot" w:pos="8400"/>
          <w:tab w:val="right" w:leader="dot" w:pos="8730"/>
        </w:tabs>
        <w:spacing w:before="0" w:after="0"/>
        <w:outlineLvl w:val="0"/>
        <w:rPr>
          <w:b/>
          <w:bCs/>
        </w:rPr>
      </w:pPr>
      <w:r w:rsidRPr="00E0065D">
        <w:rPr>
          <w:b/>
          <w:bCs/>
        </w:rPr>
        <w:t>II</w:t>
      </w:r>
      <w:r>
        <w:rPr>
          <w:b/>
          <w:bCs/>
        </w:rPr>
        <w:t>.   S</w:t>
      </w:r>
      <w:r w:rsidRPr="00E0065D">
        <w:rPr>
          <w:b/>
          <w:bCs/>
        </w:rPr>
        <w:t>ummary of Program Changes</w:t>
      </w:r>
      <w:r>
        <w:rPr>
          <w:b/>
          <w:bCs/>
        </w:rPr>
        <w:tab/>
      </w:r>
      <w:r w:rsidR="00D66F19">
        <w:rPr>
          <w:b/>
          <w:bCs/>
        </w:rPr>
        <w:t>9</w:t>
      </w:r>
    </w:p>
    <w:p w:rsidR="00F56595" w:rsidRDefault="00F56595" w:rsidP="00EE7701">
      <w:pPr>
        <w:pStyle w:val="xl19"/>
        <w:tabs>
          <w:tab w:val="right" w:leader="dot" w:pos="7920"/>
          <w:tab w:val="right" w:leader="dot" w:pos="8730"/>
        </w:tabs>
        <w:spacing w:before="0" w:after="0"/>
        <w:outlineLvl w:val="0"/>
        <w:rPr>
          <w:b/>
          <w:bCs/>
        </w:rPr>
      </w:pPr>
    </w:p>
    <w:p w:rsidR="00F56595" w:rsidRPr="00E0065D" w:rsidRDefault="00F56595" w:rsidP="0047615A">
      <w:pPr>
        <w:pStyle w:val="xl19"/>
        <w:tabs>
          <w:tab w:val="left" w:leader="dot" w:pos="8160"/>
          <w:tab w:val="right" w:pos="8640"/>
        </w:tabs>
        <w:spacing w:before="0" w:after="0"/>
        <w:ind w:left="360" w:hanging="360"/>
        <w:rPr>
          <w:b/>
          <w:bCs/>
        </w:rPr>
      </w:pPr>
      <w:r w:rsidRPr="00E0065D">
        <w:rPr>
          <w:b/>
        </w:rPr>
        <w:t>I</w:t>
      </w:r>
      <w:r w:rsidR="00475CE0">
        <w:rPr>
          <w:b/>
        </w:rPr>
        <w:t>II</w:t>
      </w:r>
      <w:r w:rsidRPr="00E0065D">
        <w:rPr>
          <w:b/>
        </w:rPr>
        <w:t>. Appropriations Language and Anal</w:t>
      </w:r>
      <w:r>
        <w:rPr>
          <w:b/>
        </w:rPr>
        <w:t>ysis of Appropriations Language</w:t>
      </w:r>
      <w:r>
        <w:rPr>
          <w:b/>
        </w:rPr>
        <w:tab/>
        <w:t>1</w:t>
      </w:r>
      <w:r w:rsidR="00D66F19">
        <w:rPr>
          <w:b/>
        </w:rPr>
        <w:t>0</w:t>
      </w:r>
      <w:r>
        <w:rPr>
          <w:b/>
        </w:rPr>
        <w:t xml:space="preserve"> </w:t>
      </w:r>
    </w:p>
    <w:p w:rsidR="00F56595" w:rsidRPr="00E0065D" w:rsidRDefault="00F56595">
      <w:pPr>
        <w:pStyle w:val="xl27"/>
        <w:tabs>
          <w:tab w:val="left" w:leader="dot" w:pos="7920"/>
          <w:tab w:val="right" w:pos="8640"/>
        </w:tabs>
        <w:spacing w:before="0" w:after="0"/>
        <w:rPr>
          <w:rFonts w:ascii="Times New Roman" w:hAnsi="Times New Roman" w:cs="Arial"/>
          <w:szCs w:val="24"/>
        </w:rPr>
      </w:pPr>
    </w:p>
    <w:p w:rsidR="00F56595" w:rsidRDefault="00475CE0" w:rsidP="0047615A">
      <w:pPr>
        <w:pStyle w:val="xl27"/>
        <w:tabs>
          <w:tab w:val="left" w:leader="dot" w:pos="8160"/>
          <w:tab w:val="right" w:pos="8640"/>
        </w:tabs>
        <w:spacing w:before="0" w:after="0"/>
        <w:rPr>
          <w:rFonts w:ascii="Times New Roman" w:hAnsi="Times New Roman" w:cs="Arial"/>
          <w:szCs w:val="24"/>
        </w:rPr>
      </w:pPr>
      <w:r>
        <w:rPr>
          <w:rFonts w:ascii="Times New Roman" w:hAnsi="Times New Roman" w:cs="Arial"/>
          <w:szCs w:val="24"/>
        </w:rPr>
        <w:t>I</w:t>
      </w:r>
      <w:r w:rsidR="00F56595">
        <w:rPr>
          <w:rFonts w:ascii="Times New Roman" w:hAnsi="Times New Roman" w:cs="Arial"/>
          <w:szCs w:val="24"/>
        </w:rPr>
        <w:t>V</w:t>
      </w:r>
      <w:r w:rsidR="00147220">
        <w:rPr>
          <w:rFonts w:ascii="Times New Roman" w:hAnsi="Times New Roman" w:cs="Arial"/>
          <w:szCs w:val="24"/>
        </w:rPr>
        <w:t>. Decision Unit Justification</w:t>
      </w:r>
      <w:r w:rsidR="00147220">
        <w:rPr>
          <w:rFonts w:ascii="Times New Roman" w:hAnsi="Times New Roman" w:cs="Arial"/>
          <w:szCs w:val="24"/>
        </w:rPr>
        <w:tab/>
        <w:t>1</w:t>
      </w:r>
      <w:r w:rsidR="00D66F19">
        <w:rPr>
          <w:rFonts w:ascii="Times New Roman" w:hAnsi="Times New Roman" w:cs="Arial"/>
          <w:szCs w:val="24"/>
        </w:rPr>
        <w:t>1</w:t>
      </w:r>
    </w:p>
    <w:p w:rsidR="00F56595" w:rsidRDefault="00F56595">
      <w:pPr>
        <w:tabs>
          <w:tab w:val="left" w:leader="dot" w:pos="7920"/>
          <w:tab w:val="right" w:pos="8640"/>
        </w:tabs>
        <w:rPr>
          <w:bCs/>
        </w:rPr>
      </w:pPr>
      <w:r>
        <w:rPr>
          <w:bCs/>
        </w:rPr>
        <w:t xml:space="preserve">     </w:t>
      </w:r>
    </w:p>
    <w:p w:rsidR="00F56595" w:rsidRDefault="00F56595" w:rsidP="00EE7701">
      <w:pPr>
        <w:tabs>
          <w:tab w:val="left" w:leader="dot" w:pos="7920"/>
          <w:tab w:val="right" w:pos="8640"/>
        </w:tabs>
        <w:rPr>
          <w:bCs/>
        </w:rPr>
      </w:pPr>
      <w:r>
        <w:rPr>
          <w:bCs/>
        </w:rPr>
        <w:t xml:space="preserve">     A. Law Enforcement Wireless Communications</w:t>
      </w:r>
    </w:p>
    <w:p w:rsidR="00F56595" w:rsidRDefault="00F56595">
      <w:pPr>
        <w:tabs>
          <w:tab w:val="left" w:leader="dot" w:pos="7920"/>
          <w:tab w:val="right" w:pos="8640"/>
        </w:tabs>
        <w:rPr>
          <w:bCs/>
        </w:rPr>
      </w:pPr>
      <w:r>
        <w:rPr>
          <w:bCs/>
        </w:rPr>
        <w:t xml:space="preserve">           1.  Program Description</w:t>
      </w:r>
    </w:p>
    <w:p w:rsidR="00F56595" w:rsidRDefault="00F56595">
      <w:pPr>
        <w:tabs>
          <w:tab w:val="left" w:leader="dot" w:pos="7920"/>
          <w:tab w:val="right" w:pos="8640"/>
        </w:tabs>
        <w:rPr>
          <w:bCs/>
        </w:rPr>
      </w:pPr>
      <w:r>
        <w:rPr>
          <w:bCs/>
        </w:rPr>
        <w:t xml:space="preserve">           2.  Performance Tables</w:t>
      </w:r>
    </w:p>
    <w:p w:rsidR="00F56595" w:rsidRDefault="00F56595">
      <w:pPr>
        <w:tabs>
          <w:tab w:val="left" w:leader="dot" w:pos="7920"/>
          <w:tab w:val="right" w:pos="8640"/>
        </w:tabs>
      </w:pPr>
      <w:r>
        <w:rPr>
          <w:bCs/>
        </w:rPr>
        <w:t xml:space="preserve">           3.  </w:t>
      </w:r>
      <w:r>
        <w:t>Performance, Resources, and Strategies</w:t>
      </w:r>
    </w:p>
    <w:p w:rsidR="00F56595" w:rsidRDefault="00F56595" w:rsidP="00AE3308">
      <w:pPr>
        <w:tabs>
          <w:tab w:val="left" w:leader="dot" w:pos="7920"/>
          <w:tab w:val="right" w:pos="8640"/>
        </w:tabs>
        <w:rPr>
          <w:bCs/>
        </w:rPr>
      </w:pPr>
    </w:p>
    <w:p w:rsidR="00F56595" w:rsidRPr="00CA09EF" w:rsidRDefault="00F56595" w:rsidP="0047615A">
      <w:pPr>
        <w:tabs>
          <w:tab w:val="left" w:leader="dot" w:pos="8160"/>
          <w:tab w:val="right" w:pos="8640"/>
        </w:tabs>
        <w:rPr>
          <w:b/>
          <w:bCs/>
        </w:rPr>
      </w:pPr>
      <w:r w:rsidRPr="00CA09EF">
        <w:rPr>
          <w:b/>
          <w:bCs/>
        </w:rPr>
        <w:t>V</w:t>
      </w:r>
      <w:r>
        <w:rPr>
          <w:b/>
          <w:bCs/>
        </w:rPr>
        <w:t xml:space="preserve">. </w:t>
      </w:r>
      <w:r w:rsidRPr="00CA09EF">
        <w:rPr>
          <w:b/>
          <w:bCs/>
        </w:rPr>
        <w:t>Program Offsets by Item</w:t>
      </w:r>
      <w:r w:rsidR="00147220">
        <w:rPr>
          <w:b/>
          <w:bCs/>
        </w:rPr>
        <w:tab/>
        <w:t>1</w:t>
      </w:r>
      <w:r w:rsidR="007B022F">
        <w:rPr>
          <w:b/>
          <w:bCs/>
        </w:rPr>
        <w:t>5</w:t>
      </w:r>
    </w:p>
    <w:p w:rsidR="00F56595" w:rsidRDefault="00F56595" w:rsidP="00AA3992">
      <w:pPr>
        <w:tabs>
          <w:tab w:val="left" w:leader="dot" w:pos="7920"/>
          <w:tab w:val="right" w:pos="8640"/>
        </w:tabs>
        <w:rPr>
          <w:bCs/>
        </w:rPr>
      </w:pPr>
    </w:p>
    <w:p w:rsidR="00F56595" w:rsidRDefault="00F56595" w:rsidP="00AA3992">
      <w:pPr>
        <w:tabs>
          <w:tab w:val="left" w:leader="dot" w:pos="7920"/>
          <w:tab w:val="right" w:pos="8640"/>
        </w:tabs>
        <w:rPr>
          <w:bCs/>
        </w:rPr>
      </w:pPr>
      <w:r>
        <w:rPr>
          <w:bCs/>
        </w:rPr>
        <w:t xml:space="preserve">     A. Administrative Efficiencies</w:t>
      </w:r>
    </w:p>
    <w:p w:rsidR="00F56595" w:rsidRDefault="00F56595" w:rsidP="00AA3992">
      <w:pPr>
        <w:tabs>
          <w:tab w:val="left" w:leader="dot" w:pos="7920"/>
          <w:tab w:val="right" w:pos="8640"/>
        </w:tabs>
        <w:rPr>
          <w:bCs/>
        </w:rPr>
      </w:pPr>
      <w:r>
        <w:rPr>
          <w:bCs/>
        </w:rPr>
        <w:t xml:space="preserve">     B. </w:t>
      </w:r>
      <w:r w:rsidR="009C47AE">
        <w:rPr>
          <w:bCs/>
        </w:rPr>
        <w:t>Extend Tech</w:t>
      </w:r>
      <w:r>
        <w:rPr>
          <w:bCs/>
        </w:rPr>
        <w:t xml:space="preserve"> Refresh</w:t>
      </w:r>
    </w:p>
    <w:p w:rsidR="00304642" w:rsidRDefault="00304642" w:rsidP="00AA3992">
      <w:pPr>
        <w:tabs>
          <w:tab w:val="left" w:leader="dot" w:pos="7920"/>
          <w:tab w:val="right" w:pos="8640"/>
        </w:tabs>
        <w:rPr>
          <w:bCs/>
        </w:rPr>
      </w:pPr>
      <w:r>
        <w:rPr>
          <w:bCs/>
        </w:rPr>
        <w:t xml:space="preserve">     C. Development and Operations</w:t>
      </w:r>
    </w:p>
    <w:p w:rsidR="00F56595" w:rsidRDefault="00F56595" w:rsidP="00AA3992">
      <w:pPr>
        <w:tabs>
          <w:tab w:val="left" w:leader="dot" w:pos="7920"/>
          <w:tab w:val="right" w:pos="8640"/>
        </w:tabs>
        <w:rPr>
          <w:bCs/>
        </w:rPr>
      </w:pPr>
    </w:p>
    <w:p w:rsidR="00F56595" w:rsidRDefault="00333034" w:rsidP="0047615A">
      <w:pPr>
        <w:pStyle w:val="xl27"/>
        <w:tabs>
          <w:tab w:val="left" w:leader="dot" w:pos="8160"/>
          <w:tab w:val="right" w:pos="8640"/>
        </w:tabs>
        <w:spacing w:before="0" w:after="0"/>
        <w:rPr>
          <w:rFonts w:ascii="Times New Roman" w:hAnsi="Times New Roman"/>
          <w:bCs/>
          <w:szCs w:val="24"/>
        </w:rPr>
      </w:pPr>
      <w:r>
        <w:rPr>
          <w:rFonts w:ascii="Times New Roman" w:hAnsi="Times New Roman"/>
          <w:bCs/>
          <w:szCs w:val="24"/>
        </w:rPr>
        <w:t>VI</w:t>
      </w:r>
      <w:r w:rsidR="00147220">
        <w:rPr>
          <w:rFonts w:ascii="Times New Roman" w:hAnsi="Times New Roman"/>
          <w:bCs/>
          <w:szCs w:val="24"/>
        </w:rPr>
        <w:t>. Exhibits</w:t>
      </w:r>
      <w:r w:rsidR="00147220">
        <w:rPr>
          <w:rFonts w:ascii="Times New Roman" w:hAnsi="Times New Roman"/>
          <w:bCs/>
          <w:szCs w:val="24"/>
        </w:rPr>
        <w:tab/>
      </w:r>
      <w:r w:rsidR="005478B2">
        <w:rPr>
          <w:rFonts w:ascii="Times New Roman" w:hAnsi="Times New Roman"/>
          <w:bCs/>
          <w:szCs w:val="24"/>
        </w:rPr>
        <w:t>19</w:t>
      </w:r>
    </w:p>
    <w:p w:rsidR="00F56595" w:rsidRDefault="00F56595">
      <w:pPr>
        <w:tabs>
          <w:tab w:val="left" w:leader="dot" w:pos="7920"/>
          <w:tab w:val="right" w:pos="8640"/>
        </w:tabs>
        <w:outlineLvl w:val="0"/>
        <w:rPr>
          <w:b/>
          <w:bCs/>
        </w:rPr>
      </w:pPr>
    </w:p>
    <w:p w:rsidR="00F56595" w:rsidRDefault="00F56595" w:rsidP="00993556">
      <w:pPr>
        <w:numPr>
          <w:ilvl w:val="0"/>
          <w:numId w:val="14"/>
        </w:numPr>
        <w:tabs>
          <w:tab w:val="left" w:leader="dot" w:pos="7920"/>
          <w:tab w:val="right" w:pos="8640"/>
        </w:tabs>
        <w:outlineLvl w:val="0"/>
        <w:rPr>
          <w:bCs/>
        </w:rPr>
      </w:pPr>
      <w:r>
        <w:t>Organizational Chart</w:t>
      </w:r>
    </w:p>
    <w:p w:rsidR="00F56595" w:rsidRDefault="00F56595">
      <w:pPr>
        <w:pStyle w:val="xl19"/>
        <w:tabs>
          <w:tab w:val="left" w:leader="dot" w:pos="7920"/>
          <w:tab w:val="right" w:pos="8640"/>
        </w:tabs>
        <w:spacing w:before="0" w:after="0"/>
        <w:ind w:left="360"/>
        <w:rPr>
          <w:bCs/>
        </w:rPr>
      </w:pPr>
      <w:r>
        <w:rPr>
          <w:bCs/>
        </w:rPr>
        <w:t xml:space="preserve">B.  Summary of Requirements </w:t>
      </w:r>
    </w:p>
    <w:p w:rsidR="00F56595" w:rsidRDefault="00F56595">
      <w:pPr>
        <w:tabs>
          <w:tab w:val="left" w:leader="dot" w:pos="7920"/>
          <w:tab w:val="right" w:pos="8640"/>
        </w:tabs>
        <w:ind w:left="360"/>
        <w:rPr>
          <w:bCs/>
        </w:rPr>
      </w:pPr>
      <w:r>
        <w:rPr>
          <w:bCs/>
        </w:rPr>
        <w:t xml:space="preserve">C.  Program Increases by Decision Unit </w:t>
      </w:r>
    </w:p>
    <w:p w:rsidR="00F56595" w:rsidRPr="004B775C" w:rsidRDefault="00F56595" w:rsidP="004B775C">
      <w:pPr>
        <w:numPr>
          <w:ilvl w:val="0"/>
          <w:numId w:val="15"/>
        </w:numPr>
        <w:tabs>
          <w:tab w:val="left" w:leader="dot" w:pos="7920"/>
          <w:tab w:val="right" w:pos="8640"/>
        </w:tabs>
        <w:rPr>
          <w:bCs/>
        </w:rPr>
      </w:pPr>
      <w:r w:rsidRPr="004B775C">
        <w:rPr>
          <w:bCs/>
        </w:rPr>
        <w:t xml:space="preserve">Resources by DOJ Strategic Goal/Objective </w:t>
      </w:r>
    </w:p>
    <w:p w:rsidR="00F56595" w:rsidRDefault="00F56595">
      <w:pPr>
        <w:numPr>
          <w:ilvl w:val="0"/>
          <w:numId w:val="15"/>
        </w:numPr>
        <w:tabs>
          <w:tab w:val="left" w:leader="dot" w:pos="7920"/>
          <w:tab w:val="right" w:pos="8640"/>
        </w:tabs>
        <w:rPr>
          <w:bCs/>
        </w:rPr>
      </w:pPr>
      <w:r w:rsidRPr="004B775C">
        <w:rPr>
          <w:bCs/>
        </w:rPr>
        <w:t>Justification for Base Adjustments</w:t>
      </w:r>
    </w:p>
    <w:p w:rsidR="00F56595" w:rsidRDefault="00F56595">
      <w:pPr>
        <w:numPr>
          <w:ilvl w:val="0"/>
          <w:numId w:val="15"/>
        </w:numPr>
        <w:tabs>
          <w:tab w:val="left" w:leader="dot" w:pos="7920"/>
          <w:tab w:val="right" w:pos="8640"/>
        </w:tabs>
        <w:rPr>
          <w:bCs/>
        </w:rPr>
      </w:pPr>
      <w:r>
        <w:rPr>
          <w:bCs/>
        </w:rPr>
        <w:t>Crosswalk of 2010 Availability</w:t>
      </w:r>
    </w:p>
    <w:p w:rsidR="00F56595" w:rsidRPr="00D14978" w:rsidRDefault="00F56595">
      <w:pPr>
        <w:numPr>
          <w:ilvl w:val="0"/>
          <w:numId w:val="15"/>
        </w:numPr>
        <w:tabs>
          <w:tab w:val="left" w:leader="dot" w:pos="7920"/>
          <w:tab w:val="right" w:pos="8640"/>
        </w:tabs>
        <w:rPr>
          <w:bCs/>
          <w:i/>
        </w:rPr>
      </w:pPr>
      <w:r w:rsidRPr="00792186">
        <w:rPr>
          <w:bCs/>
        </w:rPr>
        <w:t>Crosswalk of 2011 Availability</w:t>
      </w:r>
      <w:r>
        <w:rPr>
          <w:bCs/>
        </w:rPr>
        <w:t xml:space="preserve"> </w:t>
      </w:r>
    </w:p>
    <w:p w:rsidR="00F56595" w:rsidRDefault="00F56595">
      <w:pPr>
        <w:numPr>
          <w:ilvl w:val="0"/>
          <w:numId w:val="15"/>
        </w:numPr>
        <w:tabs>
          <w:tab w:val="left" w:leader="dot" w:pos="7920"/>
          <w:tab w:val="right" w:pos="8640"/>
        </w:tabs>
        <w:rPr>
          <w:bCs/>
        </w:rPr>
      </w:pPr>
      <w:r>
        <w:rPr>
          <w:bCs/>
        </w:rPr>
        <w:t>Summary of Reimbursable Resources</w:t>
      </w:r>
    </w:p>
    <w:p w:rsidR="00F56595" w:rsidRDefault="00F56595">
      <w:pPr>
        <w:numPr>
          <w:ilvl w:val="0"/>
          <w:numId w:val="15"/>
        </w:numPr>
        <w:tabs>
          <w:tab w:val="left" w:leader="dot" w:pos="7920"/>
          <w:tab w:val="right" w:pos="8640"/>
        </w:tabs>
        <w:rPr>
          <w:bCs/>
        </w:rPr>
      </w:pPr>
      <w:r>
        <w:rPr>
          <w:bCs/>
        </w:rPr>
        <w:t>Detail of Permanent Positions by Category</w:t>
      </w:r>
    </w:p>
    <w:p w:rsidR="00F56595" w:rsidRDefault="00F56595">
      <w:pPr>
        <w:numPr>
          <w:ilvl w:val="0"/>
          <w:numId w:val="15"/>
        </w:numPr>
        <w:tabs>
          <w:tab w:val="left" w:leader="dot" w:pos="7920"/>
          <w:tab w:val="right" w:pos="8640"/>
        </w:tabs>
        <w:rPr>
          <w:bCs/>
        </w:rPr>
      </w:pPr>
      <w:r>
        <w:rPr>
          <w:bCs/>
        </w:rPr>
        <w:t>Financial Analysis of Program Increases/Offsets</w:t>
      </w:r>
    </w:p>
    <w:p w:rsidR="00F56595" w:rsidRDefault="00F56595">
      <w:pPr>
        <w:numPr>
          <w:ilvl w:val="0"/>
          <w:numId w:val="15"/>
        </w:numPr>
        <w:tabs>
          <w:tab w:val="left" w:leader="dot" w:pos="7920"/>
          <w:tab w:val="right" w:pos="8640"/>
        </w:tabs>
        <w:rPr>
          <w:bCs/>
        </w:rPr>
      </w:pPr>
      <w:r>
        <w:rPr>
          <w:bCs/>
        </w:rPr>
        <w:lastRenderedPageBreak/>
        <w:t xml:space="preserve">Summary of Requirements by Grade </w:t>
      </w:r>
    </w:p>
    <w:p w:rsidR="00F56595" w:rsidRDefault="00F56595">
      <w:pPr>
        <w:numPr>
          <w:ilvl w:val="0"/>
          <w:numId w:val="15"/>
        </w:numPr>
        <w:tabs>
          <w:tab w:val="left" w:leader="dot" w:pos="7920"/>
          <w:tab w:val="right" w:pos="8640"/>
        </w:tabs>
        <w:rPr>
          <w:bCs/>
        </w:rPr>
      </w:pPr>
      <w:r>
        <w:rPr>
          <w:bCs/>
        </w:rPr>
        <w:t>Summary of Requirements by Object Class</w:t>
      </w:r>
    </w:p>
    <w:p w:rsidR="00F56595" w:rsidRDefault="00F56595" w:rsidP="007F6312">
      <w:pPr>
        <w:numPr>
          <w:ilvl w:val="0"/>
          <w:numId w:val="15"/>
        </w:numPr>
        <w:tabs>
          <w:tab w:val="left" w:leader="dot" w:pos="7920"/>
          <w:tab w:val="right" w:pos="8640"/>
        </w:tabs>
        <w:rPr>
          <w:bCs/>
        </w:rPr>
      </w:pPr>
      <w:r w:rsidRPr="004B775C">
        <w:rPr>
          <w:bCs/>
        </w:rPr>
        <w:t>Status of Congressionally Requested S</w:t>
      </w:r>
      <w:r w:rsidR="00D7757F">
        <w:rPr>
          <w:bCs/>
        </w:rPr>
        <w:t>tudies</w:t>
      </w:r>
      <w:r w:rsidR="00F71E21">
        <w:rPr>
          <w:bCs/>
        </w:rPr>
        <w:t xml:space="preserve"> - </w:t>
      </w:r>
      <w:r w:rsidR="00F71E21">
        <w:rPr>
          <w:b/>
        </w:rPr>
        <w:t>Not Applicable</w:t>
      </w:r>
    </w:p>
    <w:p w:rsidR="00F56595" w:rsidRPr="004B775C" w:rsidRDefault="00F56595" w:rsidP="007F6312">
      <w:pPr>
        <w:numPr>
          <w:ilvl w:val="0"/>
          <w:numId w:val="15"/>
        </w:numPr>
        <w:tabs>
          <w:tab w:val="left" w:leader="dot" w:pos="7920"/>
          <w:tab w:val="right" w:pos="8640"/>
        </w:tabs>
        <w:rPr>
          <w:bCs/>
        </w:rPr>
      </w:pPr>
      <w:r w:rsidRPr="004B775C">
        <w:rPr>
          <w:bCs/>
        </w:rPr>
        <w:t>Modular Costs for New Positions</w:t>
      </w:r>
      <w:r>
        <w:rPr>
          <w:bCs/>
        </w:rPr>
        <w:t xml:space="preserve"> - </w:t>
      </w:r>
      <w:r>
        <w:rPr>
          <w:b/>
        </w:rPr>
        <w:t>Not Applicable</w:t>
      </w:r>
    </w:p>
    <w:p w:rsidR="00F56595" w:rsidRPr="003D0806" w:rsidRDefault="00F56595" w:rsidP="007F6312">
      <w:pPr>
        <w:numPr>
          <w:ilvl w:val="0"/>
          <w:numId w:val="15"/>
        </w:numPr>
        <w:tabs>
          <w:tab w:val="left" w:leader="dot" w:pos="7920"/>
          <w:tab w:val="right" w:pos="8640"/>
        </w:tabs>
        <w:rPr>
          <w:bCs/>
        </w:rPr>
      </w:pPr>
      <w:r w:rsidRPr="004B775C">
        <w:rPr>
          <w:bCs/>
        </w:rPr>
        <w:t>Information on Overseas Staffing</w:t>
      </w:r>
      <w:r>
        <w:rPr>
          <w:bCs/>
        </w:rPr>
        <w:t xml:space="preserve"> - </w:t>
      </w:r>
      <w:r>
        <w:rPr>
          <w:b/>
        </w:rPr>
        <w:t>Not Applicable</w:t>
      </w:r>
    </w:p>
    <w:p w:rsidR="003D0806" w:rsidRDefault="003D0806" w:rsidP="003D0806">
      <w:pPr>
        <w:tabs>
          <w:tab w:val="left" w:leader="dot" w:pos="7920"/>
          <w:tab w:val="right" w:pos="8640"/>
        </w:tabs>
        <w:ind w:left="720"/>
        <w:rPr>
          <w:bCs/>
        </w:rPr>
      </w:pPr>
    </w:p>
    <w:p w:rsidR="00F56595" w:rsidRDefault="00F56595" w:rsidP="002C5589">
      <w:pPr>
        <w:tabs>
          <w:tab w:val="left" w:leader="dot" w:pos="7920"/>
          <w:tab w:val="right" w:pos="8640"/>
        </w:tabs>
        <w:ind w:left="360"/>
        <w:rPr>
          <w:bCs/>
        </w:rPr>
      </w:pPr>
    </w:p>
    <w:p w:rsidR="00F56595" w:rsidRDefault="00F56595" w:rsidP="001D1825">
      <w:pPr>
        <w:pStyle w:val="BodyTextIndent"/>
        <w:ind w:left="0"/>
        <w:rPr>
          <w:b/>
        </w:rPr>
      </w:pPr>
    </w:p>
    <w:p w:rsidR="00F56595" w:rsidRDefault="00F56595" w:rsidP="001D1825">
      <w:pPr>
        <w:pStyle w:val="BodyTextIndent"/>
        <w:ind w:left="0"/>
        <w:rPr>
          <w:b/>
        </w:rPr>
      </w:pPr>
    </w:p>
    <w:p w:rsidR="00F56595" w:rsidRDefault="00F56595" w:rsidP="001D1825">
      <w:pPr>
        <w:pStyle w:val="BodyTextIndent"/>
        <w:ind w:left="0"/>
        <w:rPr>
          <w:b/>
        </w:rPr>
      </w:pPr>
    </w:p>
    <w:p w:rsidR="00F56595" w:rsidRDefault="00F56595" w:rsidP="00DC5B93">
      <w:pPr>
        <w:pStyle w:val="Heading1"/>
        <w:numPr>
          <w:ilvl w:val="0"/>
          <w:numId w:val="31"/>
        </w:numPr>
        <w:jc w:val="left"/>
        <w:rPr>
          <w:rFonts w:ascii="Times New Roman" w:hAnsi="Times New Roman"/>
          <w:bCs/>
          <w:sz w:val="26"/>
          <w:szCs w:val="26"/>
        </w:rPr>
      </w:pPr>
      <w:bookmarkStart w:id="0" w:name="_Toc262821000"/>
      <w:r w:rsidRPr="00A75CBF">
        <w:rPr>
          <w:rFonts w:ascii="Times New Roman" w:hAnsi="Times New Roman"/>
          <w:bCs/>
          <w:sz w:val="26"/>
          <w:szCs w:val="26"/>
        </w:rPr>
        <w:t>Overview: Law Enforcement Wireless Communications (LEWC) Appropriation</w:t>
      </w:r>
      <w:bookmarkEnd w:id="0"/>
    </w:p>
    <w:p w:rsidR="00DC5B93" w:rsidRPr="00DC5B93" w:rsidRDefault="00DC5B93" w:rsidP="00DC5B93"/>
    <w:p w:rsidR="00DC5B93" w:rsidRPr="00A41B53" w:rsidRDefault="00F56595" w:rsidP="00DC5B93">
      <w:r w:rsidRPr="00A41B53">
        <w:t>In FY 2012, the Department of Justice (DOJ) Wireless Management Office (WMO) requests a total of 35 positions, 35 FTE, and $</w:t>
      </w:r>
      <w:r w:rsidR="004E29E4" w:rsidRPr="00A41B53">
        <w:t>102,751,000</w:t>
      </w:r>
      <w:r w:rsidRPr="00A41B53">
        <w:t xml:space="preserve"> in no-year funding to support </w:t>
      </w:r>
      <w:r w:rsidR="00366D7F">
        <w:t xml:space="preserve">the </w:t>
      </w:r>
      <w:r w:rsidRPr="00A41B53">
        <w:t>operation</w:t>
      </w:r>
      <w:r w:rsidR="00366D7F">
        <w:t>,</w:t>
      </w:r>
      <w:r w:rsidRPr="00A41B53">
        <w:t xml:space="preserve"> maintenance</w:t>
      </w:r>
      <w:r w:rsidR="00366D7F">
        <w:t>, and modernization</w:t>
      </w:r>
      <w:r w:rsidRPr="00A41B53">
        <w:t xml:space="preserve"> of </w:t>
      </w:r>
      <w:r w:rsidR="00366D7F">
        <w:t>DOJ</w:t>
      </w:r>
      <w:r w:rsidRPr="00A41B53">
        <w:rPr>
          <w:bCs/>
        </w:rPr>
        <w:t xml:space="preserve"> </w:t>
      </w:r>
      <w:r w:rsidR="00366D7F">
        <w:rPr>
          <w:bCs/>
        </w:rPr>
        <w:t xml:space="preserve">tactical </w:t>
      </w:r>
      <w:r w:rsidRPr="00A41B53">
        <w:rPr>
          <w:bCs/>
        </w:rPr>
        <w:t>radio systems</w:t>
      </w:r>
      <w:r w:rsidR="00366D7F">
        <w:rPr>
          <w:bCs/>
        </w:rPr>
        <w:t>.  Sy</w:t>
      </w:r>
      <w:r w:rsidR="00C77DAB">
        <w:rPr>
          <w:bCs/>
        </w:rPr>
        <w:t>s</w:t>
      </w:r>
      <w:r w:rsidR="00366D7F">
        <w:rPr>
          <w:bCs/>
        </w:rPr>
        <w:t>tem improvements to be achieved include</w:t>
      </w:r>
      <w:r w:rsidRPr="00A41B53">
        <w:rPr>
          <w:bCs/>
        </w:rPr>
        <w:t xml:space="preserve"> correct</w:t>
      </w:r>
      <w:r w:rsidR="00366D7F">
        <w:rPr>
          <w:bCs/>
        </w:rPr>
        <w:t>ing</w:t>
      </w:r>
      <w:r w:rsidRPr="00A41B53">
        <w:rPr>
          <w:bCs/>
        </w:rPr>
        <w:t xml:space="preserve"> security deficiencies, address</w:t>
      </w:r>
      <w:r w:rsidR="00366D7F">
        <w:rPr>
          <w:bCs/>
        </w:rPr>
        <w:t>ing</w:t>
      </w:r>
      <w:r w:rsidRPr="00A41B53">
        <w:rPr>
          <w:bCs/>
        </w:rPr>
        <w:t xml:space="preserve"> mandated technical standards, and achiev</w:t>
      </w:r>
      <w:r w:rsidR="00366D7F">
        <w:rPr>
          <w:bCs/>
        </w:rPr>
        <w:t>ing</w:t>
      </w:r>
      <w:r w:rsidR="00CD077F">
        <w:rPr>
          <w:bCs/>
        </w:rPr>
        <w:t xml:space="preserve"> communications standards that</w:t>
      </w:r>
      <w:r w:rsidR="004F5068">
        <w:rPr>
          <w:bCs/>
        </w:rPr>
        <w:t xml:space="preserve"> enable effective and secure communications among </w:t>
      </w:r>
      <w:r w:rsidRPr="00A41B53">
        <w:rPr>
          <w:bCs/>
        </w:rPr>
        <w:t>DOJ’s four law enforcement components:  Bureau of Alcohol, Tobacco, Firearms, and Explosives (ATF); Drug Enforcement Administration (DEA), Federal Bureau of Investigation (FBI), and U.S. Marshals Service (USMS)</w:t>
      </w:r>
      <w:r w:rsidRPr="00A41B53">
        <w:t xml:space="preserve">.  </w:t>
      </w:r>
      <w:r w:rsidR="00DC5B93" w:rsidRPr="00A41B53">
        <w:t xml:space="preserve"> </w:t>
      </w:r>
    </w:p>
    <w:p w:rsidR="00DC5B93" w:rsidRPr="00A41B53" w:rsidRDefault="00DC5B93" w:rsidP="00DC5B93"/>
    <w:p w:rsidR="00DC5B93" w:rsidRDefault="00DC5B93" w:rsidP="00DC5B93">
      <w:pPr>
        <w:rPr>
          <w:rFonts w:asciiTheme="majorHAnsi" w:hAnsiTheme="majorHAnsi" w:cs="Calibri"/>
        </w:rPr>
      </w:pPr>
      <w:r w:rsidRPr="00A41B53">
        <w:t>The amount requested is</w:t>
      </w:r>
      <w:r w:rsidR="00506F99" w:rsidRPr="00A41B53">
        <w:t xml:space="preserve"> an adjustment to b</w:t>
      </w:r>
      <w:r w:rsidR="00F56595" w:rsidRPr="00A41B53">
        <w:t xml:space="preserve">ase </w:t>
      </w:r>
      <w:r w:rsidR="00506F99" w:rsidRPr="00A41B53">
        <w:t>and p</w:t>
      </w:r>
      <w:r w:rsidR="00F56595" w:rsidRPr="00A41B53">
        <w:t>rogram decrease of $</w:t>
      </w:r>
      <w:r w:rsidR="004E29E4" w:rsidRPr="00A41B53">
        <w:t>104,976,</w:t>
      </w:r>
      <w:r w:rsidR="00F56595" w:rsidRPr="00A41B53">
        <w:t>000 below the FY 2011 President’s Budget</w:t>
      </w:r>
      <w:r w:rsidRPr="00A41B53">
        <w:t xml:space="preserve"> level</w:t>
      </w:r>
      <w:r w:rsidR="006B4C80">
        <w:t xml:space="preserve">. </w:t>
      </w:r>
      <w:r w:rsidRPr="00A41B53">
        <w:t xml:space="preserve"> </w:t>
      </w:r>
    </w:p>
    <w:p w:rsidR="00DC5B93" w:rsidRPr="001546A5" w:rsidRDefault="00DC5B93" w:rsidP="00DC5B93"/>
    <w:p w:rsidR="00F56595" w:rsidRPr="00843835" w:rsidRDefault="00F56595" w:rsidP="00137773">
      <w:pPr>
        <w:pStyle w:val="BodyText"/>
        <w:rPr>
          <w:bCs/>
        </w:rPr>
      </w:pPr>
      <w:r>
        <w:rPr>
          <w:color w:val="000000"/>
        </w:rPr>
        <w:t xml:space="preserve">The primary objective of this program is to deploy secure, interoperable, and reliable radio communications equipment to law enforcement officers nationwide.  </w:t>
      </w:r>
      <w:r>
        <w:t xml:space="preserve">Providing and supporting tactical law enforcement communications directly supports </w:t>
      </w:r>
      <w:r w:rsidRPr="00CC0F68">
        <w:rPr>
          <w:color w:val="000000"/>
        </w:rPr>
        <w:t>the Department’s strategic goals:</w:t>
      </w:r>
    </w:p>
    <w:p w:rsidR="00F56595" w:rsidRPr="00CC0F68" w:rsidRDefault="00F56595" w:rsidP="00137773">
      <w:pPr>
        <w:pStyle w:val="NormalWeb"/>
        <w:numPr>
          <w:ilvl w:val="0"/>
          <w:numId w:val="18"/>
        </w:numPr>
        <w:rPr>
          <w:rFonts w:ascii="Times New Roman" w:hAnsi="Times New Roman" w:cs="Times New Roman"/>
          <w:color w:val="000000"/>
        </w:rPr>
      </w:pPr>
      <w:bookmarkStart w:id="1" w:name="OLE_LINK3"/>
      <w:r w:rsidRPr="00D04DA6">
        <w:rPr>
          <w:rFonts w:ascii="Times New Roman" w:hAnsi="Times New Roman" w:cs="Times New Roman"/>
          <w:i/>
          <w:color w:val="000000"/>
        </w:rPr>
        <w:t>Strategic Goal 1</w:t>
      </w:r>
      <w:r w:rsidRPr="00CC0F68">
        <w:rPr>
          <w:rFonts w:ascii="Times New Roman" w:hAnsi="Times New Roman" w:cs="Times New Roman"/>
          <w:color w:val="000000"/>
        </w:rPr>
        <w:t>:  Prevent Terrorism and Promote the Nation’s Security</w:t>
      </w:r>
      <w:r>
        <w:rPr>
          <w:rFonts w:ascii="Times New Roman" w:hAnsi="Times New Roman" w:cs="Times New Roman"/>
          <w:color w:val="000000"/>
        </w:rPr>
        <w:t xml:space="preserve"> </w:t>
      </w:r>
      <w:bookmarkEnd w:id="1"/>
      <w:r>
        <w:rPr>
          <w:rFonts w:ascii="Times New Roman" w:hAnsi="Times New Roman" w:cs="Times New Roman"/>
          <w:color w:val="000000"/>
        </w:rPr>
        <w:t xml:space="preserve">(e.g., </w:t>
      </w:r>
      <w:bookmarkStart w:id="2" w:name="OLE_LINK18"/>
      <w:bookmarkStart w:id="3" w:name="OLE_LINK19"/>
      <w:r>
        <w:rPr>
          <w:rFonts w:ascii="Times New Roman" w:hAnsi="Times New Roman" w:cs="Times New Roman"/>
          <w:color w:val="000000"/>
        </w:rPr>
        <w:t>tactical communications</w:t>
      </w:r>
      <w:bookmarkEnd w:id="2"/>
      <w:bookmarkEnd w:id="3"/>
      <w:r>
        <w:rPr>
          <w:rFonts w:ascii="Times New Roman" w:hAnsi="Times New Roman" w:cs="Times New Roman"/>
          <w:color w:val="000000"/>
        </w:rPr>
        <w:t xml:space="preserve"> allow FBI agents to perform counterterrorism and </w:t>
      </w:r>
      <w:r>
        <w:rPr>
          <w:rFonts w:ascii="Times New Roman" w:hAnsi="Times New Roman" w:cs="Times New Roman"/>
          <w:color w:val="000000"/>
        </w:rPr>
        <w:lastRenderedPageBreak/>
        <w:t>counterintelligence investigations and response activities, as well as support Joint Terrorism Task Force operations);</w:t>
      </w:r>
    </w:p>
    <w:p w:rsidR="00F56595" w:rsidRPr="00BC4FA2" w:rsidRDefault="00F56595" w:rsidP="00137773">
      <w:pPr>
        <w:pStyle w:val="NormalWeb"/>
        <w:numPr>
          <w:ilvl w:val="0"/>
          <w:numId w:val="18"/>
        </w:numPr>
        <w:rPr>
          <w:rFonts w:ascii="Times New Roman" w:hAnsi="Times New Roman" w:cs="Times New Roman"/>
        </w:rPr>
      </w:pPr>
      <w:r w:rsidRPr="00D04DA6">
        <w:rPr>
          <w:rFonts w:ascii="Times New Roman" w:hAnsi="Times New Roman" w:cs="Times New Roman"/>
          <w:i/>
        </w:rPr>
        <w:t>Strategic Goal 2</w:t>
      </w:r>
      <w:r w:rsidRPr="00BC4FA2">
        <w:rPr>
          <w:rFonts w:ascii="Times New Roman" w:hAnsi="Times New Roman" w:cs="Times New Roman"/>
        </w:rPr>
        <w:t xml:space="preserve">:  Prevent Crime, Enforce Federal Laws and Represent the Rights and Interests of the American People (e.g., </w:t>
      </w:r>
      <w:r>
        <w:rPr>
          <w:rFonts w:ascii="Times New Roman" w:hAnsi="Times New Roman" w:cs="Times New Roman"/>
        </w:rPr>
        <w:t>t</w:t>
      </w:r>
      <w:r>
        <w:rPr>
          <w:rFonts w:ascii="Times New Roman" w:hAnsi="Times New Roman" w:cs="Times New Roman"/>
          <w:color w:val="000000"/>
        </w:rPr>
        <w:t>actical communications</w:t>
      </w:r>
      <w:r w:rsidRPr="00BC4FA2">
        <w:rPr>
          <w:rFonts w:ascii="Times New Roman" w:hAnsi="Times New Roman" w:cs="Times New Roman"/>
        </w:rPr>
        <w:t xml:space="preserve"> are necessary for the daily law enforcement activities of </w:t>
      </w:r>
      <w:r>
        <w:rPr>
          <w:rFonts w:ascii="Times New Roman" w:hAnsi="Times New Roman" w:cs="Times New Roman"/>
        </w:rPr>
        <w:t>ATF</w:t>
      </w:r>
      <w:r w:rsidRPr="00BC4FA2">
        <w:rPr>
          <w:rFonts w:ascii="Times New Roman" w:hAnsi="Times New Roman" w:cs="Times New Roman"/>
        </w:rPr>
        <w:t>, DEA, FBI</w:t>
      </w:r>
      <w:r>
        <w:rPr>
          <w:rFonts w:ascii="Times New Roman" w:hAnsi="Times New Roman" w:cs="Times New Roman"/>
        </w:rPr>
        <w:t>,</w:t>
      </w:r>
      <w:r w:rsidRPr="00BC4FA2">
        <w:rPr>
          <w:rFonts w:ascii="Times New Roman" w:hAnsi="Times New Roman" w:cs="Times New Roman"/>
        </w:rPr>
        <w:t xml:space="preserve"> and USMS); and</w:t>
      </w:r>
    </w:p>
    <w:p w:rsidR="00F56595" w:rsidRPr="00A41B53" w:rsidRDefault="00F56595" w:rsidP="00137773">
      <w:pPr>
        <w:pStyle w:val="NormalWeb"/>
        <w:numPr>
          <w:ilvl w:val="0"/>
          <w:numId w:val="18"/>
        </w:numPr>
      </w:pPr>
      <w:r w:rsidRPr="00D04DA6">
        <w:rPr>
          <w:rFonts w:ascii="Times New Roman" w:hAnsi="Times New Roman" w:cs="Times New Roman"/>
          <w:i/>
        </w:rPr>
        <w:t>Strategic Goal 3</w:t>
      </w:r>
      <w:r w:rsidRPr="00BC4FA2">
        <w:rPr>
          <w:rFonts w:ascii="Times New Roman" w:hAnsi="Times New Roman" w:cs="Times New Roman"/>
        </w:rPr>
        <w:t xml:space="preserve">:  </w:t>
      </w:r>
      <w:bookmarkStart w:id="4" w:name="OLE_LINK16"/>
      <w:bookmarkStart w:id="5" w:name="OLE_LINK17"/>
      <w:r w:rsidRPr="00BC4FA2">
        <w:rPr>
          <w:rFonts w:ascii="Times New Roman" w:hAnsi="Times New Roman" w:cs="Times New Roman"/>
        </w:rPr>
        <w:t xml:space="preserve">Ensure the Fair and Efficient Administration of Justice (e.g., </w:t>
      </w:r>
      <w:r>
        <w:rPr>
          <w:rFonts w:ascii="Times New Roman" w:hAnsi="Times New Roman" w:cs="Times New Roman"/>
        </w:rPr>
        <w:t>t</w:t>
      </w:r>
      <w:r>
        <w:rPr>
          <w:rFonts w:ascii="Times New Roman" w:hAnsi="Times New Roman" w:cs="Times New Roman"/>
          <w:color w:val="000000"/>
        </w:rPr>
        <w:t>actical communications</w:t>
      </w:r>
      <w:r w:rsidRPr="00BC4FA2">
        <w:rPr>
          <w:rFonts w:ascii="Times New Roman" w:hAnsi="Times New Roman" w:cs="Times New Roman"/>
        </w:rPr>
        <w:t xml:space="preserve"> are used on a daily basis by the </w:t>
      </w:r>
      <w:smartTag w:uri="urn:schemas-microsoft-com:office:smarttags" w:element="City">
        <w:r w:rsidRPr="00BC4FA2">
          <w:rPr>
            <w:rFonts w:ascii="Times New Roman" w:hAnsi="Times New Roman" w:cs="Times New Roman"/>
          </w:rPr>
          <w:t>U.S.</w:t>
        </w:r>
      </w:smartTag>
      <w:r w:rsidRPr="00BC4FA2">
        <w:rPr>
          <w:rFonts w:ascii="Times New Roman" w:hAnsi="Times New Roman" w:cs="Times New Roman"/>
        </w:rPr>
        <w:t xml:space="preserve"> </w:t>
      </w:r>
      <w:r w:rsidRPr="0053380B">
        <w:rPr>
          <w:rFonts w:ascii="Times New Roman" w:hAnsi="Times New Roman" w:cs="Times New Roman"/>
        </w:rPr>
        <w:t xml:space="preserve">Marshals </w:t>
      </w:r>
      <w:r>
        <w:rPr>
          <w:rFonts w:ascii="Times New Roman" w:hAnsi="Times New Roman" w:cs="Times New Roman"/>
        </w:rPr>
        <w:t xml:space="preserve">in the conduct of </w:t>
      </w:r>
      <w:r w:rsidRPr="0053380B">
        <w:rPr>
          <w:rFonts w:ascii="Times New Roman" w:hAnsi="Times New Roman" w:cs="Times New Roman"/>
        </w:rPr>
        <w:t>judicial protective details</w:t>
      </w:r>
      <w:r>
        <w:rPr>
          <w:rFonts w:ascii="Times New Roman" w:hAnsi="Times New Roman" w:cs="Times New Roman"/>
        </w:rPr>
        <w:t xml:space="preserve"> and transport of prisoners, including those charged with </w:t>
      </w:r>
      <w:r w:rsidRPr="00A41B53">
        <w:rPr>
          <w:rFonts w:ascii="Times New Roman" w:hAnsi="Times New Roman" w:cs="Times New Roman"/>
        </w:rPr>
        <w:t>engaging in terrorist activities).</w:t>
      </w:r>
      <w:bookmarkStart w:id="6" w:name="OLE_LINK8"/>
      <w:bookmarkEnd w:id="4"/>
      <w:bookmarkEnd w:id="5"/>
    </w:p>
    <w:p w:rsidR="00506F99" w:rsidRDefault="00A41B53" w:rsidP="00137773">
      <w:pPr>
        <w:widowControl w:val="0"/>
        <w:autoSpaceDE w:val="0"/>
        <w:autoSpaceDN w:val="0"/>
        <w:adjustRightInd w:val="0"/>
      </w:pPr>
      <w:bookmarkStart w:id="7" w:name="OLE_LINK4"/>
      <w:bookmarkStart w:id="8" w:name="OLE_LINK7"/>
      <w:r>
        <w:t xml:space="preserve">The LEWC appropriation </w:t>
      </w:r>
      <w:r w:rsidR="00C24C83">
        <w:t>is intended to provide funding for</w:t>
      </w:r>
      <w:r>
        <w:t xml:space="preserve"> </w:t>
      </w:r>
      <w:r w:rsidR="00506F99" w:rsidRPr="00A41B53">
        <w:t>investment in new wireless communications, as well as operations and maintenance of operational systems and the support of special projects providing interoperability as needed.</w:t>
      </w:r>
      <w:r w:rsidR="00C24C83">
        <w:t xml:space="preserve">  The FY 2012 funding will primarily cover expenditures for operations and maintenance of operational systems and Components’ special projects.  </w:t>
      </w:r>
    </w:p>
    <w:p w:rsidR="009E6E4B" w:rsidRPr="00A41B53" w:rsidRDefault="009E6E4B" w:rsidP="00137773">
      <w:pPr>
        <w:widowControl w:val="0"/>
        <w:autoSpaceDE w:val="0"/>
        <w:autoSpaceDN w:val="0"/>
        <w:adjustRightInd w:val="0"/>
      </w:pPr>
    </w:p>
    <w:p w:rsidR="00F56595" w:rsidRPr="00A41B53" w:rsidRDefault="00506F99" w:rsidP="00137773">
      <w:pPr>
        <w:widowControl w:val="0"/>
        <w:autoSpaceDE w:val="0"/>
        <w:autoSpaceDN w:val="0"/>
        <w:adjustRightInd w:val="0"/>
      </w:pPr>
      <w:r w:rsidRPr="00A41B53">
        <w:t>Capital investments are underway to replace and modernize</w:t>
      </w:r>
      <w:r w:rsidR="006B4C80">
        <w:t xml:space="preserve"> portions of</w:t>
      </w:r>
      <w:r w:rsidRPr="00A41B53">
        <w:t xml:space="preserve"> the failing</w:t>
      </w:r>
      <w:r w:rsidR="006B4C80">
        <w:t xml:space="preserve"> legacy</w:t>
      </w:r>
      <w:r w:rsidRPr="00A41B53">
        <w:t xml:space="preserve"> radio systems</w:t>
      </w:r>
      <w:r w:rsidR="006B4C80">
        <w:t xml:space="preserve"> in fiscal year 2011</w:t>
      </w:r>
      <w:r w:rsidRPr="00A41B53">
        <w:t>.  The I</w:t>
      </w:r>
      <w:r w:rsidR="00F56595" w:rsidRPr="00A41B53">
        <w:t>ntegrated Wireless Network (IWN) program is the Department’s st</w:t>
      </w:r>
      <w:r w:rsidRPr="00A41B53">
        <w:t xml:space="preserve">rategic initiative to provide an </w:t>
      </w:r>
      <w:r w:rsidR="00F56595" w:rsidRPr="00A41B53">
        <w:t xml:space="preserve">improved wireless radio network that fixes security vulnerabilities, improves system reliability, and achieves interoperability.  The IWN strategy is based upon consolidating and sharing existing government infrastructure wherever possible and modernizing the disconnected land mobile radio (LMR) networks across ATF, DEA, FBI, and USMS.  The IWN program </w:t>
      </w:r>
      <w:r w:rsidR="006B4C80">
        <w:t xml:space="preserve">serves the </w:t>
      </w:r>
      <w:r w:rsidR="00F56595" w:rsidRPr="00A41B53">
        <w:t>Department’s law enforcement components to implement</w:t>
      </w:r>
      <w:r w:rsidR="00A03B84">
        <w:t xml:space="preserve"> updated communications capabilities</w:t>
      </w:r>
      <w:r w:rsidRPr="00A41B53">
        <w:t xml:space="preserve">.  </w:t>
      </w:r>
      <w:r w:rsidR="00A03B84">
        <w:t>In fiscal year 2011, t</w:t>
      </w:r>
      <w:r w:rsidRPr="00A41B53">
        <w:t xml:space="preserve">his program </w:t>
      </w:r>
      <w:r w:rsidR="00A03B84">
        <w:t xml:space="preserve">plans to </w:t>
      </w:r>
      <w:r w:rsidR="00C24C83">
        <w:t>consolidate, replace and upgrade</w:t>
      </w:r>
      <w:r w:rsidRPr="00A41B53">
        <w:t xml:space="preserve"> conventional</w:t>
      </w:r>
      <w:r w:rsidR="00092D10">
        <w:t xml:space="preserve"> systems as well as implement</w:t>
      </w:r>
      <w:r w:rsidRPr="00A41B53">
        <w:t xml:space="preserve"> </w:t>
      </w:r>
      <w:r w:rsidR="00CD077F">
        <w:t xml:space="preserve">a </w:t>
      </w:r>
      <w:r w:rsidRPr="00A41B53">
        <w:t xml:space="preserve">new “trunked” systems in </w:t>
      </w:r>
      <w:r w:rsidR="009E6E4B">
        <w:t>the National Capital Region</w:t>
      </w:r>
      <w:r w:rsidRPr="00A41B53">
        <w:t>.</w:t>
      </w:r>
    </w:p>
    <w:bookmarkEnd w:id="7"/>
    <w:bookmarkEnd w:id="8"/>
    <w:p w:rsidR="00506F99" w:rsidRPr="00A41B53" w:rsidRDefault="00506F99" w:rsidP="008B6446">
      <w:pPr>
        <w:pStyle w:val="NormalWeb"/>
        <w:rPr>
          <w:rFonts w:ascii="Times New Roman" w:hAnsi="Times New Roman" w:cs="Times New Roman"/>
        </w:rPr>
      </w:pPr>
      <w:r w:rsidRPr="00A41B53">
        <w:rPr>
          <w:rFonts w:ascii="Times New Roman" w:hAnsi="Times New Roman" w:cs="Times New Roman"/>
        </w:rPr>
        <w:t xml:space="preserve">In the operations and maintenance area, </w:t>
      </w:r>
      <w:r w:rsidR="00F56595" w:rsidRPr="00A41B53">
        <w:rPr>
          <w:rFonts w:ascii="Times New Roman" w:hAnsi="Times New Roman" w:cs="Times New Roman"/>
        </w:rPr>
        <w:t>the LEWC account supports</w:t>
      </w:r>
      <w:r w:rsidRPr="00A41B53">
        <w:rPr>
          <w:rFonts w:ascii="Times New Roman" w:hAnsi="Times New Roman" w:cs="Times New Roman"/>
        </w:rPr>
        <w:t xml:space="preserve"> </w:t>
      </w:r>
      <w:r w:rsidR="004A5281" w:rsidRPr="00A41B53">
        <w:rPr>
          <w:rFonts w:ascii="Times New Roman" w:hAnsi="Times New Roman" w:cs="Times New Roman"/>
        </w:rPr>
        <w:t>both the</w:t>
      </w:r>
      <w:r w:rsidRPr="00A41B53">
        <w:rPr>
          <w:rFonts w:ascii="Times New Roman" w:hAnsi="Times New Roman" w:cs="Times New Roman"/>
        </w:rPr>
        <w:t xml:space="preserve"> new systems</w:t>
      </w:r>
      <w:r w:rsidR="004A5281" w:rsidRPr="00A41B53">
        <w:rPr>
          <w:rFonts w:ascii="Times New Roman" w:hAnsi="Times New Roman" w:cs="Times New Roman"/>
        </w:rPr>
        <w:t xml:space="preserve"> </w:t>
      </w:r>
      <w:r w:rsidRPr="00A41B53">
        <w:rPr>
          <w:rFonts w:ascii="Times New Roman" w:hAnsi="Times New Roman" w:cs="Times New Roman"/>
        </w:rPr>
        <w:t xml:space="preserve">as they are installed / upgraded </w:t>
      </w:r>
      <w:r w:rsidR="004A5281" w:rsidRPr="00A41B53">
        <w:rPr>
          <w:rFonts w:ascii="Times New Roman" w:hAnsi="Times New Roman" w:cs="Times New Roman"/>
        </w:rPr>
        <w:t xml:space="preserve">as well as the existing legacy systems.  </w:t>
      </w:r>
      <w:r w:rsidR="001C26A4">
        <w:rPr>
          <w:rFonts w:ascii="Times New Roman" w:hAnsi="Times New Roman" w:cs="Times New Roman"/>
        </w:rPr>
        <w:t xml:space="preserve">The </w:t>
      </w:r>
      <w:r w:rsidR="00092D10" w:rsidRPr="00A41B53">
        <w:rPr>
          <w:rFonts w:ascii="Times New Roman" w:hAnsi="Times New Roman" w:cs="Times New Roman"/>
        </w:rPr>
        <w:t>multiple and disparate legacy radio systems are currently used by ATF, DEA, FBI, and USMS.  These systems are obsolete, costly to maintain, prone to operational failure, non-compliant with security standards, and do not support interoperable communications between law enforcement components.</w:t>
      </w:r>
      <w:r w:rsidR="001C26A4">
        <w:rPr>
          <w:rFonts w:ascii="Times New Roman" w:hAnsi="Times New Roman" w:cs="Times New Roman"/>
        </w:rPr>
        <w:t xml:space="preserve">  </w:t>
      </w:r>
      <w:r w:rsidR="008B6446">
        <w:rPr>
          <w:rFonts w:ascii="Times New Roman" w:hAnsi="Times New Roman" w:cs="Times New Roman"/>
        </w:rPr>
        <w:t>T</w:t>
      </w:r>
      <w:r w:rsidR="004A5281" w:rsidRPr="00A41B53">
        <w:rPr>
          <w:rFonts w:ascii="Times New Roman" w:hAnsi="Times New Roman" w:cs="Times New Roman"/>
        </w:rPr>
        <w:t xml:space="preserve">he Northwest and San Diego </w:t>
      </w:r>
      <w:r w:rsidR="004A5281" w:rsidRPr="00A41B53">
        <w:rPr>
          <w:rFonts w:ascii="Times New Roman" w:hAnsi="Times New Roman" w:cs="Times New Roman"/>
        </w:rPr>
        <w:lastRenderedPageBreak/>
        <w:t xml:space="preserve">wireless communication systems funded and implemented in recent years under this appropriation are covered with operations and maintenance monies.  </w:t>
      </w:r>
    </w:p>
    <w:p w:rsidR="00F56595" w:rsidRDefault="00A41B53" w:rsidP="00137773">
      <w:pPr>
        <w:pStyle w:val="NormalWeb"/>
        <w:rPr>
          <w:rFonts w:ascii="Times New Roman" w:hAnsi="Times New Roman" w:cs="Times New Roman"/>
        </w:rPr>
      </w:pPr>
      <w:r>
        <w:rPr>
          <w:rFonts w:ascii="Times New Roman" w:hAnsi="Times New Roman" w:cs="Times New Roman"/>
        </w:rPr>
        <w:t xml:space="preserve">Special Projects </w:t>
      </w:r>
      <w:r w:rsidR="00F56595" w:rsidRPr="00A41B53">
        <w:rPr>
          <w:rFonts w:ascii="Times New Roman" w:hAnsi="Times New Roman" w:cs="Times New Roman"/>
        </w:rPr>
        <w:t>address critical</w:t>
      </w:r>
      <w:r w:rsidR="00506F99" w:rsidRPr="00A41B53">
        <w:rPr>
          <w:rFonts w:ascii="Times New Roman" w:hAnsi="Times New Roman" w:cs="Times New Roman"/>
        </w:rPr>
        <w:t>, “as required” projects to provide interoperable wireless communications</w:t>
      </w:r>
      <w:r w:rsidR="00F56595" w:rsidRPr="00A41B53">
        <w:rPr>
          <w:rFonts w:ascii="Times New Roman" w:hAnsi="Times New Roman" w:cs="Times New Roman"/>
        </w:rPr>
        <w:t xml:space="preserve"> across a variety of law enforcement elements.  Projects include establishing the communications infrastructure for national security special events (e.g., the Super Bowl, Winter Olympics, national political conventions), implementing federal interoperability channels in major U.S. metropolitan areas, and responding to immediate and high-profile federal law enforcement communication needs (e.g., Joint Task Force operations, high-profile terrorism trials).</w:t>
      </w:r>
    </w:p>
    <w:p w:rsidR="00F56595" w:rsidRPr="00BC4FA2" w:rsidRDefault="00F56595" w:rsidP="00137773">
      <w:pPr>
        <w:pStyle w:val="NormalWeb"/>
        <w:rPr>
          <w:rFonts w:ascii="Times New Roman" w:hAnsi="Times New Roman" w:cs="Times New Roman"/>
        </w:rPr>
      </w:pPr>
      <w:r w:rsidRPr="00A770D2">
        <w:rPr>
          <w:rFonts w:ascii="Times New Roman" w:hAnsi="Times New Roman" w:cs="Times New Roman"/>
          <w:bCs/>
        </w:rPr>
        <w:t xml:space="preserve">Electronic copies of the Department of Justice’s Congressional Budget Justifications and Capital Asset Plan and Business Case exhibits can be viewed or downloaded from the Internet using the </w:t>
      </w:r>
      <w:r>
        <w:rPr>
          <w:rFonts w:ascii="Times New Roman" w:hAnsi="Times New Roman" w:cs="Times New Roman"/>
          <w:bCs/>
        </w:rPr>
        <w:t>following</w:t>
      </w:r>
      <w:r w:rsidRPr="00A770D2">
        <w:rPr>
          <w:rFonts w:ascii="Times New Roman" w:hAnsi="Times New Roman" w:cs="Times New Roman"/>
          <w:bCs/>
        </w:rPr>
        <w:t xml:space="preserve"> address: </w:t>
      </w:r>
      <w:hyperlink r:id="rId7" w:history="1">
        <w:r w:rsidRPr="00C80968">
          <w:rPr>
            <w:rStyle w:val="Hyperlink"/>
            <w:rFonts w:cs="Arial"/>
          </w:rPr>
          <w:t>http://www.justice.gov/jmd/2012justification/</w:t>
        </w:r>
      </w:hyperlink>
      <w:r w:rsidRPr="00A770D2">
        <w:rPr>
          <w:rFonts w:ascii="Times New Roman" w:hAnsi="Times New Roman" w:cs="Times New Roman"/>
          <w:bCs/>
        </w:rPr>
        <w:t>.</w:t>
      </w:r>
    </w:p>
    <w:bookmarkEnd w:id="6"/>
    <w:p w:rsidR="00F56595" w:rsidRPr="004A40BE" w:rsidRDefault="00F56595" w:rsidP="00137773">
      <w:pPr>
        <w:pStyle w:val="BodyText"/>
        <w:rPr>
          <w:b/>
          <w:u w:val="single"/>
        </w:rPr>
      </w:pPr>
      <w:r w:rsidRPr="004A40BE">
        <w:rPr>
          <w:b/>
          <w:u w:val="single"/>
        </w:rPr>
        <w:t>Background</w:t>
      </w:r>
    </w:p>
    <w:p w:rsidR="00F56595" w:rsidRDefault="00F56595" w:rsidP="00137773">
      <w:pPr>
        <w:pStyle w:val="BodyText"/>
      </w:pPr>
    </w:p>
    <w:p w:rsidR="00F56595" w:rsidRDefault="00F56595" w:rsidP="00137773">
      <w:pPr>
        <w:pStyle w:val="BodyText"/>
        <w:rPr>
          <w:color w:val="000000"/>
        </w:rPr>
      </w:pPr>
      <w:r w:rsidRPr="00CC0F68">
        <w:rPr>
          <w:color w:val="000000"/>
        </w:rPr>
        <w:t>In July 1998, Congress directed DOJ</w:t>
      </w:r>
      <w:r>
        <w:rPr>
          <w:color w:val="000000"/>
        </w:rPr>
        <w:t>’s law enforcement</w:t>
      </w:r>
      <w:r w:rsidRPr="00CC0F68">
        <w:rPr>
          <w:color w:val="000000"/>
        </w:rPr>
        <w:t xml:space="preserve"> components to consolidate their </w:t>
      </w:r>
      <w:r>
        <w:rPr>
          <w:color w:val="000000"/>
        </w:rPr>
        <w:t xml:space="preserve">separate </w:t>
      </w:r>
      <w:r w:rsidRPr="00CC0F68">
        <w:rPr>
          <w:color w:val="000000"/>
        </w:rPr>
        <w:t xml:space="preserve">efforts to replace </w:t>
      </w:r>
      <w:r w:rsidR="004A5281">
        <w:rPr>
          <w:color w:val="000000"/>
        </w:rPr>
        <w:t>their respective Land Mobile Radio (LMR)</w:t>
      </w:r>
      <w:r w:rsidRPr="00CC0F68">
        <w:rPr>
          <w:color w:val="000000"/>
        </w:rPr>
        <w:t xml:space="preserve"> systems and created the DOJ Narrowband Communications Account to centrally fund conversion to narrowband </w:t>
      </w:r>
      <w:r w:rsidRPr="0053380B">
        <w:rPr>
          <w:color w:val="000000"/>
        </w:rPr>
        <w:t>radio communications. In addition, Congress directed DOJ to serve as the central purchasing agent for all communications equipment and to develop an integrated, department-wide strategic plan to</w:t>
      </w:r>
      <w:r w:rsidRPr="00CC0F68">
        <w:rPr>
          <w:color w:val="000000"/>
        </w:rPr>
        <w:t xml:space="preserve"> meet the narrowband conversion and interoperability requirements of DOJ</w:t>
      </w:r>
      <w:r>
        <w:rPr>
          <w:color w:val="000000"/>
        </w:rPr>
        <w:t xml:space="preserve"> law enforcement agencies</w:t>
      </w:r>
      <w:r w:rsidRPr="00CC0F68">
        <w:rPr>
          <w:color w:val="000000"/>
        </w:rPr>
        <w:t>.</w:t>
      </w:r>
      <w:r w:rsidRPr="00CC0F68">
        <w:rPr>
          <w:rStyle w:val="FootnoteReference"/>
          <w:color w:val="000000"/>
        </w:rPr>
        <w:footnoteReference w:id="1"/>
      </w:r>
      <w:r w:rsidRPr="00CC0F68">
        <w:rPr>
          <w:color w:val="000000"/>
        </w:rPr>
        <w:t xml:space="preserve"> </w:t>
      </w:r>
      <w:r>
        <w:rPr>
          <w:color w:val="000000"/>
        </w:rPr>
        <w:t xml:space="preserve"> </w:t>
      </w:r>
      <w:r w:rsidRPr="00CC0F68">
        <w:rPr>
          <w:color w:val="000000"/>
        </w:rPr>
        <w:t xml:space="preserve">In October 1998, </w:t>
      </w:r>
      <w:r>
        <w:rPr>
          <w:color w:val="000000"/>
        </w:rPr>
        <w:t xml:space="preserve">in response to Congressional guidance, </w:t>
      </w:r>
      <w:r w:rsidRPr="00CC0F68">
        <w:rPr>
          <w:color w:val="000000"/>
        </w:rPr>
        <w:t xml:space="preserve">Attorney General </w:t>
      </w:r>
      <w:r>
        <w:rPr>
          <w:color w:val="000000"/>
        </w:rPr>
        <w:t xml:space="preserve">Janet Reno </w:t>
      </w:r>
      <w:r w:rsidRPr="00CC0F68">
        <w:rPr>
          <w:color w:val="000000"/>
        </w:rPr>
        <w:t>creat</w:t>
      </w:r>
      <w:r>
        <w:rPr>
          <w:color w:val="000000"/>
        </w:rPr>
        <w:t xml:space="preserve">ed the Wireless Management Office </w:t>
      </w:r>
      <w:r w:rsidRPr="00CC0F68">
        <w:rPr>
          <w:color w:val="000000"/>
        </w:rPr>
        <w:t xml:space="preserve">within </w:t>
      </w:r>
      <w:r>
        <w:rPr>
          <w:color w:val="000000"/>
        </w:rPr>
        <w:t>the Justice Management Division (JMD), Office of the Chief Information Officer (OCIO),</w:t>
      </w:r>
      <w:r w:rsidRPr="00CC0F68">
        <w:rPr>
          <w:color w:val="000000"/>
        </w:rPr>
        <w:t xml:space="preserve"> to oversee and direct DOJ’s consolidated approach to wireless communications and to centrally manage the consolidated wireless account.</w:t>
      </w:r>
    </w:p>
    <w:p w:rsidR="00F56595" w:rsidRPr="00CC0F68" w:rsidRDefault="00F56595" w:rsidP="00137773">
      <w:pPr>
        <w:pStyle w:val="NormalWeb"/>
        <w:rPr>
          <w:rFonts w:ascii="Times New Roman" w:hAnsi="Times New Roman" w:cs="Times New Roman"/>
          <w:color w:val="000000"/>
        </w:rPr>
      </w:pPr>
      <w:r w:rsidRPr="0065798C">
        <w:rPr>
          <w:rFonts w:ascii="Times New Roman" w:hAnsi="Times New Roman" w:cs="Times New Roman"/>
          <w:color w:val="000000"/>
        </w:rPr>
        <w:lastRenderedPageBreak/>
        <w:t>Prior to FY 2002,</w:t>
      </w:r>
      <w:r w:rsidRPr="00CC0F68">
        <w:rPr>
          <w:rFonts w:ascii="Times New Roman" w:hAnsi="Times New Roman" w:cs="Times New Roman"/>
          <w:color w:val="000000"/>
        </w:rPr>
        <w:t xml:space="preserve"> </w:t>
      </w:r>
      <w:r>
        <w:rPr>
          <w:rFonts w:ascii="Times New Roman" w:hAnsi="Times New Roman" w:cs="Times New Roman"/>
          <w:color w:val="000000"/>
        </w:rPr>
        <w:t xml:space="preserve">the Departments of Justice </w:t>
      </w:r>
      <w:r w:rsidRPr="00CC0F68">
        <w:rPr>
          <w:rFonts w:ascii="Times New Roman" w:hAnsi="Times New Roman" w:cs="Times New Roman"/>
          <w:color w:val="000000"/>
        </w:rPr>
        <w:t>and Treasury were independently pursuing solutions to meet the narrowband mandat</w:t>
      </w:r>
      <w:r>
        <w:rPr>
          <w:rFonts w:ascii="Times New Roman" w:hAnsi="Times New Roman" w:cs="Times New Roman"/>
          <w:color w:val="000000"/>
        </w:rPr>
        <w:t>e</w:t>
      </w:r>
      <w:r w:rsidRPr="00CC0F68">
        <w:rPr>
          <w:rFonts w:ascii="Times New Roman" w:hAnsi="Times New Roman" w:cs="Times New Roman"/>
          <w:color w:val="000000"/>
        </w:rPr>
        <w:t xml:space="preserve">. </w:t>
      </w:r>
      <w:r>
        <w:rPr>
          <w:rFonts w:ascii="Times New Roman" w:hAnsi="Times New Roman" w:cs="Times New Roman"/>
          <w:color w:val="000000"/>
        </w:rPr>
        <w:t xml:space="preserve"> </w:t>
      </w:r>
      <w:r w:rsidRPr="00CC0F68">
        <w:rPr>
          <w:rFonts w:ascii="Times New Roman" w:hAnsi="Times New Roman" w:cs="Times New Roman"/>
          <w:color w:val="000000"/>
        </w:rPr>
        <w:t>Due to the similar and complementary nature of the</w:t>
      </w:r>
      <w:r>
        <w:rPr>
          <w:rFonts w:ascii="Times New Roman" w:hAnsi="Times New Roman" w:cs="Times New Roman"/>
          <w:color w:val="000000"/>
        </w:rPr>
        <w:t>ir respective</w:t>
      </w:r>
      <w:r w:rsidRPr="00CC0F68">
        <w:rPr>
          <w:rFonts w:ascii="Times New Roman" w:hAnsi="Times New Roman" w:cs="Times New Roman"/>
          <w:color w:val="000000"/>
        </w:rPr>
        <w:t xml:space="preserve"> law enforcement missions and the co-location and overlapping geographic jurisdictions, </w:t>
      </w:r>
      <w:r w:rsidRPr="0065798C">
        <w:rPr>
          <w:rFonts w:ascii="Times New Roman" w:hAnsi="Times New Roman" w:cs="Times New Roman"/>
          <w:color w:val="000000"/>
        </w:rPr>
        <w:t>t</w:t>
      </w:r>
      <w:r>
        <w:rPr>
          <w:rFonts w:ascii="Times New Roman" w:hAnsi="Times New Roman" w:cs="Times New Roman"/>
          <w:color w:val="000000"/>
        </w:rPr>
        <w:t xml:space="preserve">he Departments of Justice </w:t>
      </w:r>
      <w:r w:rsidRPr="00CC0F68">
        <w:rPr>
          <w:rFonts w:ascii="Times New Roman" w:hAnsi="Times New Roman" w:cs="Times New Roman"/>
          <w:color w:val="000000"/>
        </w:rPr>
        <w:t xml:space="preserve">and Treasury signed a MOU in </w:t>
      </w:r>
      <w:r w:rsidRPr="0065798C">
        <w:rPr>
          <w:rFonts w:ascii="Times New Roman" w:hAnsi="Times New Roman" w:cs="Times New Roman"/>
          <w:color w:val="000000"/>
        </w:rPr>
        <w:t>November 2001</w:t>
      </w:r>
      <w:r>
        <w:rPr>
          <w:rFonts w:ascii="Times New Roman" w:hAnsi="Times New Roman" w:cs="Times New Roman"/>
          <w:color w:val="000000"/>
        </w:rPr>
        <w:t xml:space="preserve">, </w:t>
      </w:r>
      <w:r w:rsidRPr="00CC0F68">
        <w:rPr>
          <w:rFonts w:ascii="Times New Roman" w:hAnsi="Times New Roman" w:cs="Times New Roman"/>
          <w:color w:val="000000"/>
        </w:rPr>
        <w:t xml:space="preserve">agreeing to improve communications interoperability between and among their law enforcement </w:t>
      </w:r>
      <w:r>
        <w:rPr>
          <w:rFonts w:ascii="Times New Roman" w:hAnsi="Times New Roman" w:cs="Times New Roman"/>
          <w:color w:val="000000"/>
        </w:rPr>
        <w:t>components</w:t>
      </w:r>
      <w:r w:rsidRPr="00CC0F68">
        <w:rPr>
          <w:rFonts w:ascii="Times New Roman" w:hAnsi="Times New Roman" w:cs="Times New Roman"/>
          <w:color w:val="000000"/>
        </w:rPr>
        <w:t xml:space="preserve"> and </w:t>
      </w:r>
      <w:r>
        <w:rPr>
          <w:rFonts w:ascii="Times New Roman" w:hAnsi="Times New Roman" w:cs="Times New Roman"/>
          <w:color w:val="000000"/>
        </w:rPr>
        <w:t xml:space="preserve">with </w:t>
      </w:r>
      <w:r w:rsidRPr="00CC0F68">
        <w:rPr>
          <w:rFonts w:ascii="Times New Roman" w:hAnsi="Times New Roman" w:cs="Times New Roman"/>
          <w:color w:val="000000"/>
        </w:rPr>
        <w:t>state, local, and other federal law enforcement agencies; achieve cost efficiencies; and meet the narrowband mandate.</w:t>
      </w:r>
    </w:p>
    <w:p w:rsidR="00F56595" w:rsidRDefault="00F56595" w:rsidP="00137773">
      <w:pPr>
        <w:pStyle w:val="NormalWeb"/>
        <w:rPr>
          <w:rFonts w:ascii="Times New Roman" w:hAnsi="Times New Roman" w:cs="Times New Roman"/>
          <w:color w:val="000000"/>
        </w:rPr>
      </w:pPr>
      <w:r>
        <w:rPr>
          <w:rFonts w:ascii="Times New Roman" w:hAnsi="Times New Roman" w:cs="Times New Roman"/>
          <w:color w:val="000000"/>
        </w:rPr>
        <w:t>The c</w:t>
      </w:r>
      <w:r w:rsidRPr="00CC0F68">
        <w:rPr>
          <w:rFonts w:ascii="Times New Roman" w:hAnsi="Times New Roman" w:cs="Times New Roman"/>
          <w:color w:val="000000"/>
        </w:rPr>
        <w:t>reation of the D</w:t>
      </w:r>
      <w:r>
        <w:rPr>
          <w:rFonts w:ascii="Times New Roman" w:hAnsi="Times New Roman" w:cs="Times New Roman"/>
          <w:color w:val="000000"/>
        </w:rPr>
        <w:t xml:space="preserve">epartment of </w:t>
      </w:r>
      <w:r w:rsidRPr="00CC0F68">
        <w:rPr>
          <w:rFonts w:ascii="Times New Roman" w:hAnsi="Times New Roman" w:cs="Times New Roman"/>
          <w:color w:val="000000"/>
        </w:rPr>
        <w:t>H</w:t>
      </w:r>
      <w:r>
        <w:rPr>
          <w:rFonts w:ascii="Times New Roman" w:hAnsi="Times New Roman" w:cs="Times New Roman"/>
          <w:color w:val="000000"/>
        </w:rPr>
        <w:t xml:space="preserve">omeland Security (DHS) </w:t>
      </w:r>
      <w:r w:rsidRPr="00CC0F68">
        <w:rPr>
          <w:rFonts w:ascii="Times New Roman" w:hAnsi="Times New Roman" w:cs="Times New Roman"/>
          <w:color w:val="000000"/>
        </w:rPr>
        <w:t xml:space="preserve">in November 2002 resulted in the transfer of several law enforcement agencies from Treasury and </w:t>
      </w:r>
      <w:r>
        <w:rPr>
          <w:rFonts w:ascii="Times New Roman" w:hAnsi="Times New Roman" w:cs="Times New Roman"/>
          <w:color w:val="000000"/>
        </w:rPr>
        <w:t xml:space="preserve">Justice </w:t>
      </w:r>
      <w:r w:rsidRPr="00CC0F68">
        <w:rPr>
          <w:rFonts w:ascii="Times New Roman" w:hAnsi="Times New Roman" w:cs="Times New Roman"/>
          <w:color w:val="000000"/>
        </w:rPr>
        <w:t xml:space="preserve">to </w:t>
      </w:r>
      <w:r>
        <w:rPr>
          <w:rFonts w:ascii="Times New Roman" w:hAnsi="Times New Roman" w:cs="Times New Roman"/>
          <w:color w:val="000000"/>
        </w:rPr>
        <w:t>the new department</w:t>
      </w:r>
      <w:r w:rsidRPr="00CC0F68">
        <w:rPr>
          <w:rFonts w:ascii="Times New Roman" w:hAnsi="Times New Roman" w:cs="Times New Roman"/>
          <w:color w:val="000000"/>
        </w:rPr>
        <w:t>, including components responsible for border protection</w:t>
      </w:r>
      <w:r>
        <w:rPr>
          <w:rFonts w:ascii="Times New Roman" w:hAnsi="Times New Roman" w:cs="Times New Roman"/>
          <w:color w:val="000000"/>
        </w:rPr>
        <w:t>,</w:t>
      </w:r>
      <w:r w:rsidRPr="00CC0F68">
        <w:rPr>
          <w:rFonts w:ascii="Times New Roman" w:hAnsi="Times New Roman" w:cs="Times New Roman"/>
          <w:color w:val="000000"/>
        </w:rPr>
        <w:t xml:space="preserve"> immigration</w:t>
      </w:r>
      <w:r>
        <w:rPr>
          <w:rFonts w:ascii="Times New Roman" w:hAnsi="Times New Roman" w:cs="Times New Roman"/>
          <w:color w:val="000000"/>
        </w:rPr>
        <w:t>,</w:t>
      </w:r>
      <w:r w:rsidRPr="00CC0F68">
        <w:rPr>
          <w:rFonts w:ascii="Times New Roman" w:hAnsi="Times New Roman" w:cs="Times New Roman"/>
          <w:color w:val="000000"/>
        </w:rPr>
        <w:t xml:space="preserve"> and customs enforcement. </w:t>
      </w:r>
      <w:r>
        <w:rPr>
          <w:rFonts w:ascii="Times New Roman" w:hAnsi="Times New Roman" w:cs="Times New Roman"/>
          <w:color w:val="000000"/>
        </w:rPr>
        <w:t xml:space="preserve"> </w:t>
      </w:r>
      <w:r w:rsidRPr="00CC0F68">
        <w:rPr>
          <w:rFonts w:ascii="Times New Roman" w:hAnsi="Times New Roman" w:cs="Times New Roman"/>
          <w:color w:val="000000"/>
        </w:rPr>
        <w:t xml:space="preserve">In June 2004, the </w:t>
      </w:r>
      <w:r>
        <w:rPr>
          <w:rFonts w:ascii="Times New Roman" w:hAnsi="Times New Roman" w:cs="Times New Roman"/>
          <w:color w:val="000000"/>
        </w:rPr>
        <w:t xml:space="preserve">chief information officers of the Departments of Homeland Security, Justice, and Treasury </w:t>
      </w:r>
      <w:r w:rsidRPr="00CC0F68">
        <w:rPr>
          <w:rFonts w:ascii="Times New Roman" w:hAnsi="Times New Roman" w:cs="Times New Roman"/>
          <w:color w:val="000000"/>
        </w:rPr>
        <w:t xml:space="preserve">signed a </w:t>
      </w:r>
      <w:r w:rsidRPr="0053380B">
        <w:rPr>
          <w:rFonts w:ascii="Times New Roman" w:hAnsi="Times New Roman" w:cs="Times New Roman"/>
          <w:color w:val="000000"/>
        </w:rPr>
        <w:t xml:space="preserve">MOU to develop, implement, and manage a joint wireless system.  In January 2008, the </w:t>
      </w:r>
      <w:r>
        <w:rPr>
          <w:rFonts w:ascii="Times New Roman" w:hAnsi="Times New Roman" w:cs="Times New Roman"/>
          <w:color w:val="000000"/>
        </w:rPr>
        <w:t xml:space="preserve">agencies updated the </w:t>
      </w:r>
      <w:r w:rsidRPr="0053380B">
        <w:rPr>
          <w:rFonts w:ascii="Times New Roman" w:hAnsi="Times New Roman" w:cs="Times New Roman"/>
          <w:color w:val="000000"/>
        </w:rPr>
        <w:t>MOU to reflect changes in geographic priorities and mission needs</w:t>
      </w:r>
      <w:r>
        <w:rPr>
          <w:rFonts w:ascii="Times New Roman" w:hAnsi="Times New Roman" w:cs="Times New Roman"/>
          <w:color w:val="000000"/>
        </w:rPr>
        <w:t>.  The revised MOU was signed by the Deputy Secretaries of Homeland Security and Treasury and Justice’s Deputy Attorney General</w:t>
      </w:r>
      <w:r w:rsidRPr="0053380B">
        <w:rPr>
          <w:rFonts w:ascii="Times New Roman" w:hAnsi="Times New Roman" w:cs="Times New Roman"/>
          <w:color w:val="000000"/>
        </w:rPr>
        <w:t xml:space="preserve">.  </w:t>
      </w:r>
      <w:r>
        <w:rPr>
          <w:rFonts w:ascii="Times New Roman" w:hAnsi="Times New Roman" w:cs="Times New Roman"/>
          <w:color w:val="000000"/>
        </w:rPr>
        <w:t xml:space="preserve">Consequently, the three agencies agreed to </w:t>
      </w:r>
      <w:r w:rsidRPr="0053380B">
        <w:rPr>
          <w:rFonts w:ascii="Times New Roman" w:hAnsi="Times New Roman" w:cs="Times New Roman"/>
          <w:color w:val="000000"/>
        </w:rPr>
        <w:t xml:space="preserve">deploy </w:t>
      </w:r>
      <w:r>
        <w:rPr>
          <w:rFonts w:ascii="Times New Roman" w:hAnsi="Times New Roman" w:cs="Times New Roman"/>
          <w:color w:val="000000"/>
        </w:rPr>
        <w:t xml:space="preserve">shared </w:t>
      </w:r>
      <w:r w:rsidRPr="0053380B">
        <w:rPr>
          <w:rFonts w:ascii="Times New Roman" w:hAnsi="Times New Roman" w:cs="Times New Roman"/>
          <w:color w:val="000000"/>
        </w:rPr>
        <w:t>systems</w:t>
      </w:r>
      <w:r>
        <w:rPr>
          <w:rFonts w:ascii="Times New Roman" w:hAnsi="Times New Roman" w:cs="Times New Roman"/>
          <w:color w:val="000000"/>
        </w:rPr>
        <w:t xml:space="preserve"> w</w:t>
      </w:r>
      <w:r w:rsidRPr="0053380B">
        <w:rPr>
          <w:rFonts w:ascii="Times New Roman" w:hAnsi="Times New Roman" w:cs="Times New Roman"/>
          <w:color w:val="000000"/>
        </w:rPr>
        <w:t xml:space="preserve">here </w:t>
      </w:r>
      <w:r>
        <w:rPr>
          <w:rFonts w:ascii="Times New Roman" w:hAnsi="Times New Roman" w:cs="Times New Roman"/>
          <w:color w:val="000000"/>
        </w:rPr>
        <w:t xml:space="preserve">their respective </w:t>
      </w:r>
      <w:r w:rsidRPr="0053380B">
        <w:rPr>
          <w:rFonts w:ascii="Times New Roman" w:hAnsi="Times New Roman" w:cs="Times New Roman"/>
          <w:color w:val="000000"/>
        </w:rPr>
        <w:t xml:space="preserve">interests and </w:t>
      </w:r>
      <w:r>
        <w:rPr>
          <w:rFonts w:ascii="Times New Roman" w:hAnsi="Times New Roman" w:cs="Times New Roman"/>
          <w:color w:val="000000"/>
        </w:rPr>
        <w:t xml:space="preserve">mission </w:t>
      </w:r>
      <w:r w:rsidRPr="0053380B">
        <w:rPr>
          <w:rFonts w:ascii="Times New Roman" w:hAnsi="Times New Roman" w:cs="Times New Roman"/>
          <w:color w:val="000000"/>
        </w:rPr>
        <w:t>requirements overlap in order to maximize economies of scale, reduce utilization of radio spectrum</w:t>
      </w:r>
      <w:r>
        <w:rPr>
          <w:rFonts w:ascii="Times New Roman" w:hAnsi="Times New Roman" w:cs="Times New Roman"/>
          <w:color w:val="000000"/>
        </w:rPr>
        <w:t>,</w:t>
      </w:r>
      <w:r w:rsidRPr="0053380B">
        <w:rPr>
          <w:rFonts w:ascii="Times New Roman" w:hAnsi="Times New Roman" w:cs="Times New Roman"/>
          <w:color w:val="000000"/>
        </w:rPr>
        <w:t xml:space="preserve"> and optimize interoperability.</w:t>
      </w:r>
    </w:p>
    <w:p w:rsidR="00766626" w:rsidRPr="00CC0F68" w:rsidRDefault="00766626" w:rsidP="00766626">
      <w:pPr>
        <w:pStyle w:val="NormalWeb"/>
        <w:rPr>
          <w:rFonts w:ascii="Times New Roman" w:hAnsi="Times New Roman" w:cs="Times New Roman"/>
          <w:i/>
          <w:color w:val="000000"/>
        </w:rPr>
      </w:pPr>
      <w:r w:rsidRPr="00CC0F68">
        <w:rPr>
          <w:rFonts w:ascii="Times New Roman" w:hAnsi="Times New Roman" w:cs="Times New Roman"/>
          <w:i/>
          <w:color w:val="000000"/>
        </w:rPr>
        <w:t>State of Legacy Communication Systems</w:t>
      </w:r>
    </w:p>
    <w:p w:rsidR="00766626" w:rsidRPr="004725C7" w:rsidRDefault="00766626" w:rsidP="00766626">
      <w:r w:rsidRPr="00FB098E">
        <w:t>In March 2007, the Department’s</w:t>
      </w:r>
      <w:r>
        <w:t xml:space="preserve"> </w:t>
      </w:r>
      <w:r w:rsidRPr="004725C7">
        <w:t xml:space="preserve">Inspector General </w:t>
      </w:r>
      <w:r>
        <w:t xml:space="preserve">issued a report on </w:t>
      </w:r>
      <w:r w:rsidRPr="004725C7">
        <w:t>the state of wireless communications within</w:t>
      </w:r>
      <w:r>
        <w:t xml:space="preserve"> DOJ’s law enforcement components: ATF, DEA, FBI, and USMS</w:t>
      </w:r>
      <w:r w:rsidRPr="004725C7">
        <w:t>.</w:t>
      </w:r>
      <w:r>
        <w:rPr>
          <w:rStyle w:val="FootnoteReference"/>
          <w:i/>
          <w:color w:val="000000"/>
        </w:rPr>
        <w:footnoteReference w:id="2"/>
      </w:r>
      <w:r w:rsidRPr="004725C7">
        <w:t xml:space="preserve">  The </w:t>
      </w:r>
      <w:r>
        <w:t xml:space="preserve">report’s findings </w:t>
      </w:r>
      <w:r w:rsidRPr="004725C7">
        <w:t>highlighted significant vulnerabilities for agencies actively engaged in counter-terrorism and law enforcement missions</w:t>
      </w:r>
      <w:r>
        <w:t>, including</w:t>
      </w:r>
      <w:r w:rsidRPr="004725C7">
        <w:t>:</w:t>
      </w:r>
    </w:p>
    <w:p w:rsidR="00766626" w:rsidRPr="004725C7" w:rsidRDefault="00766626" w:rsidP="00766626"/>
    <w:p w:rsidR="00766626" w:rsidRPr="004725C7" w:rsidRDefault="00C77DAB" w:rsidP="00766626">
      <w:pPr>
        <w:numPr>
          <w:ilvl w:val="0"/>
          <w:numId w:val="21"/>
        </w:numPr>
        <w:tabs>
          <w:tab w:val="left" w:pos="360"/>
          <w:tab w:val="left" w:pos="5040"/>
          <w:tab w:val="left" w:pos="5400"/>
        </w:tabs>
      </w:pPr>
      <w:r>
        <w:t>A</w:t>
      </w:r>
      <w:r w:rsidR="00766626">
        <w:t xml:space="preserve">gents’ radio subscriber units </w:t>
      </w:r>
      <w:r w:rsidR="00766626" w:rsidRPr="004725C7">
        <w:t>are not narrow-band compliant</w:t>
      </w:r>
      <w:r w:rsidR="00766626">
        <w:t>;</w:t>
      </w:r>
    </w:p>
    <w:p w:rsidR="00766626" w:rsidRPr="00966EC9" w:rsidRDefault="00C77DAB" w:rsidP="00766626">
      <w:pPr>
        <w:numPr>
          <w:ilvl w:val="0"/>
          <w:numId w:val="21"/>
        </w:numPr>
        <w:tabs>
          <w:tab w:val="left" w:pos="360"/>
          <w:tab w:val="left" w:pos="5040"/>
          <w:tab w:val="left" w:pos="5400"/>
        </w:tabs>
        <w:rPr>
          <w:color w:val="000000"/>
          <w:u w:val="single"/>
        </w:rPr>
      </w:pPr>
      <w:r>
        <w:t>l</w:t>
      </w:r>
      <w:r w:rsidR="00766626" w:rsidRPr="004725C7">
        <w:t>ack federally mandated security capabilities</w:t>
      </w:r>
      <w:r w:rsidR="00766626">
        <w:t>; and</w:t>
      </w:r>
      <w:r w:rsidR="00CD077F">
        <w:t xml:space="preserve"> are</w:t>
      </w:r>
    </w:p>
    <w:p w:rsidR="00766626" w:rsidRPr="00966EC9" w:rsidRDefault="00766626" w:rsidP="00766626">
      <w:pPr>
        <w:numPr>
          <w:ilvl w:val="0"/>
          <w:numId w:val="21"/>
        </w:numPr>
        <w:tabs>
          <w:tab w:val="left" w:pos="360"/>
          <w:tab w:val="left" w:pos="5040"/>
          <w:tab w:val="left" w:pos="5400"/>
        </w:tabs>
        <w:rPr>
          <w:color w:val="000000"/>
          <w:u w:val="single"/>
        </w:rPr>
      </w:pPr>
      <w:r w:rsidRPr="004725C7">
        <w:t>obsolete and no longer supported by the original manufacturer</w:t>
      </w:r>
      <w:r>
        <w:t>.</w:t>
      </w:r>
    </w:p>
    <w:p w:rsidR="001C26A4" w:rsidRPr="006163CD" w:rsidRDefault="00766626" w:rsidP="006163CD">
      <w:pPr>
        <w:pStyle w:val="NormalWeb"/>
        <w:rPr>
          <w:rFonts w:ascii="Times New Roman" w:hAnsi="Times New Roman" w:cs="Times New Roman"/>
        </w:rPr>
      </w:pPr>
      <w:r w:rsidRPr="004725C7">
        <w:rPr>
          <w:rFonts w:ascii="Times New Roman" w:hAnsi="Times New Roman" w:cs="Times New Roman"/>
        </w:rPr>
        <w:lastRenderedPageBreak/>
        <w:t xml:space="preserve">The </w:t>
      </w:r>
      <w:r>
        <w:rPr>
          <w:rFonts w:ascii="Times New Roman" w:hAnsi="Times New Roman" w:cs="Times New Roman"/>
        </w:rPr>
        <w:t xml:space="preserve">Inspector General also found </w:t>
      </w:r>
      <w:r w:rsidRPr="004725C7">
        <w:rPr>
          <w:rFonts w:ascii="Times New Roman" w:hAnsi="Times New Roman" w:cs="Times New Roman"/>
        </w:rPr>
        <w:t>that “two-thirds of the Law Enforcement Wireless Communications (LEWC) funding has been used to maintain antiquated legacy systems…and due to age these costs are expected to increase 5</w:t>
      </w:r>
      <w:r>
        <w:rPr>
          <w:rFonts w:ascii="Times New Roman" w:hAnsi="Times New Roman" w:cs="Times New Roman"/>
        </w:rPr>
        <w:t xml:space="preserve"> percent</w:t>
      </w:r>
      <w:r w:rsidRPr="004725C7">
        <w:rPr>
          <w:rFonts w:ascii="Times New Roman" w:hAnsi="Times New Roman" w:cs="Times New Roman"/>
        </w:rPr>
        <w:t xml:space="preserve"> per year</w:t>
      </w:r>
      <w:r>
        <w:rPr>
          <w:rFonts w:ascii="Times New Roman" w:hAnsi="Times New Roman" w:cs="Times New Roman"/>
        </w:rPr>
        <w:t>.</w:t>
      </w:r>
      <w:r w:rsidRPr="004725C7">
        <w:rPr>
          <w:rFonts w:ascii="Times New Roman" w:hAnsi="Times New Roman" w:cs="Times New Roman"/>
        </w:rPr>
        <w:t>”</w:t>
      </w:r>
      <w:r>
        <w:rPr>
          <w:rStyle w:val="FootnoteReference"/>
          <w:rFonts w:ascii="Times New Roman" w:hAnsi="Times New Roman"/>
        </w:rPr>
        <w:footnoteReference w:id="3"/>
      </w:r>
      <w:r w:rsidRPr="004725C7">
        <w:rPr>
          <w:rFonts w:ascii="Times New Roman" w:hAnsi="Times New Roman" w:cs="Times New Roman"/>
        </w:rPr>
        <w:t xml:space="preserve">  Additionally,</w:t>
      </w:r>
      <w:r>
        <w:rPr>
          <w:rFonts w:ascii="Times New Roman" w:hAnsi="Times New Roman" w:cs="Times New Roman"/>
        </w:rPr>
        <w:t xml:space="preserve"> the report stated that</w:t>
      </w:r>
      <w:r w:rsidRPr="004725C7">
        <w:rPr>
          <w:rFonts w:ascii="Times New Roman" w:hAnsi="Times New Roman" w:cs="Times New Roman"/>
        </w:rPr>
        <w:t xml:space="preserve"> “failure to upgrade DOJ Components' antiquated communications represents an </w:t>
      </w:r>
      <w:r>
        <w:rPr>
          <w:rFonts w:ascii="Times New Roman" w:hAnsi="Times New Roman" w:cs="Times New Roman"/>
        </w:rPr>
        <w:t>u</w:t>
      </w:r>
      <w:r w:rsidRPr="004725C7">
        <w:rPr>
          <w:rFonts w:ascii="Times New Roman" w:hAnsi="Times New Roman" w:cs="Times New Roman"/>
        </w:rPr>
        <w:t>nnecessary risk to the safety of agents and operations</w:t>
      </w:r>
      <w:r>
        <w:rPr>
          <w:rFonts w:ascii="Times New Roman" w:hAnsi="Times New Roman" w:cs="Times New Roman"/>
        </w:rPr>
        <w:t>,</w:t>
      </w:r>
      <w:r w:rsidRPr="004725C7">
        <w:rPr>
          <w:rFonts w:ascii="Times New Roman" w:hAnsi="Times New Roman" w:cs="Times New Roman"/>
        </w:rPr>
        <w:t>”</w:t>
      </w:r>
      <w:r>
        <w:rPr>
          <w:rStyle w:val="FootnoteReference"/>
          <w:rFonts w:ascii="Times New Roman" w:hAnsi="Times New Roman"/>
        </w:rPr>
        <w:footnoteReference w:id="4"/>
      </w:r>
      <w:r>
        <w:rPr>
          <w:rFonts w:ascii="Times New Roman" w:hAnsi="Times New Roman" w:cs="Times New Roman"/>
        </w:rPr>
        <w:t xml:space="preserve"> which is of paramount importance</w:t>
      </w:r>
      <w:r w:rsidRPr="004725C7">
        <w:rPr>
          <w:rFonts w:ascii="Times New Roman" w:hAnsi="Times New Roman" w:cs="Times New Roman"/>
        </w:rPr>
        <w:t xml:space="preserve">.  </w:t>
      </w:r>
      <w:r w:rsidR="007C1C09">
        <w:rPr>
          <w:rFonts w:ascii="Times New Roman" w:hAnsi="Times New Roman" w:cs="Times New Roman"/>
        </w:rPr>
        <w:t xml:space="preserve"> Communications capabilities are critical to the successful performance of the Department’s programs.</w:t>
      </w:r>
    </w:p>
    <w:p w:rsidR="001C26A4" w:rsidRDefault="007C1C09" w:rsidP="00137773">
      <w:pPr>
        <w:pStyle w:val="BodyText"/>
        <w:rPr>
          <w:bCs/>
        </w:rPr>
      </w:pPr>
      <w:r>
        <w:t xml:space="preserve">In 2008, </w:t>
      </w:r>
      <w:r w:rsidRPr="00A41B53">
        <w:t xml:space="preserve">the Integrated Wireless Network (IWN) investment </w:t>
      </w:r>
      <w:r>
        <w:t xml:space="preserve">plan was initiated to </w:t>
      </w:r>
      <w:r w:rsidRPr="00A41B53">
        <w:t>p</w:t>
      </w:r>
      <w:r w:rsidRPr="00A41B53">
        <w:rPr>
          <w:bCs/>
        </w:rPr>
        <w:t>rovide a P25 standard based, NTIA compliant narrowband, VHF, NIST compliant AES encrypted, interoperable digital Land Mobile Radio (LMR) voice communications system</w:t>
      </w:r>
      <w:r w:rsidRPr="00A41B53">
        <w:t xml:space="preserve"> for </w:t>
      </w:r>
      <w:r w:rsidRPr="00A41B53">
        <w:rPr>
          <w:bCs/>
        </w:rPr>
        <w:t xml:space="preserve">DOJ Law Enforcement Components.  </w:t>
      </w:r>
    </w:p>
    <w:p w:rsidR="006163CD" w:rsidRDefault="006163CD" w:rsidP="00137773">
      <w:pPr>
        <w:pStyle w:val="BodyText"/>
        <w:rPr>
          <w:b/>
          <w:bCs/>
          <w:u w:val="single"/>
        </w:rPr>
      </w:pPr>
    </w:p>
    <w:p w:rsidR="009E6E4B" w:rsidRDefault="009E6E4B" w:rsidP="00137773">
      <w:pPr>
        <w:pStyle w:val="BodyText"/>
        <w:rPr>
          <w:b/>
          <w:bCs/>
          <w:u w:val="single"/>
        </w:rPr>
      </w:pPr>
    </w:p>
    <w:p w:rsidR="006163CD" w:rsidRDefault="006163CD" w:rsidP="00137773">
      <w:pPr>
        <w:pStyle w:val="BodyText"/>
        <w:rPr>
          <w:b/>
          <w:bCs/>
          <w:u w:val="single"/>
        </w:rPr>
      </w:pPr>
    </w:p>
    <w:p w:rsidR="00F56595" w:rsidRPr="00D17C2A" w:rsidRDefault="00F56595" w:rsidP="00137773">
      <w:pPr>
        <w:pStyle w:val="BodyText"/>
        <w:rPr>
          <w:b/>
          <w:bCs/>
          <w:u w:val="single"/>
        </w:rPr>
      </w:pPr>
      <w:r w:rsidRPr="00D17C2A">
        <w:rPr>
          <w:b/>
          <w:bCs/>
          <w:u w:val="single"/>
        </w:rPr>
        <w:t>Justification</w:t>
      </w:r>
    </w:p>
    <w:p w:rsidR="00F56595" w:rsidRPr="004A40BE" w:rsidRDefault="00F56595" w:rsidP="00137773">
      <w:pPr>
        <w:pStyle w:val="xl24"/>
        <w:spacing w:before="0" w:after="0"/>
        <w:rPr>
          <w:b/>
        </w:rPr>
      </w:pPr>
    </w:p>
    <w:p w:rsidR="00F56595" w:rsidRDefault="00F56595" w:rsidP="0090765D">
      <w:r w:rsidRPr="00A41B53">
        <w:t xml:space="preserve">The Department’s legacy radio systems are obsolete and in many cases </w:t>
      </w:r>
      <w:r w:rsidR="00DC5B93" w:rsidRPr="00A41B53">
        <w:t xml:space="preserve">their life span is already way beyond </w:t>
      </w:r>
      <w:r w:rsidR="004A5281" w:rsidRPr="00A41B53">
        <w:t xml:space="preserve">the manufacturer’s recommendation.  </w:t>
      </w:r>
      <w:r w:rsidRPr="00A41B53">
        <w:t>Fo</w:t>
      </w:r>
      <w:r w:rsidR="00DC5B93" w:rsidRPr="00A41B53">
        <w:t>r example, one component’s</w:t>
      </w:r>
      <w:r w:rsidRPr="00A41B53">
        <w:t xml:space="preserve"> legacy wide band radio </w:t>
      </w:r>
      <w:r w:rsidR="00DC5B93" w:rsidRPr="00A41B53">
        <w:t xml:space="preserve">systems average </w:t>
      </w:r>
      <w:r w:rsidR="001C26A4">
        <w:t xml:space="preserve">over </w:t>
      </w:r>
      <w:r w:rsidR="00DC5B93" w:rsidRPr="00A41B53">
        <w:t>20 years old --</w:t>
      </w:r>
      <w:r w:rsidRPr="00A41B53">
        <w:t xml:space="preserve"> the ma</w:t>
      </w:r>
      <w:r w:rsidR="00DC5B93" w:rsidRPr="00A41B53">
        <w:t>nufacturer’s recommended tech re</w:t>
      </w:r>
      <w:r w:rsidRPr="00A41B53">
        <w:t xml:space="preserve">fresh is seven years.  </w:t>
      </w:r>
    </w:p>
    <w:p w:rsidR="00A040F5" w:rsidRDefault="00A040F5">
      <w:pPr>
        <w:widowControl w:val="0"/>
        <w:autoSpaceDE w:val="0"/>
        <w:autoSpaceDN w:val="0"/>
        <w:adjustRightInd w:val="0"/>
        <w:ind w:right="-720"/>
      </w:pPr>
    </w:p>
    <w:p w:rsidR="00F56595" w:rsidRPr="00A41B53" w:rsidRDefault="00766626" w:rsidP="00090886">
      <w:r w:rsidRPr="00A41B53">
        <w:t xml:space="preserve">In summary, </w:t>
      </w:r>
      <w:r w:rsidR="00811375" w:rsidRPr="00A41B53">
        <w:t>the</w:t>
      </w:r>
      <w:r w:rsidR="00F56595" w:rsidRPr="00A41B53">
        <w:t xml:space="preserve"> </w:t>
      </w:r>
      <w:r w:rsidR="00811375" w:rsidRPr="00A41B53">
        <w:t xml:space="preserve">IWN investment </w:t>
      </w:r>
      <w:r w:rsidRPr="00A41B53">
        <w:t>does the following:</w:t>
      </w:r>
      <w:r w:rsidR="00F623EA" w:rsidRPr="00A41B53">
        <w:br/>
      </w:r>
    </w:p>
    <w:p w:rsidR="00F56595" w:rsidRPr="00A41B53" w:rsidRDefault="00F56595" w:rsidP="00D3123A">
      <w:pPr>
        <w:numPr>
          <w:ilvl w:val="0"/>
          <w:numId w:val="23"/>
        </w:numPr>
        <w:spacing w:line="276" w:lineRule="auto"/>
      </w:pPr>
      <w:r w:rsidRPr="00A41B53">
        <w:t>Provide</w:t>
      </w:r>
      <w:r w:rsidR="00766626" w:rsidRPr="00A41B53">
        <w:t>s</w:t>
      </w:r>
      <w:r w:rsidRPr="00A41B53">
        <w:t xml:space="preserve"> new </w:t>
      </w:r>
      <w:r w:rsidR="00C51C6E">
        <w:t xml:space="preserve">and upgraded </w:t>
      </w:r>
      <w:r w:rsidRPr="00A41B53">
        <w:t>mobile and portable (subscriber) radios to the agents and officers who desperately need them through a nationwide encrypted radio deployment</w:t>
      </w:r>
      <w:r w:rsidR="00C51C6E">
        <w:t xml:space="preserve"> to work on modern systems</w:t>
      </w:r>
      <w:r w:rsidRPr="00A41B53">
        <w:t>;</w:t>
      </w:r>
      <w:r w:rsidR="00766626" w:rsidRPr="00A41B53">
        <w:br/>
      </w:r>
    </w:p>
    <w:p w:rsidR="00F56595" w:rsidRPr="00A41B53" w:rsidRDefault="00F56595" w:rsidP="00D3123A">
      <w:pPr>
        <w:numPr>
          <w:ilvl w:val="0"/>
          <w:numId w:val="23"/>
        </w:numPr>
        <w:spacing w:line="276" w:lineRule="auto"/>
      </w:pPr>
      <w:r w:rsidRPr="00A41B53">
        <w:t>Remove</w:t>
      </w:r>
      <w:r w:rsidR="00CD077F">
        <w:t>s</w:t>
      </w:r>
      <w:r w:rsidRPr="00A41B53">
        <w:t xml:space="preserve"> and replace</w:t>
      </w:r>
      <w:r w:rsidR="00766626" w:rsidRPr="00A41B53">
        <w:t>s</w:t>
      </w:r>
      <w:r w:rsidRPr="00A41B53">
        <w:t xml:space="preserve"> the noncompliant portions of the existing FBI radio infrastructure to provide a P25 standards based, narrowband, AES encrypted, VHF LMR system to provide a nationwide </w:t>
      </w:r>
      <w:r w:rsidR="00C51C6E">
        <w:t>modern</w:t>
      </w:r>
      <w:r w:rsidRPr="00A41B53">
        <w:t xml:space="preserve"> system;</w:t>
      </w:r>
      <w:r w:rsidR="00766626" w:rsidRPr="00A41B53">
        <w:br/>
      </w:r>
    </w:p>
    <w:p w:rsidR="00F56595" w:rsidRPr="00A41B53" w:rsidRDefault="00F56595" w:rsidP="00D3123A">
      <w:pPr>
        <w:numPr>
          <w:ilvl w:val="0"/>
          <w:numId w:val="23"/>
        </w:numPr>
        <w:spacing w:line="276" w:lineRule="auto"/>
      </w:pPr>
      <w:r w:rsidRPr="00A41B53">
        <w:lastRenderedPageBreak/>
        <w:t>Add</w:t>
      </w:r>
      <w:r w:rsidR="00766626" w:rsidRPr="00A41B53">
        <w:t>s</w:t>
      </w:r>
      <w:r w:rsidRPr="00A41B53">
        <w:t xml:space="preserve"> additional capacity to the system to support the other components as required; and</w:t>
      </w:r>
      <w:r w:rsidR="00766626" w:rsidRPr="00A41B53">
        <w:br/>
      </w:r>
    </w:p>
    <w:p w:rsidR="00F56595" w:rsidRDefault="00F56595" w:rsidP="00090886">
      <w:pPr>
        <w:numPr>
          <w:ilvl w:val="0"/>
          <w:numId w:val="23"/>
        </w:numPr>
        <w:spacing w:after="200" w:line="276" w:lineRule="auto"/>
      </w:pPr>
      <w:r w:rsidRPr="00A41B53">
        <w:t xml:space="preserve"> Deploy</w:t>
      </w:r>
      <w:r w:rsidR="00766626" w:rsidRPr="00A41B53">
        <w:t>s</w:t>
      </w:r>
      <w:r w:rsidRPr="00A41B53">
        <w:t xml:space="preserve"> in major metropolitan areas trunked LMR which is P25 standards based, narrowband, AES encrypted in the VHF band for all components to share. </w:t>
      </w:r>
    </w:p>
    <w:p w:rsidR="007C1C09" w:rsidRDefault="007C1C09" w:rsidP="00090886">
      <w:pPr>
        <w:numPr>
          <w:ilvl w:val="0"/>
          <w:numId w:val="23"/>
        </w:numPr>
        <w:spacing w:after="200" w:line="276" w:lineRule="auto"/>
      </w:pPr>
      <w:r>
        <w:t xml:space="preserve"> The Department will continue to look for other cost </w:t>
      </w:r>
      <w:r w:rsidR="007446CE">
        <w:t xml:space="preserve">effective technology as part of its strategic outlook. </w:t>
      </w:r>
    </w:p>
    <w:p w:rsidR="00F56595" w:rsidRPr="004A40BE" w:rsidRDefault="00F56595" w:rsidP="00137773">
      <w:pPr>
        <w:pStyle w:val="NormalWeb"/>
        <w:rPr>
          <w:rFonts w:ascii="Times New Roman" w:hAnsi="Times New Roman" w:cs="Times New Roman"/>
          <w:b/>
          <w:color w:val="000000"/>
          <w:u w:val="single"/>
        </w:rPr>
      </w:pPr>
      <w:r w:rsidRPr="004A40BE">
        <w:rPr>
          <w:rFonts w:ascii="Times New Roman" w:hAnsi="Times New Roman" w:cs="Times New Roman"/>
          <w:b/>
          <w:color w:val="000000"/>
          <w:u w:val="single"/>
        </w:rPr>
        <w:t xml:space="preserve">Achievements </w:t>
      </w:r>
    </w:p>
    <w:p w:rsidR="00F56595" w:rsidRDefault="00F56595" w:rsidP="00137773">
      <w:pPr>
        <w:pStyle w:val="NormalWeb"/>
        <w:rPr>
          <w:rFonts w:ascii="Times New Roman" w:hAnsi="Times New Roman" w:cs="Times New Roman"/>
          <w:color w:val="000000"/>
        </w:rPr>
      </w:pPr>
      <w:r>
        <w:rPr>
          <w:rFonts w:ascii="Times New Roman" w:hAnsi="Times New Roman" w:cs="Times New Roman"/>
          <w:color w:val="000000"/>
        </w:rPr>
        <w:t>In the years following the establishment of the Wireless Management Office, DOJ and its law enforcement components developed significant expertise in planning, deploying, and maintaining tactical wireless communications networks, including the following examples.</w:t>
      </w:r>
    </w:p>
    <w:p w:rsidR="0025481B" w:rsidRDefault="0025481B" w:rsidP="0025481B">
      <w:pPr>
        <w:pStyle w:val="NormalWeb"/>
        <w:rPr>
          <w:rFonts w:ascii="Times New Roman" w:hAnsi="Times New Roman" w:cs="Times New Roman"/>
          <w:i/>
          <w:color w:val="000000"/>
        </w:rPr>
      </w:pPr>
      <w:r>
        <w:rPr>
          <w:rFonts w:ascii="Times New Roman" w:hAnsi="Times New Roman" w:cs="Times New Roman"/>
          <w:i/>
          <w:color w:val="000000"/>
        </w:rPr>
        <w:t>National Capital Region (NCR)</w:t>
      </w:r>
    </w:p>
    <w:p w:rsidR="0025481B" w:rsidRDefault="0025481B" w:rsidP="0025481B">
      <w:pPr>
        <w:widowControl w:val="0"/>
        <w:autoSpaceDE w:val="0"/>
        <w:autoSpaceDN w:val="0"/>
        <w:adjustRightInd w:val="0"/>
      </w:pPr>
      <w:r w:rsidRPr="00A41B53">
        <w:t>Overall NCR performance milestones remain on schedule for achieving initial operating capability (IOC) in the second quarter of fiscal year 2011.  Progress on deploying, testing, and government acceptance of NCR radio sites is on track, and substantial coverage will be achieved at IOC.  Once IOC is achieved and the Department issues an Authority to Operate certification, components will begin transitioning agents from legacy systems to the new IWN system.</w:t>
      </w:r>
    </w:p>
    <w:p w:rsidR="00090872" w:rsidRDefault="00090872" w:rsidP="00137773">
      <w:pPr>
        <w:pStyle w:val="NormalWeb"/>
        <w:rPr>
          <w:rFonts w:ascii="Times New Roman" w:hAnsi="Times New Roman" w:cs="Times New Roman"/>
          <w:i/>
          <w:color w:val="000000"/>
        </w:rPr>
      </w:pPr>
      <w:bookmarkStart w:id="9" w:name="OLE_LINK9"/>
      <w:bookmarkStart w:id="10" w:name="OLE_LINK10"/>
    </w:p>
    <w:p w:rsidR="00090872" w:rsidRDefault="00090872" w:rsidP="00137773">
      <w:pPr>
        <w:pStyle w:val="NormalWeb"/>
        <w:rPr>
          <w:rFonts w:ascii="Times New Roman" w:hAnsi="Times New Roman" w:cs="Times New Roman"/>
          <w:i/>
          <w:color w:val="000000"/>
        </w:rPr>
      </w:pPr>
    </w:p>
    <w:p w:rsidR="00F56595" w:rsidRPr="001A0707" w:rsidRDefault="00F56595" w:rsidP="00137773">
      <w:pPr>
        <w:pStyle w:val="NormalWeb"/>
        <w:rPr>
          <w:rFonts w:ascii="Times New Roman" w:hAnsi="Times New Roman" w:cs="Times New Roman"/>
          <w:i/>
          <w:color w:val="000000"/>
        </w:rPr>
      </w:pPr>
      <w:r w:rsidRPr="001A0707">
        <w:rPr>
          <w:rFonts w:ascii="Times New Roman" w:hAnsi="Times New Roman" w:cs="Times New Roman"/>
          <w:i/>
          <w:color w:val="000000"/>
        </w:rPr>
        <w:t>IWN San Diego</w:t>
      </w:r>
    </w:p>
    <w:p w:rsidR="00F56595" w:rsidRPr="00522294" w:rsidRDefault="00F56595" w:rsidP="00137773">
      <w:pPr>
        <w:pStyle w:val="NormalWeb"/>
        <w:rPr>
          <w:rFonts w:ascii="Times New Roman" w:hAnsi="Times New Roman" w:cs="Times New Roman"/>
          <w:color w:val="000000"/>
        </w:rPr>
      </w:pPr>
      <w:r>
        <w:rPr>
          <w:rFonts w:ascii="Times New Roman" w:hAnsi="Times New Roman" w:cs="Times New Roman"/>
          <w:color w:val="000000"/>
        </w:rPr>
        <w:t>The IWN San Diego system supports law enforcement personnel from both the Departments of Justice and Homeland Security.  IWN San Diego encompasses over 15,000 square miles of desert, forest, and mountain terrain and averages over 1,000,000 tactical radio calls a month.</w:t>
      </w:r>
    </w:p>
    <w:p w:rsidR="00F56595" w:rsidRPr="00CC0F68" w:rsidRDefault="00F56595" w:rsidP="00137773">
      <w:pPr>
        <w:pStyle w:val="NormalWeb"/>
        <w:rPr>
          <w:rFonts w:ascii="Times New Roman" w:hAnsi="Times New Roman" w:cs="Times New Roman"/>
          <w:i/>
          <w:color w:val="000000"/>
        </w:rPr>
      </w:pPr>
      <w:r>
        <w:rPr>
          <w:rFonts w:ascii="Times New Roman" w:hAnsi="Times New Roman" w:cs="Times New Roman"/>
          <w:i/>
          <w:color w:val="000000"/>
        </w:rPr>
        <w:lastRenderedPageBreak/>
        <w:t xml:space="preserve">IWN </w:t>
      </w:r>
      <w:r w:rsidRPr="00CC0F68">
        <w:rPr>
          <w:rFonts w:ascii="Times New Roman" w:hAnsi="Times New Roman" w:cs="Times New Roman"/>
          <w:i/>
          <w:color w:val="000000"/>
        </w:rPr>
        <w:t>Northwest</w:t>
      </w:r>
      <w:r>
        <w:rPr>
          <w:rFonts w:ascii="Times New Roman" w:hAnsi="Times New Roman" w:cs="Times New Roman"/>
          <w:i/>
          <w:color w:val="000000"/>
        </w:rPr>
        <w:t xml:space="preserve"> </w:t>
      </w:r>
    </w:p>
    <w:p w:rsidR="00F56595" w:rsidRDefault="00F56595" w:rsidP="00137773">
      <w:pPr>
        <w:rPr>
          <w:color w:val="000000"/>
        </w:rPr>
      </w:pPr>
      <w:r>
        <w:rPr>
          <w:color w:val="000000"/>
        </w:rPr>
        <w:t xml:space="preserve">In December 2004, </w:t>
      </w:r>
      <w:r w:rsidRPr="00CC0F68">
        <w:rPr>
          <w:color w:val="000000"/>
        </w:rPr>
        <w:t>D</w:t>
      </w:r>
      <w:r>
        <w:rPr>
          <w:color w:val="000000"/>
        </w:rPr>
        <w:t>OJ</w:t>
      </w:r>
      <w:r w:rsidRPr="00CC0F68">
        <w:rPr>
          <w:color w:val="000000"/>
        </w:rPr>
        <w:t xml:space="preserve"> </w:t>
      </w:r>
      <w:r>
        <w:rPr>
          <w:color w:val="000000"/>
        </w:rPr>
        <w:t xml:space="preserve">launched the IWN Northwest system, which initially provided radio coverage from </w:t>
      </w:r>
      <w:r w:rsidRPr="00CC0F68">
        <w:rPr>
          <w:color w:val="000000"/>
        </w:rPr>
        <w:t>Seattle</w:t>
      </w:r>
      <w:r>
        <w:rPr>
          <w:color w:val="000000"/>
        </w:rPr>
        <w:t xml:space="preserve"> to Blaine, at the Washington border with Canada.  The system met the requirements for a consolidated, multi-agency approach for the wireless communication needs of the DOJ and its partners.  </w:t>
      </w:r>
      <w:r w:rsidRPr="00CC0F68">
        <w:rPr>
          <w:color w:val="000000"/>
        </w:rPr>
        <w:t xml:space="preserve">Since then, the pilot </w:t>
      </w:r>
      <w:r>
        <w:rPr>
          <w:color w:val="000000"/>
        </w:rPr>
        <w:t>system</w:t>
      </w:r>
      <w:r w:rsidRPr="00CC0F68">
        <w:rPr>
          <w:color w:val="000000"/>
        </w:rPr>
        <w:t xml:space="preserve"> has </w:t>
      </w:r>
      <w:r>
        <w:rPr>
          <w:color w:val="000000"/>
        </w:rPr>
        <w:t xml:space="preserve">been </w:t>
      </w:r>
      <w:r w:rsidRPr="00CC0F68">
        <w:rPr>
          <w:color w:val="000000"/>
        </w:rPr>
        <w:t xml:space="preserve">expanded </w:t>
      </w:r>
      <w:r>
        <w:rPr>
          <w:color w:val="000000"/>
        </w:rPr>
        <w:t xml:space="preserve">to provide </w:t>
      </w:r>
      <w:r w:rsidRPr="00CC0F68">
        <w:rPr>
          <w:color w:val="000000"/>
        </w:rPr>
        <w:t xml:space="preserve">coverage throughout most of Washington </w:t>
      </w:r>
      <w:r>
        <w:rPr>
          <w:color w:val="000000"/>
        </w:rPr>
        <w:t>S</w:t>
      </w:r>
      <w:r w:rsidRPr="00CC0F68">
        <w:rPr>
          <w:color w:val="000000"/>
        </w:rPr>
        <w:t xml:space="preserve">tate and </w:t>
      </w:r>
      <w:r>
        <w:rPr>
          <w:color w:val="000000"/>
        </w:rPr>
        <w:t>s</w:t>
      </w:r>
      <w:r w:rsidRPr="00CC0F68">
        <w:rPr>
          <w:color w:val="000000"/>
        </w:rPr>
        <w:t>outh t</w:t>
      </w:r>
      <w:r>
        <w:rPr>
          <w:color w:val="000000"/>
        </w:rPr>
        <w:t>hrough</w:t>
      </w:r>
      <w:r w:rsidRPr="00CC0F68">
        <w:rPr>
          <w:color w:val="000000"/>
        </w:rPr>
        <w:t xml:space="preserve"> Portland, Oregon</w:t>
      </w:r>
      <w:r>
        <w:rPr>
          <w:color w:val="000000"/>
        </w:rPr>
        <w:t xml:space="preserve"> to the northern California border.  </w:t>
      </w:r>
      <w:r>
        <w:t xml:space="preserve">The IWN Northwest system was utilized during the 2010 Winter Olympics.  </w:t>
      </w:r>
      <w:r>
        <w:rPr>
          <w:color w:val="000000"/>
        </w:rPr>
        <w:t xml:space="preserve">The system currently </w:t>
      </w:r>
      <w:r w:rsidRPr="00CC0F68">
        <w:rPr>
          <w:color w:val="000000"/>
        </w:rPr>
        <w:t xml:space="preserve">supports </w:t>
      </w:r>
      <w:r>
        <w:rPr>
          <w:color w:val="000000"/>
        </w:rPr>
        <w:t>1,</w:t>
      </w:r>
      <w:r w:rsidRPr="00CC0F68">
        <w:rPr>
          <w:color w:val="000000"/>
        </w:rPr>
        <w:t xml:space="preserve">500 </w:t>
      </w:r>
      <w:r>
        <w:rPr>
          <w:color w:val="000000"/>
        </w:rPr>
        <w:t xml:space="preserve">users from </w:t>
      </w:r>
      <w:r w:rsidRPr="00CC0F68">
        <w:rPr>
          <w:color w:val="000000"/>
        </w:rPr>
        <w:t>DOJ, DHS</w:t>
      </w:r>
      <w:r>
        <w:rPr>
          <w:color w:val="000000"/>
        </w:rPr>
        <w:t>,</w:t>
      </w:r>
      <w:r w:rsidRPr="00CC0F68">
        <w:rPr>
          <w:color w:val="000000"/>
        </w:rPr>
        <w:t xml:space="preserve"> Treasury</w:t>
      </w:r>
      <w:r>
        <w:rPr>
          <w:color w:val="000000"/>
        </w:rPr>
        <w:t>,</w:t>
      </w:r>
      <w:r w:rsidRPr="00CC0F68">
        <w:rPr>
          <w:color w:val="000000"/>
        </w:rPr>
        <w:t xml:space="preserve"> </w:t>
      </w:r>
      <w:r>
        <w:rPr>
          <w:color w:val="000000"/>
        </w:rPr>
        <w:t>and other federal agencies</w:t>
      </w:r>
      <w:r w:rsidRPr="00CC0F68">
        <w:rPr>
          <w:color w:val="000000"/>
        </w:rPr>
        <w:t xml:space="preserve">. </w:t>
      </w:r>
      <w:r>
        <w:rPr>
          <w:color w:val="000000"/>
        </w:rPr>
        <w:t xml:space="preserve"> </w:t>
      </w:r>
      <w:r w:rsidRPr="00CC0F68">
        <w:rPr>
          <w:color w:val="000000"/>
        </w:rPr>
        <w:t xml:space="preserve">According to </w:t>
      </w:r>
      <w:r>
        <w:rPr>
          <w:color w:val="000000"/>
        </w:rPr>
        <w:t>users, the system better supports the operations of the agents than any of the agency-specific systems it has replaced.  T</w:t>
      </w:r>
      <w:r w:rsidRPr="00CC0F68">
        <w:rPr>
          <w:color w:val="000000"/>
        </w:rPr>
        <w:t>he Inspector General’s March 2007</w:t>
      </w:r>
      <w:r>
        <w:rPr>
          <w:color w:val="000000"/>
        </w:rPr>
        <w:t xml:space="preserve"> report</w:t>
      </w:r>
      <w:r w:rsidRPr="00CC0F68">
        <w:rPr>
          <w:color w:val="000000"/>
        </w:rPr>
        <w:t xml:space="preserve"> </w:t>
      </w:r>
      <w:r>
        <w:rPr>
          <w:color w:val="000000"/>
        </w:rPr>
        <w:t xml:space="preserve">validated these findings through interviews with </w:t>
      </w:r>
      <w:r w:rsidRPr="00CC0F68">
        <w:rPr>
          <w:color w:val="000000"/>
        </w:rPr>
        <w:t xml:space="preserve">representatives from the </w:t>
      </w:r>
      <w:r>
        <w:rPr>
          <w:color w:val="000000"/>
        </w:rPr>
        <w:t>ATF</w:t>
      </w:r>
      <w:r w:rsidRPr="00CC0F68">
        <w:rPr>
          <w:color w:val="000000"/>
        </w:rPr>
        <w:t>, FBI, and USMS</w:t>
      </w:r>
      <w:r>
        <w:rPr>
          <w:color w:val="000000"/>
        </w:rPr>
        <w:t xml:space="preserve"> and listed the following specific benefits:</w:t>
      </w:r>
      <w:r>
        <w:rPr>
          <w:rStyle w:val="FootnoteReference"/>
          <w:color w:val="000000"/>
        </w:rPr>
        <w:footnoteReference w:id="5"/>
      </w:r>
    </w:p>
    <w:bookmarkEnd w:id="9"/>
    <w:bookmarkEnd w:id="10"/>
    <w:p w:rsidR="00F56595"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CC0F68">
        <w:rPr>
          <w:rFonts w:ascii="Times New Roman" w:hAnsi="Times New Roman" w:cs="Times New Roman"/>
          <w:color w:val="000000"/>
        </w:rPr>
        <w:t>Ease of use (no need to change channels when moving from one channel’s coverage area to another and capable of over-the-air re-keying)</w:t>
      </w:r>
      <w:r>
        <w:rPr>
          <w:rFonts w:ascii="Times New Roman" w:hAnsi="Times New Roman" w:cs="Times New Roman"/>
          <w:color w:val="000000"/>
        </w:rPr>
        <w:t>;</w:t>
      </w:r>
    </w:p>
    <w:p w:rsidR="00F56595" w:rsidRPr="00CC0F68"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CC0F68">
        <w:rPr>
          <w:rFonts w:ascii="Times New Roman" w:hAnsi="Times New Roman" w:cs="Times New Roman"/>
          <w:color w:val="000000"/>
        </w:rPr>
        <w:t>Increased officer safety due to increased radio usage and an emergency alert button on the hand-held radios that allows an officer to notify the dispatcher of an emergency situation by pressing the button</w:t>
      </w:r>
      <w:r>
        <w:rPr>
          <w:rFonts w:ascii="Times New Roman" w:hAnsi="Times New Roman" w:cs="Times New Roman"/>
          <w:color w:val="000000"/>
        </w:rPr>
        <w:t>;</w:t>
      </w:r>
    </w:p>
    <w:p w:rsidR="00F56595" w:rsidRPr="00CC0F68"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CC0F68">
        <w:rPr>
          <w:rFonts w:ascii="Times New Roman" w:hAnsi="Times New Roman" w:cs="Times New Roman"/>
          <w:color w:val="000000"/>
        </w:rPr>
        <w:t>Better coverage</w:t>
      </w:r>
      <w:r>
        <w:rPr>
          <w:rFonts w:ascii="Times New Roman" w:hAnsi="Times New Roman" w:cs="Times New Roman"/>
          <w:color w:val="000000"/>
        </w:rPr>
        <w:t xml:space="preserve"> than the legacy systems;</w:t>
      </w:r>
    </w:p>
    <w:p w:rsidR="00F56595" w:rsidRPr="00CC0F68"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CC0F68">
        <w:rPr>
          <w:rFonts w:ascii="Times New Roman" w:hAnsi="Times New Roman" w:cs="Times New Roman"/>
          <w:color w:val="000000"/>
        </w:rPr>
        <w:t>Improved clarity</w:t>
      </w:r>
      <w:r>
        <w:rPr>
          <w:rFonts w:ascii="Times New Roman" w:hAnsi="Times New Roman" w:cs="Times New Roman"/>
          <w:color w:val="000000"/>
        </w:rPr>
        <w:t xml:space="preserve"> of the audio;</w:t>
      </w:r>
    </w:p>
    <w:p w:rsidR="00F56595" w:rsidRPr="009F4B26"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CC0F68">
        <w:rPr>
          <w:rFonts w:ascii="Times New Roman" w:hAnsi="Times New Roman" w:cs="Times New Roman"/>
          <w:color w:val="000000"/>
        </w:rPr>
        <w:t>I</w:t>
      </w:r>
      <w:r>
        <w:rPr>
          <w:rFonts w:ascii="Times New Roman" w:hAnsi="Times New Roman" w:cs="Times New Roman"/>
          <w:color w:val="000000"/>
        </w:rPr>
        <w:t>mproved i</w:t>
      </w:r>
      <w:r w:rsidRPr="00CC0F68">
        <w:rPr>
          <w:rFonts w:ascii="Times New Roman" w:hAnsi="Times New Roman" w:cs="Times New Roman"/>
          <w:color w:val="000000"/>
        </w:rPr>
        <w:t>nteroperability with state and local agencies (no need to swap radios)</w:t>
      </w:r>
      <w:r>
        <w:rPr>
          <w:rFonts w:ascii="Times New Roman" w:hAnsi="Times New Roman" w:cs="Times New Roman"/>
          <w:color w:val="000000"/>
        </w:rPr>
        <w:t xml:space="preserve"> for </w:t>
      </w:r>
      <w:r w:rsidRPr="009F4B26">
        <w:rPr>
          <w:rFonts w:ascii="Times New Roman" w:hAnsi="Times New Roman" w:cs="Times New Roman"/>
          <w:color w:val="000000"/>
        </w:rPr>
        <w:t>planned events and operations; and</w:t>
      </w:r>
    </w:p>
    <w:p w:rsidR="00F56595" w:rsidRDefault="00F56595" w:rsidP="00137773">
      <w:pPr>
        <w:pStyle w:val="NormalWeb"/>
        <w:numPr>
          <w:ilvl w:val="0"/>
          <w:numId w:val="20"/>
        </w:numPr>
        <w:spacing w:before="0" w:beforeAutospacing="0" w:after="0" w:afterAutospacing="0"/>
        <w:rPr>
          <w:rFonts w:ascii="Times New Roman" w:hAnsi="Times New Roman" w:cs="Times New Roman"/>
          <w:color w:val="000000"/>
        </w:rPr>
      </w:pPr>
      <w:r w:rsidRPr="009F4B26">
        <w:rPr>
          <w:rFonts w:ascii="Times New Roman" w:hAnsi="Times New Roman" w:cs="Times New Roman"/>
          <w:color w:val="000000"/>
        </w:rPr>
        <w:t>Better support for workgroup communications.</w:t>
      </w:r>
    </w:p>
    <w:p w:rsidR="00F56595" w:rsidRPr="00041BF5" w:rsidRDefault="00F56595" w:rsidP="00041BF5">
      <w:pPr>
        <w:pStyle w:val="NormalWeb"/>
        <w:rPr>
          <w:rFonts w:ascii="Times New Roman" w:hAnsi="Times New Roman" w:cs="Times New Roman"/>
          <w:i/>
        </w:rPr>
      </w:pPr>
      <w:r w:rsidRPr="00041BF5">
        <w:rPr>
          <w:rFonts w:ascii="Times New Roman" w:hAnsi="Times New Roman" w:cs="Times New Roman"/>
          <w:i/>
        </w:rPr>
        <w:t>Efficiency</w:t>
      </w:r>
    </w:p>
    <w:p w:rsidR="00F56595" w:rsidRPr="00CC0F68" w:rsidRDefault="00F56595" w:rsidP="00137773">
      <w:r w:rsidRPr="00A41B53">
        <w:t xml:space="preserve">The success of the IWN Northwest project also demonstrated the Department’s potential to maximize scarce fiscal and radio spectrum resources through consolidation of component-specific communications systems, implementation of new multi-agency systems, and deployment of multi-agency interoperability solutions, such as those </w:t>
      </w:r>
      <w:r w:rsidRPr="00A41B53">
        <w:lastRenderedPageBreak/>
        <w:t>deployed through the 25 Cities Project.</w:t>
      </w:r>
      <w:r w:rsidRPr="00A41B53">
        <w:rPr>
          <w:rStyle w:val="FootnoteReference"/>
          <w:color w:val="000000"/>
        </w:rPr>
        <w:footnoteReference w:id="6"/>
      </w:r>
      <w:r w:rsidRPr="00A41B53">
        <w:t xml:space="preserve">  These efforts have yielded noteworthy results, including a 50 percent reduction in radio spectrum usage, a 40 percent reduction in radio transmission sites, elimination of redundant legacy systems, and radio coverage beyond any single agency’s previous capability.</w:t>
      </w:r>
      <w:r w:rsidRPr="00A41B53">
        <w:rPr>
          <w:rStyle w:val="FootnoteReference"/>
          <w:color w:val="000000"/>
        </w:rPr>
        <w:footnoteReference w:id="7"/>
      </w:r>
    </w:p>
    <w:p w:rsidR="00F56595" w:rsidRPr="00CC0F68" w:rsidRDefault="00F56595" w:rsidP="00137773">
      <w:pPr>
        <w:pStyle w:val="NormalWeb"/>
        <w:rPr>
          <w:rFonts w:ascii="Times New Roman" w:hAnsi="Times New Roman" w:cs="Times New Roman"/>
          <w:b/>
          <w:color w:val="000000"/>
          <w:u w:val="single"/>
        </w:rPr>
      </w:pPr>
      <w:r w:rsidRPr="00CC0F68">
        <w:rPr>
          <w:rFonts w:ascii="Times New Roman" w:hAnsi="Times New Roman" w:cs="Times New Roman"/>
          <w:b/>
          <w:color w:val="000000"/>
          <w:u w:val="single"/>
        </w:rPr>
        <w:t>Performance Challenges</w:t>
      </w:r>
    </w:p>
    <w:p w:rsidR="00F56595" w:rsidRPr="00811375" w:rsidRDefault="00F56595" w:rsidP="00137773">
      <w:pPr>
        <w:pStyle w:val="NormalWeb"/>
        <w:rPr>
          <w:rFonts w:ascii="Times New Roman" w:hAnsi="Times New Roman" w:cs="Times New Roman"/>
          <w:color w:val="000000"/>
        </w:rPr>
      </w:pPr>
      <w:r w:rsidRPr="00811375">
        <w:rPr>
          <w:rFonts w:ascii="Times New Roman" w:hAnsi="Times New Roman" w:cs="Times New Roman"/>
          <w:color w:val="000000"/>
        </w:rPr>
        <w:t xml:space="preserve">The WMO has been addressing numerous deployment challenges to meet aggressive goals, including: </w:t>
      </w:r>
    </w:p>
    <w:p w:rsidR="00F56595" w:rsidRPr="00811375" w:rsidRDefault="00F56595" w:rsidP="00137773">
      <w:pPr>
        <w:pStyle w:val="NormalWeb"/>
        <w:numPr>
          <w:ilvl w:val="0"/>
          <w:numId w:val="19"/>
        </w:numPr>
        <w:rPr>
          <w:rFonts w:ascii="Times New Roman" w:hAnsi="Times New Roman" w:cs="Times New Roman"/>
          <w:color w:val="000000"/>
        </w:rPr>
      </w:pPr>
      <w:r w:rsidRPr="00811375">
        <w:rPr>
          <w:rFonts w:ascii="Times New Roman" w:hAnsi="Times New Roman" w:cs="Times New Roman"/>
          <w:color w:val="000000"/>
        </w:rPr>
        <w:t>Flexible long-term planning that incorporates deployment efficiencies</w:t>
      </w:r>
      <w:r w:rsidR="00475CE0">
        <w:rPr>
          <w:rFonts w:ascii="Times New Roman" w:hAnsi="Times New Roman" w:cs="Times New Roman"/>
          <w:color w:val="000000"/>
        </w:rPr>
        <w:t xml:space="preserve"> and industry innovation</w:t>
      </w:r>
      <w:r w:rsidRPr="00811375">
        <w:rPr>
          <w:rFonts w:ascii="Times New Roman" w:hAnsi="Times New Roman" w:cs="Times New Roman"/>
          <w:color w:val="000000"/>
        </w:rPr>
        <w:t>;</w:t>
      </w:r>
    </w:p>
    <w:p w:rsidR="00F56595" w:rsidRPr="00811375" w:rsidRDefault="00F56595" w:rsidP="00137773">
      <w:pPr>
        <w:pStyle w:val="NormalWeb"/>
        <w:numPr>
          <w:ilvl w:val="0"/>
          <w:numId w:val="19"/>
        </w:numPr>
        <w:rPr>
          <w:rFonts w:ascii="Times New Roman" w:hAnsi="Times New Roman" w:cs="Times New Roman"/>
          <w:color w:val="000000"/>
        </w:rPr>
      </w:pPr>
      <w:r w:rsidRPr="00811375">
        <w:rPr>
          <w:rFonts w:ascii="Times New Roman" w:hAnsi="Times New Roman" w:cs="Times New Roman"/>
          <w:color w:val="000000"/>
        </w:rPr>
        <w:t>Management of parallel efforts in diverse geographic locations;</w:t>
      </w:r>
      <w:r w:rsidRPr="00811375" w:rsidDel="00BB4C7F">
        <w:rPr>
          <w:rFonts w:ascii="Times New Roman" w:hAnsi="Times New Roman" w:cs="Times New Roman"/>
          <w:color w:val="000000"/>
        </w:rPr>
        <w:t xml:space="preserve"> </w:t>
      </w:r>
    </w:p>
    <w:p w:rsidR="00F56595" w:rsidRPr="00811375" w:rsidRDefault="00F56595" w:rsidP="00137773">
      <w:pPr>
        <w:pStyle w:val="NormalWeb"/>
        <w:numPr>
          <w:ilvl w:val="0"/>
          <w:numId w:val="19"/>
        </w:numPr>
        <w:rPr>
          <w:rFonts w:ascii="Times New Roman" w:hAnsi="Times New Roman" w:cs="Times New Roman"/>
          <w:color w:val="000000"/>
        </w:rPr>
      </w:pPr>
      <w:r w:rsidRPr="00811375">
        <w:rPr>
          <w:rFonts w:ascii="Times New Roman" w:hAnsi="Times New Roman" w:cs="Times New Roman"/>
          <w:color w:val="000000"/>
        </w:rPr>
        <w:t>Transitioning agents and radio support personnel from multiple legacy systems in overlapping field office areas onto a single, unified system;</w:t>
      </w:r>
    </w:p>
    <w:p w:rsidR="00F56595" w:rsidRPr="00811375" w:rsidRDefault="00F56595" w:rsidP="00137773">
      <w:pPr>
        <w:pStyle w:val="NormalWeb"/>
        <w:numPr>
          <w:ilvl w:val="0"/>
          <w:numId w:val="19"/>
        </w:numPr>
        <w:rPr>
          <w:rFonts w:ascii="Times New Roman" w:hAnsi="Times New Roman" w:cs="Times New Roman"/>
          <w:color w:val="000000"/>
        </w:rPr>
      </w:pPr>
      <w:r w:rsidRPr="00811375">
        <w:rPr>
          <w:rFonts w:ascii="Times New Roman" w:hAnsi="Times New Roman" w:cs="Times New Roman"/>
          <w:color w:val="000000"/>
        </w:rPr>
        <w:t>Maintaining legacy systems long enough to ensure a smooth transition and quickly enough to reduce redundant operating costs;</w:t>
      </w:r>
    </w:p>
    <w:p w:rsidR="00F56595" w:rsidRPr="00811375" w:rsidRDefault="00F56595" w:rsidP="00137773">
      <w:pPr>
        <w:pStyle w:val="NormalWeb"/>
        <w:numPr>
          <w:ilvl w:val="0"/>
          <w:numId w:val="19"/>
        </w:numPr>
        <w:rPr>
          <w:rFonts w:ascii="Times New Roman" w:hAnsi="Times New Roman" w:cs="Times New Roman"/>
        </w:rPr>
      </w:pPr>
      <w:r w:rsidRPr="00811375">
        <w:rPr>
          <w:rFonts w:ascii="Times New Roman" w:hAnsi="Times New Roman" w:cs="Times New Roman"/>
        </w:rPr>
        <w:t>Managing the transformation of operations and maintenance work from component-specific to system-wide; and</w:t>
      </w:r>
    </w:p>
    <w:p w:rsidR="00F56595" w:rsidRPr="00811375" w:rsidRDefault="00F56595" w:rsidP="00137773">
      <w:pPr>
        <w:pStyle w:val="NormalWeb"/>
        <w:numPr>
          <w:ilvl w:val="0"/>
          <w:numId w:val="19"/>
        </w:numPr>
        <w:rPr>
          <w:rFonts w:ascii="Times New Roman" w:hAnsi="Times New Roman" w:cs="Times New Roman"/>
          <w:color w:val="000000"/>
        </w:rPr>
      </w:pPr>
      <w:r w:rsidRPr="00811375">
        <w:rPr>
          <w:rFonts w:ascii="Times New Roman" w:hAnsi="Times New Roman" w:cs="Times New Roman"/>
          <w:color w:val="000000"/>
        </w:rPr>
        <w:t>Deployment of new systems with minimal down-time.</w:t>
      </w:r>
    </w:p>
    <w:p w:rsidR="00F56595" w:rsidRDefault="00F56595" w:rsidP="00137773">
      <w:pPr>
        <w:pStyle w:val="NormalWeb"/>
        <w:spacing w:before="0" w:after="0"/>
        <w:sectPr w:rsidR="00F56595" w:rsidSect="00186D44">
          <w:footerReference w:type="even" r:id="rId8"/>
          <w:footerReference w:type="default" r:id="rId9"/>
          <w:footerReference w:type="first" r:id="rId10"/>
          <w:pgSz w:w="12240" w:h="15840" w:code="1"/>
          <w:pgMar w:top="1440" w:right="1440" w:bottom="1584" w:left="1584" w:header="432" w:footer="432" w:gutter="0"/>
          <w:cols w:space="720"/>
          <w:vAlign w:val="center"/>
          <w:titlePg/>
        </w:sectPr>
      </w:pPr>
      <w:r w:rsidRPr="00811375">
        <w:rPr>
          <w:rFonts w:ascii="Times New Roman" w:hAnsi="Times New Roman" w:cs="Times New Roman"/>
          <w:color w:val="000000"/>
        </w:rPr>
        <w:t>Furthermore, the Department is significantly overdue in meeting NTIA’s deadlines for federal agencies to migrate radio systems that operate on VHF and UHF bands (i.e., wideband systems) to narrowband frequency utilization.</w:t>
      </w:r>
      <w:r w:rsidRPr="00811375">
        <w:rPr>
          <w:rStyle w:val="FootnoteReference"/>
          <w:rFonts w:ascii="Times New Roman" w:hAnsi="Times New Roman"/>
          <w:color w:val="000000"/>
        </w:rPr>
        <w:footnoteReference w:id="8"/>
      </w:r>
      <w:r w:rsidRPr="00811375">
        <w:rPr>
          <w:rFonts w:ascii="Times New Roman" w:hAnsi="Times New Roman" w:cs="Times New Roman"/>
          <w:color w:val="000000"/>
        </w:rPr>
        <w:t xml:space="preserve">  </w:t>
      </w:r>
    </w:p>
    <w:p w:rsidR="00F56595" w:rsidRDefault="00F56595" w:rsidP="001D1825">
      <w:pPr>
        <w:ind w:left="720"/>
      </w:pPr>
    </w:p>
    <w:p w:rsidR="00F56595" w:rsidRPr="00E43151" w:rsidRDefault="00F56595">
      <w:pPr>
        <w:pStyle w:val="BodyText"/>
        <w:rPr>
          <w:rFonts w:cs="Arial"/>
          <w:b/>
          <w:bCs/>
          <w:sz w:val="28"/>
          <w:szCs w:val="28"/>
        </w:rPr>
      </w:pPr>
      <w:r w:rsidRPr="00E43151">
        <w:rPr>
          <w:rFonts w:cs="Arial"/>
          <w:b/>
          <w:bCs/>
          <w:sz w:val="28"/>
          <w:szCs w:val="28"/>
        </w:rPr>
        <w:t>II. Summary of Program Changes</w:t>
      </w:r>
    </w:p>
    <w:p w:rsidR="00F56595" w:rsidRDefault="00F56595">
      <w:pPr>
        <w:pStyle w:val="BodyText"/>
        <w:rPr>
          <w:rFonts w:cs="Arial"/>
          <w:b/>
          <w:bCs/>
        </w:rPr>
      </w:pPr>
    </w:p>
    <w:p w:rsidR="00F56595" w:rsidRDefault="00F56595">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4230"/>
        <w:gridCol w:w="720"/>
        <w:gridCol w:w="720"/>
        <w:gridCol w:w="1350"/>
        <w:gridCol w:w="712"/>
      </w:tblGrid>
      <w:tr w:rsidR="00F56595" w:rsidRPr="000E2AEC" w:rsidTr="008D7FB5">
        <w:trPr>
          <w:cantSplit/>
        </w:trPr>
        <w:tc>
          <w:tcPr>
            <w:tcW w:w="1908" w:type="dxa"/>
            <w:vMerge w:val="restart"/>
            <w:shd w:val="clear" w:color="auto" w:fill="E6E6E6"/>
          </w:tcPr>
          <w:p w:rsidR="00F56595" w:rsidRPr="000E2AEC" w:rsidRDefault="00F56595">
            <w:pPr>
              <w:pStyle w:val="BodyText"/>
              <w:jc w:val="center"/>
              <w:rPr>
                <w:b/>
                <w:bCs/>
                <w:szCs w:val="24"/>
              </w:rPr>
            </w:pPr>
          </w:p>
          <w:p w:rsidR="00F56595" w:rsidRPr="000E2AEC" w:rsidRDefault="00F56595">
            <w:pPr>
              <w:pStyle w:val="BodyText"/>
              <w:jc w:val="center"/>
              <w:rPr>
                <w:b/>
                <w:bCs/>
                <w:szCs w:val="24"/>
              </w:rPr>
            </w:pPr>
            <w:r w:rsidRPr="000E2AEC">
              <w:rPr>
                <w:b/>
                <w:bCs/>
                <w:szCs w:val="24"/>
              </w:rPr>
              <w:t>Item Name</w:t>
            </w:r>
          </w:p>
        </w:tc>
        <w:tc>
          <w:tcPr>
            <w:tcW w:w="7020" w:type="dxa"/>
            <w:gridSpan w:val="4"/>
            <w:shd w:val="clear" w:color="auto" w:fill="E6E6E6"/>
          </w:tcPr>
          <w:p w:rsidR="00F56595" w:rsidRPr="000E2AEC" w:rsidRDefault="00F56595">
            <w:pPr>
              <w:pStyle w:val="BodyText"/>
              <w:jc w:val="center"/>
              <w:rPr>
                <w:b/>
                <w:bCs/>
                <w:szCs w:val="24"/>
              </w:rPr>
            </w:pPr>
          </w:p>
          <w:p w:rsidR="00F56595" w:rsidRPr="000E2AEC" w:rsidRDefault="00F56595">
            <w:pPr>
              <w:pStyle w:val="BodyText"/>
              <w:jc w:val="center"/>
              <w:rPr>
                <w:b/>
                <w:bCs/>
                <w:szCs w:val="24"/>
              </w:rPr>
            </w:pPr>
            <w:r w:rsidRPr="000E2AEC">
              <w:rPr>
                <w:b/>
                <w:bCs/>
                <w:szCs w:val="24"/>
              </w:rPr>
              <w:t>Description</w:t>
            </w:r>
          </w:p>
        </w:tc>
        <w:tc>
          <w:tcPr>
            <w:tcW w:w="712" w:type="dxa"/>
            <w:vMerge w:val="restart"/>
            <w:shd w:val="clear" w:color="auto" w:fill="E6E6E6"/>
          </w:tcPr>
          <w:p w:rsidR="00F56595" w:rsidRPr="000E2AEC" w:rsidRDefault="00F56595">
            <w:pPr>
              <w:pStyle w:val="BodyText"/>
              <w:jc w:val="center"/>
              <w:rPr>
                <w:b/>
                <w:bCs/>
                <w:szCs w:val="24"/>
              </w:rPr>
            </w:pPr>
          </w:p>
          <w:p w:rsidR="00F56595" w:rsidRPr="000E2AEC" w:rsidRDefault="00F56595">
            <w:pPr>
              <w:pStyle w:val="BodyText"/>
              <w:jc w:val="center"/>
              <w:rPr>
                <w:b/>
                <w:bCs/>
                <w:szCs w:val="24"/>
              </w:rPr>
            </w:pPr>
            <w:r w:rsidRPr="000E2AEC">
              <w:rPr>
                <w:b/>
                <w:bCs/>
                <w:szCs w:val="24"/>
              </w:rPr>
              <w:t>Page</w:t>
            </w:r>
          </w:p>
        </w:tc>
      </w:tr>
      <w:tr w:rsidR="00F56595" w:rsidRPr="000E2AEC" w:rsidTr="00F66F82">
        <w:trPr>
          <w:cantSplit/>
        </w:trPr>
        <w:tc>
          <w:tcPr>
            <w:tcW w:w="1908" w:type="dxa"/>
            <w:vMerge/>
          </w:tcPr>
          <w:p w:rsidR="00F56595" w:rsidRPr="000E2AEC" w:rsidRDefault="00F56595">
            <w:pPr>
              <w:pStyle w:val="BodyText"/>
              <w:jc w:val="center"/>
              <w:rPr>
                <w:b/>
                <w:bCs/>
                <w:szCs w:val="24"/>
              </w:rPr>
            </w:pPr>
          </w:p>
        </w:tc>
        <w:tc>
          <w:tcPr>
            <w:tcW w:w="4230" w:type="dxa"/>
          </w:tcPr>
          <w:p w:rsidR="00F56595" w:rsidRPr="000E2AEC" w:rsidRDefault="00F56595" w:rsidP="00E54062">
            <w:pPr>
              <w:pStyle w:val="BodyText"/>
              <w:jc w:val="right"/>
              <w:rPr>
                <w:b/>
                <w:bCs/>
                <w:szCs w:val="24"/>
              </w:rPr>
            </w:pPr>
          </w:p>
        </w:tc>
        <w:tc>
          <w:tcPr>
            <w:tcW w:w="720" w:type="dxa"/>
            <w:shd w:val="clear" w:color="auto" w:fill="F3F3F3"/>
          </w:tcPr>
          <w:p w:rsidR="00F56595" w:rsidRPr="000E2AEC" w:rsidRDefault="00F56595">
            <w:pPr>
              <w:pStyle w:val="BodyText"/>
              <w:jc w:val="center"/>
              <w:rPr>
                <w:b/>
                <w:bCs/>
                <w:szCs w:val="24"/>
              </w:rPr>
            </w:pPr>
          </w:p>
          <w:p w:rsidR="00F56595" w:rsidRPr="000E2AEC" w:rsidRDefault="00F56595">
            <w:pPr>
              <w:pStyle w:val="BodyText"/>
              <w:jc w:val="center"/>
              <w:rPr>
                <w:b/>
                <w:bCs/>
                <w:szCs w:val="24"/>
              </w:rPr>
            </w:pPr>
            <w:r w:rsidRPr="000E2AEC">
              <w:rPr>
                <w:b/>
                <w:bCs/>
                <w:szCs w:val="24"/>
              </w:rPr>
              <w:t>Pos.</w:t>
            </w:r>
          </w:p>
        </w:tc>
        <w:tc>
          <w:tcPr>
            <w:tcW w:w="720" w:type="dxa"/>
            <w:shd w:val="clear" w:color="auto" w:fill="F3F3F3"/>
          </w:tcPr>
          <w:p w:rsidR="00F56595" w:rsidRPr="000E2AEC" w:rsidRDefault="00F56595">
            <w:pPr>
              <w:pStyle w:val="BodyText"/>
              <w:jc w:val="center"/>
              <w:rPr>
                <w:b/>
                <w:bCs/>
                <w:szCs w:val="24"/>
              </w:rPr>
            </w:pPr>
          </w:p>
          <w:p w:rsidR="00F56595" w:rsidRPr="000E2AEC" w:rsidRDefault="00F56595">
            <w:pPr>
              <w:pStyle w:val="BodyText"/>
              <w:jc w:val="center"/>
              <w:rPr>
                <w:b/>
                <w:bCs/>
                <w:szCs w:val="24"/>
              </w:rPr>
            </w:pPr>
            <w:r w:rsidRPr="000E2AEC">
              <w:rPr>
                <w:b/>
                <w:bCs/>
                <w:szCs w:val="24"/>
              </w:rPr>
              <w:t>FTE</w:t>
            </w:r>
          </w:p>
        </w:tc>
        <w:tc>
          <w:tcPr>
            <w:tcW w:w="1350" w:type="dxa"/>
            <w:shd w:val="clear" w:color="auto" w:fill="F3F3F3"/>
          </w:tcPr>
          <w:p w:rsidR="00F56595" w:rsidRPr="000E2AEC" w:rsidRDefault="00F56595">
            <w:pPr>
              <w:pStyle w:val="BodyText"/>
              <w:jc w:val="center"/>
              <w:rPr>
                <w:b/>
                <w:bCs/>
                <w:szCs w:val="24"/>
              </w:rPr>
            </w:pPr>
            <w:r w:rsidRPr="000E2AEC">
              <w:rPr>
                <w:b/>
                <w:bCs/>
                <w:szCs w:val="24"/>
              </w:rPr>
              <w:t>Dollars ($000)</w:t>
            </w:r>
          </w:p>
        </w:tc>
        <w:tc>
          <w:tcPr>
            <w:tcW w:w="712" w:type="dxa"/>
            <w:vMerge/>
          </w:tcPr>
          <w:p w:rsidR="00F56595" w:rsidRPr="000E2AEC" w:rsidRDefault="00F56595">
            <w:pPr>
              <w:pStyle w:val="BodyText"/>
              <w:jc w:val="center"/>
              <w:rPr>
                <w:b/>
                <w:bCs/>
                <w:szCs w:val="24"/>
              </w:rPr>
            </w:pPr>
          </w:p>
        </w:tc>
      </w:tr>
      <w:tr w:rsidR="00F56595" w:rsidRPr="000E2AEC" w:rsidTr="00F66F82">
        <w:tc>
          <w:tcPr>
            <w:tcW w:w="1908" w:type="dxa"/>
          </w:tcPr>
          <w:p w:rsidR="00F56595" w:rsidRPr="000E2AEC" w:rsidRDefault="00F56595">
            <w:pPr>
              <w:pStyle w:val="BodyText"/>
              <w:rPr>
                <w:b/>
                <w:bCs/>
                <w:szCs w:val="24"/>
              </w:rPr>
            </w:pPr>
            <w:r>
              <w:rPr>
                <w:b/>
                <w:bCs/>
                <w:szCs w:val="24"/>
              </w:rPr>
              <w:t>Administrative Efficiencies</w:t>
            </w:r>
          </w:p>
        </w:tc>
        <w:tc>
          <w:tcPr>
            <w:tcW w:w="4230" w:type="dxa"/>
          </w:tcPr>
          <w:p w:rsidR="00F56595" w:rsidRPr="00B5449D" w:rsidRDefault="00F56595" w:rsidP="00B5449D">
            <w:pPr>
              <w:widowControl w:val="0"/>
              <w:rPr>
                <w:b/>
              </w:rPr>
            </w:pPr>
            <w:r w:rsidRPr="00B5449D">
              <w:rPr>
                <w:b/>
              </w:rPr>
              <w:t>Department-w</w:t>
            </w:r>
            <w:r>
              <w:rPr>
                <w:b/>
              </w:rPr>
              <w:t>ide administrative efficiencies</w:t>
            </w:r>
          </w:p>
          <w:p w:rsidR="00F56595" w:rsidRPr="00B5449D" w:rsidRDefault="00F56595">
            <w:pPr>
              <w:pStyle w:val="BodyText"/>
              <w:rPr>
                <w:b/>
                <w:bCs/>
                <w:szCs w:val="24"/>
              </w:rPr>
            </w:pPr>
          </w:p>
        </w:tc>
        <w:tc>
          <w:tcPr>
            <w:tcW w:w="720" w:type="dxa"/>
          </w:tcPr>
          <w:p w:rsidR="00F56595" w:rsidRPr="000E2AEC" w:rsidRDefault="00F56595">
            <w:pPr>
              <w:pStyle w:val="BodyText"/>
              <w:jc w:val="center"/>
              <w:rPr>
                <w:b/>
                <w:bCs/>
                <w:szCs w:val="24"/>
              </w:rPr>
            </w:pPr>
            <w:r>
              <w:rPr>
                <w:b/>
                <w:bCs/>
                <w:szCs w:val="24"/>
              </w:rPr>
              <w:t>0</w:t>
            </w:r>
          </w:p>
        </w:tc>
        <w:tc>
          <w:tcPr>
            <w:tcW w:w="720" w:type="dxa"/>
          </w:tcPr>
          <w:p w:rsidR="00F56595" w:rsidRPr="000E2AEC" w:rsidRDefault="00F56595">
            <w:pPr>
              <w:pStyle w:val="BodyText"/>
              <w:jc w:val="center"/>
              <w:rPr>
                <w:b/>
                <w:bCs/>
                <w:szCs w:val="24"/>
              </w:rPr>
            </w:pPr>
            <w:r>
              <w:rPr>
                <w:b/>
                <w:bCs/>
                <w:szCs w:val="24"/>
              </w:rPr>
              <w:t>0</w:t>
            </w:r>
          </w:p>
        </w:tc>
        <w:tc>
          <w:tcPr>
            <w:tcW w:w="1350" w:type="dxa"/>
          </w:tcPr>
          <w:p w:rsidR="00F56595" w:rsidRPr="000E2AEC" w:rsidRDefault="00F56595">
            <w:pPr>
              <w:pStyle w:val="BodyText"/>
              <w:jc w:val="center"/>
              <w:rPr>
                <w:b/>
                <w:bCs/>
                <w:szCs w:val="24"/>
              </w:rPr>
            </w:pPr>
            <w:r>
              <w:rPr>
                <w:b/>
                <w:bCs/>
                <w:szCs w:val="24"/>
              </w:rPr>
              <w:t>($6)</w:t>
            </w:r>
          </w:p>
        </w:tc>
        <w:tc>
          <w:tcPr>
            <w:tcW w:w="712" w:type="dxa"/>
          </w:tcPr>
          <w:p w:rsidR="00F56595" w:rsidRPr="000E2AEC" w:rsidRDefault="00F56595" w:rsidP="007B022F">
            <w:pPr>
              <w:pStyle w:val="BodyText"/>
              <w:jc w:val="center"/>
              <w:rPr>
                <w:b/>
                <w:bCs/>
                <w:szCs w:val="24"/>
              </w:rPr>
            </w:pPr>
            <w:r>
              <w:rPr>
                <w:b/>
                <w:bCs/>
                <w:szCs w:val="24"/>
              </w:rPr>
              <w:t>1</w:t>
            </w:r>
            <w:r w:rsidR="007B022F">
              <w:rPr>
                <w:b/>
                <w:bCs/>
                <w:szCs w:val="24"/>
              </w:rPr>
              <w:t>5</w:t>
            </w:r>
          </w:p>
        </w:tc>
      </w:tr>
      <w:tr w:rsidR="00F56595" w:rsidRPr="000E2AEC" w:rsidTr="00F66F82">
        <w:tc>
          <w:tcPr>
            <w:tcW w:w="1908" w:type="dxa"/>
          </w:tcPr>
          <w:p w:rsidR="00F56595" w:rsidRPr="000E2AEC" w:rsidRDefault="009C47AE" w:rsidP="009C47AE">
            <w:pPr>
              <w:pStyle w:val="BodyText"/>
              <w:rPr>
                <w:b/>
                <w:bCs/>
                <w:szCs w:val="24"/>
              </w:rPr>
            </w:pPr>
            <w:r>
              <w:rPr>
                <w:b/>
                <w:bCs/>
                <w:szCs w:val="24"/>
              </w:rPr>
              <w:t xml:space="preserve">Extend Tech </w:t>
            </w:r>
            <w:r w:rsidR="00F56595">
              <w:rPr>
                <w:b/>
                <w:bCs/>
                <w:szCs w:val="24"/>
              </w:rPr>
              <w:t>Refresh</w:t>
            </w:r>
          </w:p>
        </w:tc>
        <w:tc>
          <w:tcPr>
            <w:tcW w:w="4230" w:type="dxa"/>
          </w:tcPr>
          <w:p w:rsidR="00F56595" w:rsidRPr="00B5449D" w:rsidRDefault="00F56595" w:rsidP="00B5449D">
            <w:pPr>
              <w:widowControl w:val="0"/>
              <w:rPr>
                <w:b/>
              </w:rPr>
            </w:pPr>
            <w:r w:rsidRPr="00B5449D">
              <w:rPr>
                <w:b/>
              </w:rPr>
              <w:t>Extend the period of</w:t>
            </w:r>
            <w:r>
              <w:rPr>
                <w:b/>
              </w:rPr>
              <w:t xml:space="preserve"> technology refresh by one year</w:t>
            </w:r>
          </w:p>
          <w:p w:rsidR="00F56595" w:rsidRPr="00B5449D" w:rsidRDefault="00F56595" w:rsidP="00E75D24">
            <w:pPr>
              <w:pStyle w:val="BodyText"/>
              <w:rPr>
                <w:b/>
                <w:bCs/>
                <w:szCs w:val="24"/>
              </w:rPr>
            </w:pPr>
          </w:p>
        </w:tc>
        <w:tc>
          <w:tcPr>
            <w:tcW w:w="720" w:type="dxa"/>
          </w:tcPr>
          <w:p w:rsidR="00F56595" w:rsidRPr="000E2AEC" w:rsidRDefault="00F56595">
            <w:pPr>
              <w:pStyle w:val="BodyText"/>
              <w:jc w:val="center"/>
              <w:rPr>
                <w:b/>
                <w:bCs/>
                <w:szCs w:val="24"/>
              </w:rPr>
            </w:pPr>
            <w:r>
              <w:rPr>
                <w:b/>
                <w:bCs/>
                <w:szCs w:val="24"/>
              </w:rPr>
              <w:t>0</w:t>
            </w:r>
          </w:p>
        </w:tc>
        <w:tc>
          <w:tcPr>
            <w:tcW w:w="720" w:type="dxa"/>
          </w:tcPr>
          <w:p w:rsidR="00F56595" w:rsidRPr="000E2AEC" w:rsidRDefault="00F56595">
            <w:pPr>
              <w:pStyle w:val="BodyText"/>
              <w:jc w:val="center"/>
              <w:rPr>
                <w:b/>
                <w:bCs/>
                <w:szCs w:val="24"/>
              </w:rPr>
            </w:pPr>
            <w:r>
              <w:rPr>
                <w:b/>
                <w:bCs/>
                <w:szCs w:val="24"/>
              </w:rPr>
              <w:t>0</w:t>
            </w:r>
          </w:p>
        </w:tc>
        <w:tc>
          <w:tcPr>
            <w:tcW w:w="1350" w:type="dxa"/>
          </w:tcPr>
          <w:p w:rsidR="00F56595" w:rsidRDefault="00F56595">
            <w:pPr>
              <w:pStyle w:val="BodyText"/>
              <w:jc w:val="center"/>
              <w:rPr>
                <w:b/>
                <w:bCs/>
                <w:szCs w:val="24"/>
              </w:rPr>
            </w:pPr>
            <w:r>
              <w:rPr>
                <w:b/>
                <w:bCs/>
                <w:szCs w:val="24"/>
              </w:rPr>
              <w:t>($11)</w:t>
            </w:r>
          </w:p>
        </w:tc>
        <w:tc>
          <w:tcPr>
            <w:tcW w:w="712" w:type="dxa"/>
          </w:tcPr>
          <w:p w:rsidR="00F56595" w:rsidRPr="000E2AEC" w:rsidRDefault="00F56595">
            <w:pPr>
              <w:pStyle w:val="BodyText"/>
              <w:jc w:val="center"/>
              <w:rPr>
                <w:b/>
                <w:bCs/>
                <w:szCs w:val="24"/>
              </w:rPr>
            </w:pPr>
            <w:r>
              <w:rPr>
                <w:b/>
                <w:bCs/>
                <w:szCs w:val="24"/>
              </w:rPr>
              <w:t>1</w:t>
            </w:r>
            <w:r w:rsidR="007B022F">
              <w:rPr>
                <w:b/>
                <w:bCs/>
                <w:szCs w:val="24"/>
              </w:rPr>
              <w:t>6</w:t>
            </w:r>
          </w:p>
        </w:tc>
      </w:tr>
      <w:tr w:rsidR="004E29E4" w:rsidRPr="000E2AEC" w:rsidTr="00F66F82">
        <w:tc>
          <w:tcPr>
            <w:tcW w:w="1908" w:type="dxa"/>
            <w:tcBorders>
              <w:top w:val="single" w:sz="4" w:space="0" w:color="auto"/>
              <w:left w:val="single" w:sz="4" w:space="0" w:color="auto"/>
              <w:bottom w:val="single" w:sz="4" w:space="0" w:color="auto"/>
              <w:right w:val="single" w:sz="4" w:space="0" w:color="auto"/>
            </w:tcBorders>
          </w:tcPr>
          <w:p w:rsidR="004E29E4" w:rsidRPr="000E2AEC" w:rsidRDefault="008E75B1" w:rsidP="004E29E4">
            <w:pPr>
              <w:pStyle w:val="BodyText"/>
              <w:rPr>
                <w:b/>
                <w:bCs/>
                <w:szCs w:val="24"/>
              </w:rPr>
            </w:pPr>
            <w:r>
              <w:rPr>
                <w:b/>
                <w:bCs/>
                <w:szCs w:val="24"/>
              </w:rPr>
              <w:t>Development and Operations</w:t>
            </w:r>
          </w:p>
        </w:tc>
        <w:tc>
          <w:tcPr>
            <w:tcW w:w="4230" w:type="dxa"/>
            <w:tcBorders>
              <w:top w:val="single" w:sz="4" w:space="0" w:color="auto"/>
              <w:left w:val="single" w:sz="4" w:space="0" w:color="auto"/>
              <w:bottom w:val="single" w:sz="4" w:space="0" w:color="auto"/>
              <w:right w:val="single" w:sz="4" w:space="0" w:color="auto"/>
            </w:tcBorders>
          </w:tcPr>
          <w:p w:rsidR="004E29E4" w:rsidRPr="00B5449D" w:rsidRDefault="00622A7D" w:rsidP="004E29E4">
            <w:pPr>
              <w:widowControl w:val="0"/>
              <w:rPr>
                <w:b/>
              </w:rPr>
            </w:pPr>
            <w:r>
              <w:rPr>
                <w:b/>
              </w:rPr>
              <w:t xml:space="preserve">Reduce funding for the </w:t>
            </w:r>
            <w:r w:rsidR="008E75B1">
              <w:rPr>
                <w:b/>
              </w:rPr>
              <w:t xml:space="preserve">LEWC </w:t>
            </w:r>
            <w:r>
              <w:rPr>
                <w:b/>
              </w:rPr>
              <w:t>program</w:t>
            </w:r>
          </w:p>
          <w:p w:rsidR="004E29E4" w:rsidRPr="004E29E4" w:rsidRDefault="004E29E4" w:rsidP="004E29E4">
            <w:pPr>
              <w:widowControl w:val="0"/>
              <w:rPr>
                <w:b/>
              </w:rPr>
            </w:pPr>
          </w:p>
        </w:tc>
        <w:tc>
          <w:tcPr>
            <w:tcW w:w="720" w:type="dxa"/>
            <w:tcBorders>
              <w:top w:val="single" w:sz="4" w:space="0" w:color="auto"/>
              <w:left w:val="single" w:sz="4" w:space="0" w:color="auto"/>
              <w:bottom w:val="single" w:sz="4" w:space="0" w:color="auto"/>
              <w:right w:val="single" w:sz="4" w:space="0" w:color="auto"/>
            </w:tcBorders>
          </w:tcPr>
          <w:p w:rsidR="004E29E4" w:rsidRPr="000E2AEC" w:rsidRDefault="004E29E4" w:rsidP="004E29E4">
            <w:pPr>
              <w:pStyle w:val="BodyText"/>
              <w:jc w:val="center"/>
              <w:rPr>
                <w:b/>
                <w:bCs/>
                <w:szCs w:val="24"/>
              </w:rPr>
            </w:pPr>
            <w:r>
              <w:rPr>
                <w:b/>
                <w:bCs/>
                <w:szCs w:val="24"/>
              </w:rPr>
              <w:t>0</w:t>
            </w:r>
          </w:p>
        </w:tc>
        <w:tc>
          <w:tcPr>
            <w:tcW w:w="720" w:type="dxa"/>
            <w:tcBorders>
              <w:top w:val="single" w:sz="4" w:space="0" w:color="auto"/>
              <w:left w:val="single" w:sz="4" w:space="0" w:color="auto"/>
              <w:bottom w:val="single" w:sz="4" w:space="0" w:color="auto"/>
              <w:right w:val="single" w:sz="4" w:space="0" w:color="auto"/>
            </w:tcBorders>
          </w:tcPr>
          <w:p w:rsidR="004E29E4" w:rsidRPr="000E2AEC" w:rsidRDefault="004E29E4" w:rsidP="004E29E4">
            <w:pPr>
              <w:pStyle w:val="BodyText"/>
              <w:jc w:val="center"/>
              <w:rPr>
                <w:b/>
                <w:bCs/>
                <w:szCs w:val="24"/>
              </w:rPr>
            </w:pPr>
            <w:r>
              <w:rPr>
                <w:b/>
                <w:bCs/>
                <w:szCs w:val="24"/>
              </w:rPr>
              <w:t>0</w:t>
            </w:r>
          </w:p>
        </w:tc>
        <w:tc>
          <w:tcPr>
            <w:tcW w:w="1350" w:type="dxa"/>
            <w:tcBorders>
              <w:top w:val="single" w:sz="4" w:space="0" w:color="auto"/>
              <w:left w:val="single" w:sz="4" w:space="0" w:color="auto"/>
              <w:bottom w:val="single" w:sz="4" w:space="0" w:color="auto"/>
              <w:right w:val="single" w:sz="4" w:space="0" w:color="auto"/>
            </w:tcBorders>
          </w:tcPr>
          <w:p w:rsidR="004E29E4" w:rsidRDefault="004E29E4" w:rsidP="004E29E4">
            <w:pPr>
              <w:pStyle w:val="BodyText"/>
              <w:jc w:val="center"/>
              <w:rPr>
                <w:b/>
                <w:bCs/>
                <w:szCs w:val="24"/>
              </w:rPr>
            </w:pPr>
            <w:r>
              <w:rPr>
                <w:b/>
                <w:bCs/>
                <w:szCs w:val="24"/>
              </w:rPr>
              <w:t>($105,000)</w:t>
            </w:r>
          </w:p>
        </w:tc>
        <w:tc>
          <w:tcPr>
            <w:tcW w:w="712" w:type="dxa"/>
            <w:tcBorders>
              <w:top w:val="single" w:sz="4" w:space="0" w:color="auto"/>
              <w:left w:val="single" w:sz="4" w:space="0" w:color="auto"/>
              <w:bottom w:val="single" w:sz="4" w:space="0" w:color="auto"/>
              <w:right w:val="single" w:sz="4" w:space="0" w:color="auto"/>
            </w:tcBorders>
          </w:tcPr>
          <w:p w:rsidR="004E29E4" w:rsidRPr="000E2AEC" w:rsidRDefault="004E29E4" w:rsidP="00140602">
            <w:pPr>
              <w:pStyle w:val="BodyText"/>
              <w:jc w:val="center"/>
              <w:rPr>
                <w:b/>
                <w:bCs/>
                <w:szCs w:val="24"/>
              </w:rPr>
            </w:pPr>
            <w:r>
              <w:rPr>
                <w:b/>
                <w:bCs/>
                <w:szCs w:val="24"/>
              </w:rPr>
              <w:t>1</w:t>
            </w:r>
            <w:r w:rsidR="007B022F">
              <w:rPr>
                <w:b/>
                <w:bCs/>
                <w:szCs w:val="24"/>
              </w:rPr>
              <w:t>7</w:t>
            </w:r>
          </w:p>
        </w:tc>
      </w:tr>
    </w:tbl>
    <w:p w:rsidR="00F56595" w:rsidRDefault="00F56595">
      <w:pPr>
        <w:pStyle w:val="BodyText"/>
        <w:rPr>
          <w:rFonts w:ascii="Arial" w:hAnsi="Arial" w:cs="Arial"/>
          <w:b/>
          <w:bCs/>
        </w:rPr>
      </w:pPr>
    </w:p>
    <w:p w:rsidR="00333034" w:rsidRDefault="00333034" w:rsidP="00D66F19">
      <w:pPr>
        <w:pStyle w:val="BodyText"/>
        <w:rPr>
          <w:rFonts w:ascii="Arial" w:hAnsi="Arial" w:cs="Arial"/>
          <w:b/>
          <w:bCs/>
        </w:rPr>
      </w:pPr>
      <w:r>
        <w:rPr>
          <w:rFonts w:ascii="Arial" w:hAnsi="Arial" w:cs="Arial"/>
          <w:b/>
          <w:bCs/>
        </w:rPr>
        <w:br w:type="page"/>
      </w:r>
    </w:p>
    <w:p w:rsidR="00F56595" w:rsidRDefault="00F56595" w:rsidP="00BD7466">
      <w:pPr>
        <w:pStyle w:val="BodyText"/>
        <w:rPr>
          <w:rFonts w:cs="Arial"/>
          <w:b/>
          <w:bCs/>
          <w:sz w:val="28"/>
          <w:szCs w:val="28"/>
        </w:rPr>
      </w:pPr>
      <w:bookmarkStart w:id="11" w:name="OLE_LINK5"/>
      <w:bookmarkStart w:id="12" w:name="OLE_LINK6"/>
      <w:r w:rsidRPr="00E43151">
        <w:rPr>
          <w:rFonts w:cs="Arial"/>
          <w:b/>
          <w:bCs/>
          <w:sz w:val="28"/>
          <w:szCs w:val="28"/>
        </w:rPr>
        <w:lastRenderedPageBreak/>
        <w:t>I</w:t>
      </w:r>
      <w:r w:rsidR="00475CE0">
        <w:rPr>
          <w:rFonts w:cs="Arial"/>
          <w:b/>
          <w:bCs/>
          <w:sz w:val="28"/>
          <w:szCs w:val="28"/>
        </w:rPr>
        <w:t>II</w:t>
      </w:r>
      <w:r>
        <w:rPr>
          <w:rFonts w:cs="Arial"/>
          <w:b/>
          <w:bCs/>
          <w:sz w:val="28"/>
          <w:szCs w:val="28"/>
        </w:rPr>
        <w:t xml:space="preserve">. </w:t>
      </w:r>
      <w:r w:rsidRPr="00E43151">
        <w:rPr>
          <w:rFonts w:cs="Arial"/>
          <w:b/>
          <w:bCs/>
          <w:sz w:val="28"/>
          <w:szCs w:val="28"/>
        </w:rPr>
        <w:t>Appropriations Language and Analysis of Appropriations Language</w:t>
      </w:r>
    </w:p>
    <w:p w:rsidR="00F56595" w:rsidRDefault="00F56595" w:rsidP="00BD7466">
      <w:pPr>
        <w:pStyle w:val="BodyText"/>
        <w:rPr>
          <w:rFonts w:cs="Arial"/>
          <w:b/>
          <w:bCs/>
          <w:sz w:val="28"/>
          <w:szCs w:val="28"/>
        </w:rPr>
      </w:pPr>
    </w:p>
    <w:p w:rsidR="00F56595" w:rsidRDefault="00F56595" w:rsidP="00BD7466">
      <w:pPr>
        <w:pStyle w:val="BodyText"/>
        <w:rPr>
          <w:rFonts w:cs="Arial"/>
          <w:b/>
          <w:bCs/>
        </w:rPr>
      </w:pPr>
      <w:r>
        <w:rPr>
          <w:rFonts w:cs="Arial"/>
          <w:b/>
          <w:bCs/>
        </w:rPr>
        <w:t>Appropriations Language</w:t>
      </w:r>
    </w:p>
    <w:p w:rsidR="00622A7D" w:rsidRDefault="00622A7D" w:rsidP="00BD7466">
      <w:pPr>
        <w:pStyle w:val="BodyText"/>
        <w:rPr>
          <w:rFonts w:cs="Arial"/>
          <w:b/>
          <w:bCs/>
        </w:rPr>
      </w:pPr>
    </w:p>
    <w:p w:rsidR="00622A7D" w:rsidRPr="0029182A" w:rsidRDefault="000C5D3B" w:rsidP="00622A7D">
      <w:pPr>
        <w:rPr>
          <w:i/>
        </w:rPr>
      </w:pPr>
      <w:r w:rsidRPr="000C5D3B">
        <w:rPr>
          <w:i/>
        </w:rPr>
        <w:t>For the costs of developing and implementing  communications systems supporting Federal law enforcement, and for the costs of operations and maintenance of exi</w:t>
      </w:r>
      <w:r w:rsidR="00A32021">
        <w:rPr>
          <w:i/>
        </w:rPr>
        <w:t xml:space="preserve">sting communications systems,  </w:t>
      </w:r>
      <w:r w:rsidRPr="000C5D3B">
        <w:rPr>
          <w:i/>
        </w:rPr>
        <w:t>$102,751,000, to remain available until expended: Provided, That the Attorney General shall transfer to this account all funds made available to the Department of Justice for the purchase of portable and mobile radios: Provided further, That any transfer made under the preceding proviso shall be subject to the notice provisions of section 505 of this Act.</w:t>
      </w:r>
    </w:p>
    <w:p w:rsidR="00622A7D" w:rsidRDefault="00622A7D" w:rsidP="00BD7466">
      <w:pPr>
        <w:pStyle w:val="BodyText"/>
        <w:rPr>
          <w:rFonts w:cs="Arial"/>
          <w:b/>
          <w:bCs/>
        </w:rPr>
      </w:pPr>
    </w:p>
    <w:p w:rsidR="007C34CE" w:rsidRDefault="000C5D3B" w:rsidP="00BD7466">
      <w:pPr>
        <w:pStyle w:val="BodyText"/>
        <w:rPr>
          <w:rFonts w:cs="Arial"/>
          <w:bCs/>
          <w:sz w:val="22"/>
          <w:szCs w:val="22"/>
        </w:rPr>
      </w:pPr>
      <w:r w:rsidRPr="000C5D3B">
        <w:rPr>
          <w:rFonts w:cs="Arial"/>
          <w:bCs/>
          <w:sz w:val="22"/>
          <w:szCs w:val="22"/>
        </w:rPr>
        <w:t>Note. – A full-year 2011 appropriation for this account was not enacted at the time the budget was prepared; therefore, this account is operating under a continuing resolution (P.L. 111-242, as amended). The amounts included for 2011 reflect the annualized level provided by the continuing resolution.</w:t>
      </w:r>
    </w:p>
    <w:p w:rsidR="00D66F19" w:rsidRPr="007C34CE" w:rsidRDefault="00D66F19" w:rsidP="00BD7466">
      <w:pPr>
        <w:pStyle w:val="BodyText"/>
        <w:rPr>
          <w:rFonts w:cs="Arial"/>
          <w:bCs/>
          <w:sz w:val="22"/>
          <w:szCs w:val="22"/>
        </w:rPr>
      </w:pPr>
    </w:p>
    <w:p w:rsidR="007C34CE" w:rsidRPr="00A06230" w:rsidRDefault="007C34CE" w:rsidP="00BD7466">
      <w:pPr>
        <w:pStyle w:val="BodyText"/>
        <w:rPr>
          <w:rFonts w:cs="Arial"/>
          <w:b/>
          <w:bCs/>
        </w:rPr>
      </w:pPr>
    </w:p>
    <w:bookmarkEnd w:id="11"/>
    <w:bookmarkEnd w:id="12"/>
    <w:p w:rsidR="00F56595" w:rsidRDefault="00F56595" w:rsidP="004B775C">
      <w:pPr>
        <w:pStyle w:val="BodyText"/>
        <w:rPr>
          <w:rFonts w:cs="Arial"/>
          <w:b/>
          <w:bCs/>
        </w:rPr>
      </w:pPr>
      <w:r>
        <w:rPr>
          <w:rFonts w:cs="Arial"/>
          <w:b/>
          <w:bCs/>
        </w:rPr>
        <w:t>Analysis of Appropriations Language</w:t>
      </w:r>
    </w:p>
    <w:p w:rsidR="00F56595" w:rsidRDefault="00F56595" w:rsidP="004B775C">
      <w:pPr>
        <w:pStyle w:val="BodyText"/>
        <w:rPr>
          <w:rFonts w:cs="Arial"/>
          <w:b/>
          <w:bCs/>
        </w:rPr>
      </w:pPr>
    </w:p>
    <w:p w:rsidR="00281F49" w:rsidRDefault="000C024B">
      <w:pPr>
        <w:pStyle w:val="IGMLevel4"/>
        <w:rPr>
          <w:szCs w:val="24"/>
        </w:rPr>
      </w:pPr>
      <w:r>
        <w:t xml:space="preserve"> </w:t>
      </w:r>
      <w:r>
        <w:rPr>
          <w:szCs w:val="24"/>
        </w:rPr>
        <w:t>No substantive changes proposed.</w:t>
      </w:r>
    </w:p>
    <w:p w:rsidR="00F56595" w:rsidRDefault="00F56595" w:rsidP="004B775C">
      <w:pPr>
        <w:pStyle w:val="BodyText"/>
        <w:rPr>
          <w:rFonts w:cs="Arial"/>
          <w:bCs/>
          <w:i/>
        </w:rPr>
      </w:pPr>
      <w:r>
        <w:t xml:space="preserve">  </w:t>
      </w:r>
    </w:p>
    <w:p w:rsidR="00677541" w:rsidRDefault="00677541" w:rsidP="00A06230">
      <w:pPr>
        <w:pStyle w:val="BodyText"/>
        <w:rPr>
          <w:rFonts w:cs="Arial"/>
          <w:b/>
          <w:bCs/>
        </w:rPr>
      </w:pPr>
    </w:p>
    <w:p w:rsidR="00281F49" w:rsidRDefault="00677541">
      <w:pPr>
        <w:pStyle w:val="IGMLevel4"/>
        <w:rPr>
          <w:sz w:val="22"/>
          <w:szCs w:val="22"/>
        </w:rPr>
      </w:pPr>
      <w:r>
        <w:rPr>
          <w:sz w:val="22"/>
          <w:szCs w:val="22"/>
        </w:rPr>
        <w:t>Note:  The FY 2012 President’s Budget uses the FY 2011 President’s Budget language as a base so all language is presented as new.</w:t>
      </w:r>
    </w:p>
    <w:p w:rsidR="00677541" w:rsidRDefault="00677541" w:rsidP="00A06230">
      <w:pPr>
        <w:pStyle w:val="BodyText"/>
        <w:rPr>
          <w:rFonts w:cs="Arial"/>
          <w:b/>
          <w:bCs/>
        </w:rPr>
      </w:pPr>
    </w:p>
    <w:p w:rsidR="007462D2" w:rsidRDefault="007462D2" w:rsidP="00A06230">
      <w:pPr>
        <w:pStyle w:val="BodyText"/>
        <w:rPr>
          <w:rFonts w:cs="Arial"/>
          <w:b/>
          <w:bCs/>
        </w:rPr>
      </w:pPr>
    </w:p>
    <w:p w:rsidR="00F56595" w:rsidRPr="00E43151" w:rsidRDefault="00F56595" w:rsidP="00A06230">
      <w:pPr>
        <w:pStyle w:val="BodyText"/>
        <w:rPr>
          <w:rFonts w:cs="Arial"/>
          <w:b/>
          <w:bCs/>
          <w:sz w:val="28"/>
          <w:szCs w:val="28"/>
        </w:rPr>
      </w:pPr>
      <w:r>
        <w:rPr>
          <w:rFonts w:cs="Arial"/>
          <w:b/>
          <w:bCs/>
        </w:rPr>
        <w:br w:type="page"/>
      </w:r>
      <w:r w:rsidR="00475CE0">
        <w:rPr>
          <w:rFonts w:cs="Arial"/>
          <w:b/>
          <w:bCs/>
        </w:rPr>
        <w:lastRenderedPageBreak/>
        <w:t>I</w:t>
      </w:r>
      <w:r>
        <w:rPr>
          <w:rFonts w:cs="Arial"/>
          <w:b/>
          <w:bCs/>
        </w:rPr>
        <w:t>V</w:t>
      </w:r>
      <w:r w:rsidRPr="00E43151">
        <w:rPr>
          <w:rFonts w:cs="Arial"/>
          <w:b/>
          <w:bCs/>
          <w:sz w:val="28"/>
          <w:szCs w:val="28"/>
        </w:rPr>
        <w:t>. Decision Unit Justification</w:t>
      </w:r>
    </w:p>
    <w:p w:rsidR="00F56595" w:rsidRDefault="00F56595">
      <w:pPr>
        <w:pStyle w:val="BodyText"/>
        <w:rPr>
          <w:rFonts w:cs="Arial"/>
          <w:b/>
          <w:bCs/>
        </w:rPr>
      </w:pPr>
    </w:p>
    <w:p w:rsidR="006F6D20" w:rsidRDefault="00F56595" w:rsidP="006F6D20">
      <w:pPr>
        <w:pStyle w:val="BodyText"/>
        <w:numPr>
          <w:ilvl w:val="0"/>
          <w:numId w:val="30"/>
        </w:numPr>
        <w:rPr>
          <w:rFonts w:cs="Arial"/>
          <w:b/>
          <w:bCs/>
        </w:rPr>
      </w:pPr>
      <w:r w:rsidRPr="000D5ED5">
        <w:rPr>
          <w:rFonts w:cs="Arial"/>
          <w:b/>
          <w:bCs/>
          <w:iCs/>
        </w:rPr>
        <w:t>Law Enforcement Wireless Communications</w:t>
      </w:r>
      <w:r>
        <w:rPr>
          <w:rFonts w:cs="Arial"/>
          <w:b/>
          <w:bCs/>
          <w:i/>
          <w:iCs/>
        </w:rPr>
        <w:tab/>
      </w:r>
      <w:r>
        <w:rPr>
          <w:rFonts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6F6D20" w:rsidTr="00F2782C">
        <w:tc>
          <w:tcPr>
            <w:tcW w:w="4968" w:type="dxa"/>
          </w:tcPr>
          <w:p w:rsidR="006F6D20" w:rsidRDefault="006F6D20" w:rsidP="00F2782C">
            <w:pPr>
              <w:pStyle w:val="Title"/>
              <w:ind w:left="0"/>
              <w:jc w:val="left"/>
              <w:rPr>
                <w:iCs/>
              </w:rPr>
            </w:pPr>
            <w:r>
              <w:rPr>
                <w:iCs/>
              </w:rPr>
              <w:t>[Name of Decision Unit]</w:t>
            </w:r>
          </w:p>
        </w:tc>
        <w:tc>
          <w:tcPr>
            <w:tcW w:w="1260" w:type="dxa"/>
          </w:tcPr>
          <w:p w:rsidR="006F6D20" w:rsidRDefault="006F6D20" w:rsidP="00F2782C">
            <w:pPr>
              <w:pStyle w:val="Title"/>
              <w:ind w:left="0"/>
              <w:rPr>
                <w:i w:val="0"/>
              </w:rPr>
            </w:pPr>
            <w:r>
              <w:rPr>
                <w:i w:val="0"/>
              </w:rPr>
              <w:t>Perm. Pos.</w:t>
            </w:r>
          </w:p>
        </w:tc>
        <w:tc>
          <w:tcPr>
            <w:tcW w:w="1260" w:type="dxa"/>
          </w:tcPr>
          <w:p w:rsidR="006F6D20" w:rsidRDefault="006F6D20" w:rsidP="00F2782C">
            <w:pPr>
              <w:pStyle w:val="Title"/>
              <w:ind w:left="0"/>
              <w:rPr>
                <w:i w:val="0"/>
              </w:rPr>
            </w:pPr>
            <w:r>
              <w:rPr>
                <w:i w:val="0"/>
              </w:rPr>
              <w:t>FTE</w:t>
            </w:r>
          </w:p>
        </w:tc>
        <w:tc>
          <w:tcPr>
            <w:tcW w:w="2088" w:type="dxa"/>
          </w:tcPr>
          <w:p w:rsidR="006F6D20" w:rsidRDefault="006F6D20" w:rsidP="00F2782C">
            <w:pPr>
              <w:pStyle w:val="Title"/>
              <w:ind w:left="0"/>
              <w:rPr>
                <w:i w:val="0"/>
              </w:rPr>
            </w:pPr>
            <w:r>
              <w:rPr>
                <w:i w:val="0"/>
              </w:rPr>
              <w:t>Amount</w:t>
            </w:r>
          </w:p>
        </w:tc>
      </w:tr>
      <w:tr w:rsidR="006F6D20" w:rsidTr="00F2782C">
        <w:tc>
          <w:tcPr>
            <w:tcW w:w="4968" w:type="dxa"/>
          </w:tcPr>
          <w:p w:rsidR="006F6D20" w:rsidRDefault="006F6D20" w:rsidP="00F2782C">
            <w:pPr>
              <w:pStyle w:val="Title"/>
              <w:ind w:left="0"/>
              <w:jc w:val="left"/>
              <w:rPr>
                <w:b w:val="0"/>
                <w:bCs/>
                <w:i w:val="0"/>
              </w:rPr>
            </w:pPr>
            <w:r>
              <w:rPr>
                <w:b w:val="0"/>
                <w:bCs/>
                <w:i w:val="0"/>
              </w:rPr>
              <w:t>2010 Enacted with Rescissions</w:t>
            </w:r>
          </w:p>
        </w:tc>
        <w:tc>
          <w:tcPr>
            <w:tcW w:w="1260" w:type="dxa"/>
            <w:vAlign w:val="center"/>
          </w:tcPr>
          <w:p w:rsidR="006F6D20" w:rsidRDefault="006F6D20" w:rsidP="00F2782C">
            <w:pPr>
              <w:pStyle w:val="Title"/>
              <w:ind w:left="0"/>
              <w:jc w:val="right"/>
              <w:rPr>
                <w:b w:val="0"/>
                <w:bCs/>
                <w:i w:val="0"/>
              </w:rPr>
            </w:pPr>
          </w:p>
        </w:tc>
        <w:tc>
          <w:tcPr>
            <w:tcW w:w="1260" w:type="dxa"/>
            <w:vAlign w:val="center"/>
          </w:tcPr>
          <w:p w:rsidR="006F6D20" w:rsidRDefault="006F6D20" w:rsidP="00F2782C">
            <w:pPr>
              <w:pStyle w:val="Title"/>
              <w:ind w:left="0"/>
              <w:jc w:val="right"/>
              <w:rPr>
                <w:b w:val="0"/>
                <w:bCs/>
                <w:i w:val="0"/>
              </w:rPr>
            </w:pPr>
          </w:p>
        </w:tc>
        <w:tc>
          <w:tcPr>
            <w:tcW w:w="2088" w:type="dxa"/>
            <w:vAlign w:val="center"/>
          </w:tcPr>
          <w:p w:rsidR="006F6D20" w:rsidRDefault="006F6D20" w:rsidP="00F2782C">
            <w:pPr>
              <w:pStyle w:val="Title"/>
              <w:ind w:left="0"/>
              <w:jc w:val="right"/>
              <w:rPr>
                <w:b w:val="0"/>
                <w:bCs/>
                <w:i w:val="0"/>
              </w:rPr>
            </w:pPr>
            <w:r>
              <w:rPr>
                <w:b w:val="0"/>
                <w:bCs/>
                <w:i w:val="0"/>
              </w:rPr>
              <w:t>206,143</w:t>
            </w:r>
          </w:p>
        </w:tc>
      </w:tr>
      <w:tr w:rsidR="006F6D20" w:rsidTr="00F2782C">
        <w:tc>
          <w:tcPr>
            <w:tcW w:w="4968" w:type="dxa"/>
          </w:tcPr>
          <w:p w:rsidR="006F6D20" w:rsidRDefault="006F6D20" w:rsidP="00F2782C">
            <w:pPr>
              <w:pStyle w:val="Title"/>
              <w:ind w:left="0"/>
              <w:jc w:val="left"/>
              <w:rPr>
                <w:b w:val="0"/>
                <w:bCs/>
                <w:i w:val="0"/>
              </w:rPr>
            </w:pPr>
            <w:r>
              <w:rPr>
                <w:b w:val="0"/>
                <w:bCs/>
                <w:i w:val="0"/>
              </w:rPr>
              <w:t>2011 CR</w:t>
            </w:r>
          </w:p>
        </w:tc>
        <w:tc>
          <w:tcPr>
            <w:tcW w:w="1260" w:type="dxa"/>
            <w:vAlign w:val="center"/>
          </w:tcPr>
          <w:p w:rsidR="006F6D20" w:rsidRDefault="006F6D20" w:rsidP="00F2782C">
            <w:pPr>
              <w:pStyle w:val="Title"/>
              <w:ind w:left="0"/>
              <w:jc w:val="right"/>
              <w:rPr>
                <w:b w:val="0"/>
                <w:bCs/>
                <w:i w:val="0"/>
              </w:rPr>
            </w:pPr>
          </w:p>
        </w:tc>
        <w:tc>
          <w:tcPr>
            <w:tcW w:w="1260" w:type="dxa"/>
            <w:vAlign w:val="center"/>
          </w:tcPr>
          <w:p w:rsidR="006F6D20" w:rsidRDefault="006F6D20" w:rsidP="00F2782C">
            <w:pPr>
              <w:pStyle w:val="Title"/>
              <w:ind w:left="0"/>
              <w:jc w:val="right"/>
              <w:rPr>
                <w:b w:val="0"/>
                <w:bCs/>
                <w:i w:val="0"/>
              </w:rPr>
            </w:pPr>
          </w:p>
        </w:tc>
        <w:tc>
          <w:tcPr>
            <w:tcW w:w="2088" w:type="dxa"/>
            <w:vAlign w:val="center"/>
          </w:tcPr>
          <w:p w:rsidR="006F6D20" w:rsidRDefault="006F6D20" w:rsidP="00F2782C">
            <w:pPr>
              <w:pStyle w:val="Title"/>
              <w:ind w:left="0"/>
              <w:jc w:val="right"/>
              <w:rPr>
                <w:b w:val="0"/>
                <w:bCs/>
                <w:i w:val="0"/>
              </w:rPr>
            </w:pPr>
            <w:r>
              <w:rPr>
                <w:b w:val="0"/>
                <w:bCs/>
                <w:i w:val="0"/>
              </w:rPr>
              <w:t>206,143</w:t>
            </w:r>
          </w:p>
        </w:tc>
      </w:tr>
      <w:tr w:rsidR="006F6D20" w:rsidTr="00F2782C">
        <w:tc>
          <w:tcPr>
            <w:tcW w:w="4968" w:type="dxa"/>
          </w:tcPr>
          <w:p w:rsidR="006F6D20" w:rsidRDefault="006F6D20" w:rsidP="00F2782C">
            <w:pPr>
              <w:pStyle w:val="Title"/>
              <w:ind w:left="0"/>
              <w:jc w:val="left"/>
              <w:rPr>
                <w:b w:val="0"/>
                <w:bCs/>
                <w:i w:val="0"/>
              </w:rPr>
            </w:pPr>
            <w:r>
              <w:rPr>
                <w:b w:val="0"/>
                <w:bCs/>
                <w:i w:val="0"/>
              </w:rPr>
              <w:t>Adjustments to Base and Technical Adjustments</w:t>
            </w:r>
          </w:p>
        </w:tc>
        <w:tc>
          <w:tcPr>
            <w:tcW w:w="1260" w:type="dxa"/>
            <w:vAlign w:val="center"/>
          </w:tcPr>
          <w:p w:rsidR="006F6D20" w:rsidRDefault="006F6D20" w:rsidP="00F2782C">
            <w:pPr>
              <w:pStyle w:val="Title"/>
              <w:ind w:left="0"/>
              <w:jc w:val="right"/>
              <w:rPr>
                <w:b w:val="0"/>
                <w:bCs/>
                <w:i w:val="0"/>
              </w:rPr>
            </w:pPr>
          </w:p>
        </w:tc>
        <w:tc>
          <w:tcPr>
            <w:tcW w:w="1260" w:type="dxa"/>
            <w:vAlign w:val="center"/>
          </w:tcPr>
          <w:p w:rsidR="006F6D20" w:rsidRDefault="006F6D20" w:rsidP="00F2782C">
            <w:pPr>
              <w:pStyle w:val="Title"/>
              <w:ind w:left="0"/>
              <w:jc w:val="right"/>
              <w:rPr>
                <w:b w:val="0"/>
                <w:bCs/>
                <w:i w:val="0"/>
              </w:rPr>
            </w:pPr>
          </w:p>
        </w:tc>
        <w:tc>
          <w:tcPr>
            <w:tcW w:w="2088" w:type="dxa"/>
            <w:vAlign w:val="center"/>
          </w:tcPr>
          <w:p w:rsidR="006F6D20" w:rsidRDefault="006F6D20" w:rsidP="00F2782C">
            <w:pPr>
              <w:pStyle w:val="Title"/>
              <w:ind w:left="0"/>
              <w:jc w:val="right"/>
              <w:rPr>
                <w:b w:val="0"/>
                <w:bCs/>
                <w:i w:val="0"/>
              </w:rPr>
            </w:pPr>
            <w:r>
              <w:rPr>
                <w:b w:val="0"/>
                <w:bCs/>
                <w:i w:val="0"/>
              </w:rPr>
              <w:t>1,625</w:t>
            </w:r>
          </w:p>
        </w:tc>
      </w:tr>
      <w:tr w:rsidR="006F6D20" w:rsidTr="00F2782C">
        <w:tc>
          <w:tcPr>
            <w:tcW w:w="4968" w:type="dxa"/>
          </w:tcPr>
          <w:p w:rsidR="006F6D20" w:rsidRDefault="006F6D20" w:rsidP="00F2782C">
            <w:pPr>
              <w:pStyle w:val="Title"/>
              <w:ind w:left="0"/>
              <w:jc w:val="left"/>
              <w:rPr>
                <w:b w:val="0"/>
                <w:bCs/>
                <w:i w:val="0"/>
              </w:rPr>
            </w:pPr>
            <w:r>
              <w:rPr>
                <w:b w:val="0"/>
                <w:bCs/>
                <w:i w:val="0"/>
              </w:rPr>
              <w:t>2012 Current Services</w:t>
            </w:r>
          </w:p>
        </w:tc>
        <w:tc>
          <w:tcPr>
            <w:tcW w:w="1260" w:type="dxa"/>
            <w:vAlign w:val="center"/>
          </w:tcPr>
          <w:p w:rsidR="006F6D20" w:rsidRDefault="006F6D20" w:rsidP="00F2782C">
            <w:pPr>
              <w:pStyle w:val="Title"/>
              <w:ind w:left="0"/>
              <w:jc w:val="right"/>
              <w:rPr>
                <w:b w:val="0"/>
                <w:bCs/>
                <w:i w:val="0"/>
              </w:rPr>
            </w:pPr>
          </w:p>
        </w:tc>
        <w:tc>
          <w:tcPr>
            <w:tcW w:w="1260" w:type="dxa"/>
            <w:vAlign w:val="center"/>
          </w:tcPr>
          <w:p w:rsidR="006F6D20" w:rsidRDefault="006F6D20" w:rsidP="00F2782C">
            <w:pPr>
              <w:pStyle w:val="Title"/>
              <w:ind w:left="0"/>
              <w:jc w:val="right"/>
              <w:rPr>
                <w:b w:val="0"/>
                <w:bCs/>
                <w:i w:val="0"/>
              </w:rPr>
            </w:pPr>
          </w:p>
        </w:tc>
        <w:tc>
          <w:tcPr>
            <w:tcW w:w="2088" w:type="dxa"/>
            <w:vAlign w:val="center"/>
          </w:tcPr>
          <w:p w:rsidR="006F6D20" w:rsidRDefault="006F6D20" w:rsidP="00F2782C">
            <w:pPr>
              <w:pStyle w:val="Title"/>
              <w:ind w:left="0"/>
              <w:jc w:val="right"/>
              <w:rPr>
                <w:b w:val="0"/>
                <w:bCs/>
                <w:i w:val="0"/>
              </w:rPr>
            </w:pPr>
            <w:r>
              <w:rPr>
                <w:b w:val="0"/>
                <w:bCs/>
                <w:i w:val="0"/>
              </w:rPr>
              <w:t>207,768</w:t>
            </w:r>
          </w:p>
        </w:tc>
      </w:tr>
      <w:tr w:rsidR="006F6D20" w:rsidTr="00F2782C">
        <w:tc>
          <w:tcPr>
            <w:tcW w:w="4968" w:type="dxa"/>
            <w:tcBorders>
              <w:bottom w:val="single" w:sz="4" w:space="0" w:color="auto"/>
            </w:tcBorders>
          </w:tcPr>
          <w:p w:rsidR="006F6D20" w:rsidRDefault="006F6D20" w:rsidP="00F2782C">
            <w:pPr>
              <w:pStyle w:val="Title"/>
              <w:ind w:left="0"/>
              <w:jc w:val="left"/>
              <w:rPr>
                <w:b w:val="0"/>
                <w:bCs/>
                <w:i w:val="0"/>
              </w:rPr>
            </w:pPr>
            <w:r>
              <w:rPr>
                <w:b w:val="0"/>
                <w:bCs/>
                <w:i w:val="0"/>
              </w:rPr>
              <w:t>2012 Program Offsets</w:t>
            </w:r>
          </w:p>
        </w:tc>
        <w:tc>
          <w:tcPr>
            <w:tcW w:w="1260" w:type="dxa"/>
            <w:tcBorders>
              <w:bottom w:val="single" w:sz="4" w:space="0" w:color="auto"/>
            </w:tcBorders>
            <w:vAlign w:val="center"/>
          </w:tcPr>
          <w:p w:rsidR="006F6D20" w:rsidRDefault="006F6D20" w:rsidP="00F2782C">
            <w:pPr>
              <w:pStyle w:val="Title"/>
              <w:ind w:left="0"/>
              <w:jc w:val="right"/>
              <w:rPr>
                <w:b w:val="0"/>
                <w:bCs/>
                <w:i w:val="0"/>
              </w:rPr>
            </w:pPr>
          </w:p>
        </w:tc>
        <w:tc>
          <w:tcPr>
            <w:tcW w:w="1260" w:type="dxa"/>
            <w:tcBorders>
              <w:bottom w:val="single" w:sz="4" w:space="0" w:color="auto"/>
            </w:tcBorders>
            <w:vAlign w:val="center"/>
          </w:tcPr>
          <w:p w:rsidR="006F6D20" w:rsidRDefault="006F6D20" w:rsidP="00F2782C">
            <w:pPr>
              <w:pStyle w:val="Title"/>
              <w:ind w:left="0"/>
              <w:jc w:val="right"/>
              <w:rPr>
                <w:b w:val="0"/>
                <w:bCs/>
                <w:i w:val="0"/>
              </w:rPr>
            </w:pPr>
          </w:p>
        </w:tc>
        <w:tc>
          <w:tcPr>
            <w:tcW w:w="2088" w:type="dxa"/>
            <w:tcBorders>
              <w:bottom w:val="single" w:sz="4" w:space="0" w:color="auto"/>
            </w:tcBorders>
            <w:vAlign w:val="center"/>
          </w:tcPr>
          <w:p w:rsidR="006F6D20" w:rsidRDefault="006F6D20" w:rsidP="00F2782C">
            <w:pPr>
              <w:pStyle w:val="Title"/>
              <w:ind w:left="0"/>
              <w:jc w:val="right"/>
              <w:rPr>
                <w:b w:val="0"/>
                <w:bCs/>
                <w:i w:val="0"/>
              </w:rPr>
            </w:pPr>
            <w:r>
              <w:rPr>
                <w:b w:val="0"/>
                <w:bCs/>
                <w:i w:val="0"/>
              </w:rPr>
              <w:t>105,017</w:t>
            </w:r>
          </w:p>
        </w:tc>
      </w:tr>
      <w:tr w:rsidR="006F6D20" w:rsidTr="00F2782C">
        <w:tc>
          <w:tcPr>
            <w:tcW w:w="4968" w:type="dxa"/>
            <w:tcBorders>
              <w:bottom w:val="single" w:sz="4" w:space="0" w:color="auto"/>
            </w:tcBorders>
          </w:tcPr>
          <w:p w:rsidR="006F6D20" w:rsidRDefault="006F6D20" w:rsidP="00F2782C">
            <w:pPr>
              <w:pStyle w:val="Title"/>
              <w:ind w:left="0"/>
              <w:jc w:val="left"/>
              <w:rPr>
                <w:b w:val="0"/>
                <w:bCs/>
                <w:i w:val="0"/>
              </w:rPr>
            </w:pPr>
            <w:r>
              <w:rPr>
                <w:b w:val="0"/>
                <w:bCs/>
                <w:i w:val="0"/>
              </w:rPr>
              <w:t>2012 Request</w:t>
            </w:r>
          </w:p>
        </w:tc>
        <w:tc>
          <w:tcPr>
            <w:tcW w:w="1260" w:type="dxa"/>
            <w:tcBorders>
              <w:bottom w:val="single" w:sz="4" w:space="0" w:color="auto"/>
            </w:tcBorders>
            <w:vAlign w:val="center"/>
          </w:tcPr>
          <w:p w:rsidR="006F6D20" w:rsidRDefault="006F6D20" w:rsidP="00F2782C">
            <w:pPr>
              <w:pStyle w:val="Title"/>
              <w:ind w:left="0"/>
              <w:jc w:val="right"/>
              <w:rPr>
                <w:b w:val="0"/>
                <w:bCs/>
                <w:i w:val="0"/>
              </w:rPr>
            </w:pPr>
          </w:p>
        </w:tc>
        <w:tc>
          <w:tcPr>
            <w:tcW w:w="1260" w:type="dxa"/>
            <w:tcBorders>
              <w:bottom w:val="single" w:sz="4" w:space="0" w:color="auto"/>
            </w:tcBorders>
            <w:vAlign w:val="center"/>
          </w:tcPr>
          <w:p w:rsidR="006F6D20" w:rsidRDefault="006F6D20" w:rsidP="00F2782C">
            <w:pPr>
              <w:pStyle w:val="Title"/>
              <w:ind w:left="0"/>
              <w:jc w:val="right"/>
              <w:rPr>
                <w:b w:val="0"/>
                <w:bCs/>
                <w:i w:val="0"/>
              </w:rPr>
            </w:pPr>
          </w:p>
        </w:tc>
        <w:tc>
          <w:tcPr>
            <w:tcW w:w="2088" w:type="dxa"/>
            <w:tcBorders>
              <w:bottom w:val="single" w:sz="4" w:space="0" w:color="auto"/>
            </w:tcBorders>
            <w:vAlign w:val="center"/>
          </w:tcPr>
          <w:p w:rsidR="006F6D20" w:rsidRDefault="006F6D20" w:rsidP="00F2782C">
            <w:pPr>
              <w:pStyle w:val="Title"/>
              <w:ind w:left="0"/>
              <w:jc w:val="right"/>
              <w:rPr>
                <w:b w:val="0"/>
                <w:bCs/>
                <w:i w:val="0"/>
              </w:rPr>
            </w:pPr>
            <w:r>
              <w:rPr>
                <w:b w:val="0"/>
                <w:bCs/>
                <w:i w:val="0"/>
              </w:rPr>
              <w:t>102,751</w:t>
            </w:r>
          </w:p>
        </w:tc>
      </w:tr>
      <w:tr w:rsidR="006F6D20" w:rsidTr="00F2782C">
        <w:tc>
          <w:tcPr>
            <w:tcW w:w="4968" w:type="dxa"/>
            <w:shd w:val="clear" w:color="auto" w:fill="E6E6E6"/>
          </w:tcPr>
          <w:p w:rsidR="006F6D20" w:rsidRDefault="006F6D20" w:rsidP="00F2782C">
            <w:pPr>
              <w:pStyle w:val="Title"/>
              <w:ind w:left="0"/>
              <w:jc w:val="left"/>
              <w:rPr>
                <w:b w:val="0"/>
                <w:bCs/>
                <w:i w:val="0"/>
              </w:rPr>
            </w:pPr>
            <w:r>
              <w:rPr>
                <w:i w:val="0"/>
              </w:rPr>
              <w:t>Total Change 2010-2012</w:t>
            </w:r>
          </w:p>
        </w:tc>
        <w:tc>
          <w:tcPr>
            <w:tcW w:w="1260" w:type="dxa"/>
            <w:shd w:val="clear" w:color="auto" w:fill="E6E6E6"/>
            <w:vAlign w:val="center"/>
          </w:tcPr>
          <w:p w:rsidR="006F6D20" w:rsidRDefault="006F6D20" w:rsidP="00F2782C">
            <w:pPr>
              <w:pStyle w:val="Title"/>
              <w:ind w:left="0"/>
              <w:jc w:val="right"/>
              <w:rPr>
                <w:b w:val="0"/>
                <w:bCs/>
                <w:i w:val="0"/>
              </w:rPr>
            </w:pPr>
          </w:p>
        </w:tc>
        <w:tc>
          <w:tcPr>
            <w:tcW w:w="1260" w:type="dxa"/>
            <w:shd w:val="clear" w:color="auto" w:fill="E6E6E6"/>
            <w:vAlign w:val="center"/>
          </w:tcPr>
          <w:p w:rsidR="006F6D20" w:rsidRDefault="006F6D20" w:rsidP="00F2782C">
            <w:pPr>
              <w:pStyle w:val="Title"/>
              <w:ind w:left="0"/>
              <w:jc w:val="right"/>
              <w:rPr>
                <w:b w:val="0"/>
                <w:bCs/>
                <w:i w:val="0"/>
              </w:rPr>
            </w:pPr>
          </w:p>
        </w:tc>
        <w:tc>
          <w:tcPr>
            <w:tcW w:w="2088" w:type="dxa"/>
            <w:shd w:val="clear" w:color="auto" w:fill="E6E6E6"/>
            <w:vAlign w:val="center"/>
          </w:tcPr>
          <w:p w:rsidR="006F6D20" w:rsidRDefault="006F6D20" w:rsidP="00F2782C">
            <w:pPr>
              <w:pStyle w:val="Title"/>
              <w:ind w:left="0"/>
              <w:jc w:val="right"/>
              <w:rPr>
                <w:b w:val="0"/>
                <w:bCs/>
                <w:i w:val="0"/>
              </w:rPr>
            </w:pPr>
            <w:r>
              <w:rPr>
                <w:b w:val="0"/>
                <w:bCs/>
                <w:i w:val="0"/>
              </w:rPr>
              <w:t>103,392</w:t>
            </w:r>
          </w:p>
        </w:tc>
      </w:tr>
    </w:tbl>
    <w:p w:rsidR="00F56595" w:rsidRPr="006F6D20" w:rsidRDefault="00F56595" w:rsidP="006F6D20">
      <w:pPr>
        <w:pStyle w:val="BodyText"/>
        <w:rPr>
          <w:rFonts w:cs="Arial"/>
          <w:b/>
          <w:bCs/>
        </w:rPr>
      </w:pPr>
      <w:r>
        <w:rPr>
          <w:rFonts w:cs="Arial"/>
          <w:b/>
          <w:bCs/>
        </w:rPr>
        <w:tab/>
      </w:r>
    </w:p>
    <w:p w:rsidR="00F56595" w:rsidRDefault="00F56595" w:rsidP="00053DD2">
      <w:pPr>
        <w:pStyle w:val="xl27"/>
        <w:numPr>
          <w:ilvl w:val="0"/>
          <w:numId w:val="17"/>
        </w:numPr>
        <w:rPr>
          <w:rFonts w:ascii="Times New Roman" w:hAnsi="Times New Roman"/>
        </w:rPr>
      </w:pPr>
      <w:r>
        <w:rPr>
          <w:rFonts w:ascii="Times New Roman" w:hAnsi="Times New Roman"/>
        </w:rPr>
        <w:t>Program Description</w:t>
      </w:r>
    </w:p>
    <w:p w:rsidR="00F56595" w:rsidRDefault="00F56595" w:rsidP="00991781">
      <w:r>
        <w:t>The Department of Justice maintain</w:t>
      </w:r>
      <w:r w:rsidR="0027750F">
        <w:t>s</w:t>
      </w:r>
      <w:r>
        <w:t xml:space="preserve"> </w:t>
      </w:r>
      <w:r w:rsidRPr="00CC0F68">
        <w:t xml:space="preserve">a range of secure and reliable wireless </w:t>
      </w:r>
      <w:r>
        <w:t xml:space="preserve">voice </w:t>
      </w:r>
      <w:r w:rsidRPr="00CC0F68">
        <w:t>communications services</w:t>
      </w:r>
      <w:r>
        <w:t xml:space="preserve"> to </w:t>
      </w:r>
      <w:r w:rsidRPr="00CC0F68">
        <w:t xml:space="preserve">support </w:t>
      </w:r>
      <w:r>
        <w:rPr>
          <w:color w:val="000000"/>
        </w:rPr>
        <w:t>law enforcement investigative and surveillance operations as well as emergency response</w:t>
      </w:r>
      <w:r w:rsidRPr="00CC0F68">
        <w:t xml:space="preserve"> </w:t>
      </w:r>
      <w:r>
        <w:t>and task force operations</w:t>
      </w:r>
      <w:r w:rsidRPr="00CC0F68">
        <w:t xml:space="preserve">. </w:t>
      </w:r>
      <w:r>
        <w:t xml:space="preserve"> T</w:t>
      </w:r>
      <w:r w:rsidRPr="009266D9">
        <w:t>actical wireless communications services</w:t>
      </w:r>
      <w:r>
        <w:t xml:space="preserve"> are essential to the performance of the Department’s law enforcement and national security functions by ATF</w:t>
      </w:r>
      <w:r w:rsidRPr="009266D9">
        <w:t xml:space="preserve">, </w:t>
      </w:r>
      <w:r>
        <w:t xml:space="preserve">DEA, </w:t>
      </w:r>
      <w:r w:rsidRPr="009266D9">
        <w:t>FBI, and USMS</w:t>
      </w:r>
      <w:r>
        <w:t xml:space="preserve"> personnel (e.g., surveillance, arrest operations, task force operations).  Many of the Department’s radio systems are between 10 and 20 years old.  Funding provided by Congress enables the Department to maintain these fragmented, obsolete systems</w:t>
      </w:r>
      <w:r w:rsidR="0027750F">
        <w:t>.</w:t>
      </w:r>
      <w:r>
        <w:t xml:space="preserve"> </w:t>
      </w:r>
    </w:p>
    <w:p w:rsidR="007B022F" w:rsidRPr="00550B54" w:rsidRDefault="007B022F" w:rsidP="00991781"/>
    <w:p w:rsidR="00CD077F" w:rsidRPr="00550B54" w:rsidRDefault="0026189D" w:rsidP="00CD077F">
      <w:r w:rsidRPr="00550B54">
        <w:t xml:space="preserve">For FY 2011, DOJ has six projects underway, and has specified performance metrics that it anticipates achieving as described below.  </w:t>
      </w:r>
      <w:r w:rsidR="00550B54" w:rsidRPr="00550B54">
        <w:t xml:space="preserve">The plan assumes the Department continues to operate under a full-year continuing resolution for the remainder of FY 2011. </w:t>
      </w:r>
    </w:p>
    <w:p w:rsidR="00550B54" w:rsidRPr="00550B54" w:rsidRDefault="00550B54" w:rsidP="00CD077F"/>
    <w:p w:rsidR="00CD077F" w:rsidRPr="00550B54" w:rsidRDefault="0026189D" w:rsidP="00CD077F">
      <w:pPr>
        <w:pStyle w:val="ListParagraph"/>
        <w:numPr>
          <w:ilvl w:val="0"/>
          <w:numId w:val="34"/>
        </w:numPr>
      </w:pPr>
      <w:r w:rsidRPr="00550B54">
        <w:rPr>
          <w:u w:val="single"/>
        </w:rPr>
        <w:t xml:space="preserve"> IWN/National Capital Region (NCR) system deployment</w:t>
      </w:r>
      <w:r w:rsidRPr="00550B54">
        <w:t xml:space="preserve"> – the IWN system will be deployed in the National Capital Region with an initial operating capability and the first group of users transitioned onto the system.</w:t>
      </w:r>
    </w:p>
    <w:p w:rsidR="00CD077F" w:rsidRPr="00550B54" w:rsidRDefault="0026189D" w:rsidP="00CD077F">
      <w:pPr>
        <w:widowControl w:val="0"/>
        <w:numPr>
          <w:ilvl w:val="1"/>
          <w:numId w:val="33"/>
        </w:numPr>
        <w:autoSpaceDE w:val="0"/>
        <w:autoSpaceDN w:val="0"/>
        <w:adjustRightInd w:val="0"/>
      </w:pPr>
      <w:r w:rsidRPr="00550B54">
        <w:t>Metric:  Transition 700 agents (approximately 20% of total agents in the NCR) to the IWN/NCR system</w:t>
      </w:r>
    </w:p>
    <w:p w:rsidR="00CD077F" w:rsidRPr="00550B54" w:rsidRDefault="00CD077F" w:rsidP="00CD077F">
      <w:pPr>
        <w:widowControl w:val="0"/>
        <w:autoSpaceDE w:val="0"/>
        <w:autoSpaceDN w:val="0"/>
        <w:adjustRightInd w:val="0"/>
        <w:ind w:left="1440"/>
      </w:pPr>
    </w:p>
    <w:p w:rsidR="00CD077F" w:rsidRPr="00550B54" w:rsidRDefault="0026189D" w:rsidP="00CD077F">
      <w:pPr>
        <w:numPr>
          <w:ilvl w:val="0"/>
          <w:numId w:val="33"/>
        </w:numPr>
      </w:pPr>
      <w:r w:rsidRPr="00550B54">
        <w:rPr>
          <w:u w:val="single"/>
        </w:rPr>
        <w:t>Expand the IWN/NCR system</w:t>
      </w:r>
      <w:r w:rsidRPr="00550B54">
        <w:t xml:space="preserve"> to cover the Baltimore, Norfolk and Richmond metropolitan areas as well as the state of Delaware.</w:t>
      </w:r>
    </w:p>
    <w:p w:rsidR="00CD077F" w:rsidRPr="00550B54" w:rsidRDefault="0026189D" w:rsidP="00CD077F">
      <w:pPr>
        <w:widowControl w:val="0"/>
        <w:numPr>
          <w:ilvl w:val="1"/>
          <w:numId w:val="33"/>
        </w:numPr>
        <w:autoSpaceDE w:val="0"/>
        <w:autoSpaceDN w:val="0"/>
        <w:adjustRightInd w:val="0"/>
        <w:rPr>
          <w:bCs/>
        </w:rPr>
      </w:pPr>
      <w:r w:rsidRPr="00550B54">
        <w:rPr>
          <w:bCs/>
        </w:rPr>
        <w:t>Metric:  Complete design of Baltimore and Eastern Shore/Delaware modules</w:t>
      </w:r>
    </w:p>
    <w:p w:rsidR="00CD077F" w:rsidRPr="00550B54" w:rsidRDefault="0026189D" w:rsidP="00CD077F">
      <w:pPr>
        <w:widowControl w:val="0"/>
        <w:numPr>
          <w:ilvl w:val="1"/>
          <w:numId w:val="33"/>
        </w:numPr>
        <w:autoSpaceDE w:val="0"/>
        <w:autoSpaceDN w:val="0"/>
        <w:adjustRightInd w:val="0"/>
        <w:rPr>
          <w:bCs/>
        </w:rPr>
      </w:pPr>
      <w:r w:rsidRPr="00550B54">
        <w:rPr>
          <w:bCs/>
        </w:rPr>
        <w:t>Metric:  Award task order for deployment of Baltimore and Eastern Shore/Delaware modules</w:t>
      </w:r>
    </w:p>
    <w:p w:rsidR="00CD077F" w:rsidRPr="00550B54" w:rsidRDefault="00CD077F" w:rsidP="00CD077F">
      <w:pPr>
        <w:ind w:left="720"/>
      </w:pPr>
    </w:p>
    <w:p w:rsidR="00CD077F" w:rsidRPr="00550B54" w:rsidRDefault="0026189D" w:rsidP="00CD077F">
      <w:pPr>
        <w:numPr>
          <w:ilvl w:val="0"/>
          <w:numId w:val="33"/>
        </w:numPr>
      </w:pPr>
      <w:r w:rsidRPr="00550B54">
        <w:rPr>
          <w:u w:val="single"/>
        </w:rPr>
        <w:t>Begin upgrading FBI conventional radio systems</w:t>
      </w:r>
      <w:r w:rsidRPr="00550B54">
        <w:t xml:space="preserve"> to achieve secure, narrowband operations and consolidate ATF, DEA and U.S. Marshals users onto a common system.</w:t>
      </w:r>
    </w:p>
    <w:p w:rsidR="00CD077F" w:rsidRPr="00550B54" w:rsidRDefault="0026189D" w:rsidP="00CD077F">
      <w:pPr>
        <w:widowControl w:val="0"/>
        <w:numPr>
          <w:ilvl w:val="1"/>
          <w:numId w:val="33"/>
        </w:numPr>
        <w:autoSpaceDE w:val="0"/>
        <w:autoSpaceDN w:val="0"/>
        <w:adjustRightInd w:val="0"/>
      </w:pPr>
      <w:r w:rsidRPr="00550B54">
        <w:t>Metric:  Complete circuit installation and begin ordering radio infrastructure equipment installation at all six Southwest border modules:  Dallas, Houston, San Antonio, El Paso, Albuquerque, and Phoenix</w:t>
      </w:r>
    </w:p>
    <w:p w:rsidR="00CD077F" w:rsidRPr="00550B54" w:rsidRDefault="0026189D" w:rsidP="00CD077F">
      <w:pPr>
        <w:widowControl w:val="0"/>
        <w:numPr>
          <w:ilvl w:val="1"/>
          <w:numId w:val="33"/>
        </w:numPr>
        <w:autoSpaceDE w:val="0"/>
        <w:autoSpaceDN w:val="0"/>
        <w:adjustRightInd w:val="0"/>
      </w:pPr>
      <w:r w:rsidRPr="00550B54">
        <w:t>Metric:  Order circuits and infrastructure equipment to upgrade 17 additional high priority metropolitan areas:  Oklahoma City, Chicago, Detroit, Springfield, St. Louis, Milwaukee, Indianapolis, Cleveland, Cincinnati, Louisville, Minneapolis, Kansas City, Omaha, Pittsburgh, Jacksonville, Tampa, Miami</w:t>
      </w:r>
    </w:p>
    <w:p w:rsidR="00CD077F" w:rsidRPr="00550B54" w:rsidRDefault="00CD077F" w:rsidP="00CD077F">
      <w:pPr>
        <w:ind w:left="720"/>
      </w:pPr>
    </w:p>
    <w:p w:rsidR="00CD077F" w:rsidRPr="00550B54" w:rsidRDefault="0026189D" w:rsidP="00CD077F">
      <w:pPr>
        <w:numPr>
          <w:ilvl w:val="0"/>
          <w:numId w:val="33"/>
        </w:numPr>
      </w:pPr>
      <w:r w:rsidRPr="00550B54">
        <w:rPr>
          <w:u w:val="single"/>
        </w:rPr>
        <w:t>Deploy secure Project 25 standard compliant radios</w:t>
      </w:r>
      <w:r w:rsidRPr="00550B54">
        <w:t>.</w:t>
      </w:r>
    </w:p>
    <w:p w:rsidR="00CD077F" w:rsidRPr="00550B54" w:rsidRDefault="0026189D" w:rsidP="00CD077F">
      <w:pPr>
        <w:numPr>
          <w:ilvl w:val="1"/>
          <w:numId w:val="33"/>
        </w:numPr>
      </w:pPr>
      <w:r w:rsidRPr="00550B54">
        <w:t>Metric:  Acquire 6,900 new or upgraded portable radios for agents and 3,700 mobile radios for vehicles</w:t>
      </w:r>
    </w:p>
    <w:p w:rsidR="00CD077F" w:rsidRPr="00550B54" w:rsidRDefault="0026189D" w:rsidP="00CD077F">
      <w:pPr>
        <w:numPr>
          <w:ilvl w:val="1"/>
          <w:numId w:val="33"/>
        </w:numPr>
      </w:pPr>
      <w:r w:rsidRPr="00550B54">
        <w:t>Metric:  Deploy radios to component field offices for agent use on upgraded or new IWN systems in FY11 system deployment areas (NCR, Area 11, Southwest border)</w:t>
      </w:r>
    </w:p>
    <w:p w:rsidR="00CD077F" w:rsidRPr="00550B54" w:rsidRDefault="00CD077F" w:rsidP="00CD077F">
      <w:pPr>
        <w:ind w:left="720"/>
      </w:pPr>
    </w:p>
    <w:p w:rsidR="00CD077F" w:rsidRPr="00550B54" w:rsidRDefault="0026189D" w:rsidP="00CD077F">
      <w:pPr>
        <w:numPr>
          <w:ilvl w:val="0"/>
          <w:numId w:val="33"/>
        </w:numPr>
      </w:pPr>
      <w:r w:rsidRPr="00550B54">
        <w:rPr>
          <w:u w:val="single"/>
        </w:rPr>
        <w:t>Begin deployment of IWN trunked radio systems in the major metropolitan areas</w:t>
      </w:r>
      <w:r w:rsidRPr="00550B54">
        <w:t xml:space="preserve"> of Chicago and Detroit.</w:t>
      </w:r>
    </w:p>
    <w:p w:rsidR="00CD077F" w:rsidRPr="00550B54" w:rsidRDefault="0026189D" w:rsidP="00CD077F">
      <w:pPr>
        <w:widowControl w:val="0"/>
        <w:numPr>
          <w:ilvl w:val="1"/>
          <w:numId w:val="33"/>
        </w:numPr>
        <w:autoSpaceDE w:val="0"/>
        <w:autoSpaceDN w:val="0"/>
        <w:adjustRightInd w:val="0"/>
      </w:pPr>
      <w:r w:rsidRPr="00550B54">
        <w:t xml:space="preserve">Metric:  Begin Chicago design phase </w:t>
      </w:r>
    </w:p>
    <w:p w:rsidR="00CD077F" w:rsidRPr="00550B54" w:rsidRDefault="0026189D" w:rsidP="00CD077F">
      <w:pPr>
        <w:widowControl w:val="0"/>
        <w:numPr>
          <w:ilvl w:val="1"/>
          <w:numId w:val="33"/>
        </w:numPr>
        <w:autoSpaceDE w:val="0"/>
        <w:autoSpaceDN w:val="0"/>
        <w:adjustRightInd w:val="0"/>
      </w:pPr>
      <w:r w:rsidRPr="00550B54">
        <w:t>Metric:  Initiate Detroit Integrated Project Team</w:t>
      </w:r>
    </w:p>
    <w:p w:rsidR="00CD077F" w:rsidRPr="00550B54" w:rsidRDefault="00CD077F" w:rsidP="00CD077F">
      <w:pPr>
        <w:widowControl w:val="0"/>
        <w:autoSpaceDE w:val="0"/>
        <w:autoSpaceDN w:val="0"/>
        <w:adjustRightInd w:val="0"/>
        <w:ind w:left="1440"/>
      </w:pPr>
    </w:p>
    <w:p w:rsidR="00CD077F" w:rsidRPr="00550B54" w:rsidRDefault="0026189D" w:rsidP="00CD077F">
      <w:pPr>
        <w:numPr>
          <w:ilvl w:val="0"/>
          <w:numId w:val="33"/>
        </w:numPr>
      </w:pPr>
      <w:r w:rsidRPr="00550B54">
        <w:rPr>
          <w:u w:val="single"/>
        </w:rPr>
        <w:t>Deploy enhanced IWN interoperability solutions</w:t>
      </w:r>
      <w:r w:rsidRPr="00550B54">
        <w:t xml:space="preserve"> to participating state and local law enforcement agencies in the National Capital Region and the Department of Defense.</w:t>
      </w:r>
    </w:p>
    <w:p w:rsidR="00CD077F" w:rsidRPr="00550B54" w:rsidRDefault="0026189D" w:rsidP="00CD077F">
      <w:pPr>
        <w:widowControl w:val="0"/>
        <w:numPr>
          <w:ilvl w:val="1"/>
          <w:numId w:val="33"/>
        </w:numPr>
        <w:autoSpaceDE w:val="0"/>
        <w:autoSpaceDN w:val="0"/>
        <w:adjustRightInd w:val="0"/>
      </w:pPr>
      <w:r w:rsidRPr="00550B54">
        <w:lastRenderedPageBreak/>
        <w:t>Metric:  Establish Interoperability agreements with participating agencies (up to seventeen in NCR)</w:t>
      </w:r>
    </w:p>
    <w:p w:rsidR="00CD077F" w:rsidRPr="00550B54" w:rsidRDefault="0026189D" w:rsidP="00CD077F">
      <w:pPr>
        <w:widowControl w:val="0"/>
        <w:numPr>
          <w:ilvl w:val="1"/>
          <w:numId w:val="33"/>
        </w:numPr>
        <w:autoSpaceDE w:val="0"/>
        <w:autoSpaceDN w:val="0"/>
        <w:adjustRightInd w:val="0"/>
      </w:pPr>
      <w:r w:rsidRPr="00550B54">
        <w:t>Metric:  Install circuits and establish system-to-system connectivity between IWN and participating agencies’ radio systems</w:t>
      </w:r>
    </w:p>
    <w:p w:rsidR="00F56595" w:rsidRPr="00550B54" w:rsidRDefault="00F56595" w:rsidP="00991781">
      <w:pPr>
        <w:pStyle w:val="xl24"/>
        <w:spacing w:before="0" w:after="0"/>
        <w:rPr>
          <w:u w:val="none"/>
        </w:rPr>
      </w:pPr>
    </w:p>
    <w:p w:rsidR="00F56595" w:rsidRDefault="00F56595" w:rsidP="003675FF">
      <w:pPr>
        <w:pStyle w:val="ListParagraph"/>
        <w:rPr>
          <w:iCs/>
        </w:rPr>
      </w:pPr>
    </w:p>
    <w:p w:rsidR="00F56595" w:rsidRDefault="00F56595" w:rsidP="007B022F">
      <w:pPr>
        <w:pStyle w:val="NormalWeb"/>
        <w:spacing w:before="0" w:beforeAutospacing="0" w:after="0" w:afterAutospacing="0"/>
        <w:sectPr w:rsidR="00F56595" w:rsidSect="00B44840">
          <w:footerReference w:type="default" r:id="rId11"/>
          <w:pgSz w:w="12240" w:h="15840" w:code="1"/>
          <w:pgMar w:top="1152" w:right="1440" w:bottom="1152" w:left="1440" w:header="432" w:footer="432" w:gutter="0"/>
          <w:cols w:space="720"/>
          <w:docGrid w:linePitch="326"/>
        </w:sectPr>
      </w:pPr>
      <w:r>
        <w:rPr>
          <w:rFonts w:ascii="Times New Roman" w:hAnsi="Times New Roman" w:cs="Times New Roman"/>
          <w:i/>
          <w:color w:val="000000"/>
        </w:rPr>
        <w:br w:type="page"/>
      </w:r>
    </w:p>
    <w:p w:rsidR="00F56595" w:rsidRDefault="00F56595" w:rsidP="00991781">
      <w:pPr>
        <w:tabs>
          <w:tab w:val="left" w:pos="1080"/>
          <w:tab w:val="left" w:pos="3600"/>
          <w:tab w:val="left" w:pos="5580"/>
        </w:tabs>
      </w:pPr>
    </w:p>
    <w:p w:rsidR="00F56595" w:rsidRPr="00F12C77" w:rsidRDefault="00F56595" w:rsidP="00334CC2">
      <w:pPr>
        <w:numPr>
          <w:ilvl w:val="0"/>
          <w:numId w:val="17"/>
        </w:numPr>
        <w:tabs>
          <w:tab w:val="left" w:pos="1080"/>
          <w:tab w:val="left" w:pos="3600"/>
          <w:tab w:val="left" w:pos="5580"/>
        </w:tabs>
        <w:ind w:left="360"/>
        <w:rPr>
          <w:b/>
          <w:iCs/>
        </w:rPr>
      </w:pPr>
      <w:r w:rsidRPr="00F12C77">
        <w:rPr>
          <w:b/>
          <w:iCs/>
        </w:rPr>
        <w:t>Performance and Resource Tables</w:t>
      </w:r>
    </w:p>
    <w:p w:rsidR="00F56595" w:rsidRDefault="00B13DD2" w:rsidP="0026799E">
      <w:pPr>
        <w:rPr>
          <w:i/>
        </w:rPr>
      </w:pPr>
      <w:r w:rsidRPr="000A3E86">
        <w:rPr>
          <w:i/>
          <w:iCs/>
        </w:rPr>
        <w:object w:dxaOrig="12814" w:dyaOrig="7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4pt;height:302.4pt" o:ole="">
            <v:imagedata r:id="rId12" o:title=""/>
          </v:shape>
          <o:OLEObject Type="Embed" ProgID="Excel.Sheet.8" ShapeID="_x0000_i1025" DrawAspect="Content" ObjectID="_1358767902" r:id="rId13"/>
        </w:object>
      </w:r>
    </w:p>
    <w:p w:rsidR="00F56595" w:rsidRDefault="00F56595" w:rsidP="0026799E">
      <w:pPr>
        <w:rPr>
          <w:i/>
        </w:rPr>
      </w:pPr>
    </w:p>
    <w:p w:rsidR="00F56595" w:rsidRDefault="00F56595" w:rsidP="0026799E">
      <w:pPr>
        <w:rPr>
          <w:i/>
        </w:rPr>
      </w:pPr>
    </w:p>
    <w:p w:rsidR="00F56595" w:rsidRDefault="00F56595" w:rsidP="00582BB7"/>
    <w:p w:rsidR="00F56595" w:rsidRDefault="00F56595" w:rsidP="0026799E">
      <w:pPr>
        <w:rPr>
          <w:i/>
        </w:rPr>
      </w:pPr>
    </w:p>
    <w:p w:rsidR="00F56595" w:rsidRDefault="00F56595" w:rsidP="0026799E">
      <w:pPr>
        <w:rPr>
          <w:i/>
        </w:rPr>
      </w:pPr>
    </w:p>
    <w:p w:rsidR="00F56595" w:rsidRDefault="00F56595" w:rsidP="00890DB6">
      <w:pPr>
        <w:tabs>
          <w:tab w:val="left" w:pos="13140"/>
        </w:tabs>
        <w:jc w:val="center"/>
      </w:pPr>
    </w:p>
    <w:p w:rsidR="00F56595" w:rsidRDefault="00B13DD2" w:rsidP="00890DB6">
      <w:pPr>
        <w:tabs>
          <w:tab w:val="left" w:pos="13140"/>
        </w:tabs>
        <w:rPr>
          <w:sz w:val="16"/>
        </w:rPr>
      </w:pPr>
      <w:r>
        <w:object w:dxaOrig="13399" w:dyaOrig="5275">
          <v:shape id="_x0000_i1026" type="#_x0000_t75" style="width:670.2pt;height:264pt" o:ole="" o:bordertopcolor="this" o:borderleftcolor="this" o:borderbottomcolor="this" o:borderrightcolor="this">
            <v:imagedata r:id="rId14" o:title=""/>
            <w10:bordertop type="single" width="18"/>
            <w10:borderleft type="single" width="18"/>
            <w10:borderbottom type="single" width="18"/>
            <w10:borderright type="single" width="18"/>
          </v:shape>
          <o:OLEObject Type="Embed" ProgID="Excel.Sheet.8" ShapeID="_x0000_i1026" DrawAspect="Content" ObjectID="_1358767903" r:id="rId15"/>
        </w:object>
      </w:r>
    </w:p>
    <w:p w:rsidR="00F56595" w:rsidRDefault="00F56595">
      <w:pPr>
        <w:rPr>
          <w:sz w:val="16"/>
        </w:rPr>
      </w:pPr>
    </w:p>
    <w:p w:rsidR="00F56595" w:rsidRDefault="00F56595" w:rsidP="00582BB7"/>
    <w:p w:rsidR="00F56595" w:rsidRDefault="00F56595" w:rsidP="009B257E">
      <w:pPr>
        <w:rPr>
          <w:b/>
        </w:rPr>
        <w:sectPr w:rsidR="00F56595" w:rsidSect="00B44840">
          <w:headerReference w:type="even" r:id="rId16"/>
          <w:headerReference w:type="default" r:id="rId17"/>
          <w:headerReference w:type="first" r:id="rId18"/>
          <w:pgSz w:w="15840" w:h="12240" w:orient="landscape" w:code="1"/>
          <w:pgMar w:top="1440" w:right="1152" w:bottom="1440" w:left="1152" w:header="432" w:footer="432" w:gutter="0"/>
          <w:cols w:space="720"/>
          <w:docGrid w:linePitch="326"/>
        </w:sectPr>
      </w:pPr>
      <w:r w:rsidRPr="00A06230">
        <w:rPr>
          <w:b/>
        </w:rPr>
        <w:t xml:space="preserve"> </w:t>
      </w:r>
      <w:r w:rsidR="008F18F0">
        <w:rPr>
          <w:b/>
        </w:rPr>
        <w:t xml:space="preserve"> </w:t>
      </w:r>
    </w:p>
    <w:p w:rsidR="00F56595" w:rsidRDefault="00F56595" w:rsidP="009B257E">
      <w:pPr>
        <w:rPr>
          <w:b/>
        </w:rPr>
      </w:pPr>
      <w:r>
        <w:rPr>
          <w:b/>
        </w:rPr>
        <w:lastRenderedPageBreak/>
        <w:t xml:space="preserve">V.  </w:t>
      </w:r>
      <w:r w:rsidR="00147220">
        <w:rPr>
          <w:b/>
        </w:rPr>
        <w:t xml:space="preserve">Program </w:t>
      </w:r>
      <w:r w:rsidRPr="00A06230">
        <w:rPr>
          <w:b/>
        </w:rPr>
        <w:t>Offsets by Item</w:t>
      </w:r>
    </w:p>
    <w:p w:rsidR="00F56595" w:rsidRDefault="00F56595" w:rsidP="009B257E">
      <w:pPr>
        <w:rPr>
          <w:rFonts w:cs="Arial"/>
          <w:b/>
        </w:rPr>
      </w:pPr>
    </w:p>
    <w:p w:rsidR="00F56595" w:rsidRDefault="00F56595">
      <w:pPr>
        <w:pStyle w:val="xl19"/>
        <w:spacing w:before="0" w:after="0"/>
        <w:rPr>
          <w:szCs w:val="24"/>
        </w:rPr>
      </w:pPr>
    </w:p>
    <w:p w:rsidR="00F56595" w:rsidRDefault="00F56595" w:rsidP="00F5495D">
      <w:pPr>
        <w:pStyle w:val="xl19"/>
        <w:tabs>
          <w:tab w:val="left" w:pos="3420"/>
          <w:tab w:val="right" w:pos="8640"/>
        </w:tabs>
        <w:spacing w:before="0" w:after="0"/>
        <w:ind w:left="3420" w:hanging="3420"/>
        <w:rPr>
          <w:b/>
          <w:bCs/>
        </w:rPr>
      </w:pPr>
      <w:r>
        <w:rPr>
          <w:b/>
          <w:bCs/>
        </w:rPr>
        <w:t>Item Name:</w:t>
      </w:r>
      <w:r>
        <w:rPr>
          <w:b/>
          <w:bCs/>
        </w:rPr>
        <w:tab/>
      </w:r>
      <w:r>
        <w:rPr>
          <w:b/>
          <w:bCs/>
          <w:u w:val="single"/>
        </w:rPr>
        <w:t>Administrative Efficiencies</w:t>
      </w:r>
    </w:p>
    <w:p w:rsidR="00F56595" w:rsidRDefault="00F56595" w:rsidP="00F5495D">
      <w:pPr>
        <w:pStyle w:val="xl19"/>
        <w:tabs>
          <w:tab w:val="left" w:pos="3420"/>
          <w:tab w:val="right" w:pos="8640"/>
        </w:tabs>
        <w:spacing w:before="0" w:after="0"/>
      </w:pPr>
    </w:p>
    <w:p w:rsidR="00F56595" w:rsidRDefault="00F56595" w:rsidP="00F5495D">
      <w:pPr>
        <w:pStyle w:val="xl19"/>
        <w:tabs>
          <w:tab w:val="left" w:pos="3420"/>
          <w:tab w:val="right" w:pos="8640"/>
        </w:tabs>
        <w:spacing w:before="0" w:after="0"/>
      </w:pPr>
      <w:r>
        <w:t xml:space="preserve">Budget Decision Unit(s): </w:t>
      </w:r>
      <w:r>
        <w:tab/>
      </w:r>
      <w:r>
        <w:rPr>
          <w:u w:val="single"/>
        </w:rPr>
        <w:t>LEWC</w:t>
      </w:r>
    </w:p>
    <w:p w:rsidR="00F56595" w:rsidRDefault="00F56595" w:rsidP="00F5495D">
      <w:pPr>
        <w:pStyle w:val="xl19"/>
        <w:tabs>
          <w:tab w:val="left" w:pos="3420"/>
          <w:tab w:val="right" w:pos="8640"/>
        </w:tabs>
        <w:spacing w:before="0" w:after="0"/>
        <w:ind w:left="3420" w:hanging="3420"/>
      </w:pPr>
      <w:r>
        <w:t>Strategic Goal(s) &amp; Objective(s):</w:t>
      </w:r>
      <w:r>
        <w:tab/>
      </w:r>
      <w:r>
        <w:rPr>
          <w:u w:val="single"/>
        </w:rPr>
        <w:t xml:space="preserve">Enabling/Administrative                                                                                   </w:t>
      </w:r>
    </w:p>
    <w:p w:rsidR="00F56595" w:rsidRDefault="00F56595" w:rsidP="00F5495D">
      <w:pPr>
        <w:pStyle w:val="xl19"/>
        <w:tabs>
          <w:tab w:val="left" w:pos="3420"/>
          <w:tab w:val="right" w:pos="8640"/>
        </w:tabs>
        <w:spacing w:before="0" w:after="0"/>
      </w:pPr>
      <w:r>
        <w:t>Organizational Program:</w:t>
      </w:r>
      <w:r>
        <w:tab/>
      </w:r>
      <w:r>
        <w:rPr>
          <w:u w:val="single"/>
        </w:rPr>
        <w:t>LEWC</w:t>
      </w:r>
    </w:p>
    <w:p w:rsidR="00F56595" w:rsidRDefault="00F56595" w:rsidP="00F5495D">
      <w:pPr>
        <w:pStyle w:val="xl19"/>
        <w:spacing w:before="0" w:after="0"/>
      </w:pPr>
    </w:p>
    <w:p w:rsidR="00F56595" w:rsidRPr="0069580D" w:rsidRDefault="00F56595" w:rsidP="00F5495D">
      <w:pPr>
        <w:pStyle w:val="xl19"/>
        <w:tabs>
          <w:tab w:val="left" w:pos="2340"/>
          <w:tab w:val="right" w:pos="3060"/>
          <w:tab w:val="left" w:pos="3600"/>
          <w:tab w:val="right" w:pos="4500"/>
          <w:tab w:val="left" w:pos="5310"/>
          <w:tab w:val="right" w:pos="6300"/>
        </w:tabs>
        <w:spacing w:before="0" w:after="0"/>
        <w:rPr>
          <w:u w:val="single"/>
        </w:rPr>
      </w:pPr>
      <w:r>
        <w:t xml:space="preserve">Program Offset:  Positions  </w:t>
      </w:r>
      <w:r>
        <w:rPr>
          <w:u w:val="single"/>
        </w:rPr>
        <w:t>0</w:t>
      </w:r>
      <w:r w:rsidRPr="000837FD">
        <w:rPr>
          <w:u w:val="single"/>
        </w:rPr>
        <w:t xml:space="preserve"> </w:t>
      </w:r>
      <w:r>
        <w:t xml:space="preserve">  Atty </w:t>
      </w:r>
      <w:r>
        <w:rPr>
          <w:u w:val="single"/>
        </w:rPr>
        <w:t xml:space="preserve"> 0 </w:t>
      </w:r>
      <w:r>
        <w:t xml:space="preserve"> FTE  </w:t>
      </w:r>
      <w:r>
        <w:rPr>
          <w:u w:val="single"/>
        </w:rPr>
        <w:t xml:space="preserve"> 0 </w:t>
      </w:r>
      <w:r>
        <w:t xml:space="preserve">  Dollars  </w:t>
      </w:r>
      <w:r>
        <w:rPr>
          <w:u w:val="single"/>
        </w:rPr>
        <w:t xml:space="preserve"> ($6,000) </w:t>
      </w:r>
    </w:p>
    <w:p w:rsidR="00F56595" w:rsidRPr="0069580D" w:rsidRDefault="00F56595" w:rsidP="00F5495D">
      <w:pPr>
        <w:pStyle w:val="xl19"/>
        <w:tabs>
          <w:tab w:val="left" w:pos="2340"/>
          <w:tab w:val="right" w:pos="3060"/>
          <w:tab w:val="left" w:pos="3600"/>
          <w:tab w:val="right" w:pos="4500"/>
          <w:tab w:val="left" w:pos="5310"/>
          <w:tab w:val="right" w:pos="6300"/>
        </w:tabs>
        <w:spacing w:before="0" w:after="0"/>
        <w:rPr>
          <w:u w:val="single"/>
        </w:rPr>
      </w:pPr>
    </w:p>
    <w:p w:rsidR="00F56595" w:rsidRDefault="00F56595" w:rsidP="00F5495D">
      <w:pPr>
        <w:pStyle w:val="xl24"/>
        <w:spacing w:before="0" w:after="0"/>
      </w:pPr>
      <w:r>
        <w:t>Description of Item</w:t>
      </w:r>
    </w:p>
    <w:p w:rsidR="00F56595" w:rsidRPr="002B6F2F" w:rsidRDefault="00F56595" w:rsidP="00F5495D">
      <w:pPr>
        <w:widowControl w:val="0"/>
      </w:pPr>
      <w:r>
        <w:t>Department-wide administrative efficiencies.</w:t>
      </w:r>
    </w:p>
    <w:p w:rsidR="00F56595" w:rsidRDefault="00F56595" w:rsidP="00F5495D"/>
    <w:p w:rsidR="00F56595" w:rsidRDefault="00F56595" w:rsidP="00F5495D">
      <w:pPr>
        <w:pStyle w:val="BodyText2"/>
        <w:rPr>
          <w:sz w:val="24"/>
          <w:u w:val="single"/>
        </w:rPr>
      </w:pPr>
      <w:r>
        <w:rPr>
          <w:sz w:val="24"/>
          <w:u w:val="single"/>
        </w:rPr>
        <w:t>Summary Justification</w:t>
      </w:r>
    </w:p>
    <w:p w:rsidR="00F56595" w:rsidRPr="005A5D4F" w:rsidRDefault="00F56595" w:rsidP="00F5495D">
      <w:pPr>
        <w:widowControl w:val="0"/>
        <w:ind w:firstLine="21"/>
        <w:jc w:val="both"/>
      </w:pPr>
      <w:r w:rsidRPr="005A5D4F">
        <w:t>The Department is continually evaluating its programs and operations with the goal of achieving across-the-board economies of scale that result in increased efficiencies and cost savings.  In FY 2012, the Department is focusing on areas in which savings can be achieved, which includes</w:t>
      </w:r>
      <w:r w:rsidRPr="005A5D4F">
        <w:rPr>
          <w:bCs/>
        </w:rPr>
        <w:t>: printing, publications, travel, conferences, supplies, and general equipment</w:t>
      </w:r>
      <w:r>
        <w:t xml:space="preserve">.  For LEWC, </w:t>
      </w:r>
      <w:r w:rsidRPr="005A5D4F">
        <w:t>these administrative efficiencies will result in an offset of $</w:t>
      </w:r>
      <w:r>
        <w:t>6</w:t>
      </w:r>
      <w:r w:rsidRPr="005A5D4F">
        <w:t xml:space="preserve">,000.   </w:t>
      </w:r>
    </w:p>
    <w:p w:rsidR="00F56595" w:rsidRDefault="00F56595" w:rsidP="00F5495D">
      <w:pPr>
        <w:widowControl w:val="0"/>
      </w:pPr>
      <w:r>
        <w:t> </w:t>
      </w:r>
    </w:p>
    <w:p w:rsidR="00F56595" w:rsidRDefault="00F56595" w:rsidP="00F5495D">
      <w:pPr>
        <w:pStyle w:val="xl24"/>
        <w:spacing w:before="0" w:after="0"/>
      </w:pPr>
      <w:r>
        <w:t>Impact on Performance (Relationship of Decrease to Strategic Goals and High Priority Performance Goals – (HPPGs))</w:t>
      </w:r>
    </w:p>
    <w:p w:rsidR="00F56595" w:rsidRDefault="00696C0E" w:rsidP="00F5495D">
      <w:pPr>
        <w:rPr>
          <w:bCs/>
        </w:rPr>
      </w:pPr>
      <w:r>
        <w:rPr>
          <w:bCs/>
        </w:rPr>
        <w:t>Not Applicable</w:t>
      </w:r>
      <w:r w:rsidR="00F56595">
        <w:rPr>
          <w:bCs/>
        </w:rPr>
        <w:t xml:space="preserve">.  </w:t>
      </w:r>
    </w:p>
    <w:p w:rsidR="00F56595" w:rsidRDefault="00F56595" w:rsidP="00F5495D">
      <w:pPr>
        <w:rPr>
          <w:bCs/>
        </w:rPr>
      </w:pPr>
    </w:p>
    <w:p w:rsidR="00F56595" w:rsidRDefault="00F56595" w:rsidP="00943E59">
      <w:pPr>
        <w:pStyle w:val="xl19"/>
        <w:tabs>
          <w:tab w:val="left" w:pos="3420"/>
          <w:tab w:val="right" w:pos="8640"/>
        </w:tabs>
        <w:spacing w:before="0" w:after="0"/>
        <w:ind w:left="3420" w:hanging="3420"/>
        <w:rPr>
          <w:b/>
          <w:bCs/>
        </w:rPr>
      </w:pPr>
      <w:r>
        <w:rPr>
          <w:b/>
          <w:bCs/>
        </w:rPr>
        <w:br w:type="page"/>
      </w:r>
      <w:r>
        <w:rPr>
          <w:b/>
          <w:bCs/>
        </w:rPr>
        <w:lastRenderedPageBreak/>
        <w:t>Item Name:</w:t>
      </w:r>
      <w:r>
        <w:rPr>
          <w:b/>
          <w:bCs/>
        </w:rPr>
        <w:tab/>
      </w:r>
      <w:r w:rsidR="009C47AE" w:rsidRPr="009C47AE">
        <w:rPr>
          <w:b/>
          <w:bCs/>
          <w:u w:val="single"/>
        </w:rPr>
        <w:t xml:space="preserve">Extend </w:t>
      </w:r>
      <w:r w:rsidRPr="009C47AE">
        <w:rPr>
          <w:b/>
          <w:bCs/>
          <w:u w:val="single"/>
        </w:rPr>
        <w:t>Tech</w:t>
      </w:r>
      <w:r>
        <w:rPr>
          <w:b/>
          <w:bCs/>
          <w:u w:val="single"/>
        </w:rPr>
        <w:t xml:space="preserve"> Refresh</w:t>
      </w:r>
    </w:p>
    <w:p w:rsidR="00F56595" w:rsidRDefault="00F56595" w:rsidP="00943E59">
      <w:pPr>
        <w:pStyle w:val="xl19"/>
        <w:tabs>
          <w:tab w:val="left" w:pos="3420"/>
          <w:tab w:val="right" w:pos="8640"/>
        </w:tabs>
        <w:spacing w:before="0" w:after="0"/>
      </w:pPr>
    </w:p>
    <w:p w:rsidR="00F56595" w:rsidRDefault="00F56595" w:rsidP="00943E59">
      <w:pPr>
        <w:pStyle w:val="xl19"/>
        <w:tabs>
          <w:tab w:val="left" w:pos="3420"/>
          <w:tab w:val="right" w:pos="8640"/>
        </w:tabs>
        <w:spacing w:before="0" w:after="0"/>
      </w:pPr>
      <w:r>
        <w:t xml:space="preserve">Budget Decision Unit(s): </w:t>
      </w:r>
      <w:r>
        <w:tab/>
      </w:r>
      <w:r>
        <w:rPr>
          <w:u w:val="single"/>
        </w:rPr>
        <w:t>LEWC</w:t>
      </w:r>
    </w:p>
    <w:p w:rsidR="00F56595" w:rsidRDefault="00F56595" w:rsidP="00943E59">
      <w:pPr>
        <w:pStyle w:val="xl19"/>
        <w:tabs>
          <w:tab w:val="left" w:pos="3420"/>
          <w:tab w:val="right" w:pos="8640"/>
        </w:tabs>
        <w:spacing w:before="0" w:after="0"/>
        <w:ind w:left="3420" w:hanging="3420"/>
      </w:pPr>
      <w:r>
        <w:t>Strategic Goal(s) &amp; Objective(s):</w:t>
      </w:r>
      <w:r>
        <w:tab/>
      </w:r>
      <w:r>
        <w:rPr>
          <w:u w:val="single"/>
        </w:rPr>
        <w:t xml:space="preserve">Enabling/Administrative                                                                                   </w:t>
      </w:r>
    </w:p>
    <w:p w:rsidR="00F56595" w:rsidRDefault="00F56595" w:rsidP="00943E59">
      <w:pPr>
        <w:pStyle w:val="xl19"/>
        <w:tabs>
          <w:tab w:val="left" w:pos="3420"/>
          <w:tab w:val="right" w:pos="8640"/>
        </w:tabs>
        <w:spacing w:before="0" w:after="0"/>
      </w:pPr>
      <w:r>
        <w:t>Organizational Program:</w:t>
      </w:r>
      <w:r>
        <w:tab/>
      </w:r>
      <w:r>
        <w:rPr>
          <w:u w:val="single"/>
        </w:rPr>
        <w:t>LEWC</w:t>
      </w:r>
    </w:p>
    <w:p w:rsidR="00F56595" w:rsidRDefault="00F56595" w:rsidP="00943E59">
      <w:pPr>
        <w:pStyle w:val="xl19"/>
        <w:spacing w:before="0" w:after="0"/>
      </w:pPr>
    </w:p>
    <w:p w:rsidR="00F56595" w:rsidRPr="0069580D" w:rsidRDefault="00F56595" w:rsidP="00943E59">
      <w:pPr>
        <w:pStyle w:val="xl19"/>
        <w:tabs>
          <w:tab w:val="left" w:pos="2340"/>
          <w:tab w:val="right" w:pos="3060"/>
          <w:tab w:val="left" w:pos="3600"/>
          <w:tab w:val="right" w:pos="4500"/>
          <w:tab w:val="left" w:pos="5310"/>
          <w:tab w:val="right" w:pos="6300"/>
        </w:tabs>
        <w:spacing w:before="0" w:after="0"/>
        <w:rPr>
          <w:u w:val="single"/>
        </w:rPr>
      </w:pPr>
      <w:r>
        <w:t xml:space="preserve">Program Offset:  Positions  </w:t>
      </w:r>
      <w:r>
        <w:rPr>
          <w:u w:val="single"/>
        </w:rPr>
        <w:t>0</w:t>
      </w:r>
      <w:r w:rsidRPr="000837FD">
        <w:rPr>
          <w:u w:val="single"/>
        </w:rPr>
        <w:t xml:space="preserve"> </w:t>
      </w:r>
      <w:r>
        <w:t xml:space="preserve">  Atty </w:t>
      </w:r>
      <w:r>
        <w:rPr>
          <w:u w:val="single"/>
        </w:rPr>
        <w:t xml:space="preserve"> 0 </w:t>
      </w:r>
      <w:r>
        <w:t xml:space="preserve"> FTE  </w:t>
      </w:r>
      <w:r>
        <w:rPr>
          <w:u w:val="single"/>
        </w:rPr>
        <w:t xml:space="preserve"> 0 </w:t>
      </w:r>
      <w:r>
        <w:t xml:space="preserve">  Dollars  </w:t>
      </w:r>
      <w:r>
        <w:rPr>
          <w:u w:val="single"/>
        </w:rPr>
        <w:t xml:space="preserve"> ($11,000) </w:t>
      </w:r>
    </w:p>
    <w:p w:rsidR="00F56595" w:rsidRPr="0069580D" w:rsidRDefault="00F56595" w:rsidP="00943E59">
      <w:pPr>
        <w:pStyle w:val="xl19"/>
        <w:tabs>
          <w:tab w:val="left" w:pos="2340"/>
          <w:tab w:val="right" w:pos="3060"/>
          <w:tab w:val="left" w:pos="3600"/>
          <w:tab w:val="right" w:pos="4500"/>
          <w:tab w:val="left" w:pos="5310"/>
          <w:tab w:val="right" w:pos="6300"/>
        </w:tabs>
        <w:spacing w:before="0" w:after="0"/>
        <w:rPr>
          <w:u w:val="single"/>
        </w:rPr>
      </w:pPr>
    </w:p>
    <w:p w:rsidR="00F56595" w:rsidRDefault="00F56595" w:rsidP="00943E59">
      <w:pPr>
        <w:pStyle w:val="xl24"/>
        <w:spacing w:before="0" w:after="0"/>
      </w:pPr>
      <w:r>
        <w:t>Description of Item</w:t>
      </w:r>
    </w:p>
    <w:p w:rsidR="00F56595" w:rsidRPr="002B6F2F" w:rsidRDefault="00F56595" w:rsidP="00943E59">
      <w:pPr>
        <w:widowControl w:val="0"/>
      </w:pPr>
      <w:r>
        <w:t>Extend the period of technology refresh by one year.</w:t>
      </w:r>
    </w:p>
    <w:p w:rsidR="00F56595" w:rsidRDefault="00F56595" w:rsidP="00943E59"/>
    <w:p w:rsidR="00F56595" w:rsidRDefault="00F56595" w:rsidP="00943E59">
      <w:pPr>
        <w:pStyle w:val="BodyText2"/>
        <w:rPr>
          <w:sz w:val="24"/>
          <w:u w:val="single"/>
        </w:rPr>
      </w:pPr>
      <w:r>
        <w:rPr>
          <w:sz w:val="24"/>
          <w:u w:val="single"/>
        </w:rPr>
        <w:t>Summary Justification</w:t>
      </w:r>
    </w:p>
    <w:p w:rsidR="00F56595" w:rsidRPr="001F2D82" w:rsidRDefault="00F56595" w:rsidP="00943E59">
      <w:pPr>
        <w:ind w:right="150"/>
        <w:jc w:val="both"/>
      </w:pPr>
      <w:r w:rsidRPr="001F2D82">
        <w:t>As desktops and laptops are used primarily for basic office automation applications (e.g., spreadsheets and word processing), replacing this inventory at a slower rate is expected to have minimal impact on Department operations.  In FY 2012, the Department is proposing to extend the refresh rate of all desktops and laptops by one year, resulting in an offset of $</w:t>
      </w:r>
      <w:r>
        <w:t>11</w:t>
      </w:r>
      <w:r w:rsidRPr="001F2D82">
        <w:t xml:space="preserve">,000 for </w:t>
      </w:r>
      <w:r>
        <w:t>LEWC.</w:t>
      </w:r>
    </w:p>
    <w:p w:rsidR="00F56595" w:rsidRDefault="00F56595" w:rsidP="00943E59">
      <w:pPr>
        <w:widowControl w:val="0"/>
      </w:pPr>
      <w:r>
        <w:t> </w:t>
      </w:r>
    </w:p>
    <w:p w:rsidR="00F56595" w:rsidRPr="00B703E7" w:rsidRDefault="00F56595" w:rsidP="00B703E7">
      <w:pPr>
        <w:widowControl w:val="0"/>
        <w:rPr>
          <w:u w:val="single"/>
        </w:rPr>
      </w:pPr>
      <w:r w:rsidRPr="00B703E7">
        <w:rPr>
          <w:u w:val="single"/>
        </w:rPr>
        <w:t>Impact on Performance (Relationship of Decrease to Strategic Goals and High Priority Performance Goals – (HPPGs))</w:t>
      </w:r>
    </w:p>
    <w:p w:rsidR="00F56595" w:rsidRDefault="00696C0E" w:rsidP="0016008A">
      <w:r>
        <w:t>Not Applicable.</w:t>
      </w:r>
    </w:p>
    <w:p w:rsidR="00F2782C" w:rsidRDefault="00F2782C">
      <w:pPr>
        <w:rPr>
          <w:b/>
          <w:bCs/>
          <w:szCs w:val="20"/>
        </w:rPr>
      </w:pPr>
      <w:r>
        <w:rPr>
          <w:bCs/>
        </w:rPr>
        <w:br w:type="page"/>
      </w:r>
    </w:p>
    <w:p w:rsidR="00F2782C" w:rsidRDefault="00F2782C" w:rsidP="00F2782C">
      <w:pPr>
        <w:pStyle w:val="xl19"/>
        <w:tabs>
          <w:tab w:val="left" w:pos="3420"/>
          <w:tab w:val="right" w:pos="8640"/>
        </w:tabs>
        <w:spacing w:before="0" w:after="0"/>
        <w:ind w:left="3420" w:hanging="3420"/>
        <w:rPr>
          <w:b/>
          <w:bCs/>
        </w:rPr>
      </w:pPr>
      <w:r>
        <w:rPr>
          <w:b/>
          <w:bCs/>
        </w:rPr>
        <w:lastRenderedPageBreak/>
        <w:t>Item Name:</w:t>
      </w:r>
      <w:r>
        <w:rPr>
          <w:b/>
          <w:bCs/>
        </w:rPr>
        <w:tab/>
      </w:r>
      <w:r w:rsidR="008E75B1">
        <w:rPr>
          <w:b/>
          <w:bCs/>
          <w:u w:val="single"/>
        </w:rPr>
        <w:t>Development and Operations</w:t>
      </w:r>
    </w:p>
    <w:p w:rsidR="00F2782C" w:rsidRDefault="00F2782C" w:rsidP="00F2782C">
      <w:pPr>
        <w:pStyle w:val="xl19"/>
        <w:tabs>
          <w:tab w:val="left" w:pos="3420"/>
          <w:tab w:val="right" w:pos="8640"/>
        </w:tabs>
        <w:spacing w:before="0" w:after="0"/>
      </w:pPr>
    </w:p>
    <w:p w:rsidR="00F2782C" w:rsidRDefault="00F2782C" w:rsidP="00F2782C">
      <w:pPr>
        <w:pStyle w:val="xl19"/>
        <w:tabs>
          <w:tab w:val="left" w:pos="3420"/>
          <w:tab w:val="right" w:pos="8640"/>
        </w:tabs>
        <w:spacing w:before="0" w:after="0"/>
      </w:pPr>
      <w:r>
        <w:t xml:space="preserve">Budget Decision Unit(s): </w:t>
      </w:r>
      <w:r>
        <w:tab/>
      </w:r>
      <w:r>
        <w:rPr>
          <w:u w:val="single"/>
        </w:rPr>
        <w:t>LEWC</w:t>
      </w:r>
    </w:p>
    <w:p w:rsidR="00F2782C" w:rsidRDefault="00F2782C" w:rsidP="00F2782C">
      <w:pPr>
        <w:pStyle w:val="xl19"/>
        <w:tabs>
          <w:tab w:val="left" w:pos="3420"/>
          <w:tab w:val="right" w:pos="8640"/>
        </w:tabs>
        <w:spacing w:before="0" w:after="0"/>
        <w:ind w:left="3420" w:hanging="3420"/>
      </w:pPr>
      <w:r>
        <w:t>Strategic Goal(s) &amp; Objective(s):</w:t>
      </w:r>
      <w:r>
        <w:tab/>
      </w:r>
      <w:r>
        <w:rPr>
          <w:u w:val="single"/>
        </w:rPr>
        <w:t xml:space="preserve">Enabling/Administrative                                                                                   </w:t>
      </w:r>
    </w:p>
    <w:p w:rsidR="00F2782C" w:rsidRDefault="00F2782C" w:rsidP="00F2782C">
      <w:pPr>
        <w:pStyle w:val="xl19"/>
        <w:tabs>
          <w:tab w:val="left" w:pos="3420"/>
          <w:tab w:val="right" w:pos="8640"/>
        </w:tabs>
        <w:spacing w:before="0" w:after="0"/>
      </w:pPr>
      <w:r>
        <w:t>Organizational Program:</w:t>
      </w:r>
      <w:r>
        <w:tab/>
      </w:r>
      <w:r>
        <w:rPr>
          <w:u w:val="single"/>
        </w:rPr>
        <w:t>LEWC</w:t>
      </w:r>
    </w:p>
    <w:p w:rsidR="00F2782C" w:rsidRDefault="00F2782C" w:rsidP="00F2782C">
      <w:pPr>
        <w:pStyle w:val="xl19"/>
        <w:spacing w:before="0" w:after="0"/>
      </w:pPr>
    </w:p>
    <w:p w:rsidR="00F2782C" w:rsidRPr="0069580D" w:rsidRDefault="00F2782C" w:rsidP="00F2782C">
      <w:pPr>
        <w:pStyle w:val="xl19"/>
        <w:tabs>
          <w:tab w:val="left" w:pos="2340"/>
          <w:tab w:val="right" w:pos="3060"/>
          <w:tab w:val="left" w:pos="3600"/>
          <w:tab w:val="right" w:pos="4500"/>
          <w:tab w:val="left" w:pos="5310"/>
          <w:tab w:val="right" w:pos="6300"/>
        </w:tabs>
        <w:spacing w:before="0" w:after="0"/>
        <w:rPr>
          <w:u w:val="single"/>
        </w:rPr>
      </w:pPr>
      <w:r>
        <w:t xml:space="preserve">Program Offset:  Positions  </w:t>
      </w:r>
      <w:r>
        <w:rPr>
          <w:u w:val="single"/>
        </w:rPr>
        <w:t>0</w:t>
      </w:r>
      <w:r w:rsidRPr="000837FD">
        <w:rPr>
          <w:u w:val="single"/>
        </w:rPr>
        <w:t xml:space="preserve"> </w:t>
      </w:r>
      <w:r>
        <w:t xml:space="preserve">  Atty </w:t>
      </w:r>
      <w:r>
        <w:rPr>
          <w:u w:val="single"/>
        </w:rPr>
        <w:t xml:space="preserve"> 0 </w:t>
      </w:r>
      <w:r>
        <w:t xml:space="preserve"> FTE  </w:t>
      </w:r>
      <w:r>
        <w:rPr>
          <w:u w:val="single"/>
        </w:rPr>
        <w:t xml:space="preserve"> 0 </w:t>
      </w:r>
      <w:r>
        <w:t xml:space="preserve">  Dollars  </w:t>
      </w:r>
      <w:r>
        <w:rPr>
          <w:u w:val="single"/>
        </w:rPr>
        <w:t xml:space="preserve"> ($105,000</w:t>
      </w:r>
      <w:r w:rsidR="00A82F83">
        <w:rPr>
          <w:u w:val="single"/>
        </w:rPr>
        <w:t>,000</w:t>
      </w:r>
      <w:r>
        <w:rPr>
          <w:u w:val="single"/>
        </w:rPr>
        <w:t xml:space="preserve">) </w:t>
      </w:r>
    </w:p>
    <w:p w:rsidR="00F2782C" w:rsidRPr="0069580D" w:rsidRDefault="00F2782C" w:rsidP="00F2782C">
      <w:pPr>
        <w:pStyle w:val="xl19"/>
        <w:tabs>
          <w:tab w:val="left" w:pos="2340"/>
          <w:tab w:val="right" w:pos="3060"/>
          <w:tab w:val="left" w:pos="3600"/>
          <w:tab w:val="right" w:pos="4500"/>
          <w:tab w:val="left" w:pos="5310"/>
          <w:tab w:val="right" w:pos="6300"/>
        </w:tabs>
        <w:spacing w:before="0" w:after="0"/>
        <w:rPr>
          <w:u w:val="single"/>
        </w:rPr>
      </w:pPr>
    </w:p>
    <w:p w:rsidR="00F2782C" w:rsidRDefault="00F2782C" w:rsidP="00F2782C">
      <w:pPr>
        <w:pStyle w:val="xl24"/>
        <w:spacing w:before="0" w:after="0"/>
      </w:pPr>
      <w:r>
        <w:t>Description of Item</w:t>
      </w:r>
    </w:p>
    <w:p w:rsidR="00F2782C" w:rsidRPr="002B6F2F" w:rsidRDefault="00F2782C" w:rsidP="00F2782C">
      <w:pPr>
        <w:widowControl w:val="0"/>
      </w:pPr>
      <w:r>
        <w:t xml:space="preserve">Reduce the </w:t>
      </w:r>
      <w:r w:rsidR="00777828">
        <w:t xml:space="preserve">LEWC program </w:t>
      </w:r>
      <w:r>
        <w:t xml:space="preserve">funding </w:t>
      </w:r>
      <w:r w:rsidR="00777828">
        <w:t>request</w:t>
      </w:r>
      <w:r>
        <w:t>.</w:t>
      </w:r>
    </w:p>
    <w:p w:rsidR="00F2782C" w:rsidRDefault="00F2782C" w:rsidP="00F2782C"/>
    <w:p w:rsidR="00F2782C" w:rsidRPr="00333034" w:rsidRDefault="00F2782C" w:rsidP="00F2782C">
      <w:pPr>
        <w:pStyle w:val="BodyText2"/>
        <w:rPr>
          <w:sz w:val="24"/>
          <w:u w:val="single"/>
        </w:rPr>
      </w:pPr>
      <w:r w:rsidRPr="00333034">
        <w:rPr>
          <w:sz w:val="24"/>
          <w:u w:val="single"/>
        </w:rPr>
        <w:t>Summary Justification</w:t>
      </w:r>
    </w:p>
    <w:p w:rsidR="0026353D" w:rsidRDefault="00581C38" w:rsidP="00F2782C">
      <w:pPr>
        <w:rPr>
          <w:bCs/>
        </w:rPr>
      </w:pPr>
      <w:r>
        <w:rPr>
          <w:bCs/>
        </w:rPr>
        <w:t>The majority of the reduction will be applied to new development. The department will focus most of its resources on planned deployment areas rather than in significant additional expansion during FY 2012. This will al</w:t>
      </w:r>
      <w:r w:rsidR="003F1D68">
        <w:rPr>
          <w:bCs/>
        </w:rPr>
        <w:t>l</w:t>
      </w:r>
      <w:r>
        <w:rPr>
          <w:bCs/>
        </w:rPr>
        <w:t>ow the department sufficient time to evaluate best practices based on the resul</w:t>
      </w:r>
      <w:r w:rsidR="0026353D">
        <w:rPr>
          <w:bCs/>
        </w:rPr>
        <w:t>ts of the NCR and surrounding area deployments in FY 201</w:t>
      </w:r>
      <w:r w:rsidR="008F25E3">
        <w:rPr>
          <w:bCs/>
        </w:rPr>
        <w:t>0 - FY 2012</w:t>
      </w:r>
      <w:r w:rsidR="0026353D">
        <w:rPr>
          <w:bCs/>
        </w:rPr>
        <w:t xml:space="preserve">. </w:t>
      </w:r>
    </w:p>
    <w:p w:rsidR="0026353D" w:rsidRDefault="0026353D" w:rsidP="00F2782C">
      <w:r>
        <w:rPr>
          <w:bCs/>
        </w:rPr>
        <w:t>As noted, additional technical platforms will also be assessed for possible deployment solutions. During F</w:t>
      </w:r>
      <w:r w:rsidR="003F1D68">
        <w:rPr>
          <w:bCs/>
        </w:rPr>
        <w:t>Y</w:t>
      </w:r>
      <w:r>
        <w:rPr>
          <w:bCs/>
        </w:rPr>
        <w:t xml:space="preserve"> 2012, the Department will evaluate different alternatives in order to determine the best forward approach. The Department will also use its funds to continue paying for the operations and maintenance cost of legacy systems. </w:t>
      </w:r>
    </w:p>
    <w:p w:rsidR="00F2782C" w:rsidRDefault="00F2782C" w:rsidP="00F2782C"/>
    <w:p w:rsidR="00F56595" w:rsidRDefault="00F56595" w:rsidP="00851836">
      <w:pPr>
        <w:pStyle w:val="Heading1"/>
        <w:rPr>
          <w:rFonts w:ascii="Times New Roman" w:hAnsi="Times New Roman"/>
          <w:bCs/>
        </w:rPr>
      </w:pPr>
      <w:r>
        <w:rPr>
          <w:rFonts w:ascii="Times New Roman" w:hAnsi="Times New Roman"/>
          <w:bCs/>
        </w:rPr>
        <w:br w:type="page"/>
      </w:r>
    </w:p>
    <w:p w:rsidR="00F56595" w:rsidRDefault="00F56595" w:rsidP="00851836">
      <w:pPr>
        <w:pStyle w:val="Heading1"/>
        <w:rPr>
          <w:rFonts w:ascii="Times New Roman" w:hAnsi="Times New Roman"/>
          <w:bCs/>
        </w:rPr>
      </w:pPr>
      <w:r>
        <w:rPr>
          <w:rFonts w:ascii="Times New Roman" w:hAnsi="Times New Roman"/>
          <w:bCs/>
        </w:rPr>
        <w:lastRenderedPageBreak/>
        <w:t>Funding</w:t>
      </w:r>
    </w:p>
    <w:p w:rsidR="00F56595" w:rsidRDefault="00F56595">
      <w:pPr>
        <w:jc w:val="center"/>
      </w:pPr>
    </w:p>
    <w:p w:rsidR="00F56595" w:rsidRDefault="00F56595" w:rsidP="00493966"/>
    <w:p w:rsidR="00F56595" w:rsidRDefault="00F56595">
      <w:pPr>
        <w:pStyle w:val="xl24"/>
        <w:spacing w:before="0" w:after="0"/>
      </w:pPr>
      <w:r>
        <w:t>Base Funding</w:t>
      </w:r>
    </w:p>
    <w:p w:rsidR="00F56595" w:rsidRDefault="00F56595" w:rsidP="00584C3E">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1B5C35" w:rsidTr="00F2782C">
        <w:tc>
          <w:tcPr>
            <w:tcW w:w="3168" w:type="dxa"/>
            <w:gridSpan w:val="4"/>
            <w:shd w:val="clear" w:color="auto" w:fill="E6E6E6"/>
          </w:tcPr>
          <w:p w:rsidR="001B5C35" w:rsidRPr="000F321C" w:rsidRDefault="001B5C35" w:rsidP="00F2782C">
            <w:pPr>
              <w:pStyle w:val="Heading7"/>
              <w:rPr>
                <w:sz w:val="20"/>
              </w:rPr>
            </w:pPr>
            <w:r w:rsidRPr="000F321C">
              <w:rPr>
                <w:sz w:val="20"/>
              </w:rPr>
              <w:t>FY 2010 Enacted (w/resc./supps)</w:t>
            </w:r>
          </w:p>
        </w:tc>
        <w:tc>
          <w:tcPr>
            <w:tcW w:w="3240" w:type="dxa"/>
            <w:gridSpan w:val="4"/>
            <w:shd w:val="clear" w:color="auto" w:fill="E6E6E6"/>
          </w:tcPr>
          <w:p w:rsidR="001B5C35" w:rsidRPr="000F321C" w:rsidRDefault="001B5C35" w:rsidP="00F2782C">
            <w:pPr>
              <w:pStyle w:val="Heading7"/>
              <w:rPr>
                <w:sz w:val="20"/>
              </w:rPr>
            </w:pPr>
            <w:r w:rsidRPr="000F321C">
              <w:rPr>
                <w:sz w:val="20"/>
              </w:rPr>
              <w:t xml:space="preserve">FY 2011 </w:t>
            </w:r>
            <w:r>
              <w:rPr>
                <w:sz w:val="20"/>
              </w:rPr>
              <w:t>CR</w:t>
            </w:r>
          </w:p>
        </w:tc>
        <w:tc>
          <w:tcPr>
            <w:tcW w:w="3404" w:type="dxa"/>
            <w:gridSpan w:val="4"/>
            <w:shd w:val="clear" w:color="auto" w:fill="E6E6E6"/>
          </w:tcPr>
          <w:p w:rsidR="001B5C35" w:rsidRPr="000F321C" w:rsidRDefault="001B5C35" w:rsidP="00F2782C">
            <w:pPr>
              <w:pStyle w:val="Heading7"/>
              <w:rPr>
                <w:sz w:val="20"/>
              </w:rPr>
            </w:pPr>
            <w:r w:rsidRPr="000F321C">
              <w:rPr>
                <w:sz w:val="20"/>
              </w:rPr>
              <w:t>FY 2012 Current Services</w:t>
            </w:r>
          </w:p>
        </w:tc>
      </w:tr>
      <w:tr w:rsidR="001B5C35" w:rsidTr="00F2782C">
        <w:tc>
          <w:tcPr>
            <w:tcW w:w="594" w:type="dxa"/>
          </w:tcPr>
          <w:p w:rsidR="001B5C35" w:rsidRPr="000F321C" w:rsidRDefault="001B5C35" w:rsidP="00F2782C">
            <w:pPr>
              <w:pStyle w:val="xl24"/>
              <w:spacing w:before="0" w:after="0"/>
              <w:jc w:val="center"/>
              <w:rPr>
                <w:sz w:val="20"/>
                <w:u w:val="none"/>
              </w:rPr>
            </w:pPr>
            <w:r w:rsidRPr="000F321C">
              <w:rPr>
                <w:sz w:val="20"/>
                <w:u w:val="none"/>
              </w:rPr>
              <w:t>Pos</w:t>
            </w:r>
          </w:p>
        </w:tc>
        <w:tc>
          <w:tcPr>
            <w:tcW w:w="607" w:type="dxa"/>
          </w:tcPr>
          <w:p w:rsidR="001B5C35" w:rsidRPr="000F321C" w:rsidRDefault="001B5C35" w:rsidP="00F2782C">
            <w:pPr>
              <w:pStyle w:val="xl24"/>
              <w:spacing w:before="0" w:after="0"/>
              <w:jc w:val="center"/>
              <w:rPr>
                <w:sz w:val="20"/>
                <w:u w:val="none"/>
              </w:rPr>
            </w:pPr>
            <w:r w:rsidRPr="000F321C">
              <w:rPr>
                <w:sz w:val="20"/>
                <w:u w:val="none"/>
              </w:rPr>
              <w:t>agt/</w:t>
            </w:r>
          </w:p>
          <w:p w:rsidR="001B5C35" w:rsidRPr="000F321C" w:rsidRDefault="001B5C35" w:rsidP="00F2782C">
            <w:pPr>
              <w:pStyle w:val="xl24"/>
              <w:spacing w:before="0" w:after="0"/>
              <w:jc w:val="center"/>
              <w:rPr>
                <w:sz w:val="20"/>
                <w:u w:val="none"/>
              </w:rPr>
            </w:pPr>
            <w:r w:rsidRPr="000F321C">
              <w:rPr>
                <w:sz w:val="20"/>
                <w:u w:val="none"/>
              </w:rPr>
              <w:t>atty</w:t>
            </w:r>
          </w:p>
        </w:tc>
        <w:tc>
          <w:tcPr>
            <w:tcW w:w="572" w:type="dxa"/>
          </w:tcPr>
          <w:p w:rsidR="001B5C35" w:rsidRPr="000F321C" w:rsidRDefault="001B5C35" w:rsidP="00F2782C">
            <w:pPr>
              <w:pStyle w:val="xl24"/>
              <w:spacing w:before="0" w:after="0"/>
              <w:jc w:val="center"/>
              <w:rPr>
                <w:sz w:val="20"/>
                <w:u w:val="none"/>
              </w:rPr>
            </w:pPr>
            <w:r w:rsidRPr="000F321C">
              <w:rPr>
                <w:sz w:val="20"/>
                <w:u w:val="none"/>
              </w:rPr>
              <w:t>FTE</w:t>
            </w:r>
          </w:p>
        </w:tc>
        <w:tc>
          <w:tcPr>
            <w:tcW w:w="1395" w:type="dxa"/>
          </w:tcPr>
          <w:p w:rsidR="001B5C35" w:rsidRPr="000F321C" w:rsidRDefault="001B5C35" w:rsidP="00F2782C">
            <w:pPr>
              <w:pStyle w:val="xl24"/>
              <w:spacing w:before="0" w:after="0"/>
              <w:jc w:val="center"/>
              <w:rPr>
                <w:sz w:val="20"/>
                <w:u w:val="none"/>
              </w:rPr>
            </w:pPr>
            <w:r w:rsidRPr="000F321C">
              <w:rPr>
                <w:sz w:val="20"/>
                <w:u w:val="none"/>
              </w:rPr>
              <w:t>$(000)</w:t>
            </w:r>
          </w:p>
        </w:tc>
        <w:tc>
          <w:tcPr>
            <w:tcW w:w="603" w:type="dxa"/>
          </w:tcPr>
          <w:p w:rsidR="001B5C35" w:rsidRPr="000F321C" w:rsidRDefault="001B5C35" w:rsidP="00F2782C">
            <w:pPr>
              <w:pStyle w:val="xl24"/>
              <w:spacing w:before="0" w:after="0"/>
              <w:jc w:val="center"/>
              <w:rPr>
                <w:sz w:val="20"/>
                <w:u w:val="none"/>
              </w:rPr>
            </w:pPr>
            <w:r w:rsidRPr="000F321C">
              <w:rPr>
                <w:sz w:val="20"/>
                <w:u w:val="none"/>
              </w:rPr>
              <w:t>Pos</w:t>
            </w:r>
          </w:p>
        </w:tc>
        <w:tc>
          <w:tcPr>
            <w:tcW w:w="607" w:type="dxa"/>
          </w:tcPr>
          <w:p w:rsidR="001B5C35" w:rsidRPr="000F321C" w:rsidRDefault="001B5C35" w:rsidP="00F2782C">
            <w:pPr>
              <w:pStyle w:val="xl24"/>
              <w:spacing w:before="0" w:after="0"/>
              <w:jc w:val="center"/>
              <w:rPr>
                <w:sz w:val="20"/>
                <w:u w:val="none"/>
              </w:rPr>
            </w:pPr>
            <w:r w:rsidRPr="000F321C">
              <w:rPr>
                <w:sz w:val="20"/>
                <w:u w:val="none"/>
              </w:rPr>
              <w:t>agt/</w:t>
            </w:r>
          </w:p>
          <w:p w:rsidR="001B5C35" w:rsidRPr="000F321C" w:rsidRDefault="001B5C35" w:rsidP="00F2782C">
            <w:pPr>
              <w:pStyle w:val="xl24"/>
              <w:spacing w:before="0" w:after="0"/>
              <w:jc w:val="center"/>
              <w:rPr>
                <w:sz w:val="20"/>
                <w:u w:val="none"/>
              </w:rPr>
            </w:pPr>
            <w:r w:rsidRPr="000F321C">
              <w:rPr>
                <w:sz w:val="20"/>
                <w:u w:val="none"/>
              </w:rPr>
              <w:t>atty</w:t>
            </w:r>
          </w:p>
        </w:tc>
        <w:tc>
          <w:tcPr>
            <w:tcW w:w="672" w:type="dxa"/>
          </w:tcPr>
          <w:p w:rsidR="001B5C35" w:rsidRPr="000F321C" w:rsidRDefault="001B5C35" w:rsidP="00F2782C">
            <w:pPr>
              <w:pStyle w:val="xl24"/>
              <w:spacing w:before="0" w:after="0"/>
              <w:jc w:val="center"/>
              <w:rPr>
                <w:sz w:val="20"/>
                <w:u w:val="none"/>
              </w:rPr>
            </w:pPr>
            <w:r w:rsidRPr="000F321C">
              <w:rPr>
                <w:sz w:val="20"/>
                <w:u w:val="none"/>
              </w:rPr>
              <w:t>FTE</w:t>
            </w:r>
          </w:p>
        </w:tc>
        <w:tc>
          <w:tcPr>
            <w:tcW w:w="1358" w:type="dxa"/>
          </w:tcPr>
          <w:p w:rsidR="001B5C35" w:rsidRPr="000F321C" w:rsidRDefault="001B5C35" w:rsidP="00F2782C">
            <w:pPr>
              <w:pStyle w:val="xl24"/>
              <w:spacing w:before="0" w:after="0"/>
              <w:jc w:val="center"/>
              <w:rPr>
                <w:sz w:val="20"/>
                <w:u w:val="none"/>
              </w:rPr>
            </w:pPr>
            <w:r w:rsidRPr="000F321C">
              <w:rPr>
                <w:sz w:val="20"/>
                <w:u w:val="none"/>
              </w:rPr>
              <w:t>$(000)</w:t>
            </w:r>
          </w:p>
        </w:tc>
        <w:tc>
          <w:tcPr>
            <w:tcW w:w="590" w:type="dxa"/>
          </w:tcPr>
          <w:p w:rsidR="001B5C35" w:rsidRPr="000F321C" w:rsidRDefault="001B5C35" w:rsidP="00F2782C">
            <w:pPr>
              <w:pStyle w:val="xl24"/>
              <w:spacing w:before="0" w:after="0"/>
              <w:jc w:val="center"/>
              <w:rPr>
                <w:sz w:val="20"/>
                <w:u w:val="none"/>
              </w:rPr>
            </w:pPr>
            <w:r w:rsidRPr="000F321C">
              <w:rPr>
                <w:sz w:val="20"/>
                <w:u w:val="none"/>
              </w:rPr>
              <w:t>Pos</w:t>
            </w:r>
          </w:p>
        </w:tc>
        <w:tc>
          <w:tcPr>
            <w:tcW w:w="607" w:type="dxa"/>
          </w:tcPr>
          <w:p w:rsidR="001B5C35" w:rsidRPr="000F321C" w:rsidRDefault="001B5C35" w:rsidP="00F2782C">
            <w:pPr>
              <w:pStyle w:val="xl24"/>
              <w:spacing w:before="0" w:after="0"/>
              <w:jc w:val="center"/>
              <w:rPr>
                <w:sz w:val="20"/>
                <w:u w:val="none"/>
              </w:rPr>
            </w:pPr>
            <w:r w:rsidRPr="000F321C">
              <w:rPr>
                <w:sz w:val="20"/>
                <w:u w:val="none"/>
              </w:rPr>
              <w:t>agt/</w:t>
            </w:r>
          </w:p>
          <w:p w:rsidR="001B5C35" w:rsidRPr="000F321C" w:rsidRDefault="001B5C35" w:rsidP="00F2782C">
            <w:pPr>
              <w:pStyle w:val="xl24"/>
              <w:spacing w:before="0" w:after="0"/>
              <w:jc w:val="center"/>
              <w:rPr>
                <w:sz w:val="20"/>
                <w:u w:val="none"/>
              </w:rPr>
            </w:pPr>
            <w:r w:rsidRPr="000F321C">
              <w:rPr>
                <w:sz w:val="20"/>
                <w:u w:val="none"/>
              </w:rPr>
              <w:t>atty</w:t>
            </w:r>
          </w:p>
        </w:tc>
        <w:tc>
          <w:tcPr>
            <w:tcW w:w="672" w:type="dxa"/>
          </w:tcPr>
          <w:p w:rsidR="001B5C35" w:rsidRPr="000F321C" w:rsidRDefault="001B5C35" w:rsidP="00F2782C">
            <w:pPr>
              <w:pStyle w:val="xl24"/>
              <w:spacing w:before="0" w:after="0"/>
              <w:jc w:val="center"/>
              <w:rPr>
                <w:sz w:val="20"/>
                <w:u w:val="none"/>
              </w:rPr>
            </w:pPr>
            <w:r w:rsidRPr="000F321C">
              <w:rPr>
                <w:sz w:val="20"/>
                <w:u w:val="none"/>
              </w:rPr>
              <w:t>FTE</w:t>
            </w:r>
          </w:p>
        </w:tc>
        <w:tc>
          <w:tcPr>
            <w:tcW w:w="1535" w:type="dxa"/>
          </w:tcPr>
          <w:p w:rsidR="001B5C35" w:rsidRPr="000F321C" w:rsidRDefault="001B5C35" w:rsidP="00F2782C">
            <w:pPr>
              <w:pStyle w:val="xl24"/>
              <w:spacing w:before="0" w:after="0"/>
              <w:jc w:val="center"/>
              <w:rPr>
                <w:sz w:val="20"/>
                <w:u w:val="none"/>
              </w:rPr>
            </w:pPr>
            <w:r w:rsidRPr="000F321C">
              <w:rPr>
                <w:sz w:val="20"/>
                <w:u w:val="none"/>
              </w:rPr>
              <w:t>$(000)</w:t>
            </w:r>
          </w:p>
        </w:tc>
      </w:tr>
      <w:tr w:rsidR="001B5C35" w:rsidTr="00F2782C">
        <w:tc>
          <w:tcPr>
            <w:tcW w:w="594" w:type="dxa"/>
          </w:tcPr>
          <w:p w:rsidR="001B5C35" w:rsidRPr="000F321C" w:rsidRDefault="001B5C35" w:rsidP="00F2782C">
            <w:pPr>
              <w:pStyle w:val="xl24"/>
              <w:spacing w:before="0" w:after="0"/>
              <w:jc w:val="right"/>
              <w:rPr>
                <w:sz w:val="20"/>
              </w:rPr>
            </w:pPr>
            <w:r>
              <w:rPr>
                <w:sz w:val="20"/>
              </w:rPr>
              <w:t>35</w:t>
            </w:r>
          </w:p>
        </w:tc>
        <w:tc>
          <w:tcPr>
            <w:tcW w:w="607" w:type="dxa"/>
          </w:tcPr>
          <w:p w:rsidR="001B5C35" w:rsidRPr="000F321C" w:rsidRDefault="001B5C35" w:rsidP="00F2782C">
            <w:pPr>
              <w:pStyle w:val="xl24"/>
              <w:spacing w:before="0" w:after="0"/>
              <w:jc w:val="right"/>
              <w:rPr>
                <w:sz w:val="20"/>
              </w:rPr>
            </w:pPr>
            <w:r>
              <w:rPr>
                <w:sz w:val="20"/>
              </w:rPr>
              <w:t>1</w:t>
            </w:r>
          </w:p>
        </w:tc>
        <w:tc>
          <w:tcPr>
            <w:tcW w:w="572" w:type="dxa"/>
          </w:tcPr>
          <w:p w:rsidR="001B5C35" w:rsidRPr="000F321C" w:rsidRDefault="001B5C35" w:rsidP="00F2782C">
            <w:pPr>
              <w:pStyle w:val="xl24"/>
              <w:spacing w:before="0" w:after="0"/>
              <w:jc w:val="right"/>
              <w:rPr>
                <w:sz w:val="20"/>
              </w:rPr>
            </w:pPr>
            <w:r>
              <w:rPr>
                <w:sz w:val="20"/>
              </w:rPr>
              <w:t>35</w:t>
            </w:r>
          </w:p>
        </w:tc>
        <w:tc>
          <w:tcPr>
            <w:tcW w:w="1395" w:type="dxa"/>
          </w:tcPr>
          <w:p w:rsidR="001B5C35" w:rsidRPr="000F321C" w:rsidRDefault="001B5C35" w:rsidP="00F2782C">
            <w:pPr>
              <w:pStyle w:val="xl24"/>
              <w:spacing w:before="0" w:after="0"/>
              <w:jc w:val="right"/>
              <w:rPr>
                <w:sz w:val="20"/>
              </w:rPr>
            </w:pPr>
            <w:r>
              <w:rPr>
                <w:sz w:val="20"/>
              </w:rPr>
              <w:t>206,143</w:t>
            </w:r>
          </w:p>
        </w:tc>
        <w:tc>
          <w:tcPr>
            <w:tcW w:w="603" w:type="dxa"/>
          </w:tcPr>
          <w:p w:rsidR="001B5C35" w:rsidRPr="000F321C" w:rsidRDefault="001B5C35" w:rsidP="00F2782C">
            <w:pPr>
              <w:pStyle w:val="xl24"/>
              <w:spacing w:before="0" w:after="0"/>
              <w:jc w:val="right"/>
              <w:rPr>
                <w:sz w:val="20"/>
              </w:rPr>
            </w:pPr>
            <w:r>
              <w:rPr>
                <w:sz w:val="20"/>
              </w:rPr>
              <w:t>35</w:t>
            </w:r>
          </w:p>
        </w:tc>
        <w:tc>
          <w:tcPr>
            <w:tcW w:w="607" w:type="dxa"/>
          </w:tcPr>
          <w:p w:rsidR="001B5C35" w:rsidRPr="000F321C" w:rsidRDefault="001B5C35" w:rsidP="00F2782C">
            <w:pPr>
              <w:pStyle w:val="xl24"/>
              <w:spacing w:before="0" w:after="0"/>
              <w:jc w:val="right"/>
              <w:rPr>
                <w:sz w:val="20"/>
              </w:rPr>
            </w:pPr>
            <w:r>
              <w:rPr>
                <w:sz w:val="20"/>
              </w:rPr>
              <w:t>1</w:t>
            </w:r>
          </w:p>
        </w:tc>
        <w:tc>
          <w:tcPr>
            <w:tcW w:w="672" w:type="dxa"/>
          </w:tcPr>
          <w:p w:rsidR="001B5C35" w:rsidRPr="000F321C" w:rsidRDefault="001B5C35" w:rsidP="00F2782C">
            <w:pPr>
              <w:pStyle w:val="xl24"/>
              <w:spacing w:before="0" w:after="0"/>
              <w:jc w:val="right"/>
              <w:rPr>
                <w:sz w:val="20"/>
              </w:rPr>
            </w:pPr>
            <w:r>
              <w:rPr>
                <w:sz w:val="20"/>
              </w:rPr>
              <w:t>35</w:t>
            </w:r>
          </w:p>
        </w:tc>
        <w:tc>
          <w:tcPr>
            <w:tcW w:w="1358" w:type="dxa"/>
          </w:tcPr>
          <w:p w:rsidR="001B5C35" w:rsidRPr="000F321C" w:rsidRDefault="001B5C35" w:rsidP="00F2782C">
            <w:pPr>
              <w:pStyle w:val="xl24"/>
              <w:spacing w:before="0" w:after="0"/>
              <w:jc w:val="right"/>
              <w:rPr>
                <w:sz w:val="20"/>
              </w:rPr>
            </w:pPr>
            <w:r>
              <w:rPr>
                <w:sz w:val="20"/>
              </w:rPr>
              <w:t>206,143</w:t>
            </w:r>
          </w:p>
        </w:tc>
        <w:tc>
          <w:tcPr>
            <w:tcW w:w="590" w:type="dxa"/>
          </w:tcPr>
          <w:p w:rsidR="001B5C35" w:rsidRPr="000F321C" w:rsidRDefault="001B5C35" w:rsidP="00F2782C">
            <w:pPr>
              <w:pStyle w:val="xl24"/>
              <w:spacing w:before="0" w:after="0"/>
              <w:jc w:val="right"/>
              <w:rPr>
                <w:sz w:val="20"/>
              </w:rPr>
            </w:pPr>
            <w:r>
              <w:rPr>
                <w:sz w:val="20"/>
              </w:rPr>
              <w:t>35</w:t>
            </w:r>
          </w:p>
        </w:tc>
        <w:tc>
          <w:tcPr>
            <w:tcW w:w="607" w:type="dxa"/>
          </w:tcPr>
          <w:p w:rsidR="001B5C35" w:rsidRPr="000F321C" w:rsidRDefault="001B5C35" w:rsidP="00F2782C">
            <w:pPr>
              <w:pStyle w:val="xl24"/>
              <w:spacing w:before="0" w:after="0"/>
              <w:jc w:val="right"/>
              <w:rPr>
                <w:sz w:val="20"/>
              </w:rPr>
            </w:pPr>
            <w:r>
              <w:rPr>
                <w:sz w:val="20"/>
              </w:rPr>
              <w:t>1</w:t>
            </w:r>
          </w:p>
        </w:tc>
        <w:tc>
          <w:tcPr>
            <w:tcW w:w="672" w:type="dxa"/>
          </w:tcPr>
          <w:p w:rsidR="001B5C35" w:rsidRPr="000F321C" w:rsidRDefault="001B5C35" w:rsidP="00F2782C">
            <w:pPr>
              <w:pStyle w:val="xl24"/>
              <w:spacing w:before="0" w:after="0"/>
              <w:jc w:val="right"/>
              <w:rPr>
                <w:sz w:val="20"/>
              </w:rPr>
            </w:pPr>
            <w:r>
              <w:rPr>
                <w:sz w:val="20"/>
              </w:rPr>
              <w:t>35</w:t>
            </w:r>
          </w:p>
        </w:tc>
        <w:tc>
          <w:tcPr>
            <w:tcW w:w="1535" w:type="dxa"/>
          </w:tcPr>
          <w:p w:rsidR="001B5C35" w:rsidRPr="000F321C" w:rsidRDefault="001B5C35" w:rsidP="00F2782C">
            <w:pPr>
              <w:pStyle w:val="xl24"/>
              <w:spacing w:before="0" w:after="0"/>
              <w:jc w:val="right"/>
              <w:rPr>
                <w:sz w:val="20"/>
              </w:rPr>
            </w:pPr>
            <w:r>
              <w:rPr>
                <w:sz w:val="20"/>
              </w:rPr>
              <w:t>207,768</w:t>
            </w:r>
          </w:p>
        </w:tc>
      </w:tr>
    </w:tbl>
    <w:p w:rsidR="00F56595" w:rsidRDefault="00F56595">
      <w:pPr>
        <w:rPr>
          <w:sz w:val="20"/>
        </w:rPr>
      </w:pPr>
    </w:p>
    <w:p w:rsidR="00F56595" w:rsidRDefault="00F56595">
      <w:pPr>
        <w:pStyle w:val="xl24"/>
        <w:spacing w:before="0" w:after="0"/>
      </w:pPr>
      <w:r>
        <w:t>Non-Personnel Reduction Cost Summary</w:t>
      </w:r>
    </w:p>
    <w:p w:rsidR="00F56595" w:rsidRDefault="00F56595">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4"/>
        <w:gridCol w:w="1344"/>
        <w:gridCol w:w="1530"/>
        <w:gridCol w:w="1530"/>
        <w:gridCol w:w="1890"/>
        <w:gridCol w:w="1890"/>
      </w:tblGrid>
      <w:tr w:rsidR="00F56595" w:rsidTr="00431903">
        <w:tc>
          <w:tcPr>
            <w:tcW w:w="1644" w:type="dxa"/>
            <w:shd w:val="clear" w:color="auto" w:fill="E6E6E6"/>
            <w:vAlign w:val="center"/>
          </w:tcPr>
          <w:p w:rsidR="00F56595" w:rsidRDefault="00F56595" w:rsidP="00584C3E">
            <w:pPr>
              <w:jc w:val="center"/>
              <w:rPr>
                <w:sz w:val="20"/>
              </w:rPr>
            </w:pPr>
            <w:r>
              <w:rPr>
                <w:sz w:val="20"/>
              </w:rPr>
              <w:t>Non-Personnel Item</w:t>
            </w:r>
          </w:p>
        </w:tc>
        <w:tc>
          <w:tcPr>
            <w:tcW w:w="1344" w:type="dxa"/>
            <w:vAlign w:val="center"/>
          </w:tcPr>
          <w:p w:rsidR="00F56595" w:rsidRDefault="00F56595">
            <w:pPr>
              <w:jc w:val="center"/>
              <w:rPr>
                <w:sz w:val="20"/>
              </w:rPr>
            </w:pPr>
            <w:r>
              <w:rPr>
                <w:sz w:val="20"/>
              </w:rPr>
              <w:t>Unit</w:t>
            </w:r>
          </w:p>
        </w:tc>
        <w:tc>
          <w:tcPr>
            <w:tcW w:w="1530" w:type="dxa"/>
            <w:vAlign w:val="center"/>
          </w:tcPr>
          <w:p w:rsidR="00F56595" w:rsidRDefault="00F56595">
            <w:pPr>
              <w:jc w:val="center"/>
              <w:rPr>
                <w:sz w:val="20"/>
              </w:rPr>
            </w:pPr>
            <w:r>
              <w:rPr>
                <w:sz w:val="20"/>
              </w:rPr>
              <w:t>Quantity</w:t>
            </w:r>
          </w:p>
        </w:tc>
        <w:tc>
          <w:tcPr>
            <w:tcW w:w="1530" w:type="dxa"/>
            <w:vAlign w:val="center"/>
          </w:tcPr>
          <w:p w:rsidR="00F56595" w:rsidRDefault="00F56595" w:rsidP="00FC00DD">
            <w:pPr>
              <w:jc w:val="center"/>
              <w:rPr>
                <w:sz w:val="20"/>
              </w:rPr>
            </w:pPr>
            <w:r>
              <w:rPr>
                <w:sz w:val="20"/>
              </w:rPr>
              <w:t>FY 2012</w:t>
            </w:r>
          </w:p>
          <w:p w:rsidR="00F56595" w:rsidRDefault="00F56595" w:rsidP="00FC00DD">
            <w:pPr>
              <w:jc w:val="center"/>
              <w:rPr>
                <w:sz w:val="20"/>
              </w:rPr>
            </w:pPr>
            <w:r>
              <w:rPr>
                <w:sz w:val="20"/>
              </w:rPr>
              <w:t>Request</w:t>
            </w:r>
          </w:p>
          <w:p w:rsidR="00F56595" w:rsidRDefault="00F56595" w:rsidP="00FC00DD">
            <w:pPr>
              <w:jc w:val="center"/>
              <w:rPr>
                <w:sz w:val="20"/>
              </w:rPr>
            </w:pPr>
            <w:r>
              <w:rPr>
                <w:sz w:val="20"/>
              </w:rPr>
              <w:t>($000)</w:t>
            </w:r>
          </w:p>
        </w:tc>
        <w:tc>
          <w:tcPr>
            <w:tcW w:w="1890" w:type="dxa"/>
            <w:vAlign w:val="center"/>
          </w:tcPr>
          <w:p w:rsidR="00F56595" w:rsidRDefault="00F56595" w:rsidP="00FC00DD">
            <w:pPr>
              <w:jc w:val="center"/>
              <w:rPr>
                <w:sz w:val="20"/>
              </w:rPr>
            </w:pPr>
            <w:r>
              <w:rPr>
                <w:sz w:val="20"/>
              </w:rPr>
              <w:t>FY 2013 Net</w:t>
            </w:r>
          </w:p>
          <w:p w:rsidR="00F56595" w:rsidRDefault="00F56595" w:rsidP="00FC00DD">
            <w:pPr>
              <w:jc w:val="center"/>
              <w:rPr>
                <w:sz w:val="20"/>
              </w:rPr>
            </w:pPr>
            <w:r>
              <w:rPr>
                <w:sz w:val="20"/>
              </w:rPr>
              <w:t>Annualization (change from 2012)</w:t>
            </w:r>
          </w:p>
          <w:p w:rsidR="00F56595" w:rsidRDefault="00F56595" w:rsidP="00FC00DD">
            <w:pPr>
              <w:jc w:val="center"/>
              <w:rPr>
                <w:sz w:val="20"/>
              </w:rPr>
            </w:pPr>
            <w:r>
              <w:rPr>
                <w:sz w:val="20"/>
              </w:rPr>
              <w:t>($000)</w:t>
            </w:r>
          </w:p>
        </w:tc>
        <w:tc>
          <w:tcPr>
            <w:tcW w:w="1890" w:type="dxa"/>
          </w:tcPr>
          <w:p w:rsidR="00F56595" w:rsidRDefault="00F56595" w:rsidP="00431903">
            <w:pPr>
              <w:jc w:val="center"/>
              <w:rPr>
                <w:sz w:val="20"/>
              </w:rPr>
            </w:pPr>
            <w:r>
              <w:rPr>
                <w:sz w:val="20"/>
              </w:rPr>
              <w:t>FY 2014 Net</w:t>
            </w:r>
          </w:p>
          <w:p w:rsidR="00F56595" w:rsidRDefault="00F56595" w:rsidP="00431903">
            <w:pPr>
              <w:jc w:val="center"/>
              <w:rPr>
                <w:sz w:val="20"/>
              </w:rPr>
            </w:pPr>
            <w:r>
              <w:rPr>
                <w:sz w:val="20"/>
              </w:rPr>
              <w:t>Annualization (change from 2013)</w:t>
            </w:r>
          </w:p>
          <w:p w:rsidR="00F56595" w:rsidRDefault="00F56595" w:rsidP="00431903">
            <w:pPr>
              <w:jc w:val="center"/>
              <w:rPr>
                <w:sz w:val="20"/>
              </w:rPr>
            </w:pPr>
            <w:r>
              <w:rPr>
                <w:sz w:val="20"/>
              </w:rPr>
              <w:t>($000)</w:t>
            </w:r>
          </w:p>
        </w:tc>
      </w:tr>
      <w:tr w:rsidR="00F56595" w:rsidTr="00431903">
        <w:tc>
          <w:tcPr>
            <w:tcW w:w="1644" w:type="dxa"/>
          </w:tcPr>
          <w:p w:rsidR="00F56595" w:rsidRDefault="00F56595">
            <w:pPr>
              <w:rPr>
                <w:sz w:val="20"/>
              </w:rPr>
            </w:pPr>
            <w:r>
              <w:rPr>
                <w:sz w:val="20"/>
              </w:rPr>
              <w:t>Administrative Efficiencies</w:t>
            </w:r>
          </w:p>
        </w:tc>
        <w:tc>
          <w:tcPr>
            <w:tcW w:w="1344" w:type="dxa"/>
            <w:vAlign w:val="center"/>
          </w:tcPr>
          <w:p w:rsidR="00F56595" w:rsidRDefault="00F56595">
            <w:pPr>
              <w:pStyle w:val="xl19"/>
              <w:spacing w:before="0" w:after="0"/>
              <w:jc w:val="right"/>
              <w:rPr>
                <w:sz w:val="20"/>
                <w:szCs w:val="24"/>
              </w:rPr>
            </w:pPr>
            <w:r>
              <w:rPr>
                <w:sz w:val="20"/>
                <w:szCs w:val="24"/>
              </w:rPr>
              <w:t>LEWC</w:t>
            </w:r>
          </w:p>
        </w:tc>
        <w:tc>
          <w:tcPr>
            <w:tcW w:w="1530" w:type="dxa"/>
            <w:vAlign w:val="center"/>
          </w:tcPr>
          <w:p w:rsidR="00F56595" w:rsidRDefault="00F56595">
            <w:pPr>
              <w:jc w:val="right"/>
              <w:rPr>
                <w:sz w:val="20"/>
              </w:rPr>
            </w:pPr>
          </w:p>
        </w:tc>
        <w:tc>
          <w:tcPr>
            <w:tcW w:w="1530" w:type="dxa"/>
            <w:vAlign w:val="center"/>
          </w:tcPr>
          <w:p w:rsidR="00F56595" w:rsidRDefault="00F56595">
            <w:pPr>
              <w:jc w:val="right"/>
              <w:rPr>
                <w:sz w:val="20"/>
              </w:rPr>
            </w:pPr>
            <w:r>
              <w:rPr>
                <w:sz w:val="20"/>
              </w:rPr>
              <w:t>-6</w:t>
            </w:r>
          </w:p>
        </w:tc>
        <w:tc>
          <w:tcPr>
            <w:tcW w:w="1890" w:type="dxa"/>
            <w:vAlign w:val="center"/>
          </w:tcPr>
          <w:p w:rsidR="00F56595" w:rsidRDefault="00F56595">
            <w:pPr>
              <w:jc w:val="right"/>
              <w:rPr>
                <w:sz w:val="20"/>
              </w:rPr>
            </w:pPr>
          </w:p>
        </w:tc>
        <w:tc>
          <w:tcPr>
            <w:tcW w:w="1890" w:type="dxa"/>
          </w:tcPr>
          <w:p w:rsidR="00F56595" w:rsidRDefault="00F56595">
            <w:pPr>
              <w:jc w:val="right"/>
              <w:rPr>
                <w:sz w:val="20"/>
              </w:rPr>
            </w:pPr>
          </w:p>
        </w:tc>
      </w:tr>
      <w:tr w:rsidR="00F56595" w:rsidTr="00431903">
        <w:tc>
          <w:tcPr>
            <w:tcW w:w="1644" w:type="dxa"/>
          </w:tcPr>
          <w:p w:rsidR="00F56595" w:rsidRDefault="009C47AE">
            <w:pPr>
              <w:rPr>
                <w:sz w:val="20"/>
              </w:rPr>
            </w:pPr>
            <w:r>
              <w:rPr>
                <w:sz w:val="20"/>
              </w:rPr>
              <w:t xml:space="preserve">Extend Tech </w:t>
            </w:r>
            <w:r w:rsidR="00F56595">
              <w:rPr>
                <w:sz w:val="20"/>
              </w:rPr>
              <w:t>Refresh</w:t>
            </w:r>
          </w:p>
        </w:tc>
        <w:tc>
          <w:tcPr>
            <w:tcW w:w="1344" w:type="dxa"/>
            <w:vAlign w:val="center"/>
          </w:tcPr>
          <w:p w:rsidR="00F56595" w:rsidRDefault="00F56595">
            <w:pPr>
              <w:pStyle w:val="xl19"/>
              <w:spacing w:before="0" w:after="0"/>
              <w:jc w:val="right"/>
              <w:rPr>
                <w:sz w:val="20"/>
                <w:szCs w:val="24"/>
              </w:rPr>
            </w:pPr>
            <w:r>
              <w:rPr>
                <w:sz w:val="20"/>
                <w:szCs w:val="24"/>
              </w:rPr>
              <w:t>LEWC</w:t>
            </w:r>
          </w:p>
        </w:tc>
        <w:tc>
          <w:tcPr>
            <w:tcW w:w="1530" w:type="dxa"/>
            <w:vAlign w:val="center"/>
          </w:tcPr>
          <w:p w:rsidR="00F56595" w:rsidRDefault="00F56595">
            <w:pPr>
              <w:jc w:val="right"/>
              <w:rPr>
                <w:sz w:val="20"/>
              </w:rPr>
            </w:pPr>
          </w:p>
        </w:tc>
        <w:tc>
          <w:tcPr>
            <w:tcW w:w="1530" w:type="dxa"/>
            <w:vAlign w:val="center"/>
          </w:tcPr>
          <w:p w:rsidR="00F56595" w:rsidRDefault="00F56595">
            <w:pPr>
              <w:jc w:val="right"/>
              <w:rPr>
                <w:sz w:val="20"/>
              </w:rPr>
            </w:pPr>
            <w:r>
              <w:rPr>
                <w:sz w:val="20"/>
              </w:rPr>
              <w:t>-11</w:t>
            </w:r>
          </w:p>
        </w:tc>
        <w:tc>
          <w:tcPr>
            <w:tcW w:w="1890" w:type="dxa"/>
            <w:vAlign w:val="center"/>
          </w:tcPr>
          <w:p w:rsidR="00F56595" w:rsidRDefault="00F56595">
            <w:pPr>
              <w:jc w:val="right"/>
              <w:rPr>
                <w:sz w:val="20"/>
              </w:rPr>
            </w:pPr>
          </w:p>
        </w:tc>
        <w:tc>
          <w:tcPr>
            <w:tcW w:w="1890" w:type="dxa"/>
          </w:tcPr>
          <w:p w:rsidR="00F56595" w:rsidRDefault="00F56595">
            <w:pPr>
              <w:jc w:val="right"/>
              <w:rPr>
                <w:sz w:val="20"/>
              </w:rPr>
            </w:pPr>
          </w:p>
        </w:tc>
      </w:tr>
      <w:tr w:rsidR="00220CB8" w:rsidTr="00431903">
        <w:tc>
          <w:tcPr>
            <w:tcW w:w="1644" w:type="dxa"/>
          </w:tcPr>
          <w:p w:rsidR="00220CB8" w:rsidRDefault="009B08D4">
            <w:pPr>
              <w:rPr>
                <w:sz w:val="20"/>
              </w:rPr>
            </w:pPr>
            <w:r>
              <w:rPr>
                <w:sz w:val="20"/>
              </w:rPr>
              <w:t>Development and Operations</w:t>
            </w:r>
          </w:p>
        </w:tc>
        <w:tc>
          <w:tcPr>
            <w:tcW w:w="1344" w:type="dxa"/>
            <w:vAlign w:val="center"/>
          </w:tcPr>
          <w:p w:rsidR="00220CB8" w:rsidRDefault="00220CB8">
            <w:pPr>
              <w:pStyle w:val="xl19"/>
              <w:spacing w:before="0" w:after="0"/>
              <w:jc w:val="right"/>
              <w:rPr>
                <w:sz w:val="20"/>
                <w:szCs w:val="24"/>
              </w:rPr>
            </w:pPr>
            <w:r>
              <w:rPr>
                <w:sz w:val="20"/>
                <w:szCs w:val="24"/>
              </w:rPr>
              <w:t>LEWC</w:t>
            </w:r>
          </w:p>
        </w:tc>
        <w:tc>
          <w:tcPr>
            <w:tcW w:w="1530" w:type="dxa"/>
            <w:vAlign w:val="center"/>
          </w:tcPr>
          <w:p w:rsidR="00220CB8" w:rsidRDefault="00220CB8">
            <w:pPr>
              <w:jc w:val="right"/>
              <w:rPr>
                <w:sz w:val="20"/>
              </w:rPr>
            </w:pPr>
          </w:p>
        </w:tc>
        <w:tc>
          <w:tcPr>
            <w:tcW w:w="1530" w:type="dxa"/>
            <w:vAlign w:val="center"/>
          </w:tcPr>
          <w:p w:rsidR="00220CB8" w:rsidRDefault="00220CB8">
            <w:pPr>
              <w:jc w:val="right"/>
              <w:rPr>
                <w:sz w:val="20"/>
              </w:rPr>
            </w:pPr>
            <w:r>
              <w:rPr>
                <w:sz w:val="20"/>
              </w:rPr>
              <w:t>-105,000</w:t>
            </w:r>
          </w:p>
        </w:tc>
        <w:tc>
          <w:tcPr>
            <w:tcW w:w="1890" w:type="dxa"/>
            <w:vAlign w:val="center"/>
          </w:tcPr>
          <w:p w:rsidR="00220CB8" w:rsidRDefault="00220CB8">
            <w:pPr>
              <w:jc w:val="right"/>
              <w:rPr>
                <w:sz w:val="20"/>
              </w:rPr>
            </w:pPr>
          </w:p>
        </w:tc>
        <w:tc>
          <w:tcPr>
            <w:tcW w:w="1890" w:type="dxa"/>
          </w:tcPr>
          <w:p w:rsidR="00220CB8" w:rsidRDefault="00220CB8">
            <w:pPr>
              <w:jc w:val="right"/>
              <w:rPr>
                <w:sz w:val="20"/>
              </w:rPr>
            </w:pPr>
          </w:p>
        </w:tc>
      </w:tr>
      <w:tr w:rsidR="00F56595" w:rsidTr="00431903">
        <w:tc>
          <w:tcPr>
            <w:tcW w:w="1644" w:type="dxa"/>
          </w:tcPr>
          <w:p w:rsidR="00F56595" w:rsidRDefault="00F56595">
            <w:pPr>
              <w:rPr>
                <w:sz w:val="20"/>
              </w:rPr>
            </w:pPr>
            <w:r>
              <w:rPr>
                <w:sz w:val="20"/>
              </w:rPr>
              <w:t>Total Non-Personnel</w:t>
            </w:r>
          </w:p>
        </w:tc>
        <w:tc>
          <w:tcPr>
            <w:tcW w:w="1344" w:type="dxa"/>
            <w:vAlign w:val="center"/>
          </w:tcPr>
          <w:p w:rsidR="00F56595" w:rsidRDefault="00F56595">
            <w:pPr>
              <w:pStyle w:val="xl19"/>
              <w:spacing w:before="0" w:after="0"/>
              <w:jc w:val="right"/>
              <w:rPr>
                <w:sz w:val="20"/>
                <w:szCs w:val="24"/>
              </w:rPr>
            </w:pPr>
          </w:p>
        </w:tc>
        <w:tc>
          <w:tcPr>
            <w:tcW w:w="1530" w:type="dxa"/>
            <w:vAlign w:val="center"/>
          </w:tcPr>
          <w:p w:rsidR="00F56595" w:rsidRDefault="00F56595">
            <w:pPr>
              <w:jc w:val="right"/>
              <w:rPr>
                <w:sz w:val="20"/>
              </w:rPr>
            </w:pPr>
          </w:p>
        </w:tc>
        <w:tc>
          <w:tcPr>
            <w:tcW w:w="1530" w:type="dxa"/>
            <w:vAlign w:val="center"/>
          </w:tcPr>
          <w:p w:rsidR="00F56595" w:rsidRDefault="00220CB8">
            <w:pPr>
              <w:jc w:val="right"/>
              <w:rPr>
                <w:sz w:val="20"/>
              </w:rPr>
            </w:pPr>
            <w:r>
              <w:rPr>
                <w:sz w:val="20"/>
              </w:rPr>
              <w:t>-105,0</w:t>
            </w:r>
            <w:r w:rsidR="00F56595">
              <w:rPr>
                <w:sz w:val="20"/>
              </w:rPr>
              <w:t>17</w:t>
            </w:r>
          </w:p>
        </w:tc>
        <w:tc>
          <w:tcPr>
            <w:tcW w:w="1890" w:type="dxa"/>
            <w:vAlign w:val="center"/>
          </w:tcPr>
          <w:p w:rsidR="00F56595" w:rsidRDefault="00F56595">
            <w:pPr>
              <w:jc w:val="right"/>
              <w:rPr>
                <w:sz w:val="20"/>
              </w:rPr>
            </w:pPr>
          </w:p>
        </w:tc>
        <w:tc>
          <w:tcPr>
            <w:tcW w:w="1890" w:type="dxa"/>
          </w:tcPr>
          <w:p w:rsidR="00F56595" w:rsidRDefault="00F56595">
            <w:pPr>
              <w:jc w:val="right"/>
              <w:rPr>
                <w:sz w:val="20"/>
              </w:rPr>
            </w:pPr>
          </w:p>
        </w:tc>
      </w:tr>
    </w:tbl>
    <w:p w:rsidR="00F56595" w:rsidRDefault="00F56595">
      <w:pPr>
        <w:rPr>
          <w:sz w:val="20"/>
        </w:rPr>
      </w:pPr>
    </w:p>
    <w:p w:rsidR="00F56595" w:rsidRDefault="00F56595">
      <w:pPr>
        <w:pStyle w:val="xl24"/>
        <w:spacing w:before="0" w:after="0"/>
        <w:rPr>
          <w:szCs w:val="24"/>
        </w:rPr>
      </w:pPr>
      <w:r>
        <w:rPr>
          <w:szCs w:val="24"/>
        </w:rPr>
        <w:t>Total Request for this Item</w:t>
      </w:r>
    </w:p>
    <w:p w:rsidR="00F56595" w:rsidRDefault="00F56595">
      <w:pPr>
        <w:pStyle w:val="xl24"/>
        <w:spacing w:before="0" w:after="0"/>
        <w:rPr>
          <w:szCs w:val="24"/>
        </w:rPr>
      </w:pPr>
    </w:p>
    <w:tbl>
      <w:tblPr>
        <w:tblW w:w="0" w:type="auto"/>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8"/>
        <w:gridCol w:w="506"/>
        <w:gridCol w:w="928"/>
        <w:gridCol w:w="572"/>
        <w:gridCol w:w="1005"/>
        <w:gridCol w:w="1145"/>
        <w:gridCol w:w="1022"/>
        <w:gridCol w:w="1776"/>
        <w:gridCol w:w="1909"/>
      </w:tblGrid>
      <w:tr w:rsidR="00F56595" w:rsidTr="00220CB8">
        <w:trPr>
          <w:trHeight w:val="658"/>
          <w:jc w:val="center"/>
        </w:trPr>
        <w:tc>
          <w:tcPr>
            <w:tcW w:w="0" w:type="auto"/>
            <w:shd w:val="clear" w:color="auto" w:fill="E6E6E6"/>
          </w:tcPr>
          <w:p w:rsidR="00F56595" w:rsidRDefault="00F56595" w:rsidP="009842DA">
            <w:pPr>
              <w:rPr>
                <w:sz w:val="20"/>
              </w:rPr>
            </w:pPr>
          </w:p>
        </w:tc>
        <w:tc>
          <w:tcPr>
            <w:tcW w:w="0" w:type="auto"/>
            <w:vAlign w:val="center"/>
          </w:tcPr>
          <w:p w:rsidR="00F56595" w:rsidRDefault="00F56595" w:rsidP="009842DA">
            <w:pPr>
              <w:jc w:val="center"/>
              <w:rPr>
                <w:sz w:val="20"/>
              </w:rPr>
            </w:pPr>
            <w:r>
              <w:rPr>
                <w:sz w:val="20"/>
              </w:rPr>
              <w:t>Pos</w:t>
            </w:r>
          </w:p>
        </w:tc>
        <w:tc>
          <w:tcPr>
            <w:tcW w:w="0" w:type="auto"/>
            <w:vAlign w:val="center"/>
          </w:tcPr>
          <w:p w:rsidR="00F56595" w:rsidRDefault="00F56595" w:rsidP="009842DA">
            <w:pPr>
              <w:jc w:val="center"/>
              <w:rPr>
                <w:sz w:val="20"/>
              </w:rPr>
            </w:pPr>
          </w:p>
          <w:p w:rsidR="00F56595" w:rsidRDefault="00F56595" w:rsidP="009842DA">
            <w:pPr>
              <w:jc w:val="center"/>
              <w:rPr>
                <w:sz w:val="20"/>
              </w:rPr>
            </w:pPr>
            <w:r>
              <w:rPr>
                <w:sz w:val="20"/>
              </w:rPr>
              <w:t>Agt/Atty</w:t>
            </w:r>
          </w:p>
          <w:p w:rsidR="00F56595" w:rsidRDefault="00F56595" w:rsidP="009842DA">
            <w:pPr>
              <w:jc w:val="center"/>
              <w:rPr>
                <w:sz w:val="20"/>
              </w:rPr>
            </w:pPr>
          </w:p>
        </w:tc>
        <w:tc>
          <w:tcPr>
            <w:tcW w:w="0" w:type="auto"/>
            <w:vAlign w:val="center"/>
          </w:tcPr>
          <w:p w:rsidR="00F56595" w:rsidRDefault="00F56595" w:rsidP="009842DA">
            <w:pPr>
              <w:jc w:val="center"/>
              <w:rPr>
                <w:sz w:val="20"/>
              </w:rPr>
            </w:pPr>
            <w:r>
              <w:rPr>
                <w:sz w:val="20"/>
              </w:rPr>
              <w:t>FTE</w:t>
            </w:r>
          </w:p>
        </w:tc>
        <w:tc>
          <w:tcPr>
            <w:tcW w:w="0" w:type="auto"/>
            <w:vAlign w:val="center"/>
          </w:tcPr>
          <w:p w:rsidR="00F56595" w:rsidRDefault="00F56595" w:rsidP="009842DA">
            <w:pPr>
              <w:jc w:val="center"/>
              <w:rPr>
                <w:sz w:val="20"/>
              </w:rPr>
            </w:pPr>
            <w:r>
              <w:rPr>
                <w:sz w:val="20"/>
              </w:rPr>
              <w:t>Personnel</w:t>
            </w:r>
          </w:p>
          <w:p w:rsidR="00F56595" w:rsidRDefault="00F56595" w:rsidP="009842DA">
            <w:pPr>
              <w:jc w:val="center"/>
              <w:rPr>
                <w:sz w:val="20"/>
              </w:rPr>
            </w:pPr>
            <w:r>
              <w:rPr>
                <w:sz w:val="20"/>
              </w:rPr>
              <w:t>($000)</w:t>
            </w:r>
          </w:p>
        </w:tc>
        <w:tc>
          <w:tcPr>
            <w:tcW w:w="0" w:type="auto"/>
            <w:vAlign w:val="center"/>
          </w:tcPr>
          <w:p w:rsidR="00F56595" w:rsidRDefault="00F56595" w:rsidP="009842DA">
            <w:pPr>
              <w:jc w:val="center"/>
              <w:rPr>
                <w:sz w:val="20"/>
              </w:rPr>
            </w:pPr>
            <w:r>
              <w:rPr>
                <w:sz w:val="20"/>
              </w:rPr>
              <w:t>Non-Personnel</w:t>
            </w:r>
          </w:p>
          <w:p w:rsidR="00F56595" w:rsidRDefault="00F56595" w:rsidP="009842DA">
            <w:pPr>
              <w:jc w:val="center"/>
              <w:rPr>
                <w:sz w:val="20"/>
              </w:rPr>
            </w:pPr>
            <w:r>
              <w:rPr>
                <w:sz w:val="20"/>
              </w:rPr>
              <w:t>($000)</w:t>
            </w:r>
          </w:p>
        </w:tc>
        <w:tc>
          <w:tcPr>
            <w:tcW w:w="1022" w:type="dxa"/>
            <w:vAlign w:val="center"/>
          </w:tcPr>
          <w:p w:rsidR="00F56595" w:rsidRDefault="00F56595" w:rsidP="00436958">
            <w:pPr>
              <w:jc w:val="center"/>
              <w:rPr>
                <w:sz w:val="20"/>
              </w:rPr>
            </w:pPr>
            <w:r>
              <w:rPr>
                <w:sz w:val="20"/>
              </w:rPr>
              <w:t>Total</w:t>
            </w:r>
          </w:p>
          <w:p w:rsidR="00F56595" w:rsidRDefault="00F56595" w:rsidP="00436958">
            <w:pPr>
              <w:jc w:val="center"/>
              <w:rPr>
                <w:sz w:val="20"/>
              </w:rPr>
            </w:pPr>
            <w:r>
              <w:rPr>
                <w:sz w:val="20"/>
              </w:rPr>
              <w:t>($000)</w:t>
            </w:r>
          </w:p>
        </w:tc>
        <w:tc>
          <w:tcPr>
            <w:tcW w:w="1776" w:type="dxa"/>
            <w:vAlign w:val="center"/>
          </w:tcPr>
          <w:p w:rsidR="00F56595" w:rsidRDefault="00F56595" w:rsidP="00F5377D">
            <w:pPr>
              <w:jc w:val="center"/>
              <w:rPr>
                <w:sz w:val="20"/>
              </w:rPr>
            </w:pPr>
            <w:r>
              <w:rPr>
                <w:sz w:val="20"/>
              </w:rPr>
              <w:t>FY 2013 Net</w:t>
            </w:r>
          </w:p>
          <w:p w:rsidR="00F56595" w:rsidRDefault="00F56595" w:rsidP="00F5377D">
            <w:pPr>
              <w:jc w:val="center"/>
              <w:rPr>
                <w:sz w:val="20"/>
              </w:rPr>
            </w:pPr>
            <w:r>
              <w:rPr>
                <w:sz w:val="20"/>
              </w:rPr>
              <w:t>Annualization (change from 2012)</w:t>
            </w:r>
          </w:p>
          <w:p w:rsidR="00F56595" w:rsidRDefault="00F56595" w:rsidP="009842DA">
            <w:pPr>
              <w:jc w:val="center"/>
              <w:rPr>
                <w:sz w:val="20"/>
              </w:rPr>
            </w:pPr>
            <w:r>
              <w:rPr>
                <w:sz w:val="20"/>
              </w:rPr>
              <w:t>($000)</w:t>
            </w:r>
          </w:p>
        </w:tc>
        <w:tc>
          <w:tcPr>
            <w:tcW w:w="0" w:type="auto"/>
          </w:tcPr>
          <w:p w:rsidR="00F56595" w:rsidRDefault="00F56595" w:rsidP="00431903">
            <w:pPr>
              <w:jc w:val="center"/>
              <w:rPr>
                <w:sz w:val="20"/>
              </w:rPr>
            </w:pPr>
            <w:r>
              <w:rPr>
                <w:sz w:val="20"/>
              </w:rPr>
              <w:t>FY 2014 Net</w:t>
            </w:r>
          </w:p>
          <w:p w:rsidR="00F56595" w:rsidRDefault="00F56595" w:rsidP="00431903">
            <w:pPr>
              <w:jc w:val="center"/>
              <w:rPr>
                <w:sz w:val="20"/>
              </w:rPr>
            </w:pPr>
            <w:r>
              <w:rPr>
                <w:sz w:val="20"/>
              </w:rPr>
              <w:t>Annualization (change from 2013)</w:t>
            </w:r>
          </w:p>
          <w:p w:rsidR="00F56595" w:rsidRDefault="00F56595" w:rsidP="00431903">
            <w:pPr>
              <w:jc w:val="center"/>
              <w:rPr>
                <w:sz w:val="20"/>
              </w:rPr>
            </w:pPr>
            <w:r>
              <w:rPr>
                <w:sz w:val="20"/>
              </w:rPr>
              <w:t>($000)</w:t>
            </w:r>
          </w:p>
        </w:tc>
      </w:tr>
      <w:tr w:rsidR="00F56595" w:rsidTr="00220CB8">
        <w:trPr>
          <w:trHeight w:val="215"/>
          <w:jc w:val="center"/>
        </w:trPr>
        <w:tc>
          <w:tcPr>
            <w:tcW w:w="0" w:type="auto"/>
          </w:tcPr>
          <w:p w:rsidR="00F56595" w:rsidRDefault="00F56595" w:rsidP="009842DA">
            <w:pPr>
              <w:rPr>
                <w:sz w:val="20"/>
              </w:rPr>
            </w:pPr>
            <w:r>
              <w:rPr>
                <w:sz w:val="20"/>
              </w:rPr>
              <w:t>Current Services</w:t>
            </w:r>
          </w:p>
        </w:tc>
        <w:tc>
          <w:tcPr>
            <w:tcW w:w="0" w:type="auto"/>
            <w:vAlign w:val="center"/>
          </w:tcPr>
          <w:p w:rsidR="00F56595" w:rsidRDefault="00F56595" w:rsidP="009842DA">
            <w:pPr>
              <w:jc w:val="right"/>
              <w:rPr>
                <w:sz w:val="20"/>
              </w:rPr>
            </w:pPr>
            <w:r>
              <w:rPr>
                <w:sz w:val="20"/>
              </w:rPr>
              <w:t>35</w:t>
            </w:r>
          </w:p>
        </w:tc>
        <w:tc>
          <w:tcPr>
            <w:tcW w:w="0" w:type="auto"/>
            <w:vAlign w:val="center"/>
          </w:tcPr>
          <w:p w:rsidR="00F56595" w:rsidRDefault="00F56595" w:rsidP="00B459BF">
            <w:pPr>
              <w:jc w:val="center"/>
              <w:rPr>
                <w:sz w:val="20"/>
              </w:rPr>
            </w:pPr>
            <w:r>
              <w:rPr>
                <w:sz w:val="20"/>
              </w:rPr>
              <w:t>1</w:t>
            </w:r>
          </w:p>
        </w:tc>
        <w:tc>
          <w:tcPr>
            <w:tcW w:w="0" w:type="auto"/>
            <w:vAlign w:val="center"/>
          </w:tcPr>
          <w:p w:rsidR="00F56595" w:rsidRDefault="00F56595" w:rsidP="009842DA">
            <w:pPr>
              <w:jc w:val="right"/>
              <w:rPr>
                <w:sz w:val="20"/>
              </w:rPr>
            </w:pPr>
            <w:r>
              <w:rPr>
                <w:sz w:val="20"/>
              </w:rPr>
              <w:t>35</w:t>
            </w:r>
          </w:p>
        </w:tc>
        <w:tc>
          <w:tcPr>
            <w:tcW w:w="0" w:type="auto"/>
            <w:vAlign w:val="center"/>
          </w:tcPr>
          <w:p w:rsidR="00F56595" w:rsidRDefault="00F56595" w:rsidP="00220CB8">
            <w:pPr>
              <w:jc w:val="right"/>
              <w:rPr>
                <w:sz w:val="20"/>
              </w:rPr>
            </w:pPr>
            <w:r>
              <w:rPr>
                <w:sz w:val="20"/>
              </w:rPr>
              <w:t>5,9</w:t>
            </w:r>
            <w:r w:rsidR="00220CB8">
              <w:rPr>
                <w:sz w:val="20"/>
              </w:rPr>
              <w:t>16</w:t>
            </w:r>
          </w:p>
        </w:tc>
        <w:tc>
          <w:tcPr>
            <w:tcW w:w="0" w:type="auto"/>
            <w:vAlign w:val="center"/>
          </w:tcPr>
          <w:p w:rsidR="00F56595" w:rsidRDefault="00F56595" w:rsidP="00220CB8">
            <w:pPr>
              <w:jc w:val="right"/>
              <w:rPr>
                <w:sz w:val="20"/>
              </w:rPr>
            </w:pPr>
            <w:r>
              <w:rPr>
                <w:sz w:val="20"/>
              </w:rPr>
              <w:t>201,8</w:t>
            </w:r>
            <w:r w:rsidR="00220CB8">
              <w:rPr>
                <w:sz w:val="20"/>
              </w:rPr>
              <w:t>52</w:t>
            </w:r>
          </w:p>
        </w:tc>
        <w:tc>
          <w:tcPr>
            <w:tcW w:w="1022" w:type="dxa"/>
            <w:vAlign w:val="center"/>
          </w:tcPr>
          <w:p w:rsidR="00F56595" w:rsidRDefault="00F56595" w:rsidP="00220CB8">
            <w:pPr>
              <w:jc w:val="center"/>
              <w:rPr>
                <w:sz w:val="20"/>
              </w:rPr>
            </w:pPr>
            <w:r>
              <w:rPr>
                <w:sz w:val="20"/>
              </w:rPr>
              <w:t>207,</w:t>
            </w:r>
            <w:r w:rsidR="00220CB8">
              <w:rPr>
                <w:sz w:val="20"/>
              </w:rPr>
              <w:t>768</w:t>
            </w:r>
          </w:p>
        </w:tc>
        <w:tc>
          <w:tcPr>
            <w:tcW w:w="1776" w:type="dxa"/>
            <w:vAlign w:val="center"/>
          </w:tcPr>
          <w:p w:rsidR="00F56595" w:rsidRDefault="00F56595" w:rsidP="009842DA">
            <w:pPr>
              <w:jc w:val="right"/>
              <w:rPr>
                <w:sz w:val="20"/>
              </w:rPr>
            </w:pPr>
          </w:p>
        </w:tc>
        <w:tc>
          <w:tcPr>
            <w:tcW w:w="0" w:type="auto"/>
          </w:tcPr>
          <w:p w:rsidR="00F56595" w:rsidRDefault="00F56595" w:rsidP="009842DA">
            <w:pPr>
              <w:jc w:val="right"/>
              <w:rPr>
                <w:sz w:val="20"/>
              </w:rPr>
            </w:pPr>
          </w:p>
        </w:tc>
      </w:tr>
      <w:tr w:rsidR="00F56595" w:rsidTr="00220CB8">
        <w:trPr>
          <w:trHeight w:val="215"/>
          <w:jc w:val="center"/>
        </w:trPr>
        <w:tc>
          <w:tcPr>
            <w:tcW w:w="0" w:type="auto"/>
          </w:tcPr>
          <w:p w:rsidR="00F56595" w:rsidRDefault="00F56595" w:rsidP="009842DA">
            <w:pPr>
              <w:rPr>
                <w:sz w:val="20"/>
              </w:rPr>
            </w:pPr>
            <w:r>
              <w:rPr>
                <w:sz w:val="20"/>
              </w:rPr>
              <w:t>Decreases</w:t>
            </w:r>
          </w:p>
        </w:tc>
        <w:tc>
          <w:tcPr>
            <w:tcW w:w="0" w:type="auto"/>
            <w:vAlign w:val="center"/>
          </w:tcPr>
          <w:p w:rsidR="00F56595" w:rsidRDefault="00F56595" w:rsidP="009842DA">
            <w:pPr>
              <w:jc w:val="right"/>
              <w:rPr>
                <w:sz w:val="20"/>
              </w:rPr>
            </w:pPr>
            <w:r>
              <w:rPr>
                <w:sz w:val="20"/>
              </w:rPr>
              <w:t>0</w:t>
            </w:r>
          </w:p>
        </w:tc>
        <w:tc>
          <w:tcPr>
            <w:tcW w:w="0" w:type="auto"/>
          </w:tcPr>
          <w:p w:rsidR="00F56595" w:rsidRDefault="00F56595" w:rsidP="00B459BF">
            <w:pPr>
              <w:jc w:val="center"/>
              <w:rPr>
                <w:sz w:val="20"/>
              </w:rPr>
            </w:pPr>
            <w:r>
              <w:rPr>
                <w:sz w:val="20"/>
              </w:rPr>
              <w:t>0</w:t>
            </w:r>
          </w:p>
        </w:tc>
        <w:tc>
          <w:tcPr>
            <w:tcW w:w="0" w:type="auto"/>
            <w:vAlign w:val="center"/>
          </w:tcPr>
          <w:p w:rsidR="00F56595" w:rsidRDefault="00F56595" w:rsidP="009842DA">
            <w:pPr>
              <w:jc w:val="right"/>
              <w:rPr>
                <w:sz w:val="20"/>
              </w:rPr>
            </w:pPr>
            <w:r>
              <w:rPr>
                <w:sz w:val="20"/>
              </w:rPr>
              <w:t>0</w:t>
            </w:r>
          </w:p>
        </w:tc>
        <w:tc>
          <w:tcPr>
            <w:tcW w:w="0" w:type="auto"/>
            <w:vAlign w:val="center"/>
          </w:tcPr>
          <w:p w:rsidR="00F56595" w:rsidRDefault="00F56595" w:rsidP="009842DA">
            <w:pPr>
              <w:jc w:val="right"/>
              <w:rPr>
                <w:sz w:val="20"/>
              </w:rPr>
            </w:pPr>
            <w:r>
              <w:rPr>
                <w:sz w:val="20"/>
              </w:rPr>
              <w:t>0</w:t>
            </w:r>
          </w:p>
        </w:tc>
        <w:tc>
          <w:tcPr>
            <w:tcW w:w="0" w:type="auto"/>
            <w:vAlign w:val="center"/>
          </w:tcPr>
          <w:p w:rsidR="00F56595" w:rsidRDefault="00F56595" w:rsidP="009842DA">
            <w:pPr>
              <w:jc w:val="right"/>
              <w:rPr>
                <w:sz w:val="20"/>
              </w:rPr>
            </w:pPr>
            <w:r>
              <w:rPr>
                <w:sz w:val="20"/>
              </w:rPr>
              <w:t>-</w:t>
            </w:r>
            <w:r w:rsidR="00220CB8">
              <w:rPr>
                <w:sz w:val="20"/>
              </w:rPr>
              <w:t>105,0</w:t>
            </w:r>
            <w:r>
              <w:rPr>
                <w:sz w:val="20"/>
              </w:rPr>
              <w:t>17</w:t>
            </w:r>
          </w:p>
        </w:tc>
        <w:tc>
          <w:tcPr>
            <w:tcW w:w="1022" w:type="dxa"/>
          </w:tcPr>
          <w:p w:rsidR="00F56595" w:rsidRDefault="00F56595" w:rsidP="009842DA">
            <w:pPr>
              <w:jc w:val="right"/>
              <w:rPr>
                <w:sz w:val="20"/>
              </w:rPr>
            </w:pPr>
            <w:r>
              <w:rPr>
                <w:sz w:val="20"/>
              </w:rPr>
              <w:t>-</w:t>
            </w:r>
            <w:r w:rsidR="00220CB8">
              <w:rPr>
                <w:sz w:val="20"/>
              </w:rPr>
              <w:t>105,0</w:t>
            </w:r>
            <w:r>
              <w:rPr>
                <w:sz w:val="20"/>
              </w:rPr>
              <w:t>17</w:t>
            </w:r>
          </w:p>
        </w:tc>
        <w:tc>
          <w:tcPr>
            <w:tcW w:w="1776" w:type="dxa"/>
            <w:vAlign w:val="center"/>
          </w:tcPr>
          <w:p w:rsidR="00F56595" w:rsidRDefault="00F56595" w:rsidP="009842DA">
            <w:pPr>
              <w:jc w:val="right"/>
              <w:rPr>
                <w:sz w:val="20"/>
              </w:rPr>
            </w:pPr>
          </w:p>
        </w:tc>
        <w:tc>
          <w:tcPr>
            <w:tcW w:w="0" w:type="auto"/>
          </w:tcPr>
          <w:p w:rsidR="00F56595" w:rsidRDefault="00F56595" w:rsidP="009842DA">
            <w:pPr>
              <w:jc w:val="right"/>
              <w:rPr>
                <w:sz w:val="20"/>
              </w:rPr>
            </w:pPr>
          </w:p>
        </w:tc>
      </w:tr>
      <w:tr w:rsidR="00F56595" w:rsidTr="00220CB8">
        <w:trPr>
          <w:trHeight w:val="215"/>
          <w:jc w:val="center"/>
        </w:trPr>
        <w:tc>
          <w:tcPr>
            <w:tcW w:w="0" w:type="auto"/>
          </w:tcPr>
          <w:p w:rsidR="00F56595" w:rsidRDefault="00F56595" w:rsidP="009842DA">
            <w:pPr>
              <w:rPr>
                <w:sz w:val="20"/>
              </w:rPr>
            </w:pPr>
            <w:r>
              <w:rPr>
                <w:sz w:val="20"/>
              </w:rPr>
              <w:t>Grand Total</w:t>
            </w:r>
          </w:p>
        </w:tc>
        <w:tc>
          <w:tcPr>
            <w:tcW w:w="0" w:type="auto"/>
            <w:vAlign w:val="center"/>
          </w:tcPr>
          <w:p w:rsidR="00F56595" w:rsidRDefault="00F56595" w:rsidP="009842DA">
            <w:pPr>
              <w:jc w:val="right"/>
              <w:rPr>
                <w:sz w:val="20"/>
              </w:rPr>
            </w:pPr>
            <w:r>
              <w:rPr>
                <w:sz w:val="20"/>
              </w:rPr>
              <w:t>35</w:t>
            </w:r>
          </w:p>
        </w:tc>
        <w:tc>
          <w:tcPr>
            <w:tcW w:w="0" w:type="auto"/>
          </w:tcPr>
          <w:p w:rsidR="00F56595" w:rsidRDefault="00F56595" w:rsidP="00B459BF">
            <w:pPr>
              <w:jc w:val="center"/>
              <w:rPr>
                <w:sz w:val="20"/>
              </w:rPr>
            </w:pPr>
            <w:r>
              <w:rPr>
                <w:sz w:val="20"/>
              </w:rPr>
              <w:t>1</w:t>
            </w:r>
          </w:p>
        </w:tc>
        <w:tc>
          <w:tcPr>
            <w:tcW w:w="0" w:type="auto"/>
            <w:vAlign w:val="center"/>
          </w:tcPr>
          <w:p w:rsidR="00F56595" w:rsidRDefault="00F56595" w:rsidP="009842DA">
            <w:pPr>
              <w:jc w:val="right"/>
              <w:rPr>
                <w:sz w:val="20"/>
              </w:rPr>
            </w:pPr>
            <w:r>
              <w:rPr>
                <w:sz w:val="20"/>
              </w:rPr>
              <w:t>35</w:t>
            </w:r>
          </w:p>
        </w:tc>
        <w:tc>
          <w:tcPr>
            <w:tcW w:w="0" w:type="auto"/>
            <w:vAlign w:val="center"/>
          </w:tcPr>
          <w:p w:rsidR="00F56595" w:rsidRDefault="00F56595" w:rsidP="00220CB8">
            <w:pPr>
              <w:jc w:val="right"/>
              <w:rPr>
                <w:sz w:val="20"/>
              </w:rPr>
            </w:pPr>
            <w:r>
              <w:rPr>
                <w:sz w:val="20"/>
              </w:rPr>
              <w:t>5,9</w:t>
            </w:r>
            <w:r w:rsidR="00220CB8">
              <w:rPr>
                <w:sz w:val="20"/>
              </w:rPr>
              <w:t>16</w:t>
            </w:r>
          </w:p>
        </w:tc>
        <w:tc>
          <w:tcPr>
            <w:tcW w:w="0" w:type="auto"/>
            <w:vAlign w:val="center"/>
          </w:tcPr>
          <w:p w:rsidR="00F56595" w:rsidRDefault="00220CB8" w:rsidP="009842DA">
            <w:pPr>
              <w:jc w:val="right"/>
              <w:rPr>
                <w:sz w:val="20"/>
              </w:rPr>
            </w:pPr>
            <w:r>
              <w:rPr>
                <w:sz w:val="20"/>
              </w:rPr>
              <w:t>96,835</w:t>
            </w:r>
          </w:p>
        </w:tc>
        <w:tc>
          <w:tcPr>
            <w:tcW w:w="1022" w:type="dxa"/>
          </w:tcPr>
          <w:p w:rsidR="00F56595" w:rsidRDefault="00220CB8" w:rsidP="009842DA">
            <w:pPr>
              <w:jc w:val="right"/>
              <w:rPr>
                <w:sz w:val="20"/>
              </w:rPr>
            </w:pPr>
            <w:r>
              <w:rPr>
                <w:sz w:val="20"/>
              </w:rPr>
              <w:t>102,751</w:t>
            </w:r>
          </w:p>
        </w:tc>
        <w:tc>
          <w:tcPr>
            <w:tcW w:w="1776" w:type="dxa"/>
            <w:vAlign w:val="center"/>
          </w:tcPr>
          <w:p w:rsidR="00F56595" w:rsidRDefault="00F56595" w:rsidP="009842DA">
            <w:pPr>
              <w:jc w:val="right"/>
              <w:rPr>
                <w:sz w:val="20"/>
              </w:rPr>
            </w:pPr>
          </w:p>
        </w:tc>
        <w:tc>
          <w:tcPr>
            <w:tcW w:w="0" w:type="auto"/>
          </w:tcPr>
          <w:p w:rsidR="00F56595" w:rsidRDefault="00F56595" w:rsidP="009842DA">
            <w:pPr>
              <w:jc w:val="right"/>
              <w:rPr>
                <w:sz w:val="20"/>
              </w:rPr>
            </w:pPr>
          </w:p>
        </w:tc>
      </w:tr>
    </w:tbl>
    <w:p w:rsidR="00F56595" w:rsidRDefault="00F56595">
      <w:pPr>
        <w:pStyle w:val="Footer"/>
        <w:tabs>
          <w:tab w:val="clear" w:pos="8640"/>
          <w:tab w:val="left" w:leader="dot" w:pos="4320"/>
        </w:tabs>
        <w:jc w:val="center"/>
        <w:rPr>
          <w:rFonts w:ascii="Times New Roman" w:hAnsi="Times New Roman"/>
          <w:b/>
          <w:sz w:val="36"/>
        </w:rPr>
      </w:pPr>
    </w:p>
    <w:p w:rsidR="00F56595" w:rsidRDefault="00F56595">
      <w:pPr>
        <w:pStyle w:val="Footer"/>
        <w:tabs>
          <w:tab w:val="clear" w:pos="8640"/>
          <w:tab w:val="left" w:leader="dot" w:pos="4320"/>
        </w:tabs>
        <w:jc w:val="center"/>
        <w:rPr>
          <w:rFonts w:ascii="Times New Roman" w:hAnsi="Times New Roman"/>
          <w:b/>
          <w:sz w:val="36"/>
        </w:rPr>
      </w:pPr>
    </w:p>
    <w:p w:rsidR="00F56595" w:rsidRDefault="00F56595" w:rsidP="00E43151">
      <w:pPr>
        <w:pStyle w:val="Footer"/>
        <w:tabs>
          <w:tab w:val="clear" w:pos="8640"/>
          <w:tab w:val="left" w:leader="dot" w:pos="4320"/>
        </w:tabs>
        <w:rPr>
          <w:rFonts w:ascii="Times New Roman" w:hAnsi="Times New Roman"/>
          <w:b/>
          <w:sz w:val="36"/>
        </w:rPr>
      </w:pPr>
    </w:p>
    <w:p w:rsidR="00F56595" w:rsidRDefault="00F56595" w:rsidP="00E43151">
      <w:pPr>
        <w:pStyle w:val="Footer"/>
        <w:tabs>
          <w:tab w:val="clear" w:pos="8640"/>
          <w:tab w:val="left" w:leader="dot" w:pos="4320"/>
        </w:tabs>
        <w:rPr>
          <w:rFonts w:ascii="Times New Roman" w:hAnsi="Times New Roman"/>
          <w:b/>
          <w:sz w:val="36"/>
        </w:rPr>
      </w:pPr>
    </w:p>
    <w:p w:rsidR="00F56595" w:rsidRDefault="00F56595" w:rsidP="00E43151">
      <w:pPr>
        <w:pStyle w:val="Footer"/>
        <w:tabs>
          <w:tab w:val="clear" w:pos="8640"/>
          <w:tab w:val="left" w:leader="dot" w:pos="4320"/>
        </w:tabs>
        <w:rPr>
          <w:rFonts w:ascii="Times New Roman" w:hAnsi="Times New Roman"/>
          <w:b/>
          <w:sz w:val="36"/>
        </w:rPr>
      </w:pPr>
      <w:r>
        <w:rPr>
          <w:rFonts w:ascii="Times New Roman" w:hAnsi="Times New Roman"/>
          <w:b/>
          <w:sz w:val="36"/>
        </w:rPr>
        <w:br w:type="page"/>
      </w:r>
    </w:p>
    <w:p w:rsidR="0026189D" w:rsidRDefault="005478B2" w:rsidP="0026189D">
      <w:pPr>
        <w:pStyle w:val="Footer"/>
        <w:tabs>
          <w:tab w:val="clear" w:pos="8640"/>
          <w:tab w:val="left" w:leader="dot" w:pos="4320"/>
        </w:tabs>
        <w:ind w:left="360"/>
        <w:rPr>
          <w:rFonts w:ascii="Times New Roman" w:hAnsi="Times New Roman"/>
          <w:b/>
          <w:sz w:val="28"/>
          <w:szCs w:val="28"/>
        </w:rPr>
      </w:pPr>
      <w:r>
        <w:rPr>
          <w:rFonts w:ascii="Times New Roman" w:hAnsi="Times New Roman"/>
          <w:b/>
          <w:sz w:val="28"/>
          <w:szCs w:val="28"/>
        </w:rPr>
        <w:lastRenderedPageBreak/>
        <w:t xml:space="preserve">VI. </w:t>
      </w:r>
      <w:r w:rsidR="00F56595" w:rsidRPr="00E43151">
        <w:rPr>
          <w:rFonts w:ascii="Times New Roman" w:hAnsi="Times New Roman"/>
          <w:b/>
          <w:sz w:val="28"/>
          <w:szCs w:val="28"/>
        </w:rPr>
        <w:t>EXHIBITS</w:t>
      </w:r>
    </w:p>
    <w:p w:rsidR="00F56595" w:rsidRPr="00E43151" w:rsidRDefault="00F56595" w:rsidP="00D474A5">
      <w:pPr>
        <w:pStyle w:val="Footer"/>
        <w:tabs>
          <w:tab w:val="clear" w:pos="8640"/>
          <w:tab w:val="left" w:leader="dot" w:pos="4320"/>
        </w:tabs>
        <w:ind w:left="360"/>
        <w:rPr>
          <w:rFonts w:ascii="Times New Roman" w:hAnsi="Times New Roman"/>
          <w:b/>
          <w:sz w:val="28"/>
          <w:szCs w:val="28"/>
        </w:rPr>
      </w:pPr>
    </w:p>
    <w:p w:rsidR="00F56595" w:rsidRDefault="00F56595" w:rsidP="00D474A5">
      <w:pPr>
        <w:numPr>
          <w:ilvl w:val="0"/>
          <w:numId w:val="27"/>
        </w:numPr>
        <w:tabs>
          <w:tab w:val="left" w:leader="dot" w:pos="7920"/>
          <w:tab w:val="right" w:pos="8640"/>
        </w:tabs>
        <w:outlineLvl w:val="0"/>
        <w:rPr>
          <w:bCs/>
        </w:rPr>
      </w:pPr>
      <w:r>
        <w:t>Organizational Chart</w:t>
      </w:r>
    </w:p>
    <w:p w:rsidR="00F56595" w:rsidRDefault="00F56595" w:rsidP="00D474A5">
      <w:pPr>
        <w:pStyle w:val="xl19"/>
        <w:tabs>
          <w:tab w:val="left" w:leader="dot" w:pos="7920"/>
          <w:tab w:val="right" w:pos="8640"/>
        </w:tabs>
        <w:spacing w:before="0" w:after="0"/>
        <w:ind w:left="360"/>
        <w:rPr>
          <w:bCs/>
        </w:rPr>
      </w:pPr>
      <w:r>
        <w:rPr>
          <w:bCs/>
        </w:rPr>
        <w:t xml:space="preserve">B.  Summary of Requirements </w:t>
      </w:r>
    </w:p>
    <w:p w:rsidR="00F56595" w:rsidRDefault="00F56595" w:rsidP="00D474A5">
      <w:pPr>
        <w:tabs>
          <w:tab w:val="left" w:leader="dot" w:pos="7920"/>
          <w:tab w:val="right" w:pos="8640"/>
        </w:tabs>
        <w:ind w:left="360"/>
        <w:rPr>
          <w:bCs/>
        </w:rPr>
      </w:pPr>
      <w:r>
        <w:rPr>
          <w:bCs/>
        </w:rPr>
        <w:t xml:space="preserve">C.  Program Increases by Decision Unit </w:t>
      </w:r>
    </w:p>
    <w:p w:rsidR="00F56595" w:rsidRPr="004B775C" w:rsidRDefault="00F56595" w:rsidP="00D474A5">
      <w:pPr>
        <w:numPr>
          <w:ilvl w:val="0"/>
          <w:numId w:val="29"/>
        </w:numPr>
        <w:tabs>
          <w:tab w:val="left" w:leader="dot" w:pos="7920"/>
          <w:tab w:val="right" w:pos="8640"/>
        </w:tabs>
        <w:rPr>
          <w:bCs/>
        </w:rPr>
      </w:pPr>
      <w:r w:rsidRPr="004B775C">
        <w:rPr>
          <w:bCs/>
        </w:rPr>
        <w:t xml:space="preserve">Resources by DOJ Strategic Goal/Objective </w:t>
      </w:r>
    </w:p>
    <w:p w:rsidR="00F56595" w:rsidRDefault="00F56595" w:rsidP="00D474A5">
      <w:pPr>
        <w:numPr>
          <w:ilvl w:val="0"/>
          <w:numId w:val="29"/>
        </w:numPr>
        <w:tabs>
          <w:tab w:val="left" w:leader="dot" w:pos="7920"/>
          <w:tab w:val="right" w:pos="8640"/>
        </w:tabs>
        <w:rPr>
          <w:bCs/>
        </w:rPr>
      </w:pPr>
      <w:r w:rsidRPr="004B775C">
        <w:rPr>
          <w:bCs/>
        </w:rPr>
        <w:t>Justification for Base Adjustments</w:t>
      </w:r>
    </w:p>
    <w:p w:rsidR="00F56595" w:rsidRDefault="00F56595" w:rsidP="00D474A5">
      <w:pPr>
        <w:numPr>
          <w:ilvl w:val="0"/>
          <w:numId w:val="29"/>
        </w:numPr>
        <w:tabs>
          <w:tab w:val="left" w:leader="dot" w:pos="7920"/>
          <w:tab w:val="right" w:pos="8640"/>
        </w:tabs>
        <w:rPr>
          <w:bCs/>
        </w:rPr>
      </w:pPr>
      <w:r>
        <w:rPr>
          <w:bCs/>
        </w:rPr>
        <w:t>Crosswalk of 2010 Availability</w:t>
      </w:r>
    </w:p>
    <w:p w:rsidR="00F56595" w:rsidRPr="00D14978" w:rsidRDefault="00F56595" w:rsidP="00D474A5">
      <w:pPr>
        <w:numPr>
          <w:ilvl w:val="0"/>
          <w:numId w:val="29"/>
        </w:numPr>
        <w:tabs>
          <w:tab w:val="left" w:leader="dot" w:pos="7920"/>
          <w:tab w:val="right" w:pos="8640"/>
        </w:tabs>
        <w:rPr>
          <w:bCs/>
          <w:i/>
        </w:rPr>
      </w:pPr>
      <w:r w:rsidRPr="00792186">
        <w:rPr>
          <w:bCs/>
        </w:rPr>
        <w:t>Crosswalk of 2011 Availability</w:t>
      </w:r>
      <w:r>
        <w:rPr>
          <w:bCs/>
        </w:rPr>
        <w:t xml:space="preserve"> </w:t>
      </w:r>
    </w:p>
    <w:p w:rsidR="00F56595" w:rsidRDefault="00F56595" w:rsidP="00D474A5">
      <w:pPr>
        <w:numPr>
          <w:ilvl w:val="0"/>
          <w:numId w:val="29"/>
        </w:numPr>
        <w:tabs>
          <w:tab w:val="left" w:leader="dot" w:pos="7920"/>
          <w:tab w:val="right" w:pos="8640"/>
        </w:tabs>
        <w:rPr>
          <w:bCs/>
        </w:rPr>
      </w:pPr>
      <w:r>
        <w:rPr>
          <w:bCs/>
        </w:rPr>
        <w:t>Summary of Reimbursable Resources</w:t>
      </w:r>
    </w:p>
    <w:p w:rsidR="00F56595" w:rsidRDefault="00F56595" w:rsidP="00D474A5">
      <w:pPr>
        <w:numPr>
          <w:ilvl w:val="0"/>
          <w:numId w:val="29"/>
        </w:numPr>
        <w:tabs>
          <w:tab w:val="left" w:leader="dot" w:pos="7920"/>
          <w:tab w:val="right" w:pos="8640"/>
        </w:tabs>
        <w:rPr>
          <w:bCs/>
        </w:rPr>
      </w:pPr>
      <w:r>
        <w:rPr>
          <w:bCs/>
        </w:rPr>
        <w:t>Detail of Permanent Positions by Category</w:t>
      </w:r>
    </w:p>
    <w:p w:rsidR="00F56595" w:rsidRDefault="00F56595" w:rsidP="00D474A5">
      <w:pPr>
        <w:numPr>
          <w:ilvl w:val="0"/>
          <w:numId w:val="29"/>
        </w:numPr>
        <w:tabs>
          <w:tab w:val="left" w:leader="dot" w:pos="7920"/>
          <w:tab w:val="right" w:pos="8640"/>
        </w:tabs>
        <w:rPr>
          <w:bCs/>
        </w:rPr>
      </w:pPr>
      <w:r>
        <w:rPr>
          <w:bCs/>
        </w:rPr>
        <w:t>Financial Analysis of Program Increases/Offsets</w:t>
      </w:r>
    </w:p>
    <w:p w:rsidR="00F56595" w:rsidRDefault="00F56595" w:rsidP="00D474A5">
      <w:pPr>
        <w:numPr>
          <w:ilvl w:val="0"/>
          <w:numId w:val="29"/>
        </w:numPr>
        <w:tabs>
          <w:tab w:val="left" w:leader="dot" w:pos="7920"/>
          <w:tab w:val="right" w:pos="8640"/>
        </w:tabs>
        <w:rPr>
          <w:bCs/>
        </w:rPr>
      </w:pPr>
      <w:r>
        <w:rPr>
          <w:bCs/>
        </w:rPr>
        <w:t>Summary of Requirements by Grade</w:t>
      </w:r>
    </w:p>
    <w:p w:rsidR="00F56595" w:rsidRDefault="00F56595" w:rsidP="00D474A5">
      <w:pPr>
        <w:numPr>
          <w:ilvl w:val="0"/>
          <w:numId w:val="29"/>
        </w:numPr>
        <w:tabs>
          <w:tab w:val="left" w:leader="dot" w:pos="7920"/>
          <w:tab w:val="right" w:pos="8640"/>
        </w:tabs>
        <w:rPr>
          <w:bCs/>
        </w:rPr>
      </w:pPr>
      <w:r>
        <w:rPr>
          <w:bCs/>
        </w:rPr>
        <w:t>Summary of Requirements by Object Class</w:t>
      </w:r>
    </w:p>
    <w:p w:rsidR="00F56595" w:rsidRPr="006539E2" w:rsidRDefault="00F56595" w:rsidP="006539E2">
      <w:pPr>
        <w:numPr>
          <w:ilvl w:val="0"/>
          <w:numId w:val="29"/>
        </w:numPr>
        <w:tabs>
          <w:tab w:val="left" w:leader="dot" w:pos="7920"/>
          <w:tab w:val="right" w:pos="8640"/>
        </w:tabs>
        <w:rPr>
          <w:bCs/>
        </w:rPr>
      </w:pPr>
      <w:r w:rsidRPr="004B775C">
        <w:rPr>
          <w:bCs/>
        </w:rPr>
        <w:t xml:space="preserve">Status of Congressionally Requested </w:t>
      </w:r>
      <w:r w:rsidR="00DB5B82">
        <w:rPr>
          <w:bCs/>
        </w:rPr>
        <w:t xml:space="preserve">Studies - </w:t>
      </w:r>
      <w:r w:rsidR="00DB5B82">
        <w:rPr>
          <w:b/>
        </w:rPr>
        <w:t>Not Applicable</w:t>
      </w:r>
    </w:p>
    <w:p w:rsidR="00F56595" w:rsidRPr="004B775C" w:rsidRDefault="00F56595" w:rsidP="00D474A5">
      <w:pPr>
        <w:numPr>
          <w:ilvl w:val="0"/>
          <w:numId w:val="29"/>
        </w:numPr>
        <w:tabs>
          <w:tab w:val="left" w:leader="dot" w:pos="7920"/>
          <w:tab w:val="right" w:pos="8640"/>
        </w:tabs>
        <w:rPr>
          <w:bCs/>
        </w:rPr>
      </w:pPr>
      <w:r w:rsidRPr="004B775C">
        <w:rPr>
          <w:bCs/>
        </w:rPr>
        <w:t>Modular Costs for New Positions</w:t>
      </w:r>
      <w:r>
        <w:rPr>
          <w:bCs/>
        </w:rPr>
        <w:t xml:space="preserve"> - </w:t>
      </w:r>
      <w:r>
        <w:rPr>
          <w:b/>
        </w:rPr>
        <w:t>Not Applicable</w:t>
      </w:r>
    </w:p>
    <w:p w:rsidR="00F56595" w:rsidRPr="00A9205F" w:rsidRDefault="00F56595" w:rsidP="00D474A5">
      <w:pPr>
        <w:numPr>
          <w:ilvl w:val="0"/>
          <w:numId w:val="29"/>
        </w:numPr>
        <w:tabs>
          <w:tab w:val="left" w:leader="dot" w:pos="7920"/>
          <w:tab w:val="right" w:pos="8640"/>
        </w:tabs>
        <w:rPr>
          <w:bCs/>
        </w:rPr>
      </w:pPr>
      <w:r w:rsidRPr="004B775C">
        <w:rPr>
          <w:bCs/>
        </w:rPr>
        <w:t>Information on Overseas Staffing</w:t>
      </w:r>
      <w:r>
        <w:rPr>
          <w:bCs/>
        </w:rPr>
        <w:t xml:space="preserve"> - </w:t>
      </w:r>
      <w:r>
        <w:rPr>
          <w:b/>
        </w:rPr>
        <w:t>Not Applicable</w:t>
      </w:r>
    </w:p>
    <w:p w:rsidR="00F56595" w:rsidRDefault="00F56595" w:rsidP="008519AC">
      <w:pPr>
        <w:tabs>
          <w:tab w:val="left" w:leader="dot" w:pos="7920"/>
          <w:tab w:val="right" w:pos="8640"/>
        </w:tabs>
        <w:ind w:left="720"/>
        <w:rPr>
          <w:i/>
          <w:iCs/>
        </w:rPr>
      </w:pPr>
    </w:p>
    <w:p w:rsidR="00F56595" w:rsidRDefault="00F56595" w:rsidP="00400C58">
      <w:pPr>
        <w:pStyle w:val="BodyText"/>
      </w:pPr>
    </w:p>
    <w:sectPr w:rsidR="00F56595" w:rsidSect="00B44840">
      <w:pgSz w:w="12240" w:h="15840" w:code="1"/>
      <w:pgMar w:top="1152" w:right="1440" w:bottom="1152"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3F8" w:rsidRDefault="006C23F8">
      <w:r>
        <w:separator/>
      </w:r>
    </w:p>
  </w:endnote>
  <w:endnote w:type="continuationSeparator" w:id="0">
    <w:p w:rsidR="006C23F8" w:rsidRDefault="006C2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680007" w:rsidP="009D7AE6">
    <w:pPr>
      <w:pStyle w:val="Footer"/>
      <w:framePr w:wrap="around" w:vAnchor="text" w:hAnchor="margin" w:xAlign="right" w:y="1"/>
      <w:rPr>
        <w:rStyle w:val="PageNumber"/>
      </w:rPr>
    </w:pPr>
    <w:r>
      <w:rPr>
        <w:rStyle w:val="PageNumber"/>
      </w:rPr>
      <w:fldChar w:fldCharType="begin"/>
    </w:r>
    <w:r w:rsidR="007C1C09">
      <w:rPr>
        <w:rStyle w:val="PageNumber"/>
      </w:rPr>
      <w:instrText xml:space="preserve">PAGE  </w:instrText>
    </w:r>
    <w:r>
      <w:rPr>
        <w:rStyle w:val="PageNumber"/>
      </w:rPr>
      <w:fldChar w:fldCharType="end"/>
    </w:r>
  </w:p>
  <w:p w:rsidR="007C1C09" w:rsidRDefault="007C1C09" w:rsidP="009D7A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Pr="00BC0478" w:rsidRDefault="007C1C09" w:rsidP="009D7AE6">
    <w:pPr>
      <w:pStyle w:val="Footer"/>
      <w:tabs>
        <w:tab w:val="clear" w:pos="432"/>
        <w:tab w:val="clear" w:pos="4320"/>
        <w:tab w:val="clear" w:pos="5040"/>
        <w:tab w:val="clear" w:pos="8640"/>
        <w:tab w:val="clear" w:pos="8820"/>
      </w:tabs>
      <w:ind w:right="-144"/>
      <w:rPr>
        <w:rFonts w:ascii="Times New Roman" w:hAnsi="Times New Roman"/>
      </w:rPr>
    </w:pPr>
    <w:r w:rsidRPr="00BC0478">
      <w:rPr>
        <w:rFonts w:ascii="Times New Roman" w:hAnsi="Times New Roman"/>
      </w:rPr>
      <w:tab/>
    </w:r>
    <w:r w:rsidRPr="00BC0478">
      <w:rPr>
        <w:rFonts w:ascii="Times New Roman" w:hAnsi="Times New Roman"/>
      </w:rPr>
      <w:tab/>
    </w:r>
    <w:r w:rsidRPr="00BC0478">
      <w:rPr>
        <w:rFonts w:ascii="Times New Roman" w:hAnsi="Times New Roman"/>
      </w:rPr>
      <w:tab/>
      <w:t xml:space="preserve">Page </w:t>
    </w:r>
    <w:r w:rsidR="00680007" w:rsidRPr="00BC0478">
      <w:rPr>
        <w:rStyle w:val="PageNumber"/>
        <w:rFonts w:ascii="Times New Roman" w:hAnsi="Times New Roman"/>
      </w:rPr>
      <w:fldChar w:fldCharType="begin"/>
    </w:r>
    <w:r w:rsidRPr="00BC0478">
      <w:rPr>
        <w:rStyle w:val="PageNumber"/>
        <w:rFonts w:ascii="Times New Roman" w:hAnsi="Times New Roman"/>
      </w:rPr>
      <w:instrText xml:space="preserve"> PAGE </w:instrText>
    </w:r>
    <w:r w:rsidR="00680007" w:rsidRPr="00BC0478">
      <w:rPr>
        <w:rStyle w:val="PageNumber"/>
        <w:rFonts w:ascii="Times New Roman" w:hAnsi="Times New Roman"/>
      </w:rPr>
      <w:fldChar w:fldCharType="separate"/>
    </w:r>
    <w:r w:rsidR="008519AC">
      <w:rPr>
        <w:rStyle w:val="PageNumber"/>
        <w:rFonts w:ascii="Times New Roman" w:hAnsi="Times New Roman"/>
        <w:noProof/>
      </w:rPr>
      <w:t>8</w:t>
    </w:r>
    <w:r w:rsidR="00680007" w:rsidRPr="00BC0478">
      <w:rPr>
        <w:rStyle w:val="PageNumber"/>
        <w:rFonts w:ascii="Times New Roman" w:hAnsi="Times New Roman"/>
      </w:rPr>
      <w:fldChar w:fldCharType="end"/>
    </w:r>
    <w:r w:rsidRPr="00BC0478">
      <w:rPr>
        <w:rStyle w:val="PageNumber"/>
        <w:rFonts w:ascii="Times New Roman" w:hAnsi="Times New Roman"/>
      </w:rPr>
      <w:t xml:space="preserve"> of </w:t>
    </w:r>
    <w:r w:rsidR="00680007" w:rsidRPr="00BC0478">
      <w:rPr>
        <w:rStyle w:val="PageNumber"/>
        <w:rFonts w:ascii="Times New Roman" w:hAnsi="Times New Roman"/>
      </w:rPr>
      <w:fldChar w:fldCharType="begin"/>
    </w:r>
    <w:r w:rsidRPr="00BC0478">
      <w:rPr>
        <w:rStyle w:val="PageNumber"/>
        <w:rFonts w:ascii="Times New Roman" w:hAnsi="Times New Roman"/>
      </w:rPr>
      <w:instrText xml:space="preserve"> NUMPAGES </w:instrText>
    </w:r>
    <w:r w:rsidR="00680007" w:rsidRPr="00BC0478">
      <w:rPr>
        <w:rStyle w:val="PageNumber"/>
        <w:rFonts w:ascii="Times New Roman" w:hAnsi="Times New Roman"/>
      </w:rPr>
      <w:fldChar w:fldCharType="separate"/>
    </w:r>
    <w:r w:rsidR="008519AC">
      <w:rPr>
        <w:rStyle w:val="PageNumber"/>
        <w:rFonts w:ascii="Times New Roman" w:hAnsi="Times New Roman"/>
        <w:noProof/>
      </w:rPr>
      <w:t>19</w:t>
    </w:r>
    <w:r w:rsidR="00680007" w:rsidRPr="00BC0478">
      <w:rPr>
        <w:rStyle w:val="PageNumbe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7C1C09" w:rsidP="009D7AE6">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680007">
    <w:pPr>
      <w:pStyle w:val="Footer"/>
      <w:jc w:val="center"/>
    </w:pPr>
    <w:fldSimple w:instr=" PAGE   \* MERGEFORMAT ">
      <w:r w:rsidR="008519AC">
        <w:rPr>
          <w:noProof/>
        </w:rPr>
        <w:t>17</w:t>
      </w:r>
    </w:fldSimple>
  </w:p>
  <w:p w:rsidR="007C1C09" w:rsidRDefault="007C1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3F8" w:rsidRDefault="006C23F8">
      <w:r>
        <w:separator/>
      </w:r>
    </w:p>
  </w:footnote>
  <w:footnote w:type="continuationSeparator" w:id="0">
    <w:p w:rsidR="006C23F8" w:rsidRDefault="006C23F8">
      <w:r>
        <w:continuationSeparator/>
      </w:r>
    </w:p>
  </w:footnote>
  <w:footnote w:id="1">
    <w:p w:rsidR="007C1C09" w:rsidRDefault="007C1C09" w:rsidP="00137773">
      <w:pPr>
        <w:pStyle w:val="FootnoteText"/>
      </w:pPr>
      <w:r>
        <w:rPr>
          <w:rStyle w:val="FootnoteReference"/>
        </w:rPr>
        <w:footnoteRef/>
      </w:r>
      <w:r>
        <w:t xml:space="preserve"> </w:t>
      </w:r>
      <w:r w:rsidRPr="00B335DE">
        <w:rPr>
          <w:sz w:val="18"/>
          <w:szCs w:val="18"/>
        </w:rPr>
        <w:t xml:space="preserve">In 1995, the </w:t>
      </w:r>
      <w:r>
        <w:rPr>
          <w:sz w:val="18"/>
          <w:szCs w:val="18"/>
        </w:rPr>
        <w:t xml:space="preserve">Department of Commerce’s </w:t>
      </w:r>
      <w:r w:rsidRPr="00B335DE">
        <w:rPr>
          <w:sz w:val="18"/>
          <w:szCs w:val="18"/>
        </w:rPr>
        <w:t xml:space="preserve">National Telecommunications and Information Administration (NTIA) issued a mandate to all </w:t>
      </w:r>
      <w:r>
        <w:rPr>
          <w:sz w:val="18"/>
          <w:szCs w:val="18"/>
        </w:rPr>
        <w:t>f</w:t>
      </w:r>
      <w:r w:rsidRPr="00B335DE">
        <w:rPr>
          <w:sz w:val="18"/>
          <w:szCs w:val="18"/>
        </w:rPr>
        <w:t xml:space="preserve">ederal </w:t>
      </w:r>
      <w:r>
        <w:rPr>
          <w:sz w:val="18"/>
          <w:szCs w:val="18"/>
        </w:rPr>
        <w:t>a</w:t>
      </w:r>
      <w:r w:rsidRPr="00B335DE">
        <w:rPr>
          <w:sz w:val="18"/>
          <w:szCs w:val="18"/>
        </w:rPr>
        <w:t xml:space="preserve">gencies to adopt new narrowband technologies that allow greater </w:t>
      </w:r>
      <w:r>
        <w:rPr>
          <w:sz w:val="18"/>
          <w:szCs w:val="18"/>
        </w:rPr>
        <w:t xml:space="preserve">radio </w:t>
      </w:r>
      <w:r w:rsidRPr="00B335DE">
        <w:rPr>
          <w:sz w:val="18"/>
          <w:szCs w:val="18"/>
        </w:rPr>
        <w:t xml:space="preserve">spectrum efficiency for all LMRs used by the federal government. </w:t>
      </w:r>
      <w:r>
        <w:rPr>
          <w:sz w:val="18"/>
          <w:szCs w:val="18"/>
        </w:rPr>
        <w:t xml:space="preserve"> </w:t>
      </w:r>
      <w:r w:rsidRPr="00B335DE">
        <w:rPr>
          <w:sz w:val="18"/>
          <w:szCs w:val="18"/>
        </w:rPr>
        <w:t xml:space="preserve">This </w:t>
      </w:r>
      <w:r>
        <w:rPr>
          <w:sz w:val="18"/>
          <w:szCs w:val="18"/>
        </w:rPr>
        <w:t xml:space="preserve">rule was issued </w:t>
      </w:r>
      <w:r w:rsidRPr="00B335DE">
        <w:rPr>
          <w:sz w:val="18"/>
          <w:szCs w:val="18"/>
        </w:rPr>
        <w:t>to allow for more efficient use of existing radio spectrum as demands on federal communications expand causing increased congestion within the VHF and UHF spectrum bands.</w:t>
      </w:r>
    </w:p>
  </w:footnote>
  <w:footnote w:id="2">
    <w:p w:rsidR="007C1C09" w:rsidRDefault="007C1C09" w:rsidP="00766626">
      <w:pPr>
        <w:pStyle w:val="FootnoteText"/>
      </w:pPr>
      <w:r>
        <w:rPr>
          <w:rStyle w:val="FootnoteReference"/>
        </w:rPr>
        <w:footnoteRef/>
      </w:r>
      <w:r>
        <w:t xml:space="preserve"> </w:t>
      </w:r>
      <w:r w:rsidRPr="00E215B9">
        <w:t xml:space="preserve">U.S. Department of Justice, Office of the Inspector General, </w:t>
      </w:r>
      <w:r w:rsidRPr="00E215B9">
        <w:rPr>
          <w:i/>
          <w:u w:val="single"/>
        </w:rPr>
        <w:t>Progress Report on Development of the Integrated Wireless Network in the Department of Justice</w:t>
      </w:r>
      <w:r w:rsidRPr="00E215B9">
        <w:t>, March 2007</w:t>
      </w:r>
      <w:r>
        <w:t>.</w:t>
      </w:r>
    </w:p>
  </w:footnote>
  <w:footnote w:id="3">
    <w:p w:rsidR="007C1C09" w:rsidRDefault="007C1C09" w:rsidP="00766626">
      <w:pPr>
        <w:pStyle w:val="FootnoteText"/>
      </w:pPr>
      <w:r>
        <w:rPr>
          <w:rStyle w:val="FootnoteReference"/>
        </w:rPr>
        <w:footnoteRef/>
      </w:r>
      <w:r>
        <w:t xml:space="preserve"> Ibid, xii.</w:t>
      </w:r>
    </w:p>
  </w:footnote>
  <w:footnote w:id="4">
    <w:p w:rsidR="007C1C09" w:rsidRDefault="007C1C09" w:rsidP="00766626">
      <w:pPr>
        <w:pStyle w:val="FootnoteText"/>
      </w:pPr>
      <w:r>
        <w:rPr>
          <w:rStyle w:val="FootnoteReference"/>
        </w:rPr>
        <w:footnoteRef/>
      </w:r>
      <w:r>
        <w:t xml:space="preserve"> Ibid, xvi.</w:t>
      </w:r>
    </w:p>
  </w:footnote>
  <w:footnote w:id="5">
    <w:p w:rsidR="007C1C09" w:rsidRDefault="007C1C09" w:rsidP="00137773">
      <w:pPr>
        <w:pStyle w:val="FootnoteText"/>
      </w:pPr>
      <w:r>
        <w:rPr>
          <w:rStyle w:val="FootnoteReference"/>
        </w:rPr>
        <w:footnoteRef/>
      </w:r>
      <w:r>
        <w:t xml:space="preserve"> Ibid, 12.</w:t>
      </w:r>
    </w:p>
  </w:footnote>
  <w:footnote w:id="6">
    <w:p w:rsidR="007C1C09" w:rsidRDefault="007C1C09" w:rsidP="00137773">
      <w:pPr>
        <w:pStyle w:val="FootnoteText"/>
      </w:pPr>
      <w:r>
        <w:rPr>
          <w:rStyle w:val="FootnoteReference"/>
        </w:rPr>
        <w:footnoteRef/>
      </w:r>
      <w:r>
        <w:t xml:space="preserve"> </w:t>
      </w:r>
      <w:r w:rsidRPr="00A3333C">
        <w:t xml:space="preserve">The </w:t>
      </w:r>
      <w:r>
        <w:t xml:space="preserve">Department launched the </w:t>
      </w:r>
      <w:r w:rsidRPr="00A3333C">
        <w:t xml:space="preserve">25 Cities Project </w:t>
      </w:r>
      <w:r>
        <w:t xml:space="preserve">at the request of House and </w:t>
      </w:r>
      <w:r w:rsidRPr="00A3333C">
        <w:t xml:space="preserve">Senate </w:t>
      </w:r>
      <w:r>
        <w:t>a</w:t>
      </w:r>
      <w:r w:rsidRPr="00A3333C">
        <w:t xml:space="preserve">ppropriations staff in 2003 </w:t>
      </w:r>
      <w:r>
        <w:t xml:space="preserve">(Commerce, Justice, &amp; Science subcommittee) </w:t>
      </w:r>
      <w:r w:rsidRPr="00A3333C">
        <w:t xml:space="preserve">to provide federal law enforcement/homeland security </w:t>
      </w:r>
      <w:r>
        <w:t xml:space="preserve">personnel </w:t>
      </w:r>
      <w:r w:rsidRPr="00A3333C">
        <w:t xml:space="preserve">with </w:t>
      </w:r>
      <w:r>
        <w:t xml:space="preserve">interoperable communications capabilities </w:t>
      </w:r>
      <w:r w:rsidRPr="00A3333C">
        <w:t xml:space="preserve">with local authorities in </w:t>
      </w:r>
      <w:r>
        <w:t>twenty five</w:t>
      </w:r>
      <w:r w:rsidRPr="00A3333C">
        <w:t xml:space="preserve"> high risk metropolitan areas.</w:t>
      </w:r>
    </w:p>
  </w:footnote>
  <w:footnote w:id="7">
    <w:p w:rsidR="007C1C09" w:rsidRDefault="007C1C09" w:rsidP="00137773">
      <w:pPr>
        <w:pStyle w:val="FootnoteText"/>
      </w:pPr>
      <w:r>
        <w:rPr>
          <w:rStyle w:val="FootnoteReference"/>
        </w:rPr>
        <w:footnoteRef/>
      </w:r>
      <w:r>
        <w:t xml:space="preserve"> DOJ </w:t>
      </w:r>
      <w:r w:rsidRPr="00E215B9">
        <w:t xml:space="preserve">Inspector General, </w:t>
      </w:r>
      <w:r>
        <w:rPr>
          <w:i/>
          <w:iCs/>
        </w:rPr>
        <w:t>op. cit.</w:t>
      </w:r>
      <w:r>
        <w:t>, page 10.</w:t>
      </w:r>
    </w:p>
  </w:footnote>
  <w:footnote w:id="8">
    <w:p w:rsidR="007C1C09" w:rsidRDefault="007C1C09" w:rsidP="00137773">
      <w:pPr>
        <w:pStyle w:val="FootnoteText"/>
      </w:pPr>
      <w:r>
        <w:rPr>
          <w:rStyle w:val="FootnoteReference"/>
        </w:rPr>
        <w:footnoteRef/>
      </w:r>
      <w:r>
        <w:t xml:space="preserve"> The NTIA narrowband mandate required federal agencies to convert their LMR systems to operate on 12.5 kHz channels by January 1, 2005.  DOJ is the largest federal user of VHF frequencies and has converted the lowest percentage of its systems.  The NTIA mandate for UHF narrowband conversion was January 1, 2008</w:t>
      </w:r>
      <w:r w:rsidR="00475CE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7C1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7C1C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09" w:rsidRDefault="007C1C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pStyle w:val="Heading4"/>
      <w:lvlText w:val=""/>
      <w:lvlJc w:val="left"/>
      <w:pPr>
        <w:tabs>
          <w:tab w:val="num" w:pos="720"/>
        </w:tabs>
        <w:ind w:left="720" w:hanging="360"/>
      </w:pPr>
      <w:rPr>
        <w:rFonts w:ascii="Symbol" w:hAnsi="Symbol" w:hint="default"/>
      </w:rPr>
    </w:lvl>
  </w:abstractNum>
  <w:abstractNum w:abstractNumId="1">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17BB9"/>
    <w:multiLevelType w:val="hybridMultilevel"/>
    <w:tmpl w:val="52D8AE20"/>
    <w:lvl w:ilvl="0" w:tplc="4C6E713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942A36"/>
    <w:multiLevelType w:val="hybridMultilevel"/>
    <w:tmpl w:val="1F78A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D1B4A"/>
    <w:multiLevelType w:val="hybridMultilevel"/>
    <w:tmpl w:val="F350C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F36800"/>
    <w:multiLevelType w:val="hybridMultilevel"/>
    <w:tmpl w:val="223CE12C"/>
    <w:lvl w:ilvl="0" w:tplc="DDFA5E90">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9A4393"/>
    <w:multiLevelType w:val="hybridMultilevel"/>
    <w:tmpl w:val="ED1E4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2658A"/>
    <w:multiLevelType w:val="hybridMultilevel"/>
    <w:tmpl w:val="75BE94BC"/>
    <w:lvl w:ilvl="0" w:tplc="348C6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24BF3"/>
    <w:multiLevelType w:val="hybridMultilevel"/>
    <w:tmpl w:val="3A7638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1264D8"/>
    <w:multiLevelType w:val="hybridMultilevel"/>
    <w:tmpl w:val="F24001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93B705B"/>
    <w:multiLevelType w:val="hybridMultilevel"/>
    <w:tmpl w:val="841EDF1A"/>
    <w:lvl w:ilvl="0" w:tplc="76ECC0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DA19B5"/>
    <w:multiLevelType w:val="hybridMultilevel"/>
    <w:tmpl w:val="24FE76BE"/>
    <w:lvl w:ilvl="0" w:tplc="A7D88D3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F6B67"/>
    <w:multiLevelType w:val="hybridMultilevel"/>
    <w:tmpl w:val="FD544C8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39D3A59"/>
    <w:multiLevelType w:val="hybridMultilevel"/>
    <w:tmpl w:val="5BDE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13E2E"/>
    <w:multiLevelType w:val="hybridMultilevel"/>
    <w:tmpl w:val="EB688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5776C"/>
    <w:multiLevelType w:val="hybridMultilevel"/>
    <w:tmpl w:val="54AE01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49F39AD"/>
    <w:multiLevelType w:val="hybridMultilevel"/>
    <w:tmpl w:val="44225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77885"/>
    <w:multiLevelType w:val="hybridMultilevel"/>
    <w:tmpl w:val="77A8C9EC"/>
    <w:lvl w:ilvl="0" w:tplc="E1A61DCC">
      <w:start w:val="8"/>
      <w:numFmt w:val="upperRoman"/>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AB75A7B"/>
    <w:multiLevelType w:val="multilevel"/>
    <w:tmpl w:val="E46C8040"/>
    <w:lvl w:ilvl="0">
      <w:start w:val="1"/>
      <w:numFmt w:val="upperLetter"/>
      <w:pStyle w:val="Heading6"/>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nsid w:val="5CF57973"/>
    <w:multiLevelType w:val="hybridMultilevel"/>
    <w:tmpl w:val="E2CA15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51051F7"/>
    <w:multiLevelType w:val="hybridMultilevel"/>
    <w:tmpl w:val="BC40725C"/>
    <w:lvl w:ilvl="0" w:tplc="A830DDE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2AC0185"/>
    <w:multiLevelType w:val="hybridMultilevel"/>
    <w:tmpl w:val="E1ECA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8C4CD2"/>
    <w:multiLevelType w:val="hybridMultilevel"/>
    <w:tmpl w:val="2D964B08"/>
    <w:lvl w:ilvl="0" w:tplc="EA68322E">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8"/>
  </w:num>
  <w:num w:numId="14">
    <w:abstractNumId w:val="1"/>
  </w:num>
  <w:num w:numId="15">
    <w:abstractNumId w:val="5"/>
  </w:num>
  <w:num w:numId="16">
    <w:abstractNumId w:val="2"/>
  </w:num>
  <w:num w:numId="17">
    <w:abstractNumId w:val="8"/>
  </w:num>
  <w:num w:numId="18">
    <w:abstractNumId w:val="21"/>
  </w:num>
  <w:num w:numId="19">
    <w:abstractNumId w:val="4"/>
  </w:num>
  <w:num w:numId="20">
    <w:abstractNumId w:val="6"/>
  </w:num>
  <w:num w:numId="21">
    <w:abstractNumId w:val="20"/>
  </w:num>
  <w:num w:numId="22">
    <w:abstractNumId w:val="10"/>
  </w:num>
  <w:num w:numId="23">
    <w:abstractNumId w:val="9"/>
  </w:num>
  <w:num w:numId="24">
    <w:abstractNumId w:val="16"/>
  </w:num>
  <w:num w:numId="25">
    <w:abstractNumId w:val="19"/>
  </w:num>
  <w:num w:numId="26">
    <w:abstractNumId w:val="15"/>
  </w:num>
  <w:num w:numId="27">
    <w:abstractNumId w:val="12"/>
  </w:num>
  <w:num w:numId="28">
    <w:abstractNumId w:val="17"/>
  </w:num>
  <w:num w:numId="29">
    <w:abstractNumId w:val="22"/>
  </w:num>
  <w:num w:numId="30">
    <w:abstractNumId w:val="14"/>
  </w:num>
  <w:num w:numId="31">
    <w:abstractNumId w:val="7"/>
  </w:num>
  <w:num w:numId="32">
    <w:abstractNumId w:val="11"/>
  </w:num>
  <w:num w:numId="33">
    <w:abstractNumId w:val="3"/>
  </w:num>
  <w:num w:numId="34">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D0E7B"/>
    <w:rsid w:val="0000578F"/>
    <w:rsid w:val="00005EFD"/>
    <w:rsid w:val="00006EDF"/>
    <w:rsid w:val="0001217C"/>
    <w:rsid w:val="0001481B"/>
    <w:rsid w:val="00014F8E"/>
    <w:rsid w:val="00016410"/>
    <w:rsid w:val="000164DC"/>
    <w:rsid w:val="000203AA"/>
    <w:rsid w:val="000214F1"/>
    <w:rsid w:val="00023728"/>
    <w:rsid w:val="00025EF7"/>
    <w:rsid w:val="00030811"/>
    <w:rsid w:val="00033D64"/>
    <w:rsid w:val="00034954"/>
    <w:rsid w:val="00041BF5"/>
    <w:rsid w:val="00042B3C"/>
    <w:rsid w:val="00044C68"/>
    <w:rsid w:val="00050E0C"/>
    <w:rsid w:val="000510B5"/>
    <w:rsid w:val="00051D53"/>
    <w:rsid w:val="00053DBF"/>
    <w:rsid w:val="00053DD2"/>
    <w:rsid w:val="00054E33"/>
    <w:rsid w:val="000553F7"/>
    <w:rsid w:val="00056F09"/>
    <w:rsid w:val="0006689A"/>
    <w:rsid w:val="00070433"/>
    <w:rsid w:val="00073538"/>
    <w:rsid w:val="0007449E"/>
    <w:rsid w:val="000755B1"/>
    <w:rsid w:val="00080297"/>
    <w:rsid w:val="000837FD"/>
    <w:rsid w:val="00090872"/>
    <w:rsid w:val="00090886"/>
    <w:rsid w:val="00092D10"/>
    <w:rsid w:val="000937A9"/>
    <w:rsid w:val="000945E3"/>
    <w:rsid w:val="000A0803"/>
    <w:rsid w:val="000A1682"/>
    <w:rsid w:val="000A224F"/>
    <w:rsid w:val="000A3E86"/>
    <w:rsid w:val="000A40C2"/>
    <w:rsid w:val="000A54B5"/>
    <w:rsid w:val="000A71A4"/>
    <w:rsid w:val="000C024B"/>
    <w:rsid w:val="000C084A"/>
    <w:rsid w:val="000C23A3"/>
    <w:rsid w:val="000C3194"/>
    <w:rsid w:val="000C40C2"/>
    <w:rsid w:val="000C5D3B"/>
    <w:rsid w:val="000C79E1"/>
    <w:rsid w:val="000D17EF"/>
    <w:rsid w:val="000D2512"/>
    <w:rsid w:val="000D3641"/>
    <w:rsid w:val="000D5ED5"/>
    <w:rsid w:val="000D73EC"/>
    <w:rsid w:val="000D74C1"/>
    <w:rsid w:val="000E2AEC"/>
    <w:rsid w:val="000E3880"/>
    <w:rsid w:val="000E56D8"/>
    <w:rsid w:val="000E79C1"/>
    <w:rsid w:val="000F15A2"/>
    <w:rsid w:val="000F2A30"/>
    <w:rsid w:val="000F321C"/>
    <w:rsid w:val="001012AA"/>
    <w:rsid w:val="00103205"/>
    <w:rsid w:val="00104722"/>
    <w:rsid w:val="00104C69"/>
    <w:rsid w:val="001071A0"/>
    <w:rsid w:val="001116B5"/>
    <w:rsid w:val="001123BA"/>
    <w:rsid w:val="0011291B"/>
    <w:rsid w:val="00113A1D"/>
    <w:rsid w:val="00117A66"/>
    <w:rsid w:val="00121329"/>
    <w:rsid w:val="00126B7E"/>
    <w:rsid w:val="001347E9"/>
    <w:rsid w:val="00137773"/>
    <w:rsid w:val="00140602"/>
    <w:rsid w:val="001436CB"/>
    <w:rsid w:val="00147220"/>
    <w:rsid w:val="001526DA"/>
    <w:rsid w:val="001546A5"/>
    <w:rsid w:val="0016008A"/>
    <w:rsid w:val="001608AB"/>
    <w:rsid w:val="00161168"/>
    <w:rsid w:val="001613C6"/>
    <w:rsid w:val="00163AD7"/>
    <w:rsid w:val="00165BD8"/>
    <w:rsid w:val="00173714"/>
    <w:rsid w:val="00175569"/>
    <w:rsid w:val="00180538"/>
    <w:rsid w:val="00181487"/>
    <w:rsid w:val="00184F7E"/>
    <w:rsid w:val="00186D44"/>
    <w:rsid w:val="0019205E"/>
    <w:rsid w:val="001A0707"/>
    <w:rsid w:val="001A3012"/>
    <w:rsid w:val="001A6122"/>
    <w:rsid w:val="001B0478"/>
    <w:rsid w:val="001B1FC5"/>
    <w:rsid w:val="001B2A05"/>
    <w:rsid w:val="001B2AFD"/>
    <w:rsid w:val="001B31B3"/>
    <w:rsid w:val="001B4C55"/>
    <w:rsid w:val="001B5C35"/>
    <w:rsid w:val="001B5D53"/>
    <w:rsid w:val="001B5DB4"/>
    <w:rsid w:val="001C0F82"/>
    <w:rsid w:val="001C2463"/>
    <w:rsid w:val="001C26A4"/>
    <w:rsid w:val="001C51A2"/>
    <w:rsid w:val="001D0D9A"/>
    <w:rsid w:val="001D13BD"/>
    <w:rsid w:val="001D1694"/>
    <w:rsid w:val="001D1825"/>
    <w:rsid w:val="001D2B34"/>
    <w:rsid w:val="001E532B"/>
    <w:rsid w:val="001E72A1"/>
    <w:rsid w:val="001F2D82"/>
    <w:rsid w:val="001F3BCA"/>
    <w:rsid w:val="002015E7"/>
    <w:rsid w:val="0020204D"/>
    <w:rsid w:val="00203CA3"/>
    <w:rsid w:val="002100A3"/>
    <w:rsid w:val="002112F5"/>
    <w:rsid w:val="002132C9"/>
    <w:rsid w:val="00217B3B"/>
    <w:rsid w:val="00220CB8"/>
    <w:rsid w:val="002218C8"/>
    <w:rsid w:val="00222AA8"/>
    <w:rsid w:val="00224A36"/>
    <w:rsid w:val="00230F8A"/>
    <w:rsid w:val="00231886"/>
    <w:rsid w:val="00235B47"/>
    <w:rsid w:val="002371D6"/>
    <w:rsid w:val="00237606"/>
    <w:rsid w:val="00242306"/>
    <w:rsid w:val="00242E43"/>
    <w:rsid w:val="0024536A"/>
    <w:rsid w:val="0024599A"/>
    <w:rsid w:val="00251A04"/>
    <w:rsid w:val="0025481B"/>
    <w:rsid w:val="00255D2E"/>
    <w:rsid w:val="00256741"/>
    <w:rsid w:val="0026189D"/>
    <w:rsid w:val="0026353D"/>
    <w:rsid w:val="0026374C"/>
    <w:rsid w:val="00267900"/>
    <w:rsid w:val="0026799E"/>
    <w:rsid w:val="00270349"/>
    <w:rsid w:val="0027750F"/>
    <w:rsid w:val="00281F49"/>
    <w:rsid w:val="00282140"/>
    <w:rsid w:val="00282951"/>
    <w:rsid w:val="002875F2"/>
    <w:rsid w:val="00290BC4"/>
    <w:rsid w:val="0029182A"/>
    <w:rsid w:val="00292688"/>
    <w:rsid w:val="00292854"/>
    <w:rsid w:val="002930E6"/>
    <w:rsid w:val="00293AB3"/>
    <w:rsid w:val="00295130"/>
    <w:rsid w:val="002A19E0"/>
    <w:rsid w:val="002A33D5"/>
    <w:rsid w:val="002A4BC2"/>
    <w:rsid w:val="002B4426"/>
    <w:rsid w:val="002B6EFB"/>
    <w:rsid w:val="002B6F2F"/>
    <w:rsid w:val="002B6F42"/>
    <w:rsid w:val="002B70A0"/>
    <w:rsid w:val="002B74CF"/>
    <w:rsid w:val="002C5589"/>
    <w:rsid w:val="002C7194"/>
    <w:rsid w:val="002D0805"/>
    <w:rsid w:val="002E12B9"/>
    <w:rsid w:val="002E27B7"/>
    <w:rsid w:val="002E5881"/>
    <w:rsid w:val="002F12AF"/>
    <w:rsid w:val="002F6094"/>
    <w:rsid w:val="002F6D16"/>
    <w:rsid w:val="002F6F98"/>
    <w:rsid w:val="00304642"/>
    <w:rsid w:val="00305761"/>
    <w:rsid w:val="00306000"/>
    <w:rsid w:val="00317730"/>
    <w:rsid w:val="00323381"/>
    <w:rsid w:val="00323DF4"/>
    <w:rsid w:val="00324849"/>
    <w:rsid w:val="00326AC8"/>
    <w:rsid w:val="00330439"/>
    <w:rsid w:val="0033094F"/>
    <w:rsid w:val="00331BB9"/>
    <w:rsid w:val="0033207F"/>
    <w:rsid w:val="00333034"/>
    <w:rsid w:val="00334CC2"/>
    <w:rsid w:val="00337579"/>
    <w:rsid w:val="003425B7"/>
    <w:rsid w:val="00346613"/>
    <w:rsid w:val="003541C0"/>
    <w:rsid w:val="00354F1C"/>
    <w:rsid w:val="003564EC"/>
    <w:rsid w:val="003578DC"/>
    <w:rsid w:val="0036043A"/>
    <w:rsid w:val="00361B39"/>
    <w:rsid w:val="00365B5D"/>
    <w:rsid w:val="00366CF3"/>
    <w:rsid w:val="00366D7F"/>
    <w:rsid w:val="003675FF"/>
    <w:rsid w:val="00372C3E"/>
    <w:rsid w:val="00374889"/>
    <w:rsid w:val="00382938"/>
    <w:rsid w:val="00383B00"/>
    <w:rsid w:val="0038674E"/>
    <w:rsid w:val="00387586"/>
    <w:rsid w:val="00396366"/>
    <w:rsid w:val="00396D05"/>
    <w:rsid w:val="003A7660"/>
    <w:rsid w:val="003A7922"/>
    <w:rsid w:val="003B05E8"/>
    <w:rsid w:val="003B0CB9"/>
    <w:rsid w:val="003B2BB5"/>
    <w:rsid w:val="003D0667"/>
    <w:rsid w:val="003D0806"/>
    <w:rsid w:val="003D0DAA"/>
    <w:rsid w:val="003D0E7B"/>
    <w:rsid w:val="003D0FEA"/>
    <w:rsid w:val="003D2773"/>
    <w:rsid w:val="003D3E88"/>
    <w:rsid w:val="003D5208"/>
    <w:rsid w:val="003D7902"/>
    <w:rsid w:val="003D7C4A"/>
    <w:rsid w:val="003E08AD"/>
    <w:rsid w:val="003E0DB9"/>
    <w:rsid w:val="003E0E22"/>
    <w:rsid w:val="003E5664"/>
    <w:rsid w:val="003E604A"/>
    <w:rsid w:val="003E615F"/>
    <w:rsid w:val="003E746C"/>
    <w:rsid w:val="003E790E"/>
    <w:rsid w:val="003F1D68"/>
    <w:rsid w:val="003F2498"/>
    <w:rsid w:val="00400AC4"/>
    <w:rsid w:val="00400C58"/>
    <w:rsid w:val="00413D62"/>
    <w:rsid w:val="004168F0"/>
    <w:rsid w:val="00417846"/>
    <w:rsid w:val="00425AB9"/>
    <w:rsid w:val="00426797"/>
    <w:rsid w:val="004278FA"/>
    <w:rsid w:val="00427F7F"/>
    <w:rsid w:val="00431903"/>
    <w:rsid w:val="00433BB2"/>
    <w:rsid w:val="004365F4"/>
    <w:rsid w:val="00436958"/>
    <w:rsid w:val="00437BA4"/>
    <w:rsid w:val="0044063F"/>
    <w:rsid w:val="00441D50"/>
    <w:rsid w:val="00442363"/>
    <w:rsid w:val="00446A90"/>
    <w:rsid w:val="00451141"/>
    <w:rsid w:val="00451973"/>
    <w:rsid w:val="004556F3"/>
    <w:rsid w:val="00457FD6"/>
    <w:rsid w:val="004602D5"/>
    <w:rsid w:val="0047187B"/>
    <w:rsid w:val="004725C7"/>
    <w:rsid w:val="004753FC"/>
    <w:rsid w:val="00475CE0"/>
    <w:rsid w:val="0047615A"/>
    <w:rsid w:val="0048075E"/>
    <w:rsid w:val="004918D1"/>
    <w:rsid w:val="00493966"/>
    <w:rsid w:val="0049422C"/>
    <w:rsid w:val="00494B65"/>
    <w:rsid w:val="004972BC"/>
    <w:rsid w:val="00497D5F"/>
    <w:rsid w:val="004A21D0"/>
    <w:rsid w:val="004A40BE"/>
    <w:rsid w:val="004A5281"/>
    <w:rsid w:val="004A707A"/>
    <w:rsid w:val="004B1656"/>
    <w:rsid w:val="004B698D"/>
    <w:rsid w:val="004B775C"/>
    <w:rsid w:val="004C078B"/>
    <w:rsid w:val="004C1AF6"/>
    <w:rsid w:val="004C2FBB"/>
    <w:rsid w:val="004C581E"/>
    <w:rsid w:val="004D1D69"/>
    <w:rsid w:val="004E29E4"/>
    <w:rsid w:val="004E48F4"/>
    <w:rsid w:val="004E4A66"/>
    <w:rsid w:val="004E68E1"/>
    <w:rsid w:val="004F263A"/>
    <w:rsid w:val="004F5068"/>
    <w:rsid w:val="004F7D52"/>
    <w:rsid w:val="005040A7"/>
    <w:rsid w:val="00506F99"/>
    <w:rsid w:val="00507DEF"/>
    <w:rsid w:val="00511AD2"/>
    <w:rsid w:val="00515ADA"/>
    <w:rsid w:val="00522294"/>
    <w:rsid w:val="00533085"/>
    <w:rsid w:val="0053380B"/>
    <w:rsid w:val="005357D1"/>
    <w:rsid w:val="005360B6"/>
    <w:rsid w:val="00540A7B"/>
    <w:rsid w:val="00540F18"/>
    <w:rsid w:val="005415AC"/>
    <w:rsid w:val="00541CD5"/>
    <w:rsid w:val="005478B2"/>
    <w:rsid w:val="00550B54"/>
    <w:rsid w:val="00555DF0"/>
    <w:rsid w:val="00557ADF"/>
    <w:rsid w:val="00562E6C"/>
    <w:rsid w:val="00562EA7"/>
    <w:rsid w:val="005647DA"/>
    <w:rsid w:val="00564DB6"/>
    <w:rsid w:val="00566F71"/>
    <w:rsid w:val="00572F72"/>
    <w:rsid w:val="005730E5"/>
    <w:rsid w:val="00574941"/>
    <w:rsid w:val="00574C7D"/>
    <w:rsid w:val="00581610"/>
    <w:rsid w:val="00581C38"/>
    <w:rsid w:val="00582BB7"/>
    <w:rsid w:val="00584C3E"/>
    <w:rsid w:val="00586772"/>
    <w:rsid w:val="0059020B"/>
    <w:rsid w:val="005914FD"/>
    <w:rsid w:val="00592F15"/>
    <w:rsid w:val="00593CBE"/>
    <w:rsid w:val="005955E2"/>
    <w:rsid w:val="005A1D2E"/>
    <w:rsid w:val="005A5062"/>
    <w:rsid w:val="005A5D4F"/>
    <w:rsid w:val="005A7E04"/>
    <w:rsid w:val="005B00FD"/>
    <w:rsid w:val="005B391D"/>
    <w:rsid w:val="005B4F15"/>
    <w:rsid w:val="005B6BB2"/>
    <w:rsid w:val="005C16EA"/>
    <w:rsid w:val="005C1702"/>
    <w:rsid w:val="005C1AD6"/>
    <w:rsid w:val="005C21DC"/>
    <w:rsid w:val="005C37D9"/>
    <w:rsid w:val="005C624C"/>
    <w:rsid w:val="005D14B4"/>
    <w:rsid w:val="005D2FF1"/>
    <w:rsid w:val="005D39D7"/>
    <w:rsid w:val="005E018C"/>
    <w:rsid w:val="005F06B9"/>
    <w:rsid w:val="005F1423"/>
    <w:rsid w:val="005F37CD"/>
    <w:rsid w:val="005F48E6"/>
    <w:rsid w:val="00601A72"/>
    <w:rsid w:val="006039C5"/>
    <w:rsid w:val="00604A97"/>
    <w:rsid w:val="00605E73"/>
    <w:rsid w:val="00611931"/>
    <w:rsid w:val="00612476"/>
    <w:rsid w:val="006153BA"/>
    <w:rsid w:val="00615A4D"/>
    <w:rsid w:val="006163CD"/>
    <w:rsid w:val="00617017"/>
    <w:rsid w:val="00622A7D"/>
    <w:rsid w:val="00633095"/>
    <w:rsid w:val="0063361D"/>
    <w:rsid w:val="0063529F"/>
    <w:rsid w:val="006364D4"/>
    <w:rsid w:val="006366E2"/>
    <w:rsid w:val="00637F58"/>
    <w:rsid w:val="006425DA"/>
    <w:rsid w:val="006539E2"/>
    <w:rsid w:val="0065798C"/>
    <w:rsid w:val="00660989"/>
    <w:rsid w:val="006629F4"/>
    <w:rsid w:val="0066304C"/>
    <w:rsid w:val="00670138"/>
    <w:rsid w:val="00670357"/>
    <w:rsid w:val="006715C0"/>
    <w:rsid w:val="00672BFB"/>
    <w:rsid w:val="006751EA"/>
    <w:rsid w:val="00675254"/>
    <w:rsid w:val="00677541"/>
    <w:rsid w:val="00680007"/>
    <w:rsid w:val="00682A53"/>
    <w:rsid w:val="0069364A"/>
    <w:rsid w:val="00693F48"/>
    <w:rsid w:val="0069580D"/>
    <w:rsid w:val="00695EDC"/>
    <w:rsid w:val="00696C0E"/>
    <w:rsid w:val="006A29E1"/>
    <w:rsid w:val="006A2FE8"/>
    <w:rsid w:val="006A30E2"/>
    <w:rsid w:val="006B4C80"/>
    <w:rsid w:val="006B4CA9"/>
    <w:rsid w:val="006C1CE0"/>
    <w:rsid w:val="006C23F8"/>
    <w:rsid w:val="006C3722"/>
    <w:rsid w:val="006C689E"/>
    <w:rsid w:val="006D143A"/>
    <w:rsid w:val="006E00F4"/>
    <w:rsid w:val="006E01E3"/>
    <w:rsid w:val="006E2007"/>
    <w:rsid w:val="006E3B4B"/>
    <w:rsid w:val="006E446D"/>
    <w:rsid w:val="006E6513"/>
    <w:rsid w:val="006F25E5"/>
    <w:rsid w:val="006F6D20"/>
    <w:rsid w:val="007003AE"/>
    <w:rsid w:val="00704FB3"/>
    <w:rsid w:val="007055B6"/>
    <w:rsid w:val="00710A68"/>
    <w:rsid w:val="007139B4"/>
    <w:rsid w:val="00713F17"/>
    <w:rsid w:val="00717B37"/>
    <w:rsid w:val="00721A17"/>
    <w:rsid w:val="007234E3"/>
    <w:rsid w:val="00724242"/>
    <w:rsid w:val="0073201D"/>
    <w:rsid w:val="00734CE0"/>
    <w:rsid w:val="00736FFF"/>
    <w:rsid w:val="007371B8"/>
    <w:rsid w:val="00740FB3"/>
    <w:rsid w:val="007446CE"/>
    <w:rsid w:val="007462D2"/>
    <w:rsid w:val="00754EC3"/>
    <w:rsid w:val="00764C71"/>
    <w:rsid w:val="00766626"/>
    <w:rsid w:val="0076666E"/>
    <w:rsid w:val="00771421"/>
    <w:rsid w:val="00772981"/>
    <w:rsid w:val="007734F8"/>
    <w:rsid w:val="00774848"/>
    <w:rsid w:val="007749AA"/>
    <w:rsid w:val="00776054"/>
    <w:rsid w:val="00777828"/>
    <w:rsid w:val="00777CD2"/>
    <w:rsid w:val="0078303E"/>
    <w:rsid w:val="00783DED"/>
    <w:rsid w:val="00790F68"/>
    <w:rsid w:val="007918BF"/>
    <w:rsid w:val="00792186"/>
    <w:rsid w:val="00792421"/>
    <w:rsid w:val="007975E7"/>
    <w:rsid w:val="007979FE"/>
    <w:rsid w:val="007A2829"/>
    <w:rsid w:val="007A3F28"/>
    <w:rsid w:val="007A688C"/>
    <w:rsid w:val="007B022F"/>
    <w:rsid w:val="007B0CF3"/>
    <w:rsid w:val="007B1380"/>
    <w:rsid w:val="007B3004"/>
    <w:rsid w:val="007B406F"/>
    <w:rsid w:val="007B55EE"/>
    <w:rsid w:val="007B6252"/>
    <w:rsid w:val="007B6B33"/>
    <w:rsid w:val="007B6E98"/>
    <w:rsid w:val="007B763C"/>
    <w:rsid w:val="007C0D16"/>
    <w:rsid w:val="007C1C09"/>
    <w:rsid w:val="007C238C"/>
    <w:rsid w:val="007C34CE"/>
    <w:rsid w:val="007C4781"/>
    <w:rsid w:val="007C570E"/>
    <w:rsid w:val="007D12F5"/>
    <w:rsid w:val="007D48F9"/>
    <w:rsid w:val="007E613C"/>
    <w:rsid w:val="007F45A2"/>
    <w:rsid w:val="007F4D5D"/>
    <w:rsid w:val="007F6312"/>
    <w:rsid w:val="008021AD"/>
    <w:rsid w:val="00807A3B"/>
    <w:rsid w:val="00811375"/>
    <w:rsid w:val="008113EF"/>
    <w:rsid w:val="00811A42"/>
    <w:rsid w:val="00815081"/>
    <w:rsid w:val="00816635"/>
    <w:rsid w:val="0082148E"/>
    <w:rsid w:val="008329AB"/>
    <w:rsid w:val="0084110B"/>
    <w:rsid w:val="0084336E"/>
    <w:rsid w:val="00843835"/>
    <w:rsid w:val="008451EF"/>
    <w:rsid w:val="00851836"/>
    <w:rsid w:val="008519AC"/>
    <w:rsid w:val="008530DA"/>
    <w:rsid w:val="008557F1"/>
    <w:rsid w:val="0086381F"/>
    <w:rsid w:val="0087565C"/>
    <w:rsid w:val="00875A38"/>
    <w:rsid w:val="00880581"/>
    <w:rsid w:val="00881D1D"/>
    <w:rsid w:val="00890A9F"/>
    <w:rsid w:val="00890DB6"/>
    <w:rsid w:val="008918E4"/>
    <w:rsid w:val="0089771B"/>
    <w:rsid w:val="008A0516"/>
    <w:rsid w:val="008A6A99"/>
    <w:rsid w:val="008B256E"/>
    <w:rsid w:val="008B295B"/>
    <w:rsid w:val="008B6446"/>
    <w:rsid w:val="008B672C"/>
    <w:rsid w:val="008C043E"/>
    <w:rsid w:val="008C2DEA"/>
    <w:rsid w:val="008C4C9E"/>
    <w:rsid w:val="008D0C2A"/>
    <w:rsid w:val="008D139F"/>
    <w:rsid w:val="008D27AC"/>
    <w:rsid w:val="008D46B7"/>
    <w:rsid w:val="008D6134"/>
    <w:rsid w:val="008D7FB5"/>
    <w:rsid w:val="008E2B1C"/>
    <w:rsid w:val="008E75B1"/>
    <w:rsid w:val="008F0F4B"/>
    <w:rsid w:val="008F18F0"/>
    <w:rsid w:val="008F25E3"/>
    <w:rsid w:val="008F460B"/>
    <w:rsid w:val="008F5966"/>
    <w:rsid w:val="008F7449"/>
    <w:rsid w:val="008F7450"/>
    <w:rsid w:val="009005EC"/>
    <w:rsid w:val="009017AA"/>
    <w:rsid w:val="00906DF9"/>
    <w:rsid w:val="0090765D"/>
    <w:rsid w:val="00910CDC"/>
    <w:rsid w:val="00913685"/>
    <w:rsid w:val="009136AE"/>
    <w:rsid w:val="009147A6"/>
    <w:rsid w:val="00925A5F"/>
    <w:rsid w:val="00925CD7"/>
    <w:rsid w:val="009266D9"/>
    <w:rsid w:val="0093076A"/>
    <w:rsid w:val="00930DD2"/>
    <w:rsid w:val="00934D0C"/>
    <w:rsid w:val="009374A2"/>
    <w:rsid w:val="00943E59"/>
    <w:rsid w:val="00947786"/>
    <w:rsid w:val="0095733D"/>
    <w:rsid w:val="009600E4"/>
    <w:rsid w:val="00962547"/>
    <w:rsid w:val="00964B4F"/>
    <w:rsid w:val="00966EC9"/>
    <w:rsid w:val="00967760"/>
    <w:rsid w:val="00971703"/>
    <w:rsid w:val="0097259E"/>
    <w:rsid w:val="009726B0"/>
    <w:rsid w:val="009756AD"/>
    <w:rsid w:val="00982480"/>
    <w:rsid w:val="009842DA"/>
    <w:rsid w:val="00984AD4"/>
    <w:rsid w:val="00990EA4"/>
    <w:rsid w:val="00991781"/>
    <w:rsid w:val="00993556"/>
    <w:rsid w:val="0099399E"/>
    <w:rsid w:val="009A25D8"/>
    <w:rsid w:val="009A4734"/>
    <w:rsid w:val="009A710D"/>
    <w:rsid w:val="009B08D4"/>
    <w:rsid w:val="009B257E"/>
    <w:rsid w:val="009B744E"/>
    <w:rsid w:val="009C031F"/>
    <w:rsid w:val="009C1C91"/>
    <w:rsid w:val="009C47AE"/>
    <w:rsid w:val="009C62D0"/>
    <w:rsid w:val="009C6CE3"/>
    <w:rsid w:val="009D7AE6"/>
    <w:rsid w:val="009E0FEA"/>
    <w:rsid w:val="009E164D"/>
    <w:rsid w:val="009E6E14"/>
    <w:rsid w:val="009E6E4B"/>
    <w:rsid w:val="009F0B96"/>
    <w:rsid w:val="009F4B26"/>
    <w:rsid w:val="009F5F9D"/>
    <w:rsid w:val="009F6B30"/>
    <w:rsid w:val="009F78C8"/>
    <w:rsid w:val="00A02026"/>
    <w:rsid w:val="00A03B84"/>
    <w:rsid w:val="00A040F5"/>
    <w:rsid w:val="00A06230"/>
    <w:rsid w:val="00A0692E"/>
    <w:rsid w:val="00A13AA0"/>
    <w:rsid w:val="00A170F3"/>
    <w:rsid w:val="00A17DA7"/>
    <w:rsid w:val="00A20E8E"/>
    <w:rsid w:val="00A25111"/>
    <w:rsid w:val="00A25C65"/>
    <w:rsid w:val="00A274D8"/>
    <w:rsid w:val="00A30577"/>
    <w:rsid w:val="00A30F69"/>
    <w:rsid w:val="00A32021"/>
    <w:rsid w:val="00A3333C"/>
    <w:rsid w:val="00A419B0"/>
    <w:rsid w:val="00A41B53"/>
    <w:rsid w:val="00A55F6D"/>
    <w:rsid w:val="00A56B6E"/>
    <w:rsid w:val="00A6112B"/>
    <w:rsid w:val="00A62C56"/>
    <w:rsid w:val="00A67E3F"/>
    <w:rsid w:val="00A717F4"/>
    <w:rsid w:val="00A733D6"/>
    <w:rsid w:val="00A75052"/>
    <w:rsid w:val="00A75CBF"/>
    <w:rsid w:val="00A770D2"/>
    <w:rsid w:val="00A826DB"/>
    <w:rsid w:val="00A82F83"/>
    <w:rsid w:val="00A867D1"/>
    <w:rsid w:val="00A87425"/>
    <w:rsid w:val="00A9205F"/>
    <w:rsid w:val="00A92439"/>
    <w:rsid w:val="00A964E5"/>
    <w:rsid w:val="00A965C2"/>
    <w:rsid w:val="00AA3992"/>
    <w:rsid w:val="00AB1422"/>
    <w:rsid w:val="00AB5E25"/>
    <w:rsid w:val="00AC06DD"/>
    <w:rsid w:val="00AC1A1A"/>
    <w:rsid w:val="00AC1DBF"/>
    <w:rsid w:val="00AC2C96"/>
    <w:rsid w:val="00AC6DB3"/>
    <w:rsid w:val="00AD3063"/>
    <w:rsid w:val="00AD5AFC"/>
    <w:rsid w:val="00AD5EE6"/>
    <w:rsid w:val="00AE3308"/>
    <w:rsid w:val="00AE5860"/>
    <w:rsid w:val="00AF1926"/>
    <w:rsid w:val="00AF33F5"/>
    <w:rsid w:val="00AF3691"/>
    <w:rsid w:val="00AF47DD"/>
    <w:rsid w:val="00AF48BB"/>
    <w:rsid w:val="00AF7E9F"/>
    <w:rsid w:val="00B03A1E"/>
    <w:rsid w:val="00B04FD6"/>
    <w:rsid w:val="00B058E9"/>
    <w:rsid w:val="00B05DA7"/>
    <w:rsid w:val="00B06886"/>
    <w:rsid w:val="00B10840"/>
    <w:rsid w:val="00B12531"/>
    <w:rsid w:val="00B139E3"/>
    <w:rsid w:val="00B13DD2"/>
    <w:rsid w:val="00B1486E"/>
    <w:rsid w:val="00B16349"/>
    <w:rsid w:val="00B20FA3"/>
    <w:rsid w:val="00B2226F"/>
    <w:rsid w:val="00B23F49"/>
    <w:rsid w:val="00B24952"/>
    <w:rsid w:val="00B24E16"/>
    <w:rsid w:val="00B25A5A"/>
    <w:rsid w:val="00B270AC"/>
    <w:rsid w:val="00B27868"/>
    <w:rsid w:val="00B335DE"/>
    <w:rsid w:val="00B3405A"/>
    <w:rsid w:val="00B352EE"/>
    <w:rsid w:val="00B37CE7"/>
    <w:rsid w:val="00B416DD"/>
    <w:rsid w:val="00B41CFE"/>
    <w:rsid w:val="00B44840"/>
    <w:rsid w:val="00B459BF"/>
    <w:rsid w:val="00B461C2"/>
    <w:rsid w:val="00B50B54"/>
    <w:rsid w:val="00B50CCC"/>
    <w:rsid w:val="00B5344E"/>
    <w:rsid w:val="00B5449D"/>
    <w:rsid w:val="00B602B7"/>
    <w:rsid w:val="00B64D26"/>
    <w:rsid w:val="00B66E6E"/>
    <w:rsid w:val="00B703E7"/>
    <w:rsid w:val="00B70E30"/>
    <w:rsid w:val="00B71A9B"/>
    <w:rsid w:val="00B7468D"/>
    <w:rsid w:val="00B77982"/>
    <w:rsid w:val="00B84922"/>
    <w:rsid w:val="00B85B84"/>
    <w:rsid w:val="00B86509"/>
    <w:rsid w:val="00B86D37"/>
    <w:rsid w:val="00B87D1D"/>
    <w:rsid w:val="00B90A47"/>
    <w:rsid w:val="00BA2FEF"/>
    <w:rsid w:val="00BA627E"/>
    <w:rsid w:val="00BA6550"/>
    <w:rsid w:val="00BA740D"/>
    <w:rsid w:val="00BA7EE7"/>
    <w:rsid w:val="00BB0AD4"/>
    <w:rsid w:val="00BB4C7F"/>
    <w:rsid w:val="00BB5538"/>
    <w:rsid w:val="00BC0478"/>
    <w:rsid w:val="00BC3C38"/>
    <w:rsid w:val="00BC3D84"/>
    <w:rsid w:val="00BC4FA2"/>
    <w:rsid w:val="00BD22F3"/>
    <w:rsid w:val="00BD44E0"/>
    <w:rsid w:val="00BD4814"/>
    <w:rsid w:val="00BD7466"/>
    <w:rsid w:val="00BE0C87"/>
    <w:rsid w:val="00BE111F"/>
    <w:rsid w:val="00BE21EA"/>
    <w:rsid w:val="00BF15A3"/>
    <w:rsid w:val="00BF35A7"/>
    <w:rsid w:val="00BF383E"/>
    <w:rsid w:val="00BF6388"/>
    <w:rsid w:val="00BF7C7F"/>
    <w:rsid w:val="00C01747"/>
    <w:rsid w:val="00C04EF3"/>
    <w:rsid w:val="00C124E8"/>
    <w:rsid w:val="00C24B0B"/>
    <w:rsid w:val="00C24C83"/>
    <w:rsid w:val="00C25D4E"/>
    <w:rsid w:val="00C30C7B"/>
    <w:rsid w:val="00C33FC8"/>
    <w:rsid w:val="00C35A96"/>
    <w:rsid w:val="00C36DD2"/>
    <w:rsid w:val="00C37F85"/>
    <w:rsid w:val="00C40B38"/>
    <w:rsid w:val="00C44805"/>
    <w:rsid w:val="00C50CEF"/>
    <w:rsid w:val="00C51C6E"/>
    <w:rsid w:val="00C52AFB"/>
    <w:rsid w:val="00C562F6"/>
    <w:rsid w:val="00C572C1"/>
    <w:rsid w:val="00C62097"/>
    <w:rsid w:val="00C62824"/>
    <w:rsid w:val="00C7120E"/>
    <w:rsid w:val="00C74952"/>
    <w:rsid w:val="00C75359"/>
    <w:rsid w:val="00C77DAB"/>
    <w:rsid w:val="00C804DA"/>
    <w:rsid w:val="00C80968"/>
    <w:rsid w:val="00C83BA7"/>
    <w:rsid w:val="00C83E67"/>
    <w:rsid w:val="00C94ABB"/>
    <w:rsid w:val="00C97183"/>
    <w:rsid w:val="00CA09EF"/>
    <w:rsid w:val="00CA3C1B"/>
    <w:rsid w:val="00CB08A0"/>
    <w:rsid w:val="00CB6313"/>
    <w:rsid w:val="00CC0F68"/>
    <w:rsid w:val="00CC1EF3"/>
    <w:rsid w:val="00CC3680"/>
    <w:rsid w:val="00CC5EE1"/>
    <w:rsid w:val="00CD077F"/>
    <w:rsid w:val="00CD0B74"/>
    <w:rsid w:val="00CD4683"/>
    <w:rsid w:val="00CD4DBE"/>
    <w:rsid w:val="00CD5DDA"/>
    <w:rsid w:val="00CF22C7"/>
    <w:rsid w:val="00CF44BE"/>
    <w:rsid w:val="00CF4593"/>
    <w:rsid w:val="00CF49BE"/>
    <w:rsid w:val="00D04406"/>
    <w:rsid w:val="00D04DA6"/>
    <w:rsid w:val="00D10210"/>
    <w:rsid w:val="00D10E98"/>
    <w:rsid w:val="00D12269"/>
    <w:rsid w:val="00D12F8A"/>
    <w:rsid w:val="00D14978"/>
    <w:rsid w:val="00D167DD"/>
    <w:rsid w:val="00D17C2A"/>
    <w:rsid w:val="00D203E4"/>
    <w:rsid w:val="00D2103E"/>
    <w:rsid w:val="00D21491"/>
    <w:rsid w:val="00D215A6"/>
    <w:rsid w:val="00D23376"/>
    <w:rsid w:val="00D3123A"/>
    <w:rsid w:val="00D3425E"/>
    <w:rsid w:val="00D3644F"/>
    <w:rsid w:val="00D43B22"/>
    <w:rsid w:val="00D441EC"/>
    <w:rsid w:val="00D45174"/>
    <w:rsid w:val="00D474A5"/>
    <w:rsid w:val="00D55F26"/>
    <w:rsid w:val="00D66DE2"/>
    <w:rsid w:val="00D66F19"/>
    <w:rsid w:val="00D7007E"/>
    <w:rsid w:val="00D721A8"/>
    <w:rsid w:val="00D7524D"/>
    <w:rsid w:val="00D771DA"/>
    <w:rsid w:val="00D7757F"/>
    <w:rsid w:val="00D80138"/>
    <w:rsid w:val="00D80271"/>
    <w:rsid w:val="00DA4058"/>
    <w:rsid w:val="00DB0795"/>
    <w:rsid w:val="00DB359A"/>
    <w:rsid w:val="00DB3B33"/>
    <w:rsid w:val="00DB5178"/>
    <w:rsid w:val="00DB5593"/>
    <w:rsid w:val="00DB5B82"/>
    <w:rsid w:val="00DC1E5A"/>
    <w:rsid w:val="00DC2BF0"/>
    <w:rsid w:val="00DC3DC8"/>
    <w:rsid w:val="00DC5B93"/>
    <w:rsid w:val="00DD00E7"/>
    <w:rsid w:val="00DD1E49"/>
    <w:rsid w:val="00DD31EC"/>
    <w:rsid w:val="00DD3546"/>
    <w:rsid w:val="00DD4847"/>
    <w:rsid w:val="00DD61C6"/>
    <w:rsid w:val="00DE31FF"/>
    <w:rsid w:val="00DE33F7"/>
    <w:rsid w:val="00DE3B13"/>
    <w:rsid w:val="00DE42D9"/>
    <w:rsid w:val="00DE5D4D"/>
    <w:rsid w:val="00DF07C7"/>
    <w:rsid w:val="00DF19AC"/>
    <w:rsid w:val="00DF6AD8"/>
    <w:rsid w:val="00E0065D"/>
    <w:rsid w:val="00E01FDF"/>
    <w:rsid w:val="00E032B1"/>
    <w:rsid w:val="00E041EE"/>
    <w:rsid w:val="00E0504C"/>
    <w:rsid w:val="00E076EB"/>
    <w:rsid w:val="00E07B93"/>
    <w:rsid w:val="00E12752"/>
    <w:rsid w:val="00E215B9"/>
    <w:rsid w:val="00E25A80"/>
    <w:rsid w:val="00E276E7"/>
    <w:rsid w:val="00E3060A"/>
    <w:rsid w:val="00E37324"/>
    <w:rsid w:val="00E41C04"/>
    <w:rsid w:val="00E41E21"/>
    <w:rsid w:val="00E424CE"/>
    <w:rsid w:val="00E43151"/>
    <w:rsid w:val="00E43A0F"/>
    <w:rsid w:val="00E4629C"/>
    <w:rsid w:val="00E4741B"/>
    <w:rsid w:val="00E54062"/>
    <w:rsid w:val="00E62A98"/>
    <w:rsid w:val="00E62C8B"/>
    <w:rsid w:val="00E641E3"/>
    <w:rsid w:val="00E668DC"/>
    <w:rsid w:val="00E71297"/>
    <w:rsid w:val="00E75D24"/>
    <w:rsid w:val="00E84B8D"/>
    <w:rsid w:val="00E90F31"/>
    <w:rsid w:val="00E92F42"/>
    <w:rsid w:val="00E96B32"/>
    <w:rsid w:val="00EA1DC0"/>
    <w:rsid w:val="00EB01EC"/>
    <w:rsid w:val="00EB1101"/>
    <w:rsid w:val="00EB2312"/>
    <w:rsid w:val="00EC0739"/>
    <w:rsid w:val="00EC1415"/>
    <w:rsid w:val="00EC6E85"/>
    <w:rsid w:val="00EC7220"/>
    <w:rsid w:val="00ED0B5E"/>
    <w:rsid w:val="00ED6303"/>
    <w:rsid w:val="00ED79B0"/>
    <w:rsid w:val="00EE16F7"/>
    <w:rsid w:val="00EE6333"/>
    <w:rsid w:val="00EE7701"/>
    <w:rsid w:val="00EF20FD"/>
    <w:rsid w:val="00F043B0"/>
    <w:rsid w:val="00F0658B"/>
    <w:rsid w:val="00F12C77"/>
    <w:rsid w:val="00F1552C"/>
    <w:rsid w:val="00F159F9"/>
    <w:rsid w:val="00F16EFE"/>
    <w:rsid w:val="00F17765"/>
    <w:rsid w:val="00F206BD"/>
    <w:rsid w:val="00F20A1F"/>
    <w:rsid w:val="00F24802"/>
    <w:rsid w:val="00F24A99"/>
    <w:rsid w:val="00F2782C"/>
    <w:rsid w:val="00F3153E"/>
    <w:rsid w:val="00F321C5"/>
    <w:rsid w:val="00F3321F"/>
    <w:rsid w:val="00F34FD3"/>
    <w:rsid w:val="00F36620"/>
    <w:rsid w:val="00F40141"/>
    <w:rsid w:val="00F41668"/>
    <w:rsid w:val="00F422C9"/>
    <w:rsid w:val="00F429DA"/>
    <w:rsid w:val="00F46F14"/>
    <w:rsid w:val="00F506BE"/>
    <w:rsid w:val="00F526E6"/>
    <w:rsid w:val="00F52972"/>
    <w:rsid w:val="00F5377D"/>
    <w:rsid w:val="00F5495D"/>
    <w:rsid w:val="00F56595"/>
    <w:rsid w:val="00F57FCD"/>
    <w:rsid w:val="00F61313"/>
    <w:rsid w:val="00F623EA"/>
    <w:rsid w:val="00F66F82"/>
    <w:rsid w:val="00F71A04"/>
    <w:rsid w:val="00F71E21"/>
    <w:rsid w:val="00F74444"/>
    <w:rsid w:val="00F756F7"/>
    <w:rsid w:val="00F77864"/>
    <w:rsid w:val="00F807FB"/>
    <w:rsid w:val="00F81183"/>
    <w:rsid w:val="00F81BB0"/>
    <w:rsid w:val="00F836E4"/>
    <w:rsid w:val="00F865B4"/>
    <w:rsid w:val="00F87281"/>
    <w:rsid w:val="00F90ABC"/>
    <w:rsid w:val="00F91C17"/>
    <w:rsid w:val="00F92A16"/>
    <w:rsid w:val="00F9306B"/>
    <w:rsid w:val="00F964CF"/>
    <w:rsid w:val="00F96CC3"/>
    <w:rsid w:val="00FA00B4"/>
    <w:rsid w:val="00FA1334"/>
    <w:rsid w:val="00FA2839"/>
    <w:rsid w:val="00FA59CC"/>
    <w:rsid w:val="00FB098E"/>
    <w:rsid w:val="00FB1FE2"/>
    <w:rsid w:val="00FB3DB9"/>
    <w:rsid w:val="00FC00DD"/>
    <w:rsid w:val="00FC41DD"/>
    <w:rsid w:val="00FC4A03"/>
    <w:rsid w:val="00FC5DEE"/>
    <w:rsid w:val="00FC6F30"/>
    <w:rsid w:val="00FD1C96"/>
    <w:rsid w:val="00FD3A36"/>
    <w:rsid w:val="00FE5DC8"/>
    <w:rsid w:val="00FE650A"/>
    <w:rsid w:val="00FF1D21"/>
    <w:rsid w:val="00FF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00DD"/>
    <w:rPr>
      <w:sz w:val="24"/>
      <w:szCs w:val="24"/>
    </w:rPr>
  </w:style>
  <w:style w:type="paragraph" w:styleId="Heading1">
    <w:name w:val="heading 1"/>
    <w:basedOn w:val="Normal"/>
    <w:next w:val="Normal"/>
    <w:link w:val="Heading1Char"/>
    <w:uiPriority w:val="99"/>
    <w:qFormat/>
    <w:rsid w:val="008C2DEA"/>
    <w:pPr>
      <w:keepNext/>
      <w:jc w:val="center"/>
      <w:outlineLvl w:val="0"/>
    </w:pPr>
    <w:rPr>
      <w:rFonts w:ascii="Courier" w:hAnsi="Courier"/>
      <w:b/>
      <w:szCs w:val="20"/>
    </w:rPr>
  </w:style>
  <w:style w:type="paragraph" w:styleId="Heading2">
    <w:name w:val="heading 2"/>
    <w:basedOn w:val="Normal"/>
    <w:next w:val="Normal"/>
    <w:link w:val="Heading2Char"/>
    <w:uiPriority w:val="99"/>
    <w:qFormat/>
    <w:rsid w:val="008C2DEA"/>
    <w:pPr>
      <w:keepNext/>
      <w:jc w:val="right"/>
      <w:outlineLvl w:val="1"/>
    </w:pPr>
    <w:rPr>
      <w:rFonts w:ascii="Arial" w:hAnsi="Arial"/>
      <w:b/>
      <w:sz w:val="20"/>
      <w:szCs w:val="20"/>
      <w:u w:val="single"/>
    </w:rPr>
  </w:style>
  <w:style w:type="paragraph" w:styleId="Heading3">
    <w:name w:val="heading 3"/>
    <w:basedOn w:val="Normal"/>
    <w:next w:val="Normal"/>
    <w:link w:val="Heading3Char"/>
    <w:uiPriority w:val="99"/>
    <w:qFormat/>
    <w:rsid w:val="008C2DEA"/>
    <w:pPr>
      <w:keepNext/>
      <w:tabs>
        <w:tab w:val="left" w:pos="540"/>
      </w:tabs>
      <w:autoSpaceDE w:val="0"/>
      <w:autoSpaceDN w:val="0"/>
      <w:adjustRightInd w:val="0"/>
      <w:outlineLvl w:val="2"/>
    </w:pPr>
    <w:rPr>
      <w:b/>
      <w:bCs/>
      <w:color w:val="000000"/>
    </w:rPr>
  </w:style>
  <w:style w:type="paragraph" w:styleId="Heading4">
    <w:name w:val="heading 4"/>
    <w:basedOn w:val="Normal"/>
    <w:next w:val="Normal"/>
    <w:link w:val="Heading4Char"/>
    <w:uiPriority w:val="99"/>
    <w:qFormat/>
    <w:rsid w:val="008C2DEA"/>
    <w:pPr>
      <w:keepNext/>
      <w:numPr>
        <w:numId w:val="1"/>
      </w:numPr>
      <w:tabs>
        <w:tab w:val="clear" w:pos="720"/>
        <w:tab w:val="num" w:pos="1080"/>
      </w:tabs>
      <w:ind w:left="1080" w:hanging="720"/>
      <w:outlineLvl w:val="3"/>
    </w:pPr>
    <w:rPr>
      <w:rFonts w:ascii="Courier New" w:hAnsi="Courier New"/>
      <w:b/>
      <w:szCs w:val="20"/>
    </w:rPr>
  </w:style>
  <w:style w:type="paragraph" w:styleId="Heading5">
    <w:name w:val="heading 5"/>
    <w:basedOn w:val="Normal"/>
    <w:next w:val="Normal"/>
    <w:link w:val="Heading5Char"/>
    <w:uiPriority w:val="99"/>
    <w:qFormat/>
    <w:rsid w:val="008C2DEA"/>
    <w:pPr>
      <w:keepNext/>
      <w:outlineLvl w:val="4"/>
    </w:pPr>
    <w:rPr>
      <w:b/>
      <w:bCs/>
      <w:sz w:val="18"/>
    </w:rPr>
  </w:style>
  <w:style w:type="paragraph" w:styleId="Heading6">
    <w:name w:val="heading 6"/>
    <w:basedOn w:val="Normal"/>
    <w:next w:val="Normal"/>
    <w:link w:val="Heading6Char"/>
    <w:uiPriority w:val="99"/>
    <w:qFormat/>
    <w:rsid w:val="008C2DEA"/>
    <w:pPr>
      <w:keepNext/>
      <w:numPr>
        <w:numId w:val="13"/>
      </w:numPr>
      <w:outlineLvl w:val="5"/>
    </w:pPr>
    <w:rPr>
      <w:b/>
      <w:szCs w:val="20"/>
    </w:rPr>
  </w:style>
  <w:style w:type="paragraph" w:styleId="Heading7">
    <w:name w:val="heading 7"/>
    <w:basedOn w:val="Normal"/>
    <w:next w:val="Normal"/>
    <w:link w:val="Heading7Char"/>
    <w:qFormat/>
    <w:rsid w:val="008C2DEA"/>
    <w:pPr>
      <w:keepNext/>
      <w:jc w:val="center"/>
      <w:outlineLvl w:val="6"/>
    </w:pPr>
    <w:rPr>
      <w:szCs w:val="20"/>
    </w:rPr>
  </w:style>
  <w:style w:type="paragraph" w:styleId="Heading8">
    <w:name w:val="heading 8"/>
    <w:basedOn w:val="Normal"/>
    <w:next w:val="Normal"/>
    <w:link w:val="Heading8Char"/>
    <w:uiPriority w:val="99"/>
    <w:qFormat/>
    <w:rsid w:val="008C2DEA"/>
    <w:pPr>
      <w:keepNext/>
      <w:tabs>
        <w:tab w:val="right" w:pos="8928"/>
      </w:tabs>
      <w:jc w:val="center"/>
      <w:outlineLvl w:val="7"/>
    </w:pPr>
    <w:rPr>
      <w:rFonts w:ascii="Arial" w:hAnsi="Arial" w:cs="Arial"/>
      <w:b/>
      <w:sz w:val="48"/>
    </w:rPr>
  </w:style>
  <w:style w:type="paragraph" w:styleId="Heading9">
    <w:name w:val="heading 9"/>
    <w:basedOn w:val="Normal"/>
    <w:next w:val="Normal"/>
    <w:link w:val="Heading9Char"/>
    <w:uiPriority w:val="99"/>
    <w:qFormat/>
    <w:rsid w:val="008C2DEA"/>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293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8293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829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82938"/>
    <w:rPr>
      <w:rFonts w:ascii="Courier New" w:hAnsi="Courier New" w:cs="Times New Roman"/>
      <w:b/>
      <w:sz w:val="24"/>
      <w:lang w:val="en-US" w:eastAsia="en-US" w:bidi="ar-SA"/>
    </w:rPr>
  </w:style>
  <w:style w:type="character" w:customStyle="1" w:styleId="Heading5Char">
    <w:name w:val="Heading 5 Char"/>
    <w:basedOn w:val="DefaultParagraphFont"/>
    <w:link w:val="Heading5"/>
    <w:uiPriority w:val="99"/>
    <w:semiHidden/>
    <w:locked/>
    <w:rsid w:val="00382938"/>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382938"/>
    <w:rPr>
      <w:b/>
      <w:sz w:val="24"/>
      <w:szCs w:val="20"/>
    </w:rPr>
  </w:style>
  <w:style w:type="character" w:customStyle="1" w:styleId="Heading7Char">
    <w:name w:val="Heading 7 Char"/>
    <w:basedOn w:val="DefaultParagraphFont"/>
    <w:link w:val="Heading7"/>
    <w:uiPriority w:val="99"/>
    <w:semiHidden/>
    <w:locked/>
    <w:rsid w:val="0038293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8293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82938"/>
    <w:rPr>
      <w:rFonts w:ascii="Cambria" w:hAnsi="Cambria" w:cs="Times New Roman"/>
    </w:rPr>
  </w:style>
  <w:style w:type="paragraph" w:styleId="Footer">
    <w:name w:val="footer"/>
    <w:basedOn w:val="Normal"/>
    <w:link w:val="FooterChar"/>
    <w:uiPriority w:val="99"/>
    <w:rsid w:val="008C2DEA"/>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character" w:customStyle="1" w:styleId="FooterChar">
    <w:name w:val="Footer Char"/>
    <w:basedOn w:val="DefaultParagraphFont"/>
    <w:link w:val="Footer"/>
    <w:uiPriority w:val="99"/>
    <w:locked/>
    <w:rsid w:val="00427F7F"/>
    <w:rPr>
      <w:rFonts w:ascii="Courier New" w:hAnsi="Courier New" w:cs="Times New Roman"/>
    </w:rPr>
  </w:style>
  <w:style w:type="paragraph" w:customStyle="1" w:styleId="xl19">
    <w:name w:val="xl19"/>
    <w:basedOn w:val="Normal"/>
    <w:uiPriority w:val="99"/>
    <w:rsid w:val="008C2DEA"/>
    <w:pPr>
      <w:spacing w:before="100" w:after="100"/>
    </w:pPr>
    <w:rPr>
      <w:szCs w:val="20"/>
    </w:rPr>
  </w:style>
  <w:style w:type="paragraph" w:customStyle="1" w:styleId="APP-3A">
    <w:name w:val="APP-3A"/>
    <w:uiPriority w:val="99"/>
    <w:rsid w:val="008C2DEA"/>
    <w:rPr>
      <w:rFonts w:ascii="Arial" w:hAnsi="Arial"/>
      <w:b/>
      <w:sz w:val="20"/>
      <w:szCs w:val="20"/>
    </w:rPr>
  </w:style>
  <w:style w:type="paragraph" w:customStyle="1" w:styleId="xl33">
    <w:name w:val="xl33"/>
    <w:basedOn w:val="Normal"/>
    <w:uiPriority w:val="99"/>
    <w:rsid w:val="008C2DEA"/>
    <w:pPr>
      <w:spacing w:before="100" w:after="100"/>
      <w:jc w:val="center"/>
    </w:pPr>
    <w:rPr>
      <w:rFonts w:ascii="Arial" w:hAnsi="Arial"/>
      <w:b/>
      <w:szCs w:val="20"/>
    </w:rPr>
  </w:style>
  <w:style w:type="paragraph" w:styleId="BodyText">
    <w:name w:val="Body Text"/>
    <w:aliases w:val="Hanging"/>
    <w:basedOn w:val="Normal"/>
    <w:link w:val="BodyTextChar"/>
    <w:uiPriority w:val="99"/>
    <w:rsid w:val="008C2DEA"/>
    <w:rPr>
      <w:szCs w:val="20"/>
    </w:rPr>
  </w:style>
  <w:style w:type="character" w:customStyle="1" w:styleId="BodyTextChar">
    <w:name w:val="Body Text Char"/>
    <w:aliases w:val="Hanging Char"/>
    <w:basedOn w:val="DefaultParagraphFont"/>
    <w:link w:val="BodyText"/>
    <w:uiPriority w:val="99"/>
    <w:semiHidden/>
    <w:locked/>
    <w:rsid w:val="00382938"/>
    <w:rPr>
      <w:rFonts w:cs="Times New Roman"/>
      <w:sz w:val="24"/>
      <w:szCs w:val="24"/>
    </w:rPr>
  </w:style>
  <w:style w:type="paragraph" w:customStyle="1" w:styleId="xl27">
    <w:name w:val="xl27"/>
    <w:basedOn w:val="Normal"/>
    <w:uiPriority w:val="99"/>
    <w:rsid w:val="008C2DEA"/>
    <w:pPr>
      <w:spacing w:before="100" w:after="100"/>
    </w:pPr>
    <w:rPr>
      <w:rFonts w:ascii="Arial" w:hAnsi="Arial"/>
      <w:b/>
      <w:szCs w:val="20"/>
    </w:rPr>
  </w:style>
  <w:style w:type="paragraph" w:styleId="FootnoteText">
    <w:name w:val="footnote text"/>
    <w:basedOn w:val="Normal"/>
    <w:link w:val="FootnoteTextChar"/>
    <w:uiPriority w:val="99"/>
    <w:semiHidden/>
    <w:rsid w:val="008C2DEA"/>
    <w:rPr>
      <w:sz w:val="20"/>
      <w:szCs w:val="20"/>
    </w:rPr>
  </w:style>
  <w:style w:type="character" w:customStyle="1" w:styleId="FootnoteTextChar">
    <w:name w:val="Footnote Text Char"/>
    <w:basedOn w:val="DefaultParagraphFont"/>
    <w:link w:val="FootnoteText"/>
    <w:uiPriority w:val="99"/>
    <w:semiHidden/>
    <w:locked/>
    <w:rsid w:val="00382938"/>
    <w:rPr>
      <w:rFonts w:cs="Times New Roman"/>
      <w:sz w:val="20"/>
      <w:szCs w:val="20"/>
    </w:rPr>
  </w:style>
  <w:style w:type="paragraph" w:customStyle="1" w:styleId="xl34">
    <w:name w:val="xl34"/>
    <w:basedOn w:val="Normal"/>
    <w:uiPriority w:val="99"/>
    <w:rsid w:val="008C2DEA"/>
    <w:pPr>
      <w:spacing w:before="100" w:after="100"/>
      <w:jc w:val="center"/>
    </w:pPr>
    <w:rPr>
      <w:b/>
      <w:sz w:val="20"/>
      <w:szCs w:val="20"/>
    </w:rPr>
  </w:style>
  <w:style w:type="paragraph" w:styleId="Title">
    <w:name w:val="Title"/>
    <w:basedOn w:val="Normal"/>
    <w:link w:val="TitleChar"/>
    <w:qFormat/>
    <w:rsid w:val="008C2DEA"/>
    <w:pPr>
      <w:ind w:left="720"/>
      <w:jc w:val="center"/>
    </w:pPr>
    <w:rPr>
      <w:b/>
      <w:i/>
      <w:szCs w:val="20"/>
    </w:rPr>
  </w:style>
  <w:style w:type="character" w:customStyle="1" w:styleId="TitleChar">
    <w:name w:val="Title Char"/>
    <w:basedOn w:val="DefaultParagraphFont"/>
    <w:link w:val="Title"/>
    <w:uiPriority w:val="99"/>
    <w:locked/>
    <w:rsid w:val="00382938"/>
    <w:rPr>
      <w:rFonts w:ascii="Cambria" w:hAnsi="Cambria" w:cs="Times New Roman"/>
      <w:b/>
      <w:bCs/>
      <w:kern w:val="28"/>
      <w:sz w:val="32"/>
      <w:szCs w:val="32"/>
    </w:rPr>
  </w:style>
  <w:style w:type="paragraph" w:styleId="BodyText2">
    <w:name w:val="Body Text 2"/>
    <w:basedOn w:val="Normal"/>
    <w:link w:val="BodyText2Char"/>
    <w:uiPriority w:val="99"/>
    <w:rsid w:val="008C2DEA"/>
    <w:rPr>
      <w:sz w:val="20"/>
      <w:szCs w:val="20"/>
    </w:rPr>
  </w:style>
  <w:style w:type="character" w:customStyle="1" w:styleId="BodyText2Char">
    <w:name w:val="Body Text 2 Char"/>
    <w:basedOn w:val="DefaultParagraphFont"/>
    <w:link w:val="BodyText2"/>
    <w:uiPriority w:val="99"/>
    <w:semiHidden/>
    <w:locked/>
    <w:rsid w:val="00382938"/>
    <w:rPr>
      <w:rFonts w:cs="Times New Roman"/>
      <w:sz w:val="24"/>
      <w:szCs w:val="24"/>
    </w:rPr>
  </w:style>
  <w:style w:type="paragraph" w:styleId="Header">
    <w:name w:val="header"/>
    <w:basedOn w:val="Normal"/>
    <w:link w:val="HeaderChar"/>
    <w:uiPriority w:val="99"/>
    <w:rsid w:val="008C2DEA"/>
    <w:pPr>
      <w:tabs>
        <w:tab w:val="center" w:pos="4320"/>
        <w:tab w:val="right" w:pos="8640"/>
      </w:tabs>
    </w:pPr>
    <w:rPr>
      <w:rFonts w:ascii="CG Times" w:hAnsi="CG Times"/>
      <w:szCs w:val="20"/>
    </w:rPr>
  </w:style>
  <w:style w:type="character" w:customStyle="1" w:styleId="HeaderChar">
    <w:name w:val="Header Char"/>
    <w:basedOn w:val="DefaultParagraphFont"/>
    <w:link w:val="Header"/>
    <w:uiPriority w:val="99"/>
    <w:semiHidden/>
    <w:locked/>
    <w:rsid w:val="00382938"/>
    <w:rPr>
      <w:rFonts w:cs="Times New Roman"/>
      <w:sz w:val="24"/>
      <w:szCs w:val="24"/>
    </w:rPr>
  </w:style>
  <w:style w:type="paragraph" w:customStyle="1" w:styleId="xl24">
    <w:name w:val="xl24"/>
    <w:basedOn w:val="Normal"/>
    <w:rsid w:val="008C2DEA"/>
    <w:pPr>
      <w:spacing w:before="100" w:after="100"/>
    </w:pPr>
    <w:rPr>
      <w:szCs w:val="20"/>
      <w:u w:val="single"/>
    </w:rPr>
  </w:style>
  <w:style w:type="paragraph" w:styleId="BodyText3">
    <w:name w:val="Body Text 3"/>
    <w:basedOn w:val="Normal"/>
    <w:link w:val="BodyText3Char"/>
    <w:uiPriority w:val="99"/>
    <w:rsid w:val="008C2DEA"/>
    <w:rPr>
      <w:color w:val="000000"/>
      <w:szCs w:val="20"/>
    </w:rPr>
  </w:style>
  <w:style w:type="character" w:customStyle="1" w:styleId="BodyText3Char">
    <w:name w:val="Body Text 3 Char"/>
    <w:basedOn w:val="DefaultParagraphFont"/>
    <w:link w:val="BodyText3"/>
    <w:uiPriority w:val="99"/>
    <w:semiHidden/>
    <w:locked/>
    <w:rsid w:val="00382938"/>
    <w:rPr>
      <w:rFonts w:cs="Times New Roman"/>
      <w:sz w:val="16"/>
      <w:szCs w:val="16"/>
    </w:rPr>
  </w:style>
  <w:style w:type="paragraph" w:customStyle="1" w:styleId="xl22">
    <w:name w:val="xl22"/>
    <w:basedOn w:val="Normal"/>
    <w:uiPriority w:val="99"/>
    <w:rsid w:val="008C2DEA"/>
    <w:pPr>
      <w:spacing w:before="100" w:after="100"/>
      <w:jc w:val="center"/>
    </w:pPr>
    <w:rPr>
      <w:szCs w:val="20"/>
      <w:u w:val="single"/>
    </w:rPr>
  </w:style>
  <w:style w:type="paragraph" w:styleId="TOC1">
    <w:name w:val="toc 1"/>
    <w:basedOn w:val="Normal"/>
    <w:next w:val="Normal"/>
    <w:autoRedefine/>
    <w:uiPriority w:val="99"/>
    <w:semiHidden/>
    <w:rsid w:val="008C2DEA"/>
    <w:pPr>
      <w:jc w:val="right"/>
    </w:pPr>
    <w:rPr>
      <w:szCs w:val="20"/>
    </w:rPr>
  </w:style>
  <w:style w:type="paragraph" w:styleId="TOAHeading">
    <w:name w:val="toa heading"/>
    <w:basedOn w:val="Normal"/>
    <w:next w:val="Normal"/>
    <w:uiPriority w:val="99"/>
    <w:semiHidden/>
    <w:rsid w:val="008C2DEA"/>
    <w:pPr>
      <w:widowControl w:val="0"/>
      <w:tabs>
        <w:tab w:val="right" w:pos="9360"/>
      </w:tabs>
      <w:suppressAutoHyphens/>
    </w:pPr>
    <w:rPr>
      <w:rFonts w:ascii="Courier New" w:hAnsi="Courier New"/>
      <w:sz w:val="20"/>
      <w:szCs w:val="20"/>
    </w:rPr>
  </w:style>
  <w:style w:type="character" w:styleId="PageNumber">
    <w:name w:val="page number"/>
    <w:basedOn w:val="DefaultParagraphFont"/>
    <w:uiPriority w:val="99"/>
    <w:rsid w:val="008C2DEA"/>
    <w:rPr>
      <w:rFonts w:cs="Times New Roman"/>
    </w:rPr>
  </w:style>
  <w:style w:type="paragraph" w:styleId="BodyTextIndent">
    <w:name w:val="Body Text Indent"/>
    <w:basedOn w:val="Normal"/>
    <w:link w:val="BodyTextIndentChar"/>
    <w:uiPriority w:val="99"/>
    <w:rsid w:val="008C2DEA"/>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uiPriority w:val="99"/>
    <w:semiHidden/>
    <w:locked/>
    <w:rsid w:val="00382938"/>
    <w:rPr>
      <w:rFonts w:cs="Times New Roman"/>
      <w:sz w:val="24"/>
      <w:szCs w:val="24"/>
    </w:rPr>
  </w:style>
  <w:style w:type="paragraph" w:styleId="BalloonText">
    <w:name w:val="Balloon Text"/>
    <w:basedOn w:val="Normal"/>
    <w:link w:val="BalloonTextChar"/>
    <w:uiPriority w:val="99"/>
    <w:semiHidden/>
    <w:rsid w:val="008C2D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938"/>
    <w:rPr>
      <w:rFonts w:cs="Times New Roman"/>
      <w:sz w:val="2"/>
    </w:rPr>
  </w:style>
  <w:style w:type="paragraph" w:styleId="List2">
    <w:name w:val="List 2"/>
    <w:basedOn w:val="Normal"/>
    <w:uiPriority w:val="99"/>
    <w:rsid w:val="00E0065D"/>
    <w:pPr>
      <w:ind w:left="720" w:hanging="360"/>
    </w:pPr>
  </w:style>
  <w:style w:type="paragraph" w:styleId="List3">
    <w:name w:val="List 3"/>
    <w:basedOn w:val="Normal"/>
    <w:uiPriority w:val="99"/>
    <w:rsid w:val="00E0065D"/>
    <w:pPr>
      <w:ind w:left="1080" w:hanging="360"/>
    </w:pPr>
  </w:style>
  <w:style w:type="paragraph" w:styleId="ListBullet2">
    <w:name w:val="List Bullet 2"/>
    <w:basedOn w:val="Normal"/>
    <w:uiPriority w:val="99"/>
    <w:rsid w:val="00E0065D"/>
    <w:pPr>
      <w:tabs>
        <w:tab w:val="num" w:pos="720"/>
      </w:tabs>
      <w:ind w:left="720" w:hanging="360"/>
    </w:pPr>
  </w:style>
  <w:style w:type="paragraph" w:styleId="BodyTextFirstIndent2">
    <w:name w:val="Body Text First Indent 2"/>
    <w:basedOn w:val="BodyTextIndent"/>
    <w:link w:val="BodyTextFirstIndent2Char"/>
    <w:uiPriority w:val="99"/>
    <w:rsid w:val="00E0065D"/>
    <w:pPr>
      <w:tabs>
        <w:tab w:val="clear" w:pos="7920"/>
        <w:tab w:val="clear" w:pos="8640"/>
      </w:tabs>
      <w:spacing w:after="120"/>
      <w:ind w:left="360" w:firstLine="210"/>
    </w:pPr>
    <w:rPr>
      <w:bCs w:val="0"/>
      <w:i w:val="0"/>
      <w:iCs w:val="0"/>
    </w:rPr>
  </w:style>
  <w:style w:type="character" w:customStyle="1" w:styleId="BodyTextFirstIndent2Char">
    <w:name w:val="Body Text First Indent 2 Char"/>
    <w:basedOn w:val="BodyTextIndentChar"/>
    <w:link w:val="BodyTextFirstIndent2"/>
    <w:uiPriority w:val="99"/>
    <w:semiHidden/>
    <w:locked/>
    <w:rsid w:val="00382938"/>
  </w:style>
  <w:style w:type="table" w:styleId="TableGrid">
    <w:name w:val="Table Grid"/>
    <w:basedOn w:val="TableNormal"/>
    <w:uiPriority w:val="99"/>
    <w:rsid w:val="00875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82951"/>
    <w:rPr>
      <w:rFonts w:cs="Times New Roman"/>
      <w:sz w:val="16"/>
      <w:szCs w:val="16"/>
    </w:rPr>
  </w:style>
  <w:style w:type="paragraph" w:styleId="CommentText">
    <w:name w:val="annotation text"/>
    <w:basedOn w:val="Normal"/>
    <w:link w:val="CommentTextChar"/>
    <w:semiHidden/>
    <w:rsid w:val="00282951"/>
    <w:rPr>
      <w:sz w:val="20"/>
      <w:szCs w:val="20"/>
    </w:rPr>
  </w:style>
  <w:style w:type="character" w:customStyle="1" w:styleId="CommentTextChar">
    <w:name w:val="Comment Text Char"/>
    <w:basedOn w:val="DefaultParagraphFont"/>
    <w:link w:val="CommentText"/>
    <w:uiPriority w:val="99"/>
    <w:semiHidden/>
    <w:locked/>
    <w:rsid w:val="00382938"/>
    <w:rPr>
      <w:rFonts w:cs="Times New Roman"/>
      <w:sz w:val="20"/>
      <w:szCs w:val="20"/>
    </w:rPr>
  </w:style>
  <w:style w:type="paragraph" w:styleId="CommentSubject">
    <w:name w:val="annotation subject"/>
    <w:basedOn w:val="CommentText"/>
    <w:next w:val="CommentText"/>
    <w:link w:val="CommentSubjectChar"/>
    <w:uiPriority w:val="99"/>
    <w:semiHidden/>
    <w:rsid w:val="00282951"/>
    <w:rPr>
      <w:b/>
      <w:bCs/>
    </w:rPr>
  </w:style>
  <w:style w:type="character" w:customStyle="1" w:styleId="CommentSubjectChar">
    <w:name w:val="Comment Subject Char"/>
    <w:basedOn w:val="CommentTextChar"/>
    <w:link w:val="CommentSubject"/>
    <w:uiPriority w:val="99"/>
    <w:semiHidden/>
    <w:locked/>
    <w:rsid w:val="00382938"/>
    <w:rPr>
      <w:b/>
      <w:bCs/>
    </w:rPr>
  </w:style>
  <w:style w:type="character" w:styleId="Hyperlink">
    <w:name w:val="Hyperlink"/>
    <w:basedOn w:val="DefaultParagraphFont"/>
    <w:uiPriority w:val="99"/>
    <w:rsid w:val="00A419B0"/>
    <w:rPr>
      <w:rFonts w:cs="Times New Roman"/>
      <w:color w:val="0000FF"/>
      <w:u w:val="single"/>
    </w:rPr>
  </w:style>
  <w:style w:type="paragraph" w:styleId="ListParagraph">
    <w:name w:val="List Paragraph"/>
    <w:basedOn w:val="Normal"/>
    <w:uiPriority w:val="34"/>
    <w:qFormat/>
    <w:rsid w:val="00014F8E"/>
    <w:pPr>
      <w:ind w:left="720"/>
    </w:pPr>
  </w:style>
  <w:style w:type="paragraph" w:styleId="NormalWeb">
    <w:name w:val="Normal (Web)"/>
    <w:basedOn w:val="Normal"/>
    <w:uiPriority w:val="99"/>
    <w:rsid w:val="00137773"/>
    <w:pPr>
      <w:spacing w:before="100" w:beforeAutospacing="1" w:after="100" w:afterAutospacing="1"/>
    </w:pPr>
    <w:rPr>
      <w:rFonts w:ascii="Arial" w:hAnsi="Arial" w:cs="Arial"/>
    </w:rPr>
  </w:style>
  <w:style w:type="character" w:styleId="FootnoteReference">
    <w:name w:val="footnote reference"/>
    <w:basedOn w:val="DefaultParagraphFont"/>
    <w:uiPriority w:val="99"/>
    <w:semiHidden/>
    <w:rsid w:val="00137773"/>
    <w:rPr>
      <w:rFonts w:cs="Times New Roman"/>
      <w:vertAlign w:val="superscript"/>
    </w:rPr>
  </w:style>
  <w:style w:type="paragraph" w:customStyle="1" w:styleId="IGMLevel4">
    <w:name w:val="IGM Level 4"/>
    <w:basedOn w:val="Normal"/>
    <w:rsid w:val="00677541"/>
    <w:rPr>
      <w:szCs w:val="20"/>
    </w:rPr>
  </w:style>
</w:styles>
</file>

<file path=word/webSettings.xml><?xml version="1.0" encoding="utf-8"?>
<w:webSettings xmlns:r="http://schemas.openxmlformats.org/officeDocument/2006/relationships" xmlns:w="http://schemas.openxmlformats.org/wordprocessingml/2006/main">
  <w:divs>
    <w:div w:id="428813851">
      <w:bodyDiv w:val="1"/>
      <w:marLeft w:val="0"/>
      <w:marRight w:val="0"/>
      <w:marTop w:val="0"/>
      <w:marBottom w:val="0"/>
      <w:divBdr>
        <w:top w:val="none" w:sz="0" w:space="0" w:color="auto"/>
        <w:left w:val="none" w:sz="0" w:space="0" w:color="auto"/>
        <w:bottom w:val="none" w:sz="0" w:space="0" w:color="auto"/>
        <w:right w:val="none" w:sz="0" w:space="0" w:color="auto"/>
      </w:divBdr>
    </w:div>
    <w:div w:id="601839026">
      <w:bodyDiv w:val="1"/>
      <w:marLeft w:val="0"/>
      <w:marRight w:val="0"/>
      <w:marTop w:val="0"/>
      <w:marBottom w:val="0"/>
      <w:divBdr>
        <w:top w:val="none" w:sz="0" w:space="0" w:color="auto"/>
        <w:left w:val="none" w:sz="0" w:space="0" w:color="auto"/>
        <w:bottom w:val="none" w:sz="0" w:space="0" w:color="auto"/>
        <w:right w:val="none" w:sz="0" w:space="0" w:color="auto"/>
      </w:divBdr>
    </w:div>
    <w:div w:id="1554079586">
      <w:bodyDiv w:val="1"/>
      <w:marLeft w:val="0"/>
      <w:marRight w:val="0"/>
      <w:marTop w:val="0"/>
      <w:marBottom w:val="0"/>
      <w:divBdr>
        <w:top w:val="none" w:sz="0" w:space="0" w:color="auto"/>
        <w:left w:val="none" w:sz="0" w:space="0" w:color="auto"/>
        <w:bottom w:val="none" w:sz="0" w:space="0" w:color="auto"/>
        <w:right w:val="none" w:sz="0" w:space="0" w:color="auto"/>
      </w:divBdr>
    </w:div>
    <w:div w:id="1914267594">
      <w:marLeft w:val="0"/>
      <w:marRight w:val="0"/>
      <w:marTop w:val="0"/>
      <w:marBottom w:val="0"/>
      <w:divBdr>
        <w:top w:val="none" w:sz="0" w:space="0" w:color="auto"/>
        <w:left w:val="none" w:sz="0" w:space="0" w:color="auto"/>
        <w:bottom w:val="none" w:sz="0" w:space="0" w:color="auto"/>
        <w:right w:val="none" w:sz="0" w:space="0" w:color="auto"/>
      </w:divBdr>
    </w:div>
    <w:div w:id="1914267595">
      <w:marLeft w:val="0"/>
      <w:marRight w:val="0"/>
      <w:marTop w:val="0"/>
      <w:marBottom w:val="0"/>
      <w:divBdr>
        <w:top w:val="none" w:sz="0" w:space="0" w:color="auto"/>
        <w:left w:val="none" w:sz="0" w:space="0" w:color="auto"/>
        <w:bottom w:val="none" w:sz="0" w:space="0" w:color="auto"/>
        <w:right w:val="none" w:sz="0" w:space="0" w:color="auto"/>
      </w:divBdr>
    </w:div>
    <w:div w:id="1914267596">
      <w:marLeft w:val="0"/>
      <w:marRight w:val="0"/>
      <w:marTop w:val="0"/>
      <w:marBottom w:val="0"/>
      <w:divBdr>
        <w:top w:val="none" w:sz="0" w:space="0" w:color="auto"/>
        <w:left w:val="none" w:sz="0" w:space="0" w:color="auto"/>
        <w:bottom w:val="none" w:sz="0" w:space="0" w:color="auto"/>
        <w:right w:val="none" w:sz="0" w:space="0" w:color="auto"/>
      </w:divBdr>
    </w:div>
    <w:div w:id="20825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Worksheet1.xls"/><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ustice.gov/jmd/2012justification/" TargetMode="Externa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oleObject" Target="embeddings/Microsoft_Office_Excel_97-2003_Worksheet2.xls"/><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3438</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24646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rlin</cp:lastModifiedBy>
  <cp:revision>2</cp:revision>
  <cp:lastPrinted>2011-02-04T21:36:00Z</cp:lastPrinted>
  <dcterms:created xsi:type="dcterms:W3CDTF">2011-02-09T19:45:00Z</dcterms:created>
  <dcterms:modified xsi:type="dcterms:W3CDTF">2011-02-09T19:45:00Z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