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000000"/>
        </w:tblBorders>
        <w:tblLook w:val="00A0" w:firstRow="1" w:lastRow="0" w:firstColumn="1" w:lastColumn="0" w:noHBand="0" w:noVBand="0"/>
      </w:tblPr>
      <w:tblGrid>
        <w:gridCol w:w="7672"/>
      </w:tblGrid>
      <w:tr w:rsidR="0032402C" w:rsidRPr="002B56FE" w:rsidTr="006D658F">
        <w:tc>
          <w:tcPr>
            <w:tcW w:w="7672" w:type="dxa"/>
            <w:tcMar>
              <w:top w:w="216" w:type="dxa"/>
              <w:left w:w="115" w:type="dxa"/>
              <w:bottom w:w="216" w:type="dxa"/>
              <w:right w:w="115" w:type="dxa"/>
            </w:tcMar>
          </w:tcPr>
          <w:p w:rsidR="0032402C" w:rsidRPr="006D658F" w:rsidRDefault="0032402C" w:rsidP="006D658F">
            <w:pPr>
              <w:pStyle w:val="NoSpacing"/>
              <w:rPr>
                <w:rFonts w:ascii="Arial" w:hAnsi="Arial"/>
                <w:sz w:val="36"/>
              </w:rPr>
            </w:pPr>
            <w:r w:rsidRPr="006D658F">
              <w:rPr>
                <w:rFonts w:ascii="Arial" w:hAnsi="Arial"/>
                <w:sz w:val="36"/>
              </w:rPr>
              <w:t xml:space="preserve">National </w:t>
            </w:r>
            <w:smartTag w:uri="urn:schemas-microsoft-com:office:smarttags" w:element="PlaceName">
              <w:r w:rsidRPr="006D658F">
                <w:rPr>
                  <w:rFonts w:ascii="Arial" w:hAnsi="Arial"/>
                  <w:sz w:val="36"/>
                </w:rPr>
                <w:t>Drug</w:t>
              </w:r>
            </w:smartTag>
            <w:r w:rsidRPr="006D658F">
              <w:rPr>
                <w:rFonts w:ascii="Arial" w:hAnsi="Arial"/>
                <w:sz w:val="36"/>
              </w:rPr>
              <w:t xml:space="preserve"> </w:t>
            </w:r>
            <w:smartTag w:uri="urn:schemas-microsoft-com:office:smarttags" w:element="PlaceName">
              <w:r w:rsidRPr="006D658F">
                <w:rPr>
                  <w:rFonts w:ascii="Arial" w:hAnsi="Arial"/>
                  <w:sz w:val="36"/>
                </w:rPr>
                <w:t>Intelligence</w:t>
              </w:r>
            </w:smartTag>
            <w:r w:rsidRPr="006D658F">
              <w:rPr>
                <w:rFonts w:ascii="Arial" w:hAnsi="Arial"/>
                <w:sz w:val="36"/>
              </w:rPr>
              <w:t xml:space="preserve"> </w:t>
            </w:r>
            <w:smartTag w:uri="urn:schemas-microsoft-com:office:smarttags" w:element="PlaceType">
              <w:r w:rsidRPr="006D658F">
                <w:rPr>
                  <w:rFonts w:ascii="Arial" w:hAnsi="Arial"/>
                  <w:sz w:val="36"/>
                </w:rPr>
                <w:t>Center</w:t>
              </w:r>
            </w:smartTag>
          </w:p>
          <w:p w:rsidR="0032402C" w:rsidRPr="006D658F" w:rsidRDefault="0032402C" w:rsidP="006D658F">
            <w:pPr>
              <w:pStyle w:val="NoSpacing"/>
              <w:rPr>
                <w:rFonts w:ascii="Arial" w:hAnsi="Arial"/>
              </w:rPr>
            </w:pPr>
            <w:smartTag w:uri="urn:schemas-microsoft-com:office:smarttags" w:element="country-region">
              <w:smartTag w:uri="urn:schemas-microsoft-com:office:smarttags" w:element="place">
                <w:r w:rsidRPr="006D658F">
                  <w:rPr>
                    <w:rFonts w:ascii="Arial" w:hAnsi="Arial"/>
                    <w:sz w:val="36"/>
                  </w:rPr>
                  <w:t>U.S.</w:t>
                </w:r>
              </w:smartTag>
            </w:smartTag>
            <w:r w:rsidRPr="006D658F">
              <w:rPr>
                <w:rFonts w:ascii="Arial" w:hAnsi="Arial"/>
                <w:sz w:val="36"/>
              </w:rPr>
              <w:t xml:space="preserve"> Department of Justice</w:t>
            </w:r>
          </w:p>
        </w:tc>
      </w:tr>
      <w:tr w:rsidR="0032402C" w:rsidRPr="002B56FE" w:rsidTr="006D658F">
        <w:tc>
          <w:tcPr>
            <w:tcW w:w="7672" w:type="dxa"/>
          </w:tcPr>
          <w:p w:rsidR="0032402C" w:rsidRPr="006D658F" w:rsidRDefault="0032402C" w:rsidP="005C2C6D">
            <w:pPr>
              <w:pStyle w:val="NoSpacing"/>
              <w:rPr>
                <w:rFonts w:ascii="Arial" w:hAnsi="Arial"/>
                <w:sz w:val="56"/>
                <w:szCs w:val="80"/>
              </w:rPr>
            </w:pPr>
            <w:r w:rsidRPr="006D658F">
              <w:rPr>
                <w:rFonts w:ascii="Arial" w:hAnsi="Arial"/>
                <w:sz w:val="56"/>
                <w:szCs w:val="80"/>
              </w:rPr>
              <w:t>FY 201</w:t>
            </w:r>
            <w:r w:rsidR="005C2C6D">
              <w:rPr>
                <w:rFonts w:ascii="Arial" w:hAnsi="Arial"/>
                <w:sz w:val="56"/>
                <w:szCs w:val="80"/>
              </w:rPr>
              <w:t>2</w:t>
            </w:r>
            <w:r w:rsidRPr="006D658F">
              <w:rPr>
                <w:rFonts w:ascii="Arial" w:hAnsi="Arial"/>
                <w:sz w:val="56"/>
                <w:szCs w:val="80"/>
              </w:rPr>
              <w:t xml:space="preserve"> Performance Budget</w:t>
            </w:r>
          </w:p>
        </w:tc>
      </w:tr>
      <w:tr w:rsidR="0032402C" w:rsidRPr="002B56FE" w:rsidTr="006D658F">
        <w:tc>
          <w:tcPr>
            <w:tcW w:w="7672" w:type="dxa"/>
            <w:tcMar>
              <w:top w:w="216" w:type="dxa"/>
              <w:left w:w="115" w:type="dxa"/>
              <w:bottom w:w="216" w:type="dxa"/>
              <w:right w:w="115" w:type="dxa"/>
            </w:tcMar>
          </w:tcPr>
          <w:p w:rsidR="0032402C" w:rsidRPr="006D658F" w:rsidRDefault="004E14C1" w:rsidP="006D658F">
            <w:pPr>
              <w:pStyle w:val="NoSpacing"/>
              <w:rPr>
                <w:rFonts w:ascii="Arial" w:hAnsi="Arial"/>
              </w:rPr>
            </w:pPr>
            <w:r>
              <w:rPr>
                <w:rFonts w:ascii="Arial" w:hAnsi="Arial"/>
                <w:sz w:val="32"/>
                <w:szCs w:val="32"/>
              </w:rPr>
              <w:t>Congressional Budget Submission</w:t>
            </w:r>
          </w:p>
        </w:tc>
      </w:tr>
    </w:tbl>
    <w:p w:rsidR="0032402C" w:rsidRDefault="0032402C"/>
    <w:p w:rsidR="0032402C" w:rsidRDefault="0032402C"/>
    <w:tbl>
      <w:tblPr>
        <w:tblpPr w:leftFromText="187" w:rightFromText="187" w:horzAnchor="margin" w:tblpXSpec="center" w:tblpYSpec="bottom"/>
        <w:tblW w:w="4000" w:type="pct"/>
        <w:tblLook w:val="00A0" w:firstRow="1" w:lastRow="0" w:firstColumn="1" w:lastColumn="0" w:noHBand="0" w:noVBand="0"/>
      </w:tblPr>
      <w:tblGrid>
        <w:gridCol w:w="7672"/>
      </w:tblGrid>
      <w:tr w:rsidR="0032402C" w:rsidRPr="002B56FE">
        <w:tc>
          <w:tcPr>
            <w:tcW w:w="7672" w:type="dxa"/>
            <w:tcMar>
              <w:top w:w="216" w:type="dxa"/>
              <w:left w:w="115" w:type="dxa"/>
              <w:bottom w:w="216" w:type="dxa"/>
              <w:right w:w="115" w:type="dxa"/>
            </w:tcMar>
          </w:tcPr>
          <w:p w:rsidR="0032402C" w:rsidRPr="002B56FE" w:rsidRDefault="0032402C">
            <w:pPr>
              <w:pStyle w:val="NoSpacing"/>
              <w:rPr>
                <w:color w:val="4F81BD"/>
              </w:rPr>
            </w:pPr>
          </w:p>
        </w:tc>
      </w:tr>
    </w:tbl>
    <w:p w:rsidR="0032402C" w:rsidRDefault="0032402C"/>
    <w:p w:rsidR="0032402C" w:rsidRDefault="005D4B92">
      <w:r>
        <w:rPr>
          <w:noProof/>
        </w:rPr>
        <w:drawing>
          <wp:anchor distT="0" distB="0" distL="114300" distR="114300" simplePos="0" relativeHeight="251660288" behindDoc="0" locked="0" layoutInCell="1" allowOverlap="1">
            <wp:simplePos x="0" y="0"/>
            <wp:positionH relativeFrom="column">
              <wp:posOffset>2162175</wp:posOffset>
            </wp:positionH>
            <wp:positionV relativeFrom="paragraph">
              <wp:posOffset>3855720</wp:posOffset>
            </wp:positionV>
            <wp:extent cx="1638300" cy="1638300"/>
            <wp:effectExtent l="19050" t="0" r="0" b="0"/>
            <wp:wrapNone/>
            <wp:docPr id="6" name="Picture 3" descr="NDIC_b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C_bw.WMF"/>
                    <pic:cNvPicPr/>
                  </pic:nvPicPr>
                  <pic:blipFill>
                    <a:blip r:embed="rId11" cstate="print"/>
                    <a:stretch>
                      <a:fillRect/>
                    </a:stretch>
                  </pic:blipFill>
                  <pic:spPr>
                    <a:xfrm>
                      <a:off x="0" y="0"/>
                      <a:ext cx="1638300" cy="1638300"/>
                    </a:xfrm>
                    <a:prstGeom prst="rect">
                      <a:avLst/>
                    </a:prstGeom>
                  </pic:spPr>
                </pic:pic>
              </a:graphicData>
            </a:graphic>
          </wp:anchor>
        </w:drawing>
      </w:r>
      <w:r w:rsidR="0032402C">
        <w:br w:type="page"/>
      </w:r>
    </w:p>
    <w:p w:rsidR="0032402C" w:rsidRPr="00420262" w:rsidRDefault="0032402C" w:rsidP="00DA74C9">
      <w:pPr>
        <w:pStyle w:val="TOCHeading"/>
        <w:rPr>
          <w:color w:val="auto"/>
        </w:rPr>
      </w:pPr>
      <w:r w:rsidRPr="00420262">
        <w:rPr>
          <w:color w:val="auto"/>
        </w:rPr>
        <w:lastRenderedPageBreak/>
        <w:t>Table of Contents</w:t>
      </w:r>
    </w:p>
    <w:p w:rsidR="00264994" w:rsidRPr="00264994" w:rsidRDefault="00DC5C97" w:rsidP="00264994">
      <w:pPr>
        <w:pStyle w:val="TOC1"/>
        <w:rPr>
          <w:rFonts w:asciiTheme="minorHAnsi" w:eastAsiaTheme="minorEastAsia" w:hAnsiTheme="minorHAnsi" w:cstheme="minorBidi"/>
          <w:noProof/>
        </w:rPr>
      </w:pPr>
      <w:r w:rsidRPr="00264994">
        <w:fldChar w:fldCharType="begin"/>
      </w:r>
      <w:r w:rsidR="00E159C1" w:rsidRPr="00264994">
        <w:instrText xml:space="preserve"> TOC \o "1-1" \h \z \u </w:instrText>
      </w:r>
      <w:r w:rsidRPr="00264994">
        <w:fldChar w:fldCharType="separate"/>
      </w:r>
      <w:hyperlink w:anchor="_Toc271895824" w:history="1">
        <w:r w:rsidR="00264994" w:rsidRPr="00264994">
          <w:rPr>
            <w:rStyle w:val="Hyperlink"/>
            <w:iCs/>
            <w:noProof/>
            <w:sz w:val="24"/>
            <w:szCs w:val="24"/>
          </w:rPr>
          <w:t>I.</w:t>
        </w:r>
        <w:r w:rsidR="00264994" w:rsidRPr="00264994">
          <w:rPr>
            <w:rFonts w:asciiTheme="minorHAnsi" w:eastAsiaTheme="minorEastAsia" w:hAnsiTheme="minorHAnsi" w:cstheme="minorBidi"/>
            <w:noProof/>
          </w:rPr>
          <w:tab/>
        </w:r>
        <w:r w:rsidR="00264994" w:rsidRPr="00264994">
          <w:rPr>
            <w:rStyle w:val="Hyperlink"/>
            <w:iCs/>
            <w:noProof/>
            <w:sz w:val="24"/>
            <w:szCs w:val="24"/>
          </w:rPr>
          <w:t>Overview for the National Drug Intelligence Center</w:t>
        </w:r>
        <w:r w:rsidR="00264994" w:rsidRPr="00264994">
          <w:rPr>
            <w:noProof/>
            <w:webHidden/>
          </w:rPr>
          <w:tab/>
        </w:r>
        <w:r w:rsidRPr="00264994">
          <w:rPr>
            <w:noProof/>
            <w:webHidden/>
          </w:rPr>
          <w:fldChar w:fldCharType="begin"/>
        </w:r>
        <w:r w:rsidR="00264994" w:rsidRPr="00264994">
          <w:rPr>
            <w:noProof/>
            <w:webHidden/>
          </w:rPr>
          <w:instrText xml:space="preserve"> PAGEREF _Toc271895824 \h </w:instrText>
        </w:r>
        <w:r w:rsidRPr="00264994">
          <w:rPr>
            <w:noProof/>
            <w:webHidden/>
          </w:rPr>
        </w:r>
        <w:r w:rsidRPr="00264994">
          <w:rPr>
            <w:noProof/>
            <w:webHidden/>
          </w:rPr>
          <w:fldChar w:fldCharType="separate"/>
        </w:r>
        <w:r w:rsidR="00B97498">
          <w:rPr>
            <w:noProof/>
            <w:webHidden/>
          </w:rPr>
          <w:t>3</w:t>
        </w:r>
        <w:r w:rsidRPr="00264994">
          <w:rPr>
            <w:noProof/>
            <w:webHidden/>
          </w:rPr>
          <w:fldChar w:fldCharType="end"/>
        </w:r>
      </w:hyperlink>
    </w:p>
    <w:p w:rsidR="00264994" w:rsidRPr="00264994" w:rsidRDefault="00D52A26" w:rsidP="00264994">
      <w:pPr>
        <w:pStyle w:val="TOC1"/>
        <w:rPr>
          <w:rFonts w:asciiTheme="minorHAnsi" w:eastAsiaTheme="minorEastAsia" w:hAnsiTheme="minorHAnsi" w:cstheme="minorBidi"/>
          <w:noProof/>
        </w:rPr>
      </w:pPr>
      <w:hyperlink w:anchor="_Toc271895825" w:history="1">
        <w:r w:rsidR="00264994" w:rsidRPr="00264994">
          <w:rPr>
            <w:rStyle w:val="Hyperlink"/>
            <w:iCs/>
            <w:noProof/>
            <w:sz w:val="24"/>
            <w:szCs w:val="24"/>
          </w:rPr>
          <w:t>II.</w:t>
        </w:r>
        <w:r w:rsidR="00264994" w:rsidRPr="00264994">
          <w:rPr>
            <w:rFonts w:asciiTheme="minorHAnsi" w:eastAsiaTheme="minorEastAsia" w:hAnsiTheme="minorHAnsi" w:cstheme="minorBidi"/>
            <w:noProof/>
          </w:rPr>
          <w:tab/>
        </w:r>
        <w:r w:rsidR="00264994" w:rsidRPr="00264994">
          <w:rPr>
            <w:rStyle w:val="Hyperlink"/>
            <w:iCs/>
            <w:noProof/>
            <w:sz w:val="24"/>
            <w:szCs w:val="24"/>
          </w:rPr>
          <w:t>Summary of Program Changes</w:t>
        </w:r>
        <w:r w:rsidR="00264994" w:rsidRPr="00264994">
          <w:rPr>
            <w:noProof/>
            <w:webHidden/>
          </w:rPr>
          <w:tab/>
        </w:r>
        <w:r w:rsidR="00DC5C97" w:rsidRPr="00264994">
          <w:rPr>
            <w:noProof/>
            <w:webHidden/>
          </w:rPr>
          <w:fldChar w:fldCharType="begin"/>
        </w:r>
        <w:r w:rsidR="00264994" w:rsidRPr="00264994">
          <w:rPr>
            <w:noProof/>
            <w:webHidden/>
          </w:rPr>
          <w:instrText xml:space="preserve"> PAGEREF _Toc271895825 \h </w:instrText>
        </w:r>
        <w:r w:rsidR="00DC5C97" w:rsidRPr="00264994">
          <w:rPr>
            <w:noProof/>
            <w:webHidden/>
          </w:rPr>
        </w:r>
        <w:r w:rsidR="00DC5C97" w:rsidRPr="00264994">
          <w:rPr>
            <w:noProof/>
            <w:webHidden/>
          </w:rPr>
          <w:fldChar w:fldCharType="separate"/>
        </w:r>
        <w:r w:rsidR="00B97498">
          <w:rPr>
            <w:noProof/>
            <w:webHidden/>
          </w:rPr>
          <w:t>10</w:t>
        </w:r>
        <w:r w:rsidR="00DC5C97" w:rsidRPr="00264994">
          <w:rPr>
            <w:noProof/>
            <w:webHidden/>
          </w:rPr>
          <w:fldChar w:fldCharType="end"/>
        </w:r>
      </w:hyperlink>
    </w:p>
    <w:p w:rsidR="00264994" w:rsidRPr="00264994" w:rsidRDefault="00D52A26" w:rsidP="00264994">
      <w:pPr>
        <w:pStyle w:val="TOC1"/>
        <w:rPr>
          <w:rFonts w:asciiTheme="minorHAnsi" w:eastAsiaTheme="minorEastAsia" w:hAnsiTheme="minorHAnsi" w:cstheme="minorBidi"/>
          <w:noProof/>
        </w:rPr>
      </w:pPr>
      <w:hyperlink w:anchor="_Toc271895826" w:history="1">
        <w:r w:rsidR="00264994" w:rsidRPr="00264994">
          <w:rPr>
            <w:rStyle w:val="Hyperlink"/>
            <w:iCs/>
            <w:noProof/>
            <w:sz w:val="24"/>
            <w:szCs w:val="24"/>
          </w:rPr>
          <w:t>III.</w:t>
        </w:r>
        <w:r w:rsidR="00264994" w:rsidRPr="00264994">
          <w:rPr>
            <w:rFonts w:asciiTheme="minorHAnsi" w:eastAsiaTheme="minorEastAsia" w:hAnsiTheme="minorHAnsi" w:cstheme="minorBidi"/>
            <w:noProof/>
          </w:rPr>
          <w:tab/>
        </w:r>
        <w:r w:rsidR="00264994" w:rsidRPr="00264994">
          <w:rPr>
            <w:rStyle w:val="Hyperlink"/>
            <w:iCs/>
            <w:noProof/>
            <w:sz w:val="24"/>
            <w:szCs w:val="24"/>
          </w:rPr>
          <w:t>Program Changes by Decision Unit to Strategic Goal</w:t>
        </w:r>
        <w:r w:rsidR="00264994" w:rsidRPr="00264994">
          <w:rPr>
            <w:noProof/>
            <w:webHidden/>
          </w:rPr>
          <w:tab/>
        </w:r>
        <w:r w:rsidR="00DC5C97" w:rsidRPr="00264994">
          <w:rPr>
            <w:noProof/>
            <w:webHidden/>
          </w:rPr>
          <w:fldChar w:fldCharType="begin"/>
        </w:r>
        <w:r w:rsidR="00264994" w:rsidRPr="00264994">
          <w:rPr>
            <w:noProof/>
            <w:webHidden/>
          </w:rPr>
          <w:instrText xml:space="preserve"> PAGEREF _Toc271895826 \h </w:instrText>
        </w:r>
        <w:r w:rsidR="00DC5C97" w:rsidRPr="00264994">
          <w:rPr>
            <w:noProof/>
            <w:webHidden/>
          </w:rPr>
        </w:r>
        <w:r w:rsidR="00DC5C97" w:rsidRPr="00264994">
          <w:rPr>
            <w:noProof/>
            <w:webHidden/>
          </w:rPr>
          <w:fldChar w:fldCharType="separate"/>
        </w:r>
        <w:r w:rsidR="00B97498">
          <w:rPr>
            <w:noProof/>
            <w:webHidden/>
          </w:rPr>
          <w:t>11</w:t>
        </w:r>
        <w:r w:rsidR="00DC5C97" w:rsidRPr="00264994">
          <w:rPr>
            <w:noProof/>
            <w:webHidden/>
          </w:rPr>
          <w:fldChar w:fldCharType="end"/>
        </w:r>
      </w:hyperlink>
    </w:p>
    <w:p w:rsidR="00264994" w:rsidRPr="00264994" w:rsidRDefault="00D52A26" w:rsidP="00264994">
      <w:pPr>
        <w:pStyle w:val="TOC1"/>
        <w:rPr>
          <w:rFonts w:asciiTheme="minorHAnsi" w:eastAsiaTheme="minorEastAsia" w:hAnsiTheme="minorHAnsi" w:cstheme="minorBidi"/>
          <w:noProof/>
        </w:rPr>
      </w:pPr>
      <w:hyperlink w:anchor="_Toc271895827" w:history="1">
        <w:r w:rsidR="00264994" w:rsidRPr="00264994">
          <w:rPr>
            <w:rStyle w:val="Hyperlink"/>
            <w:iCs/>
            <w:noProof/>
            <w:sz w:val="24"/>
            <w:szCs w:val="24"/>
          </w:rPr>
          <w:t>IV.</w:t>
        </w:r>
        <w:r w:rsidR="00264994" w:rsidRPr="00264994">
          <w:rPr>
            <w:rFonts w:asciiTheme="minorHAnsi" w:eastAsiaTheme="minorEastAsia" w:hAnsiTheme="minorHAnsi" w:cstheme="minorBidi"/>
            <w:noProof/>
          </w:rPr>
          <w:tab/>
        </w:r>
        <w:r w:rsidR="00264994" w:rsidRPr="00264994">
          <w:rPr>
            <w:rStyle w:val="Hyperlink"/>
            <w:iCs/>
            <w:noProof/>
            <w:sz w:val="24"/>
            <w:szCs w:val="24"/>
          </w:rPr>
          <w:t>Appropriations Language and Analysis of Appropriations Language</w:t>
        </w:r>
        <w:r w:rsidR="00264994" w:rsidRPr="00264994">
          <w:rPr>
            <w:noProof/>
            <w:webHidden/>
          </w:rPr>
          <w:tab/>
        </w:r>
        <w:r w:rsidR="00DC5C97" w:rsidRPr="00264994">
          <w:rPr>
            <w:noProof/>
            <w:webHidden/>
          </w:rPr>
          <w:fldChar w:fldCharType="begin"/>
        </w:r>
        <w:r w:rsidR="00264994" w:rsidRPr="00264994">
          <w:rPr>
            <w:noProof/>
            <w:webHidden/>
          </w:rPr>
          <w:instrText xml:space="preserve"> PAGEREF _Toc271895827 \h </w:instrText>
        </w:r>
        <w:r w:rsidR="00DC5C97" w:rsidRPr="00264994">
          <w:rPr>
            <w:noProof/>
            <w:webHidden/>
          </w:rPr>
        </w:r>
        <w:r w:rsidR="00DC5C97" w:rsidRPr="00264994">
          <w:rPr>
            <w:noProof/>
            <w:webHidden/>
          </w:rPr>
          <w:fldChar w:fldCharType="separate"/>
        </w:r>
        <w:r w:rsidR="00B97498">
          <w:rPr>
            <w:noProof/>
            <w:webHidden/>
          </w:rPr>
          <w:t>12</w:t>
        </w:r>
        <w:r w:rsidR="00DC5C97" w:rsidRPr="00264994">
          <w:rPr>
            <w:noProof/>
            <w:webHidden/>
          </w:rPr>
          <w:fldChar w:fldCharType="end"/>
        </w:r>
      </w:hyperlink>
    </w:p>
    <w:p w:rsidR="00264994" w:rsidRPr="00264994" w:rsidRDefault="00D52A26" w:rsidP="00264994">
      <w:pPr>
        <w:pStyle w:val="TOC1"/>
        <w:rPr>
          <w:rFonts w:asciiTheme="minorHAnsi" w:eastAsiaTheme="minorEastAsia" w:hAnsiTheme="minorHAnsi" w:cstheme="minorBidi"/>
          <w:noProof/>
        </w:rPr>
      </w:pPr>
      <w:hyperlink w:anchor="_Toc271895828" w:history="1">
        <w:r w:rsidR="00264994" w:rsidRPr="00264994">
          <w:rPr>
            <w:rStyle w:val="Hyperlink"/>
            <w:iCs/>
            <w:noProof/>
            <w:sz w:val="24"/>
            <w:szCs w:val="24"/>
          </w:rPr>
          <w:t>V.</w:t>
        </w:r>
        <w:r w:rsidR="00264994" w:rsidRPr="00264994">
          <w:rPr>
            <w:rFonts w:asciiTheme="minorHAnsi" w:eastAsiaTheme="minorEastAsia" w:hAnsiTheme="minorHAnsi" w:cstheme="minorBidi"/>
            <w:noProof/>
          </w:rPr>
          <w:tab/>
        </w:r>
        <w:r w:rsidR="00264994" w:rsidRPr="00264994">
          <w:rPr>
            <w:rStyle w:val="Hyperlink"/>
            <w:iCs/>
            <w:noProof/>
            <w:sz w:val="24"/>
            <w:szCs w:val="24"/>
          </w:rPr>
          <w:t>Decision Unit Justification</w:t>
        </w:r>
        <w:r w:rsidR="00264994" w:rsidRPr="00264994">
          <w:rPr>
            <w:noProof/>
            <w:webHidden/>
          </w:rPr>
          <w:tab/>
        </w:r>
        <w:r w:rsidR="00DC5C97" w:rsidRPr="00264994">
          <w:rPr>
            <w:noProof/>
            <w:webHidden/>
          </w:rPr>
          <w:fldChar w:fldCharType="begin"/>
        </w:r>
        <w:r w:rsidR="00264994" w:rsidRPr="00264994">
          <w:rPr>
            <w:noProof/>
            <w:webHidden/>
          </w:rPr>
          <w:instrText xml:space="preserve"> PAGEREF _Toc271895828 \h </w:instrText>
        </w:r>
        <w:r w:rsidR="00DC5C97" w:rsidRPr="00264994">
          <w:rPr>
            <w:noProof/>
            <w:webHidden/>
          </w:rPr>
        </w:r>
        <w:r w:rsidR="00DC5C97" w:rsidRPr="00264994">
          <w:rPr>
            <w:noProof/>
            <w:webHidden/>
          </w:rPr>
          <w:fldChar w:fldCharType="separate"/>
        </w:r>
        <w:r w:rsidR="00B97498">
          <w:rPr>
            <w:noProof/>
            <w:webHidden/>
          </w:rPr>
          <w:t>13</w:t>
        </w:r>
        <w:r w:rsidR="00DC5C97" w:rsidRPr="00264994">
          <w:rPr>
            <w:noProof/>
            <w:webHidden/>
          </w:rPr>
          <w:fldChar w:fldCharType="end"/>
        </w:r>
      </w:hyperlink>
    </w:p>
    <w:p w:rsidR="00264994" w:rsidRPr="00264994" w:rsidRDefault="00D52A26" w:rsidP="00264994">
      <w:pPr>
        <w:pStyle w:val="TOC1"/>
        <w:rPr>
          <w:rFonts w:asciiTheme="minorHAnsi" w:eastAsiaTheme="minorEastAsia" w:hAnsiTheme="minorHAnsi" w:cstheme="minorBidi"/>
          <w:noProof/>
        </w:rPr>
      </w:pPr>
      <w:hyperlink w:anchor="_Toc271895829" w:history="1">
        <w:r w:rsidR="00264994" w:rsidRPr="00264994">
          <w:rPr>
            <w:rStyle w:val="Hyperlink"/>
            <w:iCs/>
            <w:noProof/>
            <w:sz w:val="24"/>
            <w:szCs w:val="24"/>
          </w:rPr>
          <w:t>VI.</w:t>
        </w:r>
        <w:r w:rsidR="00264994" w:rsidRPr="00264994">
          <w:rPr>
            <w:rFonts w:asciiTheme="minorHAnsi" w:eastAsiaTheme="minorEastAsia" w:hAnsiTheme="minorHAnsi" w:cstheme="minorBidi"/>
            <w:noProof/>
          </w:rPr>
          <w:tab/>
        </w:r>
        <w:r w:rsidR="00264994" w:rsidRPr="00264994">
          <w:rPr>
            <w:rStyle w:val="Hyperlink"/>
            <w:iCs/>
            <w:noProof/>
            <w:sz w:val="24"/>
            <w:szCs w:val="24"/>
          </w:rPr>
          <w:t>Program Offsets</w:t>
        </w:r>
        <w:r w:rsidR="00264994" w:rsidRPr="00264994">
          <w:rPr>
            <w:noProof/>
            <w:webHidden/>
          </w:rPr>
          <w:tab/>
        </w:r>
        <w:r w:rsidR="00DC5C97" w:rsidRPr="00264994">
          <w:rPr>
            <w:noProof/>
            <w:webHidden/>
          </w:rPr>
          <w:fldChar w:fldCharType="begin"/>
        </w:r>
        <w:r w:rsidR="00264994" w:rsidRPr="00264994">
          <w:rPr>
            <w:noProof/>
            <w:webHidden/>
          </w:rPr>
          <w:instrText xml:space="preserve"> PAGEREF _Toc271895829 \h </w:instrText>
        </w:r>
        <w:r w:rsidR="00DC5C97" w:rsidRPr="00264994">
          <w:rPr>
            <w:noProof/>
            <w:webHidden/>
          </w:rPr>
        </w:r>
        <w:r w:rsidR="00DC5C97" w:rsidRPr="00264994">
          <w:rPr>
            <w:noProof/>
            <w:webHidden/>
          </w:rPr>
          <w:fldChar w:fldCharType="separate"/>
        </w:r>
        <w:r w:rsidR="00B97498">
          <w:rPr>
            <w:noProof/>
            <w:webHidden/>
          </w:rPr>
          <w:t>18</w:t>
        </w:r>
        <w:r w:rsidR="00DC5C97" w:rsidRPr="00264994">
          <w:rPr>
            <w:noProof/>
            <w:webHidden/>
          </w:rPr>
          <w:fldChar w:fldCharType="end"/>
        </w:r>
      </w:hyperlink>
    </w:p>
    <w:p w:rsidR="00264994" w:rsidRPr="00264994" w:rsidRDefault="00216743" w:rsidP="00264994">
      <w:pPr>
        <w:pStyle w:val="TOC1"/>
        <w:rPr>
          <w:rFonts w:asciiTheme="minorHAnsi" w:eastAsiaTheme="minorEastAsia" w:hAnsiTheme="minorHAnsi" w:cstheme="minorBidi"/>
          <w:noProof/>
        </w:rPr>
      </w:pPr>
      <w:r>
        <w:rPr>
          <w:noProof/>
        </w:rPr>
        <mc:AlternateContent>
          <mc:Choice Requires="wps">
            <w:drawing>
              <wp:anchor distT="0" distB="0" distL="114300" distR="114300" simplePos="0" relativeHeight="251657215" behindDoc="0" locked="0" layoutInCell="1" allowOverlap="1">
                <wp:simplePos x="0" y="0"/>
                <wp:positionH relativeFrom="column">
                  <wp:posOffset>132080</wp:posOffset>
                </wp:positionH>
                <wp:positionV relativeFrom="paragraph">
                  <wp:posOffset>205105</wp:posOffset>
                </wp:positionV>
                <wp:extent cx="5153660" cy="4316730"/>
                <wp:effectExtent l="0" t="0" r="889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431673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498" w:rsidRDefault="00B97498" w:rsidP="00631E30">
                            <w:pPr>
                              <w:tabs>
                                <w:tab w:val="left" w:pos="270"/>
                              </w:tabs>
                              <w:spacing w:after="120" w:line="240" w:lineRule="auto"/>
                              <w:ind w:left="274"/>
                              <w:rPr>
                                <w:rStyle w:val="SubtleEmphasis"/>
                                <w:i w:val="0"/>
                                <w:color w:val="auto"/>
                                <w:sz w:val="24"/>
                                <w:szCs w:val="24"/>
                              </w:rPr>
                            </w:pPr>
                            <w:r>
                              <w:rPr>
                                <w:rStyle w:val="SubtleEmphasis"/>
                                <w:i w:val="0"/>
                                <w:color w:val="auto"/>
                                <w:sz w:val="24"/>
                                <w:szCs w:val="24"/>
                              </w:rPr>
                              <w:t>A.</w:t>
                            </w:r>
                            <w:r>
                              <w:rPr>
                                <w:rStyle w:val="SubtleEmphasis"/>
                                <w:i w:val="0"/>
                                <w:color w:val="auto"/>
                                <w:sz w:val="24"/>
                                <w:szCs w:val="24"/>
                              </w:rPr>
                              <w:tab/>
                              <w:t>Organizational Chart</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B.</w:t>
                            </w:r>
                            <w:r>
                              <w:rPr>
                                <w:rStyle w:val="SubtleEmphasis"/>
                                <w:i w:val="0"/>
                                <w:color w:val="auto"/>
                                <w:sz w:val="24"/>
                                <w:szCs w:val="24"/>
                              </w:rPr>
                              <w:tab/>
                              <w:t>Summary of Requirements</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C.</w:t>
                            </w:r>
                            <w:r>
                              <w:rPr>
                                <w:rStyle w:val="SubtleEmphasis"/>
                                <w:i w:val="0"/>
                                <w:color w:val="auto"/>
                                <w:sz w:val="24"/>
                                <w:szCs w:val="24"/>
                              </w:rPr>
                              <w:tab/>
                              <w:t>Program Increases/Offsets by Decision Unit</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D.</w:t>
                            </w:r>
                            <w:r>
                              <w:rPr>
                                <w:rStyle w:val="SubtleEmphasis"/>
                                <w:i w:val="0"/>
                                <w:color w:val="auto"/>
                                <w:sz w:val="24"/>
                                <w:szCs w:val="24"/>
                              </w:rPr>
                              <w:tab/>
                              <w:t>Resources by DOJ Strategic Goal/Objective</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E.</w:t>
                            </w:r>
                            <w:r>
                              <w:rPr>
                                <w:rStyle w:val="SubtleEmphasis"/>
                                <w:i w:val="0"/>
                                <w:color w:val="auto"/>
                                <w:sz w:val="24"/>
                                <w:szCs w:val="24"/>
                              </w:rPr>
                              <w:tab/>
                              <w:t>Justification for Base Adjustments</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F.</w:t>
                            </w:r>
                            <w:r>
                              <w:rPr>
                                <w:rStyle w:val="SubtleEmphasis"/>
                                <w:i w:val="0"/>
                                <w:color w:val="auto"/>
                                <w:sz w:val="24"/>
                                <w:szCs w:val="24"/>
                              </w:rPr>
                              <w:tab/>
                              <w:t>Crosswalk of 2010 Availability</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G.</w:t>
                            </w:r>
                            <w:r>
                              <w:rPr>
                                <w:rStyle w:val="SubtleEmphasis"/>
                                <w:i w:val="0"/>
                                <w:color w:val="auto"/>
                                <w:sz w:val="24"/>
                                <w:szCs w:val="24"/>
                              </w:rPr>
                              <w:tab/>
                              <w:t>Crosswalk of 2011 Availability (Not required for OMB Submission)</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H.</w:t>
                            </w:r>
                            <w:r>
                              <w:rPr>
                                <w:rStyle w:val="SubtleEmphasis"/>
                                <w:i w:val="0"/>
                                <w:color w:val="auto"/>
                                <w:sz w:val="24"/>
                                <w:szCs w:val="24"/>
                              </w:rPr>
                              <w:tab/>
                              <w:t>Summary of Reimbursable Resources</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I.</w:t>
                            </w:r>
                            <w:r>
                              <w:rPr>
                                <w:rStyle w:val="SubtleEmphasis"/>
                                <w:i w:val="0"/>
                                <w:color w:val="auto"/>
                                <w:sz w:val="24"/>
                                <w:szCs w:val="24"/>
                              </w:rPr>
                              <w:tab/>
                              <w:t>Detail of Permanent Positions by Category</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 xml:space="preserve">J. </w:t>
                            </w:r>
                            <w:r>
                              <w:rPr>
                                <w:rStyle w:val="SubtleEmphasis"/>
                                <w:i w:val="0"/>
                                <w:color w:val="auto"/>
                                <w:sz w:val="24"/>
                                <w:szCs w:val="24"/>
                              </w:rPr>
                              <w:tab/>
                              <w:t>Financial Analysis of Program Changes</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K.</w:t>
                            </w:r>
                            <w:r>
                              <w:rPr>
                                <w:rStyle w:val="SubtleEmphasis"/>
                                <w:i w:val="0"/>
                                <w:color w:val="auto"/>
                                <w:sz w:val="24"/>
                                <w:szCs w:val="24"/>
                              </w:rPr>
                              <w:tab/>
                              <w:t>Summary of Requirements by Grade</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L.</w:t>
                            </w:r>
                            <w:r>
                              <w:rPr>
                                <w:rStyle w:val="SubtleEmphasis"/>
                                <w:i w:val="0"/>
                                <w:color w:val="auto"/>
                                <w:sz w:val="24"/>
                                <w:szCs w:val="24"/>
                              </w:rPr>
                              <w:tab/>
                              <w:t>Summary of Requirements by Object Class</w:t>
                            </w:r>
                          </w:p>
                          <w:p w:rsidR="00B97498" w:rsidRDefault="00B974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pt;margin-top:16.15pt;width:405.8pt;height:339.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" fillcolor="white [3212]" stroked="f">
                <v:textbox>
                  <w:txbxContent>
                    <w:p w:rsidR="00B97498" w:rsidRDefault="00B97498" w:rsidP="00631E30">
                      <w:pPr>
                        <w:tabs>
                          <w:tab w:val="left" w:pos="270"/>
                        </w:tabs>
                        <w:spacing w:after="120" w:line="240" w:lineRule="auto"/>
                        <w:ind w:left="274"/>
                        <w:rPr>
                          <w:rStyle w:val="SubtleEmphasis"/>
                          <w:i w:val="0"/>
                          <w:color w:val="auto"/>
                          <w:sz w:val="24"/>
                          <w:szCs w:val="24"/>
                        </w:rPr>
                      </w:pPr>
                      <w:r>
                        <w:rPr>
                          <w:rStyle w:val="SubtleEmphasis"/>
                          <w:i w:val="0"/>
                          <w:color w:val="auto"/>
                          <w:sz w:val="24"/>
                          <w:szCs w:val="24"/>
                        </w:rPr>
                        <w:t>A.</w:t>
                      </w:r>
                      <w:r>
                        <w:rPr>
                          <w:rStyle w:val="SubtleEmphasis"/>
                          <w:i w:val="0"/>
                          <w:color w:val="auto"/>
                          <w:sz w:val="24"/>
                          <w:szCs w:val="24"/>
                        </w:rPr>
                        <w:tab/>
                        <w:t>Organizational Chart</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B.</w:t>
                      </w:r>
                      <w:r>
                        <w:rPr>
                          <w:rStyle w:val="SubtleEmphasis"/>
                          <w:i w:val="0"/>
                          <w:color w:val="auto"/>
                          <w:sz w:val="24"/>
                          <w:szCs w:val="24"/>
                        </w:rPr>
                        <w:tab/>
                        <w:t>Summary of Requirements</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C.</w:t>
                      </w:r>
                      <w:r>
                        <w:rPr>
                          <w:rStyle w:val="SubtleEmphasis"/>
                          <w:i w:val="0"/>
                          <w:color w:val="auto"/>
                          <w:sz w:val="24"/>
                          <w:szCs w:val="24"/>
                        </w:rPr>
                        <w:tab/>
                        <w:t>Program Increases/Offsets by Decision Unit</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D.</w:t>
                      </w:r>
                      <w:r>
                        <w:rPr>
                          <w:rStyle w:val="SubtleEmphasis"/>
                          <w:i w:val="0"/>
                          <w:color w:val="auto"/>
                          <w:sz w:val="24"/>
                          <w:szCs w:val="24"/>
                        </w:rPr>
                        <w:tab/>
                        <w:t>Resources by DOJ Strategic Goal/Objective</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E.</w:t>
                      </w:r>
                      <w:r>
                        <w:rPr>
                          <w:rStyle w:val="SubtleEmphasis"/>
                          <w:i w:val="0"/>
                          <w:color w:val="auto"/>
                          <w:sz w:val="24"/>
                          <w:szCs w:val="24"/>
                        </w:rPr>
                        <w:tab/>
                        <w:t>Justification for Base Adjustments</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F.</w:t>
                      </w:r>
                      <w:r>
                        <w:rPr>
                          <w:rStyle w:val="SubtleEmphasis"/>
                          <w:i w:val="0"/>
                          <w:color w:val="auto"/>
                          <w:sz w:val="24"/>
                          <w:szCs w:val="24"/>
                        </w:rPr>
                        <w:tab/>
                        <w:t>Crosswalk of 2010 Availability</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G.</w:t>
                      </w:r>
                      <w:r>
                        <w:rPr>
                          <w:rStyle w:val="SubtleEmphasis"/>
                          <w:i w:val="0"/>
                          <w:color w:val="auto"/>
                          <w:sz w:val="24"/>
                          <w:szCs w:val="24"/>
                        </w:rPr>
                        <w:tab/>
                        <w:t>Crosswalk of 2011 Availability (Not required for OMB Submission)</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H.</w:t>
                      </w:r>
                      <w:r>
                        <w:rPr>
                          <w:rStyle w:val="SubtleEmphasis"/>
                          <w:i w:val="0"/>
                          <w:color w:val="auto"/>
                          <w:sz w:val="24"/>
                          <w:szCs w:val="24"/>
                        </w:rPr>
                        <w:tab/>
                        <w:t>Summary of Reimbursable Resources</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I.</w:t>
                      </w:r>
                      <w:r>
                        <w:rPr>
                          <w:rStyle w:val="SubtleEmphasis"/>
                          <w:i w:val="0"/>
                          <w:color w:val="auto"/>
                          <w:sz w:val="24"/>
                          <w:szCs w:val="24"/>
                        </w:rPr>
                        <w:tab/>
                        <w:t>Detail of Permanent Positions by Category</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 xml:space="preserve">J. </w:t>
                      </w:r>
                      <w:r>
                        <w:rPr>
                          <w:rStyle w:val="SubtleEmphasis"/>
                          <w:i w:val="0"/>
                          <w:color w:val="auto"/>
                          <w:sz w:val="24"/>
                          <w:szCs w:val="24"/>
                        </w:rPr>
                        <w:tab/>
                        <w:t>Financial Analysis of Program Changes</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K.</w:t>
                      </w:r>
                      <w:r>
                        <w:rPr>
                          <w:rStyle w:val="SubtleEmphasis"/>
                          <w:i w:val="0"/>
                          <w:color w:val="auto"/>
                          <w:sz w:val="24"/>
                          <w:szCs w:val="24"/>
                        </w:rPr>
                        <w:tab/>
                        <w:t>Summary of Requirements by Grade</w:t>
                      </w:r>
                    </w:p>
                    <w:p w:rsidR="00B97498" w:rsidRDefault="00B97498" w:rsidP="00631E30">
                      <w:pPr>
                        <w:tabs>
                          <w:tab w:val="left" w:pos="270"/>
                        </w:tabs>
                        <w:spacing w:after="120" w:line="240" w:lineRule="auto"/>
                        <w:ind w:left="270"/>
                        <w:rPr>
                          <w:rStyle w:val="SubtleEmphasis"/>
                          <w:i w:val="0"/>
                          <w:color w:val="auto"/>
                          <w:sz w:val="24"/>
                          <w:szCs w:val="24"/>
                        </w:rPr>
                      </w:pPr>
                      <w:r>
                        <w:rPr>
                          <w:rStyle w:val="SubtleEmphasis"/>
                          <w:i w:val="0"/>
                          <w:color w:val="auto"/>
                          <w:sz w:val="24"/>
                          <w:szCs w:val="24"/>
                        </w:rPr>
                        <w:t>L.</w:t>
                      </w:r>
                      <w:r>
                        <w:rPr>
                          <w:rStyle w:val="SubtleEmphasis"/>
                          <w:i w:val="0"/>
                          <w:color w:val="auto"/>
                          <w:sz w:val="24"/>
                          <w:szCs w:val="24"/>
                        </w:rPr>
                        <w:tab/>
                        <w:t>Summary of Requirements by Object Class</w:t>
                      </w:r>
                    </w:p>
                    <w:p w:rsidR="00B97498" w:rsidRDefault="00B97498"/>
                  </w:txbxContent>
                </v:textbox>
              </v:shape>
            </w:pict>
          </mc:Fallback>
        </mc:AlternateContent>
      </w:r>
      <w:hyperlink w:anchor="_Toc271895830" w:history="1">
        <w:r w:rsidR="00264994" w:rsidRPr="00264994">
          <w:rPr>
            <w:rStyle w:val="Hyperlink"/>
            <w:iCs/>
            <w:noProof/>
            <w:sz w:val="24"/>
            <w:szCs w:val="24"/>
          </w:rPr>
          <w:t>VII.</w:t>
        </w:r>
        <w:r w:rsidR="00264994" w:rsidRPr="00264994">
          <w:rPr>
            <w:rFonts w:asciiTheme="minorHAnsi" w:eastAsiaTheme="minorEastAsia" w:hAnsiTheme="minorHAnsi" w:cstheme="minorBidi"/>
            <w:noProof/>
          </w:rPr>
          <w:tab/>
        </w:r>
        <w:r w:rsidR="00264994" w:rsidRPr="00264994">
          <w:rPr>
            <w:rStyle w:val="Hyperlink"/>
            <w:iCs/>
            <w:noProof/>
            <w:sz w:val="24"/>
            <w:szCs w:val="24"/>
          </w:rPr>
          <w:t>Exhibits</w:t>
        </w:r>
        <w:r w:rsidR="00264994" w:rsidRPr="00264994">
          <w:rPr>
            <w:noProof/>
            <w:webHidden/>
          </w:rPr>
          <w:tab/>
        </w:r>
        <w:r w:rsidR="00DC5C97" w:rsidRPr="00264994">
          <w:rPr>
            <w:noProof/>
            <w:webHidden/>
          </w:rPr>
          <w:fldChar w:fldCharType="begin"/>
        </w:r>
        <w:r w:rsidR="00264994" w:rsidRPr="00264994">
          <w:rPr>
            <w:noProof/>
            <w:webHidden/>
          </w:rPr>
          <w:instrText xml:space="preserve"> PAGEREF _Toc271895830 \h </w:instrText>
        </w:r>
        <w:r w:rsidR="00DC5C97" w:rsidRPr="00264994">
          <w:rPr>
            <w:noProof/>
            <w:webHidden/>
          </w:rPr>
        </w:r>
        <w:r w:rsidR="00DC5C97" w:rsidRPr="00264994">
          <w:rPr>
            <w:noProof/>
            <w:webHidden/>
          </w:rPr>
          <w:fldChar w:fldCharType="separate"/>
        </w:r>
        <w:r w:rsidR="00B97498">
          <w:rPr>
            <w:noProof/>
            <w:webHidden/>
          </w:rPr>
          <w:t>20</w:t>
        </w:r>
        <w:r w:rsidR="00DC5C97" w:rsidRPr="00264994">
          <w:rPr>
            <w:noProof/>
            <w:webHidden/>
          </w:rPr>
          <w:fldChar w:fldCharType="end"/>
        </w:r>
      </w:hyperlink>
    </w:p>
    <w:p w:rsidR="0032402C" w:rsidRDefault="00DC5C97">
      <w:r w:rsidRPr="00264994">
        <w:rPr>
          <w:sz w:val="24"/>
          <w:szCs w:val="24"/>
        </w:rPr>
        <w:fldChar w:fldCharType="end"/>
      </w:r>
    </w:p>
    <w:p w:rsidR="0032402C" w:rsidRDefault="0032402C" w:rsidP="00C23F6D">
      <w:pPr>
        <w:rPr>
          <w:rStyle w:val="SubtleEmphasis"/>
          <w:i w:val="0"/>
          <w:color w:val="auto"/>
          <w:sz w:val="32"/>
          <w:szCs w:val="32"/>
        </w:rPr>
      </w:pPr>
    </w:p>
    <w:p w:rsidR="0032402C" w:rsidRDefault="0032402C" w:rsidP="00C23F6D">
      <w:pPr>
        <w:rPr>
          <w:rStyle w:val="SubtleEmphasis"/>
          <w:i w:val="0"/>
          <w:color w:val="auto"/>
          <w:sz w:val="32"/>
          <w:szCs w:val="32"/>
        </w:rPr>
      </w:pPr>
    </w:p>
    <w:p w:rsidR="0032402C" w:rsidRDefault="0032402C" w:rsidP="00C23F6D"/>
    <w:p w:rsidR="0032402C" w:rsidRDefault="0032402C" w:rsidP="00C23F6D"/>
    <w:p w:rsidR="0032402C" w:rsidRDefault="0032402C" w:rsidP="00C23F6D"/>
    <w:p w:rsidR="0032402C" w:rsidRDefault="0032402C" w:rsidP="00C23F6D"/>
    <w:p w:rsidR="0032402C" w:rsidRDefault="0032402C" w:rsidP="00C23F6D"/>
    <w:p w:rsidR="0032402C" w:rsidRDefault="0032402C" w:rsidP="00C23F6D"/>
    <w:p w:rsidR="0032402C" w:rsidRDefault="0032402C" w:rsidP="00C23F6D"/>
    <w:p w:rsidR="0032402C" w:rsidRDefault="0032402C" w:rsidP="00C23F6D"/>
    <w:p w:rsidR="001E27E0" w:rsidRDefault="001E27E0" w:rsidP="00C23F6D"/>
    <w:p w:rsidR="001E27E0" w:rsidRDefault="001E27E0" w:rsidP="00C23F6D"/>
    <w:p w:rsidR="001E27E0" w:rsidRDefault="001E27E0" w:rsidP="00C23F6D"/>
    <w:p w:rsidR="0032402C" w:rsidRPr="00C23F6D" w:rsidRDefault="0032402C" w:rsidP="00C23F6D">
      <w:pPr>
        <w:sectPr w:rsidR="0032402C" w:rsidRPr="00C23F6D" w:rsidSect="006D658F">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p>
    <w:p w:rsidR="00C25786" w:rsidRPr="00216743" w:rsidRDefault="00E4376B" w:rsidP="007313A5">
      <w:pPr>
        <w:pStyle w:val="Heading1"/>
        <w:numPr>
          <w:ilvl w:val="0"/>
          <w:numId w:val="30"/>
        </w:numPr>
        <w:rPr>
          <w:rStyle w:val="SubtleEmphasis"/>
          <w:rFonts w:ascii="Times New Roman" w:hAnsi="Times New Roman"/>
          <w:i w:val="0"/>
          <w:color w:val="auto"/>
          <w:sz w:val="32"/>
        </w:rPr>
      </w:pPr>
      <w:bookmarkStart w:id="0" w:name="_Toc271895824"/>
      <w:r w:rsidRPr="00E4376B">
        <w:rPr>
          <w:rStyle w:val="SubtleEmphasis"/>
          <w:rFonts w:ascii="Times New Roman" w:hAnsi="Times New Roman"/>
          <w:i w:val="0"/>
          <w:color w:val="auto"/>
          <w:sz w:val="32"/>
          <w:szCs w:val="32"/>
        </w:rPr>
        <w:lastRenderedPageBreak/>
        <w:t>Overview for the National Drug Intelligence Center</w:t>
      </w:r>
      <w:bookmarkEnd w:id="0"/>
    </w:p>
    <w:p w:rsidR="00264994" w:rsidRDefault="00B67436" w:rsidP="00264994">
      <w:pPr>
        <w:pStyle w:val="Heading2"/>
        <w:spacing w:after="240"/>
        <w:rPr>
          <w:rStyle w:val="Strong"/>
          <w:rFonts w:ascii="Times New Roman" w:hAnsi="Times New Roman"/>
          <w:b/>
          <w:color w:val="auto"/>
          <w:sz w:val="24"/>
          <w:szCs w:val="24"/>
        </w:rPr>
      </w:pPr>
      <w:r>
        <w:rPr>
          <w:rStyle w:val="Strong"/>
          <w:rFonts w:ascii="Times New Roman" w:hAnsi="Times New Roman"/>
          <w:b/>
          <w:color w:val="auto"/>
          <w:sz w:val="24"/>
          <w:szCs w:val="24"/>
        </w:rPr>
        <w:t>Budget Summary</w:t>
      </w:r>
    </w:p>
    <w:p w:rsidR="005C204B" w:rsidRPr="005C204B" w:rsidRDefault="001D5FBB" w:rsidP="0007777F">
      <w:pPr>
        <w:pStyle w:val="ListParagraph"/>
        <w:ind w:left="0"/>
        <w:contextualSpacing w:val="0"/>
        <w:rPr>
          <w:sz w:val="24"/>
          <w:szCs w:val="24"/>
        </w:rPr>
      </w:pPr>
      <w:r w:rsidRPr="001D5FBB">
        <w:rPr>
          <w:sz w:val="24"/>
          <w:szCs w:val="24"/>
        </w:rPr>
        <w:t xml:space="preserve">The National Drug Intelligence Center (NDIC) budget request for Fiscal Year (FY) 2012 directly supports the </w:t>
      </w:r>
      <w:r w:rsidR="00451A0E">
        <w:rPr>
          <w:sz w:val="24"/>
          <w:szCs w:val="24"/>
        </w:rPr>
        <w:t xml:space="preserve">U.S. </w:t>
      </w:r>
      <w:r w:rsidRPr="001D5FBB">
        <w:rPr>
          <w:sz w:val="24"/>
          <w:szCs w:val="24"/>
        </w:rPr>
        <w:t xml:space="preserve">Department of Justice (DOJ) mission </w:t>
      </w:r>
      <w:r w:rsidR="005C204B">
        <w:rPr>
          <w:sz w:val="24"/>
          <w:szCs w:val="24"/>
        </w:rPr>
        <w:t xml:space="preserve">by providing </w:t>
      </w:r>
      <w:r w:rsidR="005C204B" w:rsidRPr="001D5FBB">
        <w:rPr>
          <w:sz w:val="24"/>
          <w:szCs w:val="24"/>
        </w:rPr>
        <w:t xml:space="preserve">operational support to department components through its </w:t>
      </w:r>
      <w:r w:rsidR="005C204B" w:rsidRPr="00C07B65">
        <w:rPr>
          <w:sz w:val="24"/>
          <w:szCs w:val="24"/>
        </w:rPr>
        <w:t>Document</w:t>
      </w:r>
      <w:r w:rsidR="005C204B">
        <w:rPr>
          <w:sz w:val="24"/>
          <w:szCs w:val="24"/>
        </w:rPr>
        <w:t xml:space="preserve"> and Media Exploitation (</w:t>
      </w:r>
      <w:r w:rsidR="005C204B" w:rsidRPr="001D5FBB">
        <w:rPr>
          <w:sz w:val="24"/>
          <w:szCs w:val="24"/>
        </w:rPr>
        <w:t>DOMEX</w:t>
      </w:r>
      <w:r w:rsidR="005C204B">
        <w:rPr>
          <w:sz w:val="24"/>
          <w:szCs w:val="24"/>
        </w:rPr>
        <w:t>)</w:t>
      </w:r>
      <w:r w:rsidR="005C204B" w:rsidRPr="001D5FBB">
        <w:rPr>
          <w:sz w:val="24"/>
          <w:szCs w:val="24"/>
        </w:rPr>
        <w:t xml:space="preserve"> and training programs. The NDIC DOMEX program supports DOJ investigations through the analysis of seized documents and electronic media. DOMEX furthers investigations through the identification of unknown leads, associations, and assets and enhances prosecutions through the development of prosecutorial exhibits </w:t>
      </w:r>
      <w:r w:rsidR="005C204B">
        <w:rPr>
          <w:sz w:val="24"/>
          <w:szCs w:val="24"/>
        </w:rPr>
        <w:t xml:space="preserve">by providing </w:t>
      </w:r>
      <w:r w:rsidR="005C204B" w:rsidRPr="001D5FBB">
        <w:rPr>
          <w:sz w:val="24"/>
          <w:szCs w:val="24"/>
        </w:rPr>
        <w:t xml:space="preserve">expert testimony. </w:t>
      </w:r>
      <w:r w:rsidR="005C204B" w:rsidRPr="005C204B">
        <w:rPr>
          <w:sz w:val="24"/>
          <w:szCs w:val="24"/>
        </w:rPr>
        <w:t>The NDIC training program supports DOJ components by developing and honing drug intelligence analysis skills, which improve operational efficiencies.</w:t>
      </w:r>
    </w:p>
    <w:p w:rsidR="001D5FBB" w:rsidRPr="001D5FBB" w:rsidRDefault="005C204B" w:rsidP="0007777F">
      <w:pPr>
        <w:pStyle w:val="ListParagraph"/>
        <w:ind w:left="0"/>
        <w:contextualSpacing w:val="0"/>
        <w:rPr>
          <w:sz w:val="24"/>
          <w:szCs w:val="24"/>
        </w:rPr>
      </w:pPr>
      <w:r w:rsidRPr="001D5FBB">
        <w:rPr>
          <w:sz w:val="24"/>
          <w:szCs w:val="24"/>
        </w:rPr>
        <w:t xml:space="preserve">NDIC </w:t>
      </w:r>
      <w:r>
        <w:rPr>
          <w:sz w:val="24"/>
          <w:szCs w:val="24"/>
        </w:rPr>
        <w:t xml:space="preserve">also </w:t>
      </w:r>
      <w:r w:rsidRPr="001D5FBB">
        <w:rPr>
          <w:sz w:val="24"/>
          <w:szCs w:val="24"/>
        </w:rPr>
        <w:t>produce</w:t>
      </w:r>
      <w:r>
        <w:rPr>
          <w:sz w:val="24"/>
          <w:szCs w:val="24"/>
        </w:rPr>
        <w:t>s</w:t>
      </w:r>
      <w:r w:rsidRPr="001D5FBB">
        <w:rPr>
          <w:sz w:val="24"/>
          <w:szCs w:val="24"/>
        </w:rPr>
        <w:t xml:space="preserve"> strategic drug intelligence </w:t>
      </w:r>
      <w:r>
        <w:rPr>
          <w:sz w:val="24"/>
          <w:szCs w:val="24"/>
        </w:rPr>
        <w:t>and</w:t>
      </w:r>
      <w:r w:rsidRPr="001D5FBB">
        <w:rPr>
          <w:sz w:val="24"/>
          <w:szCs w:val="24"/>
        </w:rPr>
        <w:t xml:space="preserve"> operational support to DOJ components.</w:t>
      </w:r>
      <w:r>
        <w:rPr>
          <w:sz w:val="24"/>
          <w:szCs w:val="24"/>
        </w:rPr>
        <w:t xml:space="preserve"> </w:t>
      </w:r>
      <w:r w:rsidRPr="001D5FBB">
        <w:rPr>
          <w:sz w:val="24"/>
          <w:szCs w:val="24"/>
        </w:rPr>
        <w:t xml:space="preserve">NDIC-produced strategic intelligence identifies, analyzes, and prioritizes threats </w:t>
      </w:r>
      <w:r>
        <w:rPr>
          <w:sz w:val="24"/>
          <w:szCs w:val="24"/>
        </w:rPr>
        <w:t>to assist</w:t>
      </w:r>
      <w:r w:rsidRPr="001D5FBB">
        <w:rPr>
          <w:sz w:val="24"/>
          <w:szCs w:val="24"/>
        </w:rPr>
        <w:t xml:space="preserve"> policymakers’ </w:t>
      </w:r>
      <w:r>
        <w:rPr>
          <w:sz w:val="24"/>
          <w:szCs w:val="24"/>
        </w:rPr>
        <w:t xml:space="preserve">in </w:t>
      </w:r>
      <w:r w:rsidRPr="001D5FBB">
        <w:rPr>
          <w:sz w:val="24"/>
          <w:szCs w:val="24"/>
        </w:rPr>
        <w:t>mak</w:t>
      </w:r>
      <w:r>
        <w:rPr>
          <w:sz w:val="24"/>
          <w:szCs w:val="24"/>
        </w:rPr>
        <w:t>ing</w:t>
      </w:r>
      <w:r w:rsidRPr="001D5FBB">
        <w:rPr>
          <w:sz w:val="24"/>
          <w:szCs w:val="24"/>
        </w:rPr>
        <w:t xml:space="preserve"> effective, cost-efficient </w:t>
      </w:r>
      <w:r>
        <w:rPr>
          <w:sz w:val="24"/>
          <w:szCs w:val="24"/>
        </w:rPr>
        <w:t xml:space="preserve">drug-related </w:t>
      </w:r>
      <w:r w:rsidRPr="001D5FBB">
        <w:rPr>
          <w:sz w:val="24"/>
          <w:szCs w:val="24"/>
        </w:rPr>
        <w:t>resource allocation</w:t>
      </w:r>
      <w:r>
        <w:rPr>
          <w:sz w:val="24"/>
          <w:szCs w:val="24"/>
        </w:rPr>
        <w:t>s</w:t>
      </w:r>
      <w:r w:rsidRPr="001D5FBB">
        <w:rPr>
          <w:sz w:val="24"/>
          <w:szCs w:val="24"/>
        </w:rPr>
        <w:t xml:space="preserve"> and funding decisions</w:t>
      </w:r>
      <w:r>
        <w:rPr>
          <w:sz w:val="24"/>
          <w:szCs w:val="24"/>
        </w:rPr>
        <w:t>.</w:t>
      </w:r>
      <w:r w:rsidRPr="001D5FBB">
        <w:rPr>
          <w:sz w:val="24"/>
          <w:szCs w:val="24"/>
        </w:rPr>
        <w:t xml:space="preserve"> It also facilitates the development of strategies, initiatives, policies, and regulati</w:t>
      </w:r>
      <w:r>
        <w:rPr>
          <w:sz w:val="24"/>
          <w:szCs w:val="24"/>
        </w:rPr>
        <w:t xml:space="preserve">ons to counter drug threats and promotes effective, intelligence driven, support of the Attorney General’s priorities. </w:t>
      </w:r>
    </w:p>
    <w:p w:rsidR="0032402C" w:rsidRDefault="008C0A60" w:rsidP="00236348">
      <w:pPr>
        <w:rPr>
          <w:sz w:val="24"/>
          <w:szCs w:val="24"/>
        </w:rPr>
      </w:pPr>
      <w:r>
        <w:rPr>
          <w:sz w:val="24"/>
          <w:szCs w:val="24"/>
        </w:rPr>
        <w:t>To support its mission f</w:t>
      </w:r>
      <w:r w:rsidR="002B73F9">
        <w:rPr>
          <w:sz w:val="24"/>
          <w:szCs w:val="24"/>
        </w:rPr>
        <w:t>or FY</w:t>
      </w:r>
      <w:r w:rsidR="0032402C" w:rsidRPr="00236348">
        <w:rPr>
          <w:sz w:val="24"/>
          <w:szCs w:val="24"/>
        </w:rPr>
        <w:t xml:space="preserve"> 201</w:t>
      </w:r>
      <w:r w:rsidR="00DA74C9">
        <w:rPr>
          <w:sz w:val="24"/>
          <w:szCs w:val="24"/>
        </w:rPr>
        <w:t>2</w:t>
      </w:r>
      <w:r w:rsidR="0032402C" w:rsidRPr="00236348">
        <w:rPr>
          <w:sz w:val="24"/>
          <w:szCs w:val="24"/>
        </w:rPr>
        <w:t>,</w:t>
      </w:r>
      <w:r w:rsidR="001D5FBB">
        <w:rPr>
          <w:sz w:val="24"/>
          <w:szCs w:val="24"/>
        </w:rPr>
        <w:t xml:space="preserve"> NDIC</w:t>
      </w:r>
      <w:r w:rsidR="0032402C">
        <w:rPr>
          <w:sz w:val="24"/>
          <w:szCs w:val="24"/>
        </w:rPr>
        <w:t xml:space="preserve"> requests a total of $</w:t>
      </w:r>
      <w:r w:rsidR="00D1592E">
        <w:rPr>
          <w:sz w:val="24"/>
          <w:szCs w:val="24"/>
        </w:rPr>
        <w:t>25</w:t>
      </w:r>
      <w:r w:rsidR="0032402C">
        <w:rPr>
          <w:sz w:val="24"/>
          <w:szCs w:val="24"/>
        </w:rPr>
        <w:t xml:space="preserve"> million, 2</w:t>
      </w:r>
      <w:r w:rsidR="00BF1A75">
        <w:rPr>
          <w:sz w:val="24"/>
          <w:szCs w:val="24"/>
        </w:rPr>
        <w:t>38</w:t>
      </w:r>
      <w:r w:rsidR="0032402C">
        <w:rPr>
          <w:sz w:val="24"/>
          <w:szCs w:val="24"/>
        </w:rPr>
        <w:t xml:space="preserve"> positions, and 2</w:t>
      </w:r>
      <w:r w:rsidR="00BF1A75">
        <w:rPr>
          <w:sz w:val="24"/>
          <w:szCs w:val="24"/>
        </w:rPr>
        <w:t>38</w:t>
      </w:r>
      <w:r w:rsidR="0032402C">
        <w:rPr>
          <w:sz w:val="24"/>
          <w:szCs w:val="24"/>
        </w:rPr>
        <w:t xml:space="preserve"> full-time equival</w:t>
      </w:r>
      <w:r w:rsidR="008F6E02">
        <w:rPr>
          <w:sz w:val="24"/>
          <w:szCs w:val="24"/>
        </w:rPr>
        <w:t>ents (FTE</w:t>
      </w:r>
      <w:r w:rsidR="001D5FBB">
        <w:rPr>
          <w:sz w:val="24"/>
          <w:szCs w:val="24"/>
        </w:rPr>
        <w:t>)</w:t>
      </w:r>
      <w:r w:rsidR="008F6E02">
        <w:rPr>
          <w:sz w:val="24"/>
          <w:szCs w:val="24"/>
        </w:rPr>
        <w:t>.</w:t>
      </w:r>
      <w:r w:rsidR="005238FE">
        <w:rPr>
          <w:sz w:val="24"/>
          <w:szCs w:val="24"/>
        </w:rPr>
        <w:t xml:space="preserve"> T</w:t>
      </w:r>
      <w:r w:rsidR="00254E2F">
        <w:rPr>
          <w:sz w:val="24"/>
          <w:szCs w:val="24"/>
        </w:rPr>
        <w:t xml:space="preserve">his request reflects a </w:t>
      </w:r>
      <w:r w:rsidR="004E14C1">
        <w:rPr>
          <w:sz w:val="24"/>
          <w:szCs w:val="24"/>
        </w:rPr>
        <w:t>43</w:t>
      </w:r>
      <w:r w:rsidR="00254E2F">
        <w:rPr>
          <w:sz w:val="24"/>
          <w:szCs w:val="24"/>
        </w:rPr>
        <w:t xml:space="preserve"> percent </w:t>
      </w:r>
      <w:r w:rsidR="00BF1A75">
        <w:rPr>
          <w:sz w:val="24"/>
          <w:szCs w:val="24"/>
        </w:rPr>
        <w:t>de</w:t>
      </w:r>
      <w:r w:rsidR="00254E2F">
        <w:rPr>
          <w:sz w:val="24"/>
          <w:szCs w:val="24"/>
        </w:rPr>
        <w:t xml:space="preserve">crease </w:t>
      </w:r>
      <w:r w:rsidR="006C5960">
        <w:rPr>
          <w:sz w:val="24"/>
          <w:szCs w:val="24"/>
        </w:rPr>
        <w:t>from</w:t>
      </w:r>
      <w:r w:rsidR="00254E2F">
        <w:rPr>
          <w:sz w:val="24"/>
          <w:szCs w:val="24"/>
        </w:rPr>
        <w:t xml:space="preserve"> FY 2011 </w:t>
      </w:r>
      <w:r w:rsidR="00100ADE">
        <w:rPr>
          <w:sz w:val="24"/>
          <w:szCs w:val="24"/>
        </w:rPr>
        <w:t>CR</w:t>
      </w:r>
      <w:r w:rsidR="00286464">
        <w:rPr>
          <w:sz w:val="24"/>
          <w:szCs w:val="24"/>
        </w:rPr>
        <w:t>.</w:t>
      </w:r>
    </w:p>
    <w:p w:rsidR="00254E2F" w:rsidRDefault="00112B5F" w:rsidP="00C25786">
      <w:pPr>
        <w:pStyle w:val="Heading2"/>
        <w:spacing w:after="240"/>
        <w:rPr>
          <w:rStyle w:val="Strong"/>
          <w:rFonts w:ascii="Times New Roman" w:hAnsi="Times New Roman"/>
          <w:b/>
          <w:color w:val="auto"/>
          <w:sz w:val="24"/>
          <w:szCs w:val="24"/>
        </w:rPr>
      </w:pPr>
      <w:r w:rsidRPr="00C25786">
        <w:rPr>
          <w:rStyle w:val="Strong"/>
          <w:rFonts w:ascii="Times New Roman" w:hAnsi="Times New Roman"/>
          <w:b/>
          <w:color w:val="auto"/>
          <w:sz w:val="24"/>
          <w:szCs w:val="24"/>
        </w:rPr>
        <w:t>NDIC Support to DOJ</w:t>
      </w:r>
    </w:p>
    <w:p w:rsidR="00AC5F90" w:rsidRDefault="005C204B" w:rsidP="002C20B5">
      <w:pPr>
        <w:rPr>
          <w:sz w:val="24"/>
          <w:szCs w:val="24"/>
        </w:rPr>
      </w:pPr>
      <w:r>
        <w:rPr>
          <w:sz w:val="24"/>
          <w:szCs w:val="24"/>
        </w:rPr>
        <w:t>NDIC provides timely operational support to DOJ components, including</w:t>
      </w:r>
      <w:r w:rsidRPr="006760E1">
        <w:rPr>
          <w:rFonts w:eastAsia="Calibri"/>
          <w:bCs/>
          <w:sz w:val="24"/>
          <w:szCs w:val="24"/>
        </w:rPr>
        <w:t xml:space="preserve"> </w:t>
      </w:r>
      <w:r>
        <w:rPr>
          <w:rFonts w:eastAsia="Calibri"/>
          <w:bCs/>
          <w:sz w:val="24"/>
          <w:szCs w:val="24"/>
        </w:rPr>
        <w:t xml:space="preserve">the </w:t>
      </w:r>
      <w:r w:rsidRPr="00DD3DF2">
        <w:rPr>
          <w:rFonts w:eastAsia="Calibri"/>
          <w:bCs/>
          <w:sz w:val="24"/>
          <w:szCs w:val="24"/>
        </w:rPr>
        <w:t>Drug Enforcement Administration</w:t>
      </w:r>
      <w:r>
        <w:rPr>
          <w:sz w:val="24"/>
          <w:szCs w:val="24"/>
        </w:rPr>
        <w:t xml:space="preserve"> (DEA), the </w:t>
      </w:r>
      <w:r>
        <w:rPr>
          <w:color w:val="000000"/>
          <w:sz w:val="24"/>
          <w:szCs w:val="24"/>
        </w:rPr>
        <w:t>Federal Bureau of Investigation (</w:t>
      </w:r>
      <w:r>
        <w:rPr>
          <w:sz w:val="24"/>
          <w:szCs w:val="24"/>
        </w:rPr>
        <w:t xml:space="preserve">FBI), </w:t>
      </w:r>
      <w:r w:rsidR="00BB549B">
        <w:rPr>
          <w:sz w:val="24"/>
          <w:szCs w:val="24"/>
        </w:rPr>
        <w:t xml:space="preserve">United States Attorney’s Offices, U.S. Immigration and Customs Enforcement, Bureau of </w:t>
      </w:r>
      <w:r w:rsidR="00BB549B" w:rsidRPr="00286464">
        <w:rPr>
          <w:color w:val="000000"/>
        </w:rPr>
        <w:t>A</w:t>
      </w:r>
      <w:r w:rsidR="00BB549B">
        <w:rPr>
          <w:color w:val="000000"/>
        </w:rPr>
        <w:t xml:space="preserve">lcohol, </w:t>
      </w:r>
      <w:r w:rsidR="00BB549B" w:rsidRPr="00286464">
        <w:rPr>
          <w:color w:val="000000"/>
        </w:rPr>
        <w:t>T</w:t>
      </w:r>
      <w:r w:rsidR="00BB549B">
        <w:rPr>
          <w:color w:val="000000"/>
        </w:rPr>
        <w:t xml:space="preserve">obacco, </w:t>
      </w:r>
      <w:r w:rsidR="00BB549B" w:rsidRPr="00286464">
        <w:rPr>
          <w:color w:val="000000"/>
        </w:rPr>
        <w:t>F</w:t>
      </w:r>
      <w:r w:rsidR="00BB549B">
        <w:rPr>
          <w:color w:val="000000"/>
        </w:rPr>
        <w:t>irearms and Explosives</w:t>
      </w:r>
      <w:r w:rsidR="00BB549B">
        <w:rPr>
          <w:sz w:val="24"/>
          <w:szCs w:val="24"/>
        </w:rPr>
        <w:t xml:space="preserve"> </w:t>
      </w:r>
      <w:r>
        <w:rPr>
          <w:sz w:val="24"/>
          <w:szCs w:val="24"/>
        </w:rPr>
        <w:t xml:space="preserve">and </w:t>
      </w:r>
      <w:r w:rsidR="008525CF">
        <w:rPr>
          <w:sz w:val="24"/>
          <w:szCs w:val="24"/>
        </w:rPr>
        <w:t>Bureau of Prisons</w:t>
      </w:r>
      <w:r>
        <w:rPr>
          <w:sz w:val="24"/>
          <w:szCs w:val="24"/>
        </w:rPr>
        <w:t xml:space="preserve"> by conducting document and media exploitation of evidence collected during federal, state, and local law enforcement investigations; and provides intelligence-related training in support of these efforts. </w:t>
      </w:r>
      <w:r w:rsidR="0072085C">
        <w:rPr>
          <w:sz w:val="24"/>
          <w:szCs w:val="24"/>
        </w:rPr>
        <w:t xml:space="preserve">NDIC </w:t>
      </w:r>
      <w:r>
        <w:rPr>
          <w:sz w:val="24"/>
          <w:szCs w:val="24"/>
        </w:rPr>
        <w:t xml:space="preserve">also </w:t>
      </w:r>
      <w:r w:rsidR="0072085C">
        <w:rPr>
          <w:sz w:val="24"/>
          <w:szCs w:val="24"/>
        </w:rPr>
        <w:t>supports the DOJ mission by providing strategic drug intelligence and operational support to Departmental components. The strategic drug intelligenc</w:t>
      </w:r>
      <w:r w:rsidR="00001F08">
        <w:rPr>
          <w:sz w:val="24"/>
          <w:szCs w:val="24"/>
        </w:rPr>
        <w:t xml:space="preserve">e provided by NDIC </w:t>
      </w:r>
      <w:r w:rsidR="0072085C">
        <w:rPr>
          <w:sz w:val="24"/>
          <w:szCs w:val="24"/>
        </w:rPr>
        <w:t>support</w:t>
      </w:r>
      <w:r w:rsidR="00100ADE">
        <w:rPr>
          <w:sz w:val="24"/>
          <w:szCs w:val="24"/>
        </w:rPr>
        <w:t>s</w:t>
      </w:r>
      <w:r w:rsidR="0072085C">
        <w:rPr>
          <w:sz w:val="24"/>
          <w:szCs w:val="24"/>
        </w:rPr>
        <w:t xml:space="preserve"> the </w:t>
      </w:r>
      <w:r w:rsidR="00A464DE">
        <w:rPr>
          <w:sz w:val="24"/>
          <w:szCs w:val="24"/>
        </w:rPr>
        <w:t xml:space="preserve">Attorney General’s </w:t>
      </w:r>
      <w:r w:rsidR="00100ADE">
        <w:rPr>
          <w:sz w:val="24"/>
          <w:szCs w:val="24"/>
        </w:rPr>
        <w:t xml:space="preserve">drug-related </w:t>
      </w:r>
      <w:r w:rsidR="00A464DE">
        <w:rPr>
          <w:sz w:val="24"/>
          <w:szCs w:val="24"/>
        </w:rPr>
        <w:t>priorities</w:t>
      </w:r>
      <w:r w:rsidR="0072085C">
        <w:rPr>
          <w:sz w:val="24"/>
          <w:szCs w:val="24"/>
        </w:rPr>
        <w:t xml:space="preserve">. </w:t>
      </w:r>
    </w:p>
    <w:p w:rsidR="005C204B" w:rsidRDefault="005C204B" w:rsidP="005C204B">
      <w:pPr>
        <w:rPr>
          <w:b/>
          <w:sz w:val="24"/>
          <w:szCs w:val="24"/>
        </w:rPr>
      </w:pPr>
      <w:r>
        <w:rPr>
          <w:b/>
          <w:sz w:val="24"/>
          <w:szCs w:val="24"/>
        </w:rPr>
        <w:t>Document Media and Exploitation</w:t>
      </w:r>
    </w:p>
    <w:p w:rsidR="005C204B" w:rsidRDefault="005C204B" w:rsidP="005C204B">
      <w:pPr>
        <w:rPr>
          <w:sz w:val="24"/>
          <w:szCs w:val="24"/>
        </w:rPr>
      </w:pPr>
      <w:r>
        <w:rPr>
          <w:sz w:val="24"/>
          <w:szCs w:val="24"/>
        </w:rPr>
        <w:t xml:space="preserve">NDIC provides direct operational support to DOJ components through the DOMEX program. </w:t>
      </w:r>
      <w:r w:rsidRPr="00C07B65">
        <w:rPr>
          <w:sz w:val="24"/>
          <w:szCs w:val="24"/>
        </w:rPr>
        <w:t>In FY 20</w:t>
      </w:r>
      <w:r w:rsidR="00286464">
        <w:rPr>
          <w:sz w:val="24"/>
          <w:szCs w:val="24"/>
        </w:rPr>
        <w:t>10</w:t>
      </w:r>
      <w:r w:rsidRPr="00C07B65">
        <w:rPr>
          <w:sz w:val="24"/>
          <w:szCs w:val="24"/>
        </w:rPr>
        <w:t xml:space="preserve">, NDIC performed </w:t>
      </w:r>
      <w:r w:rsidR="00286464">
        <w:rPr>
          <w:sz w:val="24"/>
          <w:szCs w:val="24"/>
        </w:rPr>
        <w:t>104</w:t>
      </w:r>
      <w:r w:rsidRPr="00C07B65">
        <w:rPr>
          <w:sz w:val="24"/>
          <w:szCs w:val="24"/>
        </w:rPr>
        <w:t xml:space="preserve"> DOMEX missions for 1</w:t>
      </w:r>
      <w:r w:rsidR="00BB549B">
        <w:rPr>
          <w:sz w:val="24"/>
          <w:szCs w:val="24"/>
        </w:rPr>
        <w:t>5</w:t>
      </w:r>
      <w:r w:rsidRPr="00C07B65">
        <w:rPr>
          <w:sz w:val="24"/>
          <w:szCs w:val="24"/>
        </w:rPr>
        <w:t xml:space="preserve"> different federal, state, and local agen</w:t>
      </w:r>
      <w:r>
        <w:rPr>
          <w:sz w:val="24"/>
          <w:szCs w:val="24"/>
        </w:rPr>
        <w:t>cies. By far, DEA was NDIC’s</w:t>
      </w:r>
      <w:r w:rsidRPr="00C07B65">
        <w:rPr>
          <w:sz w:val="24"/>
          <w:szCs w:val="24"/>
        </w:rPr>
        <w:t xml:space="preserve"> most frequent customer with </w:t>
      </w:r>
      <w:r w:rsidR="008525CF">
        <w:rPr>
          <w:sz w:val="24"/>
          <w:szCs w:val="24"/>
        </w:rPr>
        <w:t>66</w:t>
      </w:r>
      <w:r w:rsidRPr="00C07B65">
        <w:rPr>
          <w:sz w:val="24"/>
          <w:szCs w:val="24"/>
        </w:rPr>
        <w:t xml:space="preserve"> missions conducted. </w:t>
      </w:r>
      <w:r>
        <w:rPr>
          <w:sz w:val="24"/>
          <w:szCs w:val="24"/>
        </w:rPr>
        <w:t xml:space="preserve">Additionally, </w:t>
      </w:r>
      <w:r w:rsidR="00144F9B">
        <w:rPr>
          <w:sz w:val="24"/>
          <w:szCs w:val="24"/>
        </w:rPr>
        <w:t>58</w:t>
      </w:r>
      <w:r w:rsidR="00144F9B" w:rsidRPr="00C07B65">
        <w:rPr>
          <w:sz w:val="24"/>
          <w:szCs w:val="24"/>
        </w:rPr>
        <w:t xml:space="preserve"> </w:t>
      </w:r>
      <w:r w:rsidRPr="00C07B65">
        <w:rPr>
          <w:sz w:val="24"/>
          <w:szCs w:val="24"/>
        </w:rPr>
        <w:t xml:space="preserve">of these missions were in support of the OCDETF program. The following table </w:t>
      </w:r>
      <w:r w:rsidRPr="00C07B65">
        <w:rPr>
          <w:sz w:val="24"/>
          <w:szCs w:val="24"/>
        </w:rPr>
        <w:lastRenderedPageBreak/>
        <w:t>provides our FY 20</w:t>
      </w:r>
      <w:r w:rsidR="008525CF">
        <w:rPr>
          <w:sz w:val="24"/>
          <w:szCs w:val="24"/>
        </w:rPr>
        <w:t>10</w:t>
      </w:r>
      <w:r w:rsidRPr="00C07B65">
        <w:rPr>
          <w:sz w:val="24"/>
          <w:szCs w:val="24"/>
        </w:rPr>
        <w:t xml:space="preserve"> DOMEX workload by requesting agency and primary case type. Although investigations frequently involve multiple violations (such as money lau</w:t>
      </w:r>
      <w:r>
        <w:rPr>
          <w:sz w:val="24"/>
          <w:szCs w:val="24"/>
        </w:rPr>
        <w:t>ndering and drug trafficking), only</w:t>
      </w:r>
      <w:r w:rsidRPr="00C07B65">
        <w:rPr>
          <w:sz w:val="24"/>
          <w:szCs w:val="24"/>
        </w:rPr>
        <w:t xml:space="preserve"> the</w:t>
      </w:r>
      <w:r w:rsidRPr="003805A1">
        <w:rPr>
          <w:sz w:val="24"/>
          <w:szCs w:val="24"/>
        </w:rPr>
        <w:t xml:space="preserve"> primary</w:t>
      </w:r>
      <w:r>
        <w:rPr>
          <w:sz w:val="24"/>
          <w:szCs w:val="24"/>
        </w:rPr>
        <w:t xml:space="preserve"> case type is shown for each mission.</w:t>
      </w:r>
    </w:p>
    <w:p w:rsidR="00286464" w:rsidRPr="00177C13" w:rsidRDefault="00286464" w:rsidP="00286464">
      <w:pPr>
        <w:jc w:val="center"/>
        <w:rPr>
          <w:b/>
          <w:sz w:val="24"/>
          <w:szCs w:val="24"/>
        </w:rPr>
      </w:pPr>
      <w:r w:rsidRPr="00177C13">
        <w:rPr>
          <w:b/>
          <w:sz w:val="24"/>
          <w:szCs w:val="24"/>
        </w:rPr>
        <w:t>FY 20</w:t>
      </w:r>
      <w:r>
        <w:rPr>
          <w:b/>
          <w:sz w:val="24"/>
          <w:szCs w:val="24"/>
        </w:rPr>
        <w:t>1</w:t>
      </w:r>
      <w:r w:rsidRPr="00177C13">
        <w:rPr>
          <w:b/>
          <w:sz w:val="24"/>
          <w:szCs w:val="24"/>
        </w:rPr>
        <w:t>0 DOMEX Missions by Requesting Agency and Type</w:t>
      </w:r>
    </w:p>
    <w:tbl>
      <w:tblPr>
        <w:tblW w:w="9440" w:type="dxa"/>
        <w:tblInd w:w="93" w:type="dxa"/>
        <w:tblLook w:val="04A0" w:firstRow="1" w:lastRow="0" w:firstColumn="1" w:lastColumn="0" w:noHBand="0" w:noVBand="1"/>
      </w:tblPr>
      <w:tblGrid>
        <w:gridCol w:w="4293"/>
        <w:gridCol w:w="505"/>
        <w:gridCol w:w="505"/>
        <w:gridCol w:w="505"/>
        <w:gridCol w:w="506"/>
        <w:gridCol w:w="506"/>
        <w:gridCol w:w="506"/>
        <w:gridCol w:w="506"/>
        <w:gridCol w:w="506"/>
        <w:gridCol w:w="506"/>
        <w:gridCol w:w="639"/>
      </w:tblGrid>
      <w:tr w:rsidR="00286464" w:rsidRPr="00031D8D" w:rsidTr="00286464">
        <w:trPr>
          <w:trHeight w:val="2760"/>
        </w:trPr>
        <w:tc>
          <w:tcPr>
            <w:tcW w:w="4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86464" w:rsidRPr="00031D8D" w:rsidRDefault="00286464" w:rsidP="00286464">
            <w:pPr>
              <w:spacing w:after="0" w:line="240" w:lineRule="auto"/>
              <w:jc w:val="center"/>
              <w:rPr>
                <w:b/>
                <w:bCs/>
                <w:color w:val="000000"/>
                <w:sz w:val="24"/>
                <w:szCs w:val="24"/>
              </w:rPr>
            </w:pPr>
            <w:bookmarkStart w:id="1" w:name="RANGE!A1:K14"/>
            <w:r w:rsidRPr="00031D8D">
              <w:rPr>
                <w:b/>
                <w:bCs/>
                <w:color w:val="000000"/>
                <w:sz w:val="24"/>
                <w:szCs w:val="24"/>
              </w:rPr>
              <w:t>Requesting Agency</w:t>
            </w:r>
            <w:bookmarkEnd w:id="1"/>
          </w:p>
        </w:tc>
        <w:tc>
          <w:tcPr>
            <w:tcW w:w="5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Diversion</w:t>
            </w:r>
          </w:p>
        </w:tc>
        <w:tc>
          <w:tcPr>
            <w:tcW w:w="5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Money Laundering</w:t>
            </w:r>
          </w:p>
        </w:tc>
        <w:tc>
          <w:tcPr>
            <w:tcW w:w="5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Drug Trafficking</w:t>
            </w:r>
          </w:p>
        </w:tc>
        <w:tc>
          <w:tcPr>
            <w:tcW w:w="5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Cocaine and/or Heroin</w:t>
            </w:r>
          </w:p>
        </w:tc>
        <w:tc>
          <w:tcPr>
            <w:tcW w:w="5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Marijuana</w:t>
            </w:r>
          </w:p>
        </w:tc>
        <w:tc>
          <w:tcPr>
            <w:tcW w:w="5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Terrorism</w:t>
            </w:r>
          </w:p>
        </w:tc>
        <w:tc>
          <w:tcPr>
            <w:tcW w:w="5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Violent Crime</w:t>
            </w:r>
          </w:p>
        </w:tc>
        <w:tc>
          <w:tcPr>
            <w:tcW w:w="500" w:type="dxa"/>
            <w:tcBorders>
              <w:top w:val="single" w:sz="8" w:space="0" w:color="auto"/>
              <w:left w:val="nil"/>
              <w:bottom w:val="single" w:sz="8" w:space="0" w:color="auto"/>
              <w:right w:val="single" w:sz="4"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Firearms</w:t>
            </w:r>
          </w:p>
        </w:tc>
        <w:tc>
          <w:tcPr>
            <w:tcW w:w="500" w:type="dxa"/>
            <w:tcBorders>
              <w:top w:val="single" w:sz="8" w:space="0" w:color="auto"/>
              <w:left w:val="nil"/>
              <w:bottom w:val="single" w:sz="8" w:space="0" w:color="auto"/>
              <w:right w:val="single" w:sz="8" w:space="0" w:color="auto"/>
            </w:tcBorders>
            <w:shd w:val="clear" w:color="auto" w:fill="auto"/>
            <w:noWrap/>
            <w:textDirection w:val="btLr"/>
            <w:vAlign w:val="bottom"/>
            <w:hideMark/>
          </w:tcPr>
          <w:p w:rsidR="00286464" w:rsidRPr="00031D8D" w:rsidRDefault="00286464" w:rsidP="00286464">
            <w:pPr>
              <w:spacing w:after="0" w:line="240" w:lineRule="auto"/>
              <w:jc w:val="center"/>
              <w:rPr>
                <w:b/>
                <w:color w:val="000000"/>
                <w:sz w:val="24"/>
                <w:szCs w:val="24"/>
              </w:rPr>
            </w:pPr>
            <w:r w:rsidRPr="00031D8D">
              <w:rPr>
                <w:b/>
                <w:color w:val="000000"/>
                <w:sz w:val="24"/>
                <w:szCs w:val="24"/>
              </w:rPr>
              <w:t>Other</w:t>
            </w:r>
          </w:p>
        </w:tc>
        <w:tc>
          <w:tcPr>
            <w:tcW w:w="640" w:type="dxa"/>
            <w:tcBorders>
              <w:top w:val="single" w:sz="8" w:space="0" w:color="auto"/>
              <w:left w:val="nil"/>
              <w:bottom w:val="single" w:sz="8" w:space="0" w:color="auto"/>
              <w:right w:val="single" w:sz="8" w:space="0" w:color="auto"/>
            </w:tcBorders>
            <w:shd w:val="clear" w:color="auto" w:fill="auto"/>
            <w:textDirection w:val="btLr"/>
            <w:vAlign w:val="bottom"/>
            <w:hideMark/>
          </w:tcPr>
          <w:p w:rsidR="00286464" w:rsidRPr="00031D8D" w:rsidRDefault="00286464" w:rsidP="00031D8D">
            <w:pPr>
              <w:spacing w:after="0" w:line="240" w:lineRule="auto"/>
              <w:jc w:val="center"/>
              <w:rPr>
                <w:b/>
                <w:bCs/>
                <w:color w:val="000000"/>
                <w:sz w:val="24"/>
                <w:szCs w:val="24"/>
              </w:rPr>
            </w:pPr>
            <w:r w:rsidRPr="00031D8D">
              <w:rPr>
                <w:b/>
                <w:bCs/>
                <w:color w:val="000000"/>
                <w:sz w:val="24"/>
                <w:szCs w:val="24"/>
              </w:rPr>
              <w:t>FY</w:t>
            </w:r>
            <w:r w:rsidR="00A465E9">
              <w:rPr>
                <w:b/>
                <w:bCs/>
                <w:color w:val="000000"/>
                <w:sz w:val="24"/>
                <w:szCs w:val="24"/>
              </w:rPr>
              <w:t xml:space="preserve"> </w:t>
            </w:r>
            <w:r w:rsidRPr="00031D8D">
              <w:rPr>
                <w:b/>
                <w:bCs/>
                <w:color w:val="000000"/>
                <w:sz w:val="24"/>
                <w:szCs w:val="24"/>
              </w:rPr>
              <w:t xml:space="preserve">2010 </w:t>
            </w:r>
            <w:r w:rsidR="00031D8D" w:rsidRPr="00031D8D">
              <w:rPr>
                <w:b/>
                <w:bCs/>
                <w:color w:val="000000"/>
                <w:sz w:val="24"/>
                <w:szCs w:val="24"/>
              </w:rPr>
              <w:t>Totals</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D</w:t>
            </w:r>
            <w:r w:rsidR="00BB549B" w:rsidRPr="00031D8D">
              <w:rPr>
                <w:b/>
                <w:color w:val="000000"/>
                <w:sz w:val="24"/>
                <w:szCs w:val="24"/>
              </w:rPr>
              <w:t xml:space="preserve">rug </w:t>
            </w:r>
            <w:r w:rsidRPr="00031D8D">
              <w:rPr>
                <w:b/>
                <w:color w:val="000000"/>
                <w:sz w:val="24"/>
                <w:szCs w:val="24"/>
              </w:rPr>
              <w:t>E</w:t>
            </w:r>
            <w:r w:rsidR="00BB549B" w:rsidRPr="00031D8D">
              <w:rPr>
                <w:b/>
                <w:color w:val="000000"/>
                <w:sz w:val="24"/>
                <w:szCs w:val="24"/>
              </w:rPr>
              <w:t xml:space="preserve">nforcement </w:t>
            </w:r>
            <w:r w:rsidRPr="00031D8D">
              <w:rPr>
                <w:b/>
                <w:color w:val="000000"/>
                <w:sz w:val="24"/>
                <w:szCs w:val="24"/>
              </w:rPr>
              <w:t>A</w:t>
            </w:r>
            <w:r w:rsidR="00BB549B" w:rsidRPr="00031D8D">
              <w:rPr>
                <w:b/>
                <w:color w:val="000000"/>
                <w:sz w:val="24"/>
                <w:szCs w:val="24"/>
              </w:rPr>
              <w:t>dministration</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14</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21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19</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8</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4</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66</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F</w:t>
            </w:r>
            <w:r w:rsidR="00BB549B" w:rsidRPr="00031D8D">
              <w:rPr>
                <w:b/>
                <w:color w:val="000000"/>
                <w:sz w:val="24"/>
                <w:szCs w:val="24"/>
              </w:rPr>
              <w:t xml:space="preserve">ederal </w:t>
            </w:r>
            <w:r w:rsidRPr="00031D8D">
              <w:rPr>
                <w:b/>
                <w:color w:val="000000"/>
                <w:sz w:val="24"/>
                <w:szCs w:val="24"/>
              </w:rPr>
              <w:t>B</w:t>
            </w:r>
            <w:r w:rsidR="00BB549B" w:rsidRPr="00031D8D">
              <w:rPr>
                <w:b/>
                <w:color w:val="000000"/>
                <w:sz w:val="24"/>
                <w:szCs w:val="24"/>
              </w:rPr>
              <w:t xml:space="preserve">ureau of </w:t>
            </w:r>
            <w:r w:rsidRPr="00031D8D">
              <w:rPr>
                <w:b/>
                <w:color w:val="000000"/>
                <w:sz w:val="24"/>
                <w:szCs w:val="24"/>
              </w:rPr>
              <w:t>I</w:t>
            </w:r>
            <w:r w:rsidR="00BB549B" w:rsidRPr="00031D8D">
              <w:rPr>
                <w:b/>
                <w:color w:val="000000"/>
                <w:sz w:val="24"/>
                <w:szCs w:val="24"/>
              </w:rPr>
              <w:t>nvestigation</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2</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5</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BB549B">
            <w:pPr>
              <w:spacing w:after="0" w:line="240" w:lineRule="auto"/>
              <w:rPr>
                <w:b/>
                <w:color w:val="000000"/>
                <w:sz w:val="24"/>
                <w:szCs w:val="24"/>
              </w:rPr>
            </w:pPr>
            <w:r w:rsidRPr="00031D8D">
              <w:rPr>
                <w:b/>
                <w:color w:val="000000"/>
                <w:sz w:val="24"/>
                <w:szCs w:val="24"/>
              </w:rPr>
              <w:t>D</w:t>
            </w:r>
            <w:r w:rsidR="00BB549B" w:rsidRPr="00031D8D">
              <w:rPr>
                <w:b/>
                <w:color w:val="000000"/>
                <w:sz w:val="24"/>
                <w:szCs w:val="24"/>
              </w:rPr>
              <w:t>epartment of Justice</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3</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3</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BB549B">
            <w:pPr>
              <w:spacing w:after="0" w:line="240" w:lineRule="auto"/>
              <w:rPr>
                <w:b/>
                <w:color w:val="000000"/>
                <w:sz w:val="24"/>
                <w:szCs w:val="24"/>
              </w:rPr>
            </w:pPr>
            <w:r w:rsidRPr="00031D8D">
              <w:rPr>
                <w:b/>
                <w:color w:val="000000"/>
                <w:sz w:val="24"/>
                <w:szCs w:val="24"/>
              </w:rPr>
              <w:t>U</w:t>
            </w:r>
            <w:r w:rsidR="00BB549B" w:rsidRPr="00031D8D">
              <w:rPr>
                <w:b/>
                <w:color w:val="000000"/>
                <w:sz w:val="24"/>
                <w:szCs w:val="24"/>
              </w:rPr>
              <w:t xml:space="preserve">nited </w:t>
            </w:r>
            <w:r w:rsidRPr="00031D8D">
              <w:rPr>
                <w:b/>
                <w:color w:val="000000"/>
                <w:sz w:val="24"/>
                <w:szCs w:val="24"/>
              </w:rPr>
              <w:t>S</w:t>
            </w:r>
            <w:r w:rsidR="00BB549B" w:rsidRPr="00031D8D">
              <w:rPr>
                <w:b/>
                <w:color w:val="000000"/>
                <w:sz w:val="24"/>
                <w:szCs w:val="24"/>
              </w:rPr>
              <w:t>tates</w:t>
            </w:r>
            <w:r w:rsidRPr="00031D8D">
              <w:rPr>
                <w:b/>
                <w:color w:val="000000"/>
                <w:sz w:val="24"/>
                <w:szCs w:val="24"/>
              </w:rPr>
              <w:t xml:space="preserve"> Attorney's Offices</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3</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7</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U.S. Immigration and Customs Enforcement</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2</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U.S. Food and Drug Administration</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BB549B" w:rsidP="00286464">
            <w:pPr>
              <w:spacing w:after="0" w:line="240" w:lineRule="auto"/>
              <w:rPr>
                <w:b/>
                <w:color w:val="000000"/>
                <w:sz w:val="24"/>
                <w:szCs w:val="24"/>
              </w:rPr>
            </w:pPr>
            <w:r w:rsidRPr="00031D8D">
              <w:rPr>
                <w:b/>
                <w:color w:val="000000"/>
                <w:sz w:val="24"/>
                <w:szCs w:val="24"/>
              </w:rPr>
              <w:t xml:space="preserve">Bureau of </w:t>
            </w:r>
            <w:r w:rsidR="00286464" w:rsidRPr="00031D8D">
              <w:rPr>
                <w:b/>
                <w:color w:val="000000"/>
                <w:sz w:val="24"/>
                <w:szCs w:val="24"/>
              </w:rPr>
              <w:t>A</w:t>
            </w:r>
            <w:r w:rsidRPr="00031D8D">
              <w:rPr>
                <w:b/>
                <w:color w:val="000000"/>
                <w:sz w:val="24"/>
                <w:szCs w:val="24"/>
              </w:rPr>
              <w:t xml:space="preserve">lcohol, </w:t>
            </w:r>
            <w:r w:rsidR="00286464" w:rsidRPr="00031D8D">
              <w:rPr>
                <w:b/>
                <w:color w:val="000000"/>
                <w:sz w:val="24"/>
                <w:szCs w:val="24"/>
              </w:rPr>
              <w:t>T</w:t>
            </w:r>
            <w:r w:rsidRPr="00031D8D">
              <w:rPr>
                <w:b/>
                <w:color w:val="000000"/>
                <w:sz w:val="24"/>
                <w:szCs w:val="24"/>
              </w:rPr>
              <w:t xml:space="preserve">obacco, </w:t>
            </w:r>
            <w:r w:rsidR="00286464" w:rsidRPr="00031D8D">
              <w:rPr>
                <w:b/>
                <w:color w:val="000000"/>
                <w:sz w:val="24"/>
                <w:szCs w:val="24"/>
              </w:rPr>
              <w:t>F</w:t>
            </w:r>
            <w:r w:rsidRPr="00031D8D">
              <w:rPr>
                <w:b/>
                <w:color w:val="000000"/>
                <w:sz w:val="24"/>
                <w:szCs w:val="24"/>
              </w:rPr>
              <w:t>irearms and Explosives</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2</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Internal Revenue Service</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U.S. Postal Inspection Service</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H</w:t>
            </w:r>
            <w:r w:rsidR="00BB549B" w:rsidRPr="00031D8D">
              <w:rPr>
                <w:b/>
                <w:color w:val="000000"/>
                <w:sz w:val="24"/>
                <w:szCs w:val="24"/>
              </w:rPr>
              <w:t xml:space="preserve">igh </w:t>
            </w:r>
            <w:r w:rsidRPr="00031D8D">
              <w:rPr>
                <w:b/>
                <w:color w:val="000000"/>
                <w:sz w:val="24"/>
                <w:szCs w:val="24"/>
              </w:rPr>
              <w:t>I</w:t>
            </w:r>
            <w:r w:rsidR="00BB549B" w:rsidRPr="00031D8D">
              <w:rPr>
                <w:b/>
                <w:color w:val="000000"/>
                <w:sz w:val="24"/>
                <w:szCs w:val="24"/>
              </w:rPr>
              <w:t xml:space="preserve">ntensity </w:t>
            </w:r>
            <w:r w:rsidRPr="00031D8D">
              <w:rPr>
                <w:b/>
                <w:color w:val="000000"/>
                <w:sz w:val="24"/>
                <w:szCs w:val="24"/>
              </w:rPr>
              <w:t>D</w:t>
            </w:r>
            <w:r w:rsidR="00BB549B" w:rsidRPr="00031D8D">
              <w:rPr>
                <w:b/>
                <w:color w:val="000000"/>
                <w:sz w:val="24"/>
                <w:szCs w:val="24"/>
              </w:rPr>
              <w:t xml:space="preserve">rug </w:t>
            </w:r>
            <w:r w:rsidRPr="00031D8D">
              <w:rPr>
                <w:b/>
                <w:color w:val="000000"/>
                <w:sz w:val="24"/>
                <w:szCs w:val="24"/>
              </w:rPr>
              <w:t>T</w:t>
            </w:r>
            <w:r w:rsidR="00BB549B" w:rsidRPr="00031D8D">
              <w:rPr>
                <w:b/>
                <w:color w:val="000000"/>
                <w:sz w:val="24"/>
                <w:szCs w:val="24"/>
              </w:rPr>
              <w:t xml:space="preserve">rafficking </w:t>
            </w:r>
            <w:r w:rsidRPr="00031D8D">
              <w:rPr>
                <w:b/>
                <w:color w:val="000000"/>
                <w:sz w:val="24"/>
                <w:szCs w:val="24"/>
              </w:rPr>
              <w:t>A</w:t>
            </w:r>
            <w:r w:rsidR="00BB549B" w:rsidRPr="00031D8D">
              <w:rPr>
                <w:b/>
                <w:color w:val="000000"/>
                <w:sz w:val="24"/>
                <w:szCs w:val="24"/>
              </w:rPr>
              <w:t>rea</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2</w:t>
            </w:r>
          </w:p>
        </w:tc>
      </w:tr>
      <w:tr w:rsidR="00286464" w:rsidRPr="00031D8D" w:rsidTr="00286464">
        <w:trPr>
          <w:trHeight w:val="342"/>
        </w:trPr>
        <w:tc>
          <w:tcPr>
            <w:tcW w:w="4300" w:type="dxa"/>
            <w:tcBorders>
              <w:top w:val="nil"/>
              <w:left w:val="single" w:sz="8" w:space="0" w:color="auto"/>
              <w:bottom w:val="single" w:sz="4"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Ohio State Board of Pharmacy</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640" w:type="dxa"/>
            <w:tcBorders>
              <w:top w:val="nil"/>
              <w:left w:val="nil"/>
              <w:bottom w:val="single" w:sz="4"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r>
      <w:tr w:rsidR="00286464" w:rsidRPr="00031D8D" w:rsidTr="00286464">
        <w:trPr>
          <w:trHeight w:val="342"/>
        </w:trPr>
        <w:tc>
          <w:tcPr>
            <w:tcW w:w="4300" w:type="dxa"/>
            <w:tcBorders>
              <w:top w:val="nil"/>
              <w:left w:val="single" w:sz="8" w:space="0" w:color="auto"/>
              <w:bottom w:val="single" w:sz="8" w:space="0" w:color="auto"/>
              <w:right w:val="single" w:sz="8" w:space="0" w:color="auto"/>
            </w:tcBorders>
            <w:shd w:val="clear" w:color="auto" w:fill="auto"/>
            <w:noWrap/>
            <w:vAlign w:val="bottom"/>
            <w:hideMark/>
          </w:tcPr>
          <w:p w:rsidR="00286464" w:rsidRPr="00031D8D" w:rsidRDefault="00286464" w:rsidP="00286464">
            <w:pPr>
              <w:spacing w:after="0" w:line="240" w:lineRule="auto"/>
              <w:rPr>
                <w:b/>
                <w:color w:val="000000"/>
                <w:sz w:val="24"/>
                <w:szCs w:val="24"/>
              </w:rPr>
            </w:pPr>
            <w:r w:rsidRPr="00031D8D">
              <w:rPr>
                <w:b/>
                <w:color w:val="000000"/>
                <w:sz w:val="24"/>
                <w:szCs w:val="24"/>
              </w:rPr>
              <w:t>Local Police (including FBI Safe Streets)</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7</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2</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3</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p>
        </w:tc>
        <w:tc>
          <w:tcPr>
            <w:tcW w:w="500" w:type="dxa"/>
            <w:tcBorders>
              <w:top w:val="nil"/>
              <w:left w:val="nil"/>
              <w:bottom w:val="single" w:sz="8"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640" w:type="dxa"/>
            <w:tcBorders>
              <w:top w:val="nil"/>
              <w:left w:val="nil"/>
              <w:bottom w:val="single" w:sz="8"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13</w:t>
            </w:r>
          </w:p>
        </w:tc>
      </w:tr>
      <w:tr w:rsidR="00286464" w:rsidRPr="00031D8D" w:rsidTr="008A4052">
        <w:trPr>
          <w:trHeight w:val="367"/>
        </w:trPr>
        <w:tc>
          <w:tcPr>
            <w:tcW w:w="4300" w:type="dxa"/>
            <w:tcBorders>
              <w:top w:val="nil"/>
              <w:left w:val="single" w:sz="8" w:space="0" w:color="auto"/>
              <w:bottom w:val="single" w:sz="8" w:space="0" w:color="auto"/>
              <w:right w:val="single" w:sz="8" w:space="0" w:color="auto"/>
            </w:tcBorders>
            <w:shd w:val="clear" w:color="auto" w:fill="auto"/>
            <w:noWrap/>
            <w:vAlign w:val="bottom"/>
            <w:hideMark/>
          </w:tcPr>
          <w:p w:rsidR="00286464" w:rsidRPr="00031D8D" w:rsidRDefault="00BB549B" w:rsidP="00286464">
            <w:pPr>
              <w:spacing w:after="0" w:line="240" w:lineRule="auto"/>
              <w:jc w:val="right"/>
              <w:rPr>
                <w:b/>
                <w:bCs/>
                <w:color w:val="000000"/>
                <w:sz w:val="24"/>
                <w:szCs w:val="24"/>
              </w:rPr>
            </w:pPr>
            <w:r w:rsidRPr="00031D8D">
              <w:rPr>
                <w:b/>
                <w:bCs/>
                <w:color w:val="000000"/>
                <w:sz w:val="24"/>
                <w:szCs w:val="24"/>
              </w:rPr>
              <w:t>Totals</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19</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25</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32</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11</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5</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5</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5</w:t>
            </w:r>
          </w:p>
        </w:tc>
        <w:tc>
          <w:tcPr>
            <w:tcW w:w="500" w:type="dxa"/>
            <w:tcBorders>
              <w:top w:val="nil"/>
              <w:left w:val="nil"/>
              <w:bottom w:val="single" w:sz="8" w:space="0" w:color="auto"/>
              <w:right w:val="single" w:sz="4"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500" w:type="dxa"/>
            <w:tcBorders>
              <w:top w:val="nil"/>
              <w:left w:val="nil"/>
              <w:bottom w:val="single" w:sz="8"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w:t>
            </w:r>
          </w:p>
        </w:tc>
        <w:tc>
          <w:tcPr>
            <w:tcW w:w="640" w:type="dxa"/>
            <w:tcBorders>
              <w:top w:val="nil"/>
              <w:left w:val="nil"/>
              <w:bottom w:val="single" w:sz="8" w:space="0" w:color="auto"/>
              <w:right w:val="single" w:sz="8" w:space="0" w:color="auto"/>
            </w:tcBorders>
            <w:shd w:val="clear" w:color="auto" w:fill="auto"/>
            <w:noWrap/>
            <w:vAlign w:val="bottom"/>
            <w:hideMark/>
          </w:tcPr>
          <w:p w:rsidR="00286464" w:rsidRPr="00031D8D" w:rsidRDefault="00286464" w:rsidP="008525CF">
            <w:pPr>
              <w:spacing w:after="0" w:line="240" w:lineRule="auto"/>
              <w:jc w:val="center"/>
              <w:rPr>
                <w:b/>
                <w:color w:val="000000"/>
                <w:sz w:val="24"/>
                <w:szCs w:val="24"/>
              </w:rPr>
            </w:pPr>
            <w:r w:rsidRPr="00031D8D">
              <w:rPr>
                <w:b/>
                <w:color w:val="000000"/>
                <w:sz w:val="24"/>
                <w:szCs w:val="24"/>
              </w:rPr>
              <w:t>104</w:t>
            </w:r>
          </w:p>
        </w:tc>
      </w:tr>
    </w:tbl>
    <w:p w:rsidR="005C204B" w:rsidRDefault="005C204B" w:rsidP="005C204B">
      <w:pPr>
        <w:ind w:left="-90"/>
      </w:pPr>
    </w:p>
    <w:p w:rsidR="005C204B" w:rsidRPr="00C07B65" w:rsidRDefault="005C204B" w:rsidP="005C204B">
      <w:pPr>
        <w:spacing w:before="240" w:after="240"/>
        <w:ind w:right="-90"/>
        <w:rPr>
          <w:sz w:val="24"/>
          <w:szCs w:val="24"/>
        </w:rPr>
      </w:pPr>
      <w:r w:rsidRPr="00C07B65">
        <w:rPr>
          <w:sz w:val="24"/>
          <w:szCs w:val="24"/>
        </w:rPr>
        <w:t>The NDIC</w:t>
      </w:r>
      <w:r>
        <w:rPr>
          <w:sz w:val="24"/>
          <w:szCs w:val="24"/>
        </w:rPr>
        <w:t xml:space="preserve"> DOMEX program</w:t>
      </w:r>
      <w:r w:rsidRPr="00C07B65">
        <w:rPr>
          <w:sz w:val="24"/>
          <w:szCs w:val="24"/>
        </w:rPr>
        <w:t xml:space="preserve"> provide</w:t>
      </w:r>
      <w:r>
        <w:rPr>
          <w:sz w:val="24"/>
          <w:szCs w:val="24"/>
        </w:rPr>
        <w:t>s</w:t>
      </w:r>
      <w:r w:rsidRPr="00C07B65">
        <w:rPr>
          <w:sz w:val="24"/>
          <w:szCs w:val="24"/>
        </w:rPr>
        <w:t xml:space="preserve"> timely support to law enforcement authoritie</w:t>
      </w:r>
      <w:r>
        <w:rPr>
          <w:sz w:val="24"/>
          <w:szCs w:val="24"/>
        </w:rPr>
        <w:t>s and the I</w:t>
      </w:r>
      <w:r w:rsidR="00C0777F">
        <w:rPr>
          <w:sz w:val="24"/>
          <w:szCs w:val="24"/>
        </w:rPr>
        <w:t xml:space="preserve">ntelligence </w:t>
      </w:r>
      <w:r>
        <w:rPr>
          <w:sz w:val="24"/>
          <w:szCs w:val="24"/>
        </w:rPr>
        <w:t>C</w:t>
      </w:r>
      <w:r w:rsidR="00C0777F">
        <w:rPr>
          <w:sz w:val="24"/>
          <w:szCs w:val="24"/>
        </w:rPr>
        <w:t>ommunity (IC)</w:t>
      </w:r>
      <w:r w:rsidRPr="00C07B65">
        <w:rPr>
          <w:sz w:val="24"/>
          <w:szCs w:val="24"/>
        </w:rPr>
        <w:t xml:space="preserve"> by conducting document and electronic expl</w:t>
      </w:r>
      <w:r>
        <w:rPr>
          <w:sz w:val="24"/>
          <w:szCs w:val="24"/>
        </w:rPr>
        <w:t xml:space="preserve">oitation of materials </w:t>
      </w:r>
      <w:r w:rsidRPr="00C07B65">
        <w:rPr>
          <w:sz w:val="24"/>
          <w:szCs w:val="24"/>
        </w:rPr>
        <w:t xml:space="preserve">seized in federal, state, and local law enforcement activity associated with counterdrug, counterterrorism, and national security investigations and operations. </w:t>
      </w:r>
      <w:r w:rsidRPr="00C07B65">
        <w:rPr>
          <w:bCs/>
          <w:sz w:val="24"/>
          <w:szCs w:val="24"/>
        </w:rPr>
        <w:t>DOMEX</w:t>
      </w:r>
      <w:r w:rsidRPr="00C07B65">
        <w:rPr>
          <w:b/>
          <w:bCs/>
          <w:sz w:val="24"/>
          <w:szCs w:val="24"/>
        </w:rPr>
        <w:t xml:space="preserve"> </w:t>
      </w:r>
      <w:r w:rsidRPr="00C07B65">
        <w:rPr>
          <w:sz w:val="24"/>
          <w:szCs w:val="24"/>
        </w:rPr>
        <w:t>analysts review and analyze large amounts of data from both paper and electronic evidence and provide the results of their analysis to law enforcement and intelligence commu</w:t>
      </w:r>
      <w:r>
        <w:rPr>
          <w:sz w:val="24"/>
          <w:szCs w:val="24"/>
        </w:rPr>
        <w:t xml:space="preserve">nity customers. At the initiation of a DOMEX mission, </w:t>
      </w:r>
      <w:r w:rsidRPr="00C07B65">
        <w:rPr>
          <w:sz w:val="24"/>
          <w:szCs w:val="24"/>
        </w:rPr>
        <w:t>NDIC analysts meet with the customer to assess the extent of the evi</w:t>
      </w:r>
      <w:r>
        <w:rPr>
          <w:sz w:val="24"/>
          <w:szCs w:val="24"/>
        </w:rPr>
        <w:t>dentiary holdings and identify priority i</w:t>
      </w:r>
      <w:r w:rsidRPr="00C07B65">
        <w:rPr>
          <w:sz w:val="24"/>
          <w:szCs w:val="24"/>
        </w:rPr>
        <w:t>ntel</w:t>
      </w:r>
      <w:r>
        <w:rPr>
          <w:sz w:val="24"/>
          <w:szCs w:val="24"/>
        </w:rPr>
        <w:t xml:space="preserve">ligence requirements. </w:t>
      </w:r>
      <w:r w:rsidRPr="00C07B65">
        <w:rPr>
          <w:sz w:val="24"/>
          <w:szCs w:val="24"/>
        </w:rPr>
        <w:t xml:space="preserve">Typically, Information Technology </w:t>
      </w:r>
      <w:r w:rsidRPr="00C07B65">
        <w:rPr>
          <w:sz w:val="24"/>
          <w:szCs w:val="24"/>
        </w:rPr>
        <w:lastRenderedPageBreak/>
        <w:t xml:space="preserve">Specialists in the </w:t>
      </w:r>
      <w:r>
        <w:rPr>
          <w:sz w:val="24"/>
          <w:szCs w:val="24"/>
        </w:rPr>
        <w:t xml:space="preserve">NDIC </w:t>
      </w:r>
      <w:r w:rsidRPr="00C07B65">
        <w:rPr>
          <w:sz w:val="24"/>
          <w:szCs w:val="24"/>
        </w:rPr>
        <w:t>D</w:t>
      </w:r>
      <w:r>
        <w:rPr>
          <w:sz w:val="24"/>
          <w:szCs w:val="24"/>
        </w:rPr>
        <w:t>igital Evidence Laboratory</w:t>
      </w:r>
      <w:r w:rsidRPr="00C07B65">
        <w:rPr>
          <w:sz w:val="24"/>
          <w:szCs w:val="24"/>
        </w:rPr>
        <w:t xml:space="preserve"> first extract pertinent information from any digital media, such as computer hard drives a</w:t>
      </w:r>
      <w:r>
        <w:rPr>
          <w:sz w:val="24"/>
          <w:szCs w:val="24"/>
        </w:rPr>
        <w:t>nd cellular phones.</w:t>
      </w:r>
      <w:r w:rsidRPr="00C07B65">
        <w:rPr>
          <w:sz w:val="24"/>
          <w:szCs w:val="24"/>
        </w:rPr>
        <w:t xml:space="preserve"> DOMEX analysts </w:t>
      </w:r>
      <w:r>
        <w:rPr>
          <w:sz w:val="24"/>
          <w:szCs w:val="24"/>
        </w:rPr>
        <w:t xml:space="preserve">then </w:t>
      </w:r>
      <w:r w:rsidRPr="00C07B65">
        <w:rPr>
          <w:sz w:val="24"/>
          <w:szCs w:val="24"/>
        </w:rPr>
        <w:t>fuse the explo</w:t>
      </w:r>
      <w:r>
        <w:rPr>
          <w:sz w:val="24"/>
          <w:szCs w:val="24"/>
        </w:rPr>
        <w:t xml:space="preserve">ited digital evidence with hard </w:t>
      </w:r>
      <w:r w:rsidRPr="00C07B65">
        <w:rPr>
          <w:sz w:val="24"/>
          <w:szCs w:val="24"/>
        </w:rPr>
        <w:t xml:space="preserve">copy evidence and put both forms of the analysis into the </w:t>
      </w:r>
      <w:r w:rsidRPr="00C07B65">
        <w:rPr>
          <w:color w:val="000000"/>
          <w:sz w:val="24"/>
          <w:szCs w:val="24"/>
        </w:rPr>
        <w:t xml:space="preserve">Real-time Analytical Intelligence Database (RAID), </w:t>
      </w:r>
      <w:r w:rsidRPr="00C07B65">
        <w:rPr>
          <w:sz w:val="24"/>
          <w:szCs w:val="24"/>
        </w:rPr>
        <w:t>an in-house developed relational database</w:t>
      </w:r>
      <w:r>
        <w:rPr>
          <w:sz w:val="24"/>
          <w:szCs w:val="24"/>
        </w:rPr>
        <w:t xml:space="preserve"> </w:t>
      </w:r>
      <w:r w:rsidRPr="00C07B65">
        <w:rPr>
          <w:sz w:val="24"/>
          <w:szCs w:val="24"/>
        </w:rPr>
        <w:t>that can manipulate the information. This methodology allows analysts to quickly identify</w:t>
      </w:r>
      <w:r>
        <w:rPr>
          <w:sz w:val="24"/>
          <w:szCs w:val="24"/>
        </w:rPr>
        <w:t xml:space="preserve"> </w:t>
      </w:r>
      <w:r w:rsidRPr="00C07B65">
        <w:rPr>
          <w:sz w:val="24"/>
          <w:szCs w:val="24"/>
        </w:rPr>
        <w:t>co-conspirators, associates, money-laundering violations, assets, and leads for investigators and prosecutors.</w:t>
      </w:r>
    </w:p>
    <w:p w:rsidR="005C204B" w:rsidRPr="00C07B65" w:rsidRDefault="005C204B" w:rsidP="005C204B">
      <w:pPr>
        <w:rPr>
          <w:sz w:val="24"/>
          <w:szCs w:val="24"/>
        </w:rPr>
      </w:pPr>
      <w:r w:rsidRPr="00C07B65">
        <w:rPr>
          <w:sz w:val="24"/>
          <w:szCs w:val="24"/>
        </w:rPr>
        <w:t xml:space="preserve">DOMEX analysts typically provide investigators and prosecutors with a range of support products. The Intelligence Support Report (ISR) </w:t>
      </w:r>
      <w:r w:rsidR="008A4052">
        <w:rPr>
          <w:sz w:val="24"/>
          <w:szCs w:val="24"/>
        </w:rPr>
        <w:t xml:space="preserve">is produced </w:t>
      </w:r>
      <w:r w:rsidR="001B76B4">
        <w:rPr>
          <w:sz w:val="24"/>
          <w:szCs w:val="24"/>
        </w:rPr>
        <w:t xml:space="preserve">for each DOMEX mission and is approximately 20 pages in length. The ISR </w:t>
      </w:r>
      <w:r w:rsidRPr="00C07B65">
        <w:rPr>
          <w:sz w:val="24"/>
          <w:szCs w:val="24"/>
        </w:rPr>
        <w:t>contains actionable findings, methodologies, associates, asset</w:t>
      </w:r>
      <w:r>
        <w:rPr>
          <w:sz w:val="24"/>
          <w:szCs w:val="24"/>
        </w:rPr>
        <w:t>s, or other investigative leads which promote effective intelligence driven investigations.</w:t>
      </w:r>
      <w:r w:rsidRPr="00C07B65">
        <w:rPr>
          <w:sz w:val="24"/>
          <w:szCs w:val="24"/>
        </w:rPr>
        <w:t xml:space="preserve"> For example, the ISR usually contains financial/asset information; criminal history and biographical data; relevant organization profiles and associations; and a detailed inventory of suspect findings. Analysts also frequently provide computer-assisted analyses such as link analysis, matrix analysis, timeline analysis, and geospatial analysis. This entire process is usually accomplished in 1-2 weeks for a typical DOMEX mission. </w:t>
      </w:r>
    </w:p>
    <w:p w:rsidR="005C204B" w:rsidRPr="00C07B65" w:rsidRDefault="005C204B" w:rsidP="005C204B">
      <w:pPr>
        <w:rPr>
          <w:sz w:val="24"/>
          <w:szCs w:val="24"/>
        </w:rPr>
      </w:pPr>
      <w:r w:rsidRPr="00C07B65">
        <w:rPr>
          <w:sz w:val="24"/>
          <w:szCs w:val="24"/>
        </w:rPr>
        <w:t xml:space="preserve">Often the information discovered through the DOMEX process helps prosecutors obtain a guilty plea from defendants. If the case does go to trial, NDIC provides exhibits and gives testimony at the trial. </w:t>
      </w:r>
      <w:r>
        <w:rPr>
          <w:sz w:val="24"/>
          <w:szCs w:val="24"/>
        </w:rPr>
        <w:t xml:space="preserve">For example, the NDIC DOMEX support to a DEA diversion investigation in the Southwestern United States contributed to the seizure of nearly $23 million in assets in FY 2010. For this investigation, the NDIC DOMEX team organized and analyzed data from the case to solidify evidence of illegal activities conducted by the perpetrators. The defendants ultimately entered guilty pleas for conspiracy and health care fraud. This is just one example of how NDIC supports drug intelligence operations of DOJ components. </w:t>
      </w:r>
    </w:p>
    <w:p w:rsidR="005C204B" w:rsidRPr="00AC5F90" w:rsidRDefault="005C204B" w:rsidP="005C204B">
      <w:pPr>
        <w:tabs>
          <w:tab w:val="left" w:pos="5340"/>
          <w:tab w:val="left" w:pos="7815"/>
        </w:tabs>
        <w:rPr>
          <w:b/>
          <w:sz w:val="24"/>
          <w:szCs w:val="24"/>
        </w:rPr>
      </w:pPr>
      <w:r>
        <w:rPr>
          <w:b/>
          <w:sz w:val="24"/>
          <w:szCs w:val="24"/>
        </w:rPr>
        <w:t xml:space="preserve">NDIC </w:t>
      </w:r>
      <w:r w:rsidRPr="00AC5F90">
        <w:rPr>
          <w:b/>
          <w:sz w:val="24"/>
          <w:szCs w:val="24"/>
        </w:rPr>
        <w:t>OCDETF Strike Force Support</w:t>
      </w:r>
    </w:p>
    <w:p w:rsidR="005C204B" w:rsidRPr="00575F2F" w:rsidRDefault="005C204B" w:rsidP="005C204B">
      <w:pPr>
        <w:rPr>
          <w:iCs/>
          <w:sz w:val="24"/>
          <w:szCs w:val="24"/>
        </w:rPr>
      </w:pPr>
      <w:r w:rsidRPr="00575F2F">
        <w:rPr>
          <w:rFonts w:cs="Shruti"/>
          <w:sz w:val="24"/>
          <w:szCs w:val="24"/>
        </w:rPr>
        <w:t xml:space="preserve">NDIC and the OCDETF have partnered to establish NDIC </w:t>
      </w:r>
      <w:r>
        <w:rPr>
          <w:rFonts w:cs="Shruti"/>
          <w:sz w:val="24"/>
          <w:szCs w:val="24"/>
        </w:rPr>
        <w:t>DOMEX</w:t>
      </w:r>
      <w:r w:rsidRPr="00575F2F">
        <w:rPr>
          <w:rFonts w:cs="Shruti"/>
          <w:sz w:val="24"/>
          <w:szCs w:val="24"/>
        </w:rPr>
        <w:t xml:space="preserve"> teams </w:t>
      </w:r>
      <w:r w:rsidRPr="00575F2F">
        <w:rPr>
          <w:sz w:val="24"/>
          <w:szCs w:val="24"/>
        </w:rPr>
        <w:t>at five OCDETF Strike Forces impacting the Southwest Bord</w:t>
      </w:r>
      <w:r>
        <w:rPr>
          <w:sz w:val="24"/>
          <w:szCs w:val="24"/>
        </w:rPr>
        <w:t>er: Houston, Texas; Atlanta, Georgia; El Paso, Texas; Phoenix, Arizona</w:t>
      </w:r>
      <w:r w:rsidRPr="00575F2F">
        <w:rPr>
          <w:sz w:val="24"/>
          <w:szCs w:val="24"/>
        </w:rPr>
        <w:t>; and Sa</w:t>
      </w:r>
      <w:r>
        <w:rPr>
          <w:sz w:val="24"/>
          <w:szCs w:val="24"/>
        </w:rPr>
        <w:t>n Diego, California</w:t>
      </w:r>
      <w:r w:rsidRPr="00575F2F">
        <w:rPr>
          <w:sz w:val="24"/>
          <w:szCs w:val="24"/>
        </w:rPr>
        <w:t>.</w:t>
      </w:r>
      <w:r w:rsidRPr="00575F2F">
        <w:rPr>
          <w:rFonts w:cs="Shruti"/>
          <w:sz w:val="24"/>
          <w:szCs w:val="24"/>
        </w:rPr>
        <w:t xml:space="preserve"> </w:t>
      </w:r>
      <w:r>
        <w:rPr>
          <w:rFonts w:cs="Shruti"/>
          <w:sz w:val="24"/>
          <w:szCs w:val="24"/>
        </w:rPr>
        <w:t xml:space="preserve"> </w:t>
      </w:r>
      <w:r w:rsidR="003E2482">
        <w:rPr>
          <w:rFonts w:cs="Shruti"/>
          <w:sz w:val="24"/>
          <w:szCs w:val="24"/>
        </w:rPr>
        <w:t>In FY 2010,</w:t>
      </w:r>
      <w:r w:rsidRPr="00575F2F">
        <w:rPr>
          <w:rFonts w:cs="Shruti"/>
          <w:sz w:val="24"/>
          <w:szCs w:val="24"/>
        </w:rPr>
        <w:t xml:space="preserve"> </w:t>
      </w:r>
      <w:r w:rsidR="003E2482">
        <w:rPr>
          <w:rFonts w:cs="Shruti"/>
          <w:sz w:val="24"/>
          <w:szCs w:val="24"/>
        </w:rPr>
        <w:t xml:space="preserve">NDIC received $4.1 million of </w:t>
      </w:r>
      <w:r w:rsidR="003E2482" w:rsidRPr="00575F2F">
        <w:rPr>
          <w:rFonts w:cs="Shruti"/>
          <w:sz w:val="24"/>
          <w:szCs w:val="24"/>
        </w:rPr>
        <w:t>Asset Forfeiture Fund</w:t>
      </w:r>
      <w:r w:rsidR="003E2482">
        <w:rPr>
          <w:rFonts w:cs="Shruti"/>
          <w:sz w:val="24"/>
          <w:szCs w:val="24"/>
        </w:rPr>
        <w:t xml:space="preserve">s </w:t>
      </w:r>
      <w:r w:rsidR="00074AE4">
        <w:rPr>
          <w:rFonts w:cs="Shruti"/>
          <w:sz w:val="24"/>
          <w:szCs w:val="24"/>
        </w:rPr>
        <w:t xml:space="preserve">from OCDETF </w:t>
      </w:r>
      <w:r w:rsidR="003E2482">
        <w:rPr>
          <w:rFonts w:cs="Shruti"/>
          <w:sz w:val="24"/>
          <w:szCs w:val="24"/>
        </w:rPr>
        <w:t>to</w:t>
      </w:r>
      <w:r w:rsidRPr="00575F2F">
        <w:rPr>
          <w:rFonts w:cs="Shruti"/>
          <w:sz w:val="24"/>
          <w:szCs w:val="24"/>
        </w:rPr>
        <w:t xml:space="preserve"> support </w:t>
      </w:r>
      <w:r w:rsidR="003E2482">
        <w:rPr>
          <w:rFonts w:cs="Shruti"/>
          <w:sz w:val="24"/>
          <w:szCs w:val="24"/>
        </w:rPr>
        <w:t>efforts</w:t>
      </w:r>
      <w:r w:rsidRPr="00575F2F">
        <w:rPr>
          <w:rFonts w:cs="Shruti"/>
          <w:sz w:val="24"/>
          <w:szCs w:val="24"/>
        </w:rPr>
        <w:t xml:space="preserve"> </w:t>
      </w:r>
      <w:r w:rsidR="00074AE4">
        <w:rPr>
          <w:rFonts w:cs="Shruti"/>
          <w:sz w:val="24"/>
          <w:szCs w:val="24"/>
        </w:rPr>
        <w:t>in</w:t>
      </w:r>
      <w:r w:rsidRPr="00575F2F">
        <w:rPr>
          <w:rFonts w:cs="Shruti"/>
          <w:sz w:val="24"/>
          <w:szCs w:val="24"/>
        </w:rPr>
        <w:t xml:space="preserve"> reduc</w:t>
      </w:r>
      <w:r w:rsidR="00074AE4">
        <w:rPr>
          <w:rFonts w:cs="Shruti"/>
          <w:sz w:val="24"/>
          <w:szCs w:val="24"/>
        </w:rPr>
        <w:t>ing</w:t>
      </w:r>
      <w:r w:rsidRPr="00575F2F">
        <w:rPr>
          <w:rFonts w:cs="Shruti"/>
          <w:sz w:val="24"/>
          <w:szCs w:val="24"/>
        </w:rPr>
        <w:t xml:space="preserve"> the supply of illegal drugs entering the United States via the Southwest Border as well as the related violence.</w:t>
      </w:r>
      <w:r w:rsidR="00851999">
        <w:rPr>
          <w:rFonts w:cs="Shruti"/>
          <w:sz w:val="24"/>
          <w:szCs w:val="24"/>
        </w:rPr>
        <w:t xml:space="preserve"> </w:t>
      </w:r>
      <w:r w:rsidRPr="00575F2F">
        <w:rPr>
          <w:sz w:val="24"/>
          <w:szCs w:val="24"/>
        </w:rPr>
        <w:t>These teams conduct missions primarily involving Consolidated Priority Organizational Targets</w:t>
      </w:r>
      <w:r>
        <w:rPr>
          <w:sz w:val="24"/>
          <w:szCs w:val="24"/>
        </w:rPr>
        <w:t xml:space="preserve"> (CPOTs)</w:t>
      </w:r>
      <w:r w:rsidRPr="00575F2F">
        <w:rPr>
          <w:sz w:val="24"/>
          <w:szCs w:val="24"/>
        </w:rPr>
        <w:t xml:space="preserve"> – particularly those that impact the U.S. Southwest Border. </w:t>
      </w:r>
    </w:p>
    <w:p w:rsidR="005C204B" w:rsidRPr="005C2726" w:rsidRDefault="005C204B" w:rsidP="005C204B">
      <w:pPr>
        <w:rPr>
          <w:iCs/>
          <w:sz w:val="24"/>
          <w:szCs w:val="24"/>
        </w:rPr>
      </w:pPr>
      <w:r w:rsidRPr="00575F2F">
        <w:rPr>
          <w:iCs/>
          <w:sz w:val="24"/>
          <w:szCs w:val="24"/>
        </w:rPr>
        <w:t xml:space="preserve">The movement of drugs and money across the Southwest Border is widely regarded as the most significant drug threat facing the United States and the highest priority of U.S. drug law enforcement. It is the principal arrival zone for most illicit drugs smuggled into the United States as well as the predominant staging area for the subsequent distribution of drugs throughout the country. Estimates are that 90 percent of all drugs smuggled into the United States enter through </w:t>
      </w:r>
      <w:r w:rsidRPr="00575F2F">
        <w:rPr>
          <w:iCs/>
          <w:sz w:val="24"/>
          <w:szCs w:val="24"/>
        </w:rPr>
        <w:lastRenderedPageBreak/>
        <w:t xml:space="preserve">the Southwest Border. As was recognized in the formulation of the </w:t>
      </w:r>
      <w:r w:rsidRPr="00575F2F">
        <w:rPr>
          <w:i/>
          <w:iCs/>
          <w:sz w:val="24"/>
          <w:szCs w:val="24"/>
        </w:rPr>
        <w:t xml:space="preserve">National Southwest Border </w:t>
      </w:r>
      <w:proofErr w:type="spellStart"/>
      <w:r w:rsidRPr="00575F2F">
        <w:rPr>
          <w:i/>
          <w:iCs/>
          <w:sz w:val="24"/>
          <w:szCs w:val="24"/>
        </w:rPr>
        <w:t>Counternarcotics</w:t>
      </w:r>
      <w:proofErr w:type="spellEnd"/>
      <w:r w:rsidRPr="00575F2F">
        <w:rPr>
          <w:i/>
          <w:iCs/>
          <w:sz w:val="24"/>
          <w:szCs w:val="24"/>
        </w:rPr>
        <w:t xml:space="preserve"> Strategy</w:t>
      </w:r>
      <w:r w:rsidRPr="00575F2F">
        <w:rPr>
          <w:iCs/>
          <w:sz w:val="24"/>
          <w:szCs w:val="24"/>
        </w:rPr>
        <w:t xml:space="preserve"> dated June 2009 and the </w:t>
      </w:r>
      <w:r w:rsidRPr="00575F2F">
        <w:rPr>
          <w:i/>
          <w:iCs/>
          <w:sz w:val="24"/>
          <w:szCs w:val="24"/>
        </w:rPr>
        <w:t xml:space="preserve">U.S. Department of Justice Strategic Plan </w:t>
      </w:r>
      <w:r w:rsidRPr="00575F2F">
        <w:rPr>
          <w:iCs/>
          <w:sz w:val="24"/>
          <w:szCs w:val="24"/>
        </w:rPr>
        <w:t>for FY2007-FY2012,</w:t>
      </w:r>
      <w:r w:rsidRPr="00575F2F">
        <w:rPr>
          <w:i/>
          <w:iCs/>
          <w:sz w:val="24"/>
          <w:szCs w:val="24"/>
        </w:rPr>
        <w:t xml:space="preserve"> </w:t>
      </w:r>
      <w:r w:rsidRPr="00575F2F">
        <w:rPr>
          <w:iCs/>
          <w:sz w:val="24"/>
          <w:szCs w:val="24"/>
        </w:rPr>
        <w:t>to be successful in attacking the Southwest Border threat, law enforcement must concentrate its efforts in three areas—intelligence, investigations, and prosecutions. NDIC,</w:t>
      </w:r>
      <w:r w:rsidRPr="005C2726">
        <w:rPr>
          <w:iCs/>
          <w:sz w:val="24"/>
          <w:szCs w:val="24"/>
        </w:rPr>
        <w:t xml:space="preserve"> with its DOMEX Program, is the perfect partner for OCDETF member agencies as they endeavor to dismantle the most significant drug trafficking organizations operating on the Southwest Border, gather intelligence, develop investigations, and identify evidence to support effective prosecutions. For years, the NDIC DOMEX Program has demonstrated its ability to add substantial value to OCDETF investigations by identifying assets for seizure, additional coconspirators, and evidence to support convictions. The forward deployment of the NDIC DOMEX Teams to the Southwest Border Strike Forces in FY</w:t>
      </w:r>
      <w:r>
        <w:rPr>
          <w:iCs/>
          <w:sz w:val="24"/>
          <w:szCs w:val="24"/>
        </w:rPr>
        <w:t xml:space="preserve"> </w:t>
      </w:r>
      <w:r w:rsidRPr="005C2726">
        <w:rPr>
          <w:iCs/>
          <w:sz w:val="24"/>
          <w:szCs w:val="24"/>
        </w:rPr>
        <w:t>2009 has substantially enhanced Strike Force investigat</w:t>
      </w:r>
      <w:r>
        <w:rPr>
          <w:iCs/>
          <w:sz w:val="24"/>
          <w:szCs w:val="24"/>
        </w:rPr>
        <w:t xml:space="preserve">ions thus supporting the </w:t>
      </w:r>
      <w:r w:rsidRPr="005C2726">
        <w:rPr>
          <w:iCs/>
          <w:sz w:val="24"/>
          <w:szCs w:val="24"/>
        </w:rPr>
        <w:t xml:space="preserve">Attorney General’s priorities. </w:t>
      </w:r>
    </w:p>
    <w:p w:rsidR="005C204B" w:rsidRPr="005C2726" w:rsidRDefault="005C204B" w:rsidP="00031D8D">
      <w:pPr>
        <w:tabs>
          <w:tab w:val="left" w:pos="6210"/>
        </w:tabs>
        <w:rPr>
          <w:iCs/>
          <w:sz w:val="24"/>
          <w:szCs w:val="24"/>
        </w:rPr>
      </w:pPr>
      <w:r w:rsidRPr="005C2726">
        <w:rPr>
          <w:sz w:val="24"/>
          <w:szCs w:val="24"/>
        </w:rPr>
        <w:t>DOMEX participation at the OCDETF Strike Forces has proven to be extremely valuable. Over $</w:t>
      </w:r>
      <w:r w:rsidR="00031D8D">
        <w:rPr>
          <w:sz w:val="24"/>
          <w:szCs w:val="24"/>
        </w:rPr>
        <w:t>46</w:t>
      </w:r>
      <w:r w:rsidRPr="005C2726">
        <w:rPr>
          <w:sz w:val="24"/>
          <w:szCs w:val="24"/>
        </w:rPr>
        <w:t xml:space="preserve"> million in </w:t>
      </w:r>
      <w:r w:rsidR="00031D8D">
        <w:rPr>
          <w:sz w:val="24"/>
          <w:szCs w:val="24"/>
        </w:rPr>
        <w:t xml:space="preserve">total </w:t>
      </w:r>
      <w:r>
        <w:rPr>
          <w:sz w:val="24"/>
          <w:szCs w:val="24"/>
        </w:rPr>
        <w:t>value</w:t>
      </w:r>
      <w:r w:rsidR="00031D8D">
        <w:rPr>
          <w:sz w:val="24"/>
          <w:szCs w:val="24"/>
        </w:rPr>
        <w:t xml:space="preserve"> of</w:t>
      </w:r>
      <w:r>
        <w:rPr>
          <w:sz w:val="24"/>
          <w:szCs w:val="24"/>
        </w:rPr>
        <w:t xml:space="preserve"> </w:t>
      </w:r>
      <w:r w:rsidR="00031D8D">
        <w:rPr>
          <w:sz w:val="24"/>
          <w:szCs w:val="24"/>
        </w:rPr>
        <w:t>seizures</w:t>
      </w:r>
      <w:r w:rsidRPr="005C2726">
        <w:rPr>
          <w:sz w:val="24"/>
          <w:szCs w:val="24"/>
        </w:rPr>
        <w:t xml:space="preserve"> have been identified by DOMEX analysts since this project began </w:t>
      </w:r>
      <w:r w:rsidR="000E1201">
        <w:rPr>
          <w:sz w:val="24"/>
          <w:szCs w:val="24"/>
        </w:rPr>
        <w:t>in April 2009</w:t>
      </w:r>
      <w:r w:rsidRPr="005C2726">
        <w:rPr>
          <w:sz w:val="24"/>
          <w:szCs w:val="24"/>
        </w:rPr>
        <w:t>. DOMEX analysts are trained to process and analyze vast amounts of information in an extremely short period of time. The speed with which DOMEX teams operate often is critical to the success of this effort, particularly with respect to financial holdings. Financial resources can be moved, withdrawn, or otherwise hidden with the click of a mouse when a target knows he is under investigation, making identifying and freezing assets a critical component of any significant investigation. Forward deployed DOMEX teams assist case agents by examining records, documents, and information and identifying assets immediately, increasing the likelihood of their seizure. In the past, these items frequently were relegated to an evidence room for later processing, providing the target with ample opportunity to move the assets before authorities knew of their existence. DOMEX teams also have assisted investigators by identifying additional coconspirators and weapons.</w:t>
      </w:r>
      <w:r w:rsidRPr="005C2726">
        <w:rPr>
          <w:iCs/>
          <w:sz w:val="24"/>
          <w:szCs w:val="24"/>
        </w:rPr>
        <w:t xml:space="preserve"> </w:t>
      </w:r>
    </w:p>
    <w:p w:rsidR="00AC5F90" w:rsidRDefault="00AC5F90" w:rsidP="00236348">
      <w:pPr>
        <w:rPr>
          <w:b/>
          <w:sz w:val="24"/>
          <w:szCs w:val="24"/>
        </w:rPr>
      </w:pPr>
      <w:r w:rsidRPr="00AC5F90">
        <w:rPr>
          <w:b/>
          <w:sz w:val="24"/>
          <w:szCs w:val="24"/>
        </w:rPr>
        <w:t>Intelligence Reports</w:t>
      </w:r>
    </w:p>
    <w:p w:rsidR="00AF6BB1" w:rsidRDefault="00AF6BB1" w:rsidP="00236348">
      <w:pPr>
        <w:rPr>
          <w:sz w:val="24"/>
          <w:szCs w:val="24"/>
        </w:rPr>
      </w:pPr>
      <w:r w:rsidRPr="00DD3DF2">
        <w:rPr>
          <w:sz w:val="24"/>
          <w:szCs w:val="24"/>
        </w:rPr>
        <w:t xml:space="preserve">The intelligence </w:t>
      </w:r>
      <w:r w:rsidR="004D104E">
        <w:rPr>
          <w:sz w:val="24"/>
          <w:szCs w:val="24"/>
        </w:rPr>
        <w:t>contained</w:t>
      </w:r>
      <w:r w:rsidRPr="00DD3DF2">
        <w:rPr>
          <w:sz w:val="24"/>
          <w:szCs w:val="24"/>
        </w:rPr>
        <w:t xml:space="preserve"> in </w:t>
      </w:r>
      <w:r w:rsidR="00314666">
        <w:rPr>
          <w:sz w:val="24"/>
          <w:szCs w:val="24"/>
        </w:rPr>
        <w:t>NDIC</w:t>
      </w:r>
      <w:r w:rsidR="00C25786">
        <w:rPr>
          <w:sz w:val="24"/>
          <w:szCs w:val="24"/>
        </w:rPr>
        <w:t>’s</w:t>
      </w:r>
      <w:r w:rsidRPr="00DD3DF2">
        <w:rPr>
          <w:sz w:val="24"/>
          <w:szCs w:val="24"/>
        </w:rPr>
        <w:t xml:space="preserve"> reports provide the information necessary for </w:t>
      </w:r>
      <w:r w:rsidR="0074716B" w:rsidRPr="00DD3DF2">
        <w:rPr>
          <w:sz w:val="24"/>
          <w:szCs w:val="24"/>
        </w:rPr>
        <w:t xml:space="preserve">policymakers and DOJ agencies to </w:t>
      </w:r>
      <w:r w:rsidR="00BD1A37">
        <w:rPr>
          <w:sz w:val="24"/>
          <w:szCs w:val="24"/>
        </w:rPr>
        <w:t xml:space="preserve">use in </w:t>
      </w:r>
      <w:r w:rsidR="0074716B" w:rsidRPr="00DD3DF2">
        <w:rPr>
          <w:sz w:val="24"/>
          <w:szCs w:val="24"/>
        </w:rPr>
        <w:t>p</w:t>
      </w:r>
      <w:r w:rsidR="004D104E">
        <w:rPr>
          <w:sz w:val="24"/>
          <w:szCs w:val="24"/>
        </w:rPr>
        <w:t xml:space="preserve">lanning and conducting </w:t>
      </w:r>
      <w:r w:rsidR="0074716B" w:rsidRPr="00DD3DF2">
        <w:rPr>
          <w:sz w:val="24"/>
          <w:szCs w:val="24"/>
        </w:rPr>
        <w:t>operations to effect the U</w:t>
      </w:r>
      <w:r w:rsidR="00BD1A37">
        <w:rPr>
          <w:sz w:val="24"/>
          <w:szCs w:val="24"/>
        </w:rPr>
        <w:t>.</w:t>
      </w:r>
      <w:r w:rsidR="0074716B" w:rsidRPr="00DD3DF2">
        <w:rPr>
          <w:sz w:val="24"/>
          <w:szCs w:val="24"/>
        </w:rPr>
        <w:t>S</w:t>
      </w:r>
      <w:r w:rsidR="00BD1A37">
        <w:rPr>
          <w:sz w:val="24"/>
          <w:szCs w:val="24"/>
        </w:rPr>
        <w:t>.</w:t>
      </w:r>
      <w:r w:rsidR="0074716B" w:rsidRPr="00DD3DF2">
        <w:rPr>
          <w:sz w:val="24"/>
          <w:szCs w:val="24"/>
        </w:rPr>
        <w:t xml:space="preserve"> drug trade and other crimes. </w:t>
      </w:r>
      <w:r w:rsidRPr="0072085C">
        <w:rPr>
          <w:sz w:val="24"/>
          <w:szCs w:val="24"/>
        </w:rPr>
        <w:t xml:space="preserve">It also facilitates the development of </w:t>
      </w:r>
      <w:r w:rsidR="00100ADE">
        <w:rPr>
          <w:sz w:val="24"/>
          <w:szCs w:val="24"/>
        </w:rPr>
        <w:t>intelligence</w:t>
      </w:r>
      <w:r w:rsidRPr="0072085C">
        <w:rPr>
          <w:sz w:val="24"/>
          <w:szCs w:val="24"/>
        </w:rPr>
        <w:t xml:space="preserve">, initiatives, policies, and regulations to counter priority threats. </w:t>
      </w:r>
    </w:p>
    <w:p w:rsidR="002C20B5" w:rsidRDefault="00734AAB" w:rsidP="00236348">
      <w:pPr>
        <w:rPr>
          <w:sz w:val="24"/>
          <w:szCs w:val="24"/>
        </w:rPr>
      </w:pPr>
      <w:r>
        <w:rPr>
          <w:sz w:val="24"/>
          <w:szCs w:val="24"/>
        </w:rPr>
        <w:t>NDIC</w:t>
      </w:r>
      <w:r w:rsidR="00E63D8A">
        <w:rPr>
          <w:sz w:val="24"/>
          <w:szCs w:val="24"/>
        </w:rPr>
        <w:t xml:space="preserve"> intelligence</w:t>
      </w:r>
      <w:r>
        <w:rPr>
          <w:sz w:val="24"/>
          <w:szCs w:val="24"/>
        </w:rPr>
        <w:t xml:space="preserve"> reports</w:t>
      </w:r>
      <w:r w:rsidR="00E63D8A">
        <w:rPr>
          <w:sz w:val="24"/>
          <w:szCs w:val="24"/>
        </w:rPr>
        <w:t xml:space="preserve"> </w:t>
      </w:r>
      <w:r w:rsidR="002C20B5">
        <w:rPr>
          <w:sz w:val="24"/>
          <w:szCs w:val="24"/>
        </w:rPr>
        <w:t>synthesiz</w:t>
      </w:r>
      <w:r>
        <w:rPr>
          <w:sz w:val="24"/>
          <w:szCs w:val="24"/>
        </w:rPr>
        <w:t>e</w:t>
      </w:r>
      <w:r w:rsidR="002C20B5">
        <w:rPr>
          <w:sz w:val="24"/>
          <w:szCs w:val="24"/>
        </w:rPr>
        <w:t xml:space="preserve"> complex </w:t>
      </w:r>
      <w:r w:rsidR="00041B21">
        <w:rPr>
          <w:sz w:val="24"/>
          <w:szCs w:val="24"/>
        </w:rPr>
        <w:t>counternarcotic</w:t>
      </w:r>
      <w:r w:rsidR="002C20B5">
        <w:rPr>
          <w:sz w:val="24"/>
          <w:szCs w:val="24"/>
        </w:rPr>
        <w:t xml:space="preserve"> issues and their impacts. NDIC has the ability to accurat</w:t>
      </w:r>
      <w:r w:rsidR="007639FA">
        <w:rPr>
          <w:sz w:val="24"/>
          <w:szCs w:val="24"/>
        </w:rPr>
        <w:t>ely develop trends and patterns</w:t>
      </w:r>
      <w:r w:rsidR="002C20B5">
        <w:rPr>
          <w:sz w:val="24"/>
          <w:szCs w:val="24"/>
        </w:rPr>
        <w:t xml:space="preserve">, discern emerging threats, as well as, identify opportunities and turn this knowledge into actionable </w:t>
      </w:r>
      <w:r>
        <w:rPr>
          <w:sz w:val="24"/>
          <w:szCs w:val="24"/>
        </w:rPr>
        <w:t>– operational --</w:t>
      </w:r>
      <w:r w:rsidR="002C20B5">
        <w:rPr>
          <w:sz w:val="24"/>
          <w:szCs w:val="24"/>
        </w:rPr>
        <w:t xml:space="preserve"> intelligence for </w:t>
      </w:r>
      <w:r>
        <w:rPr>
          <w:sz w:val="24"/>
          <w:szCs w:val="24"/>
        </w:rPr>
        <w:t xml:space="preserve">law enforcement and </w:t>
      </w:r>
      <w:r w:rsidR="002C20B5">
        <w:rPr>
          <w:sz w:val="24"/>
          <w:szCs w:val="24"/>
        </w:rPr>
        <w:t>policymakers.</w:t>
      </w:r>
    </w:p>
    <w:p w:rsidR="00D037F0" w:rsidRDefault="00004230" w:rsidP="00D037F0">
      <w:pPr>
        <w:rPr>
          <w:sz w:val="24"/>
          <w:szCs w:val="24"/>
        </w:rPr>
      </w:pPr>
      <w:r>
        <w:rPr>
          <w:sz w:val="24"/>
          <w:szCs w:val="24"/>
        </w:rPr>
        <w:t xml:space="preserve">NDIC intelligence reports directly support the DOJ mission and the </w:t>
      </w:r>
      <w:r w:rsidR="00A464DE">
        <w:rPr>
          <w:sz w:val="24"/>
          <w:szCs w:val="24"/>
        </w:rPr>
        <w:t xml:space="preserve">Attorney General’s </w:t>
      </w:r>
      <w:r w:rsidR="00A06ABF">
        <w:rPr>
          <w:sz w:val="24"/>
          <w:szCs w:val="24"/>
        </w:rPr>
        <w:t xml:space="preserve">drug-related </w:t>
      </w:r>
      <w:r w:rsidR="00A464DE">
        <w:rPr>
          <w:sz w:val="24"/>
          <w:szCs w:val="24"/>
        </w:rPr>
        <w:t>priorities</w:t>
      </w:r>
      <w:r>
        <w:rPr>
          <w:sz w:val="24"/>
          <w:szCs w:val="24"/>
        </w:rPr>
        <w:t xml:space="preserve">. </w:t>
      </w:r>
      <w:r w:rsidR="00AE7548">
        <w:rPr>
          <w:sz w:val="24"/>
          <w:szCs w:val="24"/>
        </w:rPr>
        <w:t xml:space="preserve">Some recent </w:t>
      </w:r>
      <w:r w:rsidR="001509F7" w:rsidRPr="00DD3DF2">
        <w:rPr>
          <w:sz w:val="24"/>
          <w:szCs w:val="24"/>
        </w:rPr>
        <w:t>NDIC</w:t>
      </w:r>
      <w:r w:rsidR="00AE7548">
        <w:rPr>
          <w:sz w:val="24"/>
          <w:szCs w:val="24"/>
        </w:rPr>
        <w:t xml:space="preserve"> reports addressed </w:t>
      </w:r>
      <w:r w:rsidR="004D104E">
        <w:rPr>
          <w:sz w:val="24"/>
          <w:szCs w:val="24"/>
        </w:rPr>
        <w:t xml:space="preserve">the </w:t>
      </w:r>
      <w:r w:rsidR="00A464DE">
        <w:rPr>
          <w:sz w:val="24"/>
          <w:szCs w:val="24"/>
        </w:rPr>
        <w:t>Attorney General’s priorities</w:t>
      </w:r>
      <w:r w:rsidR="00AE7548">
        <w:rPr>
          <w:sz w:val="24"/>
          <w:szCs w:val="24"/>
        </w:rPr>
        <w:t xml:space="preserve"> regarding </w:t>
      </w:r>
      <w:r w:rsidR="001509F7" w:rsidRPr="00DD3DF2">
        <w:rPr>
          <w:sz w:val="24"/>
          <w:szCs w:val="24"/>
        </w:rPr>
        <w:t>Child Exploit</w:t>
      </w:r>
      <w:r w:rsidR="007639FA">
        <w:rPr>
          <w:sz w:val="24"/>
          <w:szCs w:val="24"/>
        </w:rPr>
        <w:t xml:space="preserve">ation, </w:t>
      </w:r>
      <w:r w:rsidR="00E63D8A">
        <w:rPr>
          <w:sz w:val="24"/>
          <w:szCs w:val="24"/>
        </w:rPr>
        <w:t xml:space="preserve">the </w:t>
      </w:r>
      <w:r w:rsidR="007639FA">
        <w:rPr>
          <w:sz w:val="24"/>
          <w:szCs w:val="24"/>
        </w:rPr>
        <w:t>Southwest Border</w:t>
      </w:r>
      <w:r w:rsidR="00E63D8A">
        <w:rPr>
          <w:sz w:val="24"/>
          <w:szCs w:val="24"/>
        </w:rPr>
        <w:t>, Gangs, Native American Tribal Issues</w:t>
      </w:r>
      <w:r w:rsidR="001509F7" w:rsidRPr="00DD3DF2">
        <w:rPr>
          <w:sz w:val="24"/>
          <w:szCs w:val="24"/>
        </w:rPr>
        <w:t xml:space="preserve">, Bulk </w:t>
      </w:r>
      <w:r w:rsidR="001509F7" w:rsidRPr="00DD3DF2">
        <w:rPr>
          <w:sz w:val="24"/>
          <w:szCs w:val="24"/>
        </w:rPr>
        <w:lastRenderedPageBreak/>
        <w:t>Cash Smuggling, Prescription Drug</w:t>
      </w:r>
      <w:r w:rsidR="001C0BBC">
        <w:rPr>
          <w:sz w:val="24"/>
          <w:szCs w:val="24"/>
        </w:rPr>
        <w:t>s</w:t>
      </w:r>
      <w:r w:rsidR="001509F7" w:rsidRPr="00DD3DF2">
        <w:rPr>
          <w:sz w:val="24"/>
          <w:szCs w:val="24"/>
        </w:rPr>
        <w:t xml:space="preserve">, </w:t>
      </w:r>
      <w:r>
        <w:rPr>
          <w:sz w:val="24"/>
          <w:szCs w:val="24"/>
        </w:rPr>
        <w:t xml:space="preserve">and </w:t>
      </w:r>
      <w:r w:rsidR="001509F7" w:rsidRPr="00DD3DF2">
        <w:rPr>
          <w:sz w:val="24"/>
          <w:szCs w:val="24"/>
        </w:rPr>
        <w:t>Domestic</w:t>
      </w:r>
      <w:r w:rsidR="001C0BBC">
        <w:rPr>
          <w:sz w:val="24"/>
          <w:szCs w:val="24"/>
        </w:rPr>
        <w:t xml:space="preserve"> Cannabis Cultivation</w:t>
      </w:r>
      <w:r>
        <w:rPr>
          <w:sz w:val="24"/>
          <w:szCs w:val="24"/>
        </w:rPr>
        <w:t xml:space="preserve">. </w:t>
      </w:r>
      <w:r w:rsidR="004D104E">
        <w:rPr>
          <w:sz w:val="24"/>
          <w:szCs w:val="24"/>
        </w:rPr>
        <w:t xml:space="preserve">The NDIC National Drug Threat Assessment (NDTA) 2010 detailed the rising availability of most illicit drugs in the United States. The NDTA cited the prevalence of heroin, methamphetamine, marijuana and MDMA (3, 4-methylenedioxymethamphetamine) was widespread and increasing in some areas. </w:t>
      </w:r>
      <w:r w:rsidR="001C0BBC">
        <w:rPr>
          <w:sz w:val="24"/>
          <w:szCs w:val="24"/>
        </w:rPr>
        <w:t>Details of these efforts follow:</w:t>
      </w:r>
    </w:p>
    <w:p w:rsidR="00867E74" w:rsidRPr="00867E74" w:rsidRDefault="00867E74" w:rsidP="00867E74">
      <w:pPr>
        <w:spacing w:before="240" w:after="240"/>
        <w:rPr>
          <w:b/>
          <w:sz w:val="24"/>
          <w:szCs w:val="24"/>
        </w:rPr>
      </w:pPr>
      <w:r w:rsidRPr="00867E74">
        <w:rPr>
          <w:b/>
          <w:sz w:val="24"/>
          <w:szCs w:val="24"/>
        </w:rPr>
        <w:t>Child Exploitation</w:t>
      </w:r>
    </w:p>
    <w:p w:rsidR="00DE058F" w:rsidRDefault="00DE191A" w:rsidP="00DE058F">
      <w:pPr>
        <w:spacing w:before="240" w:after="240"/>
        <w:rPr>
          <w:bCs/>
          <w:sz w:val="24"/>
          <w:szCs w:val="24"/>
        </w:rPr>
      </w:pPr>
      <w:r>
        <w:rPr>
          <w:bCs/>
          <w:sz w:val="24"/>
          <w:szCs w:val="24"/>
        </w:rPr>
        <w:t xml:space="preserve">Although child exploitation is not part of NDIC’s mission, </w:t>
      </w:r>
      <w:r w:rsidRPr="00DD3DF2">
        <w:rPr>
          <w:bCs/>
          <w:sz w:val="24"/>
          <w:szCs w:val="24"/>
        </w:rPr>
        <w:t>at the request of DOJ’s Child Exploitation and Obscenity Section, NDIC produced and released a threat assessment in March 2010</w:t>
      </w:r>
      <w:r>
        <w:rPr>
          <w:bCs/>
          <w:sz w:val="24"/>
          <w:szCs w:val="24"/>
        </w:rPr>
        <w:t xml:space="preserve"> for use</w:t>
      </w:r>
      <w:r w:rsidRPr="00DD3DF2">
        <w:rPr>
          <w:bCs/>
          <w:sz w:val="24"/>
          <w:szCs w:val="24"/>
        </w:rPr>
        <w:t xml:space="preserve"> in developing DOJ’s</w:t>
      </w:r>
      <w:r>
        <w:rPr>
          <w:bCs/>
          <w:sz w:val="24"/>
          <w:szCs w:val="24"/>
        </w:rPr>
        <w:t xml:space="preserve"> strategy regarding child exploitation. </w:t>
      </w:r>
      <w:r w:rsidR="000C263A">
        <w:rPr>
          <w:bCs/>
          <w:sz w:val="24"/>
          <w:szCs w:val="24"/>
        </w:rPr>
        <w:t>The PROTECT O</w:t>
      </w:r>
      <w:r w:rsidR="00464600">
        <w:rPr>
          <w:bCs/>
          <w:sz w:val="24"/>
          <w:szCs w:val="24"/>
        </w:rPr>
        <w:t xml:space="preserve">ur Children Act of 2008 requires </w:t>
      </w:r>
      <w:r w:rsidR="001509F7" w:rsidRPr="00DD3DF2">
        <w:rPr>
          <w:bCs/>
          <w:sz w:val="24"/>
          <w:szCs w:val="24"/>
        </w:rPr>
        <w:t xml:space="preserve">DOJ to develop a strategy to combat child exploitation. </w:t>
      </w:r>
      <w:r w:rsidR="00001F08">
        <w:rPr>
          <w:bCs/>
          <w:sz w:val="24"/>
          <w:szCs w:val="24"/>
        </w:rPr>
        <w:t>The report identified</w:t>
      </w:r>
      <w:r w:rsidR="001509F7" w:rsidRPr="00DD3DF2">
        <w:rPr>
          <w:bCs/>
          <w:sz w:val="24"/>
          <w:szCs w:val="24"/>
        </w:rPr>
        <w:t xml:space="preserve"> the various forms of child exploitation—child prostitution, online enticement, child pornography, and child sex tourism and provide</w:t>
      </w:r>
      <w:r w:rsidR="001C0BBC">
        <w:rPr>
          <w:bCs/>
          <w:sz w:val="24"/>
          <w:szCs w:val="24"/>
        </w:rPr>
        <w:t>d</w:t>
      </w:r>
      <w:r w:rsidR="001509F7" w:rsidRPr="00DD3DF2">
        <w:rPr>
          <w:bCs/>
          <w:sz w:val="24"/>
          <w:szCs w:val="24"/>
        </w:rPr>
        <w:t xml:space="preserve"> a comprehensive analysis relating to each of these topics.</w:t>
      </w:r>
      <w:r w:rsidR="00867E74">
        <w:rPr>
          <w:bCs/>
          <w:sz w:val="24"/>
          <w:szCs w:val="24"/>
        </w:rPr>
        <w:t xml:space="preserve"> The report was cited in speeches by the Deputy Attorney General.</w:t>
      </w:r>
      <w:r w:rsidR="006D05F9">
        <w:rPr>
          <w:bCs/>
          <w:sz w:val="24"/>
          <w:szCs w:val="24"/>
        </w:rPr>
        <w:t xml:space="preserve"> </w:t>
      </w:r>
      <w:r w:rsidR="00DE058F">
        <w:rPr>
          <w:bCs/>
          <w:sz w:val="24"/>
          <w:szCs w:val="24"/>
        </w:rPr>
        <w:t>This is another example of how NDIC strategic products support the Attorney General’s priorities and DOJ goals, specifically Strategic Objective 2.3 of the Department of Justice Strategic Plan.</w:t>
      </w:r>
    </w:p>
    <w:p w:rsidR="00A465E9" w:rsidRPr="00867E74" w:rsidRDefault="00867E74" w:rsidP="00A465E9">
      <w:pPr>
        <w:rPr>
          <w:b/>
          <w:sz w:val="24"/>
          <w:szCs w:val="24"/>
        </w:rPr>
      </w:pPr>
      <w:r w:rsidRPr="00867E74">
        <w:rPr>
          <w:b/>
          <w:bCs/>
          <w:sz w:val="24"/>
          <w:szCs w:val="24"/>
        </w:rPr>
        <w:t>Southwest Border</w:t>
      </w:r>
    </w:p>
    <w:p w:rsidR="00DE058F" w:rsidRDefault="00D037F0" w:rsidP="0007777F">
      <w:pPr>
        <w:spacing w:before="240" w:after="240" w:line="240" w:lineRule="auto"/>
        <w:rPr>
          <w:bCs/>
          <w:sz w:val="24"/>
          <w:szCs w:val="24"/>
        </w:rPr>
      </w:pPr>
      <w:r w:rsidRPr="00DD3DF2">
        <w:rPr>
          <w:bCs/>
          <w:sz w:val="24"/>
          <w:szCs w:val="24"/>
        </w:rPr>
        <w:t xml:space="preserve">NDIC completed the </w:t>
      </w:r>
      <w:r w:rsidRPr="00DD3DF2">
        <w:rPr>
          <w:bCs/>
          <w:i/>
          <w:sz w:val="24"/>
          <w:szCs w:val="24"/>
        </w:rPr>
        <w:t>Mexican Drug Trafficking Organizations: Developments Impacting the United States</w:t>
      </w:r>
      <w:r w:rsidRPr="00DD3DF2">
        <w:rPr>
          <w:bCs/>
          <w:sz w:val="24"/>
          <w:szCs w:val="24"/>
        </w:rPr>
        <w:t xml:space="preserve"> assessment in May 2010. Th</w:t>
      </w:r>
      <w:r w:rsidR="001509F7" w:rsidRPr="00DD3DF2">
        <w:rPr>
          <w:bCs/>
          <w:sz w:val="24"/>
          <w:szCs w:val="24"/>
        </w:rPr>
        <w:t>e</w:t>
      </w:r>
      <w:r w:rsidRPr="00DD3DF2">
        <w:rPr>
          <w:bCs/>
          <w:sz w:val="24"/>
          <w:szCs w:val="24"/>
        </w:rPr>
        <w:t xml:space="preserve"> assessment focuse</w:t>
      </w:r>
      <w:r w:rsidR="001C0BBC">
        <w:rPr>
          <w:bCs/>
          <w:sz w:val="24"/>
          <w:szCs w:val="24"/>
        </w:rPr>
        <w:t>d</w:t>
      </w:r>
      <w:r w:rsidRPr="00DD3DF2">
        <w:rPr>
          <w:bCs/>
          <w:sz w:val="24"/>
          <w:szCs w:val="24"/>
        </w:rPr>
        <w:t xml:space="preserve"> on emerging </w:t>
      </w:r>
      <w:r w:rsidR="00126EDD">
        <w:rPr>
          <w:bCs/>
          <w:sz w:val="24"/>
          <w:szCs w:val="24"/>
        </w:rPr>
        <w:t xml:space="preserve">trends associated with Mexican </w:t>
      </w:r>
      <w:r w:rsidR="007E21FC" w:rsidRPr="00DD3DF2">
        <w:rPr>
          <w:bCs/>
          <w:sz w:val="24"/>
          <w:szCs w:val="24"/>
        </w:rPr>
        <w:t>D</w:t>
      </w:r>
      <w:r w:rsidR="00BF2A80">
        <w:rPr>
          <w:bCs/>
          <w:sz w:val="24"/>
          <w:szCs w:val="24"/>
        </w:rPr>
        <w:t xml:space="preserve">rug Trafficking </w:t>
      </w:r>
      <w:r w:rsidR="007E21FC" w:rsidRPr="00DD3DF2">
        <w:rPr>
          <w:bCs/>
          <w:sz w:val="24"/>
          <w:szCs w:val="24"/>
        </w:rPr>
        <w:t>O</w:t>
      </w:r>
      <w:r w:rsidR="00BF2A80">
        <w:rPr>
          <w:bCs/>
          <w:sz w:val="24"/>
          <w:szCs w:val="24"/>
        </w:rPr>
        <w:t>rganizations (DTO)</w:t>
      </w:r>
      <w:r w:rsidRPr="00DD3DF2">
        <w:rPr>
          <w:bCs/>
          <w:sz w:val="24"/>
          <w:szCs w:val="24"/>
        </w:rPr>
        <w:t xml:space="preserve"> operations that impact the U</w:t>
      </w:r>
      <w:r w:rsidR="00126EDD">
        <w:rPr>
          <w:bCs/>
          <w:sz w:val="24"/>
          <w:szCs w:val="24"/>
        </w:rPr>
        <w:t>.</w:t>
      </w:r>
      <w:r w:rsidRPr="00DD3DF2">
        <w:rPr>
          <w:bCs/>
          <w:sz w:val="24"/>
          <w:szCs w:val="24"/>
        </w:rPr>
        <w:t>S</w:t>
      </w:r>
      <w:r w:rsidR="00126EDD">
        <w:rPr>
          <w:bCs/>
          <w:sz w:val="24"/>
          <w:szCs w:val="24"/>
        </w:rPr>
        <w:t>.</w:t>
      </w:r>
      <w:r w:rsidRPr="00DD3DF2">
        <w:rPr>
          <w:bCs/>
          <w:sz w:val="24"/>
          <w:szCs w:val="24"/>
        </w:rPr>
        <w:t xml:space="preserve"> drug trade. </w:t>
      </w:r>
      <w:r w:rsidR="00DE058F" w:rsidRPr="00DD3DF2">
        <w:rPr>
          <w:bCs/>
          <w:sz w:val="24"/>
          <w:szCs w:val="24"/>
        </w:rPr>
        <w:t xml:space="preserve">It represents one of several strategic assessments completed by NDIC that support the Administration’s and Attorney General’s priority of </w:t>
      </w:r>
      <w:r w:rsidR="00DE058F">
        <w:rPr>
          <w:bCs/>
          <w:sz w:val="24"/>
          <w:szCs w:val="24"/>
        </w:rPr>
        <w:t>reducing</w:t>
      </w:r>
      <w:r w:rsidR="00DE058F" w:rsidRPr="00DD3DF2">
        <w:rPr>
          <w:bCs/>
          <w:sz w:val="24"/>
          <w:szCs w:val="24"/>
        </w:rPr>
        <w:t xml:space="preserve"> crime and violence along the </w:t>
      </w:r>
      <w:r w:rsidR="00A06ABF">
        <w:rPr>
          <w:bCs/>
          <w:sz w:val="24"/>
          <w:szCs w:val="24"/>
        </w:rPr>
        <w:t>s</w:t>
      </w:r>
      <w:r w:rsidR="00DE058F" w:rsidRPr="00DD3DF2">
        <w:rPr>
          <w:bCs/>
          <w:sz w:val="24"/>
          <w:szCs w:val="24"/>
        </w:rPr>
        <w:t xml:space="preserve">outhwest </w:t>
      </w:r>
      <w:r w:rsidR="00A06ABF">
        <w:rPr>
          <w:bCs/>
          <w:sz w:val="24"/>
          <w:szCs w:val="24"/>
        </w:rPr>
        <w:t>b</w:t>
      </w:r>
      <w:r w:rsidR="00DE058F" w:rsidRPr="00DD3DF2">
        <w:rPr>
          <w:bCs/>
          <w:sz w:val="24"/>
          <w:szCs w:val="24"/>
        </w:rPr>
        <w:t>order</w:t>
      </w:r>
      <w:r w:rsidR="00DE058F">
        <w:rPr>
          <w:bCs/>
          <w:sz w:val="24"/>
          <w:szCs w:val="24"/>
        </w:rPr>
        <w:t>, specifically Strategic Objectives 2.2 and 2.4 of the Strategic Plan of the Department of Justice and Chapter 1 of the Southwest Border Counter-Narcotics Strategy Implementation Plan.</w:t>
      </w:r>
    </w:p>
    <w:p w:rsidR="00867E74" w:rsidRPr="00867E74" w:rsidRDefault="00867E74" w:rsidP="00D037F0">
      <w:pPr>
        <w:rPr>
          <w:b/>
          <w:sz w:val="24"/>
          <w:szCs w:val="24"/>
        </w:rPr>
      </w:pPr>
      <w:r w:rsidRPr="00867E74">
        <w:rPr>
          <w:b/>
          <w:bCs/>
          <w:sz w:val="24"/>
          <w:szCs w:val="24"/>
        </w:rPr>
        <w:t>Gangs</w:t>
      </w:r>
    </w:p>
    <w:p w:rsidR="00DE058F" w:rsidRDefault="00A40CCB" w:rsidP="00DE058F">
      <w:pPr>
        <w:rPr>
          <w:sz w:val="24"/>
          <w:szCs w:val="24"/>
        </w:rPr>
      </w:pPr>
      <w:r>
        <w:rPr>
          <w:sz w:val="24"/>
          <w:szCs w:val="24"/>
        </w:rPr>
        <w:t>I</w:t>
      </w:r>
      <w:r w:rsidR="0074716B" w:rsidRPr="00DD3DF2">
        <w:rPr>
          <w:sz w:val="24"/>
          <w:szCs w:val="24"/>
        </w:rPr>
        <w:t xml:space="preserve">n 2010, NDIC </w:t>
      </w:r>
      <w:r w:rsidR="007E21FC" w:rsidRPr="00DD3DF2">
        <w:rPr>
          <w:sz w:val="24"/>
          <w:szCs w:val="24"/>
        </w:rPr>
        <w:t xml:space="preserve">provided two </w:t>
      </w:r>
      <w:r w:rsidR="0074716B" w:rsidRPr="00DD3DF2">
        <w:rPr>
          <w:sz w:val="24"/>
          <w:szCs w:val="24"/>
        </w:rPr>
        <w:t>brief</w:t>
      </w:r>
      <w:r w:rsidR="007E21FC" w:rsidRPr="00DD3DF2">
        <w:rPr>
          <w:sz w:val="24"/>
          <w:szCs w:val="24"/>
        </w:rPr>
        <w:t>ings to</w:t>
      </w:r>
      <w:r w:rsidR="0074716B" w:rsidRPr="00DD3DF2">
        <w:rPr>
          <w:sz w:val="24"/>
          <w:szCs w:val="24"/>
        </w:rPr>
        <w:t xml:space="preserve"> the National Security Council staff on the relationshi</w:t>
      </w:r>
      <w:r w:rsidR="00126EDD">
        <w:rPr>
          <w:sz w:val="24"/>
          <w:szCs w:val="24"/>
        </w:rPr>
        <w:t>p between gangs and Mexican DTO</w:t>
      </w:r>
      <w:r w:rsidR="0074716B" w:rsidRPr="00DD3DF2">
        <w:rPr>
          <w:sz w:val="24"/>
          <w:szCs w:val="24"/>
        </w:rPr>
        <w:t>.</w:t>
      </w:r>
      <w:r w:rsidR="00DE058F">
        <w:rPr>
          <w:sz w:val="24"/>
          <w:szCs w:val="24"/>
        </w:rPr>
        <w:t xml:space="preserve"> </w:t>
      </w:r>
      <w:r w:rsidR="001B76B4" w:rsidRPr="005B64C7">
        <w:rPr>
          <w:sz w:val="24"/>
          <w:szCs w:val="24"/>
        </w:rPr>
        <w:t>NDIC intelligence efforts focused on gangs</w:t>
      </w:r>
      <w:r w:rsidR="001B76B4">
        <w:rPr>
          <w:sz w:val="24"/>
          <w:szCs w:val="24"/>
        </w:rPr>
        <w:t xml:space="preserve"> </w:t>
      </w:r>
      <w:r w:rsidR="00DE058F">
        <w:rPr>
          <w:sz w:val="24"/>
          <w:szCs w:val="24"/>
        </w:rPr>
        <w:t>provide concrete support for the Attorney General’s priorities, specifically Strategic Objective 2.2 of the Strategic Plan of the Department of Justice.</w:t>
      </w:r>
    </w:p>
    <w:p w:rsidR="00E91773" w:rsidRPr="00E91773" w:rsidRDefault="00E91773" w:rsidP="00FC7740">
      <w:pPr>
        <w:rPr>
          <w:b/>
          <w:sz w:val="24"/>
          <w:szCs w:val="24"/>
        </w:rPr>
      </w:pPr>
      <w:r w:rsidRPr="00E91773">
        <w:rPr>
          <w:rFonts w:eastAsia="Calibri"/>
          <w:b/>
          <w:bCs/>
          <w:sz w:val="24"/>
          <w:szCs w:val="24"/>
        </w:rPr>
        <w:t>Other NDIC Strategic Reporting</w:t>
      </w:r>
    </w:p>
    <w:p w:rsidR="000F60DB" w:rsidRPr="00C86A2C" w:rsidRDefault="00F91CDB" w:rsidP="00236348">
      <w:pPr>
        <w:rPr>
          <w:sz w:val="24"/>
          <w:szCs w:val="24"/>
        </w:rPr>
      </w:pPr>
      <w:r>
        <w:rPr>
          <w:sz w:val="24"/>
          <w:szCs w:val="24"/>
        </w:rPr>
        <w:t xml:space="preserve">Other </w:t>
      </w:r>
      <w:r w:rsidR="0032402C" w:rsidRPr="00DD3DF2">
        <w:rPr>
          <w:sz w:val="24"/>
          <w:szCs w:val="24"/>
        </w:rPr>
        <w:t>major recurring</w:t>
      </w:r>
      <w:r w:rsidR="00D6112B">
        <w:rPr>
          <w:sz w:val="24"/>
          <w:szCs w:val="24"/>
        </w:rPr>
        <w:t xml:space="preserve"> strategic drug</w:t>
      </w:r>
      <w:r w:rsidR="0032402C" w:rsidRPr="00DD3DF2">
        <w:rPr>
          <w:sz w:val="24"/>
          <w:szCs w:val="24"/>
        </w:rPr>
        <w:t xml:space="preserve"> intelligence produced by NDIC</w:t>
      </w:r>
      <w:r w:rsidR="00E91773">
        <w:rPr>
          <w:sz w:val="24"/>
          <w:szCs w:val="24"/>
        </w:rPr>
        <w:t xml:space="preserve"> includes</w:t>
      </w:r>
      <w:r w:rsidR="00E91773" w:rsidRPr="00DD3DF2">
        <w:rPr>
          <w:sz w:val="24"/>
          <w:szCs w:val="24"/>
        </w:rPr>
        <w:t xml:space="preserve"> regional drug threat assessments for the DOJ </w:t>
      </w:r>
      <w:r w:rsidR="00E91773">
        <w:rPr>
          <w:sz w:val="24"/>
          <w:szCs w:val="24"/>
        </w:rPr>
        <w:t xml:space="preserve">OCDETF program and </w:t>
      </w:r>
      <w:r w:rsidR="0032402C" w:rsidRPr="00DD3DF2">
        <w:rPr>
          <w:sz w:val="24"/>
          <w:szCs w:val="24"/>
        </w:rPr>
        <w:t>drug market analyses for the High Intensity Drug Traffic</w:t>
      </w:r>
      <w:r w:rsidR="00E91773">
        <w:rPr>
          <w:sz w:val="24"/>
          <w:szCs w:val="24"/>
        </w:rPr>
        <w:t xml:space="preserve">king Areas (HIDTA) program. </w:t>
      </w:r>
      <w:r w:rsidR="0032402C" w:rsidRPr="00DD3DF2">
        <w:rPr>
          <w:sz w:val="24"/>
          <w:szCs w:val="24"/>
        </w:rPr>
        <w:t>These reports provide a strategic overview of the illi</w:t>
      </w:r>
      <w:r w:rsidR="00127838">
        <w:rPr>
          <w:sz w:val="24"/>
          <w:szCs w:val="24"/>
        </w:rPr>
        <w:t>cit drug situation in every region</w:t>
      </w:r>
      <w:r w:rsidR="0032402C" w:rsidRPr="00DD3DF2">
        <w:rPr>
          <w:sz w:val="24"/>
          <w:szCs w:val="24"/>
        </w:rPr>
        <w:t xml:space="preserve"> of the country by highlighting significant drug traffi</w:t>
      </w:r>
      <w:r w:rsidR="00E91773">
        <w:rPr>
          <w:sz w:val="24"/>
          <w:szCs w:val="24"/>
        </w:rPr>
        <w:t>cking trends. T</w:t>
      </w:r>
      <w:r w:rsidR="0032402C" w:rsidRPr="00DD3DF2">
        <w:rPr>
          <w:sz w:val="24"/>
          <w:szCs w:val="24"/>
        </w:rPr>
        <w:t xml:space="preserve">hese </w:t>
      </w:r>
      <w:r w:rsidR="003C4F06">
        <w:rPr>
          <w:sz w:val="24"/>
          <w:szCs w:val="24"/>
        </w:rPr>
        <w:t>reports are</w:t>
      </w:r>
      <w:r w:rsidR="0032402C" w:rsidRPr="00DD3DF2">
        <w:rPr>
          <w:sz w:val="24"/>
          <w:szCs w:val="24"/>
        </w:rPr>
        <w:t xml:space="preserve"> us</w:t>
      </w:r>
      <w:r w:rsidR="00127838">
        <w:rPr>
          <w:sz w:val="24"/>
          <w:szCs w:val="24"/>
        </w:rPr>
        <w:t xml:space="preserve">ed by law enforcement senior </w:t>
      </w:r>
      <w:r w:rsidR="00074AE4">
        <w:rPr>
          <w:sz w:val="24"/>
          <w:szCs w:val="24"/>
        </w:rPr>
        <w:t>decision makers</w:t>
      </w:r>
      <w:r w:rsidR="0032402C" w:rsidRPr="00DD3DF2">
        <w:rPr>
          <w:sz w:val="24"/>
          <w:szCs w:val="24"/>
        </w:rPr>
        <w:t xml:space="preserve"> in the development of operational strategies and resource allocation. These reports present a focused </w:t>
      </w:r>
      <w:r w:rsidR="0032402C" w:rsidRPr="00DD3DF2">
        <w:rPr>
          <w:sz w:val="24"/>
          <w:szCs w:val="24"/>
        </w:rPr>
        <w:lastRenderedPageBreak/>
        <w:t>discussion on key drug issues an</w:t>
      </w:r>
      <w:r w:rsidR="00004230">
        <w:rPr>
          <w:sz w:val="24"/>
          <w:szCs w:val="24"/>
        </w:rPr>
        <w:t xml:space="preserve">d developments </w:t>
      </w:r>
      <w:r w:rsidR="00C86A2C">
        <w:rPr>
          <w:sz w:val="24"/>
          <w:szCs w:val="24"/>
        </w:rPr>
        <w:t>that identify</w:t>
      </w:r>
      <w:r w:rsidR="00931BEB">
        <w:rPr>
          <w:sz w:val="24"/>
          <w:szCs w:val="24"/>
        </w:rPr>
        <w:t xml:space="preserve"> significant trends and law enforcement concerns </w:t>
      </w:r>
      <w:r w:rsidR="00004230">
        <w:rPr>
          <w:sz w:val="24"/>
          <w:szCs w:val="24"/>
        </w:rPr>
        <w:t>facing each</w:t>
      </w:r>
      <w:r w:rsidR="0032402C" w:rsidRPr="00DD3DF2">
        <w:rPr>
          <w:sz w:val="24"/>
          <w:szCs w:val="24"/>
        </w:rPr>
        <w:t xml:space="preserve"> program area.</w:t>
      </w:r>
      <w:r w:rsidR="00C86A2C">
        <w:rPr>
          <w:sz w:val="24"/>
          <w:szCs w:val="24"/>
        </w:rPr>
        <w:t xml:space="preserve"> </w:t>
      </w:r>
    </w:p>
    <w:p w:rsidR="003D2556" w:rsidRDefault="003D2556" w:rsidP="003D2556">
      <w:pPr>
        <w:rPr>
          <w:sz w:val="24"/>
          <w:szCs w:val="24"/>
        </w:rPr>
      </w:pPr>
      <w:r w:rsidRPr="00DD3DF2">
        <w:rPr>
          <w:sz w:val="24"/>
          <w:szCs w:val="24"/>
        </w:rPr>
        <w:t xml:space="preserve">In February 2010, NDIC published and disseminated the </w:t>
      </w:r>
      <w:r w:rsidRPr="00DD3DF2">
        <w:rPr>
          <w:i/>
          <w:sz w:val="24"/>
          <w:szCs w:val="24"/>
        </w:rPr>
        <w:t>National Drug Threat Assessment 2010</w:t>
      </w:r>
      <w:r w:rsidRPr="008F6E02">
        <w:rPr>
          <w:sz w:val="24"/>
          <w:szCs w:val="24"/>
        </w:rPr>
        <w:t>,</w:t>
      </w:r>
      <w:r w:rsidRPr="00DD3DF2">
        <w:rPr>
          <w:sz w:val="24"/>
          <w:szCs w:val="24"/>
        </w:rPr>
        <w:t xml:space="preserve"> a comprehensive </w:t>
      </w:r>
      <w:r w:rsidR="0071182A">
        <w:rPr>
          <w:sz w:val="24"/>
          <w:szCs w:val="24"/>
        </w:rPr>
        <w:t xml:space="preserve">annual </w:t>
      </w:r>
      <w:r w:rsidRPr="00DD3DF2">
        <w:rPr>
          <w:sz w:val="24"/>
          <w:szCs w:val="24"/>
        </w:rPr>
        <w:t>account of the threat to the United States posed by the trafficking and abuse of i</w:t>
      </w:r>
      <w:r w:rsidR="008522F3">
        <w:rPr>
          <w:sz w:val="24"/>
          <w:szCs w:val="24"/>
        </w:rPr>
        <w:t>llicit and pharmaceutical drugs</w:t>
      </w:r>
      <w:r w:rsidR="00E76879">
        <w:rPr>
          <w:sz w:val="24"/>
          <w:szCs w:val="24"/>
        </w:rPr>
        <w:t>. W</w:t>
      </w:r>
      <w:r w:rsidR="008522F3">
        <w:rPr>
          <w:sz w:val="24"/>
          <w:szCs w:val="24"/>
        </w:rPr>
        <w:t>hen</w:t>
      </w:r>
      <w:r w:rsidRPr="00DD3DF2">
        <w:rPr>
          <w:sz w:val="24"/>
          <w:szCs w:val="24"/>
        </w:rPr>
        <w:t xml:space="preserve"> Attorney General Eric </w:t>
      </w:r>
      <w:r w:rsidR="00BF1A75">
        <w:rPr>
          <w:sz w:val="24"/>
          <w:szCs w:val="24"/>
        </w:rPr>
        <w:t xml:space="preserve">H. </w:t>
      </w:r>
      <w:r w:rsidRPr="00DD3DF2">
        <w:rPr>
          <w:sz w:val="24"/>
          <w:szCs w:val="24"/>
        </w:rPr>
        <w:t>Holder</w:t>
      </w:r>
      <w:r w:rsidR="00BF1A75">
        <w:rPr>
          <w:sz w:val="24"/>
          <w:szCs w:val="24"/>
        </w:rPr>
        <w:t>, Jr.</w:t>
      </w:r>
      <w:r w:rsidRPr="00DD3DF2">
        <w:rPr>
          <w:sz w:val="24"/>
          <w:szCs w:val="24"/>
        </w:rPr>
        <w:t xml:space="preserve"> </w:t>
      </w:r>
      <w:r w:rsidR="008522F3">
        <w:rPr>
          <w:sz w:val="24"/>
          <w:szCs w:val="24"/>
        </w:rPr>
        <w:t>received the NDIC</w:t>
      </w:r>
      <w:r w:rsidR="004113FF">
        <w:rPr>
          <w:sz w:val="24"/>
          <w:szCs w:val="24"/>
        </w:rPr>
        <w:t xml:space="preserve"> </w:t>
      </w:r>
      <w:r w:rsidR="004113FF" w:rsidRPr="00DD3DF2">
        <w:rPr>
          <w:sz w:val="24"/>
          <w:szCs w:val="24"/>
        </w:rPr>
        <w:t>National Drug Threat Assessment</w:t>
      </w:r>
      <w:r w:rsidR="008522F3">
        <w:rPr>
          <w:sz w:val="24"/>
          <w:szCs w:val="24"/>
        </w:rPr>
        <w:t xml:space="preserve"> </w:t>
      </w:r>
      <w:r w:rsidR="004113FF">
        <w:rPr>
          <w:sz w:val="24"/>
          <w:szCs w:val="24"/>
        </w:rPr>
        <w:t>(NDTA)</w:t>
      </w:r>
      <w:r w:rsidR="00E76879">
        <w:rPr>
          <w:sz w:val="24"/>
          <w:szCs w:val="24"/>
        </w:rPr>
        <w:t>,</w:t>
      </w:r>
      <w:r w:rsidR="004113FF">
        <w:rPr>
          <w:sz w:val="24"/>
          <w:szCs w:val="24"/>
        </w:rPr>
        <w:t xml:space="preserve"> he stated</w:t>
      </w:r>
      <w:r w:rsidR="00370BA3">
        <w:rPr>
          <w:sz w:val="24"/>
          <w:szCs w:val="24"/>
        </w:rPr>
        <w:t>,</w:t>
      </w:r>
      <w:r w:rsidRPr="00DD3DF2">
        <w:rPr>
          <w:sz w:val="24"/>
          <w:szCs w:val="24"/>
        </w:rPr>
        <w:t xml:space="preserve"> “This report presents a comprehensive analysis of the drug threat</w:t>
      </w:r>
      <w:r w:rsidR="00737ED6">
        <w:rPr>
          <w:sz w:val="24"/>
          <w:szCs w:val="24"/>
        </w:rPr>
        <w:t xml:space="preserve"> to our nation and will be valuable in helping direct our fight against</w:t>
      </w:r>
      <w:r w:rsidRPr="00DD3DF2">
        <w:rPr>
          <w:sz w:val="24"/>
          <w:szCs w:val="24"/>
        </w:rPr>
        <w:t xml:space="preserve"> trafficking and abuse.” The 2010</w:t>
      </w:r>
      <w:r w:rsidR="004113FF">
        <w:rPr>
          <w:sz w:val="24"/>
          <w:szCs w:val="24"/>
        </w:rPr>
        <w:t xml:space="preserve"> NDTA</w:t>
      </w:r>
      <w:r w:rsidRPr="00DD3DF2">
        <w:rPr>
          <w:sz w:val="24"/>
          <w:szCs w:val="24"/>
        </w:rPr>
        <w:t xml:space="preserve"> highlights diversion and abuse of prescription drugs as a serious and increasing problem. As part of the Administration’s comprehensive approach to reduce</w:t>
      </w:r>
      <w:r>
        <w:rPr>
          <w:sz w:val="24"/>
          <w:szCs w:val="24"/>
        </w:rPr>
        <w:t xml:space="preserve"> drug use an</w:t>
      </w:r>
      <w:r w:rsidR="007724DD">
        <w:rPr>
          <w:sz w:val="24"/>
          <w:szCs w:val="24"/>
        </w:rPr>
        <w:t xml:space="preserve">d its consequences, </w:t>
      </w:r>
      <w:r w:rsidRPr="00DD3DF2">
        <w:rPr>
          <w:sz w:val="24"/>
          <w:szCs w:val="24"/>
        </w:rPr>
        <w:t>Federal partner agencies have developed a plan to curb prescription drug abuse, which includes expanding prescription drug monitoring programs and educating healthcare providers and patients about the danger</w:t>
      </w:r>
      <w:r>
        <w:rPr>
          <w:sz w:val="24"/>
          <w:szCs w:val="24"/>
        </w:rPr>
        <w:t xml:space="preserve"> of abusing prescription drugs.</w:t>
      </w:r>
      <w:r w:rsidRPr="00DD3DF2">
        <w:rPr>
          <w:sz w:val="24"/>
          <w:szCs w:val="24"/>
        </w:rPr>
        <w:t xml:space="preserve"> These are just two examples</w:t>
      </w:r>
      <w:r>
        <w:rPr>
          <w:sz w:val="24"/>
          <w:szCs w:val="24"/>
        </w:rPr>
        <w:t xml:space="preserve"> of how the NDIC intelligence</w:t>
      </w:r>
      <w:r w:rsidRPr="00DD3DF2">
        <w:rPr>
          <w:sz w:val="24"/>
          <w:szCs w:val="24"/>
        </w:rPr>
        <w:t xml:space="preserve"> products are used to formulate policies to counter</w:t>
      </w:r>
      <w:r w:rsidR="00BB471D">
        <w:rPr>
          <w:sz w:val="24"/>
          <w:szCs w:val="24"/>
        </w:rPr>
        <w:t xml:space="preserve"> </w:t>
      </w:r>
      <w:r w:rsidRPr="00DD3DF2">
        <w:rPr>
          <w:sz w:val="24"/>
          <w:szCs w:val="24"/>
        </w:rPr>
        <w:t>drug threats.</w:t>
      </w:r>
    </w:p>
    <w:p w:rsidR="0000117C" w:rsidRDefault="00950795" w:rsidP="00236348">
      <w:pPr>
        <w:rPr>
          <w:color w:val="000000"/>
          <w:sz w:val="24"/>
          <w:szCs w:val="24"/>
        </w:rPr>
      </w:pPr>
      <w:r>
        <w:rPr>
          <w:color w:val="000000"/>
          <w:sz w:val="24"/>
          <w:szCs w:val="24"/>
        </w:rPr>
        <w:t>NDIC supports production of the Interagency Assessment of Cocaine Movemen</w:t>
      </w:r>
      <w:r w:rsidR="009C6922">
        <w:rPr>
          <w:color w:val="000000"/>
          <w:sz w:val="24"/>
          <w:szCs w:val="24"/>
        </w:rPr>
        <w:t xml:space="preserve">t </w:t>
      </w:r>
      <w:r w:rsidR="001A346E">
        <w:rPr>
          <w:color w:val="000000"/>
          <w:sz w:val="24"/>
          <w:szCs w:val="24"/>
        </w:rPr>
        <w:t>(</w:t>
      </w:r>
      <w:r w:rsidR="0000117C">
        <w:rPr>
          <w:color w:val="000000"/>
          <w:sz w:val="24"/>
          <w:szCs w:val="24"/>
        </w:rPr>
        <w:t>IACM</w:t>
      </w:r>
      <w:r w:rsidR="001A346E">
        <w:rPr>
          <w:color w:val="000000"/>
          <w:sz w:val="24"/>
          <w:szCs w:val="24"/>
        </w:rPr>
        <w:t>)</w:t>
      </w:r>
      <w:r w:rsidR="0000117C">
        <w:rPr>
          <w:color w:val="000000"/>
          <w:sz w:val="24"/>
          <w:szCs w:val="24"/>
        </w:rPr>
        <w:t>. This assessment published annually with semi-annual updates- provides an official estimate of cocaine flow to and into the U.S. NDIC is responsible for completing the arrival zone s</w:t>
      </w:r>
      <w:r w:rsidR="00914A69">
        <w:rPr>
          <w:color w:val="000000"/>
          <w:sz w:val="24"/>
          <w:szCs w:val="24"/>
        </w:rPr>
        <w:t xml:space="preserve">ection of the report. </w:t>
      </w:r>
      <w:r w:rsidR="00BB471D">
        <w:rPr>
          <w:color w:val="000000"/>
          <w:sz w:val="24"/>
          <w:szCs w:val="24"/>
        </w:rPr>
        <w:t>Other f</w:t>
      </w:r>
      <w:r w:rsidR="0000117C">
        <w:rPr>
          <w:color w:val="000000"/>
          <w:sz w:val="24"/>
          <w:szCs w:val="24"/>
        </w:rPr>
        <w:t xml:space="preserve">ederal entities </w:t>
      </w:r>
      <w:r w:rsidR="00BB471D">
        <w:rPr>
          <w:color w:val="000000"/>
          <w:sz w:val="24"/>
          <w:szCs w:val="24"/>
        </w:rPr>
        <w:t xml:space="preserve">that contribute to the report include, </w:t>
      </w:r>
      <w:r w:rsidR="001A346E">
        <w:rPr>
          <w:color w:val="000000"/>
          <w:sz w:val="24"/>
          <w:szCs w:val="24"/>
        </w:rPr>
        <w:t xml:space="preserve">DOJ, DEA, U.S. </w:t>
      </w:r>
      <w:r w:rsidR="00002E57">
        <w:rPr>
          <w:color w:val="000000"/>
          <w:sz w:val="24"/>
          <w:szCs w:val="24"/>
        </w:rPr>
        <w:t>Department of Defense</w:t>
      </w:r>
      <w:r w:rsidR="001A346E">
        <w:rPr>
          <w:color w:val="000000"/>
          <w:sz w:val="24"/>
          <w:szCs w:val="24"/>
        </w:rPr>
        <w:t xml:space="preserve">, U.S. Department of Homeland Security, </w:t>
      </w:r>
      <w:r w:rsidR="001A346E" w:rsidRPr="0000117C">
        <w:rPr>
          <w:color w:val="000000"/>
          <w:sz w:val="24"/>
          <w:szCs w:val="24"/>
        </w:rPr>
        <w:t>U.S. Coast Guard</w:t>
      </w:r>
      <w:r w:rsidR="001A346E">
        <w:rPr>
          <w:color w:val="000000"/>
          <w:sz w:val="24"/>
          <w:szCs w:val="24"/>
        </w:rPr>
        <w:t>,</w:t>
      </w:r>
      <w:r w:rsidR="001A346E" w:rsidRPr="0000117C">
        <w:rPr>
          <w:color w:val="000000"/>
          <w:sz w:val="24"/>
          <w:szCs w:val="24"/>
        </w:rPr>
        <w:t xml:space="preserve"> </w:t>
      </w:r>
      <w:r w:rsidR="00BB471D">
        <w:rPr>
          <w:color w:val="000000"/>
          <w:sz w:val="24"/>
          <w:szCs w:val="24"/>
        </w:rPr>
        <w:t xml:space="preserve">and the </w:t>
      </w:r>
      <w:r w:rsidR="001A346E" w:rsidRPr="0000117C">
        <w:rPr>
          <w:sz w:val="24"/>
          <w:szCs w:val="24"/>
        </w:rPr>
        <w:t xml:space="preserve">U.S. </w:t>
      </w:r>
      <w:r w:rsidR="001A346E">
        <w:rPr>
          <w:sz w:val="24"/>
          <w:szCs w:val="24"/>
        </w:rPr>
        <w:t>Customs and Border Protection (CBP)</w:t>
      </w:r>
      <w:r w:rsidR="00BB471D">
        <w:rPr>
          <w:sz w:val="24"/>
          <w:szCs w:val="24"/>
        </w:rPr>
        <w:t>. Each of these agencies</w:t>
      </w:r>
      <w:r w:rsidR="001A346E">
        <w:rPr>
          <w:sz w:val="24"/>
          <w:szCs w:val="24"/>
        </w:rPr>
        <w:t xml:space="preserve"> </w:t>
      </w:r>
      <w:r w:rsidR="0000117C">
        <w:rPr>
          <w:color w:val="000000"/>
          <w:sz w:val="24"/>
          <w:szCs w:val="24"/>
        </w:rPr>
        <w:t>use</w:t>
      </w:r>
      <w:r w:rsidR="00BB471D">
        <w:rPr>
          <w:color w:val="000000"/>
          <w:sz w:val="24"/>
          <w:szCs w:val="24"/>
        </w:rPr>
        <w:t>s</w:t>
      </w:r>
      <w:r w:rsidR="0000117C">
        <w:rPr>
          <w:color w:val="000000"/>
          <w:sz w:val="24"/>
          <w:szCs w:val="24"/>
        </w:rPr>
        <w:t xml:space="preserve"> the IACM for operational planning purposes. For example, when the IACM shows increases in the amount of cocaine fl</w:t>
      </w:r>
      <w:r w:rsidR="00E76879">
        <w:rPr>
          <w:color w:val="000000"/>
          <w:sz w:val="24"/>
          <w:szCs w:val="24"/>
        </w:rPr>
        <w:t>owing through</w:t>
      </w:r>
      <w:r w:rsidR="0000117C">
        <w:rPr>
          <w:color w:val="000000"/>
          <w:sz w:val="24"/>
          <w:szCs w:val="24"/>
        </w:rPr>
        <w:t xml:space="preserve"> a particular geographical area, policymakers can use this information to allocate resources in that location to stem the flow drugs there. </w:t>
      </w:r>
    </w:p>
    <w:p w:rsidR="0000117C" w:rsidRPr="00002E57" w:rsidRDefault="0000117C" w:rsidP="00236348">
      <w:pPr>
        <w:rPr>
          <w:color w:val="000000"/>
          <w:sz w:val="24"/>
          <w:szCs w:val="24"/>
        </w:rPr>
      </w:pPr>
      <w:r w:rsidRPr="00002E57">
        <w:rPr>
          <w:color w:val="000000"/>
          <w:sz w:val="24"/>
          <w:szCs w:val="24"/>
        </w:rPr>
        <w:t xml:space="preserve">Since 2007, NDIC has produced monthly </w:t>
      </w:r>
      <w:r w:rsidR="009E156D" w:rsidRPr="00002E57">
        <w:rPr>
          <w:rStyle w:val="s"/>
          <w:color w:val="171E24"/>
          <w:sz w:val="24"/>
          <w:szCs w:val="24"/>
        </w:rPr>
        <w:t>Geographic Information Systems (</w:t>
      </w:r>
      <w:r w:rsidRPr="00002E57">
        <w:rPr>
          <w:color w:val="000000"/>
          <w:sz w:val="24"/>
          <w:szCs w:val="24"/>
        </w:rPr>
        <w:t>GIS</w:t>
      </w:r>
      <w:r w:rsidR="009E156D" w:rsidRPr="00002E57">
        <w:rPr>
          <w:color w:val="000000"/>
          <w:sz w:val="24"/>
          <w:szCs w:val="24"/>
        </w:rPr>
        <w:t>)</w:t>
      </w:r>
      <w:r w:rsidRPr="00002E57">
        <w:rPr>
          <w:color w:val="000000"/>
          <w:sz w:val="24"/>
          <w:szCs w:val="24"/>
        </w:rPr>
        <w:t xml:space="preserve"> maps reflecting the </w:t>
      </w:r>
      <w:r w:rsidR="00B222B1" w:rsidRPr="00002E57">
        <w:rPr>
          <w:color w:val="000000"/>
          <w:sz w:val="24"/>
          <w:szCs w:val="24"/>
        </w:rPr>
        <w:t xml:space="preserve">CBP drug seizures along the Southwest Border. NDIC </w:t>
      </w:r>
      <w:r w:rsidR="009608F3" w:rsidRPr="00002E57">
        <w:rPr>
          <w:color w:val="000000"/>
          <w:sz w:val="24"/>
          <w:szCs w:val="24"/>
        </w:rPr>
        <w:t>analyzes the data, fuses it with other available intelligence, and prepares a mont</w:t>
      </w:r>
      <w:r w:rsidR="00314666" w:rsidRPr="00002E57">
        <w:rPr>
          <w:color w:val="000000"/>
          <w:sz w:val="24"/>
          <w:szCs w:val="24"/>
        </w:rPr>
        <w:t>hly report to accompany the GIS</w:t>
      </w:r>
      <w:r w:rsidR="009608F3" w:rsidRPr="00002E57">
        <w:rPr>
          <w:color w:val="000000"/>
          <w:sz w:val="24"/>
          <w:szCs w:val="24"/>
        </w:rPr>
        <w:t xml:space="preserve"> maps. DOJ (</w:t>
      </w:r>
      <w:r w:rsidR="00A53DE2" w:rsidRPr="00002E57">
        <w:rPr>
          <w:color w:val="000000"/>
          <w:sz w:val="24"/>
          <w:szCs w:val="24"/>
        </w:rPr>
        <w:t xml:space="preserve">DEA, FBI, and the Bureau of Alcohol, Tobacco, Firearms and Explosives (ATF) </w:t>
      </w:r>
      <w:r w:rsidR="00BB471D">
        <w:rPr>
          <w:color w:val="000000"/>
          <w:sz w:val="24"/>
          <w:szCs w:val="24"/>
        </w:rPr>
        <w:t xml:space="preserve">and DHS entities (ICE, CBP) </w:t>
      </w:r>
      <w:r w:rsidR="00A53DE2" w:rsidRPr="00002E57">
        <w:rPr>
          <w:color w:val="000000"/>
          <w:sz w:val="24"/>
          <w:szCs w:val="24"/>
        </w:rPr>
        <w:t xml:space="preserve">located on or near the Southwest Border use this report to gauge drug flows and to develop plans to counter drug threats in their respective areas. </w:t>
      </w:r>
    </w:p>
    <w:p w:rsidR="00E76879" w:rsidRDefault="00E76879" w:rsidP="00E76879">
      <w:pPr>
        <w:rPr>
          <w:color w:val="000000"/>
          <w:sz w:val="24"/>
          <w:szCs w:val="24"/>
        </w:rPr>
      </w:pPr>
      <w:r>
        <w:rPr>
          <w:color w:val="000000"/>
          <w:sz w:val="24"/>
          <w:szCs w:val="24"/>
        </w:rPr>
        <w:t xml:space="preserve">NDIC regularly partners with DEA and FBI to produce strategic drug intelligence. Currently, NDIC is developing a “Vietnamese Organized Crime Report” </w:t>
      </w:r>
      <w:r w:rsidR="00BF1A75" w:rsidRPr="00304F94">
        <w:rPr>
          <w:color w:val="000000"/>
          <w:sz w:val="24"/>
          <w:szCs w:val="24"/>
        </w:rPr>
        <w:t xml:space="preserve">in collaboration with the </w:t>
      </w:r>
      <w:r w:rsidRPr="00304F94">
        <w:rPr>
          <w:color w:val="000000"/>
          <w:sz w:val="24"/>
          <w:szCs w:val="24"/>
        </w:rPr>
        <w:t>FBI. The “Dominican Dru</w:t>
      </w:r>
      <w:r w:rsidR="00002E57" w:rsidRPr="00304F94">
        <w:rPr>
          <w:color w:val="000000"/>
          <w:sz w:val="24"/>
          <w:szCs w:val="24"/>
        </w:rPr>
        <w:t>g Trafficking Organizations:</w:t>
      </w:r>
      <w:r w:rsidRPr="00304F94">
        <w:rPr>
          <w:color w:val="000000"/>
          <w:sz w:val="24"/>
          <w:szCs w:val="24"/>
        </w:rPr>
        <w:t xml:space="preserve"> </w:t>
      </w:r>
      <w:r w:rsidR="00002E57" w:rsidRPr="00304F94">
        <w:rPr>
          <w:color w:val="000000"/>
          <w:sz w:val="24"/>
          <w:szCs w:val="24"/>
        </w:rPr>
        <w:t xml:space="preserve">A National Threat Assessment” </w:t>
      </w:r>
      <w:r w:rsidRPr="00304F94">
        <w:rPr>
          <w:color w:val="000000"/>
          <w:sz w:val="24"/>
          <w:szCs w:val="24"/>
        </w:rPr>
        <w:t>in collaboration with DEA</w:t>
      </w:r>
      <w:r w:rsidR="00BF1A75">
        <w:rPr>
          <w:color w:val="000000"/>
          <w:sz w:val="24"/>
          <w:szCs w:val="24"/>
        </w:rPr>
        <w:t xml:space="preserve"> was published on August 31, 2010</w:t>
      </w:r>
      <w:r>
        <w:rPr>
          <w:color w:val="000000"/>
          <w:sz w:val="24"/>
          <w:szCs w:val="24"/>
        </w:rPr>
        <w:t>. It provide</w:t>
      </w:r>
      <w:r w:rsidR="00304F94">
        <w:rPr>
          <w:color w:val="000000"/>
          <w:sz w:val="24"/>
          <w:szCs w:val="24"/>
        </w:rPr>
        <w:t>s</w:t>
      </w:r>
      <w:r>
        <w:rPr>
          <w:color w:val="000000"/>
          <w:sz w:val="24"/>
          <w:szCs w:val="24"/>
        </w:rPr>
        <w:t xml:space="preserve"> policymakers information regarding current trends of Dominican DTO in the United States.</w:t>
      </w:r>
    </w:p>
    <w:p w:rsidR="00A40CCB" w:rsidRDefault="00A40CCB" w:rsidP="00E76879">
      <w:pPr>
        <w:rPr>
          <w:color w:val="000000"/>
          <w:sz w:val="24"/>
          <w:szCs w:val="24"/>
        </w:rPr>
      </w:pPr>
    </w:p>
    <w:p w:rsidR="00A40CCB" w:rsidRDefault="00A40CCB" w:rsidP="00E76879">
      <w:pPr>
        <w:rPr>
          <w:color w:val="000000"/>
          <w:sz w:val="24"/>
          <w:szCs w:val="24"/>
        </w:rPr>
      </w:pPr>
    </w:p>
    <w:p w:rsidR="00EB417D" w:rsidRPr="00A34AF0" w:rsidRDefault="005B5952" w:rsidP="00236348">
      <w:pPr>
        <w:rPr>
          <w:b/>
          <w:color w:val="000000"/>
          <w:sz w:val="24"/>
          <w:szCs w:val="24"/>
        </w:rPr>
      </w:pPr>
      <w:r w:rsidRPr="00A34AF0">
        <w:rPr>
          <w:b/>
          <w:color w:val="000000"/>
          <w:sz w:val="24"/>
          <w:szCs w:val="24"/>
        </w:rPr>
        <w:lastRenderedPageBreak/>
        <w:t>Anti-Drug Intelligence Community Team (</w:t>
      </w:r>
      <w:r w:rsidR="00EB417D" w:rsidRPr="00A34AF0">
        <w:rPr>
          <w:b/>
          <w:color w:val="000000"/>
          <w:sz w:val="24"/>
          <w:szCs w:val="24"/>
        </w:rPr>
        <w:t>ADICT</w:t>
      </w:r>
      <w:r w:rsidRPr="00A34AF0">
        <w:rPr>
          <w:b/>
          <w:color w:val="000000"/>
          <w:sz w:val="24"/>
          <w:szCs w:val="24"/>
        </w:rPr>
        <w:t>)</w:t>
      </w:r>
    </w:p>
    <w:p w:rsidR="00B8263B" w:rsidRDefault="00EB417D" w:rsidP="00236348">
      <w:pPr>
        <w:rPr>
          <w:color w:val="000000"/>
          <w:sz w:val="24"/>
          <w:szCs w:val="24"/>
        </w:rPr>
      </w:pPr>
      <w:r>
        <w:rPr>
          <w:color w:val="000000"/>
          <w:sz w:val="24"/>
          <w:szCs w:val="24"/>
        </w:rPr>
        <w:t>NDIC</w:t>
      </w:r>
      <w:r w:rsidR="005C2726">
        <w:rPr>
          <w:color w:val="000000"/>
          <w:sz w:val="24"/>
          <w:szCs w:val="24"/>
        </w:rPr>
        <w:t>,</w:t>
      </w:r>
      <w:r>
        <w:rPr>
          <w:color w:val="000000"/>
          <w:sz w:val="24"/>
          <w:szCs w:val="24"/>
        </w:rPr>
        <w:t xml:space="preserve"> along with DEA and FBI</w:t>
      </w:r>
      <w:r w:rsidR="00F105C8">
        <w:rPr>
          <w:color w:val="000000"/>
          <w:sz w:val="24"/>
          <w:szCs w:val="24"/>
        </w:rPr>
        <w:t>,</w:t>
      </w:r>
      <w:r>
        <w:rPr>
          <w:color w:val="000000"/>
          <w:sz w:val="24"/>
          <w:szCs w:val="24"/>
        </w:rPr>
        <w:t xml:space="preserve"> play</w:t>
      </w:r>
      <w:r w:rsidR="005B5952">
        <w:rPr>
          <w:color w:val="000000"/>
          <w:sz w:val="24"/>
          <w:szCs w:val="24"/>
        </w:rPr>
        <w:t>s a pivotal role on ADICT.</w:t>
      </w:r>
      <w:r w:rsidR="00F105C8">
        <w:rPr>
          <w:color w:val="000000"/>
          <w:sz w:val="24"/>
          <w:szCs w:val="24"/>
        </w:rPr>
        <w:t xml:space="preserve"> This</w:t>
      </w:r>
      <w:r>
        <w:rPr>
          <w:color w:val="000000"/>
          <w:sz w:val="24"/>
          <w:szCs w:val="24"/>
        </w:rPr>
        <w:t xml:space="preserve"> is a strategic partnership</w:t>
      </w:r>
      <w:r w:rsidR="005B5952">
        <w:rPr>
          <w:color w:val="000000"/>
          <w:sz w:val="24"/>
          <w:szCs w:val="24"/>
        </w:rPr>
        <w:t xml:space="preserve"> of </w:t>
      </w:r>
      <w:r w:rsidR="00F105C8">
        <w:rPr>
          <w:color w:val="000000"/>
          <w:sz w:val="24"/>
          <w:szCs w:val="24"/>
        </w:rPr>
        <w:t xml:space="preserve">14 </w:t>
      </w:r>
      <w:r w:rsidR="005B5952">
        <w:rPr>
          <w:color w:val="000000"/>
          <w:sz w:val="24"/>
          <w:szCs w:val="24"/>
        </w:rPr>
        <w:t xml:space="preserve">U.S. counterdrug </w:t>
      </w:r>
      <w:r w:rsidR="008B13D8">
        <w:rPr>
          <w:color w:val="000000"/>
          <w:sz w:val="24"/>
          <w:szCs w:val="24"/>
        </w:rPr>
        <w:t>intelligence agencies designed to drive collective action on analysis, collection</w:t>
      </w:r>
      <w:r w:rsidR="00F105C8">
        <w:rPr>
          <w:color w:val="000000"/>
          <w:sz w:val="24"/>
          <w:szCs w:val="24"/>
        </w:rPr>
        <w:t>,</w:t>
      </w:r>
      <w:r w:rsidR="008B13D8">
        <w:rPr>
          <w:color w:val="000000"/>
          <w:sz w:val="24"/>
          <w:szCs w:val="24"/>
        </w:rPr>
        <w:t xml:space="preserve"> and operational issues directly related to the </w:t>
      </w:r>
      <w:r w:rsidR="00002E57">
        <w:rPr>
          <w:color w:val="000000"/>
          <w:sz w:val="24"/>
          <w:szCs w:val="24"/>
        </w:rPr>
        <w:t xml:space="preserve">global </w:t>
      </w:r>
      <w:r w:rsidR="008B13D8">
        <w:rPr>
          <w:color w:val="000000"/>
          <w:sz w:val="24"/>
          <w:szCs w:val="24"/>
        </w:rPr>
        <w:t xml:space="preserve">priority counterdrug goals of the U.S. Government. </w:t>
      </w:r>
    </w:p>
    <w:p w:rsidR="00B8263B" w:rsidRDefault="00B8263B" w:rsidP="00236348">
      <w:pPr>
        <w:rPr>
          <w:color w:val="000000"/>
          <w:sz w:val="24"/>
          <w:szCs w:val="24"/>
        </w:rPr>
      </w:pPr>
      <w:r>
        <w:rPr>
          <w:color w:val="000000"/>
          <w:sz w:val="24"/>
          <w:szCs w:val="24"/>
        </w:rPr>
        <w:t xml:space="preserve">ADICT functions include facilitating the establishment of strategic priorities and implementing strategic policy guidance; promoting collective planning, information sharing, and enhanced working relationships; establishing </w:t>
      </w:r>
      <w:r w:rsidR="00D11144">
        <w:rPr>
          <w:color w:val="000000"/>
          <w:sz w:val="24"/>
          <w:szCs w:val="24"/>
        </w:rPr>
        <w:t xml:space="preserve">a forum </w:t>
      </w:r>
      <w:r>
        <w:rPr>
          <w:color w:val="000000"/>
          <w:sz w:val="24"/>
          <w:szCs w:val="24"/>
        </w:rPr>
        <w:t xml:space="preserve">to counter new and emerging threats; developing strategies for analysis and collection that cross-organizational lines; maximizing operational impact by </w:t>
      </w:r>
      <w:proofErr w:type="spellStart"/>
      <w:r>
        <w:rPr>
          <w:color w:val="000000"/>
          <w:sz w:val="24"/>
          <w:szCs w:val="24"/>
        </w:rPr>
        <w:t>deconflicting</w:t>
      </w:r>
      <w:proofErr w:type="spellEnd"/>
      <w:r>
        <w:rPr>
          <w:color w:val="000000"/>
          <w:sz w:val="24"/>
          <w:szCs w:val="24"/>
        </w:rPr>
        <w:t xml:space="preserve"> and leveraging agencies’ capabilities; leveraging capabilities by working with international partner</w:t>
      </w:r>
      <w:r w:rsidR="00002E57">
        <w:rPr>
          <w:color w:val="000000"/>
          <w:sz w:val="24"/>
          <w:szCs w:val="24"/>
        </w:rPr>
        <w:t>s</w:t>
      </w:r>
      <w:r>
        <w:rPr>
          <w:color w:val="000000"/>
          <w:sz w:val="24"/>
          <w:szCs w:val="24"/>
        </w:rPr>
        <w:t xml:space="preserve">; developing and updating a core strategic work plan that drives IC joint counterdrug activities; and recommending the establishment of working groups to tackle analytical, collection, and operational support efforts. </w:t>
      </w:r>
    </w:p>
    <w:p w:rsidR="00E76879" w:rsidRDefault="00E76879" w:rsidP="00236348">
      <w:pPr>
        <w:rPr>
          <w:color w:val="000000"/>
          <w:sz w:val="24"/>
          <w:szCs w:val="24"/>
        </w:rPr>
      </w:pPr>
      <w:r>
        <w:rPr>
          <w:color w:val="000000"/>
          <w:sz w:val="24"/>
          <w:szCs w:val="24"/>
        </w:rPr>
        <w:t>NDI</w:t>
      </w:r>
      <w:r w:rsidR="009D3F90">
        <w:rPr>
          <w:color w:val="000000"/>
          <w:sz w:val="24"/>
          <w:szCs w:val="24"/>
        </w:rPr>
        <w:t>C intelligence products provide</w:t>
      </w:r>
      <w:r>
        <w:rPr>
          <w:color w:val="000000"/>
          <w:sz w:val="24"/>
          <w:szCs w:val="24"/>
        </w:rPr>
        <w:t xml:space="preserve"> DOJ and component</w:t>
      </w:r>
      <w:r w:rsidR="00C0777F">
        <w:rPr>
          <w:color w:val="000000"/>
          <w:sz w:val="24"/>
          <w:szCs w:val="24"/>
        </w:rPr>
        <w:t>s</w:t>
      </w:r>
      <w:r>
        <w:rPr>
          <w:color w:val="000000"/>
          <w:sz w:val="24"/>
          <w:szCs w:val="24"/>
        </w:rPr>
        <w:t xml:space="preserve"> the information needed to formulate strategic initiatives and allow DOJ the ability to deploy resources to areas </w:t>
      </w:r>
      <w:r w:rsidR="00C0777F">
        <w:rPr>
          <w:color w:val="000000"/>
          <w:sz w:val="24"/>
          <w:szCs w:val="24"/>
        </w:rPr>
        <w:t xml:space="preserve">of </w:t>
      </w:r>
      <w:r>
        <w:rPr>
          <w:color w:val="000000"/>
          <w:sz w:val="24"/>
          <w:szCs w:val="24"/>
        </w:rPr>
        <w:t xml:space="preserve">greatest impact. </w:t>
      </w:r>
      <w:r w:rsidR="008A4052">
        <w:rPr>
          <w:color w:val="000000"/>
          <w:sz w:val="24"/>
          <w:szCs w:val="24"/>
        </w:rPr>
        <w:t>An example is NDIC’s support to the National Intelligence Estimates on Global Drug Threats.</w:t>
      </w:r>
    </w:p>
    <w:p w:rsidR="00AC5F90" w:rsidRDefault="00AC5F90" w:rsidP="00236348">
      <w:pPr>
        <w:rPr>
          <w:sz w:val="24"/>
          <w:szCs w:val="24"/>
        </w:rPr>
      </w:pPr>
      <w:r>
        <w:rPr>
          <w:b/>
          <w:sz w:val="24"/>
          <w:szCs w:val="24"/>
        </w:rPr>
        <w:t>External Training</w:t>
      </w:r>
    </w:p>
    <w:p w:rsidR="00AE33E7" w:rsidRDefault="00CE5AFD" w:rsidP="006C5960">
      <w:pPr>
        <w:rPr>
          <w:sz w:val="24"/>
          <w:szCs w:val="24"/>
        </w:rPr>
      </w:pPr>
      <w:r>
        <w:rPr>
          <w:sz w:val="24"/>
          <w:szCs w:val="24"/>
        </w:rPr>
        <w:t xml:space="preserve">NDIC also provides operational support to DOJ components through its training program. </w:t>
      </w:r>
      <w:r w:rsidR="000627BF">
        <w:rPr>
          <w:sz w:val="24"/>
          <w:szCs w:val="24"/>
        </w:rPr>
        <w:t>The NDIC Training Unit conducts internal and external training to equip NDIC analysts and other professionals</w:t>
      </w:r>
      <w:r w:rsidR="00C0777F">
        <w:rPr>
          <w:sz w:val="24"/>
          <w:szCs w:val="24"/>
        </w:rPr>
        <w:t>.</w:t>
      </w:r>
      <w:r w:rsidR="000627BF">
        <w:rPr>
          <w:sz w:val="24"/>
          <w:szCs w:val="24"/>
        </w:rPr>
        <w:t xml:space="preserve"> NDIC regularly provides instructor suppo</w:t>
      </w:r>
      <w:r w:rsidR="000449F8">
        <w:rPr>
          <w:sz w:val="24"/>
          <w:szCs w:val="24"/>
        </w:rPr>
        <w:t>rt to the DEA Training Academy for the Basic Intelligenc</w:t>
      </w:r>
      <w:r>
        <w:rPr>
          <w:sz w:val="24"/>
          <w:szCs w:val="24"/>
        </w:rPr>
        <w:t xml:space="preserve">e Research Specialist Training, </w:t>
      </w:r>
      <w:r w:rsidR="000449F8">
        <w:rPr>
          <w:sz w:val="24"/>
          <w:szCs w:val="24"/>
        </w:rPr>
        <w:t xml:space="preserve">Basic Narcotics Seminar, and the Basic Narcotics Investigation School. </w:t>
      </w:r>
      <w:r w:rsidR="006C5960">
        <w:rPr>
          <w:sz w:val="24"/>
          <w:szCs w:val="24"/>
        </w:rPr>
        <w:t>During FY 20</w:t>
      </w:r>
      <w:r w:rsidR="00C544F7">
        <w:rPr>
          <w:sz w:val="24"/>
          <w:szCs w:val="24"/>
        </w:rPr>
        <w:t>10</w:t>
      </w:r>
      <w:r w:rsidR="006C5960">
        <w:rPr>
          <w:sz w:val="24"/>
          <w:szCs w:val="24"/>
        </w:rPr>
        <w:t>, NDIC trained 2,</w:t>
      </w:r>
      <w:r w:rsidR="00C544F7">
        <w:rPr>
          <w:sz w:val="24"/>
          <w:szCs w:val="24"/>
        </w:rPr>
        <w:t>1</w:t>
      </w:r>
      <w:r w:rsidR="006C5960">
        <w:rPr>
          <w:sz w:val="24"/>
          <w:szCs w:val="24"/>
        </w:rPr>
        <w:t xml:space="preserve">29 federal participants, including </w:t>
      </w:r>
      <w:r w:rsidR="00C544F7">
        <w:rPr>
          <w:sz w:val="24"/>
          <w:szCs w:val="24"/>
        </w:rPr>
        <w:t>958</w:t>
      </w:r>
      <w:r w:rsidR="006C5960">
        <w:rPr>
          <w:sz w:val="24"/>
          <w:szCs w:val="24"/>
        </w:rPr>
        <w:t xml:space="preserve"> from DOJ.</w:t>
      </w:r>
    </w:p>
    <w:p w:rsidR="00A465E9" w:rsidRDefault="005267DA" w:rsidP="000449F8">
      <w:pPr>
        <w:rPr>
          <w:iCs/>
        </w:rPr>
      </w:pPr>
      <w:r>
        <w:rPr>
          <w:sz w:val="24"/>
          <w:szCs w:val="24"/>
        </w:rPr>
        <w:t xml:space="preserve">Current </w:t>
      </w:r>
      <w:r w:rsidR="000449F8">
        <w:rPr>
          <w:sz w:val="24"/>
          <w:szCs w:val="24"/>
        </w:rPr>
        <w:t>NDIC training courses include the Multiagency, Communication Analysis, RAID Training, and Strategic Intelligence to various federal, state, local, and tribal law enforcement personnel (including active duty mili</w:t>
      </w:r>
      <w:r w:rsidR="005D0756">
        <w:rPr>
          <w:sz w:val="24"/>
          <w:szCs w:val="24"/>
        </w:rPr>
        <w:t>tary and the USNG</w:t>
      </w:r>
      <w:r w:rsidR="000449F8">
        <w:rPr>
          <w:sz w:val="24"/>
          <w:szCs w:val="24"/>
        </w:rPr>
        <w:t>).</w:t>
      </w:r>
      <w:r w:rsidR="000449F8" w:rsidRPr="00227086">
        <w:rPr>
          <w:iCs/>
        </w:rPr>
        <w:t xml:space="preserve"> </w:t>
      </w:r>
    </w:p>
    <w:p w:rsidR="00A465E9" w:rsidRDefault="00A465E9" w:rsidP="007313A5">
      <w:r>
        <w:br w:type="page"/>
      </w:r>
    </w:p>
    <w:p w:rsidR="0032402C" w:rsidRPr="00216743" w:rsidRDefault="00E4376B" w:rsidP="00640428">
      <w:pPr>
        <w:pStyle w:val="Heading1"/>
        <w:numPr>
          <w:ilvl w:val="0"/>
          <w:numId w:val="17"/>
        </w:numPr>
        <w:spacing w:after="240"/>
        <w:rPr>
          <w:rStyle w:val="SubtleEmphasis"/>
          <w:rFonts w:ascii="Times New Roman" w:hAnsi="Times New Roman"/>
          <w:i w:val="0"/>
          <w:color w:val="auto"/>
          <w:sz w:val="32"/>
        </w:rPr>
      </w:pPr>
      <w:bookmarkStart w:id="2" w:name="_Toc271895825"/>
      <w:r w:rsidRPr="00E4376B">
        <w:rPr>
          <w:rStyle w:val="SubtleEmphasis"/>
          <w:rFonts w:ascii="Times New Roman" w:hAnsi="Times New Roman"/>
          <w:i w:val="0"/>
          <w:color w:val="auto"/>
          <w:sz w:val="32"/>
          <w:szCs w:val="32"/>
        </w:rPr>
        <w:lastRenderedPageBreak/>
        <w:t>Summary of Program Changes</w:t>
      </w:r>
      <w:bookmarkEnd w:id="2"/>
    </w:p>
    <w:tbl>
      <w:tblPr>
        <w:tblStyle w:val="TableGrid"/>
        <w:tblW w:w="0" w:type="auto"/>
        <w:tblLook w:val="04A0" w:firstRow="1" w:lastRow="0" w:firstColumn="1" w:lastColumn="0" w:noHBand="0" w:noVBand="1"/>
      </w:tblPr>
      <w:tblGrid>
        <w:gridCol w:w="1799"/>
        <w:gridCol w:w="4307"/>
        <w:gridCol w:w="636"/>
        <w:gridCol w:w="715"/>
        <w:gridCol w:w="1036"/>
        <w:gridCol w:w="1083"/>
      </w:tblGrid>
      <w:tr w:rsidR="00E075F0" w:rsidTr="00216743">
        <w:trPr>
          <w:tblHeader/>
        </w:trPr>
        <w:tc>
          <w:tcPr>
            <w:tcW w:w="1799" w:type="dxa"/>
            <w:vMerge w:val="restart"/>
            <w:shd w:val="pct15" w:color="auto" w:fill="auto"/>
            <w:vAlign w:val="center"/>
          </w:tcPr>
          <w:p w:rsidR="00E075F0" w:rsidRPr="00E075F0" w:rsidRDefault="00E075F0" w:rsidP="00E075F0">
            <w:pPr>
              <w:spacing w:line="240" w:lineRule="auto"/>
              <w:jc w:val="center"/>
              <w:rPr>
                <w:b/>
                <w:sz w:val="24"/>
                <w:szCs w:val="24"/>
              </w:rPr>
            </w:pPr>
            <w:r w:rsidRPr="00E075F0">
              <w:rPr>
                <w:b/>
                <w:sz w:val="24"/>
                <w:szCs w:val="24"/>
              </w:rPr>
              <w:t>Item Name</w:t>
            </w:r>
          </w:p>
        </w:tc>
        <w:tc>
          <w:tcPr>
            <w:tcW w:w="6694" w:type="dxa"/>
            <w:gridSpan w:val="4"/>
            <w:tcBorders>
              <w:bottom w:val="single" w:sz="4" w:space="0" w:color="000000"/>
            </w:tcBorders>
            <w:shd w:val="pct15" w:color="auto" w:fill="auto"/>
            <w:vAlign w:val="bottom"/>
          </w:tcPr>
          <w:p w:rsidR="00E075F0" w:rsidRPr="00E075F0" w:rsidRDefault="00E075F0" w:rsidP="00E075F0">
            <w:pPr>
              <w:spacing w:before="240" w:after="0" w:line="240" w:lineRule="auto"/>
              <w:jc w:val="center"/>
              <w:rPr>
                <w:b/>
                <w:sz w:val="24"/>
                <w:szCs w:val="24"/>
              </w:rPr>
            </w:pPr>
            <w:r w:rsidRPr="00E075F0">
              <w:rPr>
                <w:b/>
                <w:sz w:val="24"/>
                <w:szCs w:val="24"/>
              </w:rPr>
              <w:t>Description</w:t>
            </w:r>
          </w:p>
        </w:tc>
        <w:tc>
          <w:tcPr>
            <w:tcW w:w="1083" w:type="dxa"/>
            <w:vMerge w:val="restart"/>
            <w:shd w:val="pct15" w:color="auto" w:fill="auto"/>
            <w:vAlign w:val="center"/>
          </w:tcPr>
          <w:p w:rsidR="00E075F0" w:rsidRPr="00E075F0" w:rsidRDefault="00E075F0" w:rsidP="008D1F00">
            <w:pPr>
              <w:spacing w:line="240" w:lineRule="auto"/>
              <w:jc w:val="center"/>
              <w:rPr>
                <w:b/>
                <w:sz w:val="24"/>
                <w:szCs w:val="24"/>
              </w:rPr>
            </w:pPr>
            <w:r w:rsidRPr="00E075F0">
              <w:rPr>
                <w:b/>
                <w:sz w:val="24"/>
                <w:szCs w:val="24"/>
              </w:rPr>
              <w:t>Page</w:t>
            </w:r>
          </w:p>
        </w:tc>
      </w:tr>
      <w:tr w:rsidR="00E075F0" w:rsidTr="00216743">
        <w:trPr>
          <w:tblHeader/>
        </w:trPr>
        <w:tc>
          <w:tcPr>
            <w:tcW w:w="1799" w:type="dxa"/>
            <w:vMerge/>
          </w:tcPr>
          <w:p w:rsidR="00E075F0" w:rsidRDefault="00E075F0" w:rsidP="00E075F0">
            <w:pPr>
              <w:spacing w:after="0"/>
              <w:rPr>
                <w:sz w:val="24"/>
                <w:szCs w:val="24"/>
              </w:rPr>
            </w:pPr>
          </w:p>
        </w:tc>
        <w:tc>
          <w:tcPr>
            <w:tcW w:w="4307" w:type="dxa"/>
            <w:shd w:val="pct5" w:color="auto" w:fill="auto"/>
          </w:tcPr>
          <w:p w:rsidR="00E075F0" w:rsidRDefault="00E075F0" w:rsidP="00E075F0">
            <w:pPr>
              <w:spacing w:after="0" w:line="240" w:lineRule="auto"/>
              <w:rPr>
                <w:sz w:val="24"/>
                <w:szCs w:val="24"/>
              </w:rPr>
            </w:pPr>
          </w:p>
        </w:tc>
        <w:tc>
          <w:tcPr>
            <w:tcW w:w="636" w:type="dxa"/>
            <w:shd w:val="pct5" w:color="auto" w:fill="auto"/>
            <w:vAlign w:val="bottom"/>
          </w:tcPr>
          <w:p w:rsidR="00E075F0" w:rsidRPr="00E075F0" w:rsidRDefault="00E075F0" w:rsidP="00E075F0">
            <w:pPr>
              <w:spacing w:after="0" w:line="240" w:lineRule="auto"/>
              <w:jc w:val="center"/>
              <w:rPr>
                <w:b/>
                <w:sz w:val="24"/>
                <w:szCs w:val="24"/>
              </w:rPr>
            </w:pPr>
            <w:r>
              <w:rPr>
                <w:b/>
                <w:sz w:val="24"/>
                <w:szCs w:val="24"/>
              </w:rPr>
              <w:t>Pos.</w:t>
            </w:r>
          </w:p>
        </w:tc>
        <w:tc>
          <w:tcPr>
            <w:tcW w:w="715" w:type="dxa"/>
            <w:shd w:val="pct5" w:color="auto" w:fill="auto"/>
            <w:vAlign w:val="bottom"/>
          </w:tcPr>
          <w:p w:rsidR="00E075F0" w:rsidRPr="00E075F0" w:rsidRDefault="00E075F0" w:rsidP="00E075F0">
            <w:pPr>
              <w:spacing w:after="0" w:line="240" w:lineRule="auto"/>
              <w:jc w:val="center"/>
              <w:rPr>
                <w:b/>
                <w:sz w:val="24"/>
                <w:szCs w:val="24"/>
              </w:rPr>
            </w:pPr>
            <w:r>
              <w:rPr>
                <w:b/>
                <w:sz w:val="24"/>
                <w:szCs w:val="24"/>
              </w:rPr>
              <w:t>FTE</w:t>
            </w:r>
          </w:p>
        </w:tc>
        <w:tc>
          <w:tcPr>
            <w:tcW w:w="1036" w:type="dxa"/>
            <w:shd w:val="pct5" w:color="auto" w:fill="auto"/>
            <w:vAlign w:val="bottom"/>
          </w:tcPr>
          <w:p w:rsidR="00E075F0" w:rsidRPr="00E075F0" w:rsidRDefault="00E075F0" w:rsidP="00E075F0">
            <w:pPr>
              <w:spacing w:after="0" w:line="240" w:lineRule="auto"/>
              <w:jc w:val="center"/>
              <w:rPr>
                <w:b/>
                <w:sz w:val="24"/>
                <w:szCs w:val="24"/>
              </w:rPr>
            </w:pPr>
            <w:r w:rsidRPr="00E075F0">
              <w:rPr>
                <w:b/>
                <w:sz w:val="24"/>
                <w:szCs w:val="24"/>
              </w:rPr>
              <w:t>Dollars ($000)</w:t>
            </w:r>
          </w:p>
        </w:tc>
        <w:tc>
          <w:tcPr>
            <w:tcW w:w="1083" w:type="dxa"/>
            <w:vMerge/>
            <w:tcBorders>
              <w:bottom w:val="single" w:sz="4" w:space="0" w:color="000000"/>
            </w:tcBorders>
          </w:tcPr>
          <w:p w:rsidR="00E075F0" w:rsidRDefault="00E075F0" w:rsidP="008D1F00">
            <w:pPr>
              <w:spacing w:after="0"/>
              <w:jc w:val="center"/>
              <w:rPr>
                <w:sz w:val="24"/>
                <w:szCs w:val="24"/>
              </w:rPr>
            </w:pPr>
          </w:p>
        </w:tc>
      </w:tr>
      <w:tr w:rsidR="00E075F0" w:rsidTr="005267DA">
        <w:tc>
          <w:tcPr>
            <w:tcW w:w="1799" w:type="dxa"/>
          </w:tcPr>
          <w:p w:rsidR="00E075F0" w:rsidRDefault="00640428" w:rsidP="00FF5170">
            <w:pPr>
              <w:spacing w:after="0" w:line="240" w:lineRule="auto"/>
              <w:rPr>
                <w:sz w:val="24"/>
                <w:szCs w:val="24"/>
              </w:rPr>
            </w:pPr>
            <w:r>
              <w:rPr>
                <w:sz w:val="24"/>
                <w:szCs w:val="24"/>
              </w:rPr>
              <w:t>Administration and Management</w:t>
            </w:r>
          </w:p>
        </w:tc>
        <w:tc>
          <w:tcPr>
            <w:tcW w:w="4307" w:type="dxa"/>
          </w:tcPr>
          <w:p w:rsidR="00E075F0" w:rsidRDefault="00640428" w:rsidP="006C5960">
            <w:pPr>
              <w:spacing w:after="0" w:line="240" w:lineRule="auto"/>
              <w:rPr>
                <w:sz w:val="24"/>
                <w:szCs w:val="24"/>
              </w:rPr>
            </w:pPr>
            <w:r>
              <w:rPr>
                <w:sz w:val="24"/>
                <w:szCs w:val="24"/>
              </w:rPr>
              <w:t>Curtail administrative and overhead costs, including travel, vehicles and IT services.</w:t>
            </w:r>
          </w:p>
        </w:tc>
        <w:tc>
          <w:tcPr>
            <w:tcW w:w="636" w:type="dxa"/>
          </w:tcPr>
          <w:p w:rsidR="00E075F0" w:rsidRDefault="00E075F0" w:rsidP="00FF5170">
            <w:pPr>
              <w:spacing w:after="0" w:line="240" w:lineRule="auto"/>
              <w:rPr>
                <w:sz w:val="24"/>
                <w:szCs w:val="24"/>
              </w:rPr>
            </w:pPr>
          </w:p>
        </w:tc>
        <w:tc>
          <w:tcPr>
            <w:tcW w:w="715" w:type="dxa"/>
          </w:tcPr>
          <w:p w:rsidR="00E075F0" w:rsidRDefault="00E075F0" w:rsidP="00FF5170">
            <w:pPr>
              <w:spacing w:after="0" w:line="240" w:lineRule="auto"/>
              <w:rPr>
                <w:sz w:val="24"/>
                <w:szCs w:val="24"/>
              </w:rPr>
            </w:pPr>
          </w:p>
        </w:tc>
        <w:tc>
          <w:tcPr>
            <w:tcW w:w="1036" w:type="dxa"/>
          </w:tcPr>
          <w:p w:rsidR="00E075F0" w:rsidRDefault="00FF5170" w:rsidP="00640428">
            <w:pPr>
              <w:spacing w:after="0" w:line="240" w:lineRule="auto"/>
              <w:jc w:val="right"/>
              <w:rPr>
                <w:sz w:val="24"/>
                <w:szCs w:val="24"/>
              </w:rPr>
            </w:pPr>
            <w:r>
              <w:rPr>
                <w:sz w:val="24"/>
                <w:szCs w:val="24"/>
              </w:rPr>
              <w:t>($</w:t>
            </w:r>
            <w:r w:rsidR="00640428">
              <w:rPr>
                <w:sz w:val="24"/>
                <w:szCs w:val="24"/>
              </w:rPr>
              <w:t>8,008</w:t>
            </w:r>
            <w:r>
              <w:rPr>
                <w:sz w:val="24"/>
                <w:szCs w:val="24"/>
              </w:rPr>
              <w:t>)</w:t>
            </w:r>
          </w:p>
        </w:tc>
        <w:tc>
          <w:tcPr>
            <w:tcW w:w="1083" w:type="dxa"/>
            <w:shd w:val="clear" w:color="auto" w:fill="auto"/>
          </w:tcPr>
          <w:p w:rsidR="00E075F0" w:rsidRDefault="007313A5" w:rsidP="008D1F00">
            <w:pPr>
              <w:spacing w:after="0" w:line="240" w:lineRule="auto"/>
              <w:jc w:val="center"/>
              <w:rPr>
                <w:sz w:val="24"/>
                <w:szCs w:val="24"/>
              </w:rPr>
            </w:pPr>
            <w:r>
              <w:rPr>
                <w:sz w:val="24"/>
                <w:szCs w:val="24"/>
              </w:rPr>
              <w:t>19</w:t>
            </w:r>
          </w:p>
        </w:tc>
      </w:tr>
      <w:tr w:rsidR="00E075F0" w:rsidTr="005267DA">
        <w:tc>
          <w:tcPr>
            <w:tcW w:w="1799" w:type="dxa"/>
          </w:tcPr>
          <w:p w:rsidR="00E075F0" w:rsidRDefault="00640428" w:rsidP="00FF5170">
            <w:pPr>
              <w:spacing w:after="0" w:line="240" w:lineRule="auto"/>
              <w:rPr>
                <w:sz w:val="24"/>
                <w:szCs w:val="24"/>
              </w:rPr>
            </w:pPr>
            <w:r>
              <w:rPr>
                <w:sz w:val="24"/>
                <w:szCs w:val="24"/>
              </w:rPr>
              <w:t>Intelligence Collection and Analysis</w:t>
            </w:r>
          </w:p>
        </w:tc>
        <w:tc>
          <w:tcPr>
            <w:tcW w:w="4307" w:type="dxa"/>
          </w:tcPr>
          <w:p w:rsidR="00E075F0" w:rsidRDefault="00640428" w:rsidP="006C5960">
            <w:pPr>
              <w:spacing w:after="0" w:line="240" w:lineRule="auto"/>
              <w:rPr>
                <w:sz w:val="24"/>
                <w:szCs w:val="24"/>
              </w:rPr>
            </w:pPr>
            <w:r>
              <w:rPr>
                <w:sz w:val="24"/>
                <w:szCs w:val="24"/>
              </w:rPr>
              <w:t>Eliminates non-critical intelligence and analysis expenses and focuses NDIC on key reporting needs.</w:t>
            </w:r>
          </w:p>
        </w:tc>
        <w:tc>
          <w:tcPr>
            <w:tcW w:w="636" w:type="dxa"/>
          </w:tcPr>
          <w:p w:rsidR="00E075F0" w:rsidRDefault="00E075F0" w:rsidP="00E075F0">
            <w:pPr>
              <w:spacing w:line="240" w:lineRule="auto"/>
              <w:rPr>
                <w:sz w:val="24"/>
                <w:szCs w:val="24"/>
              </w:rPr>
            </w:pPr>
          </w:p>
        </w:tc>
        <w:tc>
          <w:tcPr>
            <w:tcW w:w="715" w:type="dxa"/>
          </w:tcPr>
          <w:p w:rsidR="00E075F0" w:rsidRDefault="00E075F0" w:rsidP="00E075F0">
            <w:pPr>
              <w:spacing w:line="240" w:lineRule="auto"/>
              <w:rPr>
                <w:sz w:val="24"/>
                <w:szCs w:val="24"/>
              </w:rPr>
            </w:pPr>
          </w:p>
        </w:tc>
        <w:tc>
          <w:tcPr>
            <w:tcW w:w="1036" w:type="dxa"/>
          </w:tcPr>
          <w:p w:rsidR="00E075F0" w:rsidRDefault="00FF5170" w:rsidP="00640428">
            <w:pPr>
              <w:spacing w:line="240" w:lineRule="auto"/>
              <w:jc w:val="right"/>
              <w:rPr>
                <w:sz w:val="24"/>
                <w:szCs w:val="24"/>
              </w:rPr>
            </w:pPr>
            <w:r>
              <w:rPr>
                <w:sz w:val="24"/>
                <w:szCs w:val="24"/>
              </w:rPr>
              <w:t>($</w:t>
            </w:r>
            <w:r w:rsidR="00640428">
              <w:rPr>
                <w:sz w:val="24"/>
                <w:szCs w:val="24"/>
              </w:rPr>
              <w:t>5,938</w:t>
            </w:r>
            <w:r>
              <w:rPr>
                <w:sz w:val="24"/>
                <w:szCs w:val="24"/>
              </w:rPr>
              <w:t>)</w:t>
            </w:r>
          </w:p>
        </w:tc>
        <w:tc>
          <w:tcPr>
            <w:tcW w:w="1083" w:type="dxa"/>
            <w:shd w:val="clear" w:color="auto" w:fill="auto"/>
          </w:tcPr>
          <w:p w:rsidR="00E075F0" w:rsidRDefault="007313A5" w:rsidP="008D1F00">
            <w:pPr>
              <w:spacing w:line="240" w:lineRule="auto"/>
              <w:jc w:val="center"/>
              <w:rPr>
                <w:sz w:val="24"/>
                <w:szCs w:val="24"/>
              </w:rPr>
            </w:pPr>
            <w:r>
              <w:rPr>
                <w:sz w:val="24"/>
                <w:szCs w:val="24"/>
              </w:rPr>
              <w:t>19</w:t>
            </w:r>
          </w:p>
        </w:tc>
      </w:tr>
      <w:tr w:rsidR="00FF5170" w:rsidTr="005267DA">
        <w:tc>
          <w:tcPr>
            <w:tcW w:w="1799" w:type="dxa"/>
          </w:tcPr>
          <w:p w:rsidR="00FF5170" w:rsidRDefault="00640428" w:rsidP="006C5960">
            <w:pPr>
              <w:spacing w:after="0" w:line="240" w:lineRule="auto"/>
              <w:rPr>
                <w:sz w:val="24"/>
                <w:szCs w:val="24"/>
              </w:rPr>
            </w:pPr>
            <w:r>
              <w:rPr>
                <w:sz w:val="24"/>
                <w:szCs w:val="24"/>
              </w:rPr>
              <w:t>Staffing</w:t>
            </w:r>
          </w:p>
        </w:tc>
        <w:tc>
          <w:tcPr>
            <w:tcW w:w="4307" w:type="dxa"/>
          </w:tcPr>
          <w:p w:rsidR="00FF5170" w:rsidRDefault="00640428" w:rsidP="006C5960">
            <w:pPr>
              <w:spacing w:line="240" w:lineRule="auto"/>
              <w:rPr>
                <w:sz w:val="24"/>
                <w:szCs w:val="24"/>
              </w:rPr>
            </w:pPr>
            <w:r>
              <w:rPr>
                <w:sz w:val="24"/>
                <w:szCs w:val="24"/>
              </w:rPr>
              <w:t>Reduces onboard staffing, reimbursable positions, and staffing related costs.</w:t>
            </w:r>
          </w:p>
        </w:tc>
        <w:tc>
          <w:tcPr>
            <w:tcW w:w="636" w:type="dxa"/>
          </w:tcPr>
          <w:p w:rsidR="00FF5170" w:rsidRDefault="00640428" w:rsidP="00E075F0">
            <w:pPr>
              <w:spacing w:line="240" w:lineRule="auto"/>
              <w:rPr>
                <w:sz w:val="24"/>
                <w:szCs w:val="24"/>
              </w:rPr>
            </w:pPr>
            <w:r>
              <w:rPr>
                <w:sz w:val="24"/>
                <w:szCs w:val="24"/>
              </w:rPr>
              <w:t>(19)</w:t>
            </w:r>
          </w:p>
        </w:tc>
        <w:tc>
          <w:tcPr>
            <w:tcW w:w="715" w:type="dxa"/>
          </w:tcPr>
          <w:p w:rsidR="00FF5170" w:rsidRDefault="00640428" w:rsidP="00E075F0">
            <w:pPr>
              <w:spacing w:line="240" w:lineRule="auto"/>
              <w:rPr>
                <w:sz w:val="24"/>
                <w:szCs w:val="24"/>
              </w:rPr>
            </w:pPr>
            <w:r>
              <w:rPr>
                <w:sz w:val="24"/>
                <w:szCs w:val="24"/>
              </w:rPr>
              <w:t>(19)</w:t>
            </w:r>
          </w:p>
        </w:tc>
        <w:tc>
          <w:tcPr>
            <w:tcW w:w="1036" w:type="dxa"/>
          </w:tcPr>
          <w:p w:rsidR="00FF5170" w:rsidRDefault="00FF5170" w:rsidP="00640428">
            <w:pPr>
              <w:spacing w:line="240" w:lineRule="auto"/>
              <w:jc w:val="right"/>
              <w:rPr>
                <w:sz w:val="24"/>
                <w:szCs w:val="24"/>
              </w:rPr>
            </w:pPr>
            <w:r>
              <w:rPr>
                <w:sz w:val="24"/>
                <w:szCs w:val="24"/>
              </w:rPr>
              <w:t>($</w:t>
            </w:r>
            <w:r w:rsidR="00640428">
              <w:rPr>
                <w:sz w:val="24"/>
                <w:szCs w:val="24"/>
              </w:rPr>
              <w:t>5,257</w:t>
            </w:r>
            <w:r>
              <w:rPr>
                <w:sz w:val="24"/>
                <w:szCs w:val="24"/>
              </w:rPr>
              <w:t>)</w:t>
            </w:r>
          </w:p>
        </w:tc>
        <w:tc>
          <w:tcPr>
            <w:tcW w:w="1083" w:type="dxa"/>
            <w:shd w:val="clear" w:color="auto" w:fill="auto"/>
          </w:tcPr>
          <w:p w:rsidR="00FF5170" w:rsidRDefault="007313A5" w:rsidP="007313A5">
            <w:pPr>
              <w:spacing w:line="240" w:lineRule="auto"/>
              <w:jc w:val="center"/>
              <w:rPr>
                <w:sz w:val="24"/>
                <w:szCs w:val="24"/>
              </w:rPr>
            </w:pPr>
            <w:r>
              <w:rPr>
                <w:sz w:val="24"/>
                <w:szCs w:val="24"/>
              </w:rPr>
              <w:t>19</w:t>
            </w:r>
          </w:p>
        </w:tc>
      </w:tr>
      <w:tr w:rsidR="00DE0CDB" w:rsidTr="005267DA">
        <w:tc>
          <w:tcPr>
            <w:tcW w:w="1799" w:type="dxa"/>
          </w:tcPr>
          <w:p w:rsidR="00DE0CDB" w:rsidRDefault="00DE0CDB" w:rsidP="00DE0CDB">
            <w:pPr>
              <w:spacing w:after="0" w:line="240" w:lineRule="auto"/>
              <w:rPr>
                <w:sz w:val="24"/>
                <w:szCs w:val="24"/>
              </w:rPr>
            </w:pPr>
            <w:r>
              <w:rPr>
                <w:sz w:val="24"/>
                <w:szCs w:val="24"/>
              </w:rPr>
              <w:t>Administrative Efficiencies</w:t>
            </w:r>
          </w:p>
        </w:tc>
        <w:tc>
          <w:tcPr>
            <w:tcW w:w="4307" w:type="dxa"/>
          </w:tcPr>
          <w:p w:rsidR="00DE0CDB" w:rsidRPr="00DE0CDB" w:rsidRDefault="00873175" w:rsidP="00873175">
            <w:pPr>
              <w:widowControl w:val="0"/>
              <w:spacing w:after="0"/>
              <w:rPr>
                <w:sz w:val="24"/>
                <w:szCs w:val="24"/>
              </w:rPr>
            </w:pPr>
            <w:r>
              <w:rPr>
                <w:sz w:val="24"/>
                <w:szCs w:val="24"/>
              </w:rPr>
              <w:t>NDIC’s share of Department-wide initiative to reduce</w:t>
            </w:r>
            <w:r w:rsidR="00DE0CDB" w:rsidRPr="00DE0CDB">
              <w:rPr>
                <w:bCs/>
                <w:sz w:val="24"/>
                <w:szCs w:val="24"/>
              </w:rPr>
              <w:t xml:space="preserve"> printing, publications, travel, conferences, supplies, and general equipment</w:t>
            </w:r>
            <w:r>
              <w:rPr>
                <w:bCs/>
                <w:sz w:val="24"/>
                <w:szCs w:val="24"/>
              </w:rPr>
              <w:t xml:space="preserve"> costs</w:t>
            </w:r>
            <w:r w:rsidR="00DE0CDB" w:rsidRPr="00DE0CDB">
              <w:rPr>
                <w:sz w:val="24"/>
                <w:szCs w:val="24"/>
              </w:rPr>
              <w:t>.</w:t>
            </w:r>
          </w:p>
        </w:tc>
        <w:tc>
          <w:tcPr>
            <w:tcW w:w="636" w:type="dxa"/>
          </w:tcPr>
          <w:p w:rsidR="00DE0CDB" w:rsidRDefault="00DE0CDB" w:rsidP="00DE0CDB">
            <w:pPr>
              <w:spacing w:after="0" w:line="240" w:lineRule="auto"/>
              <w:rPr>
                <w:sz w:val="24"/>
                <w:szCs w:val="24"/>
              </w:rPr>
            </w:pPr>
          </w:p>
        </w:tc>
        <w:tc>
          <w:tcPr>
            <w:tcW w:w="715" w:type="dxa"/>
          </w:tcPr>
          <w:p w:rsidR="00DE0CDB" w:rsidRDefault="00DE0CDB" w:rsidP="00DE0CDB">
            <w:pPr>
              <w:spacing w:after="0" w:line="240" w:lineRule="auto"/>
              <w:rPr>
                <w:sz w:val="24"/>
                <w:szCs w:val="24"/>
              </w:rPr>
            </w:pPr>
          </w:p>
        </w:tc>
        <w:tc>
          <w:tcPr>
            <w:tcW w:w="1036" w:type="dxa"/>
          </w:tcPr>
          <w:p w:rsidR="00DE0CDB" w:rsidRDefault="00DE0CDB" w:rsidP="00DE0CDB">
            <w:pPr>
              <w:spacing w:after="0" w:line="240" w:lineRule="auto"/>
              <w:jc w:val="right"/>
              <w:rPr>
                <w:sz w:val="24"/>
                <w:szCs w:val="24"/>
              </w:rPr>
            </w:pPr>
            <w:r>
              <w:rPr>
                <w:sz w:val="24"/>
                <w:szCs w:val="24"/>
              </w:rPr>
              <w:t>($37)</w:t>
            </w:r>
          </w:p>
        </w:tc>
        <w:tc>
          <w:tcPr>
            <w:tcW w:w="1083" w:type="dxa"/>
            <w:shd w:val="clear" w:color="auto" w:fill="auto"/>
          </w:tcPr>
          <w:p w:rsidR="00DE0CDB" w:rsidRPr="00F368F0" w:rsidRDefault="007313A5" w:rsidP="007313A5">
            <w:pPr>
              <w:spacing w:after="0" w:line="240" w:lineRule="auto"/>
              <w:jc w:val="center"/>
              <w:rPr>
                <w:sz w:val="24"/>
                <w:szCs w:val="24"/>
              </w:rPr>
            </w:pPr>
            <w:r>
              <w:rPr>
                <w:sz w:val="24"/>
                <w:szCs w:val="24"/>
              </w:rPr>
              <w:t>20</w:t>
            </w:r>
          </w:p>
        </w:tc>
      </w:tr>
      <w:tr w:rsidR="00DE0CDB" w:rsidTr="005267DA">
        <w:tc>
          <w:tcPr>
            <w:tcW w:w="1799" w:type="dxa"/>
          </w:tcPr>
          <w:p w:rsidR="00DE0CDB" w:rsidRDefault="00DE0CDB" w:rsidP="00DE0CDB">
            <w:pPr>
              <w:spacing w:after="0" w:line="240" w:lineRule="auto"/>
              <w:rPr>
                <w:sz w:val="24"/>
                <w:szCs w:val="24"/>
              </w:rPr>
            </w:pPr>
            <w:r>
              <w:rPr>
                <w:sz w:val="24"/>
                <w:szCs w:val="24"/>
              </w:rPr>
              <w:t>Technology Refresh</w:t>
            </w:r>
          </w:p>
        </w:tc>
        <w:tc>
          <w:tcPr>
            <w:tcW w:w="4307" w:type="dxa"/>
          </w:tcPr>
          <w:p w:rsidR="00DE0CDB" w:rsidRDefault="00DE0CDB" w:rsidP="00873175">
            <w:pPr>
              <w:widowControl w:val="0"/>
              <w:spacing w:after="0"/>
              <w:rPr>
                <w:sz w:val="24"/>
                <w:szCs w:val="24"/>
              </w:rPr>
            </w:pPr>
            <w:r>
              <w:rPr>
                <w:sz w:val="24"/>
                <w:szCs w:val="24"/>
              </w:rPr>
              <w:t>R</w:t>
            </w:r>
            <w:r w:rsidRPr="00DE0CDB">
              <w:rPr>
                <w:sz w:val="24"/>
                <w:szCs w:val="24"/>
              </w:rPr>
              <w:t>eplac</w:t>
            </w:r>
            <w:r w:rsidR="00364430">
              <w:rPr>
                <w:sz w:val="24"/>
                <w:szCs w:val="24"/>
              </w:rPr>
              <w:t>e</w:t>
            </w:r>
            <w:r w:rsidRPr="00DE0CDB">
              <w:rPr>
                <w:sz w:val="24"/>
                <w:szCs w:val="24"/>
              </w:rPr>
              <w:t xml:space="preserve"> desktops and laptops used primarily for basic office automation applications (e.g., spreadsheets and word processing) </w:t>
            </w:r>
            <w:r>
              <w:rPr>
                <w:sz w:val="24"/>
                <w:szCs w:val="24"/>
              </w:rPr>
              <w:t xml:space="preserve">at </w:t>
            </w:r>
            <w:r w:rsidRPr="00DE0CDB">
              <w:rPr>
                <w:sz w:val="24"/>
                <w:szCs w:val="24"/>
              </w:rPr>
              <w:t>a slower rate</w:t>
            </w:r>
            <w:r>
              <w:rPr>
                <w:sz w:val="24"/>
                <w:szCs w:val="24"/>
              </w:rPr>
              <w:t>.</w:t>
            </w:r>
          </w:p>
        </w:tc>
        <w:tc>
          <w:tcPr>
            <w:tcW w:w="636" w:type="dxa"/>
          </w:tcPr>
          <w:p w:rsidR="00DE0CDB" w:rsidRDefault="00DE0CDB" w:rsidP="00E075F0">
            <w:pPr>
              <w:spacing w:line="240" w:lineRule="auto"/>
              <w:rPr>
                <w:sz w:val="24"/>
                <w:szCs w:val="24"/>
              </w:rPr>
            </w:pPr>
          </w:p>
        </w:tc>
        <w:tc>
          <w:tcPr>
            <w:tcW w:w="715" w:type="dxa"/>
          </w:tcPr>
          <w:p w:rsidR="00DE0CDB" w:rsidRDefault="00DE0CDB" w:rsidP="00E075F0">
            <w:pPr>
              <w:spacing w:line="240" w:lineRule="auto"/>
              <w:rPr>
                <w:sz w:val="24"/>
                <w:szCs w:val="24"/>
              </w:rPr>
            </w:pPr>
          </w:p>
        </w:tc>
        <w:tc>
          <w:tcPr>
            <w:tcW w:w="1036" w:type="dxa"/>
          </w:tcPr>
          <w:p w:rsidR="00DE0CDB" w:rsidRDefault="00DE0CDB" w:rsidP="00FF5170">
            <w:pPr>
              <w:spacing w:line="240" w:lineRule="auto"/>
              <w:jc w:val="right"/>
              <w:rPr>
                <w:sz w:val="24"/>
                <w:szCs w:val="24"/>
              </w:rPr>
            </w:pPr>
            <w:r>
              <w:rPr>
                <w:sz w:val="24"/>
                <w:szCs w:val="24"/>
              </w:rPr>
              <w:t>($44)</w:t>
            </w:r>
          </w:p>
        </w:tc>
        <w:tc>
          <w:tcPr>
            <w:tcW w:w="1083" w:type="dxa"/>
            <w:shd w:val="clear" w:color="auto" w:fill="auto"/>
          </w:tcPr>
          <w:p w:rsidR="00DE0CDB" w:rsidRPr="00F368F0" w:rsidRDefault="007313A5" w:rsidP="007313A5">
            <w:pPr>
              <w:spacing w:line="240" w:lineRule="auto"/>
              <w:jc w:val="center"/>
              <w:rPr>
                <w:sz w:val="24"/>
                <w:szCs w:val="24"/>
              </w:rPr>
            </w:pPr>
            <w:r>
              <w:rPr>
                <w:sz w:val="24"/>
                <w:szCs w:val="24"/>
              </w:rPr>
              <w:t>20</w:t>
            </w:r>
          </w:p>
        </w:tc>
      </w:tr>
    </w:tbl>
    <w:p w:rsidR="00873175" w:rsidRDefault="00873175" w:rsidP="000E31ED">
      <w:pPr>
        <w:rPr>
          <w:sz w:val="24"/>
          <w:szCs w:val="24"/>
        </w:rPr>
      </w:pPr>
    </w:p>
    <w:p w:rsidR="00873175" w:rsidRDefault="00873175">
      <w:pPr>
        <w:spacing w:after="0" w:line="240" w:lineRule="auto"/>
        <w:rPr>
          <w:sz w:val="24"/>
          <w:szCs w:val="24"/>
        </w:rPr>
      </w:pPr>
      <w:r>
        <w:rPr>
          <w:sz w:val="24"/>
          <w:szCs w:val="24"/>
        </w:rPr>
        <w:br w:type="page"/>
      </w:r>
    </w:p>
    <w:p w:rsidR="00797D14" w:rsidRPr="00216743" w:rsidRDefault="00797D14" w:rsidP="00FE7E7C">
      <w:pPr>
        <w:pStyle w:val="Heading1"/>
        <w:numPr>
          <w:ilvl w:val="0"/>
          <w:numId w:val="17"/>
        </w:numPr>
        <w:spacing w:after="240"/>
        <w:rPr>
          <w:rStyle w:val="SubtleEmphasis"/>
          <w:rFonts w:ascii="Times New Roman" w:hAnsi="Times New Roman"/>
          <w:i w:val="0"/>
          <w:color w:val="auto"/>
          <w:sz w:val="32"/>
        </w:rPr>
      </w:pPr>
      <w:bookmarkStart w:id="3" w:name="_Toc271895826"/>
      <w:r w:rsidRPr="00E4376B">
        <w:rPr>
          <w:rStyle w:val="SubtleEmphasis"/>
          <w:rFonts w:ascii="Times New Roman" w:hAnsi="Times New Roman"/>
          <w:i w:val="0"/>
          <w:color w:val="auto"/>
          <w:sz w:val="32"/>
          <w:szCs w:val="32"/>
        </w:rPr>
        <w:lastRenderedPageBreak/>
        <w:t>Program Changes</w:t>
      </w:r>
      <w:r>
        <w:rPr>
          <w:rStyle w:val="SubtleEmphasis"/>
          <w:rFonts w:ascii="Times New Roman" w:hAnsi="Times New Roman"/>
          <w:i w:val="0"/>
          <w:color w:val="auto"/>
          <w:sz w:val="32"/>
          <w:szCs w:val="32"/>
        </w:rPr>
        <w:t xml:space="preserve"> by Decision Unit to Strategic Goal</w:t>
      </w:r>
      <w:bookmarkEnd w:id="3"/>
    </w:p>
    <w:tbl>
      <w:tblPr>
        <w:tblStyle w:val="TableGrid"/>
        <w:tblW w:w="0" w:type="auto"/>
        <w:tblLook w:val="04A0" w:firstRow="1" w:lastRow="0" w:firstColumn="1" w:lastColumn="0" w:noHBand="0" w:noVBand="1"/>
      </w:tblPr>
      <w:tblGrid>
        <w:gridCol w:w="1670"/>
        <w:gridCol w:w="1328"/>
        <w:gridCol w:w="1335"/>
        <w:gridCol w:w="1272"/>
        <w:gridCol w:w="1313"/>
        <w:gridCol w:w="1470"/>
        <w:gridCol w:w="1188"/>
      </w:tblGrid>
      <w:tr w:rsidR="00797D14" w:rsidRPr="00797D14" w:rsidTr="00216743">
        <w:trPr>
          <w:tblHeader/>
        </w:trPr>
        <w:tc>
          <w:tcPr>
            <w:tcW w:w="1670" w:type="dxa"/>
            <w:vMerge w:val="restart"/>
            <w:shd w:val="pct15" w:color="auto" w:fill="auto"/>
            <w:vAlign w:val="center"/>
          </w:tcPr>
          <w:p w:rsidR="00797D14" w:rsidRPr="00797D14" w:rsidRDefault="00797D14" w:rsidP="00A60163">
            <w:pPr>
              <w:spacing w:line="240" w:lineRule="auto"/>
              <w:jc w:val="center"/>
              <w:rPr>
                <w:b/>
                <w:sz w:val="24"/>
                <w:szCs w:val="24"/>
              </w:rPr>
            </w:pPr>
            <w:r w:rsidRPr="00797D14">
              <w:rPr>
                <w:b/>
                <w:sz w:val="24"/>
                <w:szCs w:val="24"/>
              </w:rPr>
              <w:t>Item Name</w:t>
            </w:r>
          </w:p>
        </w:tc>
        <w:tc>
          <w:tcPr>
            <w:tcW w:w="1328" w:type="dxa"/>
            <w:vMerge w:val="restart"/>
            <w:shd w:val="pct15" w:color="auto" w:fill="auto"/>
            <w:vAlign w:val="center"/>
          </w:tcPr>
          <w:p w:rsidR="00797D14" w:rsidRPr="00797D14" w:rsidRDefault="00797D14" w:rsidP="00A60163">
            <w:pPr>
              <w:jc w:val="center"/>
              <w:rPr>
                <w:b/>
                <w:sz w:val="24"/>
                <w:szCs w:val="24"/>
              </w:rPr>
            </w:pPr>
            <w:r w:rsidRPr="00797D14">
              <w:rPr>
                <w:b/>
                <w:sz w:val="24"/>
                <w:szCs w:val="24"/>
              </w:rPr>
              <w:t>Decision Unit</w:t>
            </w:r>
          </w:p>
        </w:tc>
        <w:tc>
          <w:tcPr>
            <w:tcW w:w="1335" w:type="dxa"/>
            <w:vMerge w:val="restart"/>
            <w:shd w:val="pct15" w:color="auto" w:fill="auto"/>
            <w:vAlign w:val="center"/>
          </w:tcPr>
          <w:p w:rsidR="00797D14" w:rsidRPr="00797D14" w:rsidRDefault="00797D14" w:rsidP="00A60163">
            <w:pPr>
              <w:jc w:val="center"/>
              <w:rPr>
                <w:b/>
                <w:sz w:val="24"/>
                <w:szCs w:val="24"/>
              </w:rPr>
            </w:pPr>
            <w:r w:rsidRPr="00797D14">
              <w:rPr>
                <w:b/>
                <w:sz w:val="24"/>
                <w:szCs w:val="24"/>
              </w:rPr>
              <w:t>Strategic Goal</w:t>
            </w:r>
          </w:p>
        </w:tc>
        <w:tc>
          <w:tcPr>
            <w:tcW w:w="1272" w:type="dxa"/>
            <w:vMerge w:val="restart"/>
            <w:shd w:val="pct15" w:color="auto" w:fill="auto"/>
            <w:vAlign w:val="center"/>
          </w:tcPr>
          <w:p w:rsidR="00797D14" w:rsidRPr="00797D14" w:rsidRDefault="00797D14" w:rsidP="00A60163">
            <w:pPr>
              <w:jc w:val="center"/>
              <w:rPr>
                <w:b/>
                <w:sz w:val="24"/>
                <w:szCs w:val="24"/>
              </w:rPr>
            </w:pPr>
            <w:r w:rsidRPr="00797D14">
              <w:rPr>
                <w:b/>
                <w:sz w:val="24"/>
                <w:szCs w:val="24"/>
              </w:rPr>
              <w:t>FTE</w:t>
            </w:r>
          </w:p>
        </w:tc>
        <w:tc>
          <w:tcPr>
            <w:tcW w:w="1313" w:type="dxa"/>
            <w:vMerge w:val="restart"/>
            <w:shd w:val="pct15" w:color="auto" w:fill="auto"/>
            <w:vAlign w:val="center"/>
          </w:tcPr>
          <w:p w:rsidR="00797D14" w:rsidRPr="00797D14" w:rsidRDefault="00797D14" w:rsidP="00A60163">
            <w:pPr>
              <w:jc w:val="center"/>
              <w:rPr>
                <w:b/>
                <w:sz w:val="24"/>
                <w:szCs w:val="24"/>
              </w:rPr>
            </w:pPr>
            <w:r w:rsidRPr="00797D14">
              <w:rPr>
                <w:b/>
                <w:sz w:val="24"/>
                <w:szCs w:val="24"/>
              </w:rPr>
              <w:t>Dollars ($000)</w:t>
            </w:r>
          </w:p>
        </w:tc>
        <w:tc>
          <w:tcPr>
            <w:tcW w:w="2658" w:type="dxa"/>
            <w:gridSpan w:val="2"/>
            <w:shd w:val="pct15" w:color="auto" w:fill="auto"/>
            <w:vAlign w:val="center"/>
          </w:tcPr>
          <w:p w:rsidR="00797D14" w:rsidRPr="00797D14" w:rsidRDefault="00797D14" w:rsidP="00A60163">
            <w:pPr>
              <w:spacing w:after="0"/>
              <w:jc w:val="center"/>
              <w:rPr>
                <w:b/>
                <w:sz w:val="24"/>
                <w:szCs w:val="24"/>
              </w:rPr>
            </w:pPr>
            <w:r w:rsidRPr="00797D14">
              <w:rPr>
                <w:b/>
                <w:sz w:val="24"/>
                <w:szCs w:val="24"/>
              </w:rPr>
              <w:t>Number and Type of Positions</w:t>
            </w:r>
          </w:p>
        </w:tc>
      </w:tr>
      <w:tr w:rsidR="00FE7E7C" w:rsidTr="00B2254B">
        <w:trPr>
          <w:tblHeader/>
        </w:trPr>
        <w:tc>
          <w:tcPr>
            <w:tcW w:w="1670" w:type="dxa"/>
            <w:vMerge/>
            <w:shd w:val="pct15" w:color="auto" w:fill="auto"/>
          </w:tcPr>
          <w:p w:rsidR="00797D14" w:rsidRDefault="00797D14" w:rsidP="00A60163">
            <w:pPr>
              <w:spacing w:after="0" w:line="240" w:lineRule="auto"/>
              <w:rPr>
                <w:sz w:val="24"/>
                <w:szCs w:val="24"/>
              </w:rPr>
            </w:pPr>
          </w:p>
        </w:tc>
        <w:tc>
          <w:tcPr>
            <w:tcW w:w="1328" w:type="dxa"/>
            <w:vMerge/>
            <w:shd w:val="pct15" w:color="auto" w:fill="auto"/>
          </w:tcPr>
          <w:p w:rsidR="00797D14" w:rsidRDefault="00797D14" w:rsidP="00A60163">
            <w:pPr>
              <w:spacing w:after="0"/>
              <w:rPr>
                <w:sz w:val="24"/>
                <w:szCs w:val="24"/>
              </w:rPr>
            </w:pPr>
          </w:p>
        </w:tc>
        <w:tc>
          <w:tcPr>
            <w:tcW w:w="1335" w:type="dxa"/>
            <w:vMerge/>
            <w:shd w:val="pct15" w:color="auto" w:fill="auto"/>
          </w:tcPr>
          <w:p w:rsidR="00797D14" w:rsidRDefault="00797D14" w:rsidP="00A60163">
            <w:pPr>
              <w:spacing w:after="0"/>
              <w:rPr>
                <w:sz w:val="24"/>
                <w:szCs w:val="24"/>
              </w:rPr>
            </w:pPr>
          </w:p>
        </w:tc>
        <w:tc>
          <w:tcPr>
            <w:tcW w:w="1272" w:type="dxa"/>
            <w:vMerge/>
            <w:shd w:val="pct15" w:color="auto" w:fill="auto"/>
          </w:tcPr>
          <w:p w:rsidR="00797D14" w:rsidRDefault="00797D14" w:rsidP="00A60163">
            <w:pPr>
              <w:spacing w:after="0"/>
              <w:rPr>
                <w:sz w:val="24"/>
                <w:szCs w:val="24"/>
              </w:rPr>
            </w:pPr>
          </w:p>
        </w:tc>
        <w:tc>
          <w:tcPr>
            <w:tcW w:w="1313" w:type="dxa"/>
            <w:vMerge/>
            <w:shd w:val="pct15" w:color="auto" w:fill="auto"/>
          </w:tcPr>
          <w:p w:rsidR="00797D14" w:rsidRDefault="00797D14" w:rsidP="00A60163">
            <w:pPr>
              <w:spacing w:after="0"/>
              <w:rPr>
                <w:sz w:val="24"/>
                <w:szCs w:val="24"/>
              </w:rPr>
            </w:pPr>
          </w:p>
        </w:tc>
        <w:tc>
          <w:tcPr>
            <w:tcW w:w="1470" w:type="dxa"/>
            <w:tcBorders>
              <w:bottom w:val="single" w:sz="4" w:space="0" w:color="000000"/>
            </w:tcBorders>
            <w:shd w:val="pct15" w:color="auto" w:fill="auto"/>
            <w:vAlign w:val="center"/>
          </w:tcPr>
          <w:p w:rsidR="00797D14" w:rsidRPr="00A60163" w:rsidRDefault="00797D14" w:rsidP="00A60163">
            <w:pPr>
              <w:spacing w:after="0"/>
              <w:jc w:val="center"/>
              <w:rPr>
                <w:b/>
                <w:sz w:val="24"/>
                <w:szCs w:val="24"/>
              </w:rPr>
            </w:pPr>
            <w:r w:rsidRPr="00A60163">
              <w:rPr>
                <w:b/>
                <w:sz w:val="24"/>
                <w:szCs w:val="24"/>
              </w:rPr>
              <w:t>Position Series</w:t>
            </w:r>
          </w:p>
        </w:tc>
        <w:tc>
          <w:tcPr>
            <w:tcW w:w="1188" w:type="dxa"/>
            <w:tcBorders>
              <w:bottom w:val="single" w:sz="4" w:space="0" w:color="000000"/>
            </w:tcBorders>
            <w:shd w:val="pct15" w:color="auto" w:fill="auto"/>
            <w:vAlign w:val="center"/>
          </w:tcPr>
          <w:p w:rsidR="00797D14" w:rsidRPr="00A60163" w:rsidRDefault="00797D14" w:rsidP="00A60163">
            <w:pPr>
              <w:spacing w:after="0"/>
              <w:jc w:val="center"/>
              <w:rPr>
                <w:b/>
                <w:sz w:val="24"/>
                <w:szCs w:val="24"/>
              </w:rPr>
            </w:pPr>
            <w:r w:rsidRPr="00A60163">
              <w:rPr>
                <w:b/>
                <w:sz w:val="24"/>
                <w:szCs w:val="24"/>
              </w:rPr>
              <w:t xml:space="preserve">No. </w:t>
            </w:r>
            <w:r w:rsidR="00A60163" w:rsidRPr="00A60163">
              <w:rPr>
                <w:b/>
                <w:sz w:val="24"/>
                <w:szCs w:val="24"/>
              </w:rPr>
              <w:t>of Positions in Series</w:t>
            </w:r>
          </w:p>
        </w:tc>
      </w:tr>
      <w:tr w:rsidR="00FE7E7C" w:rsidTr="00B2254B">
        <w:tc>
          <w:tcPr>
            <w:tcW w:w="1670" w:type="dxa"/>
            <w:vAlign w:val="center"/>
          </w:tcPr>
          <w:p w:rsidR="00A60163" w:rsidRDefault="00FE7E7C" w:rsidP="000779CD">
            <w:pPr>
              <w:spacing w:after="0" w:line="240" w:lineRule="auto"/>
              <w:rPr>
                <w:sz w:val="24"/>
                <w:szCs w:val="24"/>
              </w:rPr>
            </w:pPr>
            <w:r>
              <w:rPr>
                <w:sz w:val="24"/>
                <w:szCs w:val="24"/>
              </w:rPr>
              <w:t>Administration and Management</w:t>
            </w:r>
          </w:p>
        </w:tc>
        <w:tc>
          <w:tcPr>
            <w:tcW w:w="1328" w:type="dxa"/>
            <w:vAlign w:val="center"/>
          </w:tcPr>
          <w:p w:rsidR="00A60163" w:rsidRDefault="00A60163" w:rsidP="00A60163">
            <w:pPr>
              <w:spacing w:after="0" w:line="240" w:lineRule="auto"/>
              <w:jc w:val="center"/>
              <w:rPr>
                <w:sz w:val="24"/>
                <w:szCs w:val="24"/>
              </w:rPr>
            </w:pPr>
            <w:r>
              <w:rPr>
                <w:sz w:val="24"/>
                <w:szCs w:val="24"/>
              </w:rPr>
              <w:t>NDIC</w:t>
            </w:r>
          </w:p>
        </w:tc>
        <w:tc>
          <w:tcPr>
            <w:tcW w:w="1335" w:type="dxa"/>
            <w:vAlign w:val="center"/>
          </w:tcPr>
          <w:p w:rsidR="00A60163" w:rsidRDefault="00A60163" w:rsidP="00A60163">
            <w:pPr>
              <w:spacing w:after="0" w:line="240" w:lineRule="auto"/>
              <w:jc w:val="center"/>
              <w:rPr>
                <w:sz w:val="24"/>
                <w:szCs w:val="24"/>
              </w:rPr>
            </w:pPr>
            <w:r>
              <w:rPr>
                <w:sz w:val="24"/>
                <w:szCs w:val="24"/>
              </w:rPr>
              <w:t>2</w:t>
            </w:r>
          </w:p>
        </w:tc>
        <w:tc>
          <w:tcPr>
            <w:tcW w:w="1272" w:type="dxa"/>
            <w:vAlign w:val="center"/>
          </w:tcPr>
          <w:p w:rsidR="00A60163" w:rsidRDefault="00FE7E7C" w:rsidP="00A60163">
            <w:pPr>
              <w:spacing w:after="0" w:line="240" w:lineRule="auto"/>
              <w:jc w:val="center"/>
              <w:rPr>
                <w:sz w:val="24"/>
                <w:szCs w:val="24"/>
              </w:rPr>
            </w:pPr>
            <w:r>
              <w:rPr>
                <w:sz w:val="24"/>
                <w:szCs w:val="24"/>
              </w:rPr>
              <w:t>0</w:t>
            </w:r>
          </w:p>
        </w:tc>
        <w:tc>
          <w:tcPr>
            <w:tcW w:w="1313" w:type="dxa"/>
            <w:vAlign w:val="center"/>
          </w:tcPr>
          <w:p w:rsidR="00A60163" w:rsidRDefault="00A60163" w:rsidP="00FE7E7C">
            <w:pPr>
              <w:spacing w:after="0" w:line="240" w:lineRule="auto"/>
              <w:jc w:val="right"/>
              <w:rPr>
                <w:sz w:val="24"/>
                <w:szCs w:val="24"/>
              </w:rPr>
            </w:pPr>
            <w:r>
              <w:rPr>
                <w:sz w:val="24"/>
                <w:szCs w:val="24"/>
              </w:rPr>
              <w:t>($</w:t>
            </w:r>
            <w:r w:rsidR="00FE7E7C">
              <w:rPr>
                <w:sz w:val="24"/>
                <w:szCs w:val="24"/>
              </w:rPr>
              <w:t>8,008</w:t>
            </w:r>
            <w:r>
              <w:rPr>
                <w:sz w:val="24"/>
                <w:szCs w:val="24"/>
              </w:rPr>
              <w:t>)</w:t>
            </w:r>
          </w:p>
        </w:tc>
        <w:tc>
          <w:tcPr>
            <w:tcW w:w="1470" w:type="dxa"/>
            <w:vAlign w:val="center"/>
          </w:tcPr>
          <w:p w:rsidR="00A60163" w:rsidRDefault="00044A0C" w:rsidP="00A60163">
            <w:pPr>
              <w:spacing w:line="240" w:lineRule="auto"/>
              <w:jc w:val="center"/>
              <w:rPr>
                <w:sz w:val="24"/>
                <w:szCs w:val="24"/>
              </w:rPr>
            </w:pPr>
            <w:r>
              <w:rPr>
                <w:sz w:val="24"/>
                <w:szCs w:val="24"/>
              </w:rPr>
              <w:t>N/A</w:t>
            </w:r>
          </w:p>
        </w:tc>
        <w:tc>
          <w:tcPr>
            <w:tcW w:w="1188" w:type="dxa"/>
            <w:vAlign w:val="center"/>
          </w:tcPr>
          <w:p w:rsidR="00A60163" w:rsidRDefault="00044A0C" w:rsidP="00A60163">
            <w:pPr>
              <w:spacing w:line="240" w:lineRule="auto"/>
              <w:jc w:val="center"/>
              <w:rPr>
                <w:sz w:val="24"/>
                <w:szCs w:val="24"/>
              </w:rPr>
            </w:pPr>
            <w:r>
              <w:rPr>
                <w:sz w:val="24"/>
                <w:szCs w:val="24"/>
              </w:rPr>
              <w:t>0</w:t>
            </w:r>
          </w:p>
        </w:tc>
      </w:tr>
      <w:tr w:rsidR="00FE7E7C" w:rsidTr="00B2254B">
        <w:tc>
          <w:tcPr>
            <w:tcW w:w="1670" w:type="dxa"/>
            <w:vAlign w:val="center"/>
          </w:tcPr>
          <w:p w:rsidR="00044A0C" w:rsidRDefault="00FE7E7C" w:rsidP="000779CD">
            <w:pPr>
              <w:spacing w:after="0" w:line="240" w:lineRule="auto"/>
              <w:rPr>
                <w:sz w:val="24"/>
                <w:szCs w:val="24"/>
              </w:rPr>
            </w:pPr>
            <w:r>
              <w:rPr>
                <w:sz w:val="24"/>
                <w:szCs w:val="24"/>
              </w:rPr>
              <w:t>Intelligence Collection and Analysis</w:t>
            </w:r>
          </w:p>
        </w:tc>
        <w:tc>
          <w:tcPr>
            <w:tcW w:w="1328" w:type="dxa"/>
            <w:vAlign w:val="center"/>
          </w:tcPr>
          <w:p w:rsidR="00044A0C" w:rsidRDefault="00044A0C" w:rsidP="00A60163">
            <w:pPr>
              <w:spacing w:line="240" w:lineRule="auto"/>
              <w:jc w:val="center"/>
              <w:rPr>
                <w:sz w:val="24"/>
                <w:szCs w:val="24"/>
              </w:rPr>
            </w:pPr>
            <w:r>
              <w:rPr>
                <w:sz w:val="24"/>
                <w:szCs w:val="24"/>
              </w:rPr>
              <w:t>NDIC</w:t>
            </w:r>
          </w:p>
        </w:tc>
        <w:tc>
          <w:tcPr>
            <w:tcW w:w="1335" w:type="dxa"/>
            <w:vAlign w:val="center"/>
          </w:tcPr>
          <w:p w:rsidR="00044A0C" w:rsidRDefault="00044A0C" w:rsidP="00A60163">
            <w:pPr>
              <w:spacing w:line="240" w:lineRule="auto"/>
              <w:jc w:val="center"/>
              <w:rPr>
                <w:sz w:val="24"/>
                <w:szCs w:val="24"/>
              </w:rPr>
            </w:pPr>
            <w:r>
              <w:rPr>
                <w:sz w:val="24"/>
                <w:szCs w:val="24"/>
              </w:rPr>
              <w:t>2</w:t>
            </w:r>
          </w:p>
        </w:tc>
        <w:tc>
          <w:tcPr>
            <w:tcW w:w="1272" w:type="dxa"/>
            <w:vAlign w:val="center"/>
          </w:tcPr>
          <w:p w:rsidR="00044A0C" w:rsidRDefault="00FE510D" w:rsidP="00A60163">
            <w:pPr>
              <w:spacing w:line="240" w:lineRule="auto"/>
              <w:jc w:val="center"/>
              <w:rPr>
                <w:sz w:val="24"/>
                <w:szCs w:val="24"/>
              </w:rPr>
            </w:pPr>
            <w:r>
              <w:rPr>
                <w:sz w:val="24"/>
                <w:szCs w:val="24"/>
              </w:rPr>
              <w:t>0</w:t>
            </w:r>
          </w:p>
        </w:tc>
        <w:tc>
          <w:tcPr>
            <w:tcW w:w="1313" w:type="dxa"/>
            <w:vAlign w:val="center"/>
          </w:tcPr>
          <w:p w:rsidR="00044A0C" w:rsidRDefault="00044A0C" w:rsidP="00FE7E7C">
            <w:pPr>
              <w:spacing w:line="240" w:lineRule="auto"/>
              <w:jc w:val="right"/>
              <w:rPr>
                <w:sz w:val="24"/>
                <w:szCs w:val="24"/>
              </w:rPr>
            </w:pPr>
            <w:r>
              <w:rPr>
                <w:sz w:val="24"/>
                <w:szCs w:val="24"/>
              </w:rPr>
              <w:t>($</w:t>
            </w:r>
            <w:r w:rsidR="00FE7E7C">
              <w:rPr>
                <w:sz w:val="24"/>
                <w:szCs w:val="24"/>
              </w:rPr>
              <w:t>5</w:t>
            </w:r>
            <w:r>
              <w:rPr>
                <w:sz w:val="24"/>
                <w:szCs w:val="24"/>
              </w:rPr>
              <w:t>,</w:t>
            </w:r>
            <w:r w:rsidR="00FE7E7C">
              <w:rPr>
                <w:sz w:val="24"/>
                <w:szCs w:val="24"/>
              </w:rPr>
              <w:t>938</w:t>
            </w:r>
            <w:r>
              <w:rPr>
                <w:sz w:val="24"/>
                <w:szCs w:val="24"/>
              </w:rPr>
              <w:t>)</w:t>
            </w:r>
          </w:p>
        </w:tc>
        <w:tc>
          <w:tcPr>
            <w:tcW w:w="1470" w:type="dxa"/>
            <w:vAlign w:val="center"/>
          </w:tcPr>
          <w:p w:rsidR="00044A0C" w:rsidRDefault="00044A0C" w:rsidP="00044A0C">
            <w:pPr>
              <w:spacing w:line="240" w:lineRule="auto"/>
              <w:jc w:val="center"/>
              <w:rPr>
                <w:sz w:val="24"/>
                <w:szCs w:val="24"/>
              </w:rPr>
            </w:pPr>
            <w:r>
              <w:rPr>
                <w:sz w:val="24"/>
                <w:szCs w:val="24"/>
              </w:rPr>
              <w:t>N/A</w:t>
            </w:r>
          </w:p>
        </w:tc>
        <w:tc>
          <w:tcPr>
            <w:tcW w:w="1188" w:type="dxa"/>
            <w:vAlign w:val="center"/>
          </w:tcPr>
          <w:p w:rsidR="00044A0C" w:rsidRDefault="00044A0C" w:rsidP="00044A0C">
            <w:pPr>
              <w:spacing w:line="240" w:lineRule="auto"/>
              <w:jc w:val="center"/>
              <w:rPr>
                <w:sz w:val="24"/>
                <w:szCs w:val="24"/>
              </w:rPr>
            </w:pPr>
            <w:r>
              <w:rPr>
                <w:sz w:val="24"/>
                <w:szCs w:val="24"/>
              </w:rPr>
              <w:t>0</w:t>
            </w:r>
          </w:p>
        </w:tc>
      </w:tr>
      <w:tr w:rsidR="00FE7E7C" w:rsidTr="00216743">
        <w:tc>
          <w:tcPr>
            <w:tcW w:w="1670" w:type="dxa"/>
            <w:vAlign w:val="center"/>
          </w:tcPr>
          <w:p w:rsidR="00044A0C" w:rsidRDefault="00FE7E7C" w:rsidP="00FE7E7C">
            <w:pPr>
              <w:spacing w:after="0" w:line="240" w:lineRule="auto"/>
              <w:rPr>
                <w:sz w:val="24"/>
                <w:szCs w:val="24"/>
              </w:rPr>
            </w:pPr>
            <w:r>
              <w:rPr>
                <w:sz w:val="24"/>
                <w:szCs w:val="24"/>
              </w:rPr>
              <w:t>Staffing</w:t>
            </w:r>
          </w:p>
        </w:tc>
        <w:tc>
          <w:tcPr>
            <w:tcW w:w="1328" w:type="dxa"/>
            <w:vAlign w:val="center"/>
          </w:tcPr>
          <w:p w:rsidR="00044A0C" w:rsidRDefault="00044A0C" w:rsidP="00A60163">
            <w:pPr>
              <w:spacing w:line="240" w:lineRule="auto"/>
              <w:jc w:val="center"/>
              <w:rPr>
                <w:sz w:val="24"/>
                <w:szCs w:val="24"/>
              </w:rPr>
            </w:pPr>
            <w:r>
              <w:rPr>
                <w:sz w:val="24"/>
                <w:szCs w:val="24"/>
              </w:rPr>
              <w:t>NDIC</w:t>
            </w:r>
          </w:p>
        </w:tc>
        <w:tc>
          <w:tcPr>
            <w:tcW w:w="1335" w:type="dxa"/>
            <w:vAlign w:val="center"/>
          </w:tcPr>
          <w:p w:rsidR="00044A0C" w:rsidRDefault="00044A0C" w:rsidP="00A60163">
            <w:pPr>
              <w:spacing w:line="240" w:lineRule="auto"/>
              <w:jc w:val="center"/>
              <w:rPr>
                <w:sz w:val="24"/>
                <w:szCs w:val="24"/>
              </w:rPr>
            </w:pPr>
            <w:r>
              <w:rPr>
                <w:sz w:val="24"/>
                <w:szCs w:val="24"/>
              </w:rPr>
              <w:t>2</w:t>
            </w:r>
          </w:p>
        </w:tc>
        <w:tc>
          <w:tcPr>
            <w:tcW w:w="1272" w:type="dxa"/>
            <w:vAlign w:val="center"/>
          </w:tcPr>
          <w:p w:rsidR="00044A0C" w:rsidRDefault="00FE7E7C" w:rsidP="00FE7E7C">
            <w:pPr>
              <w:spacing w:line="240" w:lineRule="auto"/>
              <w:jc w:val="center"/>
              <w:rPr>
                <w:sz w:val="24"/>
                <w:szCs w:val="24"/>
              </w:rPr>
            </w:pPr>
            <w:r>
              <w:rPr>
                <w:sz w:val="24"/>
                <w:szCs w:val="24"/>
              </w:rPr>
              <w:t>(19)</w:t>
            </w:r>
          </w:p>
        </w:tc>
        <w:tc>
          <w:tcPr>
            <w:tcW w:w="1313" w:type="dxa"/>
            <w:vAlign w:val="center"/>
          </w:tcPr>
          <w:p w:rsidR="00044A0C" w:rsidRDefault="00044A0C" w:rsidP="00FE7E7C">
            <w:pPr>
              <w:spacing w:line="240" w:lineRule="auto"/>
              <w:jc w:val="right"/>
              <w:rPr>
                <w:sz w:val="24"/>
                <w:szCs w:val="24"/>
              </w:rPr>
            </w:pPr>
            <w:r>
              <w:rPr>
                <w:sz w:val="24"/>
                <w:szCs w:val="24"/>
              </w:rPr>
              <w:t>($5</w:t>
            </w:r>
            <w:r w:rsidR="00FE7E7C">
              <w:rPr>
                <w:sz w:val="24"/>
                <w:szCs w:val="24"/>
              </w:rPr>
              <w:t>,257</w:t>
            </w:r>
            <w:r>
              <w:rPr>
                <w:sz w:val="24"/>
                <w:szCs w:val="24"/>
              </w:rPr>
              <w:t>)</w:t>
            </w:r>
          </w:p>
        </w:tc>
        <w:tc>
          <w:tcPr>
            <w:tcW w:w="1470" w:type="dxa"/>
            <w:shd w:val="clear" w:color="auto" w:fill="auto"/>
            <w:vAlign w:val="center"/>
          </w:tcPr>
          <w:p w:rsidR="00044A0C" w:rsidRDefault="00FE7E7C" w:rsidP="00B2254B">
            <w:pPr>
              <w:spacing w:after="0" w:line="240" w:lineRule="auto"/>
              <w:jc w:val="center"/>
              <w:rPr>
                <w:sz w:val="24"/>
                <w:szCs w:val="24"/>
              </w:rPr>
            </w:pPr>
            <w:r>
              <w:rPr>
                <w:sz w:val="24"/>
                <w:szCs w:val="24"/>
              </w:rPr>
              <w:t>132</w:t>
            </w:r>
          </w:p>
          <w:p w:rsidR="00FE7E7C" w:rsidRDefault="00B2254B" w:rsidP="00B2254B">
            <w:pPr>
              <w:spacing w:after="0" w:line="240" w:lineRule="auto"/>
              <w:jc w:val="center"/>
              <w:rPr>
                <w:sz w:val="24"/>
                <w:szCs w:val="24"/>
              </w:rPr>
            </w:pPr>
            <w:r>
              <w:rPr>
                <w:sz w:val="24"/>
                <w:szCs w:val="24"/>
              </w:rPr>
              <w:t>200-299</w:t>
            </w:r>
          </w:p>
          <w:p w:rsidR="00B2254B" w:rsidRDefault="00B2254B" w:rsidP="00B2254B">
            <w:pPr>
              <w:spacing w:after="0" w:line="240" w:lineRule="auto"/>
              <w:jc w:val="center"/>
              <w:rPr>
                <w:sz w:val="24"/>
                <w:szCs w:val="24"/>
              </w:rPr>
            </w:pPr>
            <w:r>
              <w:rPr>
                <w:sz w:val="24"/>
                <w:szCs w:val="24"/>
              </w:rPr>
              <w:t>300-399</w:t>
            </w:r>
          </w:p>
          <w:p w:rsidR="00B2254B" w:rsidRDefault="00B2254B" w:rsidP="00B2254B">
            <w:pPr>
              <w:spacing w:after="0" w:line="240" w:lineRule="auto"/>
              <w:jc w:val="center"/>
              <w:rPr>
                <w:sz w:val="24"/>
                <w:szCs w:val="24"/>
              </w:rPr>
            </w:pPr>
            <w:r>
              <w:rPr>
                <w:sz w:val="24"/>
                <w:szCs w:val="24"/>
              </w:rPr>
              <w:t>1000-1099</w:t>
            </w:r>
          </w:p>
          <w:p w:rsidR="00B2254B" w:rsidRDefault="00B2254B" w:rsidP="00B2254B">
            <w:pPr>
              <w:spacing w:after="0" w:line="240" w:lineRule="auto"/>
              <w:jc w:val="center"/>
              <w:rPr>
                <w:sz w:val="24"/>
                <w:szCs w:val="24"/>
              </w:rPr>
            </w:pPr>
            <w:r>
              <w:rPr>
                <w:sz w:val="24"/>
                <w:szCs w:val="24"/>
              </w:rPr>
              <w:t>1100-1199</w:t>
            </w:r>
          </w:p>
          <w:p w:rsidR="00B2254B" w:rsidRDefault="00B2254B" w:rsidP="00B2254B">
            <w:pPr>
              <w:spacing w:after="0" w:line="240" w:lineRule="auto"/>
              <w:jc w:val="center"/>
              <w:rPr>
                <w:sz w:val="24"/>
                <w:szCs w:val="24"/>
              </w:rPr>
            </w:pPr>
            <w:r>
              <w:rPr>
                <w:sz w:val="24"/>
                <w:szCs w:val="24"/>
              </w:rPr>
              <w:t>2210</w:t>
            </w:r>
          </w:p>
        </w:tc>
        <w:tc>
          <w:tcPr>
            <w:tcW w:w="1188" w:type="dxa"/>
            <w:shd w:val="clear" w:color="auto" w:fill="auto"/>
            <w:vAlign w:val="center"/>
          </w:tcPr>
          <w:p w:rsidR="00044A0C" w:rsidRDefault="00FE7E7C" w:rsidP="00B2254B">
            <w:pPr>
              <w:spacing w:after="0" w:line="240" w:lineRule="auto"/>
              <w:jc w:val="center"/>
              <w:rPr>
                <w:sz w:val="24"/>
                <w:szCs w:val="24"/>
              </w:rPr>
            </w:pPr>
            <w:r>
              <w:rPr>
                <w:sz w:val="24"/>
                <w:szCs w:val="24"/>
              </w:rPr>
              <w:t>(9)</w:t>
            </w:r>
          </w:p>
          <w:p w:rsidR="00B2254B" w:rsidRDefault="00B2254B" w:rsidP="00B2254B">
            <w:pPr>
              <w:spacing w:after="0" w:line="240" w:lineRule="auto"/>
              <w:jc w:val="center"/>
              <w:rPr>
                <w:sz w:val="24"/>
                <w:szCs w:val="24"/>
              </w:rPr>
            </w:pPr>
            <w:r>
              <w:rPr>
                <w:sz w:val="24"/>
                <w:szCs w:val="24"/>
              </w:rPr>
              <w:t>(1)</w:t>
            </w:r>
          </w:p>
          <w:p w:rsidR="00B2254B" w:rsidRDefault="00B2254B" w:rsidP="00B2254B">
            <w:pPr>
              <w:spacing w:after="0" w:line="240" w:lineRule="auto"/>
              <w:jc w:val="center"/>
              <w:rPr>
                <w:sz w:val="24"/>
                <w:szCs w:val="24"/>
              </w:rPr>
            </w:pPr>
            <w:r>
              <w:rPr>
                <w:sz w:val="24"/>
                <w:szCs w:val="24"/>
              </w:rPr>
              <w:t>(3)</w:t>
            </w:r>
          </w:p>
          <w:p w:rsidR="00B2254B" w:rsidRDefault="00B2254B" w:rsidP="00B2254B">
            <w:pPr>
              <w:spacing w:after="0" w:line="240" w:lineRule="auto"/>
              <w:jc w:val="center"/>
              <w:rPr>
                <w:sz w:val="24"/>
                <w:szCs w:val="24"/>
              </w:rPr>
            </w:pPr>
            <w:r>
              <w:rPr>
                <w:sz w:val="24"/>
                <w:szCs w:val="24"/>
              </w:rPr>
              <w:t>(1)</w:t>
            </w:r>
          </w:p>
          <w:p w:rsidR="00B2254B" w:rsidRDefault="00B2254B" w:rsidP="00B2254B">
            <w:pPr>
              <w:spacing w:after="0" w:line="240" w:lineRule="auto"/>
              <w:jc w:val="center"/>
              <w:rPr>
                <w:sz w:val="24"/>
                <w:szCs w:val="24"/>
              </w:rPr>
            </w:pPr>
            <w:r>
              <w:rPr>
                <w:sz w:val="24"/>
                <w:szCs w:val="24"/>
              </w:rPr>
              <w:t>(1)</w:t>
            </w:r>
          </w:p>
          <w:p w:rsidR="00B2254B" w:rsidRDefault="00B2254B" w:rsidP="00B2254B">
            <w:pPr>
              <w:spacing w:after="0" w:line="240" w:lineRule="auto"/>
              <w:jc w:val="center"/>
              <w:rPr>
                <w:sz w:val="24"/>
                <w:szCs w:val="24"/>
              </w:rPr>
            </w:pPr>
            <w:r>
              <w:rPr>
                <w:sz w:val="24"/>
                <w:szCs w:val="24"/>
              </w:rPr>
              <w:t>(4)</w:t>
            </w:r>
          </w:p>
        </w:tc>
      </w:tr>
      <w:tr w:rsidR="00FE7E7C" w:rsidTr="00B2254B">
        <w:tc>
          <w:tcPr>
            <w:tcW w:w="1670" w:type="dxa"/>
            <w:vAlign w:val="center"/>
          </w:tcPr>
          <w:p w:rsidR="00FE510D" w:rsidRDefault="00FE510D" w:rsidP="000779CD">
            <w:pPr>
              <w:spacing w:after="0" w:line="240" w:lineRule="auto"/>
              <w:rPr>
                <w:sz w:val="24"/>
                <w:szCs w:val="24"/>
              </w:rPr>
            </w:pPr>
            <w:r>
              <w:rPr>
                <w:sz w:val="24"/>
                <w:szCs w:val="24"/>
              </w:rPr>
              <w:t>Administrative Efficiencies</w:t>
            </w:r>
          </w:p>
        </w:tc>
        <w:tc>
          <w:tcPr>
            <w:tcW w:w="1328" w:type="dxa"/>
            <w:vAlign w:val="center"/>
          </w:tcPr>
          <w:p w:rsidR="00FE510D" w:rsidRDefault="00FE510D" w:rsidP="00A60163">
            <w:pPr>
              <w:spacing w:line="240" w:lineRule="auto"/>
              <w:jc w:val="center"/>
              <w:rPr>
                <w:sz w:val="24"/>
                <w:szCs w:val="24"/>
              </w:rPr>
            </w:pPr>
            <w:r>
              <w:rPr>
                <w:sz w:val="24"/>
                <w:szCs w:val="24"/>
              </w:rPr>
              <w:t>NDIC</w:t>
            </w:r>
          </w:p>
        </w:tc>
        <w:tc>
          <w:tcPr>
            <w:tcW w:w="1335" w:type="dxa"/>
            <w:vAlign w:val="center"/>
          </w:tcPr>
          <w:p w:rsidR="00FE510D" w:rsidRDefault="00FE510D" w:rsidP="00A60163">
            <w:pPr>
              <w:spacing w:line="240" w:lineRule="auto"/>
              <w:jc w:val="center"/>
              <w:rPr>
                <w:sz w:val="24"/>
                <w:szCs w:val="24"/>
              </w:rPr>
            </w:pPr>
            <w:r>
              <w:rPr>
                <w:sz w:val="24"/>
                <w:szCs w:val="24"/>
              </w:rPr>
              <w:t>2</w:t>
            </w:r>
          </w:p>
        </w:tc>
        <w:tc>
          <w:tcPr>
            <w:tcW w:w="1272" w:type="dxa"/>
            <w:vAlign w:val="center"/>
          </w:tcPr>
          <w:p w:rsidR="00FE510D" w:rsidRDefault="00FE510D" w:rsidP="00A60163">
            <w:pPr>
              <w:spacing w:line="240" w:lineRule="auto"/>
              <w:jc w:val="center"/>
              <w:rPr>
                <w:sz w:val="24"/>
                <w:szCs w:val="24"/>
              </w:rPr>
            </w:pPr>
            <w:r>
              <w:rPr>
                <w:sz w:val="24"/>
                <w:szCs w:val="24"/>
              </w:rPr>
              <w:t>0</w:t>
            </w:r>
          </w:p>
        </w:tc>
        <w:tc>
          <w:tcPr>
            <w:tcW w:w="1313" w:type="dxa"/>
            <w:vAlign w:val="center"/>
          </w:tcPr>
          <w:p w:rsidR="00FE510D" w:rsidRDefault="00FE510D" w:rsidP="00A60163">
            <w:pPr>
              <w:spacing w:line="240" w:lineRule="auto"/>
              <w:jc w:val="right"/>
              <w:rPr>
                <w:sz w:val="24"/>
                <w:szCs w:val="24"/>
              </w:rPr>
            </w:pPr>
            <w:r>
              <w:rPr>
                <w:sz w:val="24"/>
                <w:szCs w:val="24"/>
              </w:rPr>
              <w:t>($37)</w:t>
            </w:r>
          </w:p>
        </w:tc>
        <w:tc>
          <w:tcPr>
            <w:tcW w:w="1470" w:type="dxa"/>
            <w:shd w:val="clear" w:color="auto" w:fill="auto"/>
            <w:vAlign w:val="center"/>
          </w:tcPr>
          <w:p w:rsidR="00FE510D" w:rsidRDefault="00FE510D" w:rsidP="00FE510D">
            <w:pPr>
              <w:spacing w:line="240" w:lineRule="auto"/>
              <w:jc w:val="center"/>
              <w:rPr>
                <w:sz w:val="24"/>
                <w:szCs w:val="24"/>
              </w:rPr>
            </w:pPr>
            <w:r>
              <w:rPr>
                <w:sz w:val="24"/>
                <w:szCs w:val="24"/>
              </w:rPr>
              <w:t>N/A</w:t>
            </w:r>
          </w:p>
        </w:tc>
        <w:tc>
          <w:tcPr>
            <w:tcW w:w="1188" w:type="dxa"/>
            <w:shd w:val="clear" w:color="auto" w:fill="auto"/>
            <w:vAlign w:val="center"/>
          </w:tcPr>
          <w:p w:rsidR="00FE510D" w:rsidRDefault="00FE510D" w:rsidP="00FE510D">
            <w:pPr>
              <w:spacing w:line="240" w:lineRule="auto"/>
              <w:jc w:val="center"/>
              <w:rPr>
                <w:sz w:val="24"/>
                <w:szCs w:val="24"/>
              </w:rPr>
            </w:pPr>
            <w:r>
              <w:rPr>
                <w:sz w:val="24"/>
                <w:szCs w:val="24"/>
              </w:rPr>
              <w:t>0</w:t>
            </w:r>
          </w:p>
        </w:tc>
      </w:tr>
      <w:tr w:rsidR="00FE7E7C" w:rsidTr="00B2254B">
        <w:tc>
          <w:tcPr>
            <w:tcW w:w="1670" w:type="dxa"/>
            <w:vAlign w:val="center"/>
          </w:tcPr>
          <w:p w:rsidR="00FE510D" w:rsidRDefault="00FE510D" w:rsidP="000779CD">
            <w:pPr>
              <w:spacing w:after="0" w:line="240" w:lineRule="auto"/>
              <w:rPr>
                <w:sz w:val="24"/>
                <w:szCs w:val="24"/>
              </w:rPr>
            </w:pPr>
            <w:r>
              <w:rPr>
                <w:sz w:val="24"/>
                <w:szCs w:val="24"/>
              </w:rPr>
              <w:t>Technology Refresh</w:t>
            </w:r>
          </w:p>
        </w:tc>
        <w:tc>
          <w:tcPr>
            <w:tcW w:w="1328" w:type="dxa"/>
            <w:vAlign w:val="center"/>
          </w:tcPr>
          <w:p w:rsidR="00FE510D" w:rsidRDefault="00FE510D" w:rsidP="00A60163">
            <w:pPr>
              <w:spacing w:line="240" w:lineRule="auto"/>
              <w:jc w:val="center"/>
              <w:rPr>
                <w:sz w:val="24"/>
                <w:szCs w:val="24"/>
              </w:rPr>
            </w:pPr>
            <w:r>
              <w:rPr>
                <w:sz w:val="24"/>
                <w:szCs w:val="24"/>
              </w:rPr>
              <w:t>NDIC</w:t>
            </w:r>
          </w:p>
        </w:tc>
        <w:tc>
          <w:tcPr>
            <w:tcW w:w="1335" w:type="dxa"/>
            <w:vAlign w:val="center"/>
          </w:tcPr>
          <w:p w:rsidR="00FE510D" w:rsidRDefault="00FE510D" w:rsidP="00A60163">
            <w:pPr>
              <w:spacing w:line="240" w:lineRule="auto"/>
              <w:jc w:val="center"/>
              <w:rPr>
                <w:sz w:val="24"/>
                <w:szCs w:val="24"/>
              </w:rPr>
            </w:pPr>
            <w:r>
              <w:rPr>
                <w:sz w:val="24"/>
                <w:szCs w:val="24"/>
              </w:rPr>
              <w:t>2</w:t>
            </w:r>
          </w:p>
        </w:tc>
        <w:tc>
          <w:tcPr>
            <w:tcW w:w="1272" w:type="dxa"/>
            <w:vAlign w:val="center"/>
          </w:tcPr>
          <w:p w:rsidR="00FE510D" w:rsidRDefault="00FE510D" w:rsidP="00A60163">
            <w:pPr>
              <w:spacing w:line="240" w:lineRule="auto"/>
              <w:jc w:val="center"/>
              <w:rPr>
                <w:sz w:val="24"/>
                <w:szCs w:val="24"/>
              </w:rPr>
            </w:pPr>
            <w:r>
              <w:rPr>
                <w:sz w:val="24"/>
                <w:szCs w:val="24"/>
              </w:rPr>
              <w:t>0</w:t>
            </w:r>
          </w:p>
        </w:tc>
        <w:tc>
          <w:tcPr>
            <w:tcW w:w="1313" w:type="dxa"/>
            <w:vAlign w:val="center"/>
          </w:tcPr>
          <w:p w:rsidR="00FE510D" w:rsidRDefault="00FE510D" w:rsidP="00A60163">
            <w:pPr>
              <w:spacing w:line="240" w:lineRule="auto"/>
              <w:jc w:val="right"/>
              <w:rPr>
                <w:sz w:val="24"/>
                <w:szCs w:val="24"/>
              </w:rPr>
            </w:pPr>
            <w:r>
              <w:rPr>
                <w:sz w:val="24"/>
                <w:szCs w:val="24"/>
              </w:rPr>
              <w:t>($44)</w:t>
            </w:r>
          </w:p>
        </w:tc>
        <w:tc>
          <w:tcPr>
            <w:tcW w:w="1470" w:type="dxa"/>
            <w:shd w:val="clear" w:color="auto" w:fill="auto"/>
            <w:vAlign w:val="center"/>
          </w:tcPr>
          <w:p w:rsidR="00FE510D" w:rsidRDefault="00FE510D" w:rsidP="00FE510D">
            <w:pPr>
              <w:spacing w:line="240" w:lineRule="auto"/>
              <w:jc w:val="center"/>
              <w:rPr>
                <w:sz w:val="24"/>
                <w:szCs w:val="24"/>
              </w:rPr>
            </w:pPr>
            <w:r>
              <w:rPr>
                <w:sz w:val="24"/>
                <w:szCs w:val="24"/>
              </w:rPr>
              <w:t>N/A</w:t>
            </w:r>
          </w:p>
        </w:tc>
        <w:tc>
          <w:tcPr>
            <w:tcW w:w="1188" w:type="dxa"/>
            <w:shd w:val="clear" w:color="auto" w:fill="auto"/>
            <w:vAlign w:val="center"/>
          </w:tcPr>
          <w:p w:rsidR="00FE510D" w:rsidRDefault="00FE510D" w:rsidP="00FE510D">
            <w:pPr>
              <w:spacing w:line="240" w:lineRule="auto"/>
              <w:jc w:val="center"/>
              <w:rPr>
                <w:sz w:val="24"/>
                <w:szCs w:val="24"/>
              </w:rPr>
            </w:pPr>
            <w:r>
              <w:rPr>
                <w:sz w:val="24"/>
                <w:szCs w:val="24"/>
              </w:rPr>
              <w:t>0</w:t>
            </w:r>
          </w:p>
        </w:tc>
      </w:tr>
    </w:tbl>
    <w:p w:rsidR="00797D14" w:rsidRPr="00BE2E8F" w:rsidRDefault="00797D14" w:rsidP="000E31ED">
      <w:pPr>
        <w:rPr>
          <w:sz w:val="24"/>
          <w:szCs w:val="24"/>
        </w:rPr>
      </w:pPr>
    </w:p>
    <w:p w:rsidR="0032402C" w:rsidRDefault="0032402C">
      <w:pPr>
        <w:rPr>
          <w:rStyle w:val="SubtleEmphasis"/>
          <w:rFonts w:ascii="Arial" w:hAnsi="Arial"/>
          <w:b/>
          <w:bCs/>
          <w:i w:val="0"/>
          <w:color w:val="auto"/>
          <w:sz w:val="32"/>
          <w:szCs w:val="32"/>
        </w:rPr>
      </w:pPr>
      <w:r>
        <w:rPr>
          <w:rStyle w:val="SubtleEmphasis"/>
          <w:i w:val="0"/>
          <w:color w:val="auto"/>
          <w:sz w:val="32"/>
          <w:szCs w:val="32"/>
        </w:rPr>
        <w:br w:type="page"/>
      </w:r>
    </w:p>
    <w:p w:rsidR="0032402C" w:rsidRPr="00216743" w:rsidRDefault="00E4376B" w:rsidP="00FE7E7C">
      <w:pPr>
        <w:pStyle w:val="Heading1"/>
        <w:numPr>
          <w:ilvl w:val="0"/>
          <w:numId w:val="17"/>
        </w:numPr>
        <w:spacing w:after="240"/>
        <w:rPr>
          <w:rStyle w:val="SubtleEmphasis"/>
          <w:rFonts w:ascii="Times New Roman" w:hAnsi="Times New Roman"/>
          <w:i w:val="0"/>
          <w:color w:val="auto"/>
          <w:sz w:val="32"/>
        </w:rPr>
      </w:pPr>
      <w:bookmarkStart w:id="4" w:name="_Toc271895827"/>
      <w:r w:rsidRPr="00E4376B">
        <w:rPr>
          <w:rStyle w:val="SubtleEmphasis"/>
          <w:rFonts w:ascii="Times New Roman" w:hAnsi="Times New Roman"/>
          <w:i w:val="0"/>
          <w:color w:val="auto"/>
          <w:sz w:val="32"/>
          <w:szCs w:val="32"/>
        </w:rPr>
        <w:lastRenderedPageBreak/>
        <w:t>Appropriations Language and Analysis of Appropriations Language</w:t>
      </w:r>
      <w:bookmarkEnd w:id="4"/>
    </w:p>
    <w:p w:rsidR="0032402C" w:rsidRPr="0071210C" w:rsidRDefault="0032402C" w:rsidP="0071210C">
      <w:pPr>
        <w:rPr>
          <w:sz w:val="24"/>
          <w:szCs w:val="24"/>
        </w:rPr>
      </w:pPr>
      <w:r w:rsidRPr="0071210C">
        <w:rPr>
          <w:b/>
          <w:sz w:val="24"/>
          <w:szCs w:val="24"/>
        </w:rPr>
        <w:t>Appropriations Language</w:t>
      </w:r>
    </w:p>
    <w:p w:rsidR="0032402C" w:rsidRDefault="0032402C" w:rsidP="0071210C">
      <w:pPr>
        <w:rPr>
          <w:sz w:val="24"/>
          <w:szCs w:val="24"/>
        </w:rPr>
      </w:pPr>
      <w:r w:rsidRPr="0071210C">
        <w:rPr>
          <w:sz w:val="24"/>
          <w:szCs w:val="24"/>
        </w:rPr>
        <w:t>The FY</w:t>
      </w:r>
      <w:r>
        <w:rPr>
          <w:sz w:val="24"/>
          <w:szCs w:val="24"/>
        </w:rPr>
        <w:t xml:space="preserve"> </w:t>
      </w:r>
      <w:r w:rsidRPr="0071210C">
        <w:rPr>
          <w:sz w:val="24"/>
          <w:szCs w:val="24"/>
        </w:rPr>
        <w:t>201</w:t>
      </w:r>
      <w:r w:rsidR="00BE2E8F">
        <w:rPr>
          <w:sz w:val="24"/>
          <w:szCs w:val="24"/>
        </w:rPr>
        <w:t>2</w:t>
      </w:r>
      <w:r w:rsidR="00B551DE">
        <w:rPr>
          <w:sz w:val="24"/>
          <w:szCs w:val="24"/>
        </w:rPr>
        <w:t xml:space="preserve"> b</w:t>
      </w:r>
      <w:r>
        <w:rPr>
          <w:sz w:val="24"/>
          <w:szCs w:val="24"/>
        </w:rPr>
        <w:t>udget request includes</w:t>
      </w:r>
      <w:r w:rsidR="00041B21">
        <w:rPr>
          <w:sz w:val="24"/>
          <w:szCs w:val="24"/>
        </w:rPr>
        <w:t xml:space="preserve"> </w:t>
      </w:r>
      <w:r>
        <w:rPr>
          <w:sz w:val="24"/>
          <w:szCs w:val="24"/>
        </w:rPr>
        <w:t xml:space="preserve">the appropriations language listed </w:t>
      </w:r>
      <w:r w:rsidR="00364430">
        <w:rPr>
          <w:sz w:val="24"/>
          <w:szCs w:val="24"/>
        </w:rPr>
        <w:t>below:</w:t>
      </w:r>
    </w:p>
    <w:p w:rsidR="0032402C" w:rsidRPr="008A1FF5" w:rsidRDefault="00DC5C97" w:rsidP="0071210C">
      <w:pPr>
        <w:jc w:val="center"/>
        <w:rPr>
          <w:i/>
          <w:sz w:val="24"/>
          <w:szCs w:val="24"/>
        </w:rPr>
      </w:pPr>
      <w:r w:rsidRPr="00DC5C97">
        <w:rPr>
          <w:i/>
          <w:sz w:val="24"/>
          <w:szCs w:val="24"/>
        </w:rPr>
        <w:t>National Drug Intelligence Center</w:t>
      </w:r>
    </w:p>
    <w:p w:rsidR="0032402C" w:rsidRPr="008A1FF5" w:rsidRDefault="00DC5C97" w:rsidP="0071210C">
      <w:pPr>
        <w:rPr>
          <w:i/>
          <w:sz w:val="24"/>
          <w:szCs w:val="24"/>
        </w:rPr>
      </w:pPr>
      <w:r w:rsidRPr="00DC5C97">
        <w:rPr>
          <w:i/>
          <w:sz w:val="24"/>
          <w:szCs w:val="24"/>
        </w:rPr>
        <w:t>For necessary expenses of the National Drug Intelligence Center, $25,000,000</w:t>
      </w:r>
      <w:r w:rsidR="0032402C" w:rsidRPr="0081710E">
        <w:rPr>
          <w:i/>
          <w:sz w:val="24"/>
          <w:szCs w:val="24"/>
        </w:rPr>
        <w:t>:</w:t>
      </w:r>
      <w:r w:rsidRPr="00DC5C97">
        <w:rPr>
          <w:i/>
          <w:sz w:val="24"/>
          <w:szCs w:val="24"/>
        </w:rPr>
        <w:t xml:space="preserve"> Provided, That the National Drug Intelligence Center shall ma</w:t>
      </w:r>
      <w:bookmarkStart w:id="5" w:name="_GoBack"/>
      <w:bookmarkEnd w:id="5"/>
      <w:r w:rsidRPr="00DC5C97">
        <w:rPr>
          <w:i/>
          <w:sz w:val="24"/>
          <w:szCs w:val="24"/>
        </w:rPr>
        <w:t>intain the personnel and technical resources to provide timely support to law enforcement authorities and the intelligence community by conducting document and computer exploitation of materials collected in Federal, State, and local law enforcement activity associated with counter-drug, counterterrorism, and national security investigations and operations.</w:t>
      </w:r>
    </w:p>
    <w:p w:rsidR="00FA13E8" w:rsidRDefault="00FA13E8" w:rsidP="0071210C">
      <w:pPr>
        <w:rPr>
          <w:sz w:val="24"/>
          <w:szCs w:val="24"/>
        </w:rPr>
      </w:pPr>
    </w:p>
    <w:p w:rsidR="0032402C" w:rsidRDefault="0032402C" w:rsidP="0071210C">
      <w:pPr>
        <w:rPr>
          <w:b/>
          <w:sz w:val="24"/>
          <w:szCs w:val="24"/>
        </w:rPr>
      </w:pPr>
      <w:r>
        <w:rPr>
          <w:b/>
          <w:sz w:val="24"/>
          <w:szCs w:val="24"/>
        </w:rPr>
        <w:t>Analysis of Appropriations Language</w:t>
      </w:r>
    </w:p>
    <w:p w:rsidR="0032402C" w:rsidRDefault="00BF1A75">
      <w:pPr>
        <w:rPr>
          <w:rStyle w:val="SubtleEmphasis"/>
          <w:rFonts w:ascii="Arial" w:hAnsi="Arial"/>
          <w:b/>
          <w:bCs/>
          <w:i w:val="0"/>
          <w:color w:val="auto"/>
          <w:sz w:val="32"/>
          <w:szCs w:val="32"/>
        </w:rPr>
      </w:pPr>
      <w:r>
        <w:rPr>
          <w:sz w:val="24"/>
          <w:szCs w:val="24"/>
        </w:rPr>
        <w:t>Lowers</w:t>
      </w:r>
      <w:r w:rsidR="0032402C">
        <w:rPr>
          <w:sz w:val="24"/>
          <w:szCs w:val="24"/>
        </w:rPr>
        <w:t xml:space="preserve"> the amount of funding requested from $44.</w:t>
      </w:r>
      <w:r w:rsidR="008D4700">
        <w:rPr>
          <w:sz w:val="24"/>
          <w:szCs w:val="24"/>
        </w:rPr>
        <w:t>023</w:t>
      </w:r>
      <w:r w:rsidR="0032402C">
        <w:rPr>
          <w:sz w:val="24"/>
          <w:szCs w:val="24"/>
        </w:rPr>
        <w:t xml:space="preserve"> million to $</w:t>
      </w:r>
      <w:r w:rsidR="008D4700">
        <w:rPr>
          <w:sz w:val="24"/>
          <w:szCs w:val="24"/>
        </w:rPr>
        <w:t>25.000</w:t>
      </w:r>
      <w:r w:rsidR="00BE2E8F">
        <w:rPr>
          <w:sz w:val="24"/>
          <w:szCs w:val="24"/>
        </w:rPr>
        <w:t xml:space="preserve"> million.</w:t>
      </w:r>
      <w:r>
        <w:rPr>
          <w:sz w:val="24"/>
          <w:szCs w:val="24"/>
        </w:rPr>
        <w:t xml:space="preserve"> </w:t>
      </w:r>
      <w:r w:rsidR="0032402C">
        <w:rPr>
          <w:rStyle w:val="SubtleEmphasis"/>
          <w:i w:val="0"/>
          <w:color w:val="auto"/>
          <w:sz w:val="32"/>
          <w:szCs w:val="32"/>
        </w:rPr>
        <w:br w:type="page"/>
      </w:r>
    </w:p>
    <w:p w:rsidR="0032402C" w:rsidRPr="00216743" w:rsidRDefault="00E4376B" w:rsidP="00FE7E7C">
      <w:pPr>
        <w:pStyle w:val="Heading1"/>
        <w:numPr>
          <w:ilvl w:val="0"/>
          <w:numId w:val="17"/>
        </w:numPr>
        <w:spacing w:after="240"/>
        <w:rPr>
          <w:rStyle w:val="SubtleEmphasis"/>
          <w:rFonts w:ascii="Times New Roman" w:hAnsi="Times New Roman"/>
          <w:i w:val="0"/>
          <w:color w:val="auto"/>
          <w:sz w:val="32"/>
        </w:rPr>
      </w:pPr>
      <w:bookmarkStart w:id="6" w:name="_Toc271895828"/>
      <w:r w:rsidRPr="00E4376B">
        <w:rPr>
          <w:rStyle w:val="SubtleEmphasis"/>
          <w:rFonts w:ascii="Times New Roman" w:hAnsi="Times New Roman"/>
          <w:i w:val="0"/>
          <w:color w:val="auto"/>
          <w:sz w:val="32"/>
          <w:szCs w:val="32"/>
        </w:rPr>
        <w:lastRenderedPageBreak/>
        <w:t>Decision Unit Justification</w:t>
      </w:r>
      <w:bookmarkEnd w:id="6"/>
    </w:p>
    <w:p w:rsidR="0032402C" w:rsidRPr="0032402C" w:rsidRDefault="00E4376B" w:rsidP="00F106E2">
      <w:pPr>
        <w:pStyle w:val="Heading2"/>
        <w:numPr>
          <w:ilvl w:val="0"/>
          <w:numId w:val="2"/>
        </w:numPr>
        <w:rPr>
          <w:rFonts w:ascii="Times New Roman" w:hAnsi="Times New Roman"/>
          <w:color w:val="auto"/>
        </w:rPr>
      </w:pPr>
      <w:r w:rsidRPr="00E4376B">
        <w:rPr>
          <w:rFonts w:ascii="Times New Roman" w:hAnsi="Times New Roman"/>
          <w:color w:val="auto"/>
        </w:rPr>
        <w:t>National Drug Intelligence Center</w:t>
      </w:r>
    </w:p>
    <w:p w:rsidR="0032402C" w:rsidRPr="004377F6" w:rsidRDefault="0032402C" w:rsidP="00F106E2">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8"/>
        <w:gridCol w:w="1350"/>
        <w:gridCol w:w="1080"/>
        <w:gridCol w:w="2178"/>
      </w:tblGrid>
      <w:tr w:rsidR="0032402C" w:rsidRPr="002B56FE" w:rsidTr="002B56FE">
        <w:trPr>
          <w:trHeight w:val="467"/>
        </w:trPr>
        <w:tc>
          <w:tcPr>
            <w:tcW w:w="4968" w:type="dxa"/>
            <w:vAlign w:val="center"/>
          </w:tcPr>
          <w:p w:rsidR="0032402C" w:rsidRPr="002B56FE" w:rsidRDefault="0032402C" w:rsidP="002B56FE">
            <w:pPr>
              <w:spacing w:after="0" w:line="240" w:lineRule="auto"/>
              <w:rPr>
                <w:b/>
                <w:i/>
                <w:sz w:val="24"/>
                <w:szCs w:val="24"/>
              </w:rPr>
            </w:pPr>
            <w:r w:rsidRPr="002B56FE">
              <w:rPr>
                <w:b/>
                <w:i/>
                <w:sz w:val="24"/>
                <w:szCs w:val="24"/>
              </w:rPr>
              <w:t>National Drug Intelligence Center</w:t>
            </w:r>
          </w:p>
        </w:tc>
        <w:tc>
          <w:tcPr>
            <w:tcW w:w="1350" w:type="dxa"/>
          </w:tcPr>
          <w:p w:rsidR="0032402C" w:rsidRPr="002B56FE" w:rsidRDefault="0032402C" w:rsidP="002B56FE">
            <w:pPr>
              <w:spacing w:after="0" w:line="240" w:lineRule="auto"/>
              <w:jc w:val="center"/>
              <w:rPr>
                <w:b/>
                <w:sz w:val="24"/>
                <w:szCs w:val="24"/>
              </w:rPr>
            </w:pPr>
            <w:r w:rsidRPr="002B56FE">
              <w:rPr>
                <w:b/>
                <w:sz w:val="24"/>
                <w:szCs w:val="24"/>
              </w:rPr>
              <w:t>Permanent Positions</w:t>
            </w:r>
          </w:p>
        </w:tc>
        <w:tc>
          <w:tcPr>
            <w:tcW w:w="1080" w:type="dxa"/>
            <w:vAlign w:val="center"/>
          </w:tcPr>
          <w:p w:rsidR="0032402C" w:rsidRPr="002B56FE" w:rsidRDefault="0032402C" w:rsidP="002B56FE">
            <w:pPr>
              <w:spacing w:after="0" w:line="240" w:lineRule="auto"/>
              <w:jc w:val="center"/>
              <w:rPr>
                <w:b/>
                <w:sz w:val="24"/>
                <w:szCs w:val="24"/>
              </w:rPr>
            </w:pPr>
            <w:r w:rsidRPr="002B56FE">
              <w:rPr>
                <w:b/>
                <w:sz w:val="24"/>
                <w:szCs w:val="24"/>
              </w:rPr>
              <w:t>FTE</w:t>
            </w:r>
          </w:p>
        </w:tc>
        <w:tc>
          <w:tcPr>
            <w:tcW w:w="2178" w:type="dxa"/>
          </w:tcPr>
          <w:p w:rsidR="0032402C" w:rsidRPr="002B56FE" w:rsidRDefault="0032402C" w:rsidP="002B56FE">
            <w:pPr>
              <w:spacing w:after="0" w:line="240" w:lineRule="auto"/>
              <w:jc w:val="center"/>
              <w:rPr>
                <w:b/>
                <w:sz w:val="24"/>
                <w:szCs w:val="24"/>
              </w:rPr>
            </w:pPr>
            <w:r w:rsidRPr="002B56FE">
              <w:rPr>
                <w:b/>
                <w:sz w:val="24"/>
                <w:szCs w:val="24"/>
              </w:rPr>
              <w:t>Amount</w:t>
            </w:r>
          </w:p>
          <w:p w:rsidR="0032402C" w:rsidRPr="002B56FE" w:rsidRDefault="0032402C" w:rsidP="002B56FE">
            <w:pPr>
              <w:spacing w:after="0" w:line="240" w:lineRule="auto"/>
              <w:jc w:val="center"/>
              <w:rPr>
                <w:b/>
                <w:i/>
                <w:sz w:val="24"/>
                <w:szCs w:val="24"/>
              </w:rPr>
            </w:pPr>
            <w:r w:rsidRPr="002B56FE">
              <w:rPr>
                <w:b/>
                <w:i/>
                <w:sz w:val="24"/>
                <w:szCs w:val="24"/>
              </w:rPr>
              <w:t>(Dollars in Millions</w:t>
            </w:r>
          </w:p>
        </w:tc>
      </w:tr>
      <w:tr w:rsidR="0032402C" w:rsidRPr="002B56FE" w:rsidTr="002B56FE">
        <w:tc>
          <w:tcPr>
            <w:tcW w:w="4968" w:type="dxa"/>
          </w:tcPr>
          <w:p w:rsidR="0032402C" w:rsidRPr="002B56FE" w:rsidRDefault="0032402C" w:rsidP="00BE2E8F">
            <w:pPr>
              <w:spacing w:after="0" w:line="240" w:lineRule="auto"/>
              <w:rPr>
                <w:sz w:val="24"/>
                <w:szCs w:val="24"/>
              </w:rPr>
            </w:pPr>
            <w:r w:rsidRPr="002B56FE">
              <w:rPr>
                <w:sz w:val="24"/>
                <w:szCs w:val="24"/>
              </w:rPr>
              <w:t>20</w:t>
            </w:r>
            <w:r w:rsidR="00BE2E8F">
              <w:rPr>
                <w:sz w:val="24"/>
                <w:szCs w:val="24"/>
              </w:rPr>
              <w:t>10</w:t>
            </w:r>
            <w:r w:rsidRPr="002B56FE">
              <w:rPr>
                <w:sz w:val="24"/>
                <w:szCs w:val="24"/>
              </w:rPr>
              <w:t xml:space="preserve"> Enacted with Rescissions</w:t>
            </w:r>
          </w:p>
        </w:tc>
        <w:tc>
          <w:tcPr>
            <w:tcW w:w="1350" w:type="dxa"/>
          </w:tcPr>
          <w:p w:rsidR="0032402C" w:rsidRPr="002B56FE" w:rsidRDefault="00BE2E8F" w:rsidP="002B56FE">
            <w:pPr>
              <w:spacing w:after="0" w:line="240" w:lineRule="auto"/>
              <w:jc w:val="right"/>
              <w:rPr>
                <w:sz w:val="24"/>
                <w:szCs w:val="24"/>
              </w:rPr>
            </w:pPr>
            <w:r>
              <w:rPr>
                <w:sz w:val="24"/>
                <w:szCs w:val="24"/>
              </w:rPr>
              <w:t>239</w:t>
            </w:r>
          </w:p>
        </w:tc>
        <w:tc>
          <w:tcPr>
            <w:tcW w:w="1080" w:type="dxa"/>
          </w:tcPr>
          <w:p w:rsidR="0032402C" w:rsidRPr="002B56FE" w:rsidRDefault="00BE2E8F" w:rsidP="002B56FE">
            <w:pPr>
              <w:spacing w:after="0" w:line="240" w:lineRule="auto"/>
              <w:jc w:val="right"/>
              <w:rPr>
                <w:sz w:val="24"/>
                <w:szCs w:val="24"/>
              </w:rPr>
            </w:pPr>
            <w:r>
              <w:rPr>
                <w:sz w:val="24"/>
                <w:szCs w:val="24"/>
              </w:rPr>
              <w:t>239</w:t>
            </w:r>
          </w:p>
        </w:tc>
        <w:tc>
          <w:tcPr>
            <w:tcW w:w="2178" w:type="dxa"/>
          </w:tcPr>
          <w:p w:rsidR="0032402C" w:rsidRPr="002B56FE" w:rsidRDefault="004E14C1" w:rsidP="00BE2E8F">
            <w:pPr>
              <w:spacing w:after="0" w:line="240" w:lineRule="auto"/>
              <w:jc w:val="right"/>
              <w:rPr>
                <w:sz w:val="24"/>
                <w:szCs w:val="24"/>
              </w:rPr>
            </w:pPr>
            <w:r>
              <w:rPr>
                <w:sz w:val="24"/>
                <w:szCs w:val="24"/>
              </w:rPr>
              <w:t>$</w:t>
            </w:r>
            <w:r w:rsidR="0032402C" w:rsidRPr="002B56FE">
              <w:rPr>
                <w:sz w:val="24"/>
                <w:szCs w:val="24"/>
              </w:rPr>
              <w:t>44,0</w:t>
            </w:r>
            <w:r w:rsidR="00BE2E8F">
              <w:rPr>
                <w:sz w:val="24"/>
                <w:szCs w:val="24"/>
              </w:rPr>
              <w:t>23</w:t>
            </w:r>
          </w:p>
        </w:tc>
      </w:tr>
      <w:tr w:rsidR="0032402C" w:rsidRPr="002B56FE" w:rsidTr="002B56FE">
        <w:tc>
          <w:tcPr>
            <w:tcW w:w="4968" w:type="dxa"/>
          </w:tcPr>
          <w:p w:rsidR="0032402C" w:rsidRPr="002B56FE" w:rsidRDefault="0032402C" w:rsidP="002B56FE">
            <w:pPr>
              <w:spacing w:after="0" w:line="240" w:lineRule="auto"/>
              <w:ind w:left="720"/>
              <w:rPr>
                <w:sz w:val="24"/>
                <w:szCs w:val="24"/>
              </w:rPr>
            </w:pPr>
            <w:r w:rsidRPr="002B56FE">
              <w:rPr>
                <w:sz w:val="24"/>
                <w:szCs w:val="24"/>
              </w:rPr>
              <w:t>2009 Supplemental</w:t>
            </w:r>
          </w:p>
        </w:tc>
        <w:tc>
          <w:tcPr>
            <w:tcW w:w="1350" w:type="dxa"/>
          </w:tcPr>
          <w:p w:rsidR="0032402C" w:rsidRPr="002B56FE" w:rsidRDefault="0032402C" w:rsidP="002B56FE">
            <w:pPr>
              <w:spacing w:after="0" w:line="240" w:lineRule="auto"/>
              <w:jc w:val="right"/>
              <w:rPr>
                <w:sz w:val="24"/>
                <w:szCs w:val="24"/>
              </w:rPr>
            </w:pPr>
          </w:p>
        </w:tc>
        <w:tc>
          <w:tcPr>
            <w:tcW w:w="1080" w:type="dxa"/>
          </w:tcPr>
          <w:p w:rsidR="0032402C" w:rsidRPr="002B56FE" w:rsidRDefault="0032402C" w:rsidP="002B56FE">
            <w:pPr>
              <w:spacing w:after="0" w:line="240" w:lineRule="auto"/>
              <w:jc w:val="right"/>
              <w:rPr>
                <w:sz w:val="24"/>
                <w:szCs w:val="24"/>
              </w:rPr>
            </w:pPr>
          </w:p>
        </w:tc>
        <w:tc>
          <w:tcPr>
            <w:tcW w:w="2178" w:type="dxa"/>
          </w:tcPr>
          <w:p w:rsidR="0032402C" w:rsidRPr="002B56FE" w:rsidRDefault="0032402C" w:rsidP="002B56FE">
            <w:pPr>
              <w:spacing w:after="0" w:line="240" w:lineRule="auto"/>
              <w:jc w:val="right"/>
              <w:rPr>
                <w:sz w:val="24"/>
                <w:szCs w:val="24"/>
              </w:rPr>
            </w:pPr>
          </w:p>
        </w:tc>
      </w:tr>
      <w:tr w:rsidR="0032402C" w:rsidRPr="002B56FE" w:rsidTr="002B56FE">
        <w:tc>
          <w:tcPr>
            <w:tcW w:w="4968" w:type="dxa"/>
          </w:tcPr>
          <w:p w:rsidR="0032402C" w:rsidRPr="002B56FE" w:rsidRDefault="0032402C" w:rsidP="00BE2E8F">
            <w:pPr>
              <w:spacing w:after="0" w:line="240" w:lineRule="auto"/>
              <w:rPr>
                <w:sz w:val="24"/>
                <w:szCs w:val="24"/>
              </w:rPr>
            </w:pPr>
            <w:r w:rsidRPr="002B56FE">
              <w:rPr>
                <w:sz w:val="24"/>
                <w:szCs w:val="24"/>
              </w:rPr>
              <w:t>20</w:t>
            </w:r>
            <w:r w:rsidR="00BE2E8F">
              <w:rPr>
                <w:sz w:val="24"/>
                <w:szCs w:val="24"/>
              </w:rPr>
              <w:t>10</w:t>
            </w:r>
            <w:r w:rsidRPr="002B56FE">
              <w:rPr>
                <w:sz w:val="24"/>
                <w:szCs w:val="24"/>
              </w:rPr>
              <w:t xml:space="preserve"> Enacted w/Rescissions and Supplemental</w:t>
            </w:r>
          </w:p>
        </w:tc>
        <w:tc>
          <w:tcPr>
            <w:tcW w:w="1350" w:type="dxa"/>
          </w:tcPr>
          <w:p w:rsidR="0032402C" w:rsidRPr="002B56FE" w:rsidRDefault="0032402C" w:rsidP="002B56FE">
            <w:pPr>
              <w:spacing w:after="0" w:line="240" w:lineRule="auto"/>
              <w:jc w:val="right"/>
              <w:rPr>
                <w:sz w:val="24"/>
                <w:szCs w:val="24"/>
              </w:rPr>
            </w:pPr>
          </w:p>
        </w:tc>
        <w:tc>
          <w:tcPr>
            <w:tcW w:w="1080" w:type="dxa"/>
          </w:tcPr>
          <w:p w:rsidR="0032402C" w:rsidRPr="002B56FE" w:rsidRDefault="0032402C" w:rsidP="002B56FE">
            <w:pPr>
              <w:spacing w:after="0" w:line="240" w:lineRule="auto"/>
              <w:jc w:val="right"/>
              <w:rPr>
                <w:sz w:val="24"/>
                <w:szCs w:val="24"/>
              </w:rPr>
            </w:pPr>
          </w:p>
        </w:tc>
        <w:tc>
          <w:tcPr>
            <w:tcW w:w="2178" w:type="dxa"/>
          </w:tcPr>
          <w:p w:rsidR="0032402C" w:rsidRPr="002B56FE" w:rsidRDefault="0032402C" w:rsidP="002B56FE">
            <w:pPr>
              <w:spacing w:after="0" w:line="240" w:lineRule="auto"/>
              <w:jc w:val="right"/>
              <w:rPr>
                <w:sz w:val="24"/>
                <w:szCs w:val="24"/>
              </w:rPr>
            </w:pPr>
          </w:p>
        </w:tc>
      </w:tr>
      <w:tr w:rsidR="0032402C" w:rsidRPr="002B56FE" w:rsidTr="002B56FE">
        <w:tc>
          <w:tcPr>
            <w:tcW w:w="4968" w:type="dxa"/>
          </w:tcPr>
          <w:p w:rsidR="0032402C" w:rsidRPr="002B56FE" w:rsidRDefault="0032402C" w:rsidP="00BE2E8F">
            <w:pPr>
              <w:spacing w:after="0" w:line="240" w:lineRule="auto"/>
              <w:rPr>
                <w:sz w:val="24"/>
                <w:szCs w:val="24"/>
              </w:rPr>
            </w:pPr>
            <w:r w:rsidRPr="002B56FE">
              <w:rPr>
                <w:sz w:val="24"/>
                <w:szCs w:val="24"/>
              </w:rPr>
              <w:t>201</w:t>
            </w:r>
            <w:r w:rsidR="00BE2E8F">
              <w:rPr>
                <w:sz w:val="24"/>
                <w:szCs w:val="24"/>
              </w:rPr>
              <w:t>1</w:t>
            </w:r>
            <w:r w:rsidRPr="002B56FE">
              <w:rPr>
                <w:sz w:val="24"/>
                <w:szCs w:val="24"/>
              </w:rPr>
              <w:t xml:space="preserve"> President’s Budget</w:t>
            </w:r>
          </w:p>
        </w:tc>
        <w:tc>
          <w:tcPr>
            <w:tcW w:w="1350" w:type="dxa"/>
          </w:tcPr>
          <w:p w:rsidR="0032402C" w:rsidRPr="002B56FE" w:rsidRDefault="0032402C" w:rsidP="0003213A">
            <w:pPr>
              <w:spacing w:after="0" w:line="240" w:lineRule="auto"/>
              <w:jc w:val="right"/>
              <w:rPr>
                <w:sz w:val="24"/>
                <w:szCs w:val="24"/>
              </w:rPr>
            </w:pPr>
            <w:r w:rsidRPr="002B56FE">
              <w:rPr>
                <w:sz w:val="24"/>
                <w:szCs w:val="24"/>
              </w:rPr>
              <w:t>2</w:t>
            </w:r>
            <w:r w:rsidR="0003213A">
              <w:rPr>
                <w:sz w:val="24"/>
                <w:szCs w:val="24"/>
              </w:rPr>
              <w:t>39</w:t>
            </w:r>
          </w:p>
        </w:tc>
        <w:tc>
          <w:tcPr>
            <w:tcW w:w="1080" w:type="dxa"/>
          </w:tcPr>
          <w:p w:rsidR="0032402C" w:rsidRPr="002B56FE" w:rsidRDefault="0032402C" w:rsidP="0003213A">
            <w:pPr>
              <w:spacing w:after="0" w:line="240" w:lineRule="auto"/>
              <w:jc w:val="right"/>
              <w:rPr>
                <w:sz w:val="24"/>
                <w:szCs w:val="24"/>
              </w:rPr>
            </w:pPr>
            <w:r w:rsidRPr="002B56FE">
              <w:rPr>
                <w:sz w:val="24"/>
                <w:szCs w:val="24"/>
              </w:rPr>
              <w:t>2</w:t>
            </w:r>
            <w:r w:rsidR="0003213A">
              <w:rPr>
                <w:sz w:val="24"/>
                <w:szCs w:val="24"/>
              </w:rPr>
              <w:t>39</w:t>
            </w:r>
          </w:p>
        </w:tc>
        <w:tc>
          <w:tcPr>
            <w:tcW w:w="2178" w:type="dxa"/>
          </w:tcPr>
          <w:p w:rsidR="0032402C" w:rsidRPr="002B56FE" w:rsidRDefault="004E14C1" w:rsidP="00652D87">
            <w:pPr>
              <w:spacing w:after="0" w:line="240" w:lineRule="auto"/>
              <w:jc w:val="right"/>
              <w:rPr>
                <w:sz w:val="24"/>
                <w:szCs w:val="24"/>
              </w:rPr>
            </w:pPr>
            <w:r>
              <w:rPr>
                <w:sz w:val="24"/>
                <w:szCs w:val="24"/>
              </w:rPr>
              <w:t>$</w:t>
            </w:r>
            <w:r w:rsidR="009F146F">
              <w:rPr>
                <w:sz w:val="24"/>
                <w:szCs w:val="24"/>
              </w:rPr>
              <w:t>44,023</w:t>
            </w:r>
          </w:p>
        </w:tc>
      </w:tr>
      <w:tr w:rsidR="0032402C" w:rsidRPr="002B56FE" w:rsidTr="002B56FE">
        <w:tc>
          <w:tcPr>
            <w:tcW w:w="4968" w:type="dxa"/>
          </w:tcPr>
          <w:p w:rsidR="0032402C" w:rsidRPr="002B56FE" w:rsidRDefault="0032402C" w:rsidP="002B56FE">
            <w:pPr>
              <w:spacing w:after="0" w:line="240" w:lineRule="auto"/>
              <w:rPr>
                <w:sz w:val="24"/>
                <w:szCs w:val="24"/>
              </w:rPr>
            </w:pPr>
            <w:r w:rsidRPr="002B56FE">
              <w:rPr>
                <w:sz w:val="24"/>
                <w:szCs w:val="24"/>
              </w:rPr>
              <w:t>Adjustments to Base and Technical Adjustments</w:t>
            </w:r>
          </w:p>
        </w:tc>
        <w:tc>
          <w:tcPr>
            <w:tcW w:w="1350" w:type="dxa"/>
          </w:tcPr>
          <w:p w:rsidR="0032402C" w:rsidRPr="002B56FE" w:rsidRDefault="006105FB" w:rsidP="0003213A">
            <w:pPr>
              <w:spacing w:after="0" w:line="240" w:lineRule="auto"/>
              <w:jc w:val="right"/>
              <w:rPr>
                <w:sz w:val="24"/>
                <w:szCs w:val="24"/>
              </w:rPr>
            </w:pPr>
            <w:r>
              <w:rPr>
                <w:sz w:val="24"/>
                <w:szCs w:val="24"/>
              </w:rPr>
              <w:t>1</w:t>
            </w:r>
            <w:r w:rsidR="0003213A">
              <w:rPr>
                <w:sz w:val="24"/>
                <w:szCs w:val="24"/>
              </w:rPr>
              <w:t>8</w:t>
            </w:r>
          </w:p>
        </w:tc>
        <w:tc>
          <w:tcPr>
            <w:tcW w:w="1080" w:type="dxa"/>
          </w:tcPr>
          <w:p w:rsidR="0032402C" w:rsidRPr="002B56FE" w:rsidRDefault="006105FB" w:rsidP="0003213A">
            <w:pPr>
              <w:spacing w:after="0" w:line="240" w:lineRule="auto"/>
              <w:jc w:val="right"/>
              <w:rPr>
                <w:sz w:val="24"/>
                <w:szCs w:val="24"/>
              </w:rPr>
            </w:pPr>
            <w:r>
              <w:rPr>
                <w:sz w:val="24"/>
                <w:szCs w:val="24"/>
              </w:rPr>
              <w:t>1</w:t>
            </w:r>
            <w:r w:rsidR="0003213A">
              <w:rPr>
                <w:sz w:val="24"/>
                <w:szCs w:val="24"/>
              </w:rPr>
              <w:t>8</w:t>
            </w:r>
          </w:p>
        </w:tc>
        <w:tc>
          <w:tcPr>
            <w:tcW w:w="2178" w:type="dxa"/>
          </w:tcPr>
          <w:p w:rsidR="0032402C" w:rsidRPr="002B56FE" w:rsidRDefault="004E14C1" w:rsidP="009F146F">
            <w:pPr>
              <w:spacing w:after="0" w:line="240" w:lineRule="auto"/>
              <w:jc w:val="right"/>
              <w:rPr>
                <w:sz w:val="24"/>
                <w:szCs w:val="24"/>
              </w:rPr>
            </w:pPr>
            <w:r>
              <w:rPr>
                <w:sz w:val="24"/>
                <w:szCs w:val="24"/>
              </w:rPr>
              <w:t>$</w:t>
            </w:r>
            <w:r w:rsidR="009F146F">
              <w:rPr>
                <w:sz w:val="24"/>
                <w:szCs w:val="24"/>
              </w:rPr>
              <w:t>261</w:t>
            </w:r>
          </w:p>
        </w:tc>
      </w:tr>
      <w:tr w:rsidR="0032402C" w:rsidRPr="002B56FE" w:rsidTr="002B56FE">
        <w:tc>
          <w:tcPr>
            <w:tcW w:w="4968" w:type="dxa"/>
          </w:tcPr>
          <w:p w:rsidR="0032402C" w:rsidRPr="002B56FE" w:rsidRDefault="0032402C" w:rsidP="00652D87">
            <w:pPr>
              <w:spacing w:after="0" w:line="240" w:lineRule="auto"/>
              <w:rPr>
                <w:sz w:val="24"/>
                <w:szCs w:val="24"/>
              </w:rPr>
            </w:pPr>
            <w:r w:rsidRPr="002B56FE">
              <w:rPr>
                <w:sz w:val="24"/>
                <w:szCs w:val="24"/>
              </w:rPr>
              <w:t>201</w:t>
            </w:r>
            <w:r w:rsidR="00652D87">
              <w:rPr>
                <w:sz w:val="24"/>
                <w:szCs w:val="24"/>
              </w:rPr>
              <w:t>2</w:t>
            </w:r>
            <w:r w:rsidRPr="002B56FE">
              <w:rPr>
                <w:sz w:val="24"/>
                <w:szCs w:val="24"/>
              </w:rPr>
              <w:t xml:space="preserve"> Current Services</w:t>
            </w:r>
          </w:p>
        </w:tc>
        <w:tc>
          <w:tcPr>
            <w:tcW w:w="1350" w:type="dxa"/>
          </w:tcPr>
          <w:p w:rsidR="0032402C" w:rsidRPr="002B56FE" w:rsidRDefault="0032402C" w:rsidP="00044A0C">
            <w:pPr>
              <w:spacing w:after="0" w:line="240" w:lineRule="auto"/>
              <w:jc w:val="right"/>
              <w:rPr>
                <w:sz w:val="24"/>
                <w:szCs w:val="24"/>
              </w:rPr>
            </w:pPr>
            <w:r w:rsidRPr="002B56FE">
              <w:rPr>
                <w:sz w:val="24"/>
                <w:szCs w:val="24"/>
              </w:rPr>
              <w:t>2</w:t>
            </w:r>
            <w:r w:rsidR="00044A0C">
              <w:rPr>
                <w:sz w:val="24"/>
                <w:szCs w:val="24"/>
              </w:rPr>
              <w:t>5</w:t>
            </w:r>
            <w:r w:rsidRPr="002B56FE">
              <w:rPr>
                <w:sz w:val="24"/>
                <w:szCs w:val="24"/>
              </w:rPr>
              <w:t>7</w:t>
            </w:r>
          </w:p>
        </w:tc>
        <w:tc>
          <w:tcPr>
            <w:tcW w:w="1080" w:type="dxa"/>
          </w:tcPr>
          <w:p w:rsidR="0032402C" w:rsidRPr="002B56FE" w:rsidRDefault="0032402C" w:rsidP="00044A0C">
            <w:pPr>
              <w:spacing w:after="0" w:line="240" w:lineRule="auto"/>
              <w:jc w:val="right"/>
              <w:rPr>
                <w:sz w:val="24"/>
                <w:szCs w:val="24"/>
              </w:rPr>
            </w:pPr>
            <w:r w:rsidRPr="002B56FE">
              <w:rPr>
                <w:sz w:val="24"/>
                <w:szCs w:val="24"/>
              </w:rPr>
              <w:t>2</w:t>
            </w:r>
            <w:r w:rsidR="00044A0C">
              <w:rPr>
                <w:sz w:val="24"/>
                <w:szCs w:val="24"/>
              </w:rPr>
              <w:t>5</w:t>
            </w:r>
            <w:r w:rsidRPr="002B56FE">
              <w:rPr>
                <w:sz w:val="24"/>
                <w:szCs w:val="24"/>
              </w:rPr>
              <w:t>7</w:t>
            </w:r>
          </w:p>
        </w:tc>
        <w:tc>
          <w:tcPr>
            <w:tcW w:w="2178" w:type="dxa"/>
          </w:tcPr>
          <w:p w:rsidR="0032402C" w:rsidRPr="002B56FE" w:rsidRDefault="004E14C1" w:rsidP="009F146F">
            <w:pPr>
              <w:spacing w:after="0" w:line="240" w:lineRule="auto"/>
              <w:jc w:val="right"/>
              <w:rPr>
                <w:sz w:val="24"/>
                <w:szCs w:val="24"/>
              </w:rPr>
            </w:pPr>
            <w:r>
              <w:rPr>
                <w:sz w:val="24"/>
                <w:szCs w:val="24"/>
              </w:rPr>
              <w:t>$</w:t>
            </w:r>
            <w:r w:rsidR="009F146F">
              <w:rPr>
                <w:sz w:val="24"/>
                <w:szCs w:val="24"/>
              </w:rPr>
              <w:t>44,284</w:t>
            </w:r>
          </w:p>
        </w:tc>
      </w:tr>
      <w:tr w:rsidR="0032402C" w:rsidRPr="002B56FE" w:rsidTr="002B56FE">
        <w:tc>
          <w:tcPr>
            <w:tcW w:w="4968" w:type="dxa"/>
          </w:tcPr>
          <w:p w:rsidR="0032402C" w:rsidRPr="002B56FE" w:rsidRDefault="0032402C" w:rsidP="00044A0C">
            <w:pPr>
              <w:spacing w:after="0" w:line="240" w:lineRule="auto"/>
              <w:rPr>
                <w:sz w:val="24"/>
                <w:szCs w:val="24"/>
              </w:rPr>
            </w:pPr>
            <w:r w:rsidRPr="002B56FE">
              <w:rPr>
                <w:sz w:val="24"/>
                <w:szCs w:val="24"/>
              </w:rPr>
              <w:t>201</w:t>
            </w:r>
            <w:r w:rsidR="00652D87">
              <w:rPr>
                <w:sz w:val="24"/>
                <w:szCs w:val="24"/>
              </w:rPr>
              <w:t>2</w:t>
            </w:r>
            <w:r w:rsidRPr="002B56FE">
              <w:rPr>
                <w:sz w:val="24"/>
                <w:szCs w:val="24"/>
              </w:rPr>
              <w:t xml:space="preserve"> Program </w:t>
            </w:r>
            <w:r w:rsidR="00044A0C">
              <w:rPr>
                <w:sz w:val="24"/>
                <w:szCs w:val="24"/>
              </w:rPr>
              <w:t>De</w:t>
            </w:r>
            <w:r w:rsidRPr="002B56FE">
              <w:rPr>
                <w:sz w:val="24"/>
                <w:szCs w:val="24"/>
              </w:rPr>
              <w:t>creases</w:t>
            </w:r>
          </w:p>
        </w:tc>
        <w:tc>
          <w:tcPr>
            <w:tcW w:w="1350" w:type="dxa"/>
          </w:tcPr>
          <w:p w:rsidR="0032402C" w:rsidRPr="002B56FE" w:rsidRDefault="00044A0C" w:rsidP="002B56FE">
            <w:pPr>
              <w:spacing w:after="0" w:line="240" w:lineRule="auto"/>
              <w:jc w:val="right"/>
              <w:rPr>
                <w:sz w:val="24"/>
                <w:szCs w:val="24"/>
              </w:rPr>
            </w:pPr>
            <w:r>
              <w:rPr>
                <w:sz w:val="24"/>
                <w:szCs w:val="24"/>
              </w:rPr>
              <w:t>(19)</w:t>
            </w:r>
          </w:p>
        </w:tc>
        <w:tc>
          <w:tcPr>
            <w:tcW w:w="1080" w:type="dxa"/>
          </w:tcPr>
          <w:p w:rsidR="0032402C" w:rsidRPr="002B56FE" w:rsidRDefault="00044A0C" w:rsidP="002B56FE">
            <w:pPr>
              <w:spacing w:after="0" w:line="240" w:lineRule="auto"/>
              <w:jc w:val="right"/>
              <w:rPr>
                <w:sz w:val="24"/>
                <w:szCs w:val="24"/>
              </w:rPr>
            </w:pPr>
            <w:r>
              <w:rPr>
                <w:sz w:val="24"/>
                <w:szCs w:val="24"/>
              </w:rPr>
              <w:t>(19)</w:t>
            </w:r>
          </w:p>
        </w:tc>
        <w:tc>
          <w:tcPr>
            <w:tcW w:w="2178" w:type="dxa"/>
          </w:tcPr>
          <w:p w:rsidR="0032402C" w:rsidRPr="002B56FE" w:rsidRDefault="00044A0C" w:rsidP="009F146F">
            <w:pPr>
              <w:spacing w:after="0" w:line="240" w:lineRule="auto"/>
              <w:jc w:val="right"/>
              <w:rPr>
                <w:sz w:val="24"/>
                <w:szCs w:val="24"/>
              </w:rPr>
            </w:pPr>
            <w:r>
              <w:rPr>
                <w:sz w:val="24"/>
                <w:szCs w:val="24"/>
              </w:rPr>
              <w:t>(</w:t>
            </w:r>
            <w:r w:rsidR="004E14C1">
              <w:rPr>
                <w:sz w:val="24"/>
                <w:szCs w:val="24"/>
              </w:rPr>
              <w:t>$</w:t>
            </w:r>
            <w:r w:rsidR="009F146F">
              <w:rPr>
                <w:sz w:val="24"/>
                <w:szCs w:val="24"/>
              </w:rPr>
              <w:t>19,284</w:t>
            </w:r>
            <w:r>
              <w:rPr>
                <w:sz w:val="24"/>
                <w:szCs w:val="24"/>
              </w:rPr>
              <w:t>)</w:t>
            </w:r>
          </w:p>
        </w:tc>
      </w:tr>
      <w:tr w:rsidR="0032402C" w:rsidRPr="002B56FE" w:rsidTr="002B56FE">
        <w:tc>
          <w:tcPr>
            <w:tcW w:w="4968" w:type="dxa"/>
          </w:tcPr>
          <w:p w:rsidR="0032402C" w:rsidRPr="002B56FE" w:rsidRDefault="0032402C" w:rsidP="00652D87">
            <w:pPr>
              <w:spacing w:after="0" w:line="240" w:lineRule="auto"/>
              <w:rPr>
                <w:sz w:val="24"/>
                <w:szCs w:val="24"/>
              </w:rPr>
            </w:pPr>
            <w:r w:rsidRPr="002B56FE">
              <w:rPr>
                <w:sz w:val="24"/>
                <w:szCs w:val="24"/>
              </w:rPr>
              <w:t>201</w:t>
            </w:r>
            <w:r w:rsidR="00652D87">
              <w:rPr>
                <w:sz w:val="24"/>
                <w:szCs w:val="24"/>
              </w:rPr>
              <w:t>2</w:t>
            </w:r>
            <w:r w:rsidRPr="002B56FE">
              <w:rPr>
                <w:sz w:val="24"/>
                <w:szCs w:val="24"/>
              </w:rPr>
              <w:t xml:space="preserve"> Request</w:t>
            </w:r>
          </w:p>
        </w:tc>
        <w:tc>
          <w:tcPr>
            <w:tcW w:w="1350" w:type="dxa"/>
          </w:tcPr>
          <w:p w:rsidR="0032402C" w:rsidRPr="002B56FE" w:rsidRDefault="0032402C" w:rsidP="00044A0C">
            <w:pPr>
              <w:spacing w:after="0" w:line="240" w:lineRule="auto"/>
              <w:jc w:val="right"/>
              <w:rPr>
                <w:sz w:val="24"/>
                <w:szCs w:val="24"/>
              </w:rPr>
            </w:pPr>
            <w:r w:rsidRPr="002B56FE">
              <w:rPr>
                <w:sz w:val="24"/>
                <w:szCs w:val="24"/>
              </w:rPr>
              <w:t>2</w:t>
            </w:r>
            <w:r w:rsidR="00044A0C">
              <w:rPr>
                <w:sz w:val="24"/>
                <w:szCs w:val="24"/>
              </w:rPr>
              <w:t>38</w:t>
            </w:r>
          </w:p>
        </w:tc>
        <w:tc>
          <w:tcPr>
            <w:tcW w:w="1080" w:type="dxa"/>
          </w:tcPr>
          <w:p w:rsidR="0032402C" w:rsidRPr="002B56FE" w:rsidRDefault="0032402C" w:rsidP="00044A0C">
            <w:pPr>
              <w:spacing w:after="0" w:line="240" w:lineRule="auto"/>
              <w:jc w:val="right"/>
              <w:rPr>
                <w:sz w:val="24"/>
                <w:szCs w:val="24"/>
              </w:rPr>
            </w:pPr>
            <w:r w:rsidRPr="002B56FE">
              <w:rPr>
                <w:sz w:val="24"/>
                <w:szCs w:val="24"/>
              </w:rPr>
              <w:t>2</w:t>
            </w:r>
            <w:r w:rsidR="00044A0C">
              <w:rPr>
                <w:sz w:val="24"/>
                <w:szCs w:val="24"/>
              </w:rPr>
              <w:t>38</w:t>
            </w:r>
          </w:p>
        </w:tc>
        <w:tc>
          <w:tcPr>
            <w:tcW w:w="2178" w:type="dxa"/>
          </w:tcPr>
          <w:p w:rsidR="0032402C" w:rsidRPr="002B56FE" w:rsidRDefault="004E14C1" w:rsidP="009F146F">
            <w:pPr>
              <w:spacing w:after="0" w:line="240" w:lineRule="auto"/>
              <w:jc w:val="right"/>
              <w:rPr>
                <w:sz w:val="24"/>
                <w:szCs w:val="24"/>
              </w:rPr>
            </w:pPr>
            <w:r>
              <w:rPr>
                <w:sz w:val="24"/>
                <w:szCs w:val="24"/>
              </w:rPr>
              <w:t>$</w:t>
            </w:r>
            <w:r w:rsidR="009F146F">
              <w:rPr>
                <w:sz w:val="24"/>
                <w:szCs w:val="24"/>
              </w:rPr>
              <w:t>25,000</w:t>
            </w:r>
          </w:p>
        </w:tc>
      </w:tr>
      <w:tr w:rsidR="0032402C" w:rsidRPr="002B56FE" w:rsidTr="002B56FE">
        <w:tc>
          <w:tcPr>
            <w:tcW w:w="4968" w:type="dxa"/>
            <w:shd w:val="clear" w:color="auto" w:fill="D9D9D9"/>
          </w:tcPr>
          <w:p w:rsidR="0032402C" w:rsidRPr="002B56FE" w:rsidRDefault="0032402C" w:rsidP="00652D87">
            <w:pPr>
              <w:spacing w:after="0" w:line="240" w:lineRule="auto"/>
              <w:rPr>
                <w:b/>
                <w:sz w:val="24"/>
                <w:szCs w:val="24"/>
              </w:rPr>
            </w:pPr>
            <w:r w:rsidRPr="002B56FE">
              <w:rPr>
                <w:b/>
                <w:sz w:val="24"/>
                <w:szCs w:val="24"/>
              </w:rPr>
              <w:t>Total Change 201</w:t>
            </w:r>
            <w:r w:rsidR="00652D87">
              <w:rPr>
                <w:b/>
                <w:sz w:val="24"/>
                <w:szCs w:val="24"/>
              </w:rPr>
              <w:t>1</w:t>
            </w:r>
            <w:r w:rsidRPr="002B56FE">
              <w:rPr>
                <w:b/>
                <w:sz w:val="24"/>
                <w:szCs w:val="24"/>
              </w:rPr>
              <w:t xml:space="preserve"> – 201</w:t>
            </w:r>
            <w:r w:rsidR="00652D87">
              <w:rPr>
                <w:b/>
                <w:sz w:val="24"/>
                <w:szCs w:val="24"/>
              </w:rPr>
              <w:t>2</w:t>
            </w:r>
          </w:p>
        </w:tc>
        <w:tc>
          <w:tcPr>
            <w:tcW w:w="1350" w:type="dxa"/>
            <w:shd w:val="clear" w:color="auto" w:fill="D9D9D9"/>
          </w:tcPr>
          <w:p w:rsidR="0032402C" w:rsidRPr="002B56FE" w:rsidRDefault="0032402C" w:rsidP="002B56FE">
            <w:pPr>
              <w:spacing w:after="0" w:line="240" w:lineRule="auto"/>
              <w:jc w:val="right"/>
              <w:rPr>
                <w:b/>
                <w:sz w:val="24"/>
                <w:szCs w:val="24"/>
              </w:rPr>
            </w:pPr>
          </w:p>
        </w:tc>
        <w:tc>
          <w:tcPr>
            <w:tcW w:w="1080" w:type="dxa"/>
            <w:shd w:val="clear" w:color="auto" w:fill="D9D9D9"/>
          </w:tcPr>
          <w:p w:rsidR="0032402C" w:rsidRPr="002B56FE" w:rsidRDefault="0032402C" w:rsidP="002B56FE">
            <w:pPr>
              <w:spacing w:after="0" w:line="240" w:lineRule="auto"/>
              <w:jc w:val="right"/>
              <w:rPr>
                <w:b/>
                <w:sz w:val="24"/>
                <w:szCs w:val="24"/>
              </w:rPr>
            </w:pPr>
          </w:p>
        </w:tc>
        <w:tc>
          <w:tcPr>
            <w:tcW w:w="2178" w:type="dxa"/>
            <w:shd w:val="clear" w:color="auto" w:fill="D9D9D9"/>
          </w:tcPr>
          <w:p w:rsidR="0032402C" w:rsidRPr="002B56FE" w:rsidRDefault="00044A0C" w:rsidP="009F146F">
            <w:pPr>
              <w:spacing w:after="0" w:line="240" w:lineRule="auto"/>
              <w:jc w:val="right"/>
              <w:rPr>
                <w:b/>
                <w:sz w:val="24"/>
                <w:szCs w:val="24"/>
              </w:rPr>
            </w:pPr>
            <w:r>
              <w:rPr>
                <w:b/>
                <w:sz w:val="24"/>
                <w:szCs w:val="24"/>
              </w:rPr>
              <w:t>(</w:t>
            </w:r>
            <w:r w:rsidR="004E14C1">
              <w:rPr>
                <w:b/>
                <w:sz w:val="24"/>
                <w:szCs w:val="24"/>
              </w:rPr>
              <w:t>$</w:t>
            </w:r>
            <w:r w:rsidR="009F146F">
              <w:rPr>
                <w:b/>
                <w:sz w:val="24"/>
                <w:szCs w:val="24"/>
              </w:rPr>
              <w:t>19,023</w:t>
            </w:r>
            <w:r>
              <w:rPr>
                <w:b/>
                <w:sz w:val="24"/>
                <w:szCs w:val="24"/>
              </w:rPr>
              <w:t>)</w:t>
            </w:r>
          </w:p>
        </w:tc>
      </w:tr>
    </w:tbl>
    <w:p w:rsidR="00BB493B" w:rsidRDefault="00A6509C" w:rsidP="0007777F">
      <w:pPr>
        <w:pStyle w:val="Heading2"/>
        <w:tabs>
          <w:tab w:val="left" w:pos="6120"/>
        </w:tabs>
        <w:spacing w:after="200"/>
        <w:rPr>
          <w:rFonts w:ascii="Times New Roman" w:hAnsi="Times New Roman"/>
          <w:color w:val="auto"/>
        </w:rPr>
      </w:pPr>
      <w:r>
        <w:rPr>
          <w:rFonts w:ascii="Times New Roman" w:hAnsi="Times New Roman"/>
          <w:color w:val="auto"/>
        </w:rPr>
        <w:t xml:space="preserve">1. </w:t>
      </w:r>
      <w:r w:rsidR="00E4376B" w:rsidRPr="00E4376B">
        <w:rPr>
          <w:rFonts w:ascii="Times New Roman" w:hAnsi="Times New Roman"/>
          <w:color w:val="auto"/>
        </w:rPr>
        <w:t>Program Description</w:t>
      </w:r>
    </w:p>
    <w:p w:rsidR="00364430" w:rsidRPr="00046C2D" w:rsidRDefault="00364430" w:rsidP="00364430">
      <w:pPr>
        <w:rPr>
          <w:b/>
          <w:i/>
          <w:sz w:val="24"/>
          <w:szCs w:val="24"/>
        </w:rPr>
      </w:pPr>
      <w:r w:rsidRPr="00046C2D">
        <w:rPr>
          <w:b/>
          <w:i/>
          <w:sz w:val="24"/>
          <w:szCs w:val="24"/>
        </w:rPr>
        <w:t>Document and Media Exploitation</w:t>
      </w:r>
    </w:p>
    <w:p w:rsidR="00364430" w:rsidRPr="00582DC7" w:rsidRDefault="00364430" w:rsidP="00364430">
      <w:pPr>
        <w:rPr>
          <w:sz w:val="24"/>
          <w:szCs w:val="24"/>
        </w:rPr>
      </w:pPr>
      <w:r w:rsidRPr="00582DC7">
        <w:rPr>
          <w:sz w:val="24"/>
          <w:szCs w:val="24"/>
        </w:rPr>
        <w:t xml:space="preserve">An important part of the NDIC mission is to provide </w:t>
      </w:r>
      <w:r>
        <w:rPr>
          <w:sz w:val="24"/>
          <w:szCs w:val="24"/>
        </w:rPr>
        <w:t xml:space="preserve">DOMEX </w:t>
      </w:r>
      <w:r w:rsidRPr="00582DC7">
        <w:rPr>
          <w:sz w:val="24"/>
          <w:szCs w:val="24"/>
        </w:rPr>
        <w:t>support to law enforcement and intelligence communities of the United States in order to reduce the adverse effects of drug trafficking, drug abuse, and other drug-related criminal activity.</w:t>
      </w:r>
      <w:r>
        <w:rPr>
          <w:sz w:val="24"/>
          <w:szCs w:val="24"/>
        </w:rPr>
        <w:t xml:space="preserve"> Along with Johnstown based DOMEX teams, </w:t>
      </w:r>
      <w:r w:rsidRPr="00582DC7">
        <w:rPr>
          <w:sz w:val="24"/>
          <w:szCs w:val="24"/>
        </w:rPr>
        <w:t>NDIC has also partnered with the Utah National Guard’s Joint Language Training Center, which houses an additional DOMEX team used for missions with a foreign language component.</w:t>
      </w:r>
    </w:p>
    <w:p w:rsidR="00364430" w:rsidRPr="00582DC7" w:rsidRDefault="00364430" w:rsidP="00364430">
      <w:pPr>
        <w:rPr>
          <w:sz w:val="24"/>
          <w:szCs w:val="24"/>
        </w:rPr>
      </w:pPr>
      <w:r w:rsidRPr="00582DC7">
        <w:rPr>
          <w:sz w:val="24"/>
          <w:szCs w:val="24"/>
        </w:rPr>
        <w:t>In FY 2010, NDIC supported five DOMEX teams that are co-located with OCDETF St</w:t>
      </w:r>
      <w:r>
        <w:rPr>
          <w:sz w:val="24"/>
          <w:szCs w:val="24"/>
        </w:rPr>
        <w:t>rike Forces in Atlanta, Georgia;</w:t>
      </w:r>
      <w:r w:rsidRPr="00582DC7">
        <w:rPr>
          <w:sz w:val="24"/>
          <w:szCs w:val="24"/>
        </w:rPr>
        <w:t xml:space="preserve"> Houston, Texas</w:t>
      </w:r>
      <w:r>
        <w:rPr>
          <w:sz w:val="24"/>
          <w:szCs w:val="24"/>
        </w:rPr>
        <w:t>;</w:t>
      </w:r>
      <w:r w:rsidRPr="00582DC7">
        <w:rPr>
          <w:sz w:val="24"/>
          <w:szCs w:val="24"/>
        </w:rPr>
        <w:t xml:space="preserve"> San Diego, California; El Paso, Texas; and Phoenix, Arizona. </w:t>
      </w:r>
      <w:r>
        <w:rPr>
          <w:sz w:val="24"/>
          <w:szCs w:val="24"/>
        </w:rPr>
        <w:t xml:space="preserve"> These teams are funded through </w:t>
      </w:r>
      <w:r w:rsidR="00091D22">
        <w:rPr>
          <w:sz w:val="24"/>
          <w:szCs w:val="24"/>
        </w:rPr>
        <w:t xml:space="preserve">the </w:t>
      </w:r>
      <w:r>
        <w:rPr>
          <w:sz w:val="24"/>
          <w:szCs w:val="24"/>
        </w:rPr>
        <w:t>A</w:t>
      </w:r>
      <w:r w:rsidR="00091D22">
        <w:rPr>
          <w:sz w:val="24"/>
          <w:szCs w:val="24"/>
        </w:rPr>
        <w:t xml:space="preserve">sset </w:t>
      </w:r>
      <w:r>
        <w:rPr>
          <w:sz w:val="24"/>
          <w:szCs w:val="24"/>
        </w:rPr>
        <w:t>F</w:t>
      </w:r>
      <w:r w:rsidR="00091D22">
        <w:rPr>
          <w:sz w:val="24"/>
          <w:szCs w:val="24"/>
        </w:rPr>
        <w:t xml:space="preserve">orfeiture </w:t>
      </w:r>
      <w:r>
        <w:rPr>
          <w:sz w:val="24"/>
          <w:szCs w:val="24"/>
        </w:rPr>
        <w:t>F</w:t>
      </w:r>
      <w:r w:rsidR="00091D22">
        <w:rPr>
          <w:sz w:val="24"/>
          <w:szCs w:val="24"/>
        </w:rPr>
        <w:t>und</w:t>
      </w:r>
      <w:r>
        <w:rPr>
          <w:sz w:val="24"/>
          <w:szCs w:val="24"/>
        </w:rPr>
        <w:t>.</w:t>
      </w:r>
    </w:p>
    <w:p w:rsidR="0032402C" w:rsidRPr="00BB493B" w:rsidRDefault="00E4376B" w:rsidP="0007777F">
      <w:pPr>
        <w:pStyle w:val="Heading2"/>
        <w:spacing w:before="0" w:after="200"/>
        <w:rPr>
          <w:rFonts w:ascii="Times New Roman" w:hAnsi="Times New Roman"/>
          <w:i/>
          <w:color w:val="auto"/>
        </w:rPr>
      </w:pPr>
      <w:r w:rsidRPr="00BB493B">
        <w:rPr>
          <w:rFonts w:ascii="Times New Roman" w:hAnsi="Times New Roman"/>
          <w:i/>
          <w:color w:val="auto"/>
          <w:sz w:val="24"/>
          <w:szCs w:val="24"/>
        </w:rPr>
        <w:t>Strategic Intelligence</w:t>
      </w:r>
    </w:p>
    <w:p w:rsidR="0032402C" w:rsidRDefault="0032402C" w:rsidP="00A252AE">
      <w:pPr>
        <w:rPr>
          <w:sz w:val="24"/>
          <w:szCs w:val="24"/>
        </w:rPr>
      </w:pPr>
      <w:r w:rsidRPr="00582DC7">
        <w:rPr>
          <w:sz w:val="24"/>
          <w:szCs w:val="24"/>
        </w:rPr>
        <w:t>An</w:t>
      </w:r>
      <w:r w:rsidR="00364430">
        <w:rPr>
          <w:sz w:val="24"/>
          <w:szCs w:val="24"/>
        </w:rPr>
        <w:t>other</w:t>
      </w:r>
      <w:r w:rsidRPr="00582DC7">
        <w:rPr>
          <w:sz w:val="24"/>
          <w:szCs w:val="24"/>
        </w:rPr>
        <w:t xml:space="preserve"> important part of the NDIC mission is to provide drug-related intelligence support to the drug control, public health, law enforcement, and intelligence communities of the United States in order in order to reduce the adverse effects of drug trafficking, drug abuse, and other drug-related criminal activity. </w:t>
      </w:r>
      <w:r w:rsidR="00961951" w:rsidRPr="00582DC7">
        <w:rPr>
          <w:sz w:val="24"/>
          <w:szCs w:val="24"/>
        </w:rPr>
        <w:t xml:space="preserve">NDIC’s </w:t>
      </w:r>
      <w:r w:rsidRPr="00582DC7">
        <w:rPr>
          <w:sz w:val="24"/>
          <w:szCs w:val="24"/>
        </w:rPr>
        <w:t xml:space="preserve">reports provide a strategic overview of the illicit drug situation in each respective region or market by highlighting significant trends and law enforcement concerns and are used to develop annual strategies for allocating assets and resources at the state and local level. </w:t>
      </w:r>
    </w:p>
    <w:p w:rsidR="0007777F" w:rsidRPr="00582DC7" w:rsidRDefault="0007777F" w:rsidP="00A252AE">
      <w:pPr>
        <w:rPr>
          <w:sz w:val="24"/>
          <w:szCs w:val="24"/>
        </w:rPr>
      </w:pPr>
    </w:p>
    <w:p w:rsidR="00BE7060" w:rsidRPr="00216743" w:rsidRDefault="00E4376B" w:rsidP="00BE7060">
      <w:pPr>
        <w:pStyle w:val="Heading2"/>
        <w:rPr>
          <w:rFonts w:ascii="Times New Roman" w:hAnsi="Times New Roman"/>
          <w:i/>
          <w:color w:val="auto"/>
        </w:rPr>
      </w:pPr>
      <w:r w:rsidRPr="00BE7060">
        <w:rPr>
          <w:rFonts w:ascii="Times New Roman" w:hAnsi="Times New Roman"/>
          <w:i/>
          <w:color w:val="auto"/>
          <w:sz w:val="24"/>
          <w:szCs w:val="24"/>
        </w:rPr>
        <w:lastRenderedPageBreak/>
        <w:t>Training</w:t>
      </w:r>
    </w:p>
    <w:p w:rsidR="00BE7060" w:rsidRDefault="00BE7060" w:rsidP="00BE7060">
      <w:pPr>
        <w:rPr>
          <w:sz w:val="24"/>
          <w:szCs w:val="24"/>
        </w:rPr>
      </w:pPr>
    </w:p>
    <w:p w:rsidR="0032402C" w:rsidRPr="00BB493B" w:rsidRDefault="0032402C" w:rsidP="00BE7060">
      <w:pPr>
        <w:spacing w:after="0" w:line="240" w:lineRule="auto"/>
        <w:rPr>
          <w:b/>
          <w:i/>
          <w:sz w:val="24"/>
          <w:szCs w:val="24"/>
        </w:rPr>
      </w:pPr>
      <w:r w:rsidRPr="00BB493B">
        <w:rPr>
          <w:sz w:val="24"/>
          <w:szCs w:val="24"/>
        </w:rPr>
        <w:t xml:space="preserve">In keeping with its mission, NDIC provides training to </w:t>
      </w:r>
      <w:r w:rsidRPr="00BB493B">
        <w:rPr>
          <w:color w:val="000000"/>
          <w:sz w:val="24"/>
          <w:szCs w:val="24"/>
        </w:rPr>
        <w:t>federal, state, and local law enforcement personnel on topics related to basic drug intelligence analysis. NDIC provides instructional support to DEA and HIDTA sponsored training sessions.</w:t>
      </w:r>
    </w:p>
    <w:p w:rsidR="0032402C" w:rsidRPr="0032402C" w:rsidRDefault="0032402C" w:rsidP="00A252AE">
      <w:pPr>
        <w:rPr>
          <w:i/>
          <w:sz w:val="16"/>
          <w:szCs w:val="16"/>
        </w:rPr>
      </w:pPr>
    </w:p>
    <w:p w:rsidR="0032402C" w:rsidRPr="00E73887" w:rsidRDefault="0032402C" w:rsidP="0071210C">
      <w:pPr>
        <w:rPr>
          <w:sz w:val="24"/>
          <w:szCs w:val="24"/>
        </w:rPr>
      </w:pPr>
    </w:p>
    <w:p w:rsidR="0032402C" w:rsidRPr="00E73887" w:rsidRDefault="0032402C" w:rsidP="00A252AE">
      <w:pPr>
        <w:pStyle w:val="Heading2"/>
        <w:numPr>
          <w:ilvl w:val="0"/>
          <w:numId w:val="3"/>
        </w:numPr>
        <w:rPr>
          <w:rFonts w:ascii="Times New Roman" w:hAnsi="Times New Roman"/>
          <w:color w:val="auto"/>
        </w:rPr>
        <w:sectPr w:rsidR="0032402C" w:rsidRPr="00E73887" w:rsidSect="00D6112B">
          <w:pgSz w:w="12240" w:h="15840"/>
          <w:pgMar w:top="1440" w:right="1440" w:bottom="1440" w:left="1440" w:header="720" w:footer="570" w:gutter="0"/>
          <w:cols w:space="720"/>
          <w:titlePg/>
          <w:docGrid w:linePitch="360"/>
        </w:sectPr>
      </w:pPr>
    </w:p>
    <w:p w:rsidR="0032402C" w:rsidRPr="0032402C" w:rsidRDefault="00A6509C" w:rsidP="00A6509C">
      <w:pPr>
        <w:pStyle w:val="Heading2"/>
        <w:rPr>
          <w:rFonts w:ascii="Times New Roman" w:hAnsi="Times New Roman"/>
          <w:color w:val="auto"/>
        </w:rPr>
      </w:pPr>
      <w:r>
        <w:rPr>
          <w:rFonts w:ascii="Times New Roman" w:hAnsi="Times New Roman"/>
          <w:color w:val="auto"/>
        </w:rPr>
        <w:lastRenderedPageBreak/>
        <w:t xml:space="preserve">2. </w:t>
      </w:r>
      <w:r w:rsidR="00E4376B" w:rsidRPr="00E4376B">
        <w:rPr>
          <w:rFonts w:ascii="Times New Roman" w:hAnsi="Times New Roman"/>
          <w:color w:val="auto"/>
        </w:rPr>
        <w:t>Performance Tables</w:t>
      </w:r>
    </w:p>
    <w:tbl>
      <w:tblPr>
        <w:tblW w:w="13400" w:type="dxa"/>
        <w:tblInd w:w="91" w:type="dxa"/>
        <w:tblLook w:val="04A0" w:firstRow="1" w:lastRow="0" w:firstColumn="1" w:lastColumn="0" w:noHBand="0" w:noVBand="1"/>
      </w:tblPr>
      <w:tblGrid>
        <w:gridCol w:w="1800"/>
        <w:gridCol w:w="2600"/>
        <w:gridCol w:w="900"/>
        <w:gridCol w:w="900"/>
        <w:gridCol w:w="900"/>
        <w:gridCol w:w="900"/>
        <w:gridCol w:w="900"/>
        <w:gridCol w:w="900"/>
        <w:gridCol w:w="900"/>
        <w:gridCol w:w="900"/>
        <w:gridCol w:w="900"/>
        <w:gridCol w:w="900"/>
      </w:tblGrid>
      <w:tr w:rsidR="00264994" w:rsidRPr="00264994" w:rsidTr="00264994">
        <w:trPr>
          <w:trHeight w:val="402"/>
        </w:trPr>
        <w:tc>
          <w:tcPr>
            <w:tcW w:w="13400"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PERFORMANCE AND RESOURCE TABLE</w:t>
            </w:r>
          </w:p>
        </w:tc>
      </w:tr>
      <w:tr w:rsidR="00264994" w:rsidRPr="00264994" w:rsidTr="00264994">
        <w:trPr>
          <w:trHeight w:val="240"/>
        </w:trPr>
        <w:tc>
          <w:tcPr>
            <w:tcW w:w="13400" w:type="dxa"/>
            <w:gridSpan w:val="12"/>
            <w:tcBorders>
              <w:top w:val="nil"/>
              <w:left w:val="single" w:sz="8" w:space="0" w:color="auto"/>
              <w:bottom w:val="nil"/>
              <w:right w:val="single" w:sz="8" w:space="0" w:color="000000"/>
            </w:tcBorders>
            <w:shd w:val="clear" w:color="auto" w:fill="auto"/>
            <w:noWrap/>
            <w:hideMark/>
          </w:tcPr>
          <w:p w:rsidR="00264994" w:rsidRPr="00264994" w:rsidRDefault="00264994" w:rsidP="00264994">
            <w:pPr>
              <w:spacing w:after="0" w:line="240" w:lineRule="auto"/>
              <w:rPr>
                <w:rFonts w:ascii="Arial" w:hAnsi="Arial" w:cs="Arial"/>
                <w:b/>
                <w:bCs/>
                <w:sz w:val="16"/>
                <w:szCs w:val="16"/>
              </w:rPr>
            </w:pPr>
            <w:r w:rsidRPr="00264994">
              <w:rPr>
                <w:rFonts w:ascii="Arial" w:hAnsi="Arial" w:cs="Arial"/>
                <w:b/>
                <w:bCs/>
                <w:sz w:val="16"/>
                <w:szCs w:val="16"/>
              </w:rPr>
              <w:t>Decision Unit: National Drug Intelligence Center</w:t>
            </w:r>
          </w:p>
        </w:tc>
      </w:tr>
      <w:tr w:rsidR="00264994" w:rsidRPr="00264994" w:rsidTr="00264994">
        <w:trPr>
          <w:trHeight w:val="702"/>
        </w:trPr>
        <w:tc>
          <w:tcPr>
            <w:tcW w:w="13400" w:type="dxa"/>
            <w:gridSpan w:val="12"/>
            <w:tcBorders>
              <w:top w:val="single" w:sz="4" w:space="0" w:color="auto"/>
              <w:left w:val="single" w:sz="8" w:space="0" w:color="auto"/>
              <w:bottom w:val="single" w:sz="8" w:space="0" w:color="auto"/>
              <w:right w:val="single" w:sz="8" w:space="0" w:color="000000"/>
            </w:tcBorders>
            <w:shd w:val="clear" w:color="auto" w:fill="auto"/>
            <w:hideMark/>
          </w:tcPr>
          <w:p w:rsidR="00264994" w:rsidRPr="00264994" w:rsidRDefault="00264994" w:rsidP="00264994">
            <w:pPr>
              <w:spacing w:after="0" w:line="240" w:lineRule="auto"/>
              <w:rPr>
                <w:rFonts w:ascii="Arial" w:hAnsi="Arial" w:cs="Arial"/>
                <w:b/>
                <w:bCs/>
                <w:sz w:val="16"/>
                <w:szCs w:val="16"/>
              </w:rPr>
            </w:pPr>
            <w:r w:rsidRPr="00264994">
              <w:rPr>
                <w:rFonts w:ascii="Arial" w:hAnsi="Arial" w:cs="Arial"/>
                <w:b/>
                <w:bCs/>
                <w:sz w:val="16"/>
                <w:szCs w:val="16"/>
              </w:rPr>
              <w:t xml:space="preserve">DOJ Strategic Goals/Objectives:   SG2: Prevent Crime, Enforce Federal Laws, and Represent the Rights and Interests of the American People/ </w:t>
            </w:r>
            <w:r w:rsidR="00166F18">
              <w:rPr>
                <w:rFonts w:ascii="Arial" w:hAnsi="Arial" w:cs="Arial"/>
                <w:b/>
                <w:bCs/>
                <w:sz w:val="16"/>
                <w:szCs w:val="16"/>
              </w:rPr>
              <w:t xml:space="preserve">2.2 </w:t>
            </w:r>
            <w:r w:rsidRPr="00264994">
              <w:rPr>
                <w:rFonts w:ascii="Arial" w:hAnsi="Arial" w:cs="Arial"/>
                <w:b/>
                <w:bCs/>
                <w:sz w:val="16"/>
                <w:szCs w:val="16"/>
              </w:rPr>
              <w:t>2.4 Reduce the threat, trafficking, use, and related violence of illegal drugs.</w:t>
            </w:r>
          </w:p>
        </w:tc>
      </w:tr>
      <w:tr w:rsidR="00264994" w:rsidRPr="00264994" w:rsidTr="00264994">
        <w:trPr>
          <w:trHeight w:val="240"/>
        </w:trPr>
        <w:tc>
          <w:tcPr>
            <w:tcW w:w="44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64994" w:rsidRPr="00264994" w:rsidRDefault="00264994" w:rsidP="00264994">
            <w:pPr>
              <w:spacing w:after="0" w:line="240" w:lineRule="auto"/>
              <w:rPr>
                <w:rFonts w:ascii="Arial" w:hAnsi="Arial" w:cs="Arial"/>
                <w:b/>
                <w:bCs/>
                <w:sz w:val="16"/>
                <w:szCs w:val="16"/>
              </w:rPr>
            </w:pPr>
            <w:r w:rsidRPr="00264994">
              <w:rPr>
                <w:rFonts w:ascii="Arial" w:hAnsi="Arial" w:cs="Arial"/>
                <w:b/>
                <w:bCs/>
                <w:sz w:val="16"/>
                <w:szCs w:val="16"/>
              </w:rPr>
              <w:t>WORKLOAD/RESOURCES</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Final Target</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*Actual</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Projected</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Changes</w:t>
            </w:r>
          </w:p>
        </w:tc>
        <w:tc>
          <w:tcPr>
            <w:tcW w:w="1800" w:type="dxa"/>
            <w:gridSpan w:val="2"/>
            <w:tcBorders>
              <w:top w:val="single" w:sz="4" w:space="0" w:color="auto"/>
              <w:left w:val="nil"/>
              <w:bottom w:val="single" w:sz="4" w:space="0" w:color="auto"/>
              <w:right w:val="single" w:sz="8"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Requested (Total)</w:t>
            </w:r>
          </w:p>
        </w:tc>
      </w:tr>
      <w:tr w:rsidR="00264994" w:rsidRPr="00264994" w:rsidTr="00031D8D">
        <w:trPr>
          <w:trHeight w:val="702"/>
        </w:trPr>
        <w:tc>
          <w:tcPr>
            <w:tcW w:w="44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rsidR="00264994" w:rsidRPr="00264994" w:rsidRDefault="00264994" w:rsidP="00264994">
            <w:pPr>
              <w:spacing w:after="0" w:line="240" w:lineRule="auto"/>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FY 2010</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FY 2010</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E2292B">
            <w:pPr>
              <w:spacing w:after="0" w:line="240" w:lineRule="auto"/>
              <w:jc w:val="center"/>
              <w:rPr>
                <w:rFonts w:ascii="Arial" w:hAnsi="Arial" w:cs="Arial"/>
                <w:b/>
                <w:bCs/>
                <w:sz w:val="16"/>
                <w:szCs w:val="16"/>
              </w:rPr>
            </w:pPr>
            <w:r w:rsidRPr="00264994">
              <w:rPr>
                <w:rFonts w:ascii="Arial" w:hAnsi="Arial" w:cs="Arial"/>
                <w:b/>
                <w:bCs/>
                <w:sz w:val="16"/>
                <w:szCs w:val="16"/>
              </w:rPr>
              <w:t xml:space="preserve">2011 </w:t>
            </w:r>
            <w:r w:rsidR="00E2292B">
              <w:rPr>
                <w:rFonts w:ascii="Arial" w:hAnsi="Arial" w:cs="Arial"/>
                <w:b/>
                <w:bCs/>
                <w:sz w:val="16"/>
                <w:szCs w:val="16"/>
              </w:rPr>
              <w:t>CR</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Current Services Adjustments and FY 2012 Program</w:t>
            </w:r>
          </w:p>
        </w:tc>
        <w:tc>
          <w:tcPr>
            <w:tcW w:w="1800" w:type="dxa"/>
            <w:gridSpan w:val="2"/>
            <w:tcBorders>
              <w:top w:val="single" w:sz="4" w:space="0" w:color="auto"/>
              <w:left w:val="nil"/>
              <w:bottom w:val="single" w:sz="4" w:space="0" w:color="auto"/>
              <w:right w:val="single" w:sz="8" w:space="0" w:color="000000"/>
            </w:tcBorders>
            <w:shd w:val="clear" w:color="auto" w:fill="auto"/>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FY 2012 Request</w:t>
            </w:r>
          </w:p>
        </w:tc>
      </w:tr>
      <w:tr w:rsidR="00264994" w:rsidRPr="00264994" w:rsidTr="00031D8D">
        <w:trPr>
          <w:trHeight w:val="405"/>
        </w:trPr>
        <w:tc>
          <w:tcPr>
            <w:tcW w:w="4400" w:type="dxa"/>
            <w:gridSpan w:val="2"/>
            <w:tcBorders>
              <w:top w:val="nil"/>
              <w:left w:val="single" w:sz="8" w:space="0" w:color="auto"/>
              <w:bottom w:val="nil"/>
              <w:right w:val="single" w:sz="4" w:space="0" w:color="000000"/>
            </w:tcBorders>
            <w:shd w:val="clear" w:color="auto" w:fill="auto"/>
            <w:noWrap/>
            <w:vAlign w:val="center"/>
            <w:hideMark/>
          </w:tcPr>
          <w:p w:rsidR="00264994" w:rsidRPr="00264994" w:rsidRDefault="00264994" w:rsidP="00264994">
            <w:pPr>
              <w:spacing w:after="0" w:line="240" w:lineRule="auto"/>
              <w:rPr>
                <w:rFonts w:ascii="Arial" w:hAnsi="Arial" w:cs="Arial"/>
                <w:b/>
                <w:bCs/>
                <w:sz w:val="16"/>
                <w:szCs w:val="16"/>
              </w:rPr>
            </w:pPr>
            <w:r w:rsidRPr="00264994">
              <w:rPr>
                <w:rFonts w:ascii="Arial" w:hAnsi="Arial" w:cs="Arial"/>
                <w:b/>
                <w:bCs/>
                <w:sz w:val="16"/>
                <w:szCs w:val="16"/>
              </w:rPr>
              <w:t xml:space="preserve">National Drug </w:t>
            </w:r>
            <w:r w:rsidR="004D758C" w:rsidRPr="00264994">
              <w:rPr>
                <w:rFonts w:ascii="Arial" w:hAnsi="Arial" w:cs="Arial"/>
                <w:b/>
                <w:bCs/>
                <w:sz w:val="16"/>
                <w:szCs w:val="16"/>
              </w:rPr>
              <w:t>Intelligence</w:t>
            </w:r>
            <w:r w:rsidRPr="00264994">
              <w:rPr>
                <w:rFonts w:ascii="Arial" w:hAnsi="Arial" w:cs="Arial"/>
                <w:b/>
                <w:bCs/>
                <w:sz w:val="16"/>
                <w:szCs w:val="16"/>
              </w:rPr>
              <w:t xml:space="preserve"> Center</w:t>
            </w:r>
          </w:p>
        </w:tc>
        <w:tc>
          <w:tcPr>
            <w:tcW w:w="900" w:type="dxa"/>
            <w:tcBorders>
              <w:top w:val="nil"/>
              <w:left w:val="nil"/>
              <w:bottom w:val="single" w:sz="4" w:space="0" w:color="auto"/>
              <w:right w:val="nil"/>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single" w:sz="4" w:space="0" w:color="auto"/>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nil"/>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single" w:sz="4" w:space="0" w:color="auto"/>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nil"/>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single" w:sz="4" w:space="0" w:color="auto"/>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nil"/>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single" w:sz="4" w:space="0" w:color="auto"/>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nil"/>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single" w:sz="8" w:space="0" w:color="auto"/>
            </w:tcBorders>
            <w:shd w:val="clear" w:color="auto" w:fill="auto"/>
            <w:vAlign w:val="center"/>
          </w:tcPr>
          <w:p w:rsidR="00264994" w:rsidRPr="00264994" w:rsidRDefault="00264994" w:rsidP="00264994">
            <w:pPr>
              <w:spacing w:after="0" w:line="240" w:lineRule="auto"/>
              <w:jc w:val="center"/>
              <w:rPr>
                <w:rFonts w:ascii="Arial" w:hAnsi="Arial" w:cs="Arial"/>
                <w:b/>
                <w:bCs/>
                <w:sz w:val="16"/>
                <w:szCs w:val="16"/>
              </w:rPr>
            </w:pPr>
          </w:p>
        </w:tc>
      </w:tr>
      <w:tr w:rsidR="00264994" w:rsidRPr="00264994" w:rsidTr="00264994">
        <w:trPr>
          <w:trHeight w:val="240"/>
        </w:trPr>
        <w:tc>
          <w:tcPr>
            <w:tcW w:w="4400" w:type="dxa"/>
            <w:gridSpan w:val="2"/>
            <w:tcBorders>
              <w:top w:val="nil"/>
              <w:left w:val="single" w:sz="8" w:space="0" w:color="auto"/>
              <w:bottom w:val="nil"/>
              <w:right w:val="single" w:sz="4" w:space="0" w:color="000000"/>
            </w:tcBorders>
            <w:shd w:val="clear" w:color="auto" w:fill="auto"/>
            <w:noWrap/>
            <w:vAlign w:val="center"/>
            <w:hideMark/>
          </w:tcPr>
          <w:p w:rsidR="00264994" w:rsidRPr="00264994" w:rsidRDefault="00264994" w:rsidP="00264994">
            <w:pPr>
              <w:spacing w:after="0" w:line="240" w:lineRule="auto"/>
              <w:rPr>
                <w:rFonts w:ascii="Arial" w:hAnsi="Arial" w:cs="Arial"/>
                <w:b/>
                <w:bCs/>
                <w:sz w:val="16"/>
                <w:szCs w:val="16"/>
              </w:rPr>
            </w:pPr>
            <w:r w:rsidRPr="00264994">
              <w:rPr>
                <w:rFonts w:ascii="Arial" w:hAnsi="Arial" w:cs="Arial"/>
                <w:b/>
                <w:bCs/>
                <w:sz w:val="16"/>
                <w:szCs w:val="16"/>
              </w:rPr>
              <w:t>Total Costs and 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8"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r>
      <w:tr w:rsidR="00264994" w:rsidRPr="00264994" w:rsidTr="00C17F6D">
        <w:trPr>
          <w:trHeight w:val="240"/>
        </w:trPr>
        <w:tc>
          <w:tcPr>
            <w:tcW w:w="4400" w:type="dxa"/>
            <w:gridSpan w:val="2"/>
            <w:vMerge w:val="restart"/>
            <w:tcBorders>
              <w:top w:val="nil"/>
              <w:left w:val="single" w:sz="8" w:space="0" w:color="auto"/>
              <w:bottom w:val="single" w:sz="4" w:space="0" w:color="000000"/>
              <w:right w:val="single" w:sz="4" w:space="0" w:color="000000"/>
            </w:tcBorders>
            <w:shd w:val="clear" w:color="auto" w:fill="auto"/>
            <w:vAlign w:val="center"/>
            <w:hideMark/>
          </w:tcPr>
          <w:p w:rsidR="00264994" w:rsidRPr="00264994" w:rsidRDefault="00264994" w:rsidP="00264994">
            <w:pPr>
              <w:spacing w:after="0" w:line="240" w:lineRule="auto"/>
              <w:rPr>
                <w:rFonts w:ascii="Arial" w:hAnsi="Arial" w:cs="Arial"/>
                <w:b/>
                <w:bCs/>
                <w:sz w:val="16"/>
                <w:szCs w:val="16"/>
              </w:rPr>
            </w:pPr>
            <w:r w:rsidRPr="00264994">
              <w:rPr>
                <w:rFonts w:ascii="Arial" w:hAnsi="Arial" w:cs="Arial"/>
                <w:b/>
                <w:bCs/>
                <w:sz w:val="16"/>
                <w:szCs w:val="16"/>
              </w:rPr>
              <w:t>(reimbursable FTE are included, but reimbursable costs are bracketed and not included in the total)</w:t>
            </w:r>
          </w:p>
        </w:tc>
        <w:tc>
          <w:tcPr>
            <w:tcW w:w="900" w:type="dxa"/>
            <w:tcBorders>
              <w:top w:val="nil"/>
              <w:left w:val="nil"/>
              <w:bottom w:val="nil"/>
              <w:right w:val="single" w:sz="4" w:space="0" w:color="auto"/>
            </w:tcBorders>
            <w:shd w:val="clear" w:color="auto" w:fill="auto"/>
            <w:noWrap/>
            <w:vAlign w:val="center"/>
            <w:hideMark/>
          </w:tcPr>
          <w:p w:rsidR="00264994" w:rsidRPr="00264994" w:rsidRDefault="00264994" w:rsidP="00264994">
            <w:pPr>
              <w:spacing w:after="0" w:line="240" w:lineRule="auto"/>
              <w:jc w:val="right"/>
              <w:rPr>
                <w:rFonts w:ascii="Arial" w:hAnsi="Arial" w:cs="Arial"/>
                <w:b/>
                <w:bCs/>
                <w:sz w:val="16"/>
                <w:szCs w:val="16"/>
              </w:rPr>
            </w:pPr>
            <w:r w:rsidRPr="00264994">
              <w:rPr>
                <w:rFonts w:ascii="Arial" w:hAnsi="Arial" w:cs="Arial"/>
                <w:b/>
                <w:bCs/>
                <w:sz w:val="16"/>
                <w:szCs w:val="16"/>
              </w:rPr>
              <w:t>239</w:t>
            </w:r>
          </w:p>
        </w:tc>
        <w:tc>
          <w:tcPr>
            <w:tcW w:w="900" w:type="dxa"/>
            <w:tcBorders>
              <w:top w:val="nil"/>
              <w:left w:val="nil"/>
              <w:bottom w:val="nil"/>
              <w:right w:val="single" w:sz="4" w:space="0" w:color="auto"/>
            </w:tcBorders>
            <w:shd w:val="clear" w:color="auto" w:fill="auto"/>
            <w:noWrap/>
            <w:vAlign w:val="center"/>
            <w:hideMark/>
          </w:tcPr>
          <w:p w:rsidR="00264994" w:rsidRPr="00264994" w:rsidRDefault="00264994" w:rsidP="00264994">
            <w:pPr>
              <w:spacing w:after="0" w:line="240" w:lineRule="auto"/>
              <w:jc w:val="right"/>
              <w:rPr>
                <w:rFonts w:ascii="Arial" w:hAnsi="Arial" w:cs="Arial"/>
                <w:b/>
                <w:bCs/>
                <w:sz w:val="16"/>
                <w:szCs w:val="16"/>
              </w:rPr>
            </w:pPr>
            <w:r w:rsidRPr="00264994">
              <w:rPr>
                <w:rFonts w:ascii="Arial" w:hAnsi="Arial" w:cs="Arial"/>
                <w:b/>
                <w:bCs/>
                <w:sz w:val="16"/>
                <w:szCs w:val="16"/>
              </w:rPr>
              <w:t>$44,023</w:t>
            </w:r>
          </w:p>
        </w:tc>
        <w:tc>
          <w:tcPr>
            <w:tcW w:w="900" w:type="dxa"/>
            <w:tcBorders>
              <w:top w:val="nil"/>
              <w:left w:val="nil"/>
              <w:bottom w:val="nil"/>
              <w:right w:val="single" w:sz="4" w:space="0" w:color="auto"/>
            </w:tcBorders>
            <w:shd w:val="clear" w:color="auto" w:fill="auto"/>
            <w:noWrap/>
            <w:vAlign w:val="center"/>
          </w:tcPr>
          <w:p w:rsidR="00264994" w:rsidRPr="00264994" w:rsidRDefault="00C17F6D" w:rsidP="00264994">
            <w:pPr>
              <w:spacing w:after="0" w:line="240" w:lineRule="auto"/>
              <w:jc w:val="right"/>
              <w:rPr>
                <w:rFonts w:ascii="Arial" w:hAnsi="Arial" w:cs="Arial"/>
                <w:b/>
                <w:bCs/>
                <w:sz w:val="16"/>
                <w:szCs w:val="16"/>
              </w:rPr>
            </w:pPr>
            <w:r>
              <w:rPr>
                <w:rFonts w:ascii="Arial" w:hAnsi="Arial" w:cs="Arial"/>
                <w:b/>
                <w:bCs/>
                <w:sz w:val="16"/>
                <w:szCs w:val="16"/>
              </w:rPr>
              <w:t>239</w:t>
            </w:r>
          </w:p>
        </w:tc>
        <w:tc>
          <w:tcPr>
            <w:tcW w:w="900" w:type="dxa"/>
            <w:tcBorders>
              <w:top w:val="nil"/>
              <w:left w:val="nil"/>
              <w:bottom w:val="nil"/>
              <w:right w:val="single" w:sz="4" w:space="0" w:color="auto"/>
            </w:tcBorders>
            <w:shd w:val="clear" w:color="auto" w:fill="auto"/>
            <w:noWrap/>
            <w:vAlign w:val="center"/>
          </w:tcPr>
          <w:p w:rsidR="00264994" w:rsidRPr="00264994" w:rsidRDefault="00C17F6D" w:rsidP="00264994">
            <w:pPr>
              <w:spacing w:after="0" w:line="240" w:lineRule="auto"/>
              <w:jc w:val="right"/>
              <w:rPr>
                <w:rFonts w:ascii="Arial" w:hAnsi="Arial" w:cs="Arial"/>
                <w:b/>
                <w:bCs/>
                <w:sz w:val="16"/>
                <w:szCs w:val="16"/>
              </w:rPr>
            </w:pPr>
            <w:r>
              <w:rPr>
                <w:rFonts w:ascii="Arial" w:hAnsi="Arial" w:cs="Arial"/>
                <w:b/>
                <w:bCs/>
                <w:sz w:val="16"/>
                <w:szCs w:val="16"/>
              </w:rPr>
              <w:t>$43,635</w:t>
            </w:r>
          </w:p>
        </w:tc>
        <w:tc>
          <w:tcPr>
            <w:tcW w:w="900" w:type="dxa"/>
            <w:tcBorders>
              <w:top w:val="nil"/>
              <w:left w:val="nil"/>
              <w:bottom w:val="nil"/>
              <w:right w:val="single" w:sz="4" w:space="0" w:color="auto"/>
            </w:tcBorders>
            <w:shd w:val="clear" w:color="auto" w:fill="auto"/>
            <w:noWrap/>
            <w:vAlign w:val="center"/>
            <w:hideMark/>
          </w:tcPr>
          <w:p w:rsidR="00264994" w:rsidRPr="00264994" w:rsidRDefault="00120A85" w:rsidP="004E14C1">
            <w:pPr>
              <w:spacing w:after="0" w:line="240" w:lineRule="auto"/>
              <w:jc w:val="right"/>
              <w:rPr>
                <w:rFonts w:ascii="Arial" w:hAnsi="Arial" w:cs="Arial"/>
                <w:b/>
                <w:bCs/>
                <w:sz w:val="16"/>
                <w:szCs w:val="16"/>
              </w:rPr>
            </w:pPr>
            <w:r>
              <w:rPr>
                <w:rFonts w:ascii="Arial" w:hAnsi="Arial" w:cs="Arial"/>
                <w:b/>
                <w:bCs/>
                <w:sz w:val="16"/>
                <w:szCs w:val="16"/>
              </w:rPr>
              <w:t>2</w:t>
            </w:r>
            <w:r w:rsidR="004E14C1">
              <w:rPr>
                <w:rFonts w:ascii="Arial" w:hAnsi="Arial" w:cs="Arial"/>
                <w:b/>
                <w:bCs/>
                <w:sz w:val="16"/>
                <w:szCs w:val="16"/>
              </w:rPr>
              <w:t>39</w:t>
            </w:r>
          </w:p>
        </w:tc>
        <w:tc>
          <w:tcPr>
            <w:tcW w:w="900" w:type="dxa"/>
            <w:tcBorders>
              <w:top w:val="nil"/>
              <w:left w:val="nil"/>
              <w:bottom w:val="nil"/>
              <w:right w:val="single" w:sz="4" w:space="0" w:color="auto"/>
            </w:tcBorders>
            <w:shd w:val="clear" w:color="auto" w:fill="auto"/>
            <w:noWrap/>
            <w:vAlign w:val="center"/>
            <w:hideMark/>
          </w:tcPr>
          <w:p w:rsidR="00264994" w:rsidRPr="00264994" w:rsidRDefault="00264994" w:rsidP="00120A85">
            <w:pPr>
              <w:spacing w:after="0" w:line="240" w:lineRule="auto"/>
              <w:jc w:val="right"/>
              <w:rPr>
                <w:rFonts w:ascii="Arial" w:hAnsi="Arial" w:cs="Arial"/>
                <w:b/>
                <w:bCs/>
                <w:sz w:val="16"/>
                <w:szCs w:val="16"/>
              </w:rPr>
            </w:pPr>
            <w:r w:rsidRPr="00264994">
              <w:rPr>
                <w:rFonts w:ascii="Arial" w:hAnsi="Arial" w:cs="Arial"/>
                <w:b/>
                <w:bCs/>
                <w:sz w:val="16"/>
                <w:szCs w:val="16"/>
              </w:rPr>
              <w:t>$44,</w:t>
            </w:r>
            <w:r w:rsidR="00120A85">
              <w:rPr>
                <w:rFonts w:ascii="Arial" w:hAnsi="Arial" w:cs="Arial"/>
                <w:b/>
                <w:bCs/>
                <w:sz w:val="16"/>
                <w:szCs w:val="16"/>
              </w:rPr>
              <w:t>023</w:t>
            </w:r>
          </w:p>
        </w:tc>
        <w:tc>
          <w:tcPr>
            <w:tcW w:w="900" w:type="dxa"/>
            <w:tcBorders>
              <w:top w:val="nil"/>
              <w:left w:val="nil"/>
              <w:bottom w:val="nil"/>
              <w:right w:val="single" w:sz="4" w:space="0" w:color="auto"/>
            </w:tcBorders>
            <w:shd w:val="clear" w:color="auto" w:fill="auto"/>
            <w:noWrap/>
            <w:vAlign w:val="center"/>
            <w:hideMark/>
          </w:tcPr>
          <w:p w:rsidR="00264994" w:rsidRPr="00264994" w:rsidRDefault="00264994" w:rsidP="004E14C1">
            <w:pPr>
              <w:spacing w:after="0" w:line="240" w:lineRule="auto"/>
              <w:jc w:val="right"/>
              <w:rPr>
                <w:rFonts w:ascii="Arial" w:hAnsi="Arial" w:cs="Arial"/>
                <w:b/>
                <w:bCs/>
                <w:sz w:val="16"/>
                <w:szCs w:val="16"/>
              </w:rPr>
            </w:pPr>
            <w:r w:rsidRPr="00264994">
              <w:rPr>
                <w:rFonts w:ascii="Arial" w:hAnsi="Arial" w:cs="Arial"/>
                <w:b/>
                <w:bCs/>
                <w:sz w:val="16"/>
                <w:szCs w:val="16"/>
              </w:rPr>
              <w:t>-</w:t>
            </w:r>
            <w:r w:rsidR="004E14C1">
              <w:rPr>
                <w:rFonts w:ascii="Arial" w:hAnsi="Arial" w:cs="Arial"/>
                <w:b/>
                <w:bCs/>
                <w:sz w:val="16"/>
                <w:szCs w:val="16"/>
              </w:rPr>
              <w:t>1</w:t>
            </w:r>
          </w:p>
        </w:tc>
        <w:tc>
          <w:tcPr>
            <w:tcW w:w="900" w:type="dxa"/>
            <w:tcBorders>
              <w:top w:val="nil"/>
              <w:left w:val="nil"/>
              <w:bottom w:val="nil"/>
              <w:right w:val="single" w:sz="4" w:space="0" w:color="auto"/>
            </w:tcBorders>
            <w:shd w:val="clear" w:color="auto" w:fill="auto"/>
            <w:noWrap/>
            <w:vAlign w:val="center"/>
            <w:hideMark/>
          </w:tcPr>
          <w:p w:rsidR="00264994" w:rsidRPr="00264994" w:rsidRDefault="00264994" w:rsidP="00120A85">
            <w:pPr>
              <w:spacing w:after="0" w:line="240" w:lineRule="auto"/>
              <w:jc w:val="right"/>
              <w:rPr>
                <w:rFonts w:ascii="Arial" w:hAnsi="Arial" w:cs="Arial"/>
                <w:b/>
                <w:bCs/>
                <w:sz w:val="16"/>
                <w:szCs w:val="16"/>
              </w:rPr>
            </w:pPr>
            <w:r w:rsidRPr="00264994">
              <w:rPr>
                <w:rFonts w:ascii="Arial" w:hAnsi="Arial" w:cs="Arial"/>
                <w:b/>
                <w:bCs/>
                <w:sz w:val="16"/>
                <w:szCs w:val="16"/>
              </w:rPr>
              <w:t>-$</w:t>
            </w:r>
            <w:r w:rsidR="00120A85">
              <w:rPr>
                <w:rFonts w:ascii="Arial" w:hAnsi="Arial" w:cs="Arial"/>
                <w:b/>
                <w:bCs/>
                <w:sz w:val="16"/>
                <w:szCs w:val="16"/>
              </w:rPr>
              <w:t>11,023</w:t>
            </w:r>
          </w:p>
        </w:tc>
        <w:tc>
          <w:tcPr>
            <w:tcW w:w="900" w:type="dxa"/>
            <w:tcBorders>
              <w:top w:val="nil"/>
              <w:left w:val="nil"/>
              <w:bottom w:val="nil"/>
              <w:right w:val="single" w:sz="4" w:space="0" w:color="auto"/>
            </w:tcBorders>
            <w:shd w:val="clear" w:color="auto" w:fill="auto"/>
            <w:noWrap/>
            <w:vAlign w:val="center"/>
            <w:hideMark/>
          </w:tcPr>
          <w:p w:rsidR="00264994" w:rsidRPr="00264994" w:rsidRDefault="00264994" w:rsidP="00264994">
            <w:pPr>
              <w:spacing w:after="0" w:line="240" w:lineRule="auto"/>
              <w:jc w:val="right"/>
              <w:rPr>
                <w:rFonts w:ascii="Arial" w:hAnsi="Arial" w:cs="Arial"/>
                <w:b/>
                <w:bCs/>
                <w:sz w:val="16"/>
                <w:szCs w:val="16"/>
              </w:rPr>
            </w:pPr>
            <w:r w:rsidRPr="00264994">
              <w:rPr>
                <w:rFonts w:ascii="Arial" w:hAnsi="Arial" w:cs="Arial"/>
                <w:b/>
                <w:bCs/>
                <w:sz w:val="16"/>
                <w:szCs w:val="16"/>
              </w:rPr>
              <w:t>238</w:t>
            </w:r>
          </w:p>
        </w:tc>
        <w:tc>
          <w:tcPr>
            <w:tcW w:w="900" w:type="dxa"/>
            <w:tcBorders>
              <w:top w:val="nil"/>
              <w:left w:val="nil"/>
              <w:bottom w:val="nil"/>
              <w:right w:val="single" w:sz="8" w:space="0" w:color="auto"/>
            </w:tcBorders>
            <w:shd w:val="clear" w:color="auto" w:fill="auto"/>
            <w:noWrap/>
            <w:vAlign w:val="center"/>
            <w:hideMark/>
          </w:tcPr>
          <w:p w:rsidR="00264994" w:rsidRPr="00264994" w:rsidRDefault="00264994" w:rsidP="00120A85">
            <w:pPr>
              <w:spacing w:after="0" w:line="240" w:lineRule="auto"/>
              <w:jc w:val="right"/>
              <w:rPr>
                <w:rFonts w:ascii="Arial" w:hAnsi="Arial" w:cs="Arial"/>
                <w:b/>
                <w:bCs/>
                <w:sz w:val="16"/>
                <w:szCs w:val="16"/>
              </w:rPr>
            </w:pPr>
            <w:r w:rsidRPr="00264994">
              <w:rPr>
                <w:rFonts w:ascii="Arial" w:hAnsi="Arial" w:cs="Arial"/>
                <w:b/>
                <w:bCs/>
                <w:sz w:val="16"/>
                <w:szCs w:val="16"/>
              </w:rPr>
              <w:t>$</w:t>
            </w:r>
            <w:r w:rsidR="00120A85">
              <w:rPr>
                <w:rFonts w:ascii="Arial" w:hAnsi="Arial" w:cs="Arial"/>
                <w:b/>
                <w:bCs/>
                <w:sz w:val="16"/>
                <w:szCs w:val="16"/>
              </w:rPr>
              <w:t>25,000</w:t>
            </w:r>
          </w:p>
        </w:tc>
      </w:tr>
      <w:tr w:rsidR="00264994" w:rsidRPr="00264994" w:rsidTr="00C17F6D">
        <w:trPr>
          <w:trHeight w:val="240"/>
        </w:trPr>
        <w:tc>
          <w:tcPr>
            <w:tcW w:w="4400" w:type="dxa"/>
            <w:gridSpan w:val="2"/>
            <w:vMerge/>
            <w:tcBorders>
              <w:top w:val="nil"/>
              <w:left w:val="single" w:sz="8" w:space="0" w:color="auto"/>
              <w:bottom w:val="single" w:sz="4" w:space="0" w:color="000000"/>
              <w:right w:val="single" w:sz="4" w:space="0" w:color="000000"/>
            </w:tcBorders>
            <w:vAlign w:val="center"/>
            <w:hideMark/>
          </w:tcPr>
          <w:p w:rsidR="00264994" w:rsidRPr="00264994" w:rsidRDefault="00264994" w:rsidP="00264994">
            <w:pPr>
              <w:spacing w:after="0" w:line="240" w:lineRule="auto"/>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nil"/>
              <w:bottom w:val="nil"/>
              <w:right w:val="single" w:sz="8"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c>
          <w:tcPr>
            <w:tcW w:w="900" w:type="dxa"/>
            <w:tcBorders>
              <w:top w:val="nil"/>
              <w:left w:val="single" w:sz="4" w:space="0" w:color="auto"/>
              <w:bottom w:val="nil"/>
              <w:right w:val="single" w:sz="8" w:space="0" w:color="auto"/>
            </w:tcBorders>
            <w:shd w:val="clear" w:color="auto" w:fill="auto"/>
            <w:noWrap/>
            <w:vAlign w:val="center"/>
          </w:tcPr>
          <w:p w:rsidR="00264994" w:rsidRPr="00264994" w:rsidRDefault="00264994" w:rsidP="00264994">
            <w:pPr>
              <w:spacing w:after="0" w:line="240" w:lineRule="auto"/>
              <w:jc w:val="right"/>
              <w:rPr>
                <w:rFonts w:ascii="Arial" w:hAnsi="Arial" w:cs="Arial"/>
                <w:b/>
                <w:bCs/>
                <w:sz w:val="16"/>
                <w:szCs w:val="16"/>
              </w:rPr>
            </w:pPr>
          </w:p>
        </w:tc>
      </w:tr>
      <w:tr w:rsidR="00264994" w:rsidRPr="00264994" w:rsidTr="00264994">
        <w:trPr>
          <w:trHeight w:val="702"/>
        </w:trPr>
        <w:tc>
          <w:tcPr>
            <w:tcW w:w="1800" w:type="dxa"/>
            <w:tcBorders>
              <w:top w:val="nil"/>
              <w:left w:val="single" w:sz="8" w:space="0" w:color="auto"/>
              <w:bottom w:val="single" w:sz="4" w:space="0" w:color="auto"/>
              <w:right w:val="single" w:sz="4" w:space="0" w:color="auto"/>
            </w:tcBorders>
            <w:shd w:val="clear" w:color="auto" w:fill="auto"/>
            <w:vAlign w:val="center"/>
            <w:hideMark/>
          </w:tcPr>
          <w:p w:rsidR="00264994" w:rsidRPr="00264994" w:rsidRDefault="00264994" w:rsidP="00264994">
            <w:pPr>
              <w:spacing w:after="0" w:line="240" w:lineRule="auto"/>
              <w:rPr>
                <w:rFonts w:ascii="Arial" w:hAnsi="Arial" w:cs="Arial"/>
                <w:b/>
                <w:bCs/>
                <w:sz w:val="16"/>
                <w:szCs w:val="16"/>
              </w:rPr>
            </w:pPr>
            <w:r w:rsidRPr="00264994">
              <w:rPr>
                <w:rFonts w:ascii="Arial" w:hAnsi="Arial" w:cs="Arial"/>
                <w:b/>
                <w:bCs/>
                <w:sz w:val="16"/>
                <w:szCs w:val="16"/>
              </w:rPr>
              <w:t>TYPE / STRATEGIC OBJECTIVE</w:t>
            </w:r>
          </w:p>
        </w:tc>
        <w:tc>
          <w:tcPr>
            <w:tcW w:w="26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PERFORMANCE</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FB2985">
            <w:pPr>
              <w:spacing w:after="0" w:line="240" w:lineRule="auto"/>
              <w:jc w:val="center"/>
              <w:rPr>
                <w:rFonts w:ascii="Arial" w:hAnsi="Arial" w:cs="Arial"/>
                <w:b/>
                <w:bCs/>
                <w:sz w:val="16"/>
                <w:szCs w:val="16"/>
              </w:rPr>
            </w:pPr>
            <w:r w:rsidRPr="00264994">
              <w:rPr>
                <w:rFonts w:ascii="Arial" w:hAnsi="Arial" w:cs="Arial"/>
                <w:b/>
                <w:bCs/>
                <w:sz w:val="16"/>
                <w:szCs w:val="16"/>
              </w:rPr>
              <w:t>FY 20</w:t>
            </w:r>
            <w:r w:rsidR="00FB2985">
              <w:rPr>
                <w:rFonts w:ascii="Arial" w:hAnsi="Arial" w:cs="Arial"/>
                <w:b/>
                <w:bCs/>
                <w:sz w:val="16"/>
                <w:szCs w:val="16"/>
              </w:rPr>
              <w:t>1</w:t>
            </w:r>
            <w:r w:rsidRPr="00264994">
              <w:rPr>
                <w:rFonts w:ascii="Arial" w:hAnsi="Arial" w:cs="Arial"/>
                <w:b/>
                <w:bCs/>
                <w:sz w:val="16"/>
                <w:szCs w:val="16"/>
              </w:rPr>
              <w:t>0</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FB2985">
            <w:pPr>
              <w:spacing w:after="0" w:line="240" w:lineRule="auto"/>
              <w:jc w:val="center"/>
              <w:rPr>
                <w:rFonts w:ascii="Arial" w:hAnsi="Arial" w:cs="Arial"/>
                <w:b/>
                <w:bCs/>
                <w:sz w:val="16"/>
                <w:szCs w:val="16"/>
              </w:rPr>
            </w:pPr>
            <w:r w:rsidRPr="00264994">
              <w:rPr>
                <w:rFonts w:ascii="Arial" w:hAnsi="Arial" w:cs="Arial"/>
                <w:b/>
                <w:bCs/>
                <w:sz w:val="16"/>
                <w:szCs w:val="16"/>
              </w:rPr>
              <w:t>FY 20</w:t>
            </w:r>
            <w:r w:rsidR="00FB2985">
              <w:rPr>
                <w:rFonts w:ascii="Arial" w:hAnsi="Arial" w:cs="Arial"/>
                <w:b/>
                <w:bCs/>
                <w:sz w:val="16"/>
                <w:szCs w:val="16"/>
              </w:rPr>
              <w:t>1</w:t>
            </w:r>
            <w:r w:rsidRPr="00264994">
              <w:rPr>
                <w:rFonts w:ascii="Arial" w:hAnsi="Arial" w:cs="Arial"/>
                <w:b/>
                <w:bCs/>
                <w:sz w:val="16"/>
                <w:szCs w:val="16"/>
              </w:rPr>
              <w:t>0</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FB2985">
            <w:pPr>
              <w:spacing w:after="0" w:line="240" w:lineRule="auto"/>
              <w:jc w:val="center"/>
              <w:rPr>
                <w:rFonts w:ascii="Arial" w:hAnsi="Arial" w:cs="Arial"/>
                <w:b/>
                <w:bCs/>
                <w:sz w:val="16"/>
                <w:szCs w:val="16"/>
              </w:rPr>
            </w:pPr>
            <w:r w:rsidRPr="00264994">
              <w:rPr>
                <w:rFonts w:ascii="Arial" w:hAnsi="Arial" w:cs="Arial"/>
                <w:b/>
                <w:bCs/>
                <w:sz w:val="16"/>
                <w:szCs w:val="16"/>
              </w:rPr>
              <w:t>201</w:t>
            </w:r>
            <w:r w:rsidR="00FB2985">
              <w:rPr>
                <w:rFonts w:ascii="Arial" w:hAnsi="Arial" w:cs="Arial"/>
                <w:b/>
                <w:bCs/>
                <w:sz w:val="16"/>
                <w:szCs w:val="16"/>
              </w:rPr>
              <w:t>1</w:t>
            </w:r>
            <w:r w:rsidRPr="00264994">
              <w:rPr>
                <w:rFonts w:ascii="Arial" w:hAnsi="Arial" w:cs="Arial"/>
                <w:b/>
                <w:bCs/>
                <w:sz w:val="16"/>
                <w:szCs w:val="16"/>
              </w:rPr>
              <w:t xml:space="preserve"> </w:t>
            </w:r>
            <w:r w:rsidR="00FB2985">
              <w:rPr>
                <w:rFonts w:ascii="Arial" w:hAnsi="Arial" w:cs="Arial"/>
                <w:b/>
                <w:bCs/>
                <w:sz w:val="16"/>
                <w:szCs w:val="16"/>
              </w:rPr>
              <w:t>CR</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rsidR="00264994" w:rsidRPr="00264994" w:rsidRDefault="00264994" w:rsidP="00FB2985">
            <w:pPr>
              <w:spacing w:after="0" w:line="240" w:lineRule="auto"/>
              <w:jc w:val="center"/>
              <w:rPr>
                <w:rFonts w:ascii="Arial" w:hAnsi="Arial" w:cs="Arial"/>
                <w:b/>
                <w:bCs/>
                <w:sz w:val="16"/>
                <w:szCs w:val="16"/>
              </w:rPr>
            </w:pPr>
            <w:r w:rsidRPr="00264994">
              <w:rPr>
                <w:rFonts w:ascii="Arial" w:hAnsi="Arial" w:cs="Arial"/>
                <w:b/>
                <w:bCs/>
                <w:sz w:val="16"/>
                <w:szCs w:val="16"/>
              </w:rPr>
              <w:t>Current Services Adjustments and FY 201</w:t>
            </w:r>
            <w:r w:rsidR="00FB2985">
              <w:rPr>
                <w:rFonts w:ascii="Arial" w:hAnsi="Arial" w:cs="Arial"/>
                <w:b/>
                <w:bCs/>
                <w:sz w:val="16"/>
                <w:szCs w:val="16"/>
              </w:rPr>
              <w:t>2</w:t>
            </w:r>
            <w:r w:rsidRPr="00264994">
              <w:rPr>
                <w:rFonts w:ascii="Arial" w:hAnsi="Arial" w:cs="Arial"/>
                <w:b/>
                <w:bCs/>
                <w:sz w:val="16"/>
                <w:szCs w:val="16"/>
              </w:rPr>
              <w:t xml:space="preserve"> Program</w:t>
            </w:r>
          </w:p>
        </w:tc>
        <w:tc>
          <w:tcPr>
            <w:tcW w:w="1800" w:type="dxa"/>
            <w:gridSpan w:val="2"/>
            <w:tcBorders>
              <w:top w:val="single" w:sz="4" w:space="0" w:color="auto"/>
              <w:left w:val="nil"/>
              <w:bottom w:val="single" w:sz="4" w:space="0" w:color="auto"/>
              <w:right w:val="single" w:sz="8" w:space="0" w:color="000000"/>
            </w:tcBorders>
            <w:shd w:val="clear" w:color="auto" w:fill="auto"/>
            <w:vAlign w:val="center"/>
            <w:hideMark/>
          </w:tcPr>
          <w:p w:rsidR="00264994" w:rsidRPr="00264994" w:rsidRDefault="00264994" w:rsidP="00FB2985">
            <w:pPr>
              <w:spacing w:after="0" w:line="240" w:lineRule="auto"/>
              <w:jc w:val="center"/>
              <w:rPr>
                <w:rFonts w:ascii="Arial" w:hAnsi="Arial" w:cs="Arial"/>
                <w:b/>
                <w:bCs/>
                <w:sz w:val="16"/>
                <w:szCs w:val="16"/>
              </w:rPr>
            </w:pPr>
            <w:r w:rsidRPr="00264994">
              <w:rPr>
                <w:rFonts w:ascii="Arial" w:hAnsi="Arial" w:cs="Arial"/>
                <w:b/>
                <w:bCs/>
                <w:sz w:val="16"/>
                <w:szCs w:val="16"/>
              </w:rPr>
              <w:t>FY 201</w:t>
            </w:r>
            <w:r w:rsidR="00FB2985">
              <w:rPr>
                <w:rFonts w:ascii="Arial" w:hAnsi="Arial" w:cs="Arial"/>
                <w:b/>
                <w:bCs/>
                <w:sz w:val="16"/>
                <w:szCs w:val="16"/>
              </w:rPr>
              <w:t>2</w:t>
            </w:r>
            <w:r w:rsidRPr="00264994">
              <w:rPr>
                <w:rFonts w:ascii="Arial" w:hAnsi="Arial" w:cs="Arial"/>
                <w:b/>
                <w:bCs/>
                <w:sz w:val="16"/>
                <w:szCs w:val="16"/>
              </w:rPr>
              <w:t xml:space="preserve"> Request</w:t>
            </w:r>
          </w:p>
        </w:tc>
      </w:tr>
      <w:tr w:rsidR="00264994" w:rsidRPr="00264994" w:rsidTr="00264994">
        <w:trPr>
          <w:trHeight w:val="240"/>
        </w:trPr>
        <w:tc>
          <w:tcPr>
            <w:tcW w:w="1800" w:type="dxa"/>
            <w:vMerge w:val="restart"/>
            <w:tcBorders>
              <w:top w:val="nil"/>
              <w:left w:val="single" w:sz="8" w:space="0" w:color="auto"/>
              <w:bottom w:val="single" w:sz="4" w:space="0" w:color="000000"/>
              <w:right w:val="single" w:sz="4" w:space="0" w:color="auto"/>
            </w:tcBorders>
            <w:shd w:val="clear" w:color="auto" w:fill="auto"/>
            <w:vAlign w:val="center"/>
            <w:hideMark/>
          </w:tcPr>
          <w:p w:rsidR="00264994" w:rsidRPr="00264994" w:rsidRDefault="00264994" w:rsidP="00264994">
            <w:pPr>
              <w:spacing w:after="0" w:line="240" w:lineRule="auto"/>
              <w:rPr>
                <w:rFonts w:ascii="Arial" w:hAnsi="Arial" w:cs="Arial"/>
                <w:b/>
                <w:bCs/>
                <w:sz w:val="16"/>
                <w:szCs w:val="16"/>
              </w:rPr>
            </w:pPr>
            <w:r w:rsidRPr="00264994">
              <w:rPr>
                <w:rFonts w:ascii="Arial" w:hAnsi="Arial" w:cs="Arial"/>
                <w:b/>
                <w:bCs/>
                <w:sz w:val="16"/>
                <w:szCs w:val="16"/>
              </w:rPr>
              <w:t>Program Activity</w:t>
            </w:r>
          </w:p>
        </w:tc>
        <w:tc>
          <w:tcPr>
            <w:tcW w:w="26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c>
          <w:tcPr>
            <w:tcW w:w="900" w:type="dxa"/>
            <w:tcBorders>
              <w:top w:val="nil"/>
              <w:left w:val="nil"/>
              <w:bottom w:val="single" w:sz="4" w:space="0" w:color="auto"/>
              <w:right w:val="single" w:sz="4"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FTE</w:t>
            </w:r>
          </w:p>
        </w:tc>
        <w:tc>
          <w:tcPr>
            <w:tcW w:w="900" w:type="dxa"/>
            <w:tcBorders>
              <w:top w:val="nil"/>
              <w:left w:val="nil"/>
              <w:bottom w:val="single" w:sz="4" w:space="0" w:color="auto"/>
              <w:right w:val="single" w:sz="8" w:space="0" w:color="auto"/>
            </w:tcBorders>
            <w:shd w:val="clear" w:color="auto" w:fill="auto"/>
            <w:noWrap/>
            <w:vAlign w:val="center"/>
            <w:hideMark/>
          </w:tcPr>
          <w:p w:rsidR="00264994" w:rsidRPr="00264994" w:rsidRDefault="00264994" w:rsidP="00264994">
            <w:pPr>
              <w:spacing w:after="0" w:line="240" w:lineRule="auto"/>
              <w:jc w:val="center"/>
              <w:rPr>
                <w:rFonts w:ascii="Arial" w:hAnsi="Arial" w:cs="Arial"/>
                <w:b/>
                <w:bCs/>
                <w:sz w:val="16"/>
                <w:szCs w:val="16"/>
              </w:rPr>
            </w:pPr>
            <w:r w:rsidRPr="00264994">
              <w:rPr>
                <w:rFonts w:ascii="Arial" w:hAnsi="Arial" w:cs="Arial"/>
                <w:b/>
                <w:bCs/>
                <w:sz w:val="16"/>
                <w:szCs w:val="16"/>
              </w:rPr>
              <w:t>$000</w:t>
            </w:r>
          </w:p>
        </w:tc>
      </w:tr>
      <w:tr w:rsidR="00031D8D" w:rsidRPr="00264994" w:rsidTr="00264994">
        <w:trPr>
          <w:trHeight w:val="240"/>
        </w:trPr>
        <w:tc>
          <w:tcPr>
            <w:tcW w:w="1800" w:type="dxa"/>
            <w:vMerge/>
            <w:tcBorders>
              <w:top w:val="nil"/>
              <w:left w:val="single" w:sz="8" w:space="0" w:color="auto"/>
              <w:bottom w:val="single" w:sz="4" w:space="0" w:color="000000"/>
              <w:right w:val="single" w:sz="4" w:space="0" w:color="auto"/>
            </w:tcBorders>
            <w:vAlign w:val="center"/>
            <w:hideMark/>
          </w:tcPr>
          <w:p w:rsidR="00031D8D" w:rsidRPr="00264994" w:rsidRDefault="00031D8D" w:rsidP="00264994">
            <w:pPr>
              <w:spacing w:after="0" w:line="240" w:lineRule="auto"/>
              <w:rPr>
                <w:rFonts w:ascii="Arial" w:hAnsi="Arial" w:cs="Arial"/>
                <w:b/>
                <w:bCs/>
                <w:sz w:val="16"/>
                <w:szCs w:val="16"/>
              </w:rPr>
            </w:pPr>
          </w:p>
        </w:tc>
        <w:tc>
          <w:tcPr>
            <w:tcW w:w="2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1D8D" w:rsidRPr="00FB2985" w:rsidRDefault="00031D8D" w:rsidP="00264994">
            <w:pPr>
              <w:spacing w:after="0" w:line="240" w:lineRule="auto"/>
              <w:jc w:val="center"/>
              <w:rPr>
                <w:rFonts w:ascii="Arial" w:hAnsi="Arial" w:cs="Arial"/>
                <w:bCs/>
                <w:sz w:val="16"/>
                <w:szCs w:val="16"/>
              </w:rPr>
            </w:pPr>
            <w:r w:rsidRPr="00FB2985">
              <w:rPr>
                <w:rFonts w:ascii="Arial" w:hAnsi="Arial" w:cs="Arial"/>
                <w:bCs/>
                <w:sz w:val="16"/>
                <w:szCs w:val="16"/>
              </w:rPr>
              <w:t>National Drug Intelligence Center</w:t>
            </w: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FB2985">
            <w:pPr>
              <w:spacing w:after="0" w:line="240" w:lineRule="auto"/>
              <w:jc w:val="right"/>
              <w:rPr>
                <w:rFonts w:ascii="Arial" w:hAnsi="Arial" w:cs="Arial"/>
                <w:b/>
                <w:bCs/>
                <w:sz w:val="16"/>
                <w:szCs w:val="16"/>
              </w:rPr>
            </w:pPr>
            <w:r>
              <w:rPr>
                <w:rFonts w:ascii="Arial" w:hAnsi="Arial" w:cs="Arial"/>
                <w:b/>
                <w:bCs/>
                <w:sz w:val="16"/>
                <w:szCs w:val="16"/>
              </w:rPr>
              <w:t>239</w:t>
            </w: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FB2985">
            <w:pPr>
              <w:spacing w:after="0" w:line="240" w:lineRule="auto"/>
              <w:jc w:val="right"/>
              <w:rPr>
                <w:rFonts w:ascii="Arial" w:hAnsi="Arial" w:cs="Arial"/>
                <w:b/>
                <w:bCs/>
                <w:sz w:val="16"/>
                <w:szCs w:val="16"/>
              </w:rPr>
            </w:pPr>
            <w:r>
              <w:rPr>
                <w:rFonts w:ascii="Arial" w:hAnsi="Arial" w:cs="Arial"/>
                <w:b/>
                <w:bCs/>
                <w:sz w:val="16"/>
                <w:szCs w:val="16"/>
              </w:rPr>
              <w:t>$44,023</w:t>
            </w: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r>
              <w:rPr>
                <w:rFonts w:ascii="Arial" w:hAnsi="Arial" w:cs="Arial"/>
                <w:b/>
                <w:bCs/>
                <w:sz w:val="16"/>
                <w:szCs w:val="16"/>
              </w:rPr>
              <w:t>239</w:t>
            </w: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r>
              <w:rPr>
                <w:rFonts w:ascii="Arial" w:hAnsi="Arial" w:cs="Arial"/>
                <w:b/>
                <w:bCs/>
                <w:sz w:val="16"/>
                <w:szCs w:val="16"/>
              </w:rPr>
              <w:t>$43,635</w:t>
            </w: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r>
              <w:rPr>
                <w:rFonts w:ascii="Arial" w:hAnsi="Arial" w:cs="Arial"/>
                <w:b/>
                <w:bCs/>
                <w:sz w:val="16"/>
                <w:szCs w:val="16"/>
              </w:rPr>
              <w:t>239</w:t>
            </w: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r w:rsidRPr="00264994">
              <w:rPr>
                <w:rFonts w:ascii="Arial" w:hAnsi="Arial" w:cs="Arial"/>
                <w:b/>
                <w:bCs/>
                <w:sz w:val="16"/>
                <w:szCs w:val="16"/>
              </w:rPr>
              <w:t>$44,</w:t>
            </w:r>
            <w:r>
              <w:rPr>
                <w:rFonts w:ascii="Arial" w:hAnsi="Arial" w:cs="Arial"/>
                <w:b/>
                <w:bCs/>
                <w:sz w:val="16"/>
                <w:szCs w:val="16"/>
              </w:rPr>
              <w:t>023</w:t>
            </w: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r w:rsidRPr="00264994">
              <w:rPr>
                <w:rFonts w:ascii="Arial" w:hAnsi="Arial" w:cs="Arial"/>
                <w:b/>
                <w:bCs/>
                <w:sz w:val="16"/>
                <w:szCs w:val="16"/>
              </w:rPr>
              <w:t>-</w:t>
            </w:r>
            <w:r>
              <w:rPr>
                <w:rFonts w:ascii="Arial" w:hAnsi="Arial" w:cs="Arial"/>
                <w:b/>
                <w:bCs/>
                <w:sz w:val="16"/>
                <w:szCs w:val="16"/>
              </w:rPr>
              <w:t>1</w:t>
            </w: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r w:rsidRPr="00264994">
              <w:rPr>
                <w:rFonts w:ascii="Arial" w:hAnsi="Arial" w:cs="Arial"/>
                <w:b/>
                <w:bCs/>
                <w:sz w:val="16"/>
                <w:szCs w:val="16"/>
              </w:rPr>
              <w:t>-$</w:t>
            </w:r>
            <w:r>
              <w:rPr>
                <w:rFonts w:ascii="Arial" w:hAnsi="Arial" w:cs="Arial"/>
                <w:b/>
                <w:bCs/>
                <w:sz w:val="16"/>
                <w:szCs w:val="16"/>
              </w:rPr>
              <w:t>11,023</w:t>
            </w:r>
          </w:p>
        </w:tc>
        <w:tc>
          <w:tcPr>
            <w:tcW w:w="900" w:type="dxa"/>
            <w:tcBorders>
              <w:top w:val="nil"/>
              <w:left w:val="nil"/>
              <w:bottom w:val="nil"/>
              <w:right w:val="single" w:sz="8"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r w:rsidRPr="00264994">
              <w:rPr>
                <w:rFonts w:ascii="Arial" w:hAnsi="Arial" w:cs="Arial"/>
                <w:b/>
                <w:bCs/>
                <w:sz w:val="16"/>
                <w:szCs w:val="16"/>
              </w:rPr>
              <w:t>238</w:t>
            </w:r>
          </w:p>
        </w:tc>
        <w:tc>
          <w:tcPr>
            <w:tcW w:w="900" w:type="dxa"/>
            <w:tcBorders>
              <w:top w:val="nil"/>
              <w:left w:val="single" w:sz="4" w:space="0" w:color="auto"/>
              <w:bottom w:val="nil"/>
              <w:right w:val="single" w:sz="8"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r w:rsidRPr="00264994">
              <w:rPr>
                <w:rFonts w:ascii="Arial" w:hAnsi="Arial" w:cs="Arial"/>
                <w:b/>
                <w:bCs/>
                <w:sz w:val="16"/>
                <w:szCs w:val="16"/>
              </w:rPr>
              <w:t>$</w:t>
            </w:r>
            <w:r>
              <w:rPr>
                <w:rFonts w:ascii="Arial" w:hAnsi="Arial" w:cs="Arial"/>
                <w:b/>
                <w:bCs/>
                <w:sz w:val="16"/>
                <w:szCs w:val="16"/>
              </w:rPr>
              <w:t>25,000</w:t>
            </w:r>
          </w:p>
        </w:tc>
      </w:tr>
      <w:tr w:rsidR="00031D8D" w:rsidRPr="00264994" w:rsidTr="00031D8D">
        <w:trPr>
          <w:trHeight w:val="240"/>
        </w:trPr>
        <w:tc>
          <w:tcPr>
            <w:tcW w:w="1800" w:type="dxa"/>
            <w:vMerge/>
            <w:tcBorders>
              <w:top w:val="nil"/>
              <w:left w:val="single" w:sz="8" w:space="0" w:color="auto"/>
              <w:bottom w:val="single" w:sz="4" w:space="0" w:color="000000"/>
              <w:right w:val="single" w:sz="4" w:space="0" w:color="auto"/>
            </w:tcBorders>
            <w:vAlign w:val="center"/>
            <w:hideMark/>
          </w:tcPr>
          <w:p w:rsidR="00031D8D" w:rsidRPr="00264994" w:rsidRDefault="00031D8D" w:rsidP="00264994">
            <w:pPr>
              <w:spacing w:after="0" w:line="240" w:lineRule="auto"/>
              <w:rPr>
                <w:rFonts w:ascii="Arial" w:hAnsi="Arial" w:cs="Arial"/>
                <w:b/>
                <w:bCs/>
                <w:sz w:val="16"/>
                <w:szCs w:val="16"/>
              </w:rPr>
            </w:pPr>
          </w:p>
        </w:tc>
        <w:tc>
          <w:tcPr>
            <w:tcW w:w="2600" w:type="dxa"/>
            <w:vMerge/>
            <w:tcBorders>
              <w:top w:val="nil"/>
              <w:left w:val="single" w:sz="4" w:space="0" w:color="auto"/>
              <w:bottom w:val="single" w:sz="4" w:space="0" w:color="000000"/>
              <w:right w:val="single" w:sz="4" w:space="0" w:color="auto"/>
            </w:tcBorders>
            <w:vAlign w:val="center"/>
            <w:hideMark/>
          </w:tcPr>
          <w:p w:rsidR="00031D8D" w:rsidRPr="00264994" w:rsidRDefault="00031D8D" w:rsidP="00264994">
            <w:pPr>
              <w:spacing w:after="0" w:line="240" w:lineRule="auto"/>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031D8D" w:rsidRPr="00264994" w:rsidRDefault="00031D8D"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031D8D" w:rsidRPr="00264994" w:rsidRDefault="00031D8D" w:rsidP="00FB2985">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hideMark/>
          </w:tcPr>
          <w:p w:rsidR="00031D8D" w:rsidRPr="00264994" w:rsidRDefault="00031D8D"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031D8D" w:rsidRPr="00264994" w:rsidRDefault="00031D8D"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031D8D" w:rsidRPr="00264994" w:rsidRDefault="00031D8D"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031D8D" w:rsidRPr="00264994" w:rsidRDefault="00031D8D" w:rsidP="00264994">
            <w:pPr>
              <w:spacing w:after="0" w:line="240" w:lineRule="auto"/>
              <w:jc w:val="right"/>
              <w:rPr>
                <w:rFonts w:ascii="Arial" w:hAnsi="Arial" w:cs="Arial"/>
                <w:b/>
                <w:bCs/>
                <w:sz w:val="16"/>
                <w:szCs w:val="16"/>
              </w:rPr>
            </w:pPr>
          </w:p>
        </w:tc>
        <w:tc>
          <w:tcPr>
            <w:tcW w:w="900" w:type="dxa"/>
            <w:tcBorders>
              <w:top w:val="nil"/>
              <w:left w:val="nil"/>
              <w:bottom w:val="nil"/>
              <w:right w:val="single" w:sz="4" w:space="0" w:color="auto"/>
            </w:tcBorders>
            <w:shd w:val="clear" w:color="auto" w:fill="auto"/>
            <w:noWrap/>
            <w:vAlign w:val="center"/>
          </w:tcPr>
          <w:p w:rsidR="00031D8D" w:rsidRPr="00264994" w:rsidRDefault="00031D8D" w:rsidP="00264994">
            <w:pPr>
              <w:spacing w:after="0" w:line="240" w:lineRule="auto"/>
              <w:jc w:val="right"/>
              <w:rPr>
                <w:rFonts w:ascii="Arial" w:hAnsi="Arial" w:cs="Arial"/>
                <w:b/>
                <w:bCs/>
                <w:sz w:val="16"/>
                <w:szCs w:val="16"/>
              </w:rPr>
            </w:pPr>
          </w:p>
        </w:tc>
        <w:tc>
          <w:tcPr>
            <w:tcW w:w="900" w:type="dxa"/>
            <w:tcBorders>
              <w:top w:val="nil"/>
              <w:left w:val="nil"/>
              <w:bottom w:val="nil"/>
              <w:right w:val="single" w:sz="8" w:space="0" w:color="auto"/>
            </w:tcBorders>
            <w:shd w:val="clear" w:color="auto" w:fill="auto"/>
            <w:noWrap/>
            <w:vAlign w:val="center"/>
          </w:tcPr>
          <w:p w:rsidR="00031D8D" w:rsidRPr="00264994" w:rsidRDefault="00031D8D" w:rsidP="00264994">
            <w:pPr>
              <w:spacing w:after="0" w:line="240" w:lineRule="auto"/>
              <w:jc w:val="right"/>
              <w:rPr>
                <w:rFonts w:ascii="Arial" w:hAnsi="Arial" w:cs="Arial"/>
                <w:b/>
                <w:bCs/>
                <w:sz w:val="16"/>
                <w:szCs w:val="16"/>
              </w:rPr>
            </w:pPr>
          </w:p>
        </w:tc>
        <w:tc>
          <w:tcPr>
            <w:tcW w:w="900" w:type="dxa"/>
            <w:tcBorders>
              <w:top w:val="nil"/>
              <w:left w:val="single" w:sz="4" w:space="0" w:color="auto"/>
              <w:bottom w:val="nil"/>
              <w:right w:val="single" w:sz="8" w:space="0" w:color="auto"/>
            </w:tcBorders>
            <w:shd w:val="clear" w:color="auto" w:fill="auto"/>
            <w:noWrap/>
            <w:vAlign w:val="center"/>
          </w:tcPr>
          <w:p w:rsidR="00031D8D" w:rsidRPr="00264994" w:rsidRDefault="00031D8D" w:rsidP="00264994">
            <w:pPr>
              <w:spacing w:after="0" w:line="240" w:lineRule="auto"/>
              <w:jc w:val="right"/>
              <w:rPr>
                <w:rFonts w:ascii="Arial" w:hAnsi="Arial" w:cs="Arial"/>
                <w:b/>
                <w:bCs/>
                <w:sz w:val="16"/>
                <w:szCs w:val="16"/>
              </w:rPr>
            </w:pPr>
          </w:p>
        </w:tc>
      </w:tr>
      <w:tr w:rsidR="00C544F7" w:rsidRPr="00264994" w:rsidTr="00031D8D">
        <w:trPr>
          <w:trHeight w:val="450"/>
        </w:trPr>
        <w:tc>
          <w:tcPr>
            <w:tcW w:w="1800" w:type="dxa"/>
            <w:tcBorders>
              <w:top w:val="nil"/>
              <w:left w:val="single" w:sz="8" w:space="0" w:color="auto"/>
              <w:bottom w:val="single" w:sz="4" w:space="0" w:color="auto"/>
              <w:right w:val="single" w:sz="4" w:space="0" w:color="auto"/>
            </w:tcBorders>
            <w:shd w:val="clear" w:color="auto" w:fill="auto"/>
            <w:vAlign w:val="center"/>
            <w:hideMark/>
          </w:tcPr>
          <w:p w:rsidR="00C544F7" w:rsidRPr="00264994" w:rsidRDefault="00C544F7" w:rsidP="00264994">
            <w:pPr>
              <w:spacing w:after="0" w:line="240" w:lineRule="auto"/>
              <w:rPr>
                <w:rFonts w:ascii="Arial" w:hAnsi="Arial" w:cs="Arial"/>
                <w:b/>
                <w:bCs/>
                <w:sz w:val="16"/>
                <w:szCs w:val="16"/>
              </w:rPr>
            </w:pPr>
            <w:r w:rsidRPr="00264994">
              <w:rPr>
                <w:rFonts w:ascii="Arial" w:hAnsi="Arial" w:cs="Arial"/>
                <w:b/>
                <w:bCs/>
                <w:sz w:val="16"/>
                <w:szCs w:val="16"/>
              </w:rPr>
              <w:t>Performance Measure</w:t>
            </w:r>
          </w:p>
        </w:tc>
        <w:tc>
          <w:tcPr>
            <w:tcW w:w="2600" w:type="dxa"/>
            <w:tcBorders>
              <w:top w:val="nil"/>
              <w:left w:val="nil"/>
              <w:bottom w:val="single" w:sz="4" w:space="0" w:color="auto"/>
              <w:right w:val="single" w:sz="4" w:space="0" w:color="auto"/>
            </w:tcBorders>
            <w:shd w:val="clear" w:color="auto" w:fill="auto"/>
            <w:noWrap/>
            <w:vAlign w:val="center"/>
            <w:hideMark/>
          </w:tcPr>
          <w:p w:rsidR="00C544F7" w:rsidRPr="00264994" w:rsidRDefault="00C544F7" w:rsidP="00264994">
            <w:pPr>
              <w:spacing w:after="0" w:line="240" w:lineRule="auto"/>
              <w:jc w:val="center"/>
              <w:rPr>
                <w:rFonts w:ascii="Arial" w:hAnsi="Arial" w:cs="Arial"/>
                <w:b/>
                <w:bCs/>
                <w:sz w:val="16"/>
                <w:szCs w:val="16"/>
              </w:rPr>
            </w:pPr>
            <w:r w:rsidRPr="0071182A">
              <w:rPr>
                <w:rFonts w:ascii="Arial" w:hAnsi="Arial" w:cs="Arial"/>
                <w:color w:val="000000"/>
                <w:sz w:val="16"/>
                <w:szCs w:val="16"/>
              </w:rPr>
              <w:t>Produce the National Drug Threat Assessment, High Intensity Drug Trafficking Areas (HIDTA) Drug Market Analyses and other strategic domestic drug intelligence reports, as requested by the Department of Justice, Office of National Drug Control Policy and others.</w:t>
            </w: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8"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r>
      <w:tr w:rsidR="00C544F7" w:rsidRPr="00264994" w:rsidTr="00031D8D">
        <w:trPr>
          <w:trHeight w:val="450"/>
        </w:trPr>
        <w:tc>
          <w:tcPr>
            <w:tcW w:w="1800" w:type="dxa"/>
            <w:tcBorders>
              <w:top w:val="nil"/>
              <w:left w:val="single" w:sz="8" w:space="0" w:color="auto"/>
              <w:bottom w:val="single" w:sz="4" w:space="0" w:color="auto"/>
              <w:right w:val="single" w:sz="4" w:space="0" w:color="auto"/>
            </w:tcBorders>
            <w:shd w:val="clear" w:color="auto" w:fill="auto"/>
            <w:vAlign w:val="center"/>
            <w:hideMark/>
          </w:tcPr>
          <w:p w:rsidR="00C544F7" w:rsidRPr="00264994" w:rsidRDefault="00C544F7" w:rsidP="00264994">
            <w:pPr>
              <w:spacing w:after="0" w:line="240" w:lineRule="auto"/>
              <w:rPr>
                <w:rFonts w:ascii="Arial" w:hAnsi="Arial" w:cs="Arial"/>
                <w:b/>
                <w:bCs/>
                <w:sz w:val="16"/>
                <w:szCs w:val="16"/>
              </w:rPr>
            </w:pPr>
            <w:r w:rsidRPr="00264994">
              <w:rPr>
                <w:rFonts w:ascii="Arial" w:hAnsi="Arial" w:cs="Arial"/>
                <w:b/>
                <w:bCs/>
                <w:sz w:val="16"/>
                <w:szCs w:val="16"/>
              </w:rPr>
              <w:t>Performance Measure</w:t>
            </w:r>
          </w:p>
        </w:tc>
        <w:tc>
          <w:tcPr>
            <w:tcW w:w="2600" w:type="dxa"/>
            <w:tcBorders>
              <w:top w:val="nil"/>
              <w:left w:val="nil"/>
              <w:bottom w:val="single" w:sz="4" w:space="0" w:color="auto"/>
              <w:right w:val="single" w:sz="4" w:space="0" w:color="auto"/>
            </w:tcBorders>
            <w:shd w:val="clear" w:color="auto" w:fill="auto"/>
            <w:noWrap/>
            <w:vAlign w:val="center"/>
            <w:hideMark/>
          </w:tcPr>
          <w:p w:rsidR="00C544F7" w:rsidRPr="00264994" w:rsidRDefault="00C544F7" w:rsidP="00264994">
            <w:pPr>
              <w:spacing w:after="0" w:line="240" w:lineRule="auto"/>
              <w:jc w:val="center"/>
              <w:rPr>
                <w:rFonts w:ascii="Arial" w:hAnsi="Arial" w:cs="Arial"/>
                <w:b/>
                <w:bCs/>
                <w:sz w:val="16"/>
                <w:szCs w:val="16"/>
              </w:rPr>
            </w:pPr>
            <w:r w:rsidRPr="0071182A">
              <w:rPr>
                <w:rFonts w:ascii="Arial" w:hAnsi="Arial" w:cs="Arial"/>
                <w:color w:val="000000"/>
                <w:sz w:val="16"/>
                <w:szCs w:val="16"/>
              </w:rPr>
              <w:t>Expand NDIC’s production of strategic intelligence products regarding the Southwest Border, gangs and violence, and other emerging drug related issues, as well as produce nine Organized Crime Drug Enforcement Task Force Regional Drug Threat Assessments.</w:t>
            </w: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8"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r>
      <w:tr w:rsidR="00C544F7" w:rsidRPr="00264994" w:rsidTr="00031D8D">
        <w:trPr>
          <w:trHeight w:val="450"/>
        </w:trPr>
        <w:tc>
          <w:tcPr>
            <w:tcW w:w="1800" w:type="dxa"/>
            <w:tcBorders>
              <w:top w:val="nil"/>
              <w:left w:val="single" w:sz="8" w:space="0" w:color="auto"/>
              <w:bottom w:val="single" w:sz="4" w:space="0" w:color="auto"/>
              <w:right w:val="single" w:sz="4" w:space="0" w:color="auto"/>
            </w:tcBorders>
            <w:shd w:val="clear" w:color="auto" w:fill="auto"/>
            <w:vAlign w:val="center"/>
            <w:hideMark/>
          </w:tcPr>
          <w:p w:rsidR="00C544F7" w:rsidRPr="00264994" w:rsidRDefault="00C544F7" w:rsidP="00264994">
            <w:pPr>
              <w:spacing w:after="0" w:line="240" w:lineRule="auto"/>
              <w:rPr>
                <w:rFonts w:ascii="Arial" w:hAnsi="Arial" w:cs="Arial"/>
                <w:b/>
                <w:bCs/>
                <w:sz w:val="16"/>
                <w:szCs w:val="16"/>
              </w:rPr>
            </w:pPr>
            <w:r w:rsidRPr="00264994">
              <w:rPr>
                <w:rFonts w:ascii="Arial" w:hAnsi="Arial" w:cs="Arial"/>
                <w:b/>
                <w:bCs/>
                <w:sz w:val="16"/>
                <w:szCs w:val="16"/>
              </w:rPr>
              <w:t>Performance Measure</w:t>
            </w:r>
          </w:p>
        </w:tc>
        <w:tc>
          <w:tcPr>
            <w:tcW w:w="2600" w:type="dxa"/>
            <w:tcBorders>
              <w:top w:val="nil"/>
              <w:left w:val="nil"/>
              <w:bottom w:val="single" w:sz="4" w:space="0" w:color="auto"/>
              <w:right w:val="single" w:sz="4" w:space="0" w:color="auto"/>
            </w:tcBorders>
            <w:shd w:val="clear" w:color="auto" w:fill="auto"/>
            <w:noWrap/>
            <w:vAlign w:val="center"/>
            <w:hideMark/>
          </w:tcPr>
          <w:p w:rsidR="00C544F7" w:rsidRPr="00264994" w:rsidRDefault="00C544F7" w:rsidP="00264994">
            <w:pPr>
              <w:spacing w:after="0" w:line="240" w:lineRule="auto"/>
              <w:jc w:val="center"/>
              <w:rPr>
                <w:rFonts w:ascii="Arial" w:hAnsi="Arial" w:cs="Arial"/>
                <w:b/>
                <w:bCs/>
                <w:sz w:val="16"/>
                <w:szCs w:val="16"/>
              </w:rPr>
            </w:pPr>
            <w:r>
              <w:rPr>
                <w:rFonts w:ascii="Arial" w:hAnsi="Arial" w:cs="Arial"/>
                <w:color w:val="000000"/>
                <w:sz w:val="16"/>
                <w:szCs w:val="16"/>
              </w:rPr>
              <w:t xml:space="preserve">Percentage of users that would request DOMEX support in the </w:t>
            </w:r>
            <w:r>
              <w:rPr>
                <w:rFonts w:ascii="Arial" w:hAnsi="Arial" w:cs="Arial"/>
                <w:color w:val="000000"/>
                <w:sz w:val="16"/>
                <w:szCs w:val="16"/>
              </w:rPr>
              <w:lastRenderedPageBreak/>
              <w:t>future and refer DOMEX to others</w:t>
            </w: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8"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r>
      <w:tr w:rsidR="00C544F7" w:rsidRPr="00264994" w:rsidTr="00031D8D">
        <w:trPr>
          <w:trHeight w:val="450"/>
        </w:trPr>
        <w:tc>
          <w:tcPr>
            <w:tcW w:w="1800" w:type="dxa"/>
            <w:tcBorders>
              <w:top w:val="nil"/>
              <w:left w:val="single" w:sz="8" w:space="0" w:color="auto"/>
              <w:bottom w:val="single" w:sz="4" w:space="0" w:color="auto"/>
              <w:right w:val="single" w:sz="4" w:space="0" w:color="auto"/>
            </w:tcBorders>
            <w:shd w:val="clear" w:color="auto" w:fill="auto"/>
            <w:vAlign w:val="center"/>
            <w:hideMark/>
          </w:tcPr>
          <w:p w:rsidR="00C544F7" w:rsidRPr="00264994" w:rsidRDefault="00C544F7" w:rsidP="00264994">
            <w:pPr>
              <w:spacing w:after="0" w:line="240" w:lineRule="auto"/>
              <w:rPr>
                <w:rFonts w:ascii="Arial" w:hAnsi="Arial" w:cs="Arial"/>
                <w:b/>
                <w:bCs/>
                <w:sz w:val="16"/>
                <w:szCs w:val="16"/>
              </w:rPr>
            </w:pPr>
            <w:r w:rsidRPr="00264994">
              <w:rPr>
                <w:rFonts w:ascii="Arial" w:hAnsi="Arial" w:cs="Arial"/>
                <w:b/>
                <w:bCs/>
                <w:sz w:val="16"/>
                <w:szCs w:val="16"/>
              </w:rPr>
              <w:lastRenderedPageBreak/>
              <w:t>Performance Measure</w:t>
            </w:r>
          </w:p>
        </w:tc>
        <w:tc>
          <w:tcPr>
            <w:tcW w:w="2600" w:type="dxa"/>
            <w:tcBorders>
              <w:top w:val="nil"/>
              <w:left w:val="nil"/>
              <w:bottom w:val="single" w:sz="4" w:space="0" w:color="auto"/>
              <w:right w:val="single" w:sz="4" w:space="0" w:color="auto"/>
            </w:tcBorders>
            <w:shd w:val="clear" w:color="auto" w:fill="auto"/>
            <w:noWrap/>
            <w:vAlign w:val="center"/>
            <w:hideMark/>
          </w:tcPr>
          <w:p w:rsidR="00C544F7" w:rsidRPr="00264994" w:rsidRDefault="00C544F7" w:rsidP="00264994">
            <w:pPr>
              <w:spacing w:after="0" w:line="240" w:lineRule="auto"/>
              <w:jc w:val="center"/>
              <w:rPr>
                <w:rFonts w:ascii="Arial" w:hAnsi="Arial" w:cs="Arial"/>
                <w:b/>
                <w:bCs/>
                <w:sz w:val="16"/>
                <w:szCs w:val="16"/>
              </w:rPr>
            </w:pPr>
            <w:r>
              <w:rPr>
                <w:rFonts w:ascii="Arial" w:hAnsi="Arial" w:cs="Arial"/>
                <w:color w:val="000000"/>
                <w:sz w:val="16"/>
                <w:szCs w:val="16"/>
              </w:rPr>
              <w:t>Percentage of</w:t>
            </w:r>
            <w:r w:rsidRPr="0071182A">
              <w:rPr>
                <w:rFonts w:ascii="Arial" w:hAnsi="Arial" w:cs="Arial"/>
                <w:color w:val="000000"/>
                <w:sz w:val="16"/>
                <w:szCs w:val="16"/>
              </w:rPr>
              <w:t xml:space="preserve"> DOMEX missions that support DOJ’s strategic goals and objectives.</w:t>
            </w: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8"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r>
      <w:tr w:rsidR="00C544F7" w:rsidRPr="00264994" w:rsidTr="00031D8D">
        <w:trPr>
          <w:trHeight w:val="495"/>
        </w:trPr>
        <w:tc>
          <w:tcPr>
            <w:tcW w:w="1800" w:type="dxa"/>
            <w:tcBorders>
              <w:top w:val="nil"/>
              <w:left w:val="single" w:sz="8" w:space="0" w:color="auto"/>
              <w:bottom w:val="single" w:sz="4" w:space="0" w:color="auto"/>
              <w:right w:val="single" w:sz="4" w:space="0" w:color="auto"/>
            </w:tcBorders>
            <w:shd w:val="clear" w:color="auto" w:fill="auto"/>
            <w:vAlign w:val="center"/>
            <w:hideMark/>
          </w:tcPr>
          <w:p w:rsidR="00C544F7" w:rsidRPr="00264994" w:rsidRDefault="00C544F7" w:rsidP="00264994">
            <w:pPr>
              <w:spacing w:after="0" w:line="240" w:lineRule="auto"/>
              <w:rPr>
                <w:rFonts w:ascii="Arial" w:hAnsi="Arial" w:cs="Arial"/>
                <w:b/>
                <w:bCs/>
                <w:sz w:val="16"/>
                <w:szCs w:val="16"/>
              </w:rPr>
            </w:pPr>
            <w:r w:rsidRPr="00264994">
              <w:rPr>
                <w:rFonts w:ascii="Arial" w:hAnsi="Arial" w:cs="Arial"/>
                <w:b/>
                <w:bCs/>
                <w:sz w:val="16"/>
                <w:szCs w:val="16"/>
              </w:rPr>
              <w:t>Efficiency Measure</w:t>
            </w:r>
          </w:p>
        </w:tc>
        <w:tc>
          <w:tcPr>
            <w:tcW w:w="2600" w:type="dxa"/>
            <w:tcBorders>
              <w:top w:val="nil"/>
              <w:left w:val="nil"/>
              <w:bottom w:val="single" w:sz="4" w:space="0" w:color="auto"/>
              <w:right w:val="single" w:sz="4" w:space="0" w:color="auto"/>
            </w:tcBorders>
            <w:shd w:val="clear" w:color="auto" w:fill="auto"/>
            <w:noWrap/>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8"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r>
      <w:tr w:rsidR="00C544F7" w:rsidRPr="00264994" w:rsidTr="00031D8D">
        <w:trPr>
          <w:trHeight w:val="465"/>
        </w:trPr>
        <w:tc>
          <w:tcPr>
            <w:tcW w:w="1800" w:type="dxa"/>
            <w:tcBorders>
              <w:top w:val="nil"/>
              <w:left w:val="single" w:sz="8" w:space="0" w:color="auto"/>
              <w:bottom w:val="single" w:sz="4" w:space="0" w:color="auto"/>
              <w:right w:val="single" w:sz="4" w:space="0" w:color="auto"/>
            </w:tcBorders>
            <w:shd w:val="clear" w:color="auto" w:fill="auto"/>
            <w:vAlign w:val="center"/>
            <w:hideMark/>
          </w:tcPr>
          <w:p w:rsidR="00C544F7" w:rsidRPr="00264994" w:rsidRDefault="00C544F7" w:rsidP="00264994">
            <w:pPr>
              <w:spacing w:after="0" w:line="240" w:lineRule="auto"/>
              <w:rPr>
                <w:rFonts w:ascii="Arial" w:hAnsi="Arial" w:cs="Arial"/>
                <w:b/>
                <w:bCs/>
                <w:sz w:val="16"/>
                <w:szCs w:val="16"/>
              </w:rPr>
            </w:pPr>
            <w:r w:rsidRPr="00264994">
              <w:rPr>
                <w:rFonts w:ascii="Arial" w:hAnsi="Arial" w:cs="Arial"/>
                <w:b/>
                <w:bCs/>
                <w:sz w:val="16"/>
                <w:szCs w:val="16"/>
              </w:rPr>
              <w:t>Outcome</w:t>
            </w:r>
          </w:p>
        </w:tc>
        <w:tc>
          <w:tcPr>
            <w:tcW w:w="2600" w:type="dxa"/>
            <w:tcBorders>
              <w:top w:val="nil"/>
              <w:left w:val="nil"/>
              <w:bottom w:val="single" w:sz="4" w:space="0" w:color="auto"/>
              <w:right w:val="single" w:sz="4" w:space="0" w:color="auto"/>
            </w:tcBorders>
            <w:shd w:val="clear" w:color="auto" w:fill="auto"/>
            <w:noWrap/>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c>
          <w:tcPr>
            <w:tcW w:w="1800" w:type="dxa"/>
            <w:gridSpan w:val="2"/>
            <w:tcBorders>
              <w:top w:val="single" w:sz="4" w:space="0" w:color="auto"/>
              <w:left w:val="nil"/>
              <w:bottom w:val="single" w:sz="4" w:space="0" w:color="auto"/>
              <w:right w:val="single" w:sz="8" w:space="0" w:color="000000"/>
            </w:tcBorders>
            <w:shd w:val="clear" w:color="auto" w:fill="auto"/>
            <w:vAlign w:val="center"/>
          </w:tcPr>
          <w:p w:rsidR="00C544F7" w:rsidRPr="00264994" w:rsidRDefault="00C544F7" w:rsidP="00264994">
            <w:pPr>
              <w:spacing w:after="0" w:line="240" w:lineRule="auto"/>
              <w:jc w:val="center"/>
              <w:rPr>
                <w:rFonts w:ascii="Arial" w:hAnsi="Arial" w:cs="Arial"/>
                <w:b/>
                <w:bCs/>
                <w:sz w:val="16"/>
                <w:szCs w:val="16"/>
              </w:rPr>
            </w:pPr>
          </w:p>
        </w:tc>
      </w:tr>
      <w:tr w:rsidR="00C544F7" w:rsidRPr="00264994" w:rsidTr="00264994">
        <w:trPr>
          <w:trHeight w:val="240"/>
        </w:trPr>
        <w:tc>
          <w:tcPr>
            <w:tcW w:w="13400"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C544F7" w:rsidRPr="00264994" w:rsidRDefault="00C544F7" w:rsidP="00264994">
            <w:pPr>
              <w:spacing w:after="0" w:line="240" w:lineRule="auto"/>
              <w:rPr>
                <w:rFonts w:ascii="Arial" w:hAnsi="Arial" w:cs="Arial"/>
                <w:b/>
                <w:bCs/>
                <w:sz w:val="16"/>
                <w:szCs w:val="16"/>
              </w:rPr>
            </w:pPr>
            <w:r w:rsidRPr="00264994">
              <w:rPr>
                <w:rFonts w:ascii="Arial" w:hAnsi="Arial" w:cs="Arial"/>
                <w:b/>
                <w:bCs/>
                <w:sz w:val="16"/>
                <w:szCs w:val="16"/>
              </w:rPr>
              <w:t>Data Definition, Validation, Verification, and Limitations.</w:t>
            </w:r>
          </w:p>
        </w:tc>
      </w:tr>
    </w:tbl>
    <w:p w:rsidR="0032402C" w:rsidRDefault="0032402C" w:rsidP="00A252AE"/>
    <w:tbl>
      <w:tblPr>
        <w:tblW w:w="13400" w:type="dxa"/>
        <w:tblInd w:w="93" w:type="dxa"/>
        <w:tblLook w:val="04A0" w:firstRow="1" w:lastRow="0" w:firstColumn="1" w:lastColumn="0" w:noHBand="0" w:noVBand="1"/>
      </w:tblPr>
      <w:tblGrid>
        <w:gridCol w:w="2221"/>
        <w:gridCol w:w="2899"/>
        <w:gridCol w:w="828"/>
        <w:gridCol w:w="828"/>
        <w:gridCol w:w="828"/>
        <w:gridCol w:w="828"/>
        <w:gridCol w:w="828"/>
        <w:gridCol w:w="828"/>
        <w:gridCol w:w="828"/>
        <w:gridCol w:w="828"/>
        <w:gridCol w:w="828"/>
        <w:gridCol w:w="828"/>
      </w:tblGrid>
      <w:tr w:rsidR="0071182A" w:rsidRPr="0071182A" w:rsidTr="0071182A">
        <w:trPr>
          <w:trHeight w:val="402"/>
        </w:trPr>
        <w:tc>
          <w:tcPr>
            <w:tcW w:w="13400"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Performance Measure Report - Historical Data</w:t>
            </w:r>
          </w:p>
        </w:tc>
      </w:tr>
      <w:tr w:rsidR="0071182A" w:rsidRPr="0071182A" w:rsidTr="0071182A">
        <w:trPr>
          <w:trHeight w:val="402"/>
        </w:trPr>
        <w:tc>
          <w:tcPr>
            <w:tcW w:w="13400"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1182A" w:rsidRPr="0071182A" w:rsidRDefault="0071182A" w:rsidP="0071182A">
            <w:pPr>
              <w:spacing w:after="0" w:line="240" w:lineRule="auto"/>
              <w:rPr>
                <w:rFonts w:ascii="Arial" w:hAnsi="Arial" w:cs="Arial"/>
                <w:b/>
                <w:bCs/>
                <w:sz w:val="16"/>
                <w:szCs w:val="16"/>
              </w:rPr>
            </w:pPr>
            <w:r w:rsidRPr="0071182A">
              <w:rPr>
                <w:rFonts w:ascii="Arial" w:hAnsi="Arial" w:cs="Arial"/>
                <w:b/>
                <w:bCs/>
                <w:sz w:val="16"/>
                <w:szCs w:val="16"/>
              </w:rPr>
              <w:t>Decision Unit: National Drug Intelligence Center</w:t>
            </w:r>
          </w:p>
        </w:tc>
      </w:tr>
      <w:tr w:rsidR="0071182A" w:rsidRPr="0071182A" w:rsidTr="0071182A">
        <w:trPr>
          <w:trHeight w:val="240"/>
        </w:trPr>
        <w:tc>
          <w:tcPr>
            <w:tcW w:w="5120"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Performance Report and Performance Plan Targets</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FY 2003</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FY 2004</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FY 2005</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FY 2006</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FY 2007</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FY 2008</w:t>
            </w:r>
          </w:p>
        </w:tc>
        <w:tc>
          <w:tcPr>
            <w:tcW w:w="828" w:type="dxa"/>
            <w:tcBorders>
              <w:top w:val="nil"/>
              <w:left w:val="nil"/>
              <w:bottom w:val="single" w:sz="4" w:space="0" w:color="auto"/>
              <w:right w:val="nil"/>
            </w:tcBorders>
            <w:shd w:val="clear" w:color="auto" w:fill="auto"/>
            <w:noWrap/>
            <w:vAlign w:val="center"/>
            <w:hideMark/>
          </w:tcPr>
          <w:p w:rsidR="0071182A" w:rsidRPr="0071182A" w:rsidRDefault="0071182A" w:rsidP="0071182A">
            <w:pPr>
              <w:spacing w:after="0" w:line="240" w:lineRule="auto"/>
              <w:rPr>
                <w:rFonts w:ascii="Arial" w:hAnsi="Arial" w:cs="Arial"/>
                <w:b/>
                <w:bCs/>
                <w:sz w:val="16"/>
                <w:szCs w:val="16"/>
              </w:rPr>
            </w:pPr>
            <w:r w:rsidRPr="0071182A">
              <w:rPr>
                <w:rFonts w:ascii="Arial" w:hAnsi="Arial" w:cs="Arial"/>
                <w:b/>
                <w:bCs/>
                <w:sz w:val="16"/>
                <w:szCs w:val="16"/>
              </w:rPr>
              <w:t>FY 2009</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rPr>
                <w:rFonts w:ascii="Arial" w:hAnsi="Arial" w:cs="Arial"/>
                <w:b/>
                <w:bCs/>
                <w:sz w:val="16"/>
                <w:szCs w:val="16"/>
              </w:rPr>
            </w:pPr>
            <w:r w:rsidRPr="0071182A">
              <w:rPr>
                <w:rFonts w:ascii="Arial" w:hAnsi="Arial" w:cs="Arial"/>
                <w:b/>
                <w:bCs/>
                <w:sz w:val="16"/>
                <w:szCs w:val="16"/>
              </w:rPr>
              <w:t>FY 2010</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FY 2011</w:t>
            </w:r>
          </w:p>
        </w:tc>
        <w:tc>
          <w:tcPr>
            <w:tcW w:w="828" w:type="dxa"/>
            <w:tcBorders>
              <w:top w:val="nil"/>
              <w:left w:val="nil"/>
              <w:bottom w:val="single" w:sz="4" w:space="0" w:color="auto"/>
              <w:right w:val="single" w:sz="8"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FY 2012</w:t>
            </w:r>
          </w:p>
        </w:tc>
      </w:tr>
      <w:tr w:rsidR="0071182A" w:rsidRPr="0071182A" w:rsidTr="0071182A">
        <w:trPr>
          <w:trHeight w:val="240"/>
        </w:trPr>
        <w:tc>
          <w:tcPr>
            <w:tcW w:w="5120" w:type="dxa"/>
            <w:gridSpan w:val="2"/>
            <w:vMerge/>
            <w:tcBorders>
              <w:top w:val="single" w:sz="4" w:space="0" w:color="auto"/>
              <w:left w:val="single" w:sz="8" w:space="0" w:color="auto"/>
              <w:bottom w:val="single" w:sz="4" w:space="0" w:color="000000"/>
              <w:right w:val="single" w:sz="4" w:space="0" w:color="000000"/>
            </w:tcBorders>
            <w:vAlign w:val="center"/>
            <w:hideMark/>
          </w:tcPr>
          <w:p w:rsidR="0071182A" w:rsidRPr="0071182A" w:rsidRDefault="0071182A" w:rsidP="0071182A">
            <w:pPr>
              <w:spacing w:after="0" w:line="240" w:lineRule="auto"/>
              <w:rPr>
                <w:rFonts w:ascii="Arial" w:hAnsi="Arial" w:cs="Arial"/>
                <w:b/>
                <w:bCs/>
                <w:sz w:val="16"/>
                <w:szCs w:val="16"/>
              </w:rPr>
            </w:pP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Actual</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Actual</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Actual</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Actual</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Actual</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Actual</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Target</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Target</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Target</w:t>
            </w:r>
          </w:p>
        </w:tc>
        <w:tc>
          <w:tcPr>
            <w:tcW w:w="828" w:type="dxa"/>
            <w:tcBorders>
              <w:top w:val="nil"/>
              <w:left w:val="nil"/>
              <w:bottom w:val="single" w:sz="4" w:space="0" w:color="auto"/>
              <w:right w:val="single" w:sz="8"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Target</w:t>
            </w:r>
          </w:p>
        </w:tc>
      </w:tr>
      <w:tr w:rsidR="0071182A" w:rsidRPr="0071182A" w:rsidTr="00386391">
        <w:trPr>
          <w:trHeight w:val="1575"/>
        </w:trPr>
        <w:tc>
          <w:tcPr>
            <w:tcW w:w="2221" w:type="dxa"/>
            <w:tcBorders>
              <w:top w:val="nil"/>
              <w:left w:val="single" w:sz="8" w:space="0" w:color="auto"/>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Performance Measure</w:t>
            </w:r>
          </w:p>
        </w:tc>
        <w:tc>
          <w:tcPr>
            <w:tcW w:w="2899" w:type="dxa"/>
            <w:tcBorders>
              <w:top w:val="nil"/>
              <w:left w:val="nil"/>
              <w:bottom w:val="single" w:sz="4" w:space="0" w:color="auto"/>
              <w:right w:val="single" w:sz="4" w:space="0" w:color="auto"/>
            </w:tcBorders>
            <w:shd w:val="clear" w:color="auto" w:fill="auto"/>
            <w:vAlign w:val="center"/>
            <w:hideMark/>
          </w:tcPr>
          <w:p w:rsidR="0071182A" w:rsidRPr="0071182A" w:rsidRDefault="0071182A" w:rsidP="00386391">
            <w:pPr>
              <w:spacing w:after="0" w:line="240" w:lineRule="auto"/>
              <w:rPr>
                <w:rFonts w:ascii="Arial" w:hAnsi="Arial" w:cs="Arial"/>
                <w:color w:val="000000"/>
                <w:sz w:val="16"/>
                <w:szCs w:val="16"/>
              </w:rPr>
            </w:pPr>
            <w:r w:rsidRPr="0071182A">
              <w:rPr>
                <w:rFonts w:ascii="Arial" w:hAnsi="Arial" w:cs="Arial"/>
                <w:color w:val="000000"/>
                <w:sz w:val="16"/>
                <w:szCs w:val="16"/>
              </w:rPr>
              <w:t>Produce the National Drug Threat Assessment, High Intensity Drug Trafficking Areas (HIDTA) Drug Market Analyses and other strategic domestic drug intelligence reports, as requested by the Department of Justice, Office of National Drug Control Policy and others.</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30</w:t>
            </w:r>
          </w:p>
        </w:tc>
        <w:tc>
          <w:tcPr>
            <w:tcW w:w="828" w:type="dxa"/>
            <w:tcBorders>
              <w:top w:val="nil"/>
              <w:left w:val="nil"/>
              <w:bottom w:val="single" w:sz="4" w:space="0" w:color="auto"/>
              <w:right w:val="single" w:sz="8" w:space="0" w:color="auto"/>
            </w:tcBorders>
            <w:shd w:val="clear" w:color="auto" w:fill="auto"/>
            <w:noWrap/>
            <w:vAlign w:val="center"/>
            <w:hideMark/>
          </w:tcPr>
          <w:p w:rsidR="0071182A" w:rsidRPr="0071182A" w:rsidRDefault="00C544F7" w:rsidP="0071182A">
            <w:pPr>
              <w:spacing w:after="0" w:line="240" w:lineRule="auto"/>
              <w:jc w:val="center"/>
              <w:rPr>
                <w:rFonts w:ascii="Arial" w:hAnsi="Arial" w:cs="Arial"/>
                <w:sz w:val="16"/>
                <w:szCs w:val="16"/>
              </w:rPr>
            </w:pPr>
            <w:r>
              <w:rPr>
                <w:rFonts w:ascii="Arial" w:hAnsi="Arial" w:cs="Arial"/>
                <w:sz w:val="16"/>
                <w:szCs w:val="16"/>
              </w:rPr>
              <w:t>45</w:t>
            </w:r>
          </w:p>
        </w:tc>
      </w:tr>
      <w:tr w:rsidR="0071182A" w:rsidRPr="0071182A" w:rsidTr="00386391">
        <w:trPr>
          <w:trHeight w:val="1575"/>
        </w:trPr>
        <w:tc>
          <w:tcPr>
            <w:tcW w:w="2221" w:type="dxa"/>
            <w:tcBorders>
              <w:top w:val="nil"/>
              <w:left w:val="single" w:sz="8" w:space="0" w:color="auto"/>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Performance Measure</w:t>
            </w:r>
          </w:p>
        </w:tc>
        <w:tc>
          <w:tcPr>
            <w:tcW w:w="2899" w:type="dxa"/>
            <w:tcBorders>
              <w:top w:val="nil"/>
              <w:left w:val="nil"/>
              <w:bottom w:val="single" w:sz="4" w:space="0" w:color="auto"/>
              <w:right w:val="single" w:sz="4" w:space="0" w:color="auto"/>
            </w:tcBorders>
            <w:shd w:val="clear" w:color="auto" w:fill="auto"/>
            <w:vAlign w:val="center"/>
            <w:hideMark/>
          </w:tcPr>
          <w:p w:rsidR="0071182A" w:rsidRPr="0071182A" w:rsidRDefault="0071182A" w:rsidP="00386391">
            <w:pPr>
              <w:spacing w:after="0" w:line="240" w:lineRule="auto"/>
              <w:rPr>
                <w:rFonts w:ascii="Arial" w:hAnsi="Arial" w:cs="Arial"/>
                <w:color w:val="000000"/>
                <w:sz w:val="16"/>
                <w:szCs w:val="16"/>
              </w:rPr>
            </w:pPr>
            <w:r w:rsidRPr="0071182A">
              <w:rPr>
                <w:rFonts w:ascii="Arial" w:hAnsi="Arial" w:cs="Arial"/>
                <w:color w:val="000000"/>
                <w:sz w:val="16"/>
                <w:szCs w:val="16"/>
              </w:rPr>
              <w:t>Expand NDIC’s production of strategic intelligence products regarding the Southwest Border, gangs and violence, and other emerging drug related issues, as well as produce nine Organized Crime Drug Enforcement Task Force Regional Drug Threat Assessments.</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30</w:t>
            </w:r>
          </w:p>
        </w:tc>
        <w:tc>
          <w:tcPr>
            <w:tcW w:w="828" w:type="dxa"/>
            <w:tcBorders>
              <w:top w:val="nil"/>
              <w:left w:val="nil"/>
              <w:bottom w:val="single" w:sz="4" w:space="0" w:color="auto"/>
              <w:right w:val="single" w:sz="8"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30</w:t>
            </w:r>
          </w:p>
        </w:tc>
      </w:tr>
      <w:tr w:rsidR="0071182A" w:rsidRPr="0071182A" w:rsidTr="00386391">
        <w:trPr>
          <w:trHeight w:val="818"/>
        </w:trPr>
        <w:tc>
          <w:tcPr>
            <w:tcW w:w="2221" w:type="dxa"/>
            <w:tcBorders>
              <w:top w:val="nil"/>
              <w:left w:val="single" w:sz="8" w:space="0" w:color="auto"/>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Performance Measure</w:t>
            </w:r>
          </w:p>
        </w:tc>
        <w:tc>
          <w:tcPr>
            <w:tcW w:w="2899" w:type="dxa"/>
            <w:tcBorders>
              <w:top w:val="nil"/>
              <w:left w:val="nil"/>
              <w:bottom w:val="single" w:sz="4" w:space="0" w:color="auto"/>
              <w:right w:val="single" w:sz="4" w:space="0" w:color="auto"/>
            </w:tcBorders>
            <w:shd w:val="clear" w:color="auto" w:fill="auto"/>
            <w:vAlign w:val="center"/>
            <w:hideMark/>
          </w:tcPr>
          <w:p w:rsidR="0071182A" w:rsidRPr="0071182A" w:rsidRDefault="00386391" w:rsidP="00386391">
            <w:pPr>
              <w:spacing w:after="0" w:line="240" w:lineRule="auto"/>
              <w:rPr>
                <w:rFonts w:ascii="Arial" w:hAnsi="Arial" w:cs="Arial"/>
                <w:color w:val="000000"/>
                <w:sz w:val="16"/>
                <w:szCs w:val="16"/>
              </w:rPr>
            </w:pPr>
            <w:r>
              <w:rPr>
                <w:rFonts w:ascii="Arial" w:hAnsi="Arial" w:cs="Arial"/>
                <w:color w:val="000000"/>
                <w:sz w:val="16"/>
                <w:szCs w:val="16"/>
              </w:rPr>
              <w:t>Percentage of users that would request DOMEX support in the future and refer DOMEX to others</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386391" w:rsidP="0071182A">
            <w:pPr>
              <w:spacing w:after="0" w:line="240" w:lineRule="auto"/>
              <w:jc w:val="center"/>
              <w:rPr>
                <w:rFonts w:ascii="Arial" w:hAnsi="Arial" w:cs="Arial"/>
                <w:sz w:val="16"/>
                <w:szCs w:val="16"/>
              </w:rPr>
            </w:pPr>
            <w:r>
              <w:rPr>
                <w:rFonts w:ascii="Arial" w:hAnsi="Arial" w:cs="Arial"/>
                <w:sz w:val="16"/>
                <w:szCs w:val="16"/>
              </w:rPr>
              <w:t>90%</w:t>
            </w:r>
          </w:p>
        </w:tc>
        <w:tc>
          <w:tcPr>
            <w:tcW w:w="828" w:type="dxa"/>
            <w:tcBorders>
              <w:top w:val="nil"/>
              <w:left w:val="nil"/>
              <w:bottom w:val="single" w:sz="4" w:space="0" w:color="auto"/>
              <w:right w:val="single" w:sz="8" w:space="0" w:color="auto"/>
            </w:tcBorders>
            <w:shd w:val="clear" w:color="auto" w:fill="auto"/>
            <w:noWrap/>
            <w:vAlign w:val="center"/>
            <w:hideMark/>
          </w:tcPr>
          <w:p w:rsidR="0071182A" w:rsidRPr="0071182A" w:rsidRDefault="00386391" w:rsidP="0071182A">
            <w:pPr>
              <w:spacing w:after="0" w:line="240" w:lineRule="auto"/>
              <w:jc w:val="center"/>
              <w:rPr>
                <w:rFonts w:ascii="Arial" w:hAnsi="Arial" w:cs="Arial"/>
                <w:sz w:val="16"/>
                <w:szCs w:val="16"/>
              </w:rPr>
            </w:pPr>
            <w:r>
              <w:rPr>
                <w:rFonts w:ascii="Arial" w:hAnsi="Arial" w:cs="Arial"/>
                <w:sz w:val="16"/>
                <w:szCs w:val="16"/>
              </w:rPr>
              <w:t>90%</w:t>
            </w:r>
          </w:p>
        </w:tc>
      </w:tr>
      <w:tr w:rsidR="0071182A" w:rsidRPr="0071182A" w:rsidTr="00386391">
        <w:trPr>
          <w:trHeight w:val="690"/>
        </w:trPr>
        <w:tc>
          <w:tcPr>
            <w:tcW w:w="2221" w:type="dxa"/>
            <w:tcBorders>
              <w:top w:val="nil"/>
              <w:left w:val="single" w:sz="8" w:space="0" w:color="auto"/>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b/>
                <w:bCs/>
                <w:sz w:val="16"/>
                <w:szCs w:val="16"/>
              </w:rPr>
            </w:pPr>
            <w:r w:rsidRPr="0071182A">
              <w:rPr>
                <w:rFonts w:ascii="Arial" w:hAnsi="Arial" w:cs="Arial"/>
                <w:b/>
                <w:bCs/>
                <w:sz w:val="16"/>
                <w:szCs w:val="16"/>
              </w:rPr>
              <w:t>Performance Measure</w:t>
            </w:r>
          </w:p>
        </w:tc>
        <w:tc>
          <w:tcPr>
            <w:tcW w:w="2899" w:type="dxa"/>
            <w:tcBorders>
              <w:top w:val="nil"/>
              <w:left w:val="nil"/>
              <w:bottom w:val="single" w:sz="4" w:space="0" w:color="auto"/>
              <w:right w:val="single" w:sz="4" w:space="0" w:color="auto"/>
            </w:tcBorders>
            <w:shd w:val="clear" w:color="auto" w:fill="auto"/>
            <w:vAlign w:val="center"/>
            <w:hideMark/>
          </w:tcPr>
          <w:p w:rsidR="0071182A" w:rsidRPr="0071182A" w:rsidRDefault="00386391" w:rsidP="00386391">
            <w:pPr>
              <w:spacing w:after="0" w:line="240" w:lineRule="auto"/>
              <w:rPr>
                <w:rFonts w:ascii="Arial" w:hAnsi="Arial" w:cs="Arial"/>
                <w:color w:val="000000"/>
                <w:sz w:val="16"/>
                <w:szCs w:val="16"/>
              </w:rPr>
            </w:pPr>
            <w:r>
              <w:rPr>
                <w:rFonts w:ascii="Arial" w:hAnsi="Arial" w:cs="Arial"/>
                <w:color w:val="000000"/>
                <w:sz w:val="16"/>
                <w:szCs w:val="16"/>
              </w:rPr>
              <w:t>Percentage of</w:t>
            </w:r>
            <w:r w:rsidR="0071182A" w:rsidRPr="0071182A">
              <w:rPr>
                <w:rFonts w:ascii="Arial" w:hAnsi="Arial" w:cs="Arial"/>
                <w:color w:val="000000"/>
                <w:sz w:val="16"/>
                <w:szCs w:val="16"/>
              </w:rPr>
              <w:t xml:space="preserve"> DOMEX missions that support DOJ’s strategic goals and objectives.</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71182A" w:rsidP="0071182A">
            <w:pPr>
              <w:spacing w:after="0" w:line="240" w:lineRule="auto"/>
              <w:jc w:val="center"/>
              <w:rPr>
                <w:rFonts w:ascii="Arial" w:hAnsi="Arial" w:cs="Arial"/>
                <w:sz w:val="16"/>
                <w:szCs w:val="16"/>
              </w:rPr>
            </w:pPr>
            <w:r w:rsidRPr="0071182A">
              <w:rPr>
                <w:rFonts w:ascii="Arial" w:hAnsi="Arial" w:cs="Arial"/>
                <w:sz w:val="16"/>
                <w:szCs w:val="16"/>
              </w:rPr>
              <w:t>NA</w:t>
            </w:r>
          </w:p>
        </w:tc>
        <w:tc>
          <w:tcPr>
            <w:tcW w:w="828" w:type="dxa"/>
            <w:tcBorders>
              <w:top w:val="nil"/>
              <w:left w:val="nil"/>
              <w:bottom w:val="single" w:sz="4" w:space="0" w:color="auto"/>
              <w:right w:val="single" w:sz="4" w:space="0" w:color="auto"/>
            </w:tcBorders>
            <w:shd w:val="clear" w:color="auto" w:fill="auto"/>
            <w:noWrap/>
            <w:vAlign w:val="center"/>
            <w:hideMark/>
          </w:tcPr>
          <w:p w:rsidR="0071182A" w:rsidRPr="0071182A" w:rsidRDefault="00386391" w:rsidP="00386391">
            <w:pPr>
              <w:spacing w:after="0" w:line="240" w:lineRule="auto"/>
              <w:jc w:val="center"/>
              <w:rPr>
                <w:rFonts w:ascii="Arial" w:hAnsi="Arial" w:cs="Arial"/>
                <w:sz w:val="16"/>
                <w:szCs w:val="16"/>
              </w:rPr>
            </w:pPr>
            <w:r>
              <w:rPr>
                <w:rFonts w:ascii="Arial" w:hAnsi="Arial" w:cs="Arial"/>
                <w:sz w:val="16"/>
                <w:szCs w:val="16"/>
              </w:rPr>
              <w:t>90%</w:t>
            </w:r>
          </w:p>
        </w:tc>
        <w:tc>
          <w:tcPr>
            <w:tcW w:w="828" w:type="dxa"/>
            <w:tcBorders>
              <w:top w:val="nil"/>
              <w:left w:val="nil"/>
              <w:bottom w:val="single" w:sz="4" w:space="0" w:color="auto"/>
              <w:right w:val="single" w:sz="8" w:space="0" w:color="auto"/>
            </w:tcBorders>
            <w:shd w:val="clear" w:color="auto" w:fill="auto"/>
            <w:noWrap/>
            <w:vAlign w:val="center"/>
            <w:hideMark/>
          </w:tcPr>
          <w:p w:rsidR="0071182A" w:rsidRPr="0071182A" w:rsidRDefault="00386391" w:rsidP="00386391">
            <w:pPr>
              <w:spacing w:after="0" w:line="240" w:lineRule="auto"/>
              <w:jc w:val="center"/>
              <w:rPr>
                <w:rFonts w:ascii="Arial" w:hAnsi="Arial" w:cs="Arial"/>
                <w:sz w:val="16"/>
                <w:szCs w:val="16"/>
              </w:rPr>
            </w:pPr>
            <w:r>
              <w:rPr>
                <w:rFonts w:ascii="Arial" w:hAnsi="Arial" w:cs="Arial"/>
                <w:sz w:val="16"/>
                <w:szCs w:val="16"/>
              </w:rPr>
              <w:t>90%</w:t>
            </w:r>
          </w:p>
        </w:tc>
      </w:tr>
    </w:tbl>
    <w:p w:rsidR="0032402C" w:rsidRDefault="0032402C" w:rsidP="00120A85">
      <w:pPr>
        <w:rPr>
          <w:sz w:val="24"/>
          <w:szCs w:val="24"/>
        </w:rPr>
      </w:pPr>
    </w:p>
    <w:p w:rsidR="0032402C" w:rsidRDefault="0032402C" w:rsidP="0071210C">
      <w:pPr>
        <w:rPr>
          <w:sz w:val="24"/>
          <w:szCs w:val="24"/>
        </w:rPr>
        <w:sectPr w:rsidR="0032402C" w:rsidSect="00F13D00">
          <w:pgSz w:w="15840" w:h="12240" w:orient="landscape"/>
          <w:pgMar w:top="1440" w:right="1440" w:bottom="1440" w:left="1440" w:header="720" w:footer="720" w:gutter="0"/>
          <w:cols w:space="720"/>
          <w:titlePg/>
          <w:docGrid w:linePitch="360"/>
        </w:sectPr>
      </w:pPr>
    </w:p>
    <w:p w:rsidR="0032402C" w:rsidRPr="0032402C" w:rsidRDefault="00A6509C" w:rsidP="00A6509C">
      <w:pPr>
        <w:pStyle w:val="Heading2"/>
        <w:rPr>
          <w:rFonts w:ascii="Times New Roman" w:hAnsi="Times New Roman"/>
          <w:color w:val="auto"/>
        </w:rPr>
      </w:pPr>
      <w:r>
        <w:rPr>
          <w:rFonts w:ascii="Times New Roman" w:hAnsi="Times New Roman"/>
          <w:color w:val="auto"/>
        </w:rPr>
        <w:lastRenderedPageBreak/>
        <w:t xml:space="preserve">3. </w:t>
      </w:r>
      <w:r w:rsidR="00E4376B" w:rsidRPr="00E4376B">
        <w:rPr>
          <w:rFonts w:ascii="Times New Roman" w:hAnsi="Times New Roman"/>
          <w:color w:val="auto"/>
        </w:rPr>
        <w:t>Performance, Resources, and Strategies</w:t>
      </w:r>
    </w:p>
    <w:p w:rsidR="0032402C" w:rsidRDefault="0032402C" w:rsidP="003110E5">
      <w:pPr>
        <w:rPr>
          <w:sz w:val="24"/>
          <w:szCs w:val="24"/>
        </w:rPr>
      </w:pPr>
    </w:p>
    <w:p w:rsidR="0032402C" w:rsidRDefault="0032402C" w:rsidP="0069581B">
      <w:pPr>
        <w:rPr>
          <w:sz w:val="24"/>
          <w:szCs w:val="24"/>
        </w:rPr>
      </w:pPr>
      <w:r>
        <w:rPr>
          <w:sz w:val="24"/>
          <w:szCs w:val="24"/>
        </w:rPr>
        <w:t>The mission of NDIC is to produce strategic domestic drug intelligence for the nation’s counterdrug community, produce national, regional, and state drug threat assessment and provide real-time support to law enforcement and intelligence communities by conducting document and media exploitation for materials associated with counterdrug and/or counterterrorism investigations.</w:t>
      </w:r>
    </w:p>
    <w:p w:rsidR="00041B21" w:rsidRDefault="0032402C" w:rsidP="00041B21">
      <w:pPr>
        <w:rPr>
          <w:sz w:val="24"/>
          <w:szCs w:val="24"/>
        </w:rPr>
      </w:pPr>
      <w:r>
        <w:rPr>
          <w:sz w:val="24"/>
          <w:szCs w:val="24"/>
        </w:rPr>
        <w:t xml:space="preserve">NDIC’s approach is to collect, analyze, publish, and disseminate strategic intelligence by removing barriers to information sharing, integrating resources among partner agencies, and leveraging technological and methodological advances to ultimately help protect Americans from the adverse consequences of drug trafficking and drug abuse. The means to accomplishing this strategy is to provide national policymakers with timely strategic domestic drug intelligence assessments focusing on the production, consumption, and trafficking of illicit drugs. </w:t>
      </w:r>
      <w:bookmarkStart w:id="7" w:name="_Toc271895829"/>
    </w:p>
    <w:p w:rsidR="00BE7060" w:rsidRDefault="00BE7060">
      <w:pPr>
        <w:spacing w:after="0" w:line="240" w:lineRule="auto"/>
        <w:rPr>
          <w:sz w:val="24"/>
          <w:szCs w:val="24"/>
        </w:rPr>
      </w:pPr>
      <w:r>
        <w:rPr>
          <w:sz w:val="24"/>
          <w:szCs w:val="24"/>
        </w:rPr>
        <w:br w:type="page"/>
      </w:r>
    </w:p>
    <w:p w:rsidR="0032402C" w:rsidRPr="0032402C" w:rsidRDefault="00044A0C" w:rsidP="00A6509C">
      <w:pPr>
        <w:pStyle w:val="Heading1"/>
        <w:numPr>
          <w:ilvl w:val="0"/>
          <w:numId w:val="27"/>
        </w:numPr>
        <w:spacing w:after="240"/>
        <w:rPr>
          <w:rStyle w:val="SubtleEmphasis"/>
          <w:rFonts w:ascii="Times New Roman" w:hAnsi="Times New Roman"/>
          <w:i w:val="0"/>
          <w:color w:val="auto"/>
          <w:sz w:val="32"/>
          <w:szCs w:val="32"/>
        </w:rPr>
      </w:pPr>
      <w:r>
        <w:rPr>
          <w:rStyle w:val="SubtleEmphasis"/>
          <w:rFonts w:ascii="Times New Roman" w:hAnsi="Times New Roman"/>
          <w:i w:val="0"/>
          <w:color w:val="auto"/>
          <w:sz w:val="32"/>
          <w:szCs w:val="32"/>
        </w:rPr>
        <w:lastRenderedPageBreak/>
        <w:t>Program Offsets</w:t>
      </w:r>
      <w:bookmarkEnd w:id="7"/>
    </w:p>
    <w:tbl>
      <w:tblPr>
        <w:tblStyle w:val="TableGrid"/>
        <w:tblW w:w="0" w:type="auto"/>
        <w:tblLayout w:type="fixed"/>
        <w:tblLook w:val="04A0" w:firstRow="1" w:lastRow="0" w:firstColumn="1" w:lastColumn="0" w:noHBand="0" w:noVBand="1"/>
      </w:tblPr>
      <w:tblGrid>
        <w:gridCol w:w="3528"/>
        <w:gridCol w:w="1170"/>
        <w:gridCol w:w="810"/>
        <w:gridCol w:w="810"/>
        <w:gridCol w:w="720"/>
        <w:gridCol w:w="1080"/>
        <w:gridCol w:w="1458"/>
      </w:tblGrid>
      <w:tr w:rsidR="00044A0C" w:rsidTr="006471D4">
        <w:tc>
          <w:tcPr>
            <w:tcW w:w="3528" w:type="dxa"/>
            <w:tcBorders>
              <w:top w:val="nil"/>
              <w:left w:val="nil"/>
              <w:bottom w:val="nil"/>
              <w:right w:val="nil"/>
            </w:tcBorders>
            <w:shd w:val="pct10" w:color="auto" w:fill="auto"/>
          </w:tcPr>
          <w:p w:rsidR="00044A0C" w:rsidRDefault="00044A0C" w:rsidP="00044A0C">
            <w:pPr>
              <w:pStyle w:val="xl19"/>
              <w:tabs>
                <w:tab w:val="left" w:pos="3420"/>
                <w:tab w:val="right" w:pos="8640"/>
              </w:tabs>
              <w:spacing w:before="0" w:after="0"/>
              <w:rPr>
                <w:b/>
                <w:bCs/>
              </w:rPr>
            </w:pPr>
            <w:r>
              <w:rPr>
                <w:b/>
                <w:bCs/>
              </w:rPr>
              <w:t>Item Name:</w:t>
            </w:r>
          </w:p>
        </w:tc>
        <w:tc>
          <w:tcPr>
            <w:tcW w:w="6048" w:type="dxa"/>
            <w:gridSpan w:val="6"/>
            <w:tcBorders>
              <w:top w:val="nil"/>
              <w:left w:val="nil"/>
              <w:bottom w:val="nil"/>
              <w:right w:val="nil"/>
            </w:tcBorders>
            <w:shd w:val="pct10" w:color="auto" w:fill="auto"/>
          </w:tcPr>
          <w:p w:rsidR="00044A0C" w:rsidRPr="007D0E4A" w:rsidRDefault="00091D22" w:rsidP="00044A0C">
            <w:pPr>
              <w:pStyle w:val="xl19"/>
              <w:tabs>
                <w:tab w:val="left" w:pos="3420"/>
                <w:tab w:val="right" w:pos="8640"/>
              </w:tabs>
              <w:spacing w:before="0" w:after="0"/>
              <w:rPr>
                <w:b/>
                <w:bCs/>
              </w:rPr>
            </w:pPr>
            <w:r>
              <w:rPr>
                <w:b/>
              </w:rPr>
              <w:t>Administration and Management</w:t>
            </w:r>
          </w:p>
        </w:tc>
      </w:tr>
      <w:tr w:rsidR="00044A0C" w:rsidTr="00AC4A8B">
        <w:tc>
          <w:tcPr>
            <w:tcW w:w="3528" w:type="dxa"/>
            <w:tcBorders>
              <w:top w:val="nil"/>
              <w:left w:val="nil"/>
              <w:bottom w:val="nil"/>
              <w:right w:val="nil"/>
            </w:tcBorders>
          </w:tcPr>
          <w:p w:rsidR="00044A0C" w:rsidRDefault="00044A0C" w:rsidP="00044A0C">
            <w:pPr>
              <w:pStyle w:val="xl19"/>
              <w:tabs>
                <w:tab w:val="left" w:pos="3420"/>
                <w:tab w:val="right" w:pos="8640"/>
              </w:tabs>
              <w:spacing w:before="0" w:after="0"/>
              <w:rPr>
                <w:b/>
                <w:bCs/>
              </w:rPr>
            </w:pPr>
            <w:r>
              <w:rPr>
                <w:rFonts w:eastAsia="Times New Roman"/>
              </w:rPr>
              <w:t>Budget Decision Unit(s):</w:t>
            </w:r>
          </w:p>
        </w:tc>
        <w:tc>
          <w:tcPr>
            <w:tcW w:w="6048" w:type="dxa"/>
            <w:gridSpan w:val="6"/>
            <w:tcBorders>
              <w:top w:val="nil"/>
              <w:left w:val="nil"/>
              <w:bottom w:val="nil"/>
              <w:right w:val="nil"/>
            </w:tcBorders>
          </w:tcPr>
          <w:p w:rsidR="00044A0C" w:rsidRPr="00044A0C" w:rsidRDefault="00044A0C" w:rsidP="00044A0C">
            <w:pPr>
              <w:pStyle w:val="xl19"/>
              <w:tabs>
                <w:tab w:val="left" w:pos="3420"/>
                <w:tab w:val="right" w:pos="8640"/>
              </w:tabs>
              <w:spacing w:before="0" w:after="0"/>
              <w:rPr>
                <w:bCs/>
              </w:rPr>
            </w:pPr>
            <w:r w:rsidRPr="00044A0C">
              <w:rPr>
                <w:bCs/>
              </w:rPr>
              <w:t>National Drug Intelligence Center</w:t>
            </w:r>
          </w:p>
        </w:tc>
      </w:tr>
      <w:tr w:rsidR="00044A0C" w:rsidTr="00AC4A8B">
        <w:tc>
          <w:tcPr>
            <w:tcW w:w="3528" w:type="dxa"/>
            <w:tcBorders>
              <w:top w:val="nil"/>
              <w:left w:val="nil"/>
              <w:bottom w:val="nil"/>
              <w:right w:val="nil"/>
            </w:tcBorders>
          </w:tcPr>
          <w:p w:rsidR="00044A0C" w:rsidRDefault="00044A0C" w:rsidP="00044A0C">
            <w:pPr>
              <w:pStyle w:val="xl19"/>
              <w:tabs>
                <w:tab w:val="left" w:pos="3420"/>
                <w:tab w:val="right" w:pos="8640"/>
              </w:tabs>
              <w:spacing w:before="0" w:after="0"/>
              <w:rPr>
                <w:b/>
                <w:bCs/>
              </w:rPr>
            </w:pPr>
            <w:r>
              <w:rPr>
                <w:rFonts w:eastAsia="Times New Roman"/>
              </w:rPr>
              <w:t>Strat</w:t>
            </w:r>
            <w:r>
              <w:t>egic Goal(s) &amp; Objective(s):</w:t>
            </w:r>
          </w:p>
        </w:tc>
        <w:tc>
          <w:tcPr>
            <w:tcW w:w="6048" w:type="dxa"/>
            <w:gridSpan w:val="6"/>
            <w:tcBorders>
              <w:top w:val="nil"/>
              <w:left w:val="nil"/>
              <w:bottom w:val="nil"/>
              <w:right w:val="nil"/>
            </w:tcBorders>
          </w:tcPr>
          <w:p w:rsidR="00044A0C" w:rsidRPr="00044A0C" w:rsidRDefault="00BD6357" w:rsidP="008D1F00">
            <w:pPr>
              <w:pStyle w:val="xl19"/>
              <w:tabs>
                <w:tab w:val="left" w:pos="3420"/>
                <w:tab w:val="right" w:pos="8640"/>
              </w:tabs>
              <w:spacing w:before="0" w:after="0"/>
              <w:rPr>
                <w:bCs/>
              </w:rPr>
            </w:pPr>
            <w:r w:rsidRPr="00044A0C">
              <w:rPr>
                <w:bCs/>
              </w:rPr>
              <w:t>2.</w:t>
            </w:r>
            <w:r w:rsidR="008D1F00">
              <w:rPr>
                <w:bCs/>
              </w:rPr>
              <w:t>4</w:t>
            </w:r>
            <w:r w:rsidRPr="00044A0C">
              <w:rPr>
                <w:bCs/>
              </w:rPr>
              <w:t xml:space="preserve"> </w:t>
            </w:r>
            <w:r>
              <w:rPr>
                <w:bCs/>
              </w:rPr>
              <w:t xml:space="preserve">- Reduce the threat, </w:t>
            </w:r>
            <w:r w:rsidR="008D1F00">
              <w:rPr>
                <w:bCs/>
              </w:rPr>
              <w:t>trafficking, use, and related violence of illegal drugs.</w:t>
            </w:r>
          </w:p>
        </w:tc>
      </w:tr>
      <w:tr w:rsidR="00044A0C" w:rsidTr="00AC4A8B">
        <w:tc>
          <w:tcPr>
            <w:tcW w:w="3528" w:type="dxa"/>
            <w:tcBorders>
              <w:top w:val="nil"/>
              <w:left w:val="nil"/>
              <w:bottom w:val="nil"/>
              <w:right w:val="nil"/>
            </w:tcBorders>
          </w:tcPr>
          <w:p w:rsidR="00044A0C" w:rsidRDefault="00044A0C" w:rsidP="00044A0C">
            <w:pPr>
              <w:pStyle w:val="xl19"/>
              <w:tabs>
                <w:tab w:val="left" w:pos="3420"/>
                <w:tab w:val="right" w:pos="8640"/>
              </w:tabs>
              <w:spacing w:before="0" w:after="0"/>
              <w:rPr>
                <w:rFonts w:eastAsia="Times New Roman"/>
              </w:rPr>
            </w:pPr>
            <w:r>
              <w:t>Organizational Program:</w:t>
            </w:r>
          </w:p>
        </w:tc>
        <w:tc>
          <w:tcPr>
            <w:tcW w:w="6048" w:type="dxa"/>
            <w:gridSpan w:val="6"/>
            <w:tcBorders>
              <w:top w:val="nil"/>
              <w:left w:val="nil"/>
              <w:bottom w:val="nil"/>
              <w:right w:val="nil"/>
            </w:tcBorders>
          </w:tcPr>
          <w:p w:rsidR="00044A0C" w:rsidRPr="00044A0C" w:rsidRDefault="00C05AF6" w:rsidP="00044A0C">
            <w:pPr>
              <w:pStyle w:val="xl19"/>
              <w:tabs>
                <w:tab w:val="left" w:pos="3420"/>
                <w:tab w:val="right" w:pos="8640"/>
              </w:tabs>
              <w:spacing w:before="0" w:after="0"/>
              <w:rPr>
                <w:bCs/>
              </w:rPr>
            </w:pPr>
            <w:r>
              <w:rPr>
                <w:bCs/>
              </w:rPr>
              <w:t>Intelligence Support Division</w:t>
            </w:r>
          </w:p>
        </w:tc>
      </w:tr>
      <w:tr w:rsidR="00044A0C" w:rsidTr="00AC4A8B">
        <w:tc>
          <w:tcPr>
            <w:tcW w:w="9576" w:type="dxa"/>
            <w:gridSpan w:val="7"/>
            <w:tcBorders>
              <w:top w:val="nil"/>
              <w:left w:val="nil"/>
              <w:bottom w:val="nil"/>
              <w:right w:val="nil"/>
            </w:tcBorders>
          </w:tcPr>
          <w:p w:rsidR="00044A0C" w:rsidRPr="00044A0C" w:rsidRDefault="00044A0C" w:rsidP="00044A0C">
            <w:pPr>
              <w:pStyle w:val="xl19"/>
              <w:tabs>
                <w:tab w:val="left" w:pos="3420"/>
                <w:tab w:val="right" w:pos="8640"/>
              </w:tabs>
              <w:spacing w:before="0" w:after="0"/>
              <w:rPr>
                <w:bCs/>
              </w:rPr>
            </w:pPr>
          </w:p>
        </w:tc>
      </w:tr>
      <w:tr w:rsidR="00044A0C" w:rsidTr="00AC4A8B">
        <w:tc>
          <w:tcPr>
            <w:tcW w:w="9576" w:type="dxa"/>
            <w:gridSpan w:val="7"/>
            <w:tcBorders>
              <w:top w:val="nil"/>
              <w:left w:val="nil"/>
              <w:bottom w:val="nil"/>
              <w:right w:val="nil"/>
            </w:tcBorders>
          </w:tcPr>
          <w:p w:rsidR="00044A0C" w:rsidRPr="00044A0C" w:rsidRDefault="00044A0C" w:rsidP="00044A0C">
            <w:pPr>
              <w:pStyle w:val="xl19"/>
              <w:tabs>
                <w:tab w:val="left" w:pos="3420"/>
                <w:tab w:val="right" w:pos="8640"/>
              </w:tabs>
              <w:spacing w:before="0" w:after="0"/>
              <w:rPr>
                <w:bCs/>
              </w:rPr>
            </w:pPr>
          </w:p>
        </w:tc>
      </w:tr>
      <w:tr w:rsidR="00044A0C" w:rsidTr="00AC4A8B">
        <w:tc>
          <w:tcPr>
            <w:tcW w:w="3528" w:type="dxa"/>
            <w:tcBorders>
              <w:top w:val="nil"/>
              <w:left w:val="nil"/>
              <w:bottom w:val="nil"/>
              <w:right w:val="nil"/>
            </w:tcBorders>
          </w:tcPr>
          <w:p w:rsidR="00044A0C" w:rsidRDefault="00044A0C" w:rsidP="00044A0C">
            <w:pPr>
              <w:pStyle w:val="xl19"/>
              <w:tabs>
                <w:tab w:val="left" w:pos="3420"/>
                <w:tab w:val="right" w:pos="8640"/>
              </w:tabs>
              <w:spacing w:before="0" w:after="0"/>
            </w:pPr>
            <w:r>
              <w:rPr>
                <w:rFonts w:eastAsia="Times New Roman"/>
              </w:rPr>
              <w:t>Program Offset:</w:t>
            </w:r>
          </w:p>
        </w:tc>
        <w:tc>
          <w:tcPr>
            <w:tcW w:w="1170" w:type="dxa"/>
            <w:tcBorders>
              <w:top w:val="nil"/>
              <w:left w:val="nil"/>
              <w:bottom w:val="nil"/>
              <w:right w:val="nil"/>
            </w:tcBorders>
          </w:tcPr>
          <w:p w:rsidR="00044A0C" w:rsidRPr="00044A0C" w:rsidRDefault="007D0E4A" w:rsidP="00044A0C">
            <w:pPr>
              <w:pStyle w:val="xl19"/>
              <w:tabs>
                <w:tab w:val="left" w:pos="3420"/>
                <w:tab w:val="right" w:pos="8640"/>
              </w:tabs>
              <w:spacing w:before="0" w:after="0"/>
              <w:rPr>
                <w:bCs/>
              </w:rPr>
            </w:pPr>
            <w:r>
              <w:rPr>
                <w:bCs/>
              </w:rPr>
              <w:t>Positions</w:t>
            </w:r>
          </w:p>
        </w:tc>
        <w:tc>
          <w:tcPr>
            <w:tcW w:w="810" w:type="dxa"/>
            <w:tcBorders>
              <w:top w:val="nil"/>
              <w:left w:val="nil"/>
              <w:right w:val="nil"/>
            </w:tcBorders>
          </w:tcPr>
          <w:p w:rsidR="0048348B" w:rsidRDefault="00831780">
            <w:pPr>
              <w:pStyle w:val="xl19"/>
              <w:tabs>
                <w:tab w:val="left" w:pos="3420"/>
                <w:tab w:val="right" w:pos="8640"/>
              </w:tabs>
              <w:spacing w:before="0" w:after="0"/>
              <w:jc w:val="center"/>
              <w:rPr>
                <w:rFonts w:asciiTheme="majorHAnsi" w:hAnsiTheme="majorHAnsi" w:cstheme="majorBidi"/>
                <w:b/>
                <w:bCs/>
                <w:i/>
                <w:iCs/>
                <w:color w:val="4F81BD" w:themeColor="accent1"/>
              </w:rPr>
            </w:pPr>
            <w:r>
              <w:rPr>
                <w:bCs/>
              </w:rPr>
              <w:t>0</w:t>
            </w:r>
          </w:p>
        </w:tc>
        <w:tc>
          <w:tcPr>
            <w:tcW w:w="810" w:type="dxa"/>
            <w:tcBorders>
              <w:top w:val="nil"/>
              <w:left w:val="nil"/>
              <w:bottom w:val="nil"/>
              <w:right w:val="nil"/>
            </w:tcBorders>
          </w:tcPr>
          <w:p w:rsidR="00044A0C" w:rsidRPr="00044A0C" w:rsidRDefault="007D0E4A" w:rsidP="00044A0C">
            <w:pPr>
              <w:pStyle w:val="xl19"/>
              <w:tabs>
                <w:tab w:val="left" w:pos="3420"/>
                <w:tab w:val="right" w:pos="8640"/>
              </w:tabs>
              <w:spacing w:before="0" w:after="0"/>
              <w:rPr>
                <w:bCs/>
              </w:rPr>
            </w:pPr>
            <w:r>
              <w:rPr>
                <w:bCs/>
              </w:rPr>
              <w:t>FTE</w:t>
            </w:r>
          </w:p>
        </w:tc>
        <w:tc>
          <w:tcPr>
            <w:tcW w:w="720" w:type="dxa"/>
            <w:tcBorders>
              <w:top w:val="nil"/>
              <w:left w:val="nil"/>
              <w:right w:val="nil"/>
            </w:tcBorders>
          </w:tcPr>
          <w:p w:rsidR="0048348B" w:rsidRDefault="00831780">
            <w:pPr>
              <w:pStyle w:val="xl19"/>
              <w:tabs>
                <w:tab w:val="left" w:pos="3420"/>
                <w:tab w:val="right" w:pos="8640"/>
              </w:tabs>
              <w:spacing w:before="0" w:after="0"/>
              <w:jc w:val="center"/>
              <w:rPr>
                <w:rFonts w:asciiTheme="majorHAnsi" w:hAnsiTheme="majorHAnsi" w:cstheme="majorBidi"/>
                <w:b/>
                <w:bCs/>
                <w:i/>
                <w:iCs/>
                <w:color w:val="4F81BD" w:themeColor="accent1"/>
              </w:rPr>
            </w:pPr>
            <w:r>
              <w:rPr>
                <w:bCs/>
              </w:rPr>
              <w:t>0</w:t>
            </w:r>
          </w:p>
        </w:tc>
        <w:tc>
          <w:tcPr>
            <w:tcW w:w="1080" w:type="dxa"/>
            <w:tcBorders>
              <w:top w:val="nil"/>
              <w:left w:val="nil"/>
              <w:bottom w:val="nil"/>
              <w:right w:val="nil"/>
            </w:tcBorders>
          </w:tcPr>
          <w:p w:rsidR="00044A0C" w:rsidRPr="00044A0C" w:rsidRDefault="007D0E4A" w:rsidP="00AC4A8B">
            <w:pPr>
              <w:pStyle w:val="xl19"/>
              <w:tabs>
                <w:tab w:val="left" w:pos="3420"/>
                <w:tab w:val="right" w:pos="8640"/>
              </w:tabs>
              <w:spacing w:before="0" w:after="0"/>
              <w:rPr>
                <w:bCs/>
              </w:rPr>
            </w:pPr>
            <w:r>
              <w:rPr>
                <w:bCs/>
              </w:rPr>
              <w:t xml:space="preserve">Dollars </w:t>
            </w:r>
          </w:p>
        </w:tc>
        <w:tc>
          <w:tcPr>
            <w:tcW w:w="1458" w:type="dxa"/>
            <w:tcBorders>
              <w:top w:val="nil"/>
              <w:left w:val="nil"/>
              <w:right w:val="nil"/>
            </w:tcBorders>
          </w:tcPr>
          <w:p w:rsidR="0048348B" w:rsidRDefault="00C05AF6" w:rsidP="00091D22">
            <w:pPr>
              <w:pStyle w:val="xl19"/>
              <w:tabs>
                <w:tab w:val="left" w:pos="3420"/>
                <w:tab w:val="right" w:pos="8640"/>
              </w:tabs>
              <w:spacing w:before="0" w:after="0"/>
              <w:jc w:val="center"/>
              <w:rPr>
                <w:bCs/>
              </w:rPr>
            </w:pPr>
            <w:r>
              <w:rPr>
                <w:bCs/>
              </w:rPr>
              <w:t>(</w:t>
            </w:r>
            <w:r w:rsidR="00AC4A8B">
              <w:rPr>
                <w:bCs/>
              </w:rPr>
              <w:t>$</w:t>
            </w:r>
            <w:r w:rsidR="00091D22">
              <w:rPr>
                <w:bCs/>
              </w:rPr>
              <w:t>8,008</w:t>
            </w:r>
            <w:r w:rsidR="00AC4A8B">
              <w:rPr>
                <w:bCs/>
              </w:rPr>
              <w:t>,000</w:t>
            </w:r>
            <w:r>
              <w:rPr>
                <w:bCs/>
              </w:rPr>
              <w:t>)</w:t>
            </w:r>
          </w:p>
        </w:tc>
      </w:tr>
    </w:tbl>
    <w:p w:rsidR="00044A0C" w:rsidRDefault="00044A0C" w:rsidP="00044A0C">
      <w:pPr>
        <w:pStyle w:val="xl19"/>
        <w:spacing w:before="0" w:after="0"/>
        <w:rPr>
          <w:rFonts w:eastAsia="Times New Roman"/>
        </w:rPr>
      </w:pPr>
    </w:p>
    <w:p w:rsidR="00044A0C" w:rsidRDefault="00044A0C" w:rsidP="00044A0C">
      <w:pPr>
        <w:pStyle w:val="xl24"/>
        <w:spacing w:before="0" w:after="0"/>
        <w:rPr>
          <w:rFonts w:eastAsia="Times New Roman"/>
        </w:rPr>
      </w:pPr>
      <w:r>
        <w:rPr>
          <w:rFonts w:eastAsia="Times New Roman"/>
        </w:rPr>
        <w:t>Description of Item</w:t>
      </w:r>
    </w:p>
    <w:p w:rsidR="00044A0C" w:rsidRPr="004F4C18" w:rsidRDefault="00091D22" w:rsidP="000F3D38">
      <w:pPr>
        <w:pStyle w:val="xl19"/>
        <w:spacing w:before="0" w:after="360"/>
        <w:rPr>
          <w:szCs w:val="24"/>
        </w:rPr>
      </w:pPr>
      <w:r>
        <w:t>NDIC will curtail administrative and overhead costs, including travel, vehicles, and IT expenses, as well as other administration and management expenses.</w:t>
      </w:r>
    </w:p>
    <w:tbl>
      <w:tblPr>
        <w:tblStyle w:val="TableGrid"/>
        <w:tblW w:w="0" w:type="auto"/>
        <w:tblLook w:val="04A0" w:firstRow="1" w:lastRow="0" w:firstColumn="1" w:lastColumn="0" w:noHBand="0" w:noVBand="1"/>
      </w:tblPr>
      <w:tblGrid>
        <w:gridCol w:w="3528"/>
        <w:gridCol w:w="1170"/>
        <w:gridCol w:w="900"/>
        <w:gridCol w:w="720"/>
        <w:gridCol w:w="810"/>
        <w:gridCol w:w="990"/>
        <w:gridCol w:w="1458"/>
      </w:tblGrid>
      <w:tr w:rsidR="007D0E4A" w:rsidTr="006471D4">
        <w:tc>
          <w:tcPr>
            <w:tcW w:w="3528" w:type="dxa"/>
            <w:tcBorders>
              <w:top w:val="nil"/>
              <w:left w:val="nil"/>
              <w:bottom w:val="nil"/>
              <w:right w:val="nil"/>
            </w:tcBorders>
            <w:shd w:val="pct10" w:color="auto" w:fill="auto"/>
          </w:tcPr>
          <w:p w:rsidR="007D0E4A" w:rsidRDefault="007D0E4A" w:rsidP="007D0E4A">
            <w:pPr>
              <w:pStyle w:val="xl19"/>
              <w:tabs>
                <w:tab w:val="left" w:pos="3420"/>
                <w:tab w:val="right" w:pos="8640"/>
              </w:tabs>
              <w:spacing w:before="0" w:after="0"/>
              <w:rPr>
                <w:b/>
                <w:bCs/>
              </w:rPr>
            </w:pPr>
            <w:r>
              <w:rPr>
                <w:b/>
                <w:bCs/>
              </w:rPr>
              <w:t>Item Name:</w:t>
            </w:r>
          </w:p>
        </w:tc>
        <w:tc>
          <w:tcPr>
            <w:tcW w:w="6048" w:type="dxa"/>
            <w:gridSpan w:val="6"/>
            <w:tcBorders>
              <w:top w:val="nil"/>
              <w:left w:val="nil"/>
              <w:bottom w:val="nil"/>
              <w:right w:val="nil"/>
            </w:tcBorders>
            <w:shd w:val="pct10" w:color="auto" w:fill="auto"/>
          </w:tcPr>
          <w:p w:rsidR="007D0E4A" w:rsidRPr="007D0E4A" w:rsidRDefault="004B4BA5" w:rsidP="007D0E4A">
            <w:pPr>
              <w:pStyle w:val="xl19"/>
              <w:tabs>
                <w:tab w:val="left" w:pos="3420"/>
                <w:tab w:val="right" w:pos="8640"/>
              </w:tabs>
              <w:spacing w:before="0" w:after="0"/>
              <w:rPr>
                <w:b/>
                <w:bCs/>
              </w:rPr>
            </w:pPr>
            <w:r>
              <w:rPr>
                <w:b/>
              </w:rPr>
              <w:t>Intelligence Collections and Analysis</w:t>
            </w:r>
          </w:p>
        </w:tc>
      </w:tr>
      <w:tr w:rsidR="007D0E4A" w:rsidTr="007D0E4A">
        <w:tc>
          <w:tcPr>
            <w:tcW w:w="3528" w:type="dxa"/>
            <w:tcBorders>
              <w:top w:val="nil"/>
              <w:left w:val="nil"/>
              <w:bottom w:val="nil"/>
              <w:right w:val="nil"/>
            </w:tcBorders>
          </w:tcPr>
          <w:p w:rsidR="007D0E4A" w:rsidRDefault="007D0E4A" w:rsidP="007D0E4A">
            <w:pPr>
              <w:pStyle w:val="xl19"/>
              <w:tabs>
                <w:tab w:val="left" w:pos="3420"/>
                <w:tab w:val="right" w:pos="8640"/>
              </w:tabs>
              <w:spacing w:before="0" w:after="0"/>
              <w:rPr>
                <w:b/>
                <w:bCs/>
              </w:rPr>
            </w:pPr>
            <w:r>
              <w:rPr>
                <w:rFonts w:eastAsia="Times New Roman"/>
              </w:rPr>
              <w:t>Budget Decision Unit(s):</w:t>
            </w:r>
          </w:p>
        </w:tc>
        <w:tc>
          <w:tcPr>
            <w:tcW w:w="6048" w:type="dxa"/>
            <w:gridSpan w:val="6"/>
            <w:tcBorders>
              <w:top w:val="nil"/>
              <w:left w:val="nil"/>
              <w:bottom w:val="nil"/>
              <w:right w:val="nil"/>
            </w:tcBorders>
          </w:tcPr>
          <w:p w:rsidR="007D0E4A" w:rsidRPr="00044A0C" w:rsidRDefault="007D0E4A" w:rsidP="007D0E4A">
            <w:pPr>
              <w:pStyle w:val="xl19"/>
              <w:tabs>
                <w:tab w:val="left" w:pos="3420"/>
                <w:tab w:val="right" w:pos="8640"/>
              </w:tabs>
              <w:spacing w:before="0" w:after="0"/>
              <w:rPr>
                <w:bCs/>
              </w:rPr>
            </w:pPr>
            <w:r w:rsidRPr="00044A0C">
              <w:rPr>
                <w:bCs/>
              </w:rPr>
              <w:t>National Drug Intelligence Center</w:t>
            </w:r>
          </w:p>
        </w:tc>
      </w:tr>
      <w:tr w:rsidR="007D0E4A" w:rsidTr="007D0E4A">
        <w:tc>
          <w:tcPr>
            <w:tcW w:w="3528" w:type="dxa"/>
            <w:tcBorders>
              <w:top w:val="nil"/>
              <w:left w:val="nil"/>
              <w:bottom w:val="nil"/>
              <w:right w:val="nil"/>
            </w:tcBorders>
          </w:tcPr>
          <w:p w:rsidR="007D0E4A" w:rsidRDefault="007D0E4A" w:rsidP="007D0E4A">
            <w:pPr>
              <w:pStyle w:val="xl19"/>
              <w:tabs>
                <w:tab w:val="left" w:pos="3420"/>
                <w:tab w:val="right" w:pos="8640"/>
              </w:tabs>
              <w:spacing w:before="0" w:after="0"/>
              <w:rPr>
                <w:b/>
                <w:bCs/>
              </w:rPr>
            </w:pPr>
            <w:r>
              <w:rPr>
                <w:rFonts w:eastAsia="Times New Roman"/>
              </w:rPr>
              <w:t>Strat</w:t>
            </w:r>
            <w:r>
              <w:t>egic Goal(s) &amp; Objective(s):</w:t>
            </w:r>
          </w:p>
        </w:tc>
        <w:tc>
          <w:tcPr>
            <w:tcW w:w="6048" w:type="dxa"/>
            <w:gridSpan w:val="6"/>
            <w:tcBorders>
              <w:top w:val="nil"/>
              <w:left w:val="nil"/>
              <w:bottom w:val="nil"/>
              <w:right w:val="nil"/>
            </w:tcBorders>
          </w:tcPr>
          <w:p w:rsidR="007D0E4A" w:rsidRPr="00044A0C" w:rsidRDefault="008D1F00" w:rsidP="007D0E4A">
            <w:pPr>
              <w:pStyle w:val="xl19"/>
              <w:tabs>
                <w:tab w:val="left" w:pos="3420"/>
                <w:tab w:val="right" w:pos="8640"/>
              </w:tabs>
              <w:spacing w:before="0" w:after="0"/>
              <w:rPr>
                <w:bCs/>
              </w:rPr>
            </w:pPr>
            <w:r>
              <w:rPr>
                <w:bCs/>
              </w:rPr>
              <w:t>2.4 - Reduce the threat, trafficking, use, and related violence of illegal drugs.</w:t>
            </w:r>
          </w:p>
        </w:tc>
      </w:tr>
      <w:tr w:rsidR="007D0E4A" w:rsidTr="007D0E4A">
        <w:tc>
          <w:tcPr>
            <w:tcW w:w="3528" w:type="dxa"/>
            <w:tcBorders>
              <w:top w:val="nil"/>
              <w:left w:val="nil"/>
              <w:bottom w:val="nil"/>
              <w:right w:val="nil"/>
            </w:tcBorders>
          </w:tcPr>
          <w:p w:rsidR="007D0E4A" w:rsidRDefault="007D0E4A" w:rsidP="007D0E4A">
            <w:pPr>
              <w:pStyle w:val="xl19"/>
              <w:tabs>
                <w:tab w:val="left" w:pos="3420"/>
                <w:tab w:val="right" w:pos="8640"/>
              </w:tabs>
              <w:spacing w:before="0" w:after="0"/>
              <w:rPr>
                <w:rFonts w:eastAsia="Times New Roman"/>
              </w:rPr>
            </w:pPr>
            <w:r>
              <w:t>Organizational Program:</w:t>
            </w:r>
          </w:p>
        </w:tc>
        <w:tc>
          <w:tcPr>
            <w:tcW w:w="6048" w:type="dxa"/>
            <w:gridSpan w:val="6"/>
            <w:tcBorders>
              <w:top w:val="nil"/>
              <w:left w:val="nil"/>
              <w:bottom w:val="nil"/>
              <w:right w:val="nil"/>
            </w:tcBorders>
          </w:tcPr>
          <w:p w:rsidR="007D0E4A" w:rsidRPr="00044A0C" w:rsidRDefault="00C05AF6" w:rsidP="007D0E4A">
            <w:pPr>
              <w:pStyle w:val="xl19"/>
              <w:tabs>
                <w:tab w:val="left" w:pos="3420"/>
                <w:tab w:val="right" w:pos="8640"/>
              </w:tabs>
              <w:spacing w:before="0" w:after="0"/>
              <w:rPr>
                <w:bCs/>
              </w:rPr>
            </w:pPr>
            <w:r>
              <w:rPr>
                <w:bCs/>
              </w:rPr>
              <w:t>Intelligence Division</w:t>
            </w:r>
          </w:p>
        </w:tc>
      </w:tr>
      <w:tr w:rsidR="007D0E4A" w:rsidTr="007D0E4A">
        <w:tc>
          <w:tcPr>
            <w:tcW w:w="9576" w:type="dxa"/>
            <w:gridSpan w:val="7"/>
            <w:tcBorders>
              <w:top w:val="nil"/>
              <w:left w:val="nil"/>
              <w:bottom w:val="nil"/>
              <w:right w:val="nil"/>
            </w:tcBorders>
          </w:tcPr>
          <w:p w:rsidR="007D0E4A" w:rsidRPr="00044A0C" w:rsidRDefault="007D0E4A" w:rsidP="007D0E4A">
            <w:pPr>
              <w:pStyle w:val="xl19"/>
              <w:tabs>
                <w:tab w:val="left" w:pos="3420"/>
                <w:tab w:val="right" w:pos="8640"/>
              </w:tabs>
              <w:spacing w:before="0" w:after="0"/>
              <w:rPr>
                <w:bCs/>
              </w:rPr>
            </w:pPr>
          </w:p>
        </w:tc>
      </w:tr>
      <w:tr w:rsidR="007D0E4A" w:rsidTr="007D0E4A">
        <w:tc>
          <w:tcPr>
            <w:tcW w:w="9576" w:type="dxa"/>
            <w:gridSpan w:val="7"/>
            <w:tcBorders>
              <w:top w:val="nil"/>
              <w:left w:val="nil"/>
              <w:bottom w:val="nil"/>
              <w:right w:val="nil"/>
            </w:tcBorders>
          </w:tcPr>
          <w:p w:rsidR="007D0E4A" w:rsidRPr="00044A0C" w:rsidRDefault="007D0E4A" w:rsidP="007D0E4A">
            <w:pPr>
              <w:pStyle w:val="xl19"/>
              <w:tabs>
                <w:tab w:val="left" w:pos="3420"/>
                <w:tab w:val="right" w:pos="8640"/>
              </w:tabs>
              <w:spacing w:before="0" w:after="0"/>
              <w:rPr>
                <w:bCs/>
              </w:rPr>
            </w:pPr>
          </w:p>
        </w:tc>
      </w:tr>
      <w:tr w:rsidR="00AC4A8B" w:rsidTr="00AC4A8B">
        <w:tc>
          <w:tcPr>
            <w:tcW w:w="3528" w:type="dxa"/>
            <w:tcBorders>
              <w:top w:val="nil"/>
              <w:left w:val="nil"/>
              <w:bottom w:val="nil"/>
              <w:right w:val="nil"/>
            </w:tcBorders>
          </w:tcPr>
          <w:p w:rsidR="00AC4A8B" w:rsidRDefault="00AC4A8B" w:rsidP="007D0E4A">
            <w:pPr>
              <w:pStyle w:val="xl19"/>
              <w:tabs>
                <w:tab w:val="left" w:pos="3420"/>
                <w:tab w:val="right" w:pos="8640"/>
              </w:tabs>
              <w:spacing w:before="0" w:after="0"/>
            </w:pPr>
            <w:r>
              <w:rPr>
                <w:rFonts w:eastAsia="Times New Roman"/>
              </w:rPr>
              <w:t>Program Offset:</w:t>
            </w:r>
          </w:p>
        </w:tc>
        <w:tc>
          <w:tcPr>
            <w:tcW w:w="1170" w:type="dxa"/>
            <w:tcBorders>
              <w:top w:val="nil"/>
              <w:left w:val="nil"/>
              <w:bottom w:val="nil"/>
              <w:right w:val="nil"/>
            </w:tcBorders>
          </w:tcPr>
          <w:p w:rsidR="00AC4A8B" w:rsidRPr="00044A0C" w:rsidRDefault="00AC4A8B" w:rsidP="00912086">
            <w:pPr>
              <w:pStyle w:val="xl19"/>
              <w:tabs>
                <w:tab w:val="left" w:pos="3420"/>
                <w:tab w:val="right" w:pos="8640"/>
              </w:tabs>
              <w:spacing w:before="0" w:after="0"/>
              <w:rPr>
                <w:bCs/>
              </w:rPr>
            </w:pPr>
            <w:r>
              <w:rPr>
                <w:bCs/>
              </w:rPr>
              <w:t>Positions</w:t>
            </w:r>
          </w:p>
        </w:tc>
        <w:tc>
          <w:tcPr>
            <w:tcW w:w="900" w:type="dxa"/>
            <w:tcBorders>
              <w:top w:val="nil"/>
              <w:left w:val="nil"/>
              <w:right w:val="nil"/>
            </w:tcBorders>
          </w:tcPr>
          <w:p w:rsidR="0048348B" w:rsidRDefault="00831780">
            <w:pPr>
              <w:pStyle w:val="xl19"/>
              <w:tabs>
                <w:tab w:val="left" w:pos="3420"/>
                <w:tab w:val="right" w:pos="8640"/>
              </w:tabs>
              <w:spacing w:before="0" w:after="0"/>
              <w:jc w:val="center"/>
              <w:rPr>
                <w:bCs/>
              </w:rPr>
            </w:pPr>
            <w:r>
              <w:rPr>
                <w:bCs/>
              </w:rPr>
              <w:t>0</w:t>
            </w:r>
          </w:p>
        </w:tc>
        <w:tc>
          <w:tcPr>
            <w:tcW w:w="720" w:type="dxa"/>
            <w:tcBorders>
              <w:top w:val="nil"/>
              <w:left w:val="nil"/>
              <w:bottom w:val="nil"/>
              <w:right w:val="nil"/>
            </w:tcBorders>
          </w:tcPr>
          <w:p w:rsidR="00AC4A8B" w:rsidRPr="00044A0C" w:rsidRDefault="00AC4A8B" w:rsidP="00912086">
            <w:pPr>
              <w:pStyle w:val="xl19"/>
              <w:tabs>
                <w:tab w:val="left" w:pos="3420"/>
                <w:tab w:val="right" w:pos="8640"/>
              </w:tabs>
              <w:spacing w:before="0" w:after="0"/>
              <w:rPr>
                <w:bCs/>
              </w:rPr>
            </w:pPr>
            <w:r>
              <w:rPr>
                <w:bCs/>
              </w:rPr>
              <w:t>FTE</w:t>
            </w:r>
          </w:p>
        </w:tc>
        <w:tc>
          <w:tcPr>
            <w:tcW w:w="810" w:type="dxa"/>
            <w:tcBorders>
              <w:top w:val="nil"/>
              <w:left w:val="nil"/>
              <w:right w:val="nil"/>
            </w:tcBorders>
          </w:tcPr>
          <w:p w:rsidR="0048348B" w:rsidRDefault="00831780">
            <w:pPr>
              <w:pStyle w:val="xl19"/>
              <w:tabs>
                <w:tab w:val="left" w:pos="3420"/>
                <w:tab w:val="right" w:pos="8640"/>
              </w:tabs>
              <w:spacing w:before="0" w:after="0"/>
              <w:jc w:val="center"/>
              <w:rPr>
                <w:bCs/>
              </w:rPr>
            </w:pPr>
            <w:r>
              <w:rPr>
                <w:bCs/>
              </w:rPr>
              <w:t>0</w:t>
            </w:r>
          </w:p>
        </w:tc>
        <w:tc>
          <w:tcPr>
            <w:tcW w:w="990" w:type="dxa"/>
            <w:tcBorders>
              <w:top w:val="nil"/>
              <w:left w:val="nil"/>
              <w:bottom w:val="nil"/>
              <w:right w:val="nil"/>
            </w:tcBorders>
          </w:tcPr>
          <w:p w:rsidR="00AC4A8B" w:rsidRPr="00044A0C" w:rsidRDefault="00AC4A8B" w:rsidP="00912086">
            <w:pPr>
              <w:pStyle w:val="xl19"/>
              <w:tabs>
                <w:tab w:val="left" w:pos="3420"/>
                <w:tab w:val="right" w:pos="8640"/>
              </w:tabs>
              <w:spacing w:before="0" w:after="0"/>
              <w:rPr>
                <w:bCs/>
              </w:rPr>
            </w:pPr>
            <w:r>
              <w:rPr>
                <w:bCs/>
              </w:rPr>
              <w:t xml:space="preserve">Dollars </w:t>
            </w:r>
          </w:p>
        </w:tc>
        <w:tc>
          <w:tcPr>
            <w:tcW w:w="1458" w:type="dxa"/>
            <w:tcBorders>
              <w:top w:val="nil"/>
              <w:left w:val="nil"/>
              <w:right w:val="nil"/>
            </w:tcBorders>
          </w:tcPr>
          <w:p w:rsidR="0048348B" w:rsidRDefault="00C05AF6" w:rsidP="004B4BA5">
            <w:pPr>
              <w:pStyle w:val="xl19"/>
              <w:tabs>
                <w:tab w:val="left" w:pos="3420"/>
                <w:tab w:val="right" w:pos="8640"/>
              </w:tabs>
              <w:spacing w:before="0" w:after="0"/>
              <w:jc w:val="center"/>
              <w:rPr>
                <w:bCs/>
              </w:rPr>
            </w:pPr>
            <w:r>
              <w:rPr>
                <w:bCs/>
              </w:rPr>
              <w:t>(</w:t>
            </w:r>
            <w:r w:rsidR="00AC4A8B">
              <w:rPr>
                <w:bCs/>
              </w:rPr>
              <w:t>$</w:t>
            </w:r>
            <w:r w:rsidR="004B4BA5">
              <w:rPr>
                <w:bCs/>
              </w:rPr>
              <w:t>5</w:t>
            </w:r>
            <w:r w:rsidR="00AC4A8B">
              <w:rPr>
                <w:bCs/>
              </w:rPr>
              <w:t>,</w:t>
            </w:r>
            <w:r w:rsidR="004B4BA5">
              <w:rPr>
                <w:bCs/>
              </w:rPr>
              <w:t>938</w:t>
            </w:r>
            <w:r w:rsidR="00AC4A8B">
              <w:rPr>
                <w:bCs/>
              </w:rPr>
              <w:t>,000</w:t>
            </w:r>
            <w:r>
              <w:rPr>
                <w:bCs/>
              </w:rPr>
              <w:t>)</w:t>
            </w:r>
          </w:p>
        </w:tc>
      </w:tr>
    </w:tbl>
    <w:p w:rsidR="007D0E4A" w:rsidRDefault="007D0E4A" w:rsidP="007D0E4A">
      <w:pPr>
        <w:pStyle w:val="xl19"/>
        <w:spacing w:before="0" w:after="0"/>
        <w:rPr>
          <w:rFonts w:eastAsia="Times New Roman"/>
        </w:rPr>
      </w:pPr>
    </w:p>
    <w:p w:rsidR="007D0E4A" w:rsidRDefault="007D0E4A" w:rsidP="007D0E4A">
      <w:pPr>
        <w:pStyle w:val="xl24"/>
        <w:spacing w:before="0" w:after="0"/>
        <w:rPr>
          <w:rFonts w:eastAsia="Times New Roman"/>
        </w:rPr>
      </w:pPr>
      <w:r>
        <w:rPr>
          <w:rFonts w:eastAsia="Times New Roman"/>
        </w:rPr>
        <w:t>Description of Item</w:t>
      </w:r>
    </w:p>
    <w:p w:rsidR="000F3D38" w:rsidRPr="004F4C18" w:rsidRDefault="004B4BA5" w:rsidP="000F3D38">
      <w:pPr>
        <w:pStyle w:val="xl19"/>
        <w:spacing w:before="0" w:after="360"/>
        <w:rPr>
          <w:szCs w:val="24"/>
        </w:rPr>
      </w:pPr>
      <w:r w:rsidRPr="004B4BA5">
        <w:t xml:space="preserve">NDIC will focus on key reporting needs and eliminate non-critical intelligence and analysis expenses.  This includes elimination of the SENTRY marketing program, elimination of field intelligence collection programs, and reductions in publications, such as the </w:t>
      </w:r>
      <w:proofErr w:type="spellStart"/>
      <w:r w:rsidRPr="004B4BA5">
        <w:t>Counternarcotics</w:t>
      </w:r>
      <w:proofErr w:type="spellEnd"/>
      <w:r w:rsidRPr="004B4BA5">
        <w:t xml:space="preserve"> Publication Quarterly.</w:t>
      </w:r>
    </w:p>
    <w:tbl>
      <w:tblPr>
        <w:tblStyle w:val="TableGrid"/>
        <w:tblW w:w="0" w:type="auto"/>
        <w:tblLook w:val="04A0" w:firstRow="1" w:lastRow="0" w:firstColumn="1" w:lastColumn="0" w:noHBand="0" w:noVBand="1"/>
      </w:tblPr>
      <w:tblGrid>
        <w:gridCol w:w="3528"/>
        <w:gridCol w:w="1170"/>
        <w:gridCol w:w="900"/>
        <w:gridCol w:w="720"/>
        <w:gridCol w:w="810"/>
        <w:gridCol w:w="990"/>
        <w:gridCol w:w="1458"/>
      </w:tblGrid>
      <w:tr w:rsidR="007D0E4A" w:rsidTr="006471D4">
        <w:tc>
          <w:tcPr>
            <w:tcW w:w="3528" w:type="dxa"/>
            <w:tcBorders>
              <w:top w:val="nil"/>
              <w:left w:val="nil"/>
              <w:bottom w:val="nil"/>
              <w:right w:val="nil"/>
            </w:tcBorders>
            <w:shd w:val="pct10" w:color="auto" w:fill="auto"/>
          </w:tcPr>
          <w:p w:rsidR="007D0E4A" w:rsidRDefault="007D0E4A" w:rsidP="007D0E4A">
            <w:pPr>
              <w:pStyle w:val="xl19"/>
              <w:tabs>
                <w:tab w:val="left" w:pos="3420"/>
                <w:tab w:val="right" w:pos="8640"/>
              </w:tabs>
              <w:spacing w:before="0" w:after="0"/>
              <w:rPr>
                <w:b/>
                <w:bCs/>
              </w:rPr>
            </w:pPr>
            <w:r>
              <w:rPr>
                <w:b/>
                <w:bCs/>
              </w:rPr>
              <w:t>Item Name:</w:t>
            </w:r>
          </w:p>
        </w:tc>
        <w:tc>
          <w:tcPr>
            <w:tcW w:w="6048" w:type="dxa"/>
            <w:gridSpan w:val="6"/>
            <w:tcBorders>
              <w:top w:val="nil"/>
              <w:left w:val="nil"/>
              <w:bottom w:val="nil"/>
              <w:right w:val="nil"/>
            </w:tcBorders>
            <w:shd w:val="pct10" w:color="auto" w:fill="auto"/>
          </w:tcPr>
          <w:p w:rsidR="007D0E4A" w:rsidRPr="007D0E4A" w:rsidRDefault="004B4BA5" w:rsidP="007D0E4A">
            <w:pPr>
              <w:pStyle w:val="xl19"/>
              <w:tabs>
                <w:tab w:val="left" w:pos="3420"/>
                <w:tab w:val="right" w:pos="8640"/>
              </w:tabs>
              <w:spacing w:before="0" w:after="0"/>
              <w:rPr>
                <w:b/>
                <w:bCs/>
              </w:rPr>
            </w:pPr>
            <w:r>
              <w:rPr>
                <w:b/>
                <w:bCs/>
              </w:rPr>
              <w:t>Staffing</w:t>
            </w:r>
          </w:p>
        </w:tc>
      </w:tr>
      <w:tr w:rsidR="007D0E4A" w:rsidTr="007D0E4A">
        <w:tc>
          <w:tcPr>
            <w:tcW w:w="3528" w:type="dxa"/>
            <w:tcBorders>
              <w:top w:val="nil"/>
              <w:left w:val="nil"/>
              <w:bottom w:val="nil"/>
              <w:right w:val="nil"/>
            </w:tcBorders>
          </w:tcPr>
          <w:p w:rsidR="007D0E4A" w:rsidRDefault="007D0E4A" w:rsidP="007D0E4A">
            <w:pPr>
              <w:pStyle w:val="xl19"/>
              <w:tabs>
                <w:tab w:val="left" w:pos="3420"/>
                <w:tab w:val="right" w:pos="8640"/>
              </w:tabs>
              <w:spacing w:before="0" w:after="0"/>
              <w:rPr>
                <w:b/>
                <w:bCs/>
              </w:rPr>
            </w:pPr>
            <w:r>
              <w:rPr>
                <w:rFonts w:eastAsia="Times New Roman"/>
              </w:rPr>
              <w:t>Budget Decision Unit(s):</w:t>
            </w:r>
          </w:p>
        </w:tc>
        <w:tc>
          <w:tcPr>
            <w:tcW w:w="6048" w:type="dxa"/>
            <w:gridSpan w:val="6"/>
            <w:tcBorders>
              <w:top w:val="nil"/>
              <w:left w:val="nil"/>
              <w:bottom w:val="nil"/>
              <w:right w:val="nil"/>
            </w:tcBorders>
          </w:tcPr>
          <w:p w:rsidR="007D0E4A" w:rsidRPr="00044A0C" w:rsidRDefault="007D0E4A" w:rsidP="007D0E4A">
            <w:pPr>
              <w:pStyle w:val="xl19"/>
              <w:tabs>
                <w:tab w:val="left" w:pos="3420"/>
                <w:tab w:val="right" w:pos="8640"/>
              </w:tabs>
              <w:spacing w:before="0" w:after="0"/>
              <w:rPr>
                <w:bCs/>
              </w:rPr>
            </w:pPr>
            <w:r w:rsidRPr="00044A0C">
              <w:rPr>
                <w:bCs/>
              </w:rPr>
              <w:t>National Drug Intelligence Center</w:t>
            </w:r>
          </w:p>
        </w:tc>
      </w:tr>
      <w:tr w:rsidR="007D0E4A" w:rsidTr="007D0E4A">
        <w:tc>
          <w:tcPr>
            <w:tcW w:w="3528" w:type="dxa"/>
            <w:tcBorders>
              <w:top w:val="nil"/>
              <w:left w:val="nil"/>
              <w:bottom w:val="nil"/>
              <w:right w:val="nil"/>
            </w:tcBorders>
          </w:tcPr>
          <w:p w:rsidR="007D0E4A" w:rsidRDefault="007D0E4A" w:rsidP="007D0E4A">
            <w:pPr>
              <w:pStyle w:val="xl19"/>
              <w:tabs>
                <w:tab w:val="left" w:pos="3420"/>
                <w:tab w:val="right" w:pos="8640"/>
              </w:tabs>
              <w:spacing w:before="0" w:after="0"/>
              <w:rPr>
                <w:b/>
                <w:bCs/>
              </w:rPr>
            </w:pPr>
            <w:r>
              <w:rPr>
                <w:rFonts w:eastAsia="Times New Roman"/>
              </w:rPr>
              <w:t>Strat</w:t>
            </w:r>
            <w:r>
              <w:t>egic Goal(s) &amp; Objective(s):</w:t>
            </w:r>
          </w:p>
        </w:tc>
        <w:tc>
          <w:tcPr>
            <w:tcW w:w="6048" w:type="dxa"/>
            <w:gridSpan w:val="6"/>
            <w:tcBorders>
              <w:top w:val="nil"/>
              <w:left w:val="nil"/>
              <w:bottom w:val="nil"/>
              <w:right w:val="nil"/>
            </w:tcBorders>
          </w:tcPr>
          <w:p w:rsidR="007D0E4A" w:rsidRPr="00044A0C" w:rsidRDefault="008D1F00" w:rsidP="007D0E4A">
            <w:pPr>
              <w:pStyle w:val="xl19"/>
              <w:tabs>
                <w:tab w:val="left" w:pos="3420"/>
                <w:tab w:val="right" w:pos="8640"/>
              </w:tabs>
              <w:spacing w:before="0" w:after="0"/>
              <w:rPr>
                <w:bCs/>
              </w:rPr>
            </w:pPr>
            <w:r>
              <w:rPr>
                <w:bCs/>
              </w:rPr>
              <w:t>2.4 - Reduce the threat, trafficking, use, and related violence of illegal drugs.</w:t>
            </w:r>
          </w:p>
        </w:tc>
      </w:tr>
      <w:tr w:rsidR="007D0E4A" w:rsidTr="007D0E4A">
        <w:tc>
          <w:tcPr>
            <w:tcW w:w="3528" w:type="dxa"/>
            <w:tcBorders>
              <w:top w:val="nil"/>
              <w:left w:val="nil"/>
              <w:bottom w:val="nil"/>
              <w:right w:val="nil"/>
            </w:tcBorders>
          </w:tcPr>
          <w:p w:rsidR="007D0E4A" w:rsidRDefault="007D0E4A" w:rsidP="007D0E4A">
            <w:pPr>
              <w:pStyle w:val="xl19"/>
              <w:tabs>
                <w:tab w:val="left" w:pos="3420"/>
                <w:tab w:val="right" w:pos="8640"/>
              </w:tabs>
              <w:spacing w:before="0" w:after="0"/>
              <w:rPr>
                <w:rFonts w:eastAsia="Times New Roman"/>
              </w:rPr>
            </w:pPr>
            <w:r>
              <w:t>Organizational Program:</w:t>
            </w:r>
          </w:p>
        </w:tc>
        <w:tc>
          <w:tcPr>
            <w:tcW w:w="6048" w:type="dxa"/>
            <w:gridSpan w:val="6"/>
            <w:tcBorders>
              <w:top w:val="nil"/>
              <w:left w:val="nil"/>
              <w:bottom w:val="nil"/>
              <w:right w:val="nil"/>
            </w:tcBorders>
          </w:tcPr>
          <w:p w:rsidR="007D0E4A" w:rsidRPr="00044A0C" w:rsidRDefault="00C05AF6" w:rsidP="007D0E4A">
            <w:pPr>
              <w:pStyle w:val="xl19"/>
              <w:tabs>
                <w:tab w:val="left" w:pos="3420"/>
                <w:tab w:val="right" w:pos="8640"/>
              </w:tabs>
              <w:spacing w:before="0" w:after="0"/>
              <w:rPr>
                <w:bCs/>
              </w:rPr>
            </w:pPr>
            <w:r>
              <w:rPr>
                <w:bCs/>
              </w:rPr>
              <w:t>Intelligence Division</w:t>
            </w:r>
          </w:p>
        </w:tc>
      </w:tr>
      <w:tr w:rsidR="007D0E4A" w:rsidTr="007D0E4A">
        <w:tc>
          <w:tcPr>
            <w:tcW w:w="9576" w:type="dxa"/>
            <w:gridSpan w:val="7"/>
            <w:tcBorders>
              <w:top w:val="nil"/>
              <w:left w:val="nil"/>
              <w:bottom w:val="nil"/>
              <w:right w:val="nil"/>
            </w:tcBorders>
          </w:tcPr>
          <w:p w:rsidR="007D0E4A" w:rsidRPr="00044A0C" w:rsidRDefault="007D0E4A" w:rsidP="007D0E4A">
            <w:pPr>
              <w:pStyle w:val="xl19"/>
              <w:tabs>
                <w:tab w:val="left" w:pos="3420"/>
                <w:tab w:val="right" w:pos="8640"/>
              </w:tabs>
              <w:spacing w:before="0" w:after="0"/>
              <w:rPr>
                <w:bCs/>
              </w:rPr>
            </w:pPr>
          </w:p>
        </w:tc>
      </w:tr>
      <w:tr w:rsidR="007D0E4A" w:rsidTr="007D0E4A">
        <w:tc>
          <w:tcPr>
            <w:tcW w:w="9576" w:type="dxa"/>
            <w:gridSpan w:val="7"/>
            <w:tcBorders>
              <w:top w:val="nil"/>
              <w:left w:val="nil"/>
              <w:bottom w:val="nil"/>
              <w:right w:val="nil"/>
            </w:tcBorders>
          </w:tcPr>
          <w:p w:rsidR="007D0E4A" w:rsidRPr="00044A0C" w:rsidRDefault="007D0E4A" w:rsidP="007D0E4A">
            <w:pPr>
              <w:pStyle w:val="xl19"/>
              <w:tabs>
                <w:tab w:val="left" w:pos="3420"/>
                <w:tab w:val="right" w:pos="8640"/>
              </w:tabs>
              <w:spacing w:before="0" w:after="0"/>
              <w:rPr>
                <w:bCs/>
              </w:rPr>
            </w:pPr>
          </w:p>
        </w:tc>
      </w:tr>
      <w:tr w:rsidR="007D0E4A" w:rsidTr="00AC4A8B">
        <w:tc>
          <w:tcPr>
            <w:tcW w:w="3528" w:type="dxa"/>
            <w:tcBorders>
              <w:top w:val="nil"/>
              <w:left w:val="nil"/>
              <w:bottom w:val="nil"/>
              <w:right w:val="nil"/>
            </w:tcBorders>
          </w:tcPr>
          <w:p w:rsidR="007D0E4A" w:rsidRDefault="007D0E4A" w:rsidP="007D0E4A">
            <w:pPr>
              <w:pStyle w:val="xl19"/>
              <w:tabs>
                <w:tab w:val="left" w:pos="3420"/>
                <w:tab w:val="right" w:pos="8640"/>
              </w:tabs>
              <w:spacing w:before="0" w:after="0"/>
            </w:pPr>
            <w:r>
              <w:rPr>
                <w:rFonts w:eastAsia="Times New Roman"/>
              </w:rPr>
              <w:t>Program Offset:</w:t>
            </w:r>
          </w:p>
        </w:tc>
        <w:tc>
          <w:tcPr>
            <w:tcW w:w="1170" w:type="dxa"/>
            <w:tcBorders>
              <w:top w:val="nil"/>
              <w:left w:val="nil"/>
              <w:bottom w:val="nil"/>
              <w:right w:val="nil"/>
            </w:tcBorders>
          </w:tcPr>
          <w:p w:rsidR="007D0E4A" w:rsidRPr="00044A0C" w:rsidRDefault="007D0E4A" w:rsidP="007D0E4A">
            <w:pPr>
              <w:pStyle w:val="xl19"/>
              <w:tabs>
                <w:tab w:val="left" w:pos="3420"/>
                <w:tab w:val="right" w:pos="8640"/>
              </w:tabs>
              <w:spacing w:before="0" w:after="0"/>
              <w:rPr>
                <w:bCs/>
              </w:rPr>
            </w:pPr>
            <w:r>
              <w:rPr>
                <w:bCs/>
              </w:rPr>
              <w:t>Positions</w:t>
            </w:r>
          </w:p>
        </w:tc>
        <w:tc>
          <w:tcPr>
            <w:tcW w:w="900" w:type="dxa"/>
            <w:tcBorders>
              <w:top w:val="nil"/>
              <w:left w:val="nil"/>
              <w:right w:val="nil"/>
            </w:tcBorders>
          </w:tcPr>
          <w:p w:rsidR="0048348B" w:rsidRDefault="004B4BA5">
            <w:pPr>
              <w:pStyle w:val="xl19"/>
              <w:tabs>
                <w:tab w:val="left" w:pos="3420"/>
                <w:tab w:val="right" w:pos="8640"/>
              </w:tabs>
              <w:spacing w:before="0" w:after="0"/>
              <w:jc w:val="center"/>
              <w:rPr>
                <w:bCs/>
              </w:rPr>
            </w:pPr>
            <w:r>
              <w:rPr>
                <w:bCs/>
              </w:rPr>
              <w:t>(19)</w:t>
            </w:r>
          </w:p>
        </w:tc>
        <w:tc>
          <w:tcPr>
            <w:tcW w:w="720" w:type="dxa"/>
            <w:tcBorders>
              <w:top w:val="nil"/>
              <w:left w:val="nil"/>
              <w:bottom w:val="nil"/>
              <w:right w:val="nil"/>
            </w:tcBorders>
          </w:tcPr>
          <w:p w:rsidR="007D0E4A" w:rsidRPr="00044A0C" w:rsidRDefault="007D0E4A" w:rsidP="007D0E4A">
            <w:pPr>
              <w:pStyle w:val="xl19"/>
              <w:tabs>
                <w:tab w:val="left" w:pos="3420"/>
                <w:tab w:val="right" w:pos="8640"/>
              </w:tabs>
              <w:spacing w:before="0" w:after="0"/>
              <w:rPr>
                <w:bCs/>
              </w:rPr>
            </w:pPr>
            <w:r>
              <w:rPr>
                <w:bCs/>
              </w:rPr>
              <w:t>FTE</w:t>
            </w:r>
          </w:p>
        </w:tc>
        <w:tc>
          <w:tcPr>
            <w:tcW w:w="810" w:type="dxa"/>
            <w:tcBorders>
              <w:top w:val="nil"/>
              <w:left w:val="nil"/>
              <w:right w:val="nil"/>
            </w:tcBorders>
          </w:tcPr>
          <w:p w:rsidR="0048348B" w:rsidRDefault="004B4BA5">
            <w:pPr>
              <w:pStyle w:val="xl19"/>
              <w:tabs>
                <w:tab w:val="left" w:pos="3420"/>
                <w:tab w:val="right" w:pos="8640"/>
              </w:tabs>
              <w:spacing w:before="0" w:after="0"/>
              <w:jc w:val="center"/>
              <w:rPr>
                <w:bCs/>
              </w:rPr>
            </w:pPr>
            <w:r>
              <w:rPr>
                <w:bCs/>
              </w:rPr>
              <w:t>(19)</w:t>
            </w:r>
          </w:p>
        </w:tc>
        <w:tc>
          <w:tcPr>
            <w:tcW w:w="990" w:type="dxa"/>
            <w:tcBorders>
              <w:top w:val="nil"/>
              <w:left w:val="nil"/>
              <w:bottom w:val="nil"/>
              <w:right w:val="nil"/>
            </w:tcBorders>
          </w:tcPr>
          <w:p w:rsidR="007D0E4A" w:rsidRPr="00044A0C" w:rsidRDefault="007D0E4A" w:rsidP="00AC4A8B">
            <w:pPr>
              <w:pStyle w:val="xl19"/>
              <w:tabs>
                <w:tab w:val="left" w:pos="3420"/>
                <w:tab w:val="right" w:pos="8640"/>
              </w:tabs>
              <w:spacing w:before="0" w:after="0"/>
              <w:rPr>
                <w:bCs/>
              </w:rPr>
            </w:pPr>
            <w:r>
              <w:rPr>
                <w:bCs/>
              </w:rPr>
              <w:t xml:space="preserve">Dollars </w:t>
            </w:r>
          </w:p>
        </w:tc>
        <w:tc>
          <w:tcPr>
            <w:tcW w:w="1458" w:type="dxa"/>
            <w:tcBorders>
              <w:top w:val="nil"/>
              <w:left w:val="nil"/>
              <w:right w:val="nil"/>
            </w:tcBorders>
          </w:tcPr>
          <w:p w:rsidR="0048348B" w:rsidRDefault="00C05AF6" w:rsidP="004B4BA5">
            <w:pPr>
              <w:pStyle w:val="xl19"/>
              <w:tabs>
                <w:tab w:val="left" w:pos="3420"/>
                <w:tab w:val="right" w:pos="8640"/>
              </w:tabs>
              <w:spacing w:before="0" w:after="0"/>
              <w:jc w:val="center"/>
              <w:rPr>
                <w:bCs/>
              </w:rPr>
            </w:pPr>
            <w:r>
              <w:rPr>
                <w:bCs/>
              </w:rPr>
              <w:t>(</w:t>
            </w:r>
            <w:r w:rsidR="00AC4A8B">
              <w:rPr>
                <w:bCs/>
              </w:rPr>
              <w:t>$5,</w:t>
            </w:r>
            <w:r w:rsidR="004B4BA5">
              <w:rPr>
                <w:bCs/>
              </w:rPr>
              <w:t>257,</w:t>
            </w:r>
            <w:r w:rsidR="00AC4A8B">
              <w:rPr>
                <w:bCs/>
              </w:rPr>
              <w:t>000</w:t>
            </w:r>
            <w:r>
              <w:rPr>
                <w:bCs/>
              </w:rPr>
              <w:t>)</w:t>
            </w:r>
          </w:p>
        </w:tc>
      </w:tr>
    </w:tbl>
    <w:p w:rsidR="007D0E4A" w:rsidRDefault="007D0E4A" w:rsidP="007D0E4A">
      <w:pPr>
        <w:pStyle w:val="xl19"/>
        <w:spacing w:before="0" w:after="0"/>
        <w:rPr>
          <w:rFonts w:eastAsia="Times New Roman"/>
        </w:rPr>
      </w:pPr>
    </w:p>
    <w:p w:rsidR="007D0E4A" w:rsidRDefault="007D0E4A" w:rsidP="007D0E4A">
      <w:pPr>
        <w:pStyle w:val="xl24"/>
        <w:spacing w:before="0" w:after="0"/>
        <w:rPr>
          <w:rFonts w:eastAsia="Times New Roman"/>
        </w:rPr>
      </w:pPr>
      <w:r>
        <w:rPr>
          <w:rFonts w:eastAsia="Times New Roman"/>
        </w:rPr>
        <w:t>Description of Item</w:t>
      </w:r>
    </w:p>
    <w:p w:rsidR="001876C0" w:rsidRDefault="00DC5C97">
      <w:r w:rsidRPr="00DC5C97">
        <w:rPr>
          <w:bCs/>
          <w:sz w:val="24"/>
          <w:szCs w:val="24"/>
        </w:rPr>
        <w:t>NDIC will reduce staffing and staffing, long term TDYs, and funding for BOP personnel at NDIC.  NDIC will also reduce costs associated with staffing, such as training and security investigations.  The full impact of these reductions on NDIC staffing has not yet been determined.</w:t>
      </w:r>
      <w:r w:rsidR="004B4BA5">
        <w:br w:type="page"/>
      </w:r>
    </w:p>
    <w:tbl>
      <w:tblPr>
        <w:tblStyle w:val="TableGrid"/>
        <w:tblW w:w="0" w:type="auto"/>
        <w:tblLook w:val="04A0" w:firstRow="1" w:lastRow="0" w:firstColumn="1" w:lastColumn="0" w:noHBand="0" w:noVBand="1"/>
      </w:tblPr>
      <w:tblGrid>
        <w:gridCol w:w="3528"/>
        <w:gridCol w:w="1170"/>
        <w:gridCol w:w="900"/>
        <w:gridCol w:w="720"/>
        <w:gridCol w:w="877"/>
        <w:gridCol w:w="923"/>
        <w:gridCol w:w="1458"/>
      </w:tblGrid>
      <w:tr w:rsidR="00326AAE" w:rsidTr="00326AAE">
        <w:tc>
          <w:tcPr>
            <w:tcW w:w="3528" w:type="dxa"/>
            <w:tcBorders>
              <w:top w:val="nil"/>
              <w:left w:val="nil"/>
              <w:bottom w:val="nil"/>
              <w:right w:val="nil"/>
            </w:tcBorders>
            <w:shd w:val="pct10" w:color="auto" w:fill="auto"/>
          </w:tcPr>
          <w:p w:rsidR="00326AAE" w:rsidRDefault="00326AAE" w:rsidP="00326AAE">
            <w:pPr>
              <w:pStyle w:val="xl19"/>
              <w:tabs>
                <w:tab w:val="left" w:pos="3420"/>
                <w:tab w:val="right" w:pos="8640"/>
              </w:tabs>
              <w:spacing w:before="0" w:after="0"/>
              <w:rPr>
                <w:b/>
                <w:bCs/>
              </w:rPr>
            </w:pPr>
            <w:r>
              <w:rPr>
                <w:b/>
                <w:bCs/>
              </w:rPr>
              <w:lastRenderedPageBreak/>
              <w:t>Item Name:</w:t>
            </w:r>
          </w:p>
        </w:tc>
        <w:tc>
          <w:tcPr>
            <w:tcW w:w="6048" w:type="dxa"/>
            <w:gridSpan w:val="6"/>
            <w:tcBorders>
              <w:top w:val="nil"/>
              <w:left w:val="nil"/>
              <w:bottom w:val="nil"/>
              <w:right w:val="nil"/>
            </w:tcBorders>
            <w:shd w:val="pct10" w:color="auto" w:fill="auto"/>
          </w:tcPr>
          <w:p w:rsidR="00326AAE" w:rsidRPr="007D0E4A" w:rsidRDefault="00326AAE" w:rsidP="00326AAE">
            <w:pPr>
              <w:pStyle w:val="xl19"/>
              <w:tabs>
                <w:tab w:val="left" w:pos="3420"/>
                <w:tab w:val="right" w:pos="8640"/>
              </w:tabs>
              <w:spacing w:before="0" w:after="0"/>
              <w:rPr>
                <w:b/>
                <w:bCs/>
              </w:rPr>
            </w:pPr>
            <w:r>
              <w:rPr>
                <w:b/>
                <w:bCs/>
              </w:rPr>
              <w:t>Administrative Efficiencies</w:t>
            </w:r>
          </w:p>
        </w:tc>
      </w:tr>
      <w:tr w:rsidR="00326AAE" w:rsidTr="00326AAE">
        <w:tc>
          <w:tcPr>
            <w:tcW w:w="3528" w:type="dxa"/>
            <w:tcBorders>
              <w:top w:val="nil"/>
              <w:left w:val="nil"/>
              <w:bottom w:val="nil"/>
              <w:right w:val="nil"/>
            </w:tcBorders>
          </w:tcPr>
          <w:p w:rsidR="00326AAE" w:rsidRDefault="00326AAE" w:rsidP="00326AAE">
            <w:pPr>
              <w:pStyle w:val="xl19"/>
              <w:tabs>
                <w:tab w:val="left" w:pos="3420"/>
                <w:tab w:val="right" w:pos="8640"/>
              </w:tabs>
              <w:spacing w:before="0" w:after="0"/>
              <w:rPr>
                <w:b/>
                <w:bCs/>
              </w:rPr>
            </w:pPr>
            <w:r>
              <w:rPr>
                <w:rFonts w:eastAsia="Times New Roman"/>
              </w:rPr>
              <w:t>Budget Decision Unit(s):</w:t>
            </w:r>
          </w:p>
        </w:tc>
        <w:tc>
          <w:tcPr>
            <w:tcW w:w="6048" w:type="dxa"/>
            <w:gridSpan w:val="6"/>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sidRPr="00044A0C">
              <w:rPr>
                <w:bCs/>
              </w:rPr>
              <w:t>National Drug Intelligence Center</w:t>
            </w:r>
          </w:p>
        </w:tc>
      </w:tr>
      <w:tr w:rsidR="00326AAE" w:rsidTr="00326AAE">
        <w:tc>
          <w:tcPr>
            <w:tcW w:w="3528" w:type="dxa"/>
            <w:tcBorders>
              <w:top w:val="nil"/>
              <w:left w:val="nil"/>
              <w:bottom w:val="nil"/>
              <w:right w:val="nil"/>
            </w:tcBorders>
          </w:tcPr>
          <w:p w:rsidR="00326AAE" w:rsidRDefault="00326AAE" w:rsidP="00326AAE">
            <w:pPr>
              <w:pStyle w:val="xl19"/>
              <w:tabs>
                <w:tab w:val="left" w:pos="3420"/>
                <w:tab w:val="right" w:pos="8640"/>
              </w:tabs>
              <w:spacing w:before="0" w:after="0"/>
              <w:rPr>
                <w:b/>
                <w:bCs/>
              </w:rPr>
            </w:pPr>
            <w:r>
              <w:rPr>
                <w:rFonts w:eastAsia="Times New Roman"/>
              </w:rPr>
              <w:t>Strat</w:t>
            </w:r>
            <w:r>
              <w:t>egic Goal(s) &amp; Objective(s):</w:t>
            </w:r>
          </w:p>
        </w:tc>
        <w:tc>
          <w:tcPr>
            <w:tcW w:w="6048" w:type="dxa"/>
            <w:gridSpan w:val="6"/>
            <w:tcBorders>
              <w:top w:val="nil"/>
              <w:left w:val="nil"/>
              <w:bottom w:val="nil"/>
              <w:right w:val="nil"/>
            </w:tcBorders>
          </w:tcPr>
          <w:p w:rsidR="00326AAE" w:rsidRPr="00044A0C" w:rsidRDefault="008D1F00" w:rsidP="00326AAE">
            <w:pPr>
              <w:pStyle w:val="xl19"/>
              <w:tabs>
                <w:tab w:val="left" w:pos="3420"/>
                <w:tab w:val="right" w:pos="8640"/>
              </w:tabs>
              <w:spacing w:before="0" w:after="0"/>
              <w:rPr>
                <w:bCs/>
              </w:rPr>
            </w:pPr>
            <w:r>
              <w:rPr>
                <w:bCs/>
              </w:rPr>
              <w:t>2.4 - Reduce the threat, trafficking, use, and related violence of illegal drugs.</w:t>
            </w:r>
          </w:p>
        </w:tc>
      </w:tr>
      <w:tr w:rsidR="00326AAE" w:rsidTr="00326AAE">
        <w:tc>
          <w:tcPr>
            <w:tcW w:w="3528" w:type="dxa"/>
            <w:tcBorders>
              <w:top w:val="nil"/>
              <w:left w:val="nil"/>
              <w:bottom w:val="nil"/>
              <w:right w:val="nil"/>
            </w:tcBorders>
          </w:tcPr>
          <w:p w:rsidR="00326AAE" w:rsidRDefault="00326AAE" w:rsidP="00326AAE">
            <w:pPr>
              <w:pStyle w:val="xl19"/>
              <w:tabs>
                <w:tab w:val="left" w:pos="3420"/>
                <w:tab w:val="right" w:pos="8640"/>
              </w:tabs>
              <w:spacing w:before="0" w:after="0"/>
              <w:rPr>
                <w:rFonts w:eastAsia="Times New Roman"/>
              </w:rPr>
            </w:pPr>
            <w:r>
              <w:t>Organizational Program:</w:t>
            </w:r>
          </w:p>
        </w:tc>
        <w:tc>
          <w:tcPr>
            <w:tcW w:w="6048" w:type="dxa"/>
            <w:gridSpan w:val="6"/>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Pr>
                <w:bCs/>
              </w:rPr>
              <w:t>National Drug Intelligence Center</w:t>
            </w:r>
          </w:p>
        </w:tc>
      </w:tr>
      <w:tr w:rsidR="00326AAE" w:rsidTr="00326AAE">
        <w:tc>
          <w:tcPr>
            <w:tcW w:w="9576" w:type="dxa"/>
            <w:gridSpan w:val="7"/>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p>
        </w:tc>
      </w:tr>
      <w:tr w:rsidR="00326AAE" w:rsidTr="00326AAE">
        <w:tc>
          <w:tcPr>
            <w:tcW w:w="9576" w:type="dxa"/>
            <w:gridSpan w:val="7"/>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p>
        </w:tc>
      </w:tr>
      <w:tr w:rsidR="00326AAE" w:rsidTr="00326AAE">
        <w:tc>
          <w:tcPr>
            <w:tcW w:w="3528" w:type="dxa"/>
            <w:tcBorders>
              <w:top w:val="nil"/>
              <w:left w:val="nil"/>
              <w:bottom w:val="nil"/>
              <w:right w:val="nil"/>
            </w:tcBorders>
          </w:tcPr>
          <w:p w:rsidR="00326AAE" w:rsidRDefault="00326AAE" w:rsidP="00326AAE">
            <w:pPr>
              <w:pStyle w:val="xl19"/>
              <w:tabs>
                <w:tab w:val="left" w:pos="3420"/>
                <w:tab w:val="right" w:pos="8640"/>
              </w:tabs>
              <w:spacing w:before="0" w:after="0"/>
            </w:pPr>
            <w:r>
              <w:rPr>
                <w:rFonts w:eastAsia="Times New Roman"/>
              </w:rPr>
              <w:t>Program Offset:</w:t>
            </w:r>
          </w:p>
        </w:tc>
        <w:tc>
          <w:tcPr>
            <w:tcW w:w="1170" w:type="dxa"/>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Pr>
                <w:bCs/>
              </w:rPr>
              <w:t>Positions</w:t>
            </w:r>
          </w:p>
        </w:tc>
        <w:tc>
          <w:tcPr>
            <w:tcW w:w="900" w:type="dxa"/>
            <w:tcBorders>
              <w:top w:val="nil"/>
              <w:left w:val="nil"/>
              <w:right w:val="nil"/>
            </w:tcBorders>
          </w:tcPr>
          <w:p w:rsidR="0048348B" w:rsidRDefault="009105FA">
            <w:pPr>
              <w:pStyle w:val="xl19"/>
              <w:tabs>
                <w:tab w:val="left" w:pos="3420"/>
                <w:tab w:val="right" w:pos="8640"/>
              </w:tabs>
              <w:spacing w:before="0" w:after="0"/>
              <w:jc w:val="center"/>
              <w:rPr>
                <w:bCs/>
              </w:rPr>
            </w:pPr>
            <w:r>
              <w:rPr>
                <w:bCs/>
              </w:rPr>
              <w:t>0</w:t>
            </w:r>
          </w:p>
        </w:tc>
        <w:tc>
          <w:tcPr>
            <w:tcW w:w="720" w:type="dxa"/>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Pr>
                <w:bCs/>
              </w:rPr>
              <w:t>FTE</w:t>
            </w:r>
          </w:p>
        </w:tc>
        <w:tc>
          <w:tcPr>
            <w:tcW w:w="877" w:type="dxa"/>
            <w:tcBorders>
              <w:top w:val="nil"/>
              <w:left w:val="nil"/>
              <w:right w:val="nil"/>
            </w:tcBorders>
          </w:tcPr>
          <w:p w:rsidR="0048348B" w:rsidRDefault="009105FA">
            <w:pPr>
              <w:pStyle w:val="xl19"/>
              <w:tabs>
                <w:tab w:val="left" w:pos="3420"/>
                <w:tab w:val="right" w:pos="8640"/>
              </w:tabs>
              <w:spacing w:before="0" w:after="0"/>
              <w:jc w:val="center"/>
              <w:rPr>
                <w:bCs/>
              </w:rPr>
            </w:pPr>
            <w:r>
              <w:rPr>
                <w:bCs/>
              </w:rPr>
              <w:t>0</w:t>
            </w:r>
          </w:p>
        </w:tc>
        <w:tc>
          <w:tcPr>
            <w:tcW w:w="923" w:type="dxa"/>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Pr>
                <w:bCs/>
              </w:rPr>
              <w:t>Dollars</w:t>
            </w:r>
          </w:p>
        </w:tc>
        <w:tc>
          <w:tcPr>
            <w:tcW w:w="1458" w:type="dxa"/>
            <w:tcBorders>
              <w:top w:val="nil"/>
              <w:left w:val="nil"/>
              <w:right w:val="nil"/>
            </w:tcBorders>
          </w:tcPr>
          <w:p w:rsidR="0048348B" w:rsidRDefault="00326AAE">
            <w:pPr>
              <w:pStyle w:val="xl19"/>
              <w:tabs>
                <w:tab w:val="left" w:pos="3420"/>
                <w:tab w:val="right" w:pos="8640"/>
              </w:tabs>
              <w:spacing w:before="0" w:after="0"/>
              <w:jc w:val="center"/>
              <w:rPr>
                <w:bCs/>
              </w:rPr>
            </w:pPr>
            <w:r>
              <w:rPr>
                <w:bCs/>
              </w:rPr>
              <w:t>($37,000)</w:t>
            </w:r>
          </w:p>
        </w:tc>
      </w:tr>
    </w:tbl>
    <w:p w:rsidR="00326AAE" w:rsidRDefault="00326AAE" w:rsidP="00326AAE">
      <w:pPr>
        <w:pStyle w:val="xl19"/>
        <w:spacing w:before="0" w:after="0"/>
        <w:rPr>
          <w:rFonts w:eastAsia="Times New Roman"/>
        </w:rPr>
      </w:pPr>
    </w:p>
    <w:p w:rsidR="00326AAE" w:rsidRDefault="00326AAE" w:rsidP="00326AAE">
      <w:pPr>
        <w:pStyle w:val="xl24"/>
        <w:spacing w:before="0" w:after="0"/>
        <w:rPr>
          <w:rFonts w:eastAsia="Times New Roman"/>
        </w:rPr>
      </w:pPr>
      <w:r>
        <w:rPr>
          <w:rFonts w:eastAsia="Times New Roman"/>
        </w:rPr>
        <w:t>Description of Item</w:t>
      </w:r>
    </w:p>
    <w:p w:rsidR="000F3D38" w:rsidRPr="004F4C18" w:rsidRDefault="00326AAE" w:rsidP="000F3D38">
      <w:pPr>
        <w:pStyle w:val="xl19"/>
        <w:spacing w:before="0" w:after="360"/>
        <w:rPr>
          <w:szCs w:val="24"/>
        </w:rPr>
      </w:pPr>
      <w:r w:rsidRPr="00326AAE">
        <w:rPr>
          <w:szCs w:val="24"/>
        </w:rPr>
        <w:t>The Department is continually evaluating its programs and operations with the goal of achieving across-the-board economies of scale that result in increased efficiencies and cost savings. In FY 2012, the Department is focusing on areas in which savings can be achieved, which include, but</w:t>
      </w:r>
      <w:r w:rsidRPr="00326AAE">
        <w:rPr>
          <w:bCs/>
          <w:szCs w:val="24"/>
        </w:rPr>
        <w:t xml:space="preserve"> are not limited to: printing, publications, travel, conferences, supplies, and general equipment</w:t>
      </w:r>
      <w:r>
        <w:rPr>
          <w:szCs w:val="24"/>
        </w:rPr>
        <w:t>.</w:t>
      </w:r>
      <w:r w:rsidR="000F3D38" w:rsidRPr="000F3D38">
        <w:rPr>
          <w:szCs w:val="24"/>
        </w:rPr>
        <w:t xml:space="preserve"> </w:t>
      </w:r>
    </w:p>
    <w:tbl>
      <w:tblPr>
        <w:tblStyle w:val="TableGrid"/>
        <w:tblW w:w="0" w:type="auto"/>
        <w:tblLook w:val="04A0" w:firstRow="1" w:lastRow="0" w:firstColumn="1" w:lastColumn="0" w:noHBand="0" w:noVBand="1"/>
      </w:tblPr>
      <w:tblGrid>
        <w:gridCol w:w="3528"/>
        <w:gridCol w:w="1170"/>
        <w:gridCol w:w="900"/>
        <w:gridCol w:w="720"/>
        <w:gridCol w:w="877"/>
        <w:gridCol w:w="923"/>
        <w:gridCol w:w="1458"/>
      </w:tblGrid>
      <w:tr w:rsidR="00326AAE" w:rsidTr="00326AAE">
        <w:tc>
          <w:tcPr>
            <w:tcW w:w="3528" w:type="dxa"/>
            <w:tcBorders>
              <w:top w:val="nil"/>
              <w:left w:val="nil"/>
              <w:bottom w:val="nil"/>
              <w:right w:val="nil"/>
            </w:tcBorders>
            <w:shd w:val="pct10" w:color="auto" w:fill="auto"/>
          </w:tcPr>
          <w:p w:rsidR="00326AAE" w:rsidRDefault="00326AAE" w:rsidP="00326AAE">
            <w:pPr>
              <w:pStyle w:val="xl19"/>
              <w:tabs>
                <w:tab w:val="left" w:pos="3420"/>
                <w:tab w:val="right" w:pos="8640"/>
              </w:tabs>
              <w:spacing w:before="0" w:after="0"/>
              <w:rPr>
                <w:b/>
                <w:bCs/>
              </w:rPr>
            </w:pPr>
            <w:r>
              <w:rPr>
                <w:b/>
                <w:bCs/>
              </w:rPr>
              <w:t>Item Name:</w:t>
            </w:r>
          </w:p>
        </w:tc>
        <w:tc>
          <w:tcPr>
            <w:tcW w:w="6048" w:type="dxa"/>
            <w:gridSpan w:val="6"/>
            <w:tcBorders>
              <w:top w:val="nil"/>
              <w:left w:val="nil"/>
              <w:bottom w:val="nil"/>
              <w:right w:val="nil"/>
            </w:tcBorders>
            <w:shd w:val="pct10" w:color="auto" w:fill="auto"/>
          </w:tcPr>
          <w:p w:rsidR="00326AAE" w:rsidRPr="007D0E4A" w:rsidRDefault="00326AAE" w:rsidP="00326AAE">
            <w:pPr>
              <w:pStyle w:val="xl19"/>
              <w:tabs>
                <w:tab w:val="left" w:pos="3420"/>
                <w:tab w:val="right" w:pos="8640"/>
              </w:tabs>
              <w:spacing w:before="0" w:after="0"/>
              <w:rPr>
                <w:b/>
                <w:bCs/>
              </w:rPr>
            </w:pPr>
            <w:r>
              <w:rPr>
                <w:b/>
                <w:bCs/>
              </w:rPr>
              <w:t>Technology Refresh</w:t>
            </w:r>
          </w:p>
        </w:tc>
      </w:tr>
      <w:tr w:rsidR="00326AAE" w:rsidTr="00326AAE">
        <w:tc>
          <w:tcPr>
            <w:tcW w:w="3528" w:type="dxa"/>
            <w:tcBorders>
              <w:top w:val="nil"/>
              <w:left w:val="nil"/>
              <w:bottom w:val="nil"/>
              <w:right w:val="nil"/>
            </w:tcBorders>
          </w:tcPr>
          <w:p w:rsidR="00326AAE" w:rsidRDefault="00326AAE" w:rsidP="00326AAE">
            <w:pPr>
              <w:pStyle w:val="xl19"/>
              <w:tabs>
                <w:tab w:val="left" w:pos="3420"/>
                <w:tab w:val="right" w:pos="8640"/>
              </w:tabs>
              <w:spacing w:before="0" w:after="0"/>
              <w:rPr>
                <w:b/>
                <w:bCs/>
              </w:rPr>
            </w:pPr>
            <w:r>
              <w:rPr>
                <w:rFonts w:eastAsia="Times New Roman"/>
              </w:rPr>
              <w:t>Budget Decision Unit(s):</w:t>
            </w:r>
          </w:p>
        </w:tc>
        <w:tc>
          <w:tcPr>
            <w:tcW w:w="6048" w:type="dxa"/>
            <w:gridSpan w:val="6"/>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sidRPr="00044A0C">
              <w:rPr>
                <w:bCs/>
              </w:rPr>
              <w:t>National Drug Intelligence Center</w:t>
            </w:r>
          </w:p>
        </w:tc>
      </w:tr>
      <w:tr w:rsidR="00326AAE" w:rsidTr="00326AAE">
        <w:tc>
          <w:tcPr>
            <w:tcW w:w="3528" w:type="dxa"/>
            <w:tcBorders>
              <w:top w:val="nil"/>
              <w:left w:val="nil"/>
              <w:bottom w:val="nil"/>
              <w:right w:val="nil"/>
            </w:tcBorders>
          </w:tcPr>
          <w:p w:rsidR="00326AAE" w:rsidRDefault="00326AAE" w:rsidP="00326AAE">
            <w:pPr>
              <w:pStyle w:val="xl19"/>
              <w:tabs>
                <w:tab w:val="left" w:pos="3420"/>
                <w:tab w:val="right" w:pos="8640"/>
              </w:tabs>
              <w:spacing w:before="0" w:after="0"/>
              <w:rPr>
                <w:b/>
                <w:bCs/>
              </w:rPr>
            </w:pPr>
            <w:r>
              <w:rPr>
                <w:rFonts w:eastAsia="Times New Roman"/>
              </w:rPr>
              <w:t>Strat</w:t>
            </w:r>
            <w:r>
              <w:t>egic Goal(s) &amp; Objective(s):</w:t>
            </w:r>
          </w:p>
        </w:tc>
        <w:tc>
          <w:tcPr>
            <w:tcW w:w="6048" w:type="dxa"/>
            <w:gridSpan w:val="6"/>
            <w:tcBorders>
              <w:top w:val="nil"/>
              <w:left w:val="nil"/>
              <w:bottom w:val="nil"/>
              <w:right w:val="nil"/>
            </w:tcBorders>
          </w:tcPr>
          <w:p w:rsidR="00326AAE" w:rsidRPr="00044A0C" w:rsidRDefault="008D1F00" w:rsidP="00326AAE">
            <w:pPr>
              <w:pStyle w:val="xl19"/>
              <w:tabs>
                <w:tab w:val="left" w:pos="3420"/>
                <w:tab w:val="right" w:pos="8640"/>
              </w:tabs>
              <w:spacing w:before="0" w:after="0"/>
              <w:rPr>
                <w:bCs/>
              </w:rPr>
            </w:pPr>
            <w:r>
              <w:rPr>
                <w:bCs/>
              </w:rPr>
              <w:t>2.4 - Reduce the threat, trafficking, use, and related violence of illegal drugs.</w:t>
            </w:r>
          </w:p>
        </w:tc>
      </w:tr>
      <w:tr w:rsidR="00326AAE" w:rsidTr="00326AAE">
        <w:tc>
          <w:tcPr>
            <w:tcW w:w="3528" w:type="dxa"/>
            <w:tcBorders>
              <w:top w:val="nil"/>
              <w:left w:val="nil"/>
              <w:bottom w:val="nil"/>
              <w:right w:val="nil"/>
            </w:tcBorders>
          </w:tcPr>
          <w:p w:rsidR="00326AAE" w:rsidRDefault="00326AAE" w:rsidP="00326AAE">
            <w:pPr>
              <w:pStyle w:val="xl19"/>
              <w:tabs>
                <w:tab w:val="left" w:pos="3420"/>
                <w:tab w:val="right" w:pos="8640"/>
              </w:tabs>
              <w:spacing w:before="0" w:after="0"/>
              <w:rPr>
                <w:rFonts w:eastAsia="Times New Roman"/>
              </w:rPr>
            </w:pPr>
            <w:r>
              <w:t>Organizational Program:</w:t>
            </w:r>
          </w:p>
        </w:tc>
        <w:tc>
          <w:tcPr>
            <w:tcW w:w="6048" w:type="dxa"/>
            <w:gridSpan w:val="6"/>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Pr>
                <w:bCs/>
              </w:rPr>
              <w:t>National Drug Intelligence Center</w:t>
            </w:r>
          </w:p>
        </w:tc>
      </w:tr>
      <w:tr w:rsidR="00326AAE" w:rsidTr="00326AAE">
        <w:tc>
          <w:tcPr>
            <w:tcW w:w="9576" w:type="dxa"/>
            <w:gridSpan w:val="7"/>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p>
        </w:tc>
      </w:tr>
      <w:tr w:rsidR="00326AAE" w:rsidTr="00326AAE">
        <w:tc>
          <w:tcPr>
            <w:tcW w:w="9576" w:type="dxa"/>
            <w:gridSpan w:val="7"/>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p>
        </w:tc>
      </w:tr>
      <w:tr w:rsidR="00326AAE" w:rsidTr="00326AAE">
        <w:tc>
          <w:tcPr>
            <w:tcW w:w="3528" w:type="dxa"/>
            <w:tcBorders>
              <w:top w:val="nil"/>
              <w:left w:val="nil"/>
              <w:bottom w:val="nil"/>
              <w:right w:val="nil"/>
            </w:tcBorders>
          </w:tcPr>
          <w:p w:rsidR="00326AAE" w:rsidRDefault="00326AAE" w:rsidP="00326AAE">
            <w:pPr>
              <w:pStyle w:val="xl19"/>
              <w:tabs>
                <w:tab w:val="left" w:pos="3420"/>
                <w:tab w:val="right" w:pos="8640"/>
              </w:tabs>
              <w:spacing w:before="0" w:after="0"/>
            </w:pPr>
            <w:r>
              <w:rPr>
                <w:rFonts w:eastAsia="Times New Roman"/>
              </w:rPr>
              <w:t>Program Offset:</w:t>
            </w:r>
          </w:p>
        </w:tc>
        <w:tc>
          <w:tcPr>
            <w:tcW w:w="1170" w:type="dxa"/>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Pr>
                <w:bCs/>
              </w:rPr>
              <w:t>Positions</w:t>
            </w:r>
          </w:p>
        </w:tc>
        <w:tc>
          <w:tcPr>
            <w:tcW w:w="900" w:type="dxa"/>
            <w:tcBorders>
              <w:top w:val="nil"/>
              <w:left w:val="nil"/>
              <w:right w:val="nil"/>
            </w:tcBorders>
          </w:tcPr>
          <w:p w:rsidR="0048348B" w:rsidRDefault="00326AAE">
            <w:pPr>
              <w:pStyle w:val="xl19"/>
              <w:tabs>
                <w:tab w:val="left" w:pos="3420"/>
                <w:tab w:val="right" w:pos="8640"/>
              </w:tabs>
              <w:spacing w:before="0" w:after="0"/>
              <w:jc w:val="center"/>
              <w:rPr>
                <w:bCs/>
              </w:rPr>
            </w:pPr>
            <w:r>
              <w:rPr>
                <w:bCs/>
              </w:rPr>
              <w:t>(9)</w:t>
            </w:r>
          </w:p>
        </w:tc>
        <w:tc>
          <w:tcPr>
            <w:tcW w:w="720" w:type="dxa"/>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Pr>
                <w:bCs/>
              </w:rPr>
              <w:t>FTE</w:t>
            </w:r>
          </w:p>
        </w:tc>
        <w:tc>
          <w:tcPr>
            <w:tcW w:w="877" w:type="dxa"/>
            <w:tcBorders>
              <w:top w:val="nil"/>
              <w:left w:val="nil"/>
              <w:right w:val="nil"/>
            </w:tcBorders>
          </w:tcPr>
          <w:p w:rsidR="0048348B" w:rsidRDefault="00326AAE">
            <w:pPr>
              <w:pStyle w:val="xl19"/>
              <w:tabs>
                <w:tab w:val="left" w:pos="3420"/>
                <w:tab w:val="right" w:pos="8640"/>
              </w:tabs>
              <w:spacing w:before="0" w:after="0"/>
              <w:jc w:val="center"/>
              <w:rPr>
                <w:bCs/>
              </w:rPr>
            </w:pPr>
            <w:r>
              <w:rPr>
                <w:bCs/>
              </w:rPr>
              <w:t>(9)</w:t>
            </w:r>
          </w:p>
        </w:tc>
        <w:tc>
          <w:tcPr>
            <w:tcW w:w="923" w:type="dxa"/>
            <w:tcBorders>
              <w:top w:val="nil"/>
              <w:left w:val="nil"/>
              <w:bottom w:val="nil"/>
              <w:right w:val="nil"/>
            </w:tcBorders>
          </w:tcPr>
          <w:p w:rsidR="00326AAE" w:rsidRPr="00044A0C" w:rsidRDefault="00326AAE" w:rsidP="00326AAE">
            <w:pPr>
              <w:pStyle w:val="xl19"/>
              <w:tabs>
                <w:tab w:val="left" w:pos="3420"/>
                <w:tab w:val="right" w:pos="8640"/>
              </w:tabs>
              <w:spacing w:before="0" w:after="0"/>
              <w:rPr>
                <w:bCs/>
              </w:rPr>
            </w:pPr>
            <w:r>
              <w:rPr>
                <w:bCs/>
              </w:rPr>
              <w:t>Dollars</w:t>
            </w:r>
          </w:p>
        </w:tc>
        <w:tc>
          <w:tcPr>
            <w:tcW w:w="1458" w:type="dxa"/>
            <w:tcBorders>
              <w:top w:val="nil"/>
              <w:left w:val="nil"/>
              <w:right w:val="nil"/>
            </w:tcBorders>
          </w:tcPr>
          <w:p w:rsidR="0048348B" w:rsidRDefault="00326AAE" w:rsidP="009F146F">
            <w:pPr>
              <w:pStyle w:val="xl19"/>
              <w:tabs>
                <w:tab w:val="left" w:pos="3420"/>
                <w:tab w:val="right" w:pos="8640"/>
              </w:tabs>
              <w:spacing w:before="0" w:after="0"/>
              <w:jc w:val="center"/>
              <w:rPr>
                <w:bCs/>
              </w:rPr>
            </w:pPr>
            <w:r>
              <w:rPr>
                <w:bCs/>
              </w:rPr>
              <w:t>($</w:t>
            </w:r>
            <w:r w:rsidR="009F146F">
              <w:rPr>
                <w:bCs/>
              </w:rPr>
              <w:t>44</w:t>
            </w:r>
            <w:r>
              <w:rPr>
                <w:bCs/>
              </w:rPr>
              <w:t>,000)</w:t>
            </w:r>
          </w:p>
        </w:tc>
      </w:tr>
    </w:tbl>
    <w:p w:rsidR="00326AAE" w:rsidRDefault="00326AAE" w:rsidP="00326AAE">
      <w:pPr>
        <w:pStyle w:val="xl19"/>
        <w:spacing w:before="0" w:after="0"/>
        <w:rPr>
          <w:rFonts w:eastAsia="Times New Roman"/>
        </w:rPr>
      </w:pPr>
    </w:p>
    <w:p w:rsidR="00326AAE" w:rsidRDefault="00326AAE" w:rsidP="00326AAE">
      <w:pPr>
        <w:pStyle w:val="xl24"/>
        <w:spacing w:before="0" w:after="0"/>
        <w:rPr>
          <w:rFonts w:eastAsia="Times New Roman"/>
        </w:rPr>
      </w:pPr>
      <w:r>
        <w:rPr>
          <w:rFonts w:eastAsia="Times New Roman"/>
        </w:rPr>
        <w:t>Description of Item</w:t>
      </w:r>
    </w:p>
    <w:p w:rsidR="000F3D38" w:rsidRPr="004F4C18" w:rsidRDefault="00326AAE" w:rsidP="000F3D38">
      <w:pPr>
        <w:pStyle w:val="xl19"/>
        <w:spacing w:before="0" w:after="360"/>
        <w:rPr>
          <w:szCs w:val="24"/>
        </w:rPr>
      </w:pPr>
      <w:r w:rsidRPr="00326AAE">
        <w:rPr>
          <w:szCs w:val="24"/>
        </w:rPr>
        <w:t>As desktops and laptops are used primarily for basic office automation applications (e.g., spreadsheets and word processing), replacing this inventory at a slower rate is expected to have minimal impact on Department operations. In FY 2012, the Department is proposing to extend the refresh rate of all desktops and laptops by one year</w:t>
      </w:r>
      <w:r w:rsidR="00330875">
        <w:rPr>
          <w:szCs w:val="24"/>
        </w:rPr>
        <w:t>.</w:t>
      </w:r>
      <w:r w:rsidR="000F3D38" w:rsidRPr="000F3D38">
        <w:rPr>
          <w:szCs w:val="24"/>
        </w:rPr>
        <w:t xml:space="preserve"> </w:t>
      </w:r>
    </w:p>
    <w:p w:rsidR="00E328CA" w:rsidRDefault="00E328CA">
      <w:pPr>
        <w:spacing w:after="0" w:line="240" w:lineRule="auto"/>
        <w:rPr>
          <w:sz w:val="24"/>
          <w:szCs w:val="24"/>
        </w:rPr>
      </w:pPr>
      <w:r>
        <w:rPr>
          <w:sz w:val="24"/>
          <w:szCs w:val="24"/>
        </w:rPr>
        <w:br w:type="page"/>
      </w:r>
    </w:p>
    <w:p w:rsidR="00044A0C" w:rsidRPr="00216743" w:rsidRDefault="00044A0C" w:rsidP="00FE7E7C">
      <w:pPr>
        <w:pStyle w:val="Heading1"/>
        <w:numPr>
          <w:ilvl w:val="0"/>
          <w:numId w:val="17"/>
        </w:numPr>
        <w:spacing w:after="240"/>
        <w:rPr>
          <w:rStyle w:val="SubtleEmphasis"/>
          <w:rFonts w:ascii="Times New Roman" w:hAnsi="Times New Roman"/>
          <w:i w:val="0"/>
          <w:color w:val="auto"/>
          <w:sz w:val="32"/>
        </w:rPr>
      </w:pPr>
      <w:bookmarkStart w:id="8" w:name="_Toc271895830"/>
      <w:r w:rsidRPr="00E4376B">
        <w:rPr>
          <w:rStyle w:val="SubtleEmphasis"/>
          <w:rFonts w:ascii="Times New Roman" w:hAnsi="Times New Roman"/>
          <w:i w:val="0"/>
          <w:color w:val="auto"/>
          <w:sz w:val="32"/>
          <w:szCs w:val="32"/>
        </w:rPr>
        <w:lastRenderedPageBreak/>
        <w:t>Exhibits</w:t>
      </w:r>
      <w:bookmarkEnd w:id="8"/>
    </w:p>
    <w:p w:rsidR="00044A0C" w:rsidRPr="003110E5" w:rsidRDefault="00044A0C" w:rsidP="003110E5">
      <w:pPr>
        <w:rPr>
          <w:sz w:val="24"/>
          <w:szCs w:val="24"/>
        </w:rPr>
      </w:pPr>
    </w:p>
    <w:sectPr w:rsidR="00044A0C" w:rsidRPr="003110E5" w:rsidSect="003110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498" w:rsidRDefault="00B97498" w:rsidP="00592E6C">
      <w:pPr>
        <w:spacing w:after="0" w:line="240" w:lineRule="auto"/>
      </w:pPr>
      <w:r>
        <w:separator/>
      </w:r>
    </w:p>
  </w:endnote>
  <w:endnote w:type="continuationSeparator" w:id="0">
    <w:p w:rsidR="00B97498" w:rsidRDefault="00B97498" w:rsidP="0059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98" w:rsidRDefault="00B97498">
    <w:pPr>
      <w:pStyle w:val="Footer"/>
      <w:jc w:val="center"/>
    </w:pPr>
    <w:r>
      <w:t>NDIC-</w:t>
    </w:r>
    <w:r>
      <w:fldChar w:fldCharType="begin"/>
    </w:r>
    <w:r>
      <w:instrText xml:space="preserve"> PAGE   \* MERGEFORMAT </w:instrText>
    </w:r>
    <w:r>
      <w:fldChar w:fldCharType="separate"/>
    </w:r>
    <w:r>
      <w:rPr>
        <w:noProof/>
      </w:rPr>
      <w:t>20</w:t>
    </w:r>
    <w:r>
      <w:rPr>
        <w:noProof/>
      </w:rPr>
      <w:fldChar w:fldCharType="end"/>
    </w:r>
  </w:p>
  <w:p w:rsidR="00B97498" w:rsidRDefault="00B97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98" w:rsidRDefault="00B97498">
    <w:pPr>
      <w:pStyle w:val="Footer"/>
      <w:jc w:val="center"/>
    </w:pPr>
    <w:r>
      <w:t>NDIC-</w:t>
    </w:r>
    <w:r>
      <w:fldChar w:fldCharType="begin"/>
    </w:r>
    <w:r>
      <w:instrText xml:space="preserve"> PAGE   \* MERGEFORMAT </w:instrText>
    </w:r>
    <w:r>
      <w:fldChar w:fldCharType="separate"/>
    </w:r>
    <w:r>
      <w:rPr>
        <w:noProof/>
      </w:rPr>
      <w:t>17</w:t>
    </w:r>
    <w:r>
      <w:rPr>
        <w:noProof/>
      </w:rPr>
      <w:fldChar w:fldCharType="end"/>
    </w:r>
  </w:p>
  <w:p w:rsidR="00B97498" w:rsidRDefault="00B97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498" w:rsidRDefault="00B97498" w:rsidP="00592E6C">
      <w:pPr>
        <w:spacing w:after="0" w:line="240" w:lineRule="auto"/>
      </w:pPr>
      <w:r>
        <w:separator/>
      </w:r>
    </w:p>
  </w:footnote>
  <w:footnote w:type="continuationSeparator" w:id="0">
    <w:p w:rsidR="00B97498" w:rsidRDefault="00B97498" w:rsidP="00592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98" w:rsidRDefault="00B97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BAC0A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D1C3BD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B02B0F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29EB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54AA1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F239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68C2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7E4D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582FF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46BD8"/>
    <w:lvl w:ilvl="0">
      <w:start w:val="1"/>
      <w:numFmt w:val="bullet"/>
      <w:lvlText w:val=""/>
      <w:lvlJc w:val="left"/>
      <w:pPr>
        <w:tabs>
          <w:tab w:val="num" w:pos="360"/>
        </w:tabs>
        <w:ind w:left="360" w:hanging="360"/>
      </w:pPr>
      <w:rPr>
        <w:rFonts w:ascii="Symbol" w:hAnsi="Symbol" w:hint="default"/>
      </w:rPr>
    </w:lvl>
  </w:abstractNum>
  <w:abstractNum w:abstractNumId="10">
    <w:nsid w:val="062914A3"/>
    <w:multiLevelType w:val="hybridMultilevel"/>
    <w:tmpl w:val="7EEA5E24"/>
    <w:lvl w:ilvl="0" w:tplc="45089548">
      <w:start w:val="1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07D46EAB"/>
    <w:multiLevelType w:val="hybridMultilevel"/>
    <w:tmpl w:val="CF8012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09EF3EA2"/>
    <w:multiLevelType w:val="multilevel"/>
    <w:tmpl w:val="0A60550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128537D4"/>
    <w:multiLevelType w:val="hybridMultilevel"/>
    <w:tmpl w:val="5DC015A2"/>
    <w:lvl w:ilvl="0" w:tplc="C9FA2F1A">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6090842"/>
    <w:multiLevelType w:val="hybridMultilevel"/>
    <w:tmpl w:val="E83CC57A"/>
    <w:lvl w:ilvl="0" w:tplc="70EC993C">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65B59C1"/>
    <w:multiLevelType w:val="hybridMultilevel"/>
    <w:tmpl w:val="2F4AB2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1A0F7784"/>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1F024CAD"/>
    <w:multiLevelType w:val="hybridMultilevel"/>
    <w:tmpl w:val="758E52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1DE03F7"/>
    <w:multiLevelType w:val="multilevel"/>
    <w:tmpl w:val="9ED85AC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nsid w:val="2B506A02"/>
    <w:multiLevelType w:val="hybridMultilevel"/>
    <w:tmpl w:val="EC90E060"/>
    <w:lvl w:ilvl="0" w:tplc="50D436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C82572"/>
    <w:multiLevelType w:val="hybridMultilevel"/>
    <w:tmpl w:val="DF08BC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E67B3"/>
    <w:multiLevelType w:val="multilevel"/>
    <w:tmpl w:val="E44A6C90"/>
    <w:lvl w:ilvl="0">
      <w:start w:val="6"/>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nsid w:val="336D0FDD"/>
    <w:multiLevelType w:val="hybridMultilevel"/>
    <w:tmpl w:val="9E9EB0A2"/>
    <w:lvl w:ilvl="0" w:tplc="A5A89062">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E22587D"/>
    <w:multiLevelType w:val="hybridMultilevel"/>
    <w:tmpl w:val="15F014DA"/>
    <w:lvl w:ilvl="0" w:tplc="7A08E1F8">
      <w:start w:val="2"/>
      <w:numFmt w:val="upperRoman"/>
      <w:lvlText w:val="%1."/>
      <w:lvlJc w:val="left"/>
      <w:pPr>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31A5B"/>
    <w:multiLevelType w:val="hybridMultilevel"/>
    <w:tmpl w:val="7A967344"/>
    <w:lvl w:ilvl="0" w:tplc="7A08E1F8">
      <w:start w:val="2"/>
      <w:numFmt w:val="upperRoman"/>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2C6E74"/>
    <w:multiLevelType w:val="multilevel"/>
    <w:tmpl w:val="FB80015E"/>
    <w:lvl w:ilvl="0">
      <w:start w:val="2"/>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nsid w:val="49AA4F6A"/>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nsid w:val="4BDD1F2B"/>
    <w:multiLevelType w:val="hybridMultilevel"/>
    <w:tmpl w:val="EDD8038A"/>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528A4C7C"/>
    <w:multiLevelType w:val="hybridMultilevel"/>
    <w:tmpl w:val="DB2822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E7832"/>
    <w:multiLevelType w:val="multilevel"/>
    <w:tmpl w:val="FB80015E"/>
    <w:lvl w:ilvl="0">
      <w:start w:val="2"/>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3"/>
  </w:num>
  <w:num w:numId="2">
    <w:abstractNumId w:val="11"/>
  </w:num>
  <w:num w:numId="3">
    <w:abstractNumId w:val="16"/>
  </w:num>
  <w:num w:numId="4">
    <w:abstractNumId w:val="22"/>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25"/>
  </w:num>
  <w:num w:numId="18">
    <w:abstractNumId w:val="18"/>
  </w:num>
  <w:num w:numId="19">
    <w:abstractNumId w:val="12"/>
  </w:num>
  <w:num w:numId="20">
    <w:abstractNumId w:val="28"/>
  </w:num>
  <w:num w:numId="21">
    <w:abstractNumId w:val="23"/>
  </w:num>
  <w:num w:numId="22">
    <w:abstractNumId w:val="26"/>
  </w:num>
  <w:num w:numId="23">
    <w:abstractNumId w:val="24"/>
  </w:num>
  <w:num w:numId="24">
    <w:abstractNumId w:val="27"/>
  </w:num>
  <w:num w:numId="25">
    <w:abstractNumId w:val="15"/>
  </w:num>
  <w:num w:numId="26">
    <w:abstractNumId w:val="10"/>
  </w:num>
  <w:num w:numId="27">
    <w:abstractNumId w:val="21"/>
  </w:num>
  <w:num w:numId="28">
    <w:abstractNumId w:val="29"/>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48"/>
    <w:rsid w:val="0000117C"/>
    <w:rsid w:val="00001F08"/>
    <w:rsid w:val="00002E57"/>
    <w:rsid w:val="00004230"/>
    <w:rsid w:val="00016011"/>
    <w:rsid w:val="00022A9F"/>
    <w:rsid w:val="00031D8D"/>
    <w:rsid w:val="0003213A"/>
    <w:rsid w:val="00032D23"/>
    <w:rsid w:val="000371E1"/>
    <w:rsid w:val="00041B21"/>
    <w:rsid w:val="000449F8"/>
    <w:rsid w:val="00044A0C"/>
    <w:rsid w:val="00046C2D"/>
    <w:rsid w:val="00047496"/>
    <w:rsid w:val="00060CCF"/>
    <w:rsid w:val="000627BF"/>
    <w:rsid w:val="00074AE4"/>
    <w:rsid w:val="00074F84"/>
    <w:rsid w:val="0007777F"/>
    <w:rsid w:val="000779CD"/>
    <w:rsid w:val="0008265B"/>
    <w:rsid w:val="00091D22"/>
    <w:rsid w:val="00095A9A"/>
    <w:rsid w:val="000A1F32"/>
    <w:rsid w:val="000A3757"/>
    <w:rsid w:val="000A61CF"/>
    <w:rsid w:val="000B3CBA"/>
    <w:rsid w:val="000B50EE"/>
    <w:rsid w:val="000B6E75"/>
    <w:rsid w:val="000C263A"/>
    <w:rsid w:val="000C286E"/>
    <w:rsid w:val="000C4035"/>
    <w:rsid w:val="000C404E"/>
    <w:rsid w:val="000C4052"/>
    <w:rsid w:val="000D2C5A"/>
    <w:rsid w:val="000D5EA5"/>
    <w:rsid w:val="000E1201"/>
    <w:rsid w:val="000E31ED"/>
    <w:rsid w:val="000E4C93"/>
    <w:rsid w:val="000E6476"/>
    <w:rsid w:val="000F3D38"/>
    <w:rsid w:val="000F60DB"/>
    <w:rsid w:val="000F6850"/>
    <w:rsid w:val="00100ADE"/>
    <w:rsid w:val="0010114E"/>
    <w:rsid w:val="001077B2"/>
    <w:rsid w:val="001103F4"/>
    <w:rsid w:val="00112919"/>
    <w:rsid w:val="00112B5F"/>
    <w:rsid w:val="00120A85"/>
    <w:rsid w:val="00122469"/>
    <w:rsid w:val="0012284B"/>
    <w:rsid w:val="00122CBE"/>
    <w:rsid w:val="00126EDD"/>
    <w:rsid w:val="00127838"/>
    <w:rsid w:val="00140CAF"/>
    <w:rsid w:val="0014172F"/>
    <w:rsid w:val="00144F9B"/>
    <w:rsid w:val="001509F7"/>
    <w:rsid w:val="00150D4D"/>
    <w:rsid w:val="001650D5"/>
    <w:rsid w:val="00166F18"/>
    <w:rsid w:val="00173E20"/>
    <w:rsid w:val="00175CAC"/>
    <w:rsid w:val="00176C70"/>
    <w:rsid w:val="00177C13"/>
    <w:rsid w:val="001833E9"/>
    <w:rsid w:val="001876C0"/>
    <w:rsid w:val="00197A31"/>
    <w:rsid w:val="001A346E"/>
    <w:rsid w:val="001A77A1"/>
    <w:rsid w:val="001B0F34"/>
    <w:rsid w:val="001B76B4"/>
    <w:rsid w:val="001C0BBC"/>
    <w:rsid w:val="001C465B"/>
    <w:rsid w:val="001D5FBB"/>
    <w:rsid w:val="001D720C"/>
    <w:rsid w:val="001E27E0"/>
    <w:rsid w:val="001F5897"/>
    <w:rsid w:val="00200444"/>
    <w:rsid w:val="00207308"/>
    <w:rsid w:val="00207462"/>
    <w:rsid w:val="00214D22"/>
    <w:rsid w:val="002152F8"/>
    <w:rsid w:val="00215FA6"/>
    <w:rsid w:val="002160BF"/>
    <w:rsid w:val="00216743"/>
    <w:rsid w:val="00227086"/>
    <w:rsid w:val="0023247D"/>
    <w:rsid w:val="00236348"/>
    <w:rsid w:val="00252A75"/>
    <w:rsid w:val="00254E2F"/>
    <w:rsid w:val="00257BD6"/>
    <w:rsid w:val="00264994"/>
    <w:rsid w:val="00286464"/>
    <w:rsid w:val="00291028"/>
    <w:rsid w:val="002B56FE"/>
    <w:rsid w:val="002B66D3"/>
    <w:rsid w:val="002B73F9"/>
    <w:rsid w:val="002C20B5"/>
    <w:rsid w:val="002C4B60"/>
    <w:rsid w:val="002E09DD"/>
    <w:rsid w:val="002E2C7F"/>
    <w:rsid w:val="002E48A3"/>
    <w:rsid w:val="002F42BA"/>
    <w:rsid w:val="00304F94"/>
    <w:rsid w:val="00310057"/>
    <w:rsid w:val="003110E5"/>
    <w:rsid w:val="00314666"/>
    <w:rsid w:val="0032402C"/>
    <w:rsid w:val="00326AAE"/>
    <w:rsid w:val="003278A2"/>
    <w:rsid w:val="00330875"/>
    <w:rsid w:val="00336B5B"/>
    <w:rsid w:val="00344460"/>
    <w:rsid w:val="003456B5"/>
    <w:rsid w:val="00357F4B"/>
    <w:rsid w:val="003624A4"/>
    <w:rsid w:val="00364430"/>
    <w:rsid w:val="00365336"/>
    <w:rsid w:val="0036641D"/>
    <w:rsid w:val="00367C85"/>
    <w:rsid w:val="00370BA3"/>
    <w:rsid w:val="00375FFB"/>
    <w:rsid w:val="003765FD"/>
    <w:rsid w:val="00377105"/>
    <w:rsid w:val="00377963"/>
    <w:rsid w:val="003805A1"/>
    <w:rsid w:val="00386391"/>
    <w:rsid w:val="003863D7"/>
    <w:rsid w:val="003876B5"/>
    <w:rsid w:val="003909A3"/>
    <w:rsid w:val="00392A36"/>
    <w:rsid w:val="00392B31"/>
    <w:rsid w:val="003A3792"/>
    <w:rsid w:val="003B2306"/>
    <w:rsid w:val="003C2088"/>
    <w:rsid w:val="003C250E"/>
    <w:rsid w:val="003C32E7"/>
    <w:rsid w:val="003C4295"/>
    <w:rsid w:val="003C4F06"/>
    <w:rsid w:val="003D138B"/>
    <w:rsid w:val="003D2556"/>
    <w:rsid w:val="003D26B7"/>
    <w:rsid w:val="003D382F"/>
    <w:rsid w:val="003D44A3"/>
    <w:rsid w:val="003E2482"/>
    <w:rsid w:val="003F5FF2"/>
    <w:rsid w:val="003F65E4"/>
    <w:rsid w:val="00400711"/>
    <w:rsid w:val="00401805"/>
    <w:rsid w:val="004022DA"/>
    <w:rsid w:val="00406D98"/>
    <w:rsid w:val="004079D9"/>
    <w:rsid w:val="004113FF"/>
    <w:rsid w:val="00411DFF"/>
    <w:rsid w:val="00415AD8"/>
    <w:rsid w:val="00420262"/>
    <w:rsid w:val="004237AB"/>
    <w:rsid w:val="00426BBA"/>
    <w:rsid w:val="00430919"/>
    <w:rsid w:val="00430B77"/>
    <w:rsid w:val="00431AA6"/>
    <w:rsid w:val="0043305A"/>
    <w:rsid w:val="00434F63"/>
    <w:rsid w:val="004377F6"/>
    <w:rsid w:val="004431FA"/>
    <w:rsid w:val="00451A0E"/>
    <w:rsid w:val="0045628B"/>
    <w:rsid w:val="004605B2"/>
    <w:rsid w:val="00464600"/>
    <w:rsid w:val="00466421"/>
    <w:rsid w:val="00473EFE"/>
    <w:rsid w:val="0048348B"/>
    <w:rsid w:val="00485A9D"/>
    <w:rsid w:val="00487303"/>
    <w:rsid w:val="00490907"/>
    <w:rsid w:val="00491E04"/>
    <w:rsid w:val="004A36D7"/>
    <w:rsid w:val="004A7DA7"/>
    <w:rsid w:val="004B4BA5"/>
    <w:rsid w:val="004C5F5C"/>
    <w:rsid w:val="004D063B"/>
    <w:rsid w:val="004D104E"/>
    <w:rsid w:val="004D3C83"/>
    <w:rsid w:val="004D5306"/>
    <w:rsid w:val="004D758C"/>
    <w:rsid w:val="004E04F0"/>
    <w:rsid w:val="004E14C1"/>
    <w:rsid w:val="004E600A"/>
    <w:rsid w:val="004F115A"/>
    <w:rsid w:val="004F3800"/>
    <w:rsid w:val="005053E2"/>
    <w:rsid w:val="005058B1"/>
    <w:rsid w:val="00505F8C"/>
    <w:rsid w:val="0051375F"/>
    <w:rsid w:val="005238FE"/>
    <w:rsid w:val="00524BD2"/>
    <w:rsid w:val="005267DA"/>
    <w:rsid w:val="005508F0"/>
    <w:rsid w:val="005539CF"/>
    <w:rsid w:val="005577DC"/>
    <w:rsid w:val="0056127D"/>
    <w:rsid w:val="00562FF3"/>
    <w:rsid w:val="00575F2F"/>
    <w:rsid w:val="00577B37"/>
    <w:rsid w:val="00580067"/>
    <w:rsid w:val="00581AEF"/>
    <w:rsid w:val="00582DC7"/>
    <w:rsid w:val="00584C37"/>
    <w:rsid w:val="00590453"/>
    <w:rsid w:val="00592E6C"/>
    <w:rsid w:val="00594282"/>
    <w:rsid w:val="005972A3"/>
    <w:rsid w:val="005A2782"/>
    <w:rsid w:val="005B49B4"/>
    <w:rsid w:val="005B5952"/>
    <w:rsid w:val="005B6AFC"/>
    <w:rsid w:val="005C00D4"/>
    <w:rsid w:val="005C017B"/>
    <w:rsid w:val="005C204B"/>
    <w:rsid w:val="005C2726"/>
    <w:rsid w:val="005C2C6D"/>
    <w:rsid w:val="005C42B8"/>
    <w:rsid w:val="005D0756"/>
    <w:rsid w:val="005D2DD5"/>
    <w:rsid w:val="005D4B92"/>
    <w:rsid w:val="005E0098"/>
    <w:rsid w:val="005E2AA9"/>
    <w:rsid w:val="00600428"/>
    <w:rsid w:val="00602DE2"/>
    <w:rsid w:val="00605456"/>
    <w:rsid w:val="006055C2"/>
    <w:rsid w:val="006103EF"/>
    <w:rsid w:val="006105FB"/>
    <w:rsid w:val="006129D6"/>
    <w:rsid w:val="0061735C"/>
    <w:rsid w:val="006247EA"/>
    <w:rsid w:val="00624BE7"/>
    <w:rsid w:val="00631E30"/>
    <w:rsid w:val="0063292C"/>
    <w:rsid w:val="00633471"/>
    <w:rsid w:val="00640428"/>
    <w:rsid w:val="006471D4"/>
    <w:rsid w:val="00651906"/>
    <w:rsid w:val="00652D87"/>
    <w:rsid w:val="00654557"/>
    <w:rsid w:val="0066110D"/>
    <w:rsid w:val="00674365"/>
    <w:rsid w:val="00674D6C"/>
    <w:rsid w:val="006760E1"/>
    <w:rsid w:val="00692169"/>
    <w:rsid w:val="00694D0B"/>
    <w:rsid w:val="0069581B"/>
    <w:rsid w:val="006A0F72"/>
    <w:rsid w:val="006A1ACD"/>
    <w:rsid w:val="006A249B"/>
    <w:rsid w:val="006A7737"/>
    <w:rsid w:val="006A7857"/>
    <w:rsid w:val="006B1B40"/>
    <w:rsid w:val="006B690E"/>
    <w:rsid w:val="006C1E74"/>
    <w:rsid w:val="006C3B05"/>
    <w:rsid w:val="006C5960"/>
    <w:rsid w:val="006D05F9"/>
    <w:rsid w:val="006D658F"/>
    <w:rsid w:val="006D6EFE"/>
    <w:rsid w:val="006F0946"/>
    <w:rsid w:val="007001A4"/>
    <w:rsid w:val="0070123B"/>
    <w:rsid w:val="0070194E"/>
    <w:rsid w:val="0070790E"/>
    <w:rsid w:val="0071182A"/>
    <w:rsid w:val="0071210C"/>
    <w:rsid w:val="0072085C"/>
    <w:rsid w:val="0072398A"/>
    <w:rsid w:val="00723E80"/>
    <w:rsid w:val="007313A5"/>
    <w:rsid w:val="00732C39"/>
    <w:rsid w:val="00734AAB"/>
    <w:rsid w:val="00737ED6"/>
    <w:rsid w:val="00743A18"/>
    <w:rsid w:val="0074716B"/>
    <w:rsid w:val="007639FA"/>
    <w:rsid w:val="00764D07"/>
    <w:rsid w:val="00765D3A"/>
    <w:rsid w:val="00770F57"/>
    <w:rsid w:val="007724DD"/>
    <w:rsid w:val="00773FEA"/>
    <w:rsid w:val="00775AD3"/>
    <w:rsid w:val="00775DCF"/>
    <w:rsid w:val="00777F4D"/>
    <w:rsid w:val="00794BB8"/>
    <w:rsid w:val="00797D14"/>
    <w:rsid w:val="007A479D"/>
    <w:rsid w:val="007B14D3"/>
    <w:rsid w:val="007D0E4A"/>
    <w:rsid w:val="007D2474"/>
    <w:rsid w:val="007D443E"/>
    <w:rsid w:val="007D59D6"/>
    <w:rsid w:val="007D79A9"/>
    <w:rsid w:val="007E21FC"/>
    <w:rsid w:val="008051AD"/>
    <w:rsid w:val="00813185"/>
    <w:rsid w:val="00814F72"/>
    <w:rsid w:val="0081710E"/>
    <w:rsid w:val="00817D94"/>
    <w:rsid w:val="00831780"/>
    <w:rsid w:val="0083212E"/>
    <w:rsid w:val="008427B9"/>
    <w:rsid w:val="00842DD4"/>
    <w:rsid w:val="00843417"/>
    <w:rsid w:val="00851999"/>
    <w:rsid w:val="008522F3"/>
    <w:rsid w:val="008525CF"/>
    <w:rsid w:val="00855DCA"/>
    <w:rsid w:val="008647C7"/>
    <w:rsid w:val="008649DA"/>
    <w:rsid w:val="008666B1"/>
    <w:rsid w:val="00867E74"/>
    <w:rsid w:val="00873175"/>
    <w:rsid w:val="00873C3D"/>
    <w:rsid w:val="00876A6B"/>
    <w:rsid w:val="00876BC7"/>
    <w:rsid w:val="008815C1"/>
    <w:rsid w:val="00883815"/>
    <w:rsid w:val="00884519"/>
    <w:rsid w:val="0088554C"/>
    <w:rsid w:val="008A02FF"/>
    <w:rsid w:val="008A1FF5"/>
    <w:rsid w:val="008A4052"/>
    <w:rsid w:val="008B13D8"/>
    <w:rsid w:val="008B685F"/>
    <w:rsid w:val="008C0A60"/>
    <w:rsid w:val="008C502A"/>
    <w:rsid w:val="008D1F00"/>
    <w:rsid w:val="008D4700"/>
    <w:rsid w:val="008F2722"/>
    <w:rsid w:val="008F38A7"/>
    <w:rsid w:val="008F6E02"/>
    <w:rsid w:val="00904355"/>
    <w:rsid w:val="00904893"/>
    <w:rsid w:val="009105FA"/>
    <w:rsid w:val="00911383"/>
    <w:rsid w:val="00912086"/>
    <w:rsid w:val="009126CB"/>
    <w:rsid w:val="00914A69"/>
    <w:rsid w:val="00921ACB"/>
    <w:rsid w:val="00931124"/>
    <w:rsid w:val="00931BEB"/>
    <w:rsid w:val="00931D15"/>
    <w:rsid w:val="009442C0"/>
    <w:rsid w:val="0095000B"/>
    <w:rsid w:val="00950795"/>
    <w:rsid w:val="00952DBF"/>
    <w:rsid w:val="00957C75"/>
    <w:rsid w:val="009608F3"/>
    <w:rsid w:val="00961951"/>
    <w:rsid w:val="0096225A"/>
    <w:rsid w:val="00967EB9"/>
    <w:rsid w:val="009806AB"/>
    <w:rsid w:val="009942B3"/>
    <w:rsid w:val="009C48F1"/>
    <w:rsid w:val="009C5A09"/>
    <w:rsid w:val="009C6922"/>
    <w:rsid w:val="009C749A"/>
    <w:rsid w:val="009D3F90"/>
    <w:rsid w:val="009E156D"/>
    <w:rsid w:val="009F146F"/>
    <w:rsid w:val="009F2D78"/>
    <w:rsid w:val="00A00AF9"/>
    <w:rsid w:val="00A00BAF"/>
    <w:rsid w:val="00A01ABA"/>
    <w:rsid w:val="00A04FB9"/>
    <w:rsid w:val="00A06ABF"/>
    <w:rsid w:val="00A07214"/>
    <w:rsid w:val="00A130E4"/>
    <w:rsid w:val="00A252AE"/>
    <w:rsid w:val="00A305BB"/>
    <w:rsid w:val="00A34AF0"/>
    <w:rsid w:val="00A40CCB"/>
    <w:rsid w:val="00A447F6"/>
    <w:rsid w:val="00A44A7D"/>
    <w:rsid w:val="00A45D6F"/>
    <w:rsid w:val="00A464DE"/>
    <w:rsid w:val="00A465E9"/>
    <w:rsid w:val="00A472D4"/>
    <w:rsid w:val="00A53DE2"/>
    <w:rsid w:val="00A54F46"/>
    <w:rsid w:val="00A60163"/>
    <w:rsid w:val="00A63DDB"/>
    <w:rsid w:val="00A6509C"/>
    <w:rsid w:val="00A836E6"/>
    <w:rsid w:val="00A97A44"/>
    <w:rsid w:val="00AB0603"/>
    <w:rsid w:val="00AB26E1"/>
    <w:rsid w:val="00AC4A8B"/>
    <w:rsid w:val="00AC5F5A"/>
    <w:rsid w:val="00AC5F90"/>
    <w:rsid w:val="00AC6D73"/>
    <w:rsid w:val="00AE33E7"/>
    <w:rsid w:val="00AE7548"/>
    <w:rsid w:val="00AF6BB1"/>
    <w:rsid w:val="00B00574"/>
    <w:rsid w:val="00B038AE"/>
    <w:rsid w:val="00B0759F"/>
    <w:rsid w:val="00B110D9"/>
    <w:rsid w:val="00B14F6D"/>
    <w:rsid w:val="00B17336"/>
    <w:rsid w:val="00B20981"/>
    <w:rsid w:val="00B21C8F"/>
    <w:rsid w:val="00B222B1"/>
    <w:rsid w:val="00B2254B"/>
    <w:rsid w:val="00B339D0"/>
    <w:rsid w:val="00B451C6"/>
    <w:rsid w:val="00B45E41"/>
    <w:rsid w:val="00B46744"/>
    <w:rsid w:val="00B54F2E"/>
    <w:rsid w:val="00B551DE"/>
    <w:rsid w:val="00B56CF4"/>
    <w:rsid w:val="00B634F6"/>
    <w:rsid w:val="00B638F5"/>
    <w:rsid w:val="00B6613C"/>
    <w:rsid w:val="00B67436"/>
    <w:rsid w:val="00B75660"/>
    <w:rsid w:val="00B8263B"/>
    <w:rsid w:val="00B85A5C"/>
    <w:rsid w:val="00B90E32"/>
    <w:rsid w:val="00B92B86"/>
    <w:rsid w:val="00B94601"/>
    <w:rsid w:val="00B94A75"/>
    <w:rsid w:val="00B9709E"/>
    <w:rsid w:val="00B97498"/>
    <w:rsid w:val="00BA6CE4"/>
    <w:rsid w:val="00BB187B"/>
    <w:rsid w:val="00BB471D"/>
    <w:rsid w:val="00BB493B"/>
    <w:rsid w:val="00BB549B"/>
    <w:rsid w:val="00BB5FCD"/>
    <w:rsid w:val="00BB6B44"/>
    <w:rsid w:val="00BD1A37"/>
    <w:rsid w:val="00BD2515"/>
    <w:rsid w:val="00BD3EFA"/>
    <w:rsid w:val="00BD6357"/>
    <w:rsid w:val="00BD6FDE"/>
    <w:rsid w:val="00BE2E8F"/>
    <w:rsid w:val="00BE7060"/>
    <w:rsid w:val="00BF1289"/>
    <w:rsid w:val="00BF1A75"/>
    <w:rsid w:val="00BF2A80"/>
    <w:rsid w:val="00BF62C1"/>
    <w:rsid w:val="00BF6879"/>
    <w:rsid w:val="00BF78CB"/>
    <w:rsid w:val="00C05AF6"/>
    <w:rsid w:val="00C0709E"/>
    <w:rsid w:val="00C0777F"/>
    <w:rsid w:val="00C07897"/>
    <w:rsid w:val="00C07B65"/>
    <w:rsid w:val="00C15011"/>
    <w:rsid w:val="00C17F6D"/>
    <w:rsid w:val="00C23F6D"/>
    <w:rsid w:val="00C25786"/>
    <w:rsid w:val="00C36652"/>
    <w:rsid w:val="00C544F7"/>
    <w:rsid w:val="00C62D6F"/>
    <w:rsid w:val="00C77593"/>
    <w:rsid w:val="00C82C5A"/>
    <w:rsid w:val="00C85E42"/>
    <w:rsid w:val="00C86A2C"/>
    <w:rsid w:val="00C95811"/>
    <w:rsid w:val="00CC4FDE"/>
    <w:rsid w:val="00CD1E65"/>
    <w:rsid w:val="00CE03BB"/>
    <w:rsid w:val="00CE5AFD"/>
    <w:rsid w:val="00CF1557"/>
    <w:rsid w:val="00D005D0"/>
    <w:rsid w:val="00D037F0"/>
    <w:rsid w:val="00D05624"/>
    <w:rsid w:val="00D11144"/>
    <w:rsid w:val="00D1592E"/>
    <w:rsid w:val="00D33668"/>
    <w:rsid w:val="00D51B41"/>
    <w:rsid w:val="00D52A26"/>
    <w:rsid w:val="00D5358C"/>
    <w:rsid w:val="00D6112B"/>
    <w:rsid w:val="00D7533F"/>
    <w:rsid w:val="00D81CD1"/>
    <w:rsid w:val="00D834B1"/>
    <w:rsid w:val="00D8684D"/>
    <w:rsid w:val="00DA6DAB"/>
    <w:rsid w:val="00DA74C9"/>
    <w:rsid w:val="00DB0795"/>
    <w:rsid w:val="00DB339C"/>
    <w:rsid w:val="00DC3683"/>
    <w:rsid w:val="00DC5C97"/>
    <w:rsid w:val="00DC7DAF"/>
    <w:rsid w:val="00DD3DF2"/>
    <w:rsid w:val="00DE058F"/>
    <w:rsid w:val="00DE0CDB"/>
    <w:rsid w:val="00DE1780"/>
    <w:rsid w:val="00DE191A"/>
    <w:rsid w:val="00DE3C7F"/>
    <w:rsid w:val="00DE5092"/>
    <w:rsid w:val="00DE5CB8"/>
    <w:rsid w:val="00DF0D59"/>
    <w:rsid w:val="00E075F0"/>
    <w:rsid w:val="00E07C7D"/>
    <w:rsid w:val="00E07E31"/>
    <w:rsid w:val="00E138DC"/>
    <w:rsid w:val="00E159C1"/>
    <w:rsid w:val="00E1649F"/>
    <w:rsid w:val="00E1796D"/>
    <w:rsid w:val="00E2292B"/>
    <w:rsid w:val="00E25BDE"/>
    <w:rsid w:val="00E26172"/>
    <w:rsid w:val="00E30231"/>
    <w:rsid w:val="00E328CA"/>
    <w:rsid w:val="00E41957"/>
    <w:rsid w:val="00E4376B"/>
    <w:rsid w:val="00E45E84"/>
    <w:rsid w:val="00E60097"/>
    <w:rsid w:val="00E60FD1"/>
    <w:rsid w:val="00E63D8A"/>
    <w:rsid w:val="00E65509"/>
    <w:rsid w:val="00E67340"/>
    <w:rsid w:val="00E72CA2"/>
    <w:rsid w:val="00E73887"/>
    <w:rsid w:val="00E76879"/>
    <w:rsid w:val="00E8031C"/>
    <w:rsid w:val="00E91773"/>
    <w:rsid w:val="00E93CF0"/>
    <w:rsid w:val="00E97BDC"/>
    <w:rsid w:val="00EA0B85"/>
    <w:rsid w:val="00EB417D"/>
    <w:rsid w:val="00EB6745"/>
    <w:rsid w:val="00EC6479"/>
    <w:rsid w:val="00ED15FB"/>
    <w:rsid w:val="00ED7AEF"/>
    <w:rsid w:val="00EF3AA9"/>
    <w:rsid w:val="00EF403B"/>
    <w:rsid w:val="00F105C8"/>
    <w:rsid w:val="00F106E2"/>
    <w:rsid w:val="00F10D06"/>
    <w:rsid w:val="00F13D00"/>
    <w:rsid w:val="00F17E50"/>
    <w:rsid w:val="00F204F5"/>
    <w:rsid w:val="00F27287"/>
    <w:rsid w:val="00F30A74"/>
    <w:rsid w:val="00F368F0"/>
    <w:rsid w:val="00F51360"/>
    <w:rsid w:val="00F55E76"/>
    <w:rsid w:val="00F56B4C"/>
    <w:rsid w:val="00F623C4"/>
    <w:rsid w:val="00F74113"/>
    <w:rsid w:val="00F91CDB"/>
    <w:rsid w:val="00F97E1E"/>
    <w:rsid w:val="00FA13E8"/>
    <w:rsid w:val="00FB2985"/>
    <w:rsid w:val="00FB5B3A"/>
    <w:rsid w:val="00FB62DE"/>
    <w:rsid w:val="00FC68D6"/>
    <w:rsid w:val="00FC74A1"/>
    <w:rsid w:val="00FC7740"/>
    <w:rsid w:val="00FD5ACE"/>
    <w:rsid w:val="00FE313D"/>
    <w:rsid w:val="00FE510D"/>
    <w:rsid w:val="00FE6CB9"/>
    <w:rsid w:val="00FE7919"/>
    <w:rsid w:val="00FE7E7C"/>
    <w:rsid w:val="00FF11AA"/>
    <w:rsid w:val="00FF5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allowincell="f"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Body Text" w:uiPriority="0"/>
    <w:lsdException w:name="Subtitle" w:locked="1" w:semiHidden="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22A9F"/>
    <w:pPr>
      <w:spacing w:after="200" w:line="276" w:lineRule="auto"/>
    </w:pPr>
  </w:style>
  <w:style w:type="paragraph" w:styleId="Heading1">
    <w:name w:val="heading 1"/>
    <w:basedOn w:val="Normal"/>
    <w:next w:val="Normal"/>
    <w:link w:val="Heading1Char"/>
    <w:uiPriority w:val="99"/>
    <w:qFormat/>
    <w:rsid w:val="00236348"/>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9"/>
    <w:qFormat/>
    <w:rsid w:val="00F106E2"/>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locked/>
    <w:rsid w:val="00DA74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DA74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DA74C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DA74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DA74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DA74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DA74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6348"/>
    <w:rPr>
      <w:rFonts w:ascii="Arial" w:hAnsi="Arial"/>
      <w:b/>
      <w:bCs/>
      <w:color w:val="365F91"/>
      <w:sz w:val="28"/>
      <w:szCs w:val="28"/>
    </w:rPr>
  </w:style>
  <w:style w:type="character" w:customStyle="1" w:styleId="Heading2Char">
    <w:name w:val="Heading 2 Char"/>
    <w:basedOn w:val="DefaultParagraphFont"/>
    <w:link w:val="Heading2"/>
    <w:uiPriority w:val="99"/>
    <w:locked/>
    <w:rsid w:val="00F106E2"/>
    <w:rPr>
      <w:rFonts w:ascii="Arial" w:hAnsi="Arial"/>
      <w:b/>
      <w:bCs/>
      <w:color w:val="4F81BD"/>
      <w:sz w:val="26"/>
      <w:szCs w:val="26"/>
    </w:rPr>
  </w:style>
  <w:style w:type="paragraph" w:styleId="Title">
    <w:name w:val="Title"/>
    <w:basedOn w:val="Normal"/>
    <w:next w:val="Normal"/>
    <w:link w:val="TitleChar"/>
    <w:uiPriority w:val="99"/>
    <w:qFormat/>
    <w:rsid w:val="00236348"/>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itleChar">
    <w:name w:val="Title Char"/>
    <w:basedOn w:val="DefaultParagraphFont"/>
    <w:link w:val="Title"/>
    <w:uiPriority w:val="99"/>
    <w:locked/>
    <w:rsid w:val="00236348"/>
    <w:rPr>
      <w:rFonts w:ascii="Arial" w:hAnsi="Arial" w:cs="Times New Roman"/>
      <w:color w:val="17365D"/>
      <w:spacing w:val="5"/>
      <w:kern w:val="28"/>
      <w:sz w:val="52"/>
      <w:szCs w:val="52"/>
    </w:rPr>
  </w:style>
  <w:style w:type="paragraph" w:styleId="Subtitle">
    <w:name w:val="Subtitle"/>
    <w:basedOn w:val="Normal"/>
    <w:next w:val="Normal"/>
    <w:link w:val="SubtitleChar"/>
    <w:uiPriority w:val="99"/>
    <w:qFormat/>
    <w:rsid w:val="00236348"/>
    <w:pPr>
      <w:numPr>
        <w:ilvl w:val="1"/>
      </w:numPr>
    </w:pPr>
    <w:rPr>
      <w:rFonts w:ascii="Arial" w:hAnsi="Arial"/>
      <w:i/>
      <w:iCs/>
      <w:color w:val="4F81BD"/>
      <w:spacing w:val="15"/>
      <w:sz w:val="24"/>
      <w:szCs w:val="24"/>
    </w:rPr>
  </w:style>
  <w:style w:type="character" w:customStyle="1" w:styleId="SubtitleChar">
    <w:name w:val="Subtitle Char"/>
    <w:basedOn w:val="DefaultParagraphFont"/>
    <w:link w:val="Subtitle"/>
    <w:uiPriority w:val="99"/>
    <w:locked/>
    <w:rsid w:val="00236348"/>
    <w:rPr>
      <w:rFonts w:ascii="Arial" w:hAnsi="Arial" w:cs="Times New Roman"/>
      <w:i/>
      <w:iCs/>
      <w:color w:val="4F81BD"/>
      <w:spacing w:val="15"/>
      <w:sz w:val="24"/>
      <w:szCs w:val="24"/>
    </w:rPr>
  </w:style>
  <w:style w:type="character" w:styleId="SubtleEmphasis">
    <w:name w:val="Subtle Emphasis"/>
    <w:basedOn w:val="DefaultParagraphFont"/>
    <w:uiPriority w:val="99"/>
    <w:qFormat/>
    <w:rsid w:val="00236348"/>
    <w:rPr>
      <w:rFonts w:cs="Times New Roman"/>
      <w:i/>
      <w:iCs/>
      <w:color w:val="808080"/>
    </w:rPr>
  </w:style>
  <w:style w:type="paragraph" w:styleId="Header">
    <w:name w:val="header"/>
    <w:basedOn w:val="Normal"/>
    <w:link w:val="HeaderChar"/>
    <w:uiPriority w:val="99"/>
    <w:semiHidden/>
    <w:rsid w:val="00592E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92E6C"/>
    <w:rPr>
      <w:rFonts w:cs="Times New Roman"/>
    </w:rPr>
  </w:style>
  <w:style w:type="paragraph" w:styleId="Footer">
    <w:name w:val="footer"/>
    <w:basedOn w:val="Normal"/>
    <w:link w:val="FooterChar"/>
    <w:uiPriority w:val="99"/>
    <w:rsid w:val="00592E6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2E6C"/>
    <w:rPr>
      <w:rFonts w:cs="Times New Roman"/>
    </w:rPr>
  </w:style>
  <w:style w:type="table" w:styleId="TableGrid">
    <w:name w:val="Table Grid"/>
    <w:basedOn w:val="TableNormal"/>
    <w:rsid w:val="00F106E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7">
    <w:name w:val="xl27"/>
    <w:basedOn w:val="Normal"/>
    <w:uiPriority w:val="99"/>
    <w:rsid w:val="00A252AE"/>
    <w:pPr>
      <w:spacing w:before="100" w:after="100" w:line="240" w:lineRule="auto"/>
    </w:pPr>
    <w:rPr>
      <w:rFonts w:ascii="Arial" w:hAnsi="Arial"/>
      <w:b/>
      <w:sz w:val="24"/>
      <w:szCs w:val="20"/>
    </w:rPr>
  </w:style>
  <w:style w:type="paragraph" w:styleId="BalloonText">
    <w:name w:val="Balloon Text"/>
    <w:basedOn w:val="Normal"/>
    <w:link w:val="BalloonTextChar"/>
    <w:uiPriority w:val="99"/>
    <w:semiHidden/>
    <w:rsid w:val="00F13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3D00"/>
    <w:rPr>
      <w:rFonts w:ascii="Tahoma" w:hAnsi="Tahoma" w:cs="Tahoma"/>
      <w:sz w:val="16"/>
      <w:szCs w:val="16"/>
    </w:rPr>
  </w:style>
  <w:style w:type="paragraph" w:styleId="TOCHeading">
    <w:name w:val="TOC Heading"/>
    <w:basedOn w:val="Heading1"/>
    <w:next w:val="Normal"/>
    <w:uiPriority w:val="99"/>
    <w:qFormat/>
    <w:rsid w:val="008F2722"/>
    <w:pPr>
      <w:outlineLvl w:val="9"/>
    </w:pPr>
  </w:style>
  <w:style w:type="paragraph" w:styleId="TOC1">
    <w:name w:val="toc 1"/>
    <w:basedOn w:val="Normal"/>
    <w:next w:val="Normal"/>
    <w:autoRedefine/>
    <w:uiPriority w:val="39"/>
    <w:rsid w:val="00264994"/>
    <w:pPr>
      <w:tabs>
        <w:tab w:val="left" w:pos="630"/>
        <w:tab w:val="right" w:leader="dot" w:pos="9350"/>
      </w:tabs>
      <w:spacing w:after="100"/>
    </w:pPr>
  </w:style>
  <w:style w:type="paragraph" w:styleId="TOC2">
    <w:name w:val="toc 2"/>
    <w:basedOn w:val="Normal"/>
    <w:next w:val="Normal"/>
    <w:autoRedefine/>
    <w:uiPriority w:val="39"/>
    <w:rsid w:val="008F2722"/>
    <w:pPr>
      <w:spacing w:after="100"/>
      <w:ind w:left="220"/>
    </w:pPr>
  </w:style>
  <w:style w:type="character" w:styleId="Hyperlink">
    <w:name w:val="Hyperlink"/>
    <w:basedOn w:val="DefaultParagraphFont"/>
    <w:uiPriority w:val="99"/>
    <w:rsid w:val="008F2722"/>
    <w:rPr>
      <w:rFonts w:cs="Times New Roman"/>
      <w:color w:val="0000FF"/>
      <w:u w:val="single"/>
    </w:rPr>
  </w:style>
  <w:style w:type="paragraph" w:styleId="NormalWeb">
    <w:name w:val="Normal (Web)"/>
    <w:basedOn w:val="Normal"/>
    <w:uiPriority w:val="99"/>
    <w:semiHidden/>
    <w:rsid w:val="0023247D"/>
    <w:pPr>
      <w:spacing w:before="100" w:beforeAutospacing="1" w:after="100" w:afterAutospacing="1" w:line="240" w:lineRule="auto"/>
    </w:pPr>
    <w:rPr>
      <w:sz w:val="24"/>
      <w:szCs w:val="24"/>
    </w:rPr>
  </w:style>
  <w:style w:type="paragraph" w:styleId="ListParagraph">
    <w:name w:val="List Paragraph"/>
    <w:basedOn w:val="Normal"/>
    <w:uiPriority w:val="34"/>
    <w:qFormat/>
    <w:rsid w:val="005058B1"/>
    <w:pPr>
      <w:ind w:left="720"/>
      <w:contextualSpacing/>
    </w:pPr>
  </w:style>
  <w:style w:type="paragraph" w:customStyle="1" w:styleId="margin0">
    <w:name w:val="margin0"/>
    <w:basedOn w:val="Normal"/>
    <w:uiPriority w:val="99"/>
    <w:rsid w:val="0069581B"/>
    <w:pPr>
      <w:spacing w:before="100" w:beforeAutospacing="1" w:after="100" w:afterAutospacing="1" w:line="240" w:lineRule="auto"/>
    </w:pPr>
    <w:rPr>
      <w:sz w:val="24"/>
      <w:szCs w:val="24"/>
    </w:rPr>
  </w:style>
  <w:style w:type="paragraph" w:styleId="NoSpacing">
    <w:name w:val="No Spacing"/>
    <w:link w:val="NoSpacingChar"/>
    <w:uiPriority w:val="99"/>
    <w:qFormat/>
    <w:rsid w:val="006D658F"/>
  </w:style>
  <w:style w:type="character" w:customStyle="1" w:styleId="NoSpacingChar">
    <w:name w:val="No Spacing Char"/>
    <w:basedOn w:val="DefaultParagraphFont"/>
    <w:link w:val="NoSpacing"/>
    <w:uiPriority w:val="99"/>
    <w:locked/>
    <w:rsid w:val="006D658F"/>
    <w:rPr>
      <w:rFonts w:cs="Times New Roman"/>
      <w:sz w:val="22"/>
      <w:szCs w:val="22"/>
      <w:lang w:val="en-US" w:eastAsia="en-US" w:bidi="ar-SA"/>
    </w:rPr>
  </w:style>
  <w:style w:type="character" w:styleId="CommentReference">
    <w:name w:val="annotation reference"/>
    <w:basedOn w:val="DefaultParagraphFont"/>
    <w:uiPriority w:val="99"/>
    <w:semiHidden/>
    <w:rsid w:val="00E73887"/>
    <w:rPr>
      <w:rFonts w:cs="Times New Roman"/>
      <w:sz w:val="16"/>
      <w:szCs w:val="16"/>
    </w:rPr>
  </w:style>
  <w:style w:type="paragraph" w:styleId="CommentText">
    <w:name w:val="annotation text"/>
    <w:basedOn w:val="Normal"/>
    <w:link w:val="CommentTextChar"/>
    <w:uiPriority w:val="99"/>
    <w:semiHidden/>
    <w:rsid w:val="00E73887"/>
    <w:rPr>
      <w:sz w:val="20"/>
      <w:szCs w:val="20"/>
    </w:rPr>
  </w:style>
  <w:style w:type="character" w:customStyle="1" w:styleId="CommentTextChar">
    <w:name w:val="Comment Text Char"/>
    <w:basedOn w:val="DefaultParagraphFont"/>
    <w:link w:val="CommentText"/>
    <w:uiPriority w:val="99"/>
    <w:semiHidden/>
    <w:locked/>
    <w:rsid w:val="000C404E"/>
    <w:rPr>
      <w:rFonts w:cs="Times New Roman"/>
      <w:sz w:val="20"/>
      <w:szCs w:val="20"/>
    </w:rPr>
  </w:style>
  <w:style w:type="paragraph" w:styleId="CommentSubject">
    <w:name w:val="annotation subject"/>
    <w:basedOn w:val="CommentText"/>
    <w:next w:val="CommentText"/>
    <w:link w:val="CommentSubjectChar"/>
    <w:uiPriority w:val="99"/>
    <w:semiHidden/>
    <w:rsid w:val="00E73887"/>
    <w:rPr>
      <w:b/>
      <w:bCs/>
    </w:rPr>
  </w:style>
  <w:style w:type="character" w:customStyle="1" w:styleId="CommentSubjectChar">
    <w:name w:val="Comment Subject Char"/>
    <w:basedOn w:val="CommentTextChar"/>
    <w:link w:val="CommentSubject"/>
    <w:uiPriority w:val="99"/>
    <w:semiHidden/>
    <w:locked/>
    <w:rsid w:val="000C404E"/>
    <w:rPr>
      <w:rFonts w:cs="Times New Roman"/>
      <w:b/>
      <w:bCs/>
      <w:sz w:val="20"/>
      <w:szCs w:val="20"/>
    </w:rPr>
  </w:style>
  <w:style w:type="character" w:styleId="FollowedHyperlink">
    <w:name w:val="FollowedHyperlink"/>
    <w:basedOn w:val="DefaultParagraphFont"/>
    <w:uiPriority w:val="99"/>
    <w:semiHidden/>
    <w:unhideWhenUsed/>
    <w:rsid w:val="00095A9A"/>
    <w:rPr>
      <w:color w:val="800080" w:themeColor="followedHyperlink"/>
      <w:u w:val="single"/>
    </w:rPr>
  </w:style>
  <w:style w:type="character" w:styleId="Strong">
    <w:name w:val="Strong"/>
    <w:basedOn w:val="DefaultParagraphFont"/>
    <w:uiPriority w:val="22"/>
    <w:qFormat/>
    <w:locked/>
    <w:rsid w:val="00DA74C9"/>
    <w:rPr>
      <w:b/>
      <w:bCs/>
    </w:rPr>
  </w:style>
  <w:style w:type="character" w:customStyle="1" w:styleId="Heading3Char">
    <w:name w:val="Heading 3 Char"/>
    <w:basedOn w:val="DefaultParagraphFont"/>
    <w:link w:val="Heading3"/>
    <w:semiHidden/>
    <w:rsid w:val="00DA74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DA74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DA74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DA74C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DA74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DA74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A74C9"/>
    <w:rPr>
      <w:rFonts w:asciiTheme="majorHAnsi" w:eastAsiaTheme="majorEastAsia" w:hAnsiTheme="majorHAnsi" w:cstheme="majorBidi"/>
      <w:i/>
      <w:iCs/>
      <w:color w:val="404040" w:themeColor="text1" w:themeTint="BF"/>
      <w:sz w:val="20"/>
      <w:szCs w:val="20"/>
    </w:rPr>
  </w:style>
  <w:style w:type="paragraph" w:customStyle="1" w:styleId="xl24">
    <w:name w:val="xl24"/>
    <w:basedOn w:val="Normal"/>
    <w:rsid w:val="00466421"/>
    <w:pPr>
      <w:spacing w:before="100" w:after="100" w:line="240" w:lineRule="auto"/>
    </w:pPr>
    <w:rPr>
      <w:rFonts w:eastAsia="Arial Unicode MS"/>
      <w:sz w:val="24"/>
      <w:szCs w:val="20"/>
      <w:u w:val="single"/>
    </w:rPr>
  </w:style>
  <w:style w:type="character" w:customStyle="1" w:styleId="BodyTextChar">
    <w:name w:val="Body Text Char"/>
    <w:basedOn w:val="DefaultParagraphFont"/>
    <w:link w:val="BodyText"/>
    <w:rsid w:val="00227086"/>
    <w:rPr>
      <w:rFonts w:ascii="Tahoma" w:hAnsi="Tahoma"/>
      <w:spacing w:val="10"/>
      <w:sz w:val="17"/>
    </w:rPr>
  </w:style>
  <w:style w:type="paragraph" w:styleId="BodyText">
    <w:name w:val="Body Text"/>
    <w:basedOn w:val="Normal"/>
    <w:link w:val="BodyTextChar"/>
    <w:rsid w:val="00227086"/>
    <w:pPr>
      <w:spacing w:line="240" w:lineRule="exact"/>
    </w:pPr>
    <w:rPr>
      <w:rFonts w:ascii="Tahoma" w:hAnsi="Tahoma"/>
      <w:spacing w:val="10"/>
      <w:sz w:val="17"/>
    </w:rPr>
  </w:style>
  <w:style w:type="character" w:customStyle="1" w:styleId="BodyTextChar1">
    <w:name w:val="Body Text Char1"/>
    <w:basedOn w:val="DefaultParagraphFont"/>
    <w:uiPriority w:val="99"/>
    <w:semiHidden/>
    <w:rsid w:val="00227086"/>
  </w:style>
  <w:style w:type="character" w:customStyle="1" w:styleId="s">
    <w:name w:val="s"/>
    <w:basedOn w:val="DefaultParagraphFont"/>
    <w:rsid w:val="009E156D"/>
  </w:style>
  <w:style w:type="paragraph" w:customStyle="1" w:styleId="xl19">
    <w:name w:val="xl19"/>
    <w:basedOn w:val="Normal"/>
    <w:rsid w:val="00044A0C"/>
    <w:pPr>
      <w:spacing w:before="100" w:after="100" w:line="240" w:lineRule="auto"/>
    </w:pPr>
    <w:rPr>
      <w:rFonts w:eastAsia="Arial Unicode MS"/>
      <w:sz w:val="24"/>
      <w:szCs w:val="20"/>
    </w:rPr>
  </w:style>
  <w:style w:type="character" w:styleId="Emphasis">
    <w:name w:val="Emphasis"/>
    <w:basedOn w:val="DefaultParagraphFont"/>
    <w:uiPriority w:val="20"/>
    <w:qFormat/>
    <w:locked/>
    <w:rsid w:val="007D0E4A"/>
    <w:rPr>
      <w:i/>
      <w:iCs/>
    </w:rPr>
  </w:style>
  <w:style w:type="paragraph" w:styleId="Revision">
    <w:name w:val="Revision"/>
    <w:hidden/>
    <w:uiPriority w:val="99"/>
    <w:semiHidden/>
    <w:rsid w:val="00553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Body Text" w:uiPriority="0"/>
    <w:lsdException w:name="Subtitle" w:locked="1" w:semiHidden="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22A9F"/>
    <w:pPr>
      <w:spacing w:after="200" w:line="276" w:lineRule="auto"/>
    </w:pPr>
  </w:style>
  <w:style w:type="paragraph" w:styleId="Heading1">
    <w:name w:val="heading 1"/>
    <w:basedOn w:val="Normal"/>
    <w:next w:val="Normal"/>
    <w:link w:val="Heading1Char"/>
    <w:uiPriority w:val="99"/>
    <w:qFormat/>
    <w:rsid w:val="00236348"/>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9"/>
    <w:qFormat/>
    <w:rsid w:val="00F106E2"/>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locked/>
    <w:rsid w:val="00DA74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DA74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DA74C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DA74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DA74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DA74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DA74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6348"/>
    <w:rPr>
      <w:rFonts w:ascii="Arial" w:hAnsi="Arial"/>
      <w:b/>
      <w:bCs/>
      <w:color w:val="365F91"/>
      <w:sz w:val="28"/>
      <w:szCs w:val="28"/>
    </w:rPr>
  </w:style>
  <w:style w:type="character" w:customStyle="1" w:styleId="Heading2Char">
    <w:name w:val="Heading 2 Char"/>
    <w:basedOn w:val="DefaultParagraphFont"/>
    <w:link w:val="Heading2"/>
    <w:uiPriority w:val="99"/>
    <w:locked/>
    <w:rsid w:val="00F106E2"/>
    <w:rPr>
      <w:rFonts w:ascii="Arial" w:hAnsi="Arial"/>
      <w:b/>
      <w:bCs/>
      <w:color w:val="4F81BD"/>
      <w:sz w:val="26"/>
      <w:szCs w:val="26"/>
    </w:rPr>
  </w:style>
  <w:style w:type="paragraph" w:styleId="Title">
    <w:name w:val="Title"/>
    <w:basedOn w:val="Normal"/>
    <w:next w:val="Normal"/>
    <w:link w:val="TitleChar"/>
    <w:uiPriority w:val="99"/>
    <w:qFormat/>
    <w:rsid w:val="00236348"/>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itleChar">
    <w:name w:val="Title Char"/>
    <w:basedOn w:val="DefaultParagraphFont"/>
    <w:link w:val="Title"/>
    <w:uiPriority w:val="99"/>
    <w:locked/>
    <w:rsid w:val="00236348"/>
    <w:rPr>
      <w:rFonts w:ascii="Arial" w:hAnsi="Arial" w:cs="Times New Roman"/>
      <w:color w:val="17365D"/>
      <w:spacing w:val="5"/>
      <w:kern w:val="28"/>
      <w:sz w:val="52"/>
      <w:szCs w:val="52"/>
    </w:rPr>
  </w:style>
  <w:style w:type="paragraph" w:styleId="Subtitle">
    <w:name w:val="Subtitle"/>
    <w:basedOn w:val="Normal"/>
    <w:next w:val="Normal"/>
    <w:link w:val="SubtitleChar"/>
    <w:uiPriority w:val="99"/>
    <w:qFormat/>
    <w:rsid w:val="00236348"/>
    <w:pPr>
      <w:numPr>
        <w:ilvl w:val="1"/>
      </w:numPr>
    </w:pPr>
    <w:rPr>
      <w:rFonts w:ascii="Arial" w:hAnsi="Arial"/>
      <w:i/>
      <w:iCs/>
      <w:color w:val="4F81BD"/>
      <w:spacing w:val="15"/>
      <w:sz w:val="24"/>
      <w:szCs w:val="24"/>
    </w:rPr>
  </w:style>
  <w:style w:type="character" w:customStyle="1" w:styleId="SubtitleChar">
    <w:name w:val="Subtitle Char"/>
    <w:basedOn w:val="DefaultParagraphFont"/>
    <w:link w:val="Subtitle"/>
    <w:uiPriority w:val="99"/>
    <w:locked/>
    <w:rsid w:val="00236348"/>
    <w:rPr>
      <w:rFonts w:ascii="Arial" w:hAnsi="Arial" w:cs="Times New Roman"/>
      <w:i/>
      <w:iCs/>
      <w:color w:val="4F81BD"/>
      <w:spacing w:val="15"/>
      <w:sz w:val="24"/>
      <w:szCs w:val="24"/>
    </w:rPr>
  </w:style>
  <w:style w:type="character" w:styleId="SubtleEmphasis">
    <w:name w:val="Subtle Emphasis"/>
    <w:basedOn w:val="DefaultParagraphFont"/>
    <w:uiPriority w:val="99"/>
    <w:qFormat/>
    <w:rsid w:val="00236348"/>
    <w:rPr>
      <w:rFonts w:cs="Times New Roman"/>
      <w:i/>
      <w:iCs/>
      <w:color w:val="808080"/>
    </w:rPr>
  </w:style>
  <w:style w:type="paragraph" w:styleId="Header">
    <w:name w:val="header"/>
    <w:basedOn w:val="Normal"/>
    <w:link w:val="HeaderChar"/>
    <w:uiPriority w:val="99"/>
    <w:semiHidden/>
    <w:rsid w:val="00592E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92E6C"/>
    <w:rPr>
      <w:rFonts w:cs="Times New Roman"/>
    </w:rPr>
  </w:style>
  <w:style w:type="paragraph" w:styleId="Footer">
    <w:name w:val="footer"/>
    <w:basedOn w:val="Normal"/>
    <w:link w:val="FooterChar"/>
    <w:uiPriority w:val="99"/>
    <w:rsid w:val="00592E6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2E6C"/>
    <w:rPr>
      <w:rFonts w:cs="Times New Roman"/>
    </w:rPr>
  </w:style>
  <w:style w:type="table" w:styleId="TableGrid">
    <w:name w:val="Table Grid"/>
    <w:basedOn w:val="TableNormal"/>
    <w:rsid w:val="00F106E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7">
    <w:name w:val="xl27"/>
    <w:basedOn w:val="Normal"/>
    <w:uiPriority w:val="99"/>
    <w:rsid w:val="00A252AE"/>
    <w:pPr>
      <w:spacing w:before="100" w:after="100" w:line="240" w:lineRule="auto"/>
    </w:pPr>
    <w:rPr>
      <w:rFonts w:ascii="Arial" w:hAnsi="Arial"/>
      <w:b/>
      <w:sz w:val="24"/>
      <w:szCs w:val="20"/>
    </w:rPr>
  </w:style>
  <w:style w:type="paragraph" w:styleId="BalloonText">
    <w:name w:val="Balloon Text"/>
    <w:basedOn w:val="Normal"/>
    <w:link w:val="BalloonTextChar"/>
    <w:uiPriority w:val="99"/>
    <w:semiHidden/>
    <w:rsid w:val="00F13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3D00"/>
    <w:rPr>
      <w:rFonts w:ascii="Tahoma" w:hAnsi="Tahoma" w:cs="Tahoma"/>
      <w:sz w:val="16"/>
      <w:szCs w:val="16"/>
    </w:rPr>
  </w:style>
  <w:style w:type="paragraph" w:styleId="TOCHeading">
    <w:name w:val="TOC Heading"/>
    <w:basedOn w:val="Heading1"/>
    <w:next w:val="Normal"/>
    <w:uiPriority w:val="99"/>
    <w:qFormat/>
    <w:rsid w:val="008F2722"/>
    <w:pPr>
      <w:outlineLvl w:val="9"/>
    </w:pPr>
  </w:style>
  <w:style w:type="paragraph" w:styleId="TOC1">
    <w:name w:val="toc 1"/>
    <w:basedOn w:val="Normal"/>
    <w:next w:val="Normal"/>
    <w:autoRedefine/>
    <w:uiPriority w:val="39"/>
    <w:rsid w:val="00264994"/>
    <w:pPr>
      <w:tabs>
        <w:tab w:val="left" w:pos="630"/>
        <w:tab w:val="right" w:leader="dot" w:pos="9350"/>
      </w:tabs>
      <w:spacing w:after="100"/>
    </w:pPr>
  </w:style>
  <w:style w:type="paragraph" w:styleId="TOC2">
    <w:name w:val="toc 2"/>
    <w:basedOn w:val="Normal"/>
    <w:next w:val="Normal"/>
    <w:autoRedefine/>
    <w:uiPriority w:val="39"/>
    <w:rsid w:val="008F2722"/>
    <w:pPr>
      <w:spacing w:after="100"/>
      <w:ind w:left="220"/>
    </w:pPr>
  </w:style>
  <w:style w:type="character" w:styleId="Hyperlink">
    <w:name w:val="Hyperlink"/>
    <w:basedOn w:val="DefaultParagraphFont"/>
    <w:uiPriority w:val="99"/>
    <w:rsid w:val="008F2722"/>
    <w:rPr>
      <w:rFonts w:cs="Times New Roman"/>
      <w:color w:val="0000FF"/>
      <w:u w:val="single"/>
    </w:rPr>
  </w:style>
  <w:style w:type="paragraph" w:styleId="NormalWeb">
    <w:name w:val="Normal (Web)"/>
    <w:basedOn w:val="Normal"/>
    <w:uiPriority w:val="99"/>
    <w:semiHidden/>
    <w:rsid w:val="0023247D"/>
    <w:pPr>
      <w:spacing w:before="100" w:beforeAutospacing="1" w:after="100" w:afterAutospacing="1" w:line="240" w:lineRule="auto"/>
    </w:pPr>
    <w:rPr>
      <w:sz w:val="24"/>
      <w:szCs w:val="24"/>
    </w:rPr>
  </w:style>
  <w:style w:type="paragraph" w:styleId="ListParagraph">
    <w:name w:val="List Paragraph"/>
    <w:basedOn w:val="Normal"/>
    <w:uiPriority w:val="34"/>
    <w:qFormat/>
    <w:rsid w:val="005058B1"/>
    <w:pPr>
      <w:ind w:left="720"/>
      <w:contextualSpacing/>
    </w:pPr>
  </w:style>
  <w:style w:type="paragraph" w:customStyle="1" w:styleId="margin0">
    <w:name w:val="margin0"/>
    <w:basedOn w:val="Normal"/>
    <w:uiPriority w:val="99"/>
    <w:rsid w:val="0069581B"/>
    <w:pPr>
      <w:spacing w:before="100" w:beforeAutospacing="1" w:after="100" w:afterAutospacing="1" w:line="240" w:lineRule="auto"/>
    </w:pPr>
    <w:rPr>
      <w:sz w:val="24"/>
      <w:szCs w:val="24"/>
    </w:rPr>
  </w:style>
  <w:style w:type="paragraph" w:styleId="NoSpacing">
    <w:name w:val="No Spacing"/>
    <w:link w:val="NoSpacingChar"/>
    <w:uiPriority w:val="99"/>
    <w:qFormat/>
    <w:rsid w:val="006D658F"/>
  </w:style>
  <w:style w:type="character" w:customStyle="1" w:styleId="NoSpacingChar">
    <w:name w:val="No Spacing Char"/>
    <w:basedOn w:val="DefaultParagraphFont"/>
    <w:link w:val="NoSpacing"/>
    <w:uiPriority w:val="99"/>
    <w:locked/>
    <w:rsid w:val="006D658F"/>
    <w:rPr>
      <w:rFonts w:cs="Times New Roman"/>
      <w:sz w:val="22"/>
      <w:szCs w:val="22"/>
      <w:lang w:val="en-US" w:eastAsia="en-US" w:bidi="ar-SA"/>
    </w:rPr>
  </w:style>
  <w:style w:type="character" w:styleId="CommentReference">
    <w:name w:val="annotation reference"/>
    <w:basedOn w:val="DefaultParagraphFont"/>
    <w:uiPriority w:val="99"/>
    <w:semiHidden/>
    <w:rsid w:val="00E73887"/>
    <w:rPr>
      <w:rFonts w:cs="Times New Roman"/>
      <w:sz w:val="16"/>
      <w:szCs w:val="16"/>
    </w:rPr>
  </w:style>
  <w:style w:type="paragraph" w:styleId="CommentText">
    <w:name w:val="annotation text"/>
    <w:basedOn w:val="Normal"/>
    <w:link w:val="CommentTextChar"/>
    <w:uiPriority w:val="99"/>
    <w:semiHidden/>
    <w:rsid w:val="00E73887"/>
    <w:rPr>
      <w:sz w:val="20"/>
      <w:szCs w:val="20"/>
    </w:rPr>
  </w:style>
  <w:style w:type="character" w:customStyle="1" w:styleId="CommentTextChar">
    <w:name w:val="Comment Text Char"/>
    <w:basedOn w:val="DefaultParagraphFont"/>
    <w:link w:val="CommentText"/>
    <w:uiPriority w:val="99"/>
    <w:semiHidden/>
    <w:locked/>
    <w:rsid w:val="000C404E"/>
    <w:rPr>
      <w:rFonts w:cs="Times New Roman"/>
      <w:sz w:val="20"/>
      <w:szCs w:val="20"/>
    </w:rPr>
  </w:style>
  <w:style w:type="paragraph" w:styleId="CommentSubject">
    <w:name w:val="annotation subject"/>
    <w:basedOn w:val="CommentText"/>
    <w:next w:val="CommentText"/>
    <w:link w:val="CommentSubjectChar"/>
    <w:uiPriority w:val="99"/>
    <w:semiHidden/>
    <w:rsid w:val="00E73887"/>
    <w:rPr>
      <w:b/>
      <w:bCs/>
    </w:rPr>
  </w:style>
  <w:style w:type="character" w:customStyle="1" w:styleId="CommentSubjectChar">
    <w:name w:val="Comment Subject Char"/>
    <w:basedOn w:val="CommentTextChar"/>
    <w:link w:val="CommentSubject"/>
    <w:uiPriority w:val="99"/>
    <w:semiHidden/>
    <w:locked/>
    <w:rsid w:val="000C404E"/>
    <w:rPr>
      <w:rFonts w:cs="Times New Roman"/>
      <w:b/>
      <w:bCs/>
      <w:sz w:val="20"/>
      <w:szCs w:val="20"/>
    </w:rPr>
  </w:style>
  <w:style w:type="character" w:styleId="FollowedHyperlink">
    <w:name w:val="FollowedHyperlink"/>
    <w:basedOn w:val="DefaultParagraphFont"/>
    <w:uiPriority w:val="99"/>
    <w:semiHidden/>
    <w:unhideWhenUsed/>
    <w:rsid w:val="00095A9A"/>
    <w:rPr>
      <w:color w:val="800080" w:themeColor="followedHyperlink"/>
      <w:u w:val="single"/>
    </w:rPr>
  </w:style>
  <w:style w:type="character" w:styleId="Strong">
    <w:name w:val="Strong"/>
    <w:basedOn w:val="DefaultParagraphFont"/>
    <w:uiPriority w:val="22"/>
    <w:qFormat/>
    <w:locked/>
    <w:rsid w:val="00DA74C9"/>
    <w:rPr>
      <w:b/>
      <w:bCs/>
    </w:rPr>
  </w:style>
  <w:style w:type="character" w:customStyle="1" w:styleId="Heading3Char">
    <w:name w:val="Heading 3 Char"/>
    <w:basedOn w:val="DefaultParagraphFont"/>
    <w:link w:val="Heading3"/>
    <w:semiHidden/>
    <w:rsid w:val="00DA74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DA74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DA74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DA74C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DA74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DA74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A74C9"/>
    <w:rPr>
      <w:rFonts w:asciiTheme="majorHAnsi" w:eastAsiaTheme="majorEastAsia" w:hAnsiTheme="majorHAnsi" w:cstheme="majorBidi"/>
      <w:i/>
      <w:iCs/>
      <w:color w:val="404040" w:themeColor="text1" w:themeTint="BF"/>
      <w:sz w:val="20"/>
      <w:szCs w:val="20"/>
    </w:rPr>
  </w:style>
  <w:style w:type="paragraph" w:customStyle="1" w:styleId="xl24">
    <w:name w:val="xl24"/>
    <w:basedOn w:val="Normal"/>
    <w:rsid w:val="00466421"/>
    <w:pPr>
      <w:spacing w:before="100" w:after="100" w:line="240" w:lineRule="auto"/>
    </w:pPr>
    <w:rPr>
      <w:rFonts w:eastAsia="Arial Unicode MS"/>
      <w:sz w:val="24"/>
      <w:szCs w:val="20"/>
      <w:u w:val="single"/>
    </w:rPr>
  </w:style>
  <w:style w:type="character" w:customStyle="1" w:styleId="BodyTextChar">
    <w:name w:val="Body Text Char"/>
    <w:basedOn w:val="DefaultParagraphFont"/>
    <w:link w:val="BodyText"/>
    <w:rsid w:val="00227086"/>
    <w:rPr>
      <w:rFonts w:ascii="Tahoma" w:hAnsi="Tahoma"/>
      <w:spacing w:val="10"/>
      <w:sz w:val="17"/>
    </w:rPr>
  </w:style>
  <w:style w:type="paragraph" w:styleId="BodyText">
    <w:name w:val="Body Text"/>
    <w:basedOn w:val="Normal"/>
    <w:link w:val="BodyTextChar"/>
    <w:rsid w:val="00227086"/>
    <w:pPr>
      <w:spacing w:line="240" w:lineRule="exact"/>
    </w:pPr>
    <w:rPr>
      <w:rFonts w:ascii="Tahoma" w:hAnsi="Tahoma"/>
      <w:spacing w:val="10"/>
      <w:sz w:val="17"/>
    </w:rPr>
  </w:style>
  <w:style w:type="character" w:customStyle="1" w:styleId="BodyTextChar1">
    <w:name w:val="Body Text Char1"/>
    <w:basedOn w:val="DefaultParagraphFont"/>
    <w:uiPriority w:val="99"/>
    <w:semiHidden/>
    <w:rsid w:val="00227086"/>
  </w:style>
  <w:style w:type="character" w:customStyle="1" w:styleId="s">
    <w:name w:val="s"/>
    <w:basedOn w:val="DefaultParagraphFont"/>
    <w:rsid w:val="009E156D"/>
  </w:style>
  <w:style w:type="paragraph" w:customStyle="1" w:styleId="xl19">
    <w:name w:val="xl19"/>
    <w:basedOn w:val="Normal"/>
    <w:rsid w:val="00044A0C"/>
    <w:pPr>
      <w:spacing w:before="100" w:after="100" w:line="240" w:lineRule="auto"/>
    </w:pPr>
    <w:rPr>
      <w:rFonts w:eastAsia="Arial Unicode MS"/>
      <w:sz w:val="24"/>
      <w:szCs w:val="20"/>
    </w:rPr>
  </w:style>
  <w:style w:type="character" w:styleId="Emphasis">
    <w:name w:val="Emphasis"/>
    <w:basedOn w:val="DefaultParagraphFont"/>
    <w:uiPriority w:val="20"/>
    <w:qFormat/>
    <w:locked/>
    <w:rsid w:val="007D0E4A"/>
    <w:rPr>
      <w:i/>
      <w:iCs/>
    </w:rPr>
  </w:style>
  <w:style w:type="paragraph" w:styleId="Revision">
    <w:name w:val="Revision"/>
    <w:hidden/>
    <w:uiPriority w:val="99"/>
    <w:semiHidden/>
    <w:rsid w:val="0055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4056">
      <w:bodyDiv w:val="1"/>
      <w:marLeft w:val="0"/>
      <w:marRight w:val="0"/>
      <w:marTop w:val="0"/>
      <w:marBottom w:val="0"/>
      <w:divBdr>
        <w:top w:val="none" w:sz="0" w:space="0" w:color="auto"/>
        <w:left w:val="none" w:sz="0" w:space="0" w:color="auto"/>
        <w:bottom w:val="none" w:sz="0" w:space="0" w:color="auto"/>
        <w:right w:val="none" w:sz="0" w:space="0" w:color="auto"/>
      </w:divBdr>
    </w:div>
    <w:div w:id="284164445">
      <w:bodyDiv w:val="1"/>
      <w:marLeft w:val="0"/>
      <w:marRight w:val="0"/>
      <w:marTop w:val="0"/>
      <w:marBottom w:val="0"/>
      <w:divBdr>
        <w:top w:val="none" w:sz="0" w:space="0" w:color="auto"/>
        <w:left w:val="none" w:sz="0" w:space="0" w:color="auto"/>
        <w:bottom w:val="none" w:sz="0" w:space="0" w:color="auto"/>
        <w:right w:val="none" w:sz="0" w:space="0" w:color="auto"/>
      </w:divBdr>
    </w:div>
    <w:div w:id="362825280">
      <w:bodyDiv w:val="1"/>
      <w:marLeft w:val="0"/>
      <w:marRight w:val="0"/>
      <w:marTop w:val="0"/>
      <w:marBottom w:val="0"/>
      <w:divBdr>
        <w:top w:val="none" w:sz="0" w:space="0" w:color="auto"/>
        <w:left w:val="none" w:sz="0" w:space="0" w:color="auto"/>
        <w:bottom w:val="none" w:sz="0" w:space="0" w:color="auto"/>
        <w:right w:val="none" w:sz="0" w:space="0" w:color="auto"/>
      </w:divBdr>
    </w:div>
    <w:div w:id="518467356">
      <w:bodyDiv w:val="1"/>
      <w:marLeft w:val="0"/>
      <w:marRight w:val="0"/>
      <w:marTop w:val="0"/>
      <w:marBottom w:val="0"/>
      <w:divBdr>
        <w:top w:val="none" w:sz="0" w:space="0" w:color="auto"/>
        <w:left w:val="none" w:sz="0" w:space="0" w:color="auto"/>
        <w:bottom w:val="none" w:sz="0" w:space="0" w:color="auto"/>
        <w:right w:val="none" w:sz="0" w:space="0" w:color="auto"/>
      </w:divBdr>
    </w:div>
    <w:div w:id="1052077032">
      <w:bodyDiv w:val="1"/>
      <w:marLeft w:val="0"/>
      <w:marRight w:val="0"/>
      <w:marTop w:val="0"/>
      <w:marBottom w:val="0"/>
      <w:divBdr>
        <w:top w:val="none" w:sz="0" w:space="0" w:color="auto"/>
        <w:left w:val="none" w:sz="0" w:space="0" w:color="auto"/>
        <w:bottom w:val="none" w:sz="0" w:space="0" w:color="auto"/>
        <w:right w:val="none" w:sz="0" w:space="0" w:color="auto"/>
      </w:divBdr>
    </w:div>
    <w:div w:id="1128932448">
      <w:bodyDiv w:val="1"/>
      <w:marLeft w:val="0"/>
      <w:marRight w:val="0"/>
      <w:marTop w:val="0"/>
      <w:marBottom w:val="0"/>
      <w:divBdr>
        <w:top w:val="none" w:sz="0" w:space="0" w:color="auto"/>
        <w:left w:val="none" w:sz="0" w:space="0" w:color="auto"/>
        <w:bottom w:val="none" w:sz="0" w:space="0" w:color="auto"/>
        <w:right w:val="none" w:sz="0" w:space="0" w:color="auto"/>
      </w:divBdr>
    </w:div>
    <w:div w:id="1226379328">
      <w:marLeft w:val="0"/>
      <w:marRight w:val="0"/>
      <w:marTop w:val="0"/>
      <w:marBottom w:val="0"/>
      <w:divBdr>
        <w:top w:val="none" w:sz="0" w:space="0" w:color="auto"/>
        <w:left w:val="none" w:sz="0" w:space="0" w:color="auto"/>
        <w:bottom w:val="none" w:sz="0" w:space="0" w:color="auto"/>
        <w:right w:val="none" w:sz="0" w:space="0" w:color="auto"/>
      </w:divBdr>
    </w:div>
    <w:div w:id="1226379329">
      <w:marLeft w:val="0"/>
      <w:marRight w:val="0"/>
      <w:marTop w:val="0"/>
      <w:marBottom w:val="0"/>
      <w:divBdr>
        <w:top w:val="none" w:sz="0" w:space="0" w:color="auto"/>
        <w:left w:val="none" w:sz="0" w:space="0" w:color="auto"/>
        <w:bottom w:val="none" w:sz="0" w:space="0" w:color="auto"/>
        <w:right w:val="none" w:sz="0" w:space="0" w:color="auto"/>
      </w:divBdr>
    </w:div>
    <w:div w:id="1684282413">
      <w:bodyDiv w:val="1"/>
      <w:marLeft w:val="0"/>
      <w:marRight w:val="0"/>
      <w:marTop w:val="0"/>
      <w:marBottom w:val="0"/>
      <w:divBdr>
        <w:top w:val="none" w:sz="0" w:space="0" w:color="auto"/>
        <w:left w:val="none" w:sz="0" w:space="0" w:color="auto"/>
        <w:bottom w:val="none" w:sz="0" w:space="0" w:color="auto"/>
        <w:right w:val="none" w:sz="0" w:space="0" w:color="auto"/>
      </w:divBdr>
    </w:div>
    <w:div w:id="1704548477">
      <w:bodyDiv w:val="1"/>
      <w:marLeft w:val="0"/>
      <w:marRight w:val="0"/>
      <w:marTop w:val="0"/>
      <w:marBottom w:val="0"/>
      <w:divBdr>
        <w:top w:val="none" w:sz="0" w:space="0" w:color="auto"/>
        <w:left w:val="none" w:sz="0" w:space="0" w:color="auto"/>
        <w:bottom w:val="none" w:sz="0" w:space="0" w:color="auto"/>
        <w:right w:val="none" w:sz="0" w:space="0" w:color="auto"/>
      </w:divBdr>
    </w:div>
    <w:div w:id="1807162809">
      <w:bodyDiv w:val="1"/>
      <w:marLeft w:val="0"/>
      <w:marRight w:val="0"/>
      <w:marTop w:val="0"/>
      <w:marBottom w:val="0"/>
      <w:divBdr>
        <w:top w:val="none" w:sz="0" w:space="0" w:color="auto"/>
        <w:left w:val="none" w:sz="0" w:space="0" w:color="auto"/>
        <w:bottom w:val="none" w:sz="0" w:space="0" w:color="auto"/>
        <w:right w:val="none" w:sz="0" w:space="0" w:color="auto"/>
      </w:divBdr>
    </w:div>
    <w:div w:id="1816603805">
      <w:bodyDiv w:val="1"/>
      <w:marLeft w:val="0"/>
      <w:marRight w:val="0"/>
      <w:marTop w:val="0"/>
      <w:marBottom w:val="0"/>
      <w:divBdr>
        <w:top w:val="none" w:sz="0" w:space="0" w:color="auto"/>
        <w:left w:val="none" w:sz="0" w:space="0" w:color="auto"/>
        <w:bottom w:val="none" w:sz="0" w:space="0" w:color="auto"/>
        <w:right w:val="none" w:sz="0" w:space="0" w:color="auto"/>
      </w:divBdr>
    </w:div>
    <w:div w:id="1917125258">
      <w:bodyDiv w:val="1"/>
      <w:marLeft w:val="0"/>
      <w:marRight w:val="0"/>
      <w:marTop w:val="0"/>
      <w:marBottom w:val="0"/>
      <w:divBdr>
        <w:top w:val="none" w:sz="0" w:space="0" w:color="auto"/>
        <w:left w:val="none" w:sz="0" w:space="0" w:color="auto"/>
        <w:bottom w:val="none" w:sz="0" w:space="0" w:color="auto"/>
        <w:right w:val="none" w:sz="0" w:space="0" w:color="auto"/>
      </w:divBdr>
    </w:div>
    <w:div w:id="20737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2D7A1-D58E-4DA6-B41D-2DD22FB9CE58}">
  <ds:schemaRefs>
    <ds:schemaRef ds:uri="http://schemas.openxmlformats.org/officeDocument/2006/bibliography"/>
  </ds:schemaRefs>
</ds:datastoreItem>
</file>

<file path=customXml/itemProps2.xml><?xml version="1.0" encoding="utf-8"?>
<ds:datastoreItem xmlns:ds="http://schemas.openxmlformats.org/officeDocument/2006/customXml" ds:itemID="{88CECE3C-89F4-467A-A2FE-47CAD1827819}">
  <ds:schemaRefs>
    <ds:schemaRef ds:uri="http://schemas.openxmlformats.org/officeDocument/2006/bibliography"/>
  </ds:schemaRefs>
</ds:datastoreItem>
</file>

<file path=customXml/itemProps3.xml><?xml version="1.0" encoding="utf-8"?>
<ds:datastoreItem xmlns:ds="http://schemas.openxmlformats.org/officeDocument/2006/customXml" ds:itemID="{463BADC8-9C0C-46DD-B651-9E5AFED5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20</Pages>
  <Words>4370</Words>
  <Characters>26998</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FY 2011 Performance Budget</vt:lpstr>
    </vt:vector>
  </TitlesOfParts>
  <Company>National Drug Intelligence Center</Company>
  <LinksUpToDate>false</LinksUpToDate>
  <CharactersWithSpaces>31306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2011 Performance Budget</dc:title>
  <dc:subject>Congressional Budget Submission</dc:subject>
  <dc:creator>Hall, Tracy</dc:creator>
  <cp:lastModifiedBy>hall_tl</cp:lastModifiedBy>
  <cp:revision>4</cp:revision>
  <cp:lastPrinted>2011-02-08T19:36:00Z</cp:lastPrinted>
  <dcterms:created xsi:type="dcterms:W3CDTF">2011-02-08T19:03:00Z</dcterms:created>
  <dcterms:modified xsi:type="dcterms:W3CDTF">2011-02-08T20:39:00Z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