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4A" w:rsidRDefault="002C664A">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1009650</wp:posOffset>
            </wp:positionH>
            <wp:positionV relativeFrom="paragraph">
              <wp:posOffset>19050</wp:posOffset>
            </wp:positionV>
            <wp:extent cx="3886200" cy="38004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886200" cy="3800475"/>
                    </a:xfrm>
                    <a:prstGeom prst="rect">
                      <a:avLst/>
                    </a:prstGeom>
                    <a:noFill/>
                    <a:ln w="38100">
                      <a:miter lim="800000"/>
                      <a:headEnd/>
                      <a:tailEnd/>
                    </a:ln>
                    <a:effectLst/>
                  </pic:spPr>
                </pic:pic>
              </a:graphicData>
            </a:graphic>
          </wp:anchor>
        </w:drawing>
      </w: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rsidP="00172C1E">
      <w:pPr>
        <w:pStyle w:val="Footer"/>
        <w:tabs>
          <w:tab w:val="clear" w:pos="8640"/>
          <w:tab w:val="left" w:leader="dot" w:pos="4320"/>
        </w:tabs>
        <w:jc w:val="center"/>
        <w:rPr>
          <w:rFonts w:ascii="Times New Roman" w:hAnsi="Times New Roman"/>
          <w:b/>
          <w:bCs/>
          <w:sz w:val="40"/>
        </w:rPr>
      </w:pPr>
      <w:r>
        <w:rPr>
          <w:rFonts w:ascii="Times New Roman" w:hAnsi="Times New Roman"/>
          <w:b/>
          <w:bCs/>
          <w:sz w:val="40"/>
          <w:highlight w:val="lightGray"/>
        </w:rPr>
        <w:t>Office of Dispute Resolution</w:t>
      </w:r>
    </w:p>
    <w:p w:rsidR="00172C1E" w:rsidRDefault="00172C1E" w:rsidP="00172C1E">
      <w:pPr>
        <w:pStyle w:val="Footer"/>
        <w:tabs>
          <w:tab w:val="clear" w:pos="8640"/>
          <w:tab w:val="left" w:leader="dot" w:pos="4320"/>
        </w:tabs>
        <w:jc w:val="center"/>
        <w:rPr>
          <w:rFonts w:ascii="Times New Roman" w:hAnsi="Times New Roman"/>
          <w:bCs/>
          <w:sz w:val="32"/>
          <w:szCs w:val="32"/>
        </w:rPr>
      </w:pPr>
    </w:p>
    <w:p w:rsidR="00172C1E" w:rsidRDefault="00172C1E" w:rsidP="00172C1E">
      <w:pPr>
        <w:pStyle w:val="Footer"/>
        <w:tabs>
          <w:tab w:val="clear" w:pos="8640"/>
          <w:tab w:val="left" w:leader="dot" w:pos="4320"/>
        </w:tabs>
        <w:jc w:val="center"/>
        <w:rPr>
          <w:rFonts w:ascii="Times New Roman" w:hAnsi="Times New Roman"/>
          <w:bCs/>
          <w:sz w:val="32"/>
          <w:szCs w:val="32"/>
        </w:rPr>
      </w:pPr>
      <w:r w:rsidRPr="00921F47">
        <w:rPr>
          <w:rFonts w:ascii="Times New Roman" w:hAnsi="Times New Roman"/>
          <w:bCs/>
          <w:sz w:val="32"/>
          <w:szCs w:val="32"/>
        </w:rPr>
        <w:t>FY 20</w:t>
      </w:r>
      <w:r>
        <w:rPr>
          <w:rFonts w:ascii="Times New Roman" w:hAnsi="Times New Roman"/>
          <w:bCs/>
          <w:sz w:val="32"/>
          <w:szCs w:val="32"/>
        </w:rPr>
        <w:t>12</w:t>
      </w:r>
      <w:r w:rsidRPr="00921F47">
        <w:rPr>
          <w:rFonts w:ascii="Times New Roman" w:hAnsi="Times New Roman"/>
          <w:bCs/>
          <w:sz w:val="32"/>
          <w:szCs w:val="32"/>
        </w:rPr>
        <w:t xml:space="preserve"> </w:t>
      </w:r>
      <w:smartTag w:uri="urn:schemas-microsoft-com:office:smarttags" w:element="PersonName">
        <w:r>
          <w:rPr>
            <w:rFonts w:ascii="Times New Roman" w:hAnsi="Times New Roman"/>
            <w:bCs/>
            <w:sz w:val="32"/>
            <w:szCs w:val="32"/>
          </w:rPr>
          <w:t>Performance</w:t>
        </w:r>
      </w:smartTag>
      <w:r>
        <w:rPr>
          <w:rFonts w:ascii="Times New Roman" w:hAnsi="Times New Roman"/>
          <w:bCs/>
          <w:sz w:val="32"/>
          <w:szCs w:val="32"/>
        </w:rPr>
        <w:t xml:space="preserve"> Budget</w:t>
      </w:r>
    </w:p>
    <w:p w:rsidR="00172C1E" w:rsidRPr="00E141F6" w:rsidRDefault="00A77712" w:rsidP="00172C1E">
      <w:pPr>
        <w:pStyle w:val="Footer"/>
        <w:tabs>
          <w:tab w:val="clear" w:pos="8640"/>
          <w:tab w:val="left" w:leader="dot" w:pos="4320"/>
        </w:tabs>
        <w:jc w:val="center"/>
        <w:rPr>
          <w:rFonts w:ascii="Times New Roman" w:hAnsi="Times New Roman"/>
          <w:i/>
        </w:rPr>
      </w:pPr>
      <w:r>
        <w:rPr>
          <w:rFonts w:ascii="Times New Roman" w:hAnsi="Times New Roman"/>
          <w:i/>
        </w:rPr>
        <w:t xml:space="preserve">Congressional </w:t>
      </w:r>
      <w:r w:rsidR="00172C1E">
        <w:rPr>
          <w:rFonts w:ascii="Times New Roman" w:hAnsi="Times New Roman"/>
          <w:i/>
        </w:rPr>
        <w:t>Submission</w:t>
      </w: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172C1E" w:rsidRDefault="00172C1E">
      <w:pPr>
        <w:pStyle w:val="Heading1"/>
        <w:tabs>
          <w:tab w:val="left" w:leader="dot" w:pos="7920"/>
          <w:tab w:val="right" w:pos="8640"/>
        </w:tabs>
        <w:rPr>
          <w:rFonts w:ascii="Times New Roman" w:hAnsi="Times New Roman"/>
        </w:rPr>
      </w:pPr>
    </w:p>
    <w:p w:rsidR="00224A36" w:rsidRDefault="00224A36">
      <w:pPr>
        <w:tabs>
          <w:tab w:val="left" w:leader="dot" w:pos="7920"/>
          <w:tab w:val="right" w:pos="8640"/>
        </w:tabs>
        <w:rPr>
          <w:b/>
        </w:rPr>
      </w:pPr>
    </w:p>
    <w:p w:rsidR="009D7A0B" w:rsidRDefault="00224A36" w:rsidP="00E0065D">
      <w:pPr>
        <w:pStyle w:val="xl19"/>
        <w:tabs>
          <w:tab w:val="right" w:pos="8730"/>
        </w:tabs>
        <w:spacing w:before="0" w:after="0"/>
        <w:outlineLvl w:val="0"/>
        <w:rPr>
          <w:rFonts w:eastAsia="Times New Roman"/>
          <w:bCs/>
        </w:rPr>
      </w:pPr>
      <w:r>
        <w:rPr>
          <w:rFonts w:eastAsia="Times New Roman"/>
          <w:bCs/>
        </w:rPr>
        <w:tab/>
      </w:r>
    </w:p>
    <w:p w:rsidR="00E0065D" w:rsidRDefault="00224A36" w:rsidP="00E0065D">
      <w:pPr>
        <w:pStyle w:val="xl19"/>
        <w:tabs>
          <w:tab w:val="right" w:pos="8730"/>
        </w:tabs>
        <w:spacing w:before="0" w:after="0"/>
        <w:outlineLvl w:val="0"/>
        <w:rPr>
          <w:rFonts w:eastAsia="Times New Roman"/>
          <w:bCs/>
        </w:rPr>
      </w:pPr>
      <w:r>
        <w:rPr>
          <w:rFonts w:eastAsia="Times New Roman"/>
          <w:bCs/>
        </w:rPr>
        <w:lastRenderedPageBreak/>
        <w:t>Page No.</w:t>
      </w:r>
    </w:p>
    <w:p w:rsidR="00172C1E" w:rsidRDefault="00172C1E" w:rsidP="00172C1E">
      <w:pPr>
        <w:pStyle w:val="Heading1"/>
        <w:tabs>
          <w:tab w:val="left" w:leader="dot" w:pos="7920"/>
          <w:tab w:val="right" w:pos="8640"/>
        </w:tabs>
        <w:rPr>
          <w:rFonts w:ascii="Times New Roman" w:hAnsi="Times New Roman"/>
        </w:rPr>
      </w:pPr>
      <w:r>
        <w:rPr>
          <w:rFonts w:ascii="Times New Roman" w:hAnsi="Times New Roman"/>
        </w:rPr>
        <w:t>Table of Contents</w:t>
      </w:r>
    </w:p>
    <w:p w:rsidR="00E0065D" w:rsidRDefault="00E0065D" w:rsidP="00E0065D">
      <w:pPr>
        <w:pStyle w:val="xl19"/>
        <w:tabs>
          <w:tab w:val="right" w:pos="8730"/>
        </w:tabs>
        <w:spacing w:before="0" w:after="0"/>
        <w:outlineLvl w:val="0"/>
        <w:rPr>
          <w:rFonts w:eastAsia="Times New Roman"/>
          <w:bCs/>
        </w:rPr>
      </w:pPr>
    </w:p>
    <w:p w:rsidR="00E0065D" w:rsidRPr="00E0065D" w:rsidRDefault="00E0065D" w:rsidP="00EE7701">
      <w:pPr>
        <w:pStyle w:val="xl19"/>
        <w:tabs>
          <w:tab w:val="right" w:leader="dot" w:pos="7920"/>
          <w:tab w:val="right" w:leader="dot" w:pos="8730"/>
        </w:tabs>
        <w:spacing w:before="0" w:after="0"/>
        <w:outlineLvl w:val="0"/>
        <w:rPr>
          <w:rFonts w:eastAsia="Times New Roman"/>
          <w:b/>
          <w:bCs/>
        </w:rPr>
      </w:pPr>
      <w:r w:rsidRPr="00E0065D">
        <w:rPr>
          <w:rFonts w:eastAsia="Times New Roman"/>
          <w:b/>
          <w:bCs/>
        </w:rPr>
        <w:t xml:space="preserve">I.  </w:t>
      </w:r>
      <w:r w:rsidR="004B775C">
        <w:rPr>
          <w:rFonts w:eastAsia="Times New Roman"/>
          <w:b/>
          <w:bCs/>
        </w:rPr>
        <w:t xml:space="preserve">   </w:t>
      </w:r>
      <w:r w:rsidR="00224A36" w:rsidRPr="00E0065D">
        <w:rPr>
          <w:b/>
          <w:bCs/>
        </w:rPr>
        <w:t>Overview</w:t>
      </w:r>
    </w:p>
    <w:p w:rsidR="00E0065D" w:rsidRPr="00E0065D" w:rsidRDefault="00E0065D" w:rsidP="00163AD7">
      <w:pPr>
        <w:pStyle w:val="xl19"/>
        <w:tabs>
          <w:tab w:val="right" w:pos="8730"/>
        </w:tabs>
        <w:spacing w:before="0" w:after="0"/>
        <w:ind w:firstLine="720"/>
        <w:outlineLvl w:val="0"/>
        <w:rPr>
          <w:b/>
          <w:bCs/>
        </w:rPr>
      </w:pPr>
    </w:p>
    <w:p w:rsidR="00224A36" w:rsidRDefault="00E0065D" w:rsidP="00EE7701">
      <w:pPr>
        <w:pStyle w:val="xl19"/>
        <w:tabs>
          <w:tab w:val="right" w:leader="dot" w:pos="7920"/>
          <w:tab w:val="right" w:leader="dot" w:pos="8730"/>
        </w:tabs>
        <w:spacing w:before="0" w:after="0"/>
        <w:outlineLvl w:val="0"/>
        <w:rPr>
          <w:b/>
          <w:bCs/>
        </w:rPr>
      </w:pPr>
      <w:r w:rsidRPr="00E0065D">
        <w:rPr>
          <w:b/>
          <w:bCs/>
        </w:rPr>
        <w:t>II</w:t>
      </w:r>
      <w:r w:rsidR="004B775C">
        <w:rPr>
          <w:b/>
          <w:bCs/>
        </w:rPr>
        <w:t>.   S</w:t>
      </w:r>
      <w:r w:rsidR="00224A36" w:rsidRPr="00E0065D">
        <w:rPr>
          <w:b/>
          <w:bCs/>
        </w:rPr>
        <w:t>ummary of Program Changes</w:t>
      </w:r>
    </w:p>
    <w:p w:rsidR="00AA3992" w:rsidRDefault="00AA3992" w:rsidP="00EE7701">
      <w:pPr>
        <w:pStyle w:val="xl19"/>
        <w:tabs>
          <w:tab w:val="right" w:leader="dot" w:pos="7920"/>
          <w:tab w:val="right" w:leader="dot" w:pos="8730"/>
        </w:tabs>
        <w:spacing w:before="0" w:after="0"/>
        <w:outlineLvl w:val="0"/>
        <w:rPr>
          <w:b/>
          <w:bCs/>
        </w:rPr>
      </w:pPr>
    </w:p>
    <w:p w:rsidR="00993556" w:rsidRPr="00E0065D" w:rsidRDefault="00993556" w:rsidP="00E62C8B">
      <w:pPr>
        <w:pStyle w:val="xl19"/>
        <w:tabs>
          <w:tab w:val="left" w:leader="dot" w:pos="7920"/>
          <w:tab w:val="right" w:pos="8640"/>
        </w:tabs>
        <w:spacing w:before="0" w:after="0"/>
        <w:ind w:left="360" w:hanging="360"/>
        <w:rPr>
          <w:b/>
          <w:bCs/>
        </w:rPr>
      </w:pPr>
      <w:r w:rsidRPr="00E0065D">
        <w:rPr>
          <w:b/>
        </w:rPr>
        <w:t>I</w:t>
      </w:r>
      <w:r w:rsidR="00546185">
        <w:rPr>
          <w:b/>
        </w:rPr>
        <w:t>II</w:t>
      </w:r>
      <w:r w:rsidRPr="00E0065D">
        <w:rPr>
          <w:b/>
        </w:rPr>
        <w:t>. Appropriations Language and Anal</w:t>
      </w:r>
      <w:r w:rsidR="001E72A1">
        <w:rPr>
          <w:b/>
        </w:rPr>
        <w:t>ysis of Appropriations Language</w:t>
      </w:r>
      <w:r w:rsidR="00E62C8B">
        <w:rPr>
          <w:b/>
        </w:rPr>
        <w:t xml:space="preserve"> </w:t>
      </w:r>
    </w:p>
    <w:p w:rsidR="00224A36" w:rsidRPr="00E0065D" w:rsidRDefault="00224A36">
      <w:pPr>
        <w:pStyle w:val="xl27"/>
        <w:tabs>
          <w:tab w:val="left" w:leader="dot" w:pos="7920"/>
          <w:tab w:val="right" w:pos="8640"/>
        </w:tabs>
        <w:spacing w:before="0" w:after="0"/>
        <w:rPr>
          <w:rFonts w:ascii="Times New Roman" w:eastAsia="Times New Roman" w:hAnsi="Times New Roman" w:cs="Arial"/>
          <w:szCs w:val="24"/>
        </w:rPr>
      </w:pPr>
    </w:p>
    <w:p w:rsidR="00224A36" w:rsidRDefault="00546185">
      <w:pPr>
        <w:pStyle w:val="xl27"/>
        <w:tabs>
          <w:tab w:val="left" w:leader="dot" w:pos="7920"/>
          <w:tab w:val="right" w:pos="8640"/>
        </w:tabs>
        <w:spacing w:before="0" w:after="0"/>
        <w:rPr>
          <w:rFonts w:ascii="Times New Roman" w:eastAsia="Times New Roman" w:hAnsi="Times New Roman" w:cs="Arial"/>
          <w:szCs w:val="24"/>
        </w:rPr>
      </w:pPr>
      <w:r>
        <w:rPr>
          <w:rFonts w:ascii="Times New Roman" w:eastAsia="Times New Roman" w:hAnsi="Times New Roman" w:cs="Arial"/>
          <w:szCs w:val="24"/>
        </w:rPr>
        <w:t>I</w:t>
      </w:r>
      <w:r w:rsidR="00E0065D">
        <w:rPr>
          <w:rFonts w:ascii="Times New Roman" w:eastAsia="Times New Roman" w:hAnsi="Times New Roman" w:cs="Arial"/>
          <w:szCs w:val="24"/>
        </w:rPr>
        <w:t>V</w:t>
      </w:r>
      <w:r w:rsidR="00224A36">
        <w:rPr>
          <w:rFonts w:ascii="Times New Roman" w:eastAsia="Times New Roman" w:hAnsi="Times New Roman" w:cs="Arial"/>
          <w:szCs w:val="24"/>
        </w:rPr>
        <w:t>. Decision Unit Justification</w:t>
      </w:r>
    </w:p>
    <w:p w:rsidR="00224A36" w:rsidRDefault="00224A36">
      <w:pPr>
        <w:tabs>
          <w:tab w:val="left" w:leader="dot" w:pos="7920"/>
          <w:tab w:val="right" w:pos="8640"/>
        </w:tabs>
        <w:rPr>
          <w:bCs/>
        </w:rPr>
      </w:pPr>
      <w:r>
        <w:rPr>
          <w:bCs/>
        </w:rPr>
        <w:t xml:space="preserve">     </w:t>
      </w:r>
    </w:p>
    <w:p w:rsidR="00224A36" w:rsidRDefault="00224A36" w:rsidP="00EE7701">
      <w:pPr>
        <w:tabs>
          <w:tab w:val="left" w:leader="dot" w:pos="7920"/>
          <w:tab w:val="right" w:pos="8640"/>
        </w:tabs>
        <w:rPr>
          <w:bCs/>
        </w:rPr>
      </w:pPr>
      <w:r>
        <w:rPr>
          <w:bCs/>
        </w:rPr>
        <w:t xml:space="preserve"> </w:t>
      </w:r>
      <w:r w:rsidR="001E72A1">
        <w:rPr>
          <w:bCs/>
        </w:rPr>
        <w:t xml:space="preserve">    A. </w:t>
      </w:r>
      <w:r w:rsidR="004E2357">
        <w:rPr>
          <w:bCs/>
        </w:rPr>
        <w:t>Office of Dispute Resolution</w:t>
      </w:r>
    </w:p>
    <w:p w:rsidR="00224A36" w:rsidRDefault="00224A36">
      <w:pPr>
        <w:tabs>
          <w:tab w:val="left" w:leader="dot" w:pos="7920"/>
          <w:tab w:val="right" w:pos="8640"/>
        </w:tabs>
        <w:rPr>
          <w:bCs/>
        </w:rPr>
      </w:pPr>
      <w:r>
        <w:rPr>
          <w:bCs/>
        </w:rPr>
        <w:t xml:space="preserve">           1.  Program Description</w:t>
      </w:r>
    </w:p>
    <w:p w:rsidR="00224A36" w:rsidRDefault="00224A36">
      <w:pPr>
        <w:tabs>
          <w:tab w:val="left" w:leader="dot" w:pos="7920"/>
          <w:tab w:val="right" w:pos="8640"/>
        </w:tabs>
        <w:rPr>
          <w:bCs/>
        </w:rPr>
      </w:pPr>
      <w:r>
        <w:rPr>
          <w:bCs/>
        </w:rPr>
        <w:t xml:space="preserve">           2.  Performance Tables</w:t>
      </w:r>
    </w:p>
    <w:p w:rsidR="00224A36" w:rsidRDefault="00224A36">
      <w:pPr>
        <w:tabs>
          <w:tab w:val="left" w:leader="dot" w:pos="7920"/>
          <w:tab w:val="right" w:pos="8640"/>
        </w:tabs>
      </w:pPr>
      <w:r>
        <w:rPr>
          <w:bCs/>
        </w:rPr>
        <w:t xml:space="preserve">           3.  </w:t>
      </w:r>
      <w:r>
        <w:t>Performance, Resources, and Strategies</w:t>
      </w:r>
    </w:p>
    <w:p w:rsidR="00AE3308" w:rsidRDefault="00AE3308" w:rsidP="00AE3308">
      <w:pPr>
        <w:tabs>
          <w:tab w:val="left" w:leader="dot" w:pos="7920"/>
          <w:tab w:val="right" w:pos="8640"/>
        </w:tabs>
        <w:rPr>
          <w:bCs/>
        </w:rPr>
      </w:pPr>
    </w:p>
    <w:p w:rsidR="00AA3992" w:rsidRDefault="00AA3992" w:rsidP="00AA3992">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szCs w:val="24"/>
        </w:rPr>
        <w:t>V. Program Increases by Item</w:t>
      </w:r>
    </w:p>
    <w:p w:rsidR="00AA3992" w:rsidRDefault="00AA3992" w:rsidP="00AA3992">
      <w:pPr>
        <w:pStyle w:val="xl27"/>
        <w:tabs>
          <w:tab w:val="left" w:leader="dot" w:pos="7920"/>
          <w:tab w:val="right" w:pos="8640"/>
        </w:tabs>
        <w:spacing w:before="0" w:after="0"/>
        <w:rPr>
          <w:rFonts w:ascii="Times New Roman" w:eastAsia="Times New Roman" w:hAnsi="Times New Roman" w:cs="Arial"/>
          <w:b w:val="0"/>
          <w:bCs/>
          <w:szCs w:val="24"/>
        </w:rPr>
      </w:pPr>
    </w:p>
    <w:p w:rsidR="00AA3992" w:rsidRDefault="004E2357" w:rsidP="00AA3992">
      <w:pPr>
        <w:tabs>
          <w:tab w:val="left" w:leader="dot" w:pos="7920"/>
          <w:tab w:val="right" w:pos="8640"/>
        </w:tabs>
        <w:rPr>
          <w:bCs/>
        </w:rPr>
      </w:pPr>
      <w:r>
        <w:rPr>
          <w:bCs/>
        </w:rPr>
        <w:t>Not Applicable</w:t>
      </w:r>
    </w:p>
    <w:p w:rsidR="00AA3992" w:rsidRDefault="00AA3992" w:rsidP="00AA3992">
      <w:pPr>
        <w:tabs>
          <w:tab w:val="left" w:leader="dot" w:pos="7920"/>
          <w:tab w:val="right" w:pos="8640"/>
        </w:tabs>
        <w:rPr>
          <w:bCs/>
        </w:rPr>
      </w:pPr>
    </w:p>
    <w:p w:rsidR="00AA3992" w:rsidRPr="00CA09EF" w:rsidRDefault="00AA3992" w:rsidP="00AA3992">
      <w:pPr>
        <w:tabs>
          <w:tab w:val="left" w:leader="dot" w:pos="7920"/>
          <w:tab w:val="right" w:pos="8640"/>
        </w:tabs>
        <w:rPr>
          <w:b/>
          <w:bCs/>
        </w:rPr>
      </w:pPr>
      <w:r w:rsidRPr="00CA09EF">
        <w:rPr>
          <w:b/>
          <w:bCs/>
        </w:rPr>
        <w:t>V</w:t>
      </w:r>
      <w:r w:rsidR="001D1825">
        <w:rPr>
          <w:b/>
          <w:bCs/>
        </w:rPr>
        <w:t>I</w:t>
      </w:r>
      <w:r>
        <w:rPr>
          <w:b/>
          <w:bCs/>
        </w:rPr>
        <w:t xml:space="preserve">. </w:t>
      </w:r>
      <w:r w:rsidRPr="00CA09EF">
        <w:rPr>
          <w:b/>
          <w:bCs/>
        </w:rPr>
        <w:t>Program Offsets by Item</w:t>
      </w:r>
    </w:p>
    <w:p w:rsidR="00AA3992" w:rsidRDefault="00AA3992" w:rsidP="00AA3992">
      <w:pPr>
        <w:tabs>
          <w:tab w:val="left" w:leader="dot" w:pos="7920"/>
          <w:tab w:val="right" w:pos="8640"/>
        </w:tabs>
        <w:rPr>
          <w:bCs/>
        </w:rPr>
      </w:pPr>
    </w:p>
    <w:p w:rsidR="00AA3992" w:rsidRDefault="004E2357" w:rsidP="00AA3992">
      <w:pPr>
        <w:tabs>
          <w:tab w:val="left" w:leader="dot" w:pos="7920"/>
          <w:tab w:val="right" w:pos="8640"/>
        </w:tabs>
        <w:rPr>
          <w:bCs/>
        </w:rPr>
      </w:pPr>
      <w:r>
        <w:rPr>
          <w:bCs/>
        </w:rPr>
        <w:t>Not Applicable</w:t>
      </w:r>
    </w:p>
    <w:p w:rsidR="001D1825" w:rsidRDefault="001D1825" w:rsidP="00AA3992">
      <w:pPr>
        <w:tabs>
          <w:tab w:val="left" w:leader="dot" w:pos="7920"/>
          <w:tab w:val="right" w:pos="8640"/>
        </w:tabs>
        <w:rPr>
          <w:bCs/>
        </w:rPr>
      </w:pPr>
    </w:p>
    <w:p w:rsidR="00224A36" w:rsidRDefault="00FD1C96">
      <w:pPr>
        <w:pStyle w:val="xl27"/>
        <w:tabs>
          <w:tab w:val="left" w:leader="dot" w:pos="7920"/>
          <w:tab w:val="right" w:pos="8640"/>
        </w:tabs>
        <w:spacing w:before="0" w:after="0"/>
        <w:rPr>
          <w:rFonts w:ascii="Times New Roman" w:eastAsia="Times New Roman" w:hAnsi="Times New Roman"/>
          <w:bCs/>
          <w:szCs w:val="24"/>
        </w:rPr>
      </w:pPr>
      <w:r>
        <w:rPr>
          <w:rFonts w:ascii="Times New Roman" w:eastAsia="Times New Roman" w:hAnsi="Times New Roman"/>
          <w:bCs/>
          <w:szCs w:val="24"/>
        </w:rPr>
        <w:t>V</w:t>
      </w:r>
      <w:r w:rsidR="006C689E">
        <w:rPr>
          <w:rFonts w:ascii="Times New Roman" w:eastAsia="Times New Roman" w:hAnsi="Times New Roman"/>
          <w:bCs/>
          <w:szCs w:val="24"/>
        </w:rPr>
        <w:t>II</w:t>
      </w:r>
      <w:r w:rsidR="00224A36">
        <w:rPr>
          <w:rFonts w:ascii="Times New Roman" w:eastAsia="Times New Roman" w:hAnsi="Times New Roman"/>
          <w:bCs/>
          <w:szCs w:val="24"/>
        </w:rPr>
        <w:t>. Exhibits</w:t>
      </w:r>
    </w:p>
    <w:p w:rsidR="00224A36" w:rsidRDefault="00224A36">
      <w:pPr>
        <w:tabs>
          <w:tab w:val="left" w:leader="dot" w:pos="7920"/>
          <w:tab w:val="right" w:pos="8640"/>
        </w:tabs>
        <w:outlineLvl w:val="0"/>
        <w:rPr>
          <w:b/>
          <w:bCs/>
        </w:rPr>
      </w:pPr>
    </w:p>
    <w:p w:rsidR="004E2357" w:rsidRDefault="004E2357" w:rsidP="004E2357">
      <w:pPr>
        <w:numPr>
          <w:ilvl w:val="0"/>
          <w:numId w:val="4"/>
        </w:numPr>
        <w:tabs>
          <w:tab w:val="left" w:leader="dot" w:pos="7920"/>
          <w:tab w:val="right" w:pos="8640"/>
        </w:tabs>
        <w:outlineLvl w:val="0"/>
        <w:rPr>
          <w:bCs/>
        </w:rPr>
      </w:pPr>
      <w:r>
        <w:t>Organizational Chart</w:t>
      </w:r>
      <w:r>
        <w:tab/>
      </w:r>
      <w:r w:rsidR="00576A91">
        <w:t>15</w:t>
      </w:r>
    </w:p>
    <w:p w:rsidR="004E2357" w:rsidRDefault="004E2357" w:rsidP="004E2357">
      <w:pPr>
        <w:pStyle w:val="xl19"/>
        <w:tabs>
          <w:tab w:val="left" w:leader="dot" w:pos="7920"/>
          <w:tab w:val="right" w:pos="8640"/>
        </w:tabs>
        <w:spacing w:before="0" w:after="0"/>
        <w:ind w:left="360"/>
        <w:rPr>
          <w:rFonts w:eastAsia="Times New Roman"/>
          <w:bCs/>
        </w:rPr>
      </w:pPr>
      <w:r>
        <w:rPr>
          <w:rFonts w:eastAsia="Times New Roman"/>
          <w:bCs/>
        </w:rPr>
        <w:t>B.  Summary of Requirements</w:t>
      </w:r>
      <w:r>
        <w:rPr>
          <w:rFonts w:eastAsia="Times New Roman"/>
          <w:bCs/>
        </w:rPr>
        <w:tab/>
        <w:t xml:space="preserve"> </w:t>
      </w:r>
      <w:r w:rsidR="00576A91">
        <w:rPr>
          <w:rFonts w:eastAsia="Times New Roman"/>
          <w:bCs/>
        </w:rPr>
        <w:t>16</w:t>
      </w:r>
    </w:p>
    <w:p w:rsidR="004E2357" w:rsidRDefault="004E2357" w:rsidP="004E2357">
      <w:pPr>
        <w:tabs>
          <w:tab w:val="left" w:leader="dot" w:pos="7920"/>
          <w:tab w:val="right" w:pos="8640"/>
        </w:tabs>
        <w:ind w:left="360"/>
        <w:rPr>
          <w:bCs/>
        </w:rPr>
      </w:pPr>
      <w:r>
        <w:rPr>
          <w:bCs/>
        </w:rPr>
        <w:t>C.  Program Increases by Decision Unit</w:t>
      </w:r>
      <w:r>
        <w:rPr>
          <w:bCs/>
        </w:rPr>
        <w:tab/>
        <w:t>N/A</w:t>
      </w:r>
    </w:p>
    <w:p w:rsidR="004E2357" w:rsidRPr="004B775C" w:rsidRDefault="004E2357" w:rsidP="004E2357">
      <w:pPr>
        <w:numPr>
          <w:ilvl w:val="0"/>
          <w:numId w:val="6"/>
        </w:numPr>
        <w:tabs>
          <w:tab w:val="left" w:leader="dot" w:pos="7920"/>
          <w:tab w:val="right" w:pos="8640"/>
        </w:tabs>
        <w:rPr>
          <w:bCs/>
        </w:rPr>
      </w:pPr>
      <w:r w:rsidRPr="004B775C">
        <w:rPr>
          <w:bCs/>
        </w:rPr>
        <w:t xml:space="preserve">Resources by DOJ Strategic Goal/Objective </w:t>
      </w:r>
      <w:r>
        <w:rPr>
          <w:bCs/>
        </w:rPr>
        <w:tab/>
      </w:r>
      <w:r w:rsidR="00576A91">
        <w:rPr>
          <w:bCs/>
        </w:rPr>
        <w:t>17</w:t>
      </w:r>
    </w:p>
    <w:p w:rsidR="004E2357" w:rsidRDefault="004E2357" w:rsidP="004E2357">
      <w:pPr>
        <w:numPr>
          <w:ilvl w:val="0"/>
          <w:numId w:val="6"/>
        </w:numPr>
        <w:tabs>
          <w:tab w:val="left" w:leader="dot" w:pos="7920"/>
          <w:tab w:val="right" w:pos="8640"/>
        </w:tabs>
        <w:rPr>
          <w:bCs/>
        </w:rPr>
      </w:pPr>
      <w:r w:rsidRPr="004B775C">
        <w:rPr>
          <w:bCs/>
        </w:rPr>
        <w:t>Justification for Base Adjustments</w:t>
      </w:r>
      <w:r>
        <w:rPr>
          <w:bCs/>
        </w:rPr>
        <w:tab/>
      </w:r>
      <w:r w:rsidR="00576A91">
        <w:rPr>
          <w:bCs/>
        </w:rPr>
        <w:t>18</w:t>
      </w:r>
    </w:p>
    <w:p w:rsidR="004E2357" w:rsidRDefault="004E2357" w:rsidP="004E2357">
      <w:pPr>
        <w:numPr>
          <w:ilvl w:val="0"/>
          <w:numId w:val="6"/>
        </w:numPr>
        <w:tabs>
          <w:tab w:val="left" w:leader="dot" w:pos="7920"/>
          <w:tab w:val="right" w:pos="8640"/>
        </w:tabs>
        <w:rPr>
          <w:bCs/>
        </w:rPr>
      </w:pPr>
      <w:r>
        <w:rPr>
          <w:bCs/>
        </w:rPr>
        <w:t>Crosswalk of 2010 Availability</w:t>
      </w:r>
      <w:r>
        <w:rPr>
          <w:bCs/>
        </w:rPr>
        <w:tab/>
      </w:r>
      <w:r w:rsidR="00576A91">
        <w:rPr>
          <w:bCs/>
        </w:rPr>
        <w:t>19</w:t>
      </w:r>
    </w:p>
    <w:p w:rsidR="004E2357" w:rsidRPr="00D14978" w:rsidRDefault="004E2357" w:rsidP="004E2357">
      <w:pPr>
        <w:numPr>
          <w:ilvl w:val="0"/>
          <w:numId w:val="6"/>
        </w:numPr>
        <w:tabs>
          <w:tab w:val="left" w:leader="dot" w:pos="7920"/>
          <w:tab w:val="right" w:pos="8640"/>
        </w:tabs>
        <w:rPr>
          <w:bCs/>
          <w:i/>
        </w:rPr>
      </w:pPr>
      <w:r w:rsidRPr="00792186">
        <w:rPr>
          <w:bCs/>
        </w:rPr>
        <w:t>Crosswalk of 2011 Availability</w:t>
      </w:r>
      <w:r w:rsidR="00F23166">
        <w:rPr>
          <w:bCs/>
        </w:rPr>
        <w:tab/>
      </w:r>
      <w:r w:rsidR="00576A91">
        <w:rPr>
          <w:bCs/>
        </w:rPr>
        <w:t>20</w:t>
      </w:r>
    </w:p>
    <w:p w:rsidR="004E2357" w:rsidRDefault="004E2357" w:rsidP="004E2357">
      <w:pPr>
        <w:numPr>
          <w:ilvl w:val="0"/>
          <w:numId w:val="6"/>
        </w:numPr>
        <w:tabs>
          <w:tab w:val="left" w:leader="dot" w:pos="7920"/>
          <w:tab w:val="right" w:pos="8640"/>
        </w:tabs>
        <w:rPr>
          <w:bCs/>
        </w:rPr>
      </w:pPr>
      <w:r>
        <w:rPr>
          <w:bCs/>
        </w:rPr>
        <w:t>Summary of Reimbursable Resources</w:t>
      </w:r>
      <w:r>
        <w:rPr>
          <w:bCs/>
        </w:rPr>
        <w:tab/>
        <w:t>N/A</w:t>
      </w:r>
    </w:p>
    <w:p w:rsidR="004E2357" w:rsidRDefault="004E2357" w:rsidP="004E2357">
      <w:pPr>
        <w:numPr>
          <w:ilvl w:val="0"/>
          <w:numId w:val="6"/>
        </w:numPr>
        <w:tabs>
          <w:tab w:val="left" w:leader="dot" w:pos="7920"/>
          <w:tab w:val="right" w:pos="8640"/>
        </w:tabs>
        <w:rPr>
          <w:bCs/>
        </w:rPr>
      </w:pPr>
      <w:r>
        <w:rPr>
          <w:bCs/>
        </w:rPr>
        <w:t>Detail of Permanent Positions by Category</w:t>
      </w:r>
      <w:r>
        <w:rPr>
          <w:bCs/>
        </w:rPr>
        <w:tab/>
      </w:r>
      <w:r w:rsidR="00576A91">
        <w:rPr>
          <w:bCs/>
        </w:rPr>
        <w:t>21</w:t>
      </w:r>
    </w:p>
    <w:p w:rsidR="004E2357" w:rsidRDefault="004E2357" w:rsidP="004E2357">
      <w:pPr>
        <w:numPr>
          <w:ilvl w:val="0"/>
          <w:numId w:val="6"/>
        </w:numPr>
        <w:tabs>
          <w:tab w:val="left" w:leader="dot" w:pos="7920"/>
          <w:tab w:val="right" w:pos="8640"/>
        </w:tabs>
        <w:rPr>
          <w:bCs/>
        </w:rPr>
      </w:pPr>
      <w:r>
        <w:rPr>
          <w:bCs/>
        </w:rPr>
        <w:t>Financial Analysis of Program Increases/Offsets</w:t>
      </w:r>
      <w:r>
        <w:rPr>
          <w:bCs/>
        </w:rPr>
        <w:tab/>
        <w:t>N/A</w:t>
      </w:r>
    </w:p>
    <w:p w:rsidR="004E2357" w:rsidRDefault="004E2357" w:rsidP="004E2357">
      <w:pPr>
        <w:numPr>
          <w:ilvl w:val="0"/>
          <w:numId w:val="6"/>
        </w:numPr>
        <w:tabs>
          <w:tab w:val="left" w:leader="dot" w:pos="7920"/>
          <w:tab w:val="right" w:pos="8640"/>
        </w:tabs>
        <w:rPr>
          <w:bCs/>
        </w:rPr>
      </w:pPr>
      <w:r>
        <w:rPr>
          <w:bCs/>
        </w:rPr>
        <w:t>Summary of Requirements by Grade</w:t>
      </w:r>
      <w:r>
        <w:rPr>
          <w:bCs/>
        </w:rPr>
        <w:tab/>
      </w:r>
      <w:r w:rsidR="00576A91">
        <w:rPr>
          <w:bCs/>
        </w:rPr>
        <w:t>22</w:t>
      </w:r>
    </w:p>
    <w:p w:rsidR="004E2357" w:rsidRDefault="004E2357" w:rsidP="004E2357">
      <w:pPr>
        <w:numPr>
          <w:ilvl w:val="0"/>
          <w:numId w:val="6"/>
        </w:numPr>
        <w:tabs>
          <w:tab w:val="left" w:leader="dot" w:pos="7920"/>
          <w:tab w:val="right" w:pos="8640"/>
        </w:tabs>
        <w:rPr>
          <w:bCs/>
        </w:rPr>
      </w:pPr>
      <w:r>
        <w:rPr>
          <w:bCs/>
        </w:rPr>
        <w:t>Summary of Requirements by Object Class</w:t>
      </w:r>
      <w:r>
        <w:rPr>
          <w:bCs/>
        </w:rPr>
        <w:tab/>
      </w:r>
      <w:r w:rsidR="00576A91">
        <w:rPr>
          <w:bCs/>
        </w:rPr>
        <w:t>23</w:t>
      </w:r>
    </w:p>
    <w:p w:rsidR="00A43852" w:rsidRDefault="004E2357" w:rsidP="004E2357">
      <w:pPr>
        <w:numPr>
          <w:ilvl w:val="0"/>
          <w:numId w:val="6"/>
        </w:numPr>
        <w:tabs>
          <w:tab w:val="left" w:leader="dot" w:pos="7920"/>
          <w:tab w:val="right" w:pos="8640"/>
        </w:tabs>
        <w:rPr>
          <w:bCs/>
        </w:rPr>
      </w:pPr>
      <w:r w:rsidRPr="00A43852">
        <w:rPr>
          <w:bCs/>
        </w:rPr>
        <w:t>Status of Congressionally Requested Studies, Reports, and Evaluations (Not required)</w:t>
      </w:r>
    </w:p>
    <w:p w:rsidR="004E2357" w:rsidRPr="004B775C" w:rsidRDefault="00A43852" w:rsidP="004E2357">
      <w:pPr>
        <w:numPr>
          <w:ilvl w:val="0"/>
          <w:numId w:val="6"/>
        </w:numPr>
        <w:tabs>
          <w:tab w:val="left" w:leader="dot" w:pos="7920"/>
          <w:tab w:val="right" w:pos="8640"/>
        </w:tabs>
        <w:rPr>
          <w:bCs/>
        </w:rPr>
      </w:pPr>
      <w:r w:rsidRPr="00A43852">
        <w:rPr>
          <w:bCs/>
        </w:rPr>
        <w:t xml:space="preserve"> </w:t>
      </w:r>
      <w:r w:rsidR="004E2357" w:rsidRPr="00A43852">
        <w:rPr>
          <w:bCs/>
        </w:rPr>
        <w:t>Modular Costs for New Positions</w:t>
      </w:r>
      <w:r w:rsidR="004E2357" w:rsidRPr="00A43852">
        <w:rPr>
          <w:bCs/>
        </w:rPr>
        <w:tab/>
        <w:t>N/A</w:t>
      </w:r>
    </w:p>
    <w:p w:rsidR="004E2357" w:rsidRDefault="004E2357" w:rsidP="004E2357">
      <w:pPr>
        <w:numPr>
          <w:ilvl w:val="0"/>
          <w:numId w:val="6"/>
        </w:numPr>
        <w:tabs>
          <w:tab w:val="left" w:leader="dot" w:pos="7920"/>
          <w:tab w:val="right" w:pos="8640"/>
        </w:tabs>
        <w:rPr>
          <w:bCs/>
        </w:rPr>
      </w:pPr>
      <w:r w:rsidRPr="004B775C">
        <w:rPr>
          <w:bCs/>
        </w:rPr>
        <w:t>Information on Overseas Staffing</w:t>
      </w:r>
      <w:r>
        <w:rPr>
          <w:bCs/>
        </w:rPr>
        <w:t xml:space="preserve"> </w:t>
      </w:r>
      <w:r>
        <w:rPr>
          <w:bCs/>
        </w:rPr>
        <w:tab/>
        <w:t>N/A</w:t>
      </w:r>
    </w:p>
    <w:p w:rsidR="002C5589" w:rsidRDefault="002C5589" w:rsidP="002C5589">
      <w:pPr>
        <w:tabs>
          <w:tab w:val="left" w:leader="dot" w:pos="7920"/>
          <w:tab w:val="right" w:pos="8640"/>
        </w:tabs>
        <w:ind w:left="360"/>
        <w:rPr>
          <w:bCs/>
        </w:rPr>
      </w:pPr>
    </w:p>
    <w:p w:rsidR="006C689E" w:rsidRDefault="006C689E" w:rsidP="001D1825">
      <w:pPr>
        <w:pStyle w:val="BodyTextIndent"/>
        <w:ind w:left="0"/>
        <w:rPr>
          <w:b/>
        </w:rPr>
      </w:pPr>
    </w:p>
    <w:p w:rsidR="001D1825" w:rsidRDefault="001D1825" w:rsidP="001D1825">
      <w:pPr>
        <w:pStyle w:val="BodyTextIndent"/>
        <w:ind w:left="0"/>
        <w:rPr>
          <w:b/>
        </w:rPr>
      </w:pPr>
    </w:p>
    <w:p w:rsidR="001D1825" w:rsidRDefault="001D1825" w:rsidP="001D1825">
      <w:pPr>
        <w:pStyle w:val="BodyTextIndent"/>
        <w:ind w:left="0"/>
        <w:rPr>
          <w:b/>
        </w:rPr>
      </w:pPr>
    </w:p>
    <w:p w:rsidR="00C93B1D" w:rsidRDefault="00C93B1D" w:rsidP="001D1825">
      <w:pPr>
        <w:pStyle w:val="BodyTextIndent"/>
        <w:ind w:left="0"/>
        <w:rPr>
          <w:b/>
        </w:rPr>
      </w:pPr>
    </w:p>
    <w:p w:rsidR="00C93B1D" w:rsidRDefault="00C93B1D" w:rsidP="001D1825">
      <w:pPr>
        <w:pStyle w:val="BodyTextIndent"/>
        <w:ind w:left="0"/>
        <w:rPr>
          <w:b/>
        </w:rPr>
      </w:pPr>
    </w:p>
    <w:p w:rsidR="00C93B1D" w:rsidRDefault="00C93B1D" w:rsidP="001D1825">
      <w:pPr>
        <w:pStyle w:val="BodyTextIndent"/>
        <w:ind w:left="0"/>
        <w:rPr>
          <w:b/>
        </w:rPr>
      </w:pPr>
    </w:p>
    <w:p w:rsidR="00C93B1D" w:rsidRDefault="00C93B1D" w:rsidP="001D1825">
      <w:pPr>
        <w:pStyle w:val="BodyTextIndent"/>
        <w:ind w:left="0"/>
        <w:rPr>
          <w:b/>
        </w:rPr>
      </w:pPr>
    </w:p>
    <w:p w:rsidR="005C6CF6" w:rsidRDefault="005C6CF6" w:rsidP="001D1825">
      <w:pPr>
        <w:pStyle w:val="BodyTextIndent"/>
        <w:ind w:left="0"/>
        <w:rPr>
          <w:b/>
        </w:rPr>
      </w:pPr>
    </w:p>
    <w:p w:rsidR="001D1825" w:rsidRPr="00EE1531" w:rsidRDefault="001D1825" w:rsidP="001D1825">
      <w:pPr>
        <w:pStyle w:val="BodyTextIndent"/>
        <w:ind w:left="0"/>
        <w:rPr>
          <w:b/>
          <w:i w:val="0"/>
        </w:rPr>
      </w:pPr>
    </w:p>
    <w:p w:rsidR="001D1825" w:rsidRDefault="001D1825" w:rsidP="001D1825">
      <w:pPr>
        <w:pStyle w:val="BodyTextIndent"/>
        <w:ind w:left="0"/>
        <w:rPr>
          <w:b/>
        </w:rPr>
      </w:pPr>
    </w:p>
    <w:p w:rsidR="004E2357" w:rsidRPr="00E43151" w:rsidRDefault="004E2357" w:rsidP="004E2357">
      <w:pPr>
        <w:pStyle w:val="BodyText"/>
        <w:rPr>
          <w:b/>
          <w:bCs/>
          <w:sz w:val="28"/>
          <w:szCs w:val="28"/>
        </w:rPr>
      </w:pPr>
      <w:r w:rsidRPr="00E43151">
        <w:rPr>
          <w:b/>
          <w:bCs/>
          <w:sz w:val="28"/>
          <w:szCs w:val="28"/>
        </w:rPr>
        <w:t xml:space="preserve">I.  Overview for </w:t>
      </w:r>
      <w:r>
        <w:rPr>
          <w:b/>
          <w:bCs/>
          <w:sz w:val="28"/>
          <w:szCs w:val="28"/>
        </w:rPr>
        <w:t>Office of Dispute Resolution</w:t>
      </w:r>
    </w:p>
    <w:p w:rsidR="004E2357" w:rsidRDefault="004E2357" w:rsidP="004E2357">
      <w:pPr>
        <w:pStyle w:val="BodyText"/>
      </w:pPr>
      <w:r>
        <w:t xml:space="preserve">   </w:t>
      </w:r>
    </w:p>
    <w:p w:rsidR="004E2357" w:rsidRDefault="004E2357" w:rsidP="004E2357">
      <w:pPr>
        <w:pStyle w:val="BodyText"/>
        <w:rPr>
          <w:bCs/>
          <w:iCs/>
        </w:rPr>
      </w:pPr>
      <w:r>
        <w:rPr>
          <w:bCs/>
          <w:iCs/>
        </w:rPr>
        <w:t>The major function of the Office of Dispute Resolution (ODR) is to promote and facilitate the effective and strategic use of alternative dispute resolution (ADR) to processes by the Department of Justice and throughout the Executive Branch of the Federal Government.</w:t>
      </w:r>
    </w:p>
    <w:p w:rsidR="004E2357" w:rsidRDefault="004E2357" w:rsidP="004E2357">
      <w:pPr>
        <w:pStyle w:val="BodyText"/>
        <w:rPr>
          <w:bCs/>
          <w:iCs/>
        </w:rPr>
      </w:pPr>
    </w:p>
    <w:p w:rsidR="004E2357" w:rsidRDefault="004E2357" w:rsidP="004E2357">
      <w:pPr>
        <w:pStyle w:val="BodyText"/>
        <w:rPr>
          <w:bCs/>
          <w:iCs/>
        </w:rPr>
      </w:pPr>
      <w:r>
        <w:rPr>
          <w:bCs/>
          <w:iCs/>
        </w:rPr>
        <w:t>The Office of Dispute R</w:t>
      </w:r>
      <w:r w:rsidR="00B2081C">
        <w:rPr>
          <w:bCs/>
          <w:iCs/>
        </w:rPr>
        <w:t>esolution promotes and evaluates</w:t>
      </w:r>
      <w:r>
        <w:rPr>
          <w:bCs/>
          <w:iCs/>
        </w:rPr>
        <w:t xml:space="preserve"> the use of ADR at the Department; facilitates the effective use of ADR in litigation and agency administrative disputes; represents the Attorney General in leadership of federal ADR; represents the Department leadership with foreign governments and the private sector.</w:t>
      </w:r>
    </w:p>
    <w:p w:rsidR="004E2357" w:rsidRDefault="004E2357" w:rsidP="004E2357">
      <w:pPr>
        <w:pStyle w:val="BodyText"/>
        <w:rPr>
          <w:bCs/>
          <w:iCs/>
        </w:rPr>
      </w:pPr>
    </w:p>
    <w:p w:rsidR="004E2357" w:rsidRDefault="004E2357" w:rsidP="004E2357">
      <w:pPr>
        <w:pStyle w:val="BodyText"/>
        <w:rPr>
          <w:bCs/>
          <w:iCs/>
        </w:rPr>
      </w:pPr>
      <w:r>
        <w:rPr>
          <w:bCs/>
          <w:iCs/>
        </w:rPr>
        <w:t>Pursuant to reprogramming in June 1998, the Senior Counsel was moved from the Office of the Associate Attorney General and established as a separate office which reports to the Associate Attorney General. By Direction of Congress, operational funding is derived from the General Legal Activities appropriation.</w:t>
      </w:r>
    </w:p>
    <w:p w:rsidR="001D1825" w:rsidRDefault="001D1825" w:rsidP="001D1825">
      <w:pPr>
        <w:pStyle w:val="ListParagraph"/>
      </w:pPr>
    </w:p>
    <w:p w:rsidR="00A75052" w:rsidRDefault="00A75052" w:rsidP="001D1825">
      <w:pPr>
        <w:ind w:left="720"/>
      </w:pPr>
    </w:p>
    <w:p w:rsidR="00224A36" w:rsidRPr="00E43151" w:rsidRDefault="00224A36">
      <w:pPr>
        <w:pStyle w:val="BodyText"/>
        <w:rPr>
          <w:rFonts w:cs="Arial"/>
          <w:b/>
          <w:bCs/>
          <w:sz w:val="28"/>
          <w:szCs w:val="28"/>
        </w:rPr>
      </w:pPr>
      <w:r w:rsidRPr="00E43151">
        <w:rPr>
          <w:rFonts w:cs="Arial"/>
          <w:b/>
          <w:bCs/>
          <w:sz w:val="28"/>
          <w:szCs w:val="28"/>
        </w:rPr>
        <w:t>II. Summary of Program Changes</w:t>
      </w:r>
    </w:p>
    <w:p w:rsidR="00224A36" w:rsidRDefault="00224A36">
      <w:pPr>
        <w:pStyle w:val="BodyText"/>
        <w:rPr>
          <w:rFonts w:cs="Arial"/>
          <w:b/>
          <w:bCs/>
        </w:rPr>
      </w:pPr>
    </w:p>
    <w:p w:rsidR="00224A36" w:rsidRDefault="00172C1E">
      <w:pPr>
        <w:pStyle w:val="BodyText"/>
        <w:rPr>
          <w:rFonts w:cs="Arial"/>
          <w:b/>
          <w:bCs/>
          <w:i/>
          <w:iCs/>
        </w:rPr>
      </w:pPr>
      <w:r>
        <w:rPr>
          <w:rFonts w:cs="Arial"/>
          <w:b/>
          <w:bCs/>
          <w:i/>
          <w:iCs/>
        </w:rPr>
        <w:t>Not applicable.</w:t>
      </w:r>
    </w:p>
    <w:p w:rsidR="00224A36" w:rsidRDefault="00224A36">
      <w:pPr>
        <w:pStyle w:val="BodyText"/>
        <w:rPr>
          <w:rFonts w:ascii="Arial" w:hAnsi="Arial" w:cs="Arial"/>
          <w:b/>
          <w:bCs/>
        </w:rPr>
      </w:pPr>
    </w:p>
    <w:p w:rsidR="001D1825" w:rsidRDefault="001D1825">
      <w:pPr>
        <w:pStyle w:val="BodyText"/>
        <w:rPr>
          <w:rFonts w:ascii="Arial" w:hAnsi="Arial" w:cs="Arial"/>
          <w:b/>
          <w:bCs/>
        </w:rPr>
      </w:pPr>
    </w:p>
    <w:p w:rsidR="00BD7466" w:rsidRDefault="00CF44BE" w:rsidP="00BD7466">
      <w:pPr>
        <w:pStyle w:val="BodyText"/>
        <w:rPr>
          <w:rFonts w:cs="Arial"/>
          <w:b/>
          <w:bCs/>
          <w:sz w:val="28"/>
          <w:szCs w:val="28"/>
        </w:rPr>
      </w:pPr>
      <w:bookmarkStart w:id="0" w:name="OLE_LINK5"/>
      <w:bookmarkStart w:id="1" w:name="OLE_LINK6"/>
      <w:r w:rsidRPr="00E43151">
        <w:rPr>
          <w:rFonts w:cs="Arial"/>
          <w:b/>
          <w:bCs/>
          <w:sz w:val="28"/>
          <w:szCs w:val="28"/>
        </w:rPr>
        <w:t>I</w:t>
      </w:r>
      <w:r w:rsidR="00AD6A16">
        <w:rPr>
          <w:rFonts w:cs="Arial"/>
          <w:b/>
          <w:bCs/>
          <w:sz w:val="28"/>
          <w:szCs w:val="28"/>
        </w:rPr>
        <w:t>II</w:t>
      </w:r>
      <w:r w:rsidR="00B1486E">
        <w:rPr>
          <w:rFonts w:cs="Arial"/>
          <w:b/>
          <w:bCs/>
          <w:sz w:val="28"/>
          <w:szCs w:val="28"/>
        </w:rPr>
        <w:t xml:space="preserve">. </w:t>
      </w:r>
      <w:r w:rsidR="00BD7466" w:rsidRPr="00E43151">
        <w:rPr>
          <w:rFonts w:cs="Arial"/>
          <w:b/>
          <w:bCs/>
          <w:sz w:val="28"/>
          <w:szCs w:val="28"/>
        </w:rPr>
        <w:t>Appropriation</w:t>
      </w:r>
      <w:r w:rsidR="00FF5D2F" w:rsidRPr="00E43151">
        <w:rPr>
          <w:rFonts w:cs="Arial"/>
          <w:b/>
          <w:bCs/>
          <w:sz w:val="28"/>
          <w:szCs w:val="28"/>
        </w:rPr>
        <w:t>s</w:t>
      </w:r>
      <w:r w:rsidR="00BD7466" w:rsidRPr="00E43151">
        <w:rPr>
          <w:rFonts w:cs="Arial"/>
          <w:b/>
          <w:bCs/>
          <w:sz w:val="28"/>
          <w:szCs w:val="28"/>
        </w:rPr>
        <w:t xml:space="preserve"> Language and Analysis of Appropriation</w:t>
      </w:r>
      <w:r w:rsidR="00FF5D2F" w:rsidRPr="00E43151">
        <w:rPr>
          <w:rFonts w:cs="Arial"/>
          <w:b/>
          <w:bCs/>
          <w:sz w:val="28"/>
          <w:szCs w:val="28"/>
        </w:rPr>
        <w:t>s</w:t>
      </w:r>
      <w:r w:rsidR="00BD7466" w:rsidRPr="00E43151">
        <w:rPr>
          <w:rFonts w:cs="Arial"/>
          <w:b/>
          <w:bCs/>
          <w:sz w:val="28"/>
          <w:szCs w:val="28"/>
        </w:rPr>
        <w:t xml:space="preserve"> Language</w:t>
      </w:r>
    </w:p>
    <w:p w:rsidR="00A06230" w:rsidRDefault="00A06230" w:rsidP="00BD7466">
      <w:pPr>
        <w:pStyle w:val="BodyText"/>
        <w:rPr>
          <w:rFonts w:cs="Arial"/>
          <w:b/>
          <w:bCs/>
          <w:sz w:val="28"/>
          <w:szCs w:val="28"/>
        </w:rPr>
      </w:pPr>
    </w:p>
    <w:p w:rsidR="00A06230" w:rsidRPr="00A06230" w:rsidRDefault="00A06230" w:rsidP="00BD7466">
      <w:pPr>
        <w:pStyle w:val="BodyText"/>
        <w:rPr>
          <w:rFonts w:cs="Arial"/>
          <w:b/>
          <w:bCs/>
        </w:rPr>
      </w:pPr>
      <w:r>
        <w:rPr>
          <w:rFonts w:cs="Arial"/>
          <w:b/>
          <w:bCs/>
        </w:rPr>
        <w:t>Appropriations Language</w:t>
      </w:r>
    </w:p>
    <w:bookmarkEnd w:id="0"/>
    <w:bookmarkEnd w:id="1"/>
    <w:p w:rsidR="004B775C" w:rsidRDefault="004B775C" w:rsidP="004B775C">
      <w:pPr>
        <w:pStyle w:val="BodyText"/>
        <w:rPr>
          <w:rFonts w:cs="Arial"/>
          <w:b/>
          <w:bCs/>
        </w:rPr>
      </w:pPr>
    </w:p>
    <w:p w:rsidR="00840A3A" w:rsidRDefault="00840A3A" w:rsidP="00840A3A">
      <w:pPr>
        <w:rPr>
          <w:i/>
        </w:rPr>
      </w:pPr>
      <w:r>
        <w:rPr>
          <w:i/>
        </w:rPr>
        <w:t>Refer to the General Legal Activities Appropriation Exhibit.</w:t>
      </w:r>
    </w:p>
    <w:p w:rsidR="004B775C" w:rsidRDefault="004B775C" w:rsidP="004B775C">
      <w:pPr>
        <w:pStyle w:val="BodyText"/>
        <w:rPr>
          <w:rFonts w:cs="Arial"/>
          <w:bCs/>
          <w:i/>
        </w:rPr>
      </w:pPr>
    </w:p>
    <w:p w:rsidR="004B775C" w:rsidRDefault="004B775C" w:rsidP="004B775C">
      <w:pPr>
        <w:pStyle w:val="BodyText"/>
        <w:rPr>
          <w:rFonts w:cs="Arial"/>
          <w:b/>
          <w:bCs/>
        </w:rPr>
      </w:pPr>
      <w:r>
        <w:rPr>
          <w:rFonts w:cs="Arial"/>
          <w:b/>
          <w:bCs/>
        </w:rPr>
        <w:t>Analysis of Appropriations Language</w:t>
      </w:r>
    </w:p>
    <w:p w:rsidR="004B775C" w:rsidRDefault="004B775C" w:rsidP="004B775C">
      <w:pPr>
        <w:pStyle w:val="BodyText"/>
        <w:rPr>
          <w:rFonts w:cs="Arial"/>
          <w:b/>
          <w:bCs/>
        </w:rPr>
      </w:pPr>
    </w:p>
    <w:p w:rsidR="00840A3A" w:rsidRDefault="00840A3A" w:rsidP="00840A3A">
      <w:pPr>
        <w:rPr>
          <w:i/>
        </w:rPr>
      </w:pPr>
      <w:r>
        <w:rPr>
          <w:i/>
        </w:rPr>
        <w:t>Refer to the General Legal Activities Appropriation Exhibit.</w:t>
      </w:r>
    </w:p>
    <w:p w:rsidR="004B775C" w:rsidRDefault="004B775C" w:rsidP="004B775C">
      <w:pPr>
        <w:pStyle w:val="BodyText"/>
        <w:rPr>
          <w:rFonts w:cs="Arial"/>
          <w:bCs/>
          <w:i/>
        </w:rPr>
      </w:pPr>
    </w:p>
    <w:p w:rsidR="00224A36" w:rsidRPr="00E43151" w:rsidRDefault="004B775C" w:rsidP="00A06230">
      <w:pPr>
        <w:pStyle w:val="BodyText"/>
        <w:rPr>
          <w:rFonts w:cs="Arial"/>
          <w:b/>
          <w:bCs/>
          <w:sz w:val="28"/>
          <w:szCs w:val="28"/>
        </w:rPr>
      </w:pPr>
      <w:r>
        <w:rPr>
          <w:rFonts w:cs="Arial"/>
          <w:b/>
          <w:bCs/>
        </w:rPr>
        <w:br w:type="page"/>
      </w:r>
      <w:r w:rsidR="00AD6A16">
        <w:rPr>
          <w:rFonts w:cs="Arial"/>
          <w:b/>
          <w:bCs/>
        </w:rPr>
        <w:lastRenderedPageBreak/>
        <w:t>I</w:t>
      </w:r>
      <w:r w:rsidR="00A06230">
        <w:rPr>
          <w:rFonts w:cs="Arial"/>
          <w:b/>
          <w:bCs/>
        </w:rPr>
        <w:t>V</w:t>
      </w:r>
      <w:r w:rsidR="00224A36" w:rsidRPr="00E43151">
        <w:rPr>
          <w:rFonts w:cs="Arial"/>
          <w:b/>
          <w:bCs/>
          <w:sz w:val="28"/>
          <w:szCs w:val="28"/>
        </w:rPr>
        <w:t>. Decision Unit Justification</w:t>
      </w:r>
    </w:p>
    <w:p w:rsidR="00224A36" w:rsidRDefault="00224A36">
      <w:pPr>
        <w:pStyle w:val="BodyText"/>
        <w:rPr>
          <w:rFonts w:cs="Arial"/>
          <w:b/>
          <w:bCs/>
        </w:rPr>
      </w:pPr>
    </w:p>
    <w:p w:rsidR="00224A36" w:rsidRDefault="00224A36">
      <w:pPr>
        <w:pStyle w:val="BodyText"/>
        <w:rPr>
          <w:rFonts w:cs="Arial"/>
          <w:b/>
          <w:bCs/>
        </w:rPr>
      </w:pPr>
      <w:r>
        <w:rPr>
          <w:rFonts w:cs="Arial"/>
          <w:b/>
          <w:bCs/>
        </w:rPr>
        <w:t xml:space="preserve">A. </w:t>
      </w:r>
      <w:r w:rsidR="00387FB2">
        <w:rPr>
          <w:rFonts w:cs="Arial"/>
          <w:b/>
          <w:bCs/>
          <w:i/>
          <w:iCs/>
        </w:rPr>
        <w:t>Office of Dispute Resolution</w:t>
      </w:r>
      <w:r>
        <w:rPr>
          <w:rFonts w:cs="Arial"/>
          <w:b/>
          <w:bCs/>
          <w:i/>
          <w:iCs/>
        </w:rPr>
        <w:tab/>
      </w:r>
      <w:r>
        <w:rPr>
          <w:rFonts w:cs="Arial"/>
          <w:b/>
          <w:bCs/>
        </w:rPr>
        <w:tab/>
      </w:r>
      <w:r>
        <w:rPr>
          <w:rFonts w:cs="Arial"/>
          <w:b/>
          <w:bCs/>
        </w:rPr>
        <w:tab/>
      </w:r>
    </w:p>
    <w:p w:rsidR="00224A36" w:rsidRDefault="00224A36">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224A36">
        <w:tc>
          <w:tcPr>
            <w:tcW w:w="4968" w:type="dxa"/>
          </w:tcPr>
          <w:p w:rsidR="00224A36" w:rsidRDefault="00905B0E">
            <w:pPr>
              <w:pStyle w:val="Title"/>
              <w:ind w:left="0"/>
              <w:jc w:val="left"/>
              <w:rPr>
                <w:iCs/>
              </w:rPr>
            </w:pPr>
            <w:r>
              <w:rPr>
                <w:iCs/>
              </w:rPr>
              <w:t>Office of Dispute Resolution</w:t>
            </w:r>
          </w:p>
        </w:tc>
        <w:tc>
          <w:tcPr>
            <w:tcW w:w="1260" w:type="dxa"/>
          </w:tcPr>
          <w:p w:rsidR="00224A36" w:rsidRDefault="00224A36">
            <w:pPr>
              <w:pStyle w:val="Title"/>
              <w:ind w:left="0"/>
              <w:rPr>
                <w:i w:val="0"/>
              </w:rPr>
            </w:pPr>
            <w:r>
              <w:rPr>
                <w:i w:val="0"/>
              </w:rPr>
              <w:t>Perm. Pos.</w:t>
            </w:r>
          </w:p>
        </w:tc>
        <w:tc>
          <w:tcPr>
            <w:tcW w:w="1260" w:type="dxa"/>
          </w:tcPr>
          <w:p w:rsidR="00224A36" w:rsidRDefault="00224A36">
            <w:pPr>
              <w:pStyle w:val="Title"/>
              <w:ind w:left="0"/>
              <w:rPr>
                <w:i w:val="0"/>
              </w:rPr>
            </w:pPr>
            <w:r>
              <w:rPr>
                <w:i w:val="0"/>
              </w:rPr>
              <w:t>FTE</w:t>
            </w:r>
          </w:p>
        </w:tc>
        <w:tc>
          <w:tcPr>
            <w:tcW w:w="2088" w:type="dxa"/>
          </w:tcPr>
          <w:p w:rsidR="00224A36" w:rsidRDefault="00224A36">
            <w:pPr>
              <w:pStyle w:val="Title"/>
              <w:ind w:left="0"/>
              <w:rPr>
                <w:i w:val="0"/>
              </w:rPr>
            </w:pPr>
            <w:r>
              <w:rPr>
                <w:i w:val="0"/>
              </w:rPr>
              <w:t>Amount</w:t>
            </w:r>
          </w:p>
        </w:tc>
      </w:tr>
      <w:tr w:rsidR="00224A36">
        <w:tc>
          <w:tcPr>
            <w:tcW w:w="4968" w:type="dxa"/>
          </w:tcPr>
          <w:p w:rsidR="00224A36" w:rsidRDefault="00670357">
            <w:pPr>
              <w:pStyle w:val="Title"/>
              <w:ind w:left="0"/>
              <w:jc w:val="left"/>
              <w:rPr>
                <w:b w:val="0"/>
                <w:bCs/>
                <w:i w:val="0"/>
              </w:rPr>
            </w:pPr>
            <w:r>
              <w:rPr>
                <w:b w:val="0"/>
                <w:bCs/>
                <w:i w:val="0"/>
              </w:rPr>
              <w:t>20</w:t>
            </w:r>
            <w:r w:rsidR="00CC1EF3">
              <w:rPr>
                <w:b w:val="0"/>
                <w:bCs/>
                <w:i w:val="0"/>
              </w:rPr>
              <w:t>10</w:t>
            </w:r>
            <w:r w:rsidR="00224A36">
              <w:rPr>
                <w:b w:val="0"/>
                <w:bCs/>
                <w:i w:val="0"/>
              </w:rPr>
              <w:t xml:space="preserve"> Enacted with Rescissions</w:t>
            </w:r>
          </w:p>
        </w:tc>
        <w:tc>
          <w:tcPr>
            <w:tcW w:w="1260" w:type="dxa"/>
            <w:vAlign w:val="center"/>
          </w:tcPr>
          <w:p w:rsidR="00224A36" w:rsidRDefault="004F1B7D">
            <w:pPr>
              <w:pStyle w:val="Title"/>
              <w:ind w:left="0"/>
              <w:jc w:val="right"/>
              <w:rPr>
                <w:b w:val="0"/>
                <w:bCs/>
                <w:i w:val="0"/>
              </w:rPr>
            </w:pPr>
            <w:r>
              <w:rPr>
                <w:b w:val="0"/>
                <w:bCs/>
                <w:i w:val="0"/>
              </w:rPr>
              <w:t>3</w:t>
            </w:r>
          </w:p>
        </w:tc>
        <w:tc>
          <w:tcPr>
            <w:tcW w:w="1260" w:type="dxa"/>
            <w:vAlign w:val="center"/>
          </w:tcPr>
          <w:p w:rsidR="00224A36" w:rsidRDefault="004F1B7D">
            <w:pPr>
              <w:pStyle w:val="Title"/>
              <w:ind w:left="0"/>
              <w:jc w:val="right"/>
              <w:rPr>
                <w:b w:val="0"/>
                <w:bCs/>
                <w:i w:val="0"/>
              </w:rPr>
            </w:pPr>
            <w:r>
              <w:rPr>
                <w:b w:val="0"/>
                <w:bCs/>
                <w:i w:val="0"/>
              </w:rPr>
              <w:t>3</w:t>
            </w:r>
          </w:p>
        </w:tc>
        <w:tc>
          <w:tcPr>
            <w:tcW w:w="2088" w:type="dxa"/>
            <w:vAlign w:val="center"/>
          </w:tcPr>
          <w:p w:rsidR="00224A36" w:rsidRDefault="004F1B7D">
            <w:pPr>
              <w:pStyle w:val="Title"/>
              <w:ind w:left="0"/>
              <w:jc w:val="right"/>
              <w:rPr>
                <w:b w:val="0"/>
                <w:bCs/>
                <w:i w:val="0"/>
              </w:rPr>
            </w:pPr>
            <w:r>
              <w:rPr>
                <w:b w:val="0"/>
                <w:bCs/>
                <w:i w:val="0"/>
              </w:rPr>
              <w:t>802</w:t>
            </w:r>
          </w:p>
        </w:tc>
      </w:tr>
      <w:tr w:rsidR="00AC2C96">
        <w:tc>
          <w:tcPr>
            <w:tcW w:w="4968" w:type="dxa"/>
          </w:tcPr>
          <w:p w:rsidR="00AC2C96" w:rsidRDefault="00670357">
            <w:pPr>
              <w:pStyle w:val="Title"/>
              <w:ind w:left="0"/>
              <w:jc w:val="left"/>
              <w:rPr>
                <w:b w:val="0"/>
                <w:bCs/>
                <w:i w:val="0"/>
              </w:rPr>
            </w:pPr>
            <w:bookmarkStart w:id="2" w:name="_Hlk131234810"/>
            <w:r>
              <w:rPr>
                <w:b w:val="0"/>
                <w:bCs/>
                <w:i w:val="0"/>
              </w:rPr>
              <w:t xml:space="preserve">  </w:t>
            </w:r>
            <w:r w:rsidR="007F6312">
              <w:rPr>
                <w:b w:val="0"/>
                <w:bCs/>
                <w:i w:val="0"/>
              </w:rPr>
              <w:t xml:space="preserve"> </w:t>
            </w:r>
            <w:r>
              <w:rPr>
                <w:b w:val="0"/>
                <w:bCs/>
                <w:i w:val="0"/>
              </w:rPr>
              <w:t>20</w:t>
            </w:r>
            <w:r w:rsidR="00CC1EF3">
              <w:rPr>
                <w:b w:val="0"/>
                <w:bCs/>
                <w:i w:val="0"/>
              </w:rPr>
              <w:t>10</w:t>
            </w:r>
            <w:r w:rsidR="00AC2C96">
              <w:rPr>
                <w:b w:val="0"/>
                <w:bCs/>
                <w:i w:val="0"/>
              </w:rPr>
              <w:t xml:space="preserve"> </w:t>
            </w:r>
            <w:r w:rsidR="001B1FC5">
              <w:rPr>
                <w:b w:val="0"/>
                <w:bCs/>
                <w:i w:val="0"/>
              </w:rPr>
              <w:t>Supplemental</w:t>
            </w:r>
          </w:p>
        </w:tc>
        <w:tc>
          <w:tcPr>
            <w:tcW w:w="1260" w:type="dxa"/>
            <w:vAlign w:val="center"/>
          </w:tcPr>
          <w:p w:rsidR="00AC2C96" w:rsidRDefault="00AC2C96">
            <w:pPr>
              <w:pStyle w:val="Title"/>
              <w:ind w:left="0"/>
              <w:jc w:val="right"/>
              <w:rPr>
                <w:b w:val="0"/>
                <w:bCs/>
                <w:i w:val="0"/>
              </w:rPr>
            </w:pPr>
          </w:p>
        </w:tc>
        <w:tc>
          <w:tcPr>
            <w:tcW w:w="1260" w:type="dxa"/>
            <w:vAlign w:val="center"/>
          </w:tcPr>
          <w:p w:rsidR="00AC2C96" w:rsidRDefault="00AC2C96">
            <w:pPr>
              <w:pStyle w:val="Title"/>
              <w:ind w:left="0"/>
              <w:jc w:val="right"/>
              <w:rPr>
                <w:b w:val="0"/>
                <w:bCs/>
                <w:i w:val="0"/>
              </w:rPr>
            </w:pPr>
          </w:p>
        </w:tc>
        <w:tc>
          <w:tcPr>
            <w:tcW w:w="2088" w:type="dxa"/>
            <w:vAlign w:val="center"/>
          </w:tcPr>
          <w:p w:rsidR="00AC2C96" w:rsidRDefault="00AC2C96">
            <w:pPr>
              <w:pStyle w:val="Title"/>
              <w:ind w:left="0"/>
              <w:jc w:val="right"/>
              <w:rPr>
                <w:b w:val="0"/>
                <w:bCs/>
                <w:i w:val="0"/>
              </w:rPr>
            </w:pPr>
          </w:p>
        </w:tc>
      </w:tr>
      <w:tr w:rsidR="00AC2C96">
        <w:tc>
          <w:tcPr>
            <w:tcW w:w="4968" w:type="dxa"/>
          </w:tcPr>
          <w:p w:rsidR="00AC2C96" w:rsidRDefault="00670357">
            <w:pPr>
              <w:pStyle w:val="Title"/>
              <w:ind w:left="0"/>
              <w:jc w:val="left"/>
              <w:rPr>
                <w:b w:val="0"/>
                <w:bCs/>
                <w:i w:val="0"/>
              </w:rPr>
            </w:pPr>
            <w:r>
              <w:rPr>
                <w:b w:val="0"/>
                <w:bCs/>
                <w:i w:val="0"/>
              </w:rPr>
              <w:t>20</w:t>
            </w:r>
            <w:r w:rsidR="00CC1EF3">
              <w:rPr>
                <w:b w:val="0"/>
                <w:bCs/>
                <w:i w:val="0"/>
              </w:rPr>
              <w:t>10</w:t>
            </w:r>
            <w:r w:rsidR="00AC2C96">
              <w:rPr>
                <w:b w:val="0"/>
                <w:bCs/>
                <w:i w:val="0"/>
              </w:rPr>
              <w:t xml:space="preserve"> Enacted w/Rescissions and Supplementals</w:t>
            </w:r>
          </w:p>
        </w:tc>
        <w:tc>
          <w:tcPr>
            <w:tcW w:w="1260" w:type="dxa"/>
            <w:vAlign w:val="center"/>
          </w:tcPr>
          <w:p w:rsidR="00AC2C96" w:rsidRDefault="004F1B7D">
            <w:pPr>
              <w:pStyle w:val="Title"/>
              <w:ind w:left="0"/>
              <w:jc w:val="right"/>
              <w:rPr>
                <w:b w:val="0"/>
                <w:bCs/>
                <w:i w:val="0"/>
              </w:rPr>
            </w:pPr>
            <w:r>
              <w:rPr>
                <w:b w:val="0"/>
                <w:bCs/>
                <w:i w:val="0"/>
              </w:rPr>
              <w:t>3</w:t>
            </w:r>
          </w:p>
        </w:tc>
        <w:tc>
          <w:tcPr>
            <w:tcW w:w="1260" w:type="dxa"/>
            <w:vAlign w:val="center"/>
          </w:tcPr>
          <w:p w:rsidR="00AC2C96" w:rsidRDefault="004F1B7D">
            <w:pPr>
              <w:pStyle w:val="Title"/>
              <w:ind w:left="0"/>
              <w:jc w:val="right"/>
              <w:rPr>
                <w:b w:val="0"/>
                <w:bCs/>
                <w:i w:val="0"/>
              </w:rPr>
            </w:pPr>
            <w:r>
              <w:rPr>
                <w:b w:val="0"/>
                <w:bCs/>
                <w:i w:val="0"/>
              </w:rPr>
              <w:t>3</w:t>
            </w:r>
          </w:p>
        </w:tc>
        <w:tc>
          <w:tcPr>
            <w:tcW w:w="2088" w:type="dxa"/>
            <w:vAlign w:val="center"/>
          </w:tcPr>
          <w:p w:rsidR="00AC2C96" w:rsidRDefault="004F1B7D">
            <w:pPr>
              <w:pStyle w:val="Title"/>
              <w:ind w:left="0"/>
              <w:jc w:val="right"/>
              <w:rPr>
                <w:b w:val="0"/>
                <w:bCs/>
                <w:i w:val="0"/>
              </w:rPr>
            </w:pPr>
            <w:r>
              <w:rPr>
                <w:b w:val="0"/>
                <w:bCs/>
                <w:i w:val="0"/>
              </w:rPr>
              <w:t>802</w:t>
            </w:r>
          </w:p>
        </w:tc>
      </w:tr>
      <w:bookmarkEnd w:id="2"/>
      <w:tr w:rsidR="00224A36">
        <w:tc>
          <w:tcPr>
            <w:tcW w:w="4968" w:type="dxa"/>
          </w:tcPr>
          <w:p w:rsidR="00224A36" w:rsidRDefault="00670357" w:rsidP="00AD6A16">
            <w:pPr>
              <w:pStyle w:val="Title"/>
              <w:ind w:left="0"/>
              <w:jc w:val="left"/>
              <w:rPr>
                <w:b w:val="0"/>
                <w:bCs/>
                <w:i w:val="0"/>
              </w:rPr>
            </w:pPr>
            <w:r>
              <w:rPr>
                <w:b w:val="0"/>
                <w:bCs/>
                <w:i w:val="0"/>
              </w:rPr>
              <w:t>20</w:t>
            </w:r>
            <w:r w:rsidR="00A87425">
              <w:rPr>
                <w:b w:val="0"/>
                <w:bCs/>
                <w:i w:val="0"/>
              </w:rPr>
              <w:t>1</w:t>
            </w:r>
            <w:r w:rsidR="00CC1EF3">
              <w:rPr>
                <w:b w:val="0"/>
                <w:bCs/>
                <w:i w:val="0"/>
              </w:rPr>
              <w:t>1</w:t>
            </w:r>
            <w:r w:rsidR="00224A36">
              <w:rPr>
                <w:b w:val="0"/>
                <w:bCs/>
                <w:i w:val="0"/>
              </w:rPr>
              <w:t xml:space="preserve"> </w:t>
            </w:r>
            <w:r w:rsidR="0074768F">
              <w:rPr>
                <w:b w:val="0"/>
                <w:bCs/>
                <w:i w:val="0"/>
              </w:rPr>
              <w:t>CR</w:t>
            </w:r>
          </w:p>
        </w:tc>
        <w:tc>
          <w:tcPr>
            <w:tcW w:w="1260" w:type="dxa"/>
            <w:vAlign w:val="center"/>
          </w:tcPr>
          <w:p w:rsidR="00224A36" w:rsidRDefault="00B50845">
            <w:pPr>
              <w:pStyle w:val="Title"/>
              <w:ind w:left="0"/>
              <w:jc w:val="right"/>
              <w:rPr>
                <w:b w:val="0"/>
                <w:bCs/>
                <w:i w:val="0"/>
              </w:rPr>
            </w:pPr>
            <w:r>
              <w:rPr>
                <w:b w:val="0"/>
                <w:bCs/>
                <w:i w:val="0"/>
              </w:rPr>
              <w:t>3</w:t>
            </w:r>
          </w:p>
        </w:tc>
        <w:tc>
          <w:tcPr>
            <w:tcW w:w="1260" w:type="dxa"/>
            <w:vAlign w:val="center"/>
          </w:tcPr>
          <w:p w:rsidR="00224A36" w:rsidRDefault="00B50845">
            <w:pPr>
              <w:pStyle w:val="Title"/>
              <w:ind w:left="0"/>
              <w:jc w:val="right"/>
              <w:rPr>
                <w:b w:val="0"/>
                <w:bCs/>
                <w:i w:val="0"/>
              </w:rPr>
            </w:pPr>
            <w:r>
              <w:rPr>
                <w:b w:val="0"/>
                <w:bCs/>
                <w:i w:val="0"/>
              </w:rPr>
              <w:t>3</w:t>
            </w:r>
          </w:p>
        </w:tc>
        <w:tc>
          <w:tcPr>
            <w:tcW w:w="2088" w:type="dxa"/>
            <w:vAlign w:val="center"/>
          </w:tcPr>
          <w:p w:rsidR="00224A36" w:rsidRDefault="00B50845">
            <w:pPr>
              <w:pStyle w:val="Title"/>
              <w:ind w:left="0"/>
              <w:jc w:val="right"/>
              <w:rPr>
                <w:b w:val="0"/>
                <w:bCs/>
                <w:i w:val="0"/>
              </w:rPr>
            </w:pPr>
            <w:r>
              <w:rPr>
                <w:b w:val="0"/>
                <w:bCs/>
                <w:i w:val="0"/>
              </w:rPr>
              <w:t>802</w:t>
            </w:r>
          </w:p>
        </w:tc>
      </w:tr>
      <w:tr w:rsidR="00224A36">
        <w:tc>
          <w:tcPr>
            <w:tcW w:w="4968" w:type="dxa"/>
          </w:tcPr>
          <w:p w:rsidR="00224A36" w:rsidRDefault="00224A36">
            <w:pPr>
              <w:pStyle w:val="Title"/>
              <w:ind w:left="0"/>
              <w:jc w:val="left"/>
              <w:rPr>
                <w:b w:val="0"/>
                <w:bCs/>
                <w:i w:val="0"/>
              </w:rPr>
            </w:pPr>
            <w:r>
              <w:rPr>
                <w:b w:val="0"/>
                <w:bCs/>
                <w:i w:val="0"/>
              </w:rPr>
              <w:t>Adjustments to Base</w:t>
            </w:r>
            <w:r w:rsidR="00AC2C96">
              <w:rPr>
                <w:b w:val="0"/>
                <w:bCs/>
                <w:i w:val="0"/>
              </w:rPr>
              <w:t xml:space="preserve"> and Technical Adjustments</w:t>
            </w:r>
          </w:p>
        </w:tc>
        <w:tc>
          <w:tcPr>
            <w:tcW w:w="1260" w:type="dxa"/>
            <w:vAlign w:val="center"/>
          </w:tcPr>
          <w:p w:rsidR="00224A36" w:rsidRDefault="0063673C">
            <w:pPr>
              <w:pStyle w:val="Title"/>
              <w:ind w:left="0"/>
              <w:jc w:val="right"/>
              <w:rPr>
                <w:b w:val="0"/>
                <w:bCs/>
                <w:i w:val="0"/>
              </w:rPr>
            </w:pPr>
            <w:r>
              <w:rPr>
                <w:b w:val="0"/>
                <w:bCs/>
                <w:i w:val="0"/>
              </w:rPr>
              <w:t>-3</w:t>
            </w:r>
          </w:p>
        </w:tc>
        <w:tc>
          <w:tcPr>
            <w:tcW w:w="1260" w:type="dxa"/>
            <w:vAlign w:val="center"/>
          </w:tcPr>
          <w:p w:rsidR="00224A36" w:rsidRDefault="0063673C">
            <w:pPr>
              <w:pStyle w:val="Title"/>
              <w:ind w:left="0"/>
              <w:jc w:val="right"/>
              <w:rPr>
                <w:b w:val="0"/>
                <w:bCs/>
                <w:i w:val="0"/>
              </w:rPr>
            </w:pPr>
            <w:r>
              <w:rPr>
                <w:b w:val="0"/>
                <w:bCs/>
                <w:i w:val="0"/>
              </w:rPr>
              <w:t>-3</w:t>
            </w:r>
          </w:p>
        </w:tc>
        <w:tc>
          <w:tcPr>
            <w:tcW w:w="2088" w:type="dxa"/>
            <w:vAlign w:val="center"/>
          </w:tcPr>
          <w:p w:rsidR="00224A36" w:rsidRDefault="0063673C">
            <w:pPr>
              <w:pStyle w:val="Title"/>
              <w:ind w:left="0"/>
              <w:jc w:val="right"/>
              <w:rPr>
                <w:b w:val="0"/>
                <w:bCs/>
                <w:i w:val="0"/>
              </w:rPr>
            </w:pPr>
            <w:r>
              <w:rPr>
                <w:b w:val="0"/>
                <w:bCs/>
                <w:i w:val="0"/>
              </w:rPr>
              <w:t>-802</w:t>
            </w:r>
          </w:p>
        </w:tc>
      </w:tr>
      <w:tr w:rsidR="00224A36">
        <w:tc>
          <w:tcPr>
            <w:tcW w:w="4968" w:type="dxa"/>
          </w:tcPr>
          <w:p w:rsidR="00224A36" w:rsidRDefault="00670357">
            <w:pPr>
              <w:pStyle w:val="Title"/>
              <w:ind w:left="0"/>
              <w:jc w:val="left"/>
              <w:rPr>
                <w:b w:val="0"/>
                <w:bCs/>
                <w:i w:val="0"/>
              </w:rPr>
            </w:pPr>
            <w:r>
              <w:rPr>
                <w:b w:val="0"/>
                <w:bCs/>
                <w:i w:val="0"/>
              </w:rPr>
              <w:t>20</w:t>
            </w:r>
            <w:r w:rsidR="001A3012">
              <w:rPr>
                <w:b w:val="0"/>
                <w:bCs/>
                <w:i w:val="0"/>
              </w:rPr>
              <w:t>1</w:t>
            </w:r>
            <w:r w:rsidR="00CC1EF3">
              <w:rPr>
                <w:b w:val="0"/>
                <w:bCs/>
                <w:i w:val="0"/>
              </w:rPr>
              <w:t>2</w:t>
            </w:r>
            <w:r w:rsidR="00224A36">
              <w:rPr>
                <w:b w:val="0"/>
                <w:bCs/>
                <w:i w:val="0"/>
              </w:rPr>
              <w:t xml:space="preserve"> Current Services</w:t>
            </w:r>
          </w:p>
        </w:tc>
        <w:tc>
          <w:tcPr>
            <w:tcW w:w="1260" w:type="dxa"/>
            <w:vAlign w:val="center"/>
          </w:tcPr>
          <w:p w:rsidR="00224A36" w:rsidRDefault="0063673C">
            <w:pPr>
              <w:pStyle w:val="Title"/>
              <w:ind w:left="0"/>
              <w:jc w:val="right"/>
              <w:rPr>
                <w:b w:val="0"/>
                <w:bCs/>
                <w:i w:val="0"/>
              </w:rPr>
            </w:pPr>
            <w:r>
              <w:rPr>
                <w:b w:val="0"/>
                <w:bCs/>
                <w:i w:val="0"/>
              </w:rPr>
              <w:t>0</w:t>
            </w:r>
          </w:p>
        </w:tc>
        <w:tc>
          <w:tcPr>
            <w:tcW w:w="1260" w:type="dxa"/>
            <w:vAlign w:val="center"/>
          </w:tcPr>
          <w:p w:rsidR="00224A36" w:rsidRDefault="0063673C">
            <w:pPr>
              <w:pStyle w:val="Title"/>
              <w:ind w:left="0"/>
              <w:jc w:val="right"/>
              <w:rPr>
                <w:b w:val="0"/>
                <w:bCs/>
                <w:i w:val="0"/>
              </w:rPr>
            </w:pPr>
            <w:r>
              <w:rPr>
                <w:b w:val="0"/>
                <w:bCs/>
                <w:i w:val="0"/>
              </w:rPr>
              <w:t>0</w:t>
            </w:r>
          </w:p>
        </w:tc>
        <w:tc>
          <w:tcPr>
            <w:tcW w:w="2088" w:type="dxa"/>
            <w:vAlign w:val="center"/>
          </w:tcPr>
          <w:p w:rsidR="00224A36" w:rsidRDefault="0063673C">
            <w:pPr>
              <w:pStyle w:val="Title"/>
              <w:ind w:left="0"/>
              <w:jc w:val="right"/>
              <w:rPr>
                <w:b w:val="0"/>
                <w:bCs/>
                <w:i w:val="0"/>
              </w:rPr>
            </w:pPr>
            <w:r>
              <w:rPr>
                <w:b w:val="0"/>
                <w:bCs/>
                <w:i w:val="0"/>
              </w:rPr>
              <w:t>0</w:t>
            </w:r>
          </w:p>
        </w:tc>
      </w:tr>
      <w:tr w:rsidR="00224A36" w:rsidTr="006A30E2">
        <w:tc>
          <w:tcPr>
            <w:tcW w:w="4968" w:type="dxa"/>
            <w:tcBorders>
              <w:bottom w:val="single" w:sz="4" w:space="0" w:color="auto"/>
            </w:tcBorders>
          </w:tcPr>
          <w:p w:rsidR="00224A36" w:rsidRDefault="00670357">
            <w:pPr>
              <w:pStyle w:val="Title"/>
              <w:ind w:left="0"/>
              <w:jc w:val="left"/>
              <w:rPr>
                <w:b w:val="0"/>
                <w:bCs/>
                <w:i w:val="0"/>
              </w:rPr>
            </w:pPr>
            <w:r>
              <w:rPr>
                <w:b w:val="0"/>
                <w:bCs/>
                <w:i w:val="0"/>
              </w:rPr>
              <w:t>20</w:t>
            </w:r>
            <w:r w:rsidR="001A3012">
              <w:rPr>
                <w:b w:val="0"/>
                <w:bCs/>
                <w:i w:val="0"/>
              </w:rPr>
              <w:t>1</w:t>
            </w:r>
            <w:r w:rsidR="00CC1EF3">
              <w:rPr>
                <w:b w:val="0"/>
                <w:bCs/>
                <w:i w:val="0"/>
              </w:rPr>
              <w:t>2</w:t>
            </w:r>
            <w:r w:rsidR="00224A36">
              <w:rPr>
                <w:b w:val="0"/>
                <w:bCs/>
                <w:i w:val="0"/>
              </w:rPr>
              <w:t xml:space="preserve"> Request</w:t>
            </w:r>
          </w:p>
        </w:tc>
        <w:tc>
          <w:tcPr>
            <w:tcW w:w="1260" w:type="dxa"/>
            <w:tcBorders>
              <w:bottom w:val="single" w:sz="4" w:space="0" w:color="auto"/>
            </w:tcBorders>
            <w:vAlign w:val="center"/>
          </w:tcPr>
          <w:p w:rsidR="00224A36" w:rsidRDefault="00A938CC">
            <w:pPr>
              <w:pStyle w:val="Title"/>
              <w:ind w:left="0"/>
              <w:jc w:val="right"/>
              <w:rPr>
                <w:b w:val="0"/>
                <w:bCs/>
                <w:i w:val="0"/>
              </w:rPr>
            </w:pPr>
            <w:r>
              <w:rPr>
                <w:b w:val="0"/>
                <w:bCs/>
                <w:i w:val="0"/>
              </w:rPr>
              <w:t>0</w:t>
            </w:r>
          </w:p>
        </w:tc>
        <w:tc>
          <w:tcPr>
            <w:tcW w:w="1260" w:type="dxa"/>
            <w:tcBorders>
              <w:bottom w:val="single" w:sz="4" w:space="0" w:color="auto"/>
            </w:tcBorders>
            <w:vAlign w:val="center"/>
          </w:tcPr>
          <w:p w:rsidR="00224A36" w:rsidRDefault="00A938CC">
            <w:pPr>
              <w:pStyle w:val="Title"/>
              <w:ind w:left="0"/>
              <w:jc w:val="right"/>
              <w:rPr>
                <w:b w:val="0"/>
                <w:bCs/>
                <w:i w:val="0"/>
              </w:rPr>
            </w:pPr>
            <w:r>
              <w:rPr>
                <w:b w:val="0"/>
                <w:bCs/>
                <w:i w:val="0"/>
              </w:rPr>
              <w:t>0</w:t>
            </w:r>
          </w:p>
        </w:tc>
        <w:tc>
          <w:tcPr>
            <w:tcW w:w="2088" w:type="dxa"/>
            <w:tcBorders>
              <w:bottom w:val="single" w:sz="4" w:space="0" w:color="auto"/>
            </w:tcBorders>
            <w:vAlign w:val="center"/>
          </w:tcPr>
          <w:p w:rsidR="00224A36" w:rsidRDefault="00A938CC">
            <w:pPr>
              <w:pStyle w:val="Title"/>
              <w:ind w:left="0"/>
              <w:jc w:val="right"/>
              <w:rPr>
                <w:b w:val="0"/>
                <w:bCs/>
                <w:i w:val="0"/>
              </w:rPr>
            </w:pPr>
            <w:r>
              <w:rPr>
                <w:b w:val="0"/>
                <w:bCs/>
                <w:i w:val="0"/>
              </w:rPr>
              <w:t>0</w:t>
            </w:r>
          </w:p>
        </w:tc>
      </w:tr>
      <w:tr w:rsidR="00224A36" w:rsidTr="006A30E2">
        <w:tc>
          <w:tcPr>
            <w:tcW w:w="4968" w:type="dxa"/>
            <w:shd w:val="clear" w:color="auto" w:fill="E6E6E6"/>
          </w:tcPr>
          <w:p w:rsidR="00224A36" w:rsidRDefault="00224A36">
            <w:pPr>
              <w:pStyle w:val="Title"/>
              <w:ind w:left="0"/>
              <w:jc w:val="left"/>
              <w:rPr>
                <w:b w:val="0"/>
                <w:bCs/>
                <w:i w:val="0"/>
              </w:rPr>
            </w:pPr>
            <w:r>
              <w:rPr>
                <w:i w:val="0"/>
              </w:rPr>
              <w:t>Total Change 2</w:t>
            </w:r>
            <w:r w:rsidR="00670357">
              <w:rPr>
                <w:i w:val="0"/>
              </w:rPr>
              <w:t>0</w:t>
            </w:r>
            <w:r w:rsidR="00A87425">
              <w:rPr>
                <w:i w:val="0"/>
              </w:rPr>
              <w:t>1</w:t>
            </w:r>
            <w:r w:rsidR="00054F1F">
              <w:rPr>
                <w:i w:val="0"/>
              </w:rPr>
              <w:t>0</w:t>
            </w:r>
            <w:r>
              <w:rPr>
                <w:i w:val="0"/>
              </w:rPr>
              <w:t>-20</w:t>
            </w:r>
            <w:r w:rsidR="00A87425">
              <w:rPr>
                <w:i w:val="0"/>
              </w:rPr>
              <w:t>1</w:t>
            </w:r>
            <w:r w:rsidR="00CC1EF3">
              <w:rPr>
                <w:i w:val="0"/>
              </w:rPr>
              <w:t>2</w:t>
            </w:r>
          </w:p>
        </w:tc>
        <w:tc>
          <w:tcPr>
            <w:tcW w:w="1260" w:type="dxa"/>
            <w:shd w:val="clear" w:color="auto" w:fill="E6E6E6"/>
            <w:vAlign w:val="center"/>
          </w:tcPr>
          <w:p w:rsidR="00224A36" w:rsidRDefault="00A938CC">
            <w:pPr>
              <w:pStyle w:val="Title"/>
              <w:ind w:left="0"/>
              <w:jc w:val="right"/>
              <w:rPr>
                <w:b w:val="0"/>
                <w:bCs/>
                <w:i w:val="0"/>
              </w:rPr>
            </w:pPr>
            <w:r>
              <w:rPr>
                <w:b w:val="0"/>
                <w:bCs/>
                <w:i w:val="0"/>
              </w:rPr>
              <w:t>-3</w:t>
            </w:r>
          </w:p>
        </w:tc>
        <w:tc>
          <w:tcPr>
            <w:tcW w:w="1260" w:type="dxa"/>
            <w:shd w:val="clear" w:color="auto" w:fill="E6E6E6"/>
            <w:vAlign w:val="center"/>
          </w:tcPr>
          <w:p w:rsidR="00224A36" w:rsidRDefault="00A938CC">
            <w:pPr>
              <w:pStyle w:val="Title"/>
              <w:ind w:left="0"/>
              <w:jc w:val="right"/>
              <w:rPr>
                <w:b w:val="0"/>
                <w:bCs/>
                <w:i w:val="0"/>
              </w:rPr>
            </w:pPr>
            <w:r>
              <w:rPr>
                <w:b w:val="0"/>
                <w:bCs/>
                <w:i w:val="0"/>
              </w:rPr>
              <w:t>-3</w:t>
            </w:r>
          </w:p>
        </w:tc>
        <w:tc>
          <w:tcPr>
            <w:tcW w:w="2088" w:type="dxa"/>
            <w:shd w:val="clear" w:color="auto" w:fill="E6E6E6"/>
            <w:vAlign w:val="center"/>
          </w:tcPr>
          <w:p w:rsidR="00224A36" w:rsidRDefault="00A938CC">
            <w:pPr>
              <w:pStyle w:val="Title"/>
              <w:ind w:left="0"/>
              <w:jc w:val="right"/>
              <w:rPr>
                <w:b w:val="0"/>
                <w:bCs/>
                <w:i w:val="0"/>
              </w:rPr>
            </w:pPr>
            <w:r>
              <w:rPr>
                <w:b w:val="0"/>
                <w:bCs/>
                <w:i w:val="0"/>
              </w:rPr>
              <w:t>-802</w:t>
            </w:r>
          </w:p>
        </w:tc>
      </w:tr>
    </w:tbl>
    <w:p w:rsidR="00053DD2" w:rsidRDefault="00053DD2" w:rsidP="00053DD2">
      <w:pPr>
        <w:pStyle w:val="Title"/>
        <w:ind w:left="0"/>
        <w:jc w:val="left"/>
        <w:rPr>
          <w:i w:val="0"/>
        </w:rPr>
      </w:pPr>
    </w:p>
    <w:p w:rsidR="00D52C2F" w:rsidRDefault="00D52C2F" w:rsidP="00D52C2F">
      <w:pPr>
        <w:pStyle w:val="BodyText"/>
        <w:rPr>
          <w:bCs/>
          <w:iCs/>
        </w:rPr>
      </w:pPr>
      <w:r>
        <w:rPr>
          <w:bCs/>
          <w:iCs/>
        </w:rPr>
        <w:t xml:space="preserve">For </w:t>
      </w:r>
      <w:r w:rsidRPr="005D6B14">
        <w:rPr>
          <w:bCs/>
          <w:iCs/>
        </w:rPr>
        <w:t>FY 2012,</w:t>
      </w:r>
      <w:r>
        <w:rPr>
          <w:bCs/>
          <w:iCs/>
        </w:rPr>
        <w:t xml:space="preserve"> all ODR resources and functions are </w:t>
      </w:r>
      <w:r w:rsidR="00DD6722">
        <w:rPr>
          <w:bCs/>
          <w:iCs/>
        </w:rPr>
        <w:t>proposed for transfer</w:t>
      </w:r>
      <w:r>
        <w:rPr>
          <w:bCs/>
          <w:iCs/>
        </w:rPr>
        <w:t xml:space="preserve"> to the Office of Legal Policy in the General Administration appropriation.  The transfer will provide ODR with an administrative support structure and leadership guidance to enable the Office to more effectively carry out its mission.  The Office of Legal Policy is currently authorized for 27 positions, including 20 attorneys and 7 support positions.  </w:t>
      </w:r>
    </w:p>
    <w:p w:rsidR="009136AE" w:rsidRDefault="009136AE" w:rsidP="00053DD2">
      <w:pPr>
        <w:pStyle w:val="xl19"/>
        <w:spacing w:before="0" w:after="0"/>
        <w:ind w:left="360"/>
        <w:rPr>
          <w:rFonts w:eastAsia="Times New Roman" w:cs="Arial"/>
          <w:i/>
          <w:iCs/>
          <w:szCs w:val="24"/>
        </w:rPr>
        <w:sectPr w:rsidR="009136AE" w:rsidSect="00A274D8">
          <w:footerReference w:type="default" r:id="rId9"/>
          <w:pgSz w:w="12240" w:h="15840" w:code="1"/>
          <w:pgMar w:top="720" w:right="1440" w:bottom="720" w:left="1440" w:header="432" w:footer="432" w:gutter="0"/>
          <w:cols w:space="720"/>
        </w:sectPr>
      </w:pPr>
    </w:p>
    <w:p w:rsidR="00A02026" w:rsidRPr="009136AE" w:rsidRDefault="001613C6" w:rsidP="00A02026">
      <w:pPr>
        <w:numPr>
          <w:ilvl w:val="0"/>
          <w:numId w:val="27"/>
        </w:numPr>
        <w:tabs>
          <w:tab w:val="left" w:pos="1080"/>
          <w:tab w:val="left" w:pos="3600"/>
          <w:tab w:val="left" w:pos="5580"/>
        </w:tabs>
        <w:ind w:left="360"/>
        <w:rPr>
          <w:iCs/>
        </w:rPr>
      </w:pPr>
      <w:r w:rsidRPr="009136AE">
        <w:rPr>
          <w:iCs/>
        </w:rPr>
        <w:lastRenderedPageBreak/>
        <w:t>P</w:t>
      </w:r>
      <w:r w:rsidR="004E48F4" w:rsidRPr="009136AE">
        <w:rPr>
          <w:iCs/>
        </w:rPr>
        <w:t>erformance and Resource Table</w:t>
      </w:r>
      <w:r w:rsidR="0026799E" w:rsidRPr="009136AE">
        <w:rPr>
          <w:iCs/>
        </w:rPr>
        <w:t>s</w:t>
      </w:r>
    </w:p>
    <w:p w:rsidR="0026799E" w:rsidRDefault="00EE375A" w:rsidP="0026799E">
      <w:pPr>
        <w:rPr>
          <w:i/>
        </w:rPr>
      </w:pPr>
      <w:r w:rsidRPr="000A3E86">
        <w:rPr>
          <w:i/>
          <w:iCs/>
        </w:rPr>
        <w:object w:dxaOrig="12128" w:dyaOrig="9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6.75pt;height:396.75pt" o:ole="">
            <v:imagedata r:id="rId10" o:title=""/>
          </v:shape>
          <o:OLEObject Type="Embed" ProgID="Excel.Sheet.8" ShapeID="_x0000_i1030" DrawAspect="Content" ObjectID="_1358245093" r:id="rId11"/>
        </w:object>
      </w:r>
      <w:r w:rsidR="00705837">
        <w:rPr>
          <w:i/>
          <w:iCs/>
        </w:rPr>
        <w:t xml:space="preserve"> </w:t>
      </w:r>
    </w:p>
    <w:p w:rsidR="0026799E" w:rsidRDefault="0026799E" w:rsidP="0026799E">
      <w:pPr>
        <w:rPr>
          <w:i/>
        </w:rPr>
      </w:pPr>
    </w:p>
    <w:p w:rsidR="007B6E98" w:rsidRDefault="007B6E98" w:rsidP="0026799E">
      <w:pPr>
        <w:rPr>
          <w:i/>
        </w:rPr>
      </w:pPr>
    </w:p>
    <w:p w:rsidR="007B6E98" w:rsidRDefault="007B6E98" w:rsidP="0026799E">
      <w:pPr>
        <w:rPr>
          <w:i/>
        </w:rPr>
      </w:pPr>
    </w:p>
    <w:p w:rsidR="00581107" w:rsidRDefault="00581107" w:rsidP="00581107">
      <w:pPr>
        <w:pStyle w:val="xl19"/>
        <w:spacing w:before="0" w:after="0"/>
        <w:rPr>
          <w:b/>
          <w:iCs/>
        </w:rPr>
      </w:pPr>
    </w:p>
    <w:p w:rsidR="00581107" w:rsidRPr="0072494A" w:rsidRDefault="00581107" w:rsidP="00581107">
      <w:pPr>
        <w:pStyle w:val="xl19"/>
        <w:spacing w:before="0" w:after="0"/>
        <w:rPr>
          <w:b/>
          <w:bCs/>
          <w:color w:val="000000"/>
          <w:szCs w:val="24"/>
        </w:rPr>
      </w:pPr>
      <w:r w:rsidRPr="0072494A">
        <w:rPr>
          <w:b/>
          <w:iCs/>
          <w:szCs w:val="24"/>
        </w:rPr>
        <w:lastRenderedPageBreak/>
        <w:t>P</w:t>
      </w:r>
      <w:r w:rsidRPr="0072494A">
        <w:rPr>
          <w:b/>
          <w:bCs/>
          <w:color w:val="000000"/>
          <w:szCs w:val="24"/>
        </w:rPr>
        <w:t>rogram Activity Data Definition, Validation, Verification, and Limitations:</w:t>
      </w:r>
    </w:p>
    <w:p w:rsidR="00581107" w:rsidRPr="0072494A" w:rsidRDefault="00581107" w:rsidP="00581107">
      <w:pPr>
        <w:pStyle w:val="xl19"/>
        <w:spacing w:before="0" w:after="0"/>
        <w:rPr>
          <w:b/>
          <w:bCs/>
          <w:color w:val="000000"/>
          <w:szCs w:val="24"/>
        </w:rPr>
      </w:pPr>
    </w:p>
    <w:p w:rsidR="00581107" w:rsidRPr="0072494A" w:rsidRDefault="00581107" w:rsidP="00581107">
      <w:pPr>
        <w:pStyle w:val="xl19"/>
        <w:spacing w:before="0" w:after="0"/>
        <w:rPr>
          <w:b/>
          <w:bCs/>
          <w:color w:val="000000"/>
          <w:szCs w:val="24"/>
        </w:rPr>
      </w:pPr>
      <w:r w:rsidRPr="0072494A">
        <w:rPr>
          <w:b/>
          <w:bCs/>
          <w:color w:val="000000"/>
          <w:szCs w:val="24"/>
        </w:rPr>
        <w:t>Workload Measures:</w:t>
      </w:r>
    </w:p>
    <w:p w:rsidR="00581107" w:rsidRPr="0072494A" w:rsidRDefault="00581107" w:rsidP="00581107">
      <w:pPr>
        <w:pStyle w:val="xl19"/>
        <w:spacing w:before="0" w:after="0"/>
        <w:rPr>
          <w:color w:val="000000"/>
          <w:szCs w:val="24"/>
        </w:rPr>
      </w:pPr>
    </w:p>
    <w:p w:rsidR="00581107" w:rsidRPr="0072494A" w:rsidRDefault="00581107" w:rsidP="00581107">
      <w:pPr>
        <w:pStyle w:val="xl19"/>
        <w:spacing w:before="0" w:after="0"/>
        <w:rPr>
          <w:color w:val="000000"/>
          <w:szCs w:val="24"/>
        </w:rPr>
      </w:pPr>
      <w:r w:rsidRPr="0072494A">
        <w:rPr>
          <w:color w:val="000000"/>
          <w:szCs w:val="24"/>
        </w:rPr>
        <w:t>ODR funds and assists in the use of professional neutrals in appropriate Department civil cases.  The success of the office is measured by the number of cases for which ODR (or the Executive Office for United States Attorneys pursuant to delegated authority from ODR) authorized funding of professional neutrals.  The sources of data collection for tabulating the number of cases using ADR funding are the requests for funding authorization submitted by the components to ODR and the disposition of those requests by ODR, and the requests for funding from United States Attorney’s offices which are authorized by the Executive Office for United States Attorneys pursuant to authority delegated by ODR.  ODR and the Executive Office for United States Attorneys are responsible for tracking the requests for funding authorization which they receive and the disposition of those requests.  Also, ODR and the Executive Office for United States Attorneys are responsible for ensuring compliance with their procedures for maintaining the integrity of their data collections systems.</w:t>
      </w:r>
    </w:p>
    <w:p w:rsidR="00581107" w:rsidRPr="0072494A" w:rsidRDefault="00581107" w:rsidP="00581107">
      <w:pPr>
        <w:pStyle w:val="xl19"/>
        <w:spacing w:before="0" w:after="0"/>
        <w:rPr>
          <w:color w:val="000000"/>
          <w:szCs w:val="24"/>
        </w:rPr>
      </w:pPr>
    </w:p>
    <w:p w:rsidR="00581107" w:rsidRPr="0072494A" w:rsidRDefault="00581107" w:rsidP="00581107">
      <w:pPr>
        <w:pStyle w:val="xl19"/>
        <w:spacing w:before="0" w:after="0"/>
        <w:rPr>
          <w:color w:val="000000"/>
          <w:szCs w:val="24"/>
        </w:rPr>
      </w:pPr>
      <w:r w:rsidRPr="0072494A">
        <w:rPr>
          <w:color w:val="000000"/>
          <w:szCs w:val="24"/>
        </w:rPr>
        <w:t>ODR provides trainings for Department or other federal attorneys on the effective use of ADR.  The source of data collection for tabulating the number of trainings conducted is the records of ODR.  ODR is responsible for tracking the trainings it conducts and is responsible for ensuring compliance with its procedures for maintaining the integrity of its data collection system.</w:t>
      </w:r>
    </w:p>
    <w:p w:rsidR="00581107" w:rsidRPr="0072494A" w:rsidRDefault="00581107" w:rsidP="00581107">
      <w:pPr>
        <w:pStyle w:val="xl19"/>
        <w:spacing w:before="0" w:after="0"/>
        <w:rPr>
          <w:color w:val="000000"/>
          <w:szCs w:val="24"/>
        </w:rPr>
      </w:pPr>
    </w:p>
    <w:p w:rsidR="00581107" w:rsidRPr="0072494A" w:rsidRDefault="00581107" w:rsidP="00581107">
      <w:pPr>
        <w:rPr>
          <w:b/>
          <w:bCs/>
          <w:color w:val="000000"/>
        </w:rPr>
      </w:pPr>
      <w:r w:rsidRPr="0072494A">
        <w:rPr>
          <w:b/>
          <w:bCs/>
          <w:color w:val="000000"/>
        </w:rPr>
        <w:t>Outcome Measures:</w:t>
      </w:r>
    </w:p>
    <w:p w:rsidR="00581107" w:rsidRPr="0072494A" w:rsidRDefault="00581107" w:rsidP="00581107">
      <w:pPr>
        <w:rPr>
          <w:b/>
          <w:bCs/>
          <w:color w:val="000000"/>
        </w:rPr>
      </w:pPr>
    </w:p>
    <w:p w:rsidR="00581107" w:rsidRPr="0072494A" w:rsidRDefault="00581107" w:rsidP="00581107">
      <w:pPr>
        <w:rPr>
          <w:color w:val="000000"/>
        </w:rPr>
      </w:pPr>
      <w:r w:rsidRPr="0072494A">
        <w:rPr>
          <w:color w:val="000000"/>
        </w:rPr>
        <w:t xml:space="preserve">ODR measures the percentage of cases resolved through ADR in two distinct instances: </w:t>
      </w:r>
      <w:r w:rsidRPr="0072494A">
        <w:rPr>
          <w:i/>
          <w:iCs/>
          <w:color w:val="000000"/>
        </w:rPr>
        <w:t>voluntary</w:t>
      </w:r>
      <w:r w:rsidRPr="0072494A">
        <w:rPr>
          <w:color w:val="000000"/>
        </w:rPr>
        <w:t xml:space="preserve"> </w:t>
      </w:r>
      <w:r w:rsidRPr="0072494A">
        <w:rPr>
          <w:i/>
          <w:color w:val="000000"/>
        </w:rPr>
        <w:t>use</w:t>
      </w:r>
      <w:r w:rsidRPr="0072494A">
        <w:rPr>
          <w:color w:val="000000"/>
        </w:rPr>
        <w:t xml:space="preserve"> and </w:t>
      </w:r>
      <w:r w:rsidRPr="0072494A">
        <w:rPr>
          <w:i/>
          <w:color w:val="000000"/>
        </w:rPr>
        <w:t>court-ordered</w:t>
      </w:r>
      <w:r w:rsidRPr="0072494A">
        <w:rPr>
          <w:color w:val="000000"/>
        </w:rPr>
        <w:t xml:space="preserve"> use.</w:t>
      </w:r>
    </w:p>
    <w:p w:rsidR="00581107" w:rsidRPr="0072494A" w:rsidRDefault="00581107" w:rsidP="00581107">
      <w:pPr>
        <w:rPr>
          <w:color w:val="000000"/>
        </w:rPr>
      </w:pPr>
    </w:p>
    <w:p w:rsidR="00581107" w:rsidRPr="0072494A" w:rsidRDefault="00581107" w:rsidP="00581107">
      <w:pPr>
        <w:rPr>
          <w:color w:val="000000"/>
        </w:rPr>
      </w:pPr>
      <w:r w:rsidRPr="0072494A">
        <w:rPr>
          <w:color w:val="000000"/>
        </w:rPr>
        <w:t xml:space="preserve">For </w:t>
      </w:r>
      <w:r w:rsidRPr="0072494A">
        <w:rPr>
          <w:i/>
          <w:color w:val="000000"/>
        </w:rPr>
        <w:t>voluntary use</w:t>
      </w:r>
      <w:r w:rsidRPr="0072494A">
        <w:rPr>
          <w:color w:val="000000"/>
        </w:rPr>
        <w:t xml:space="preserve">, the primary source of data collection for tabulating the Department’s use of ADR is component reporting.  The primary source of case outcomes is attorney evaluations.  Each litigating component is responsible for tracking attorney usage of ADR and forwarding this information to ODR.  ODR gathers outcome information from attorneys.  The individual components are responsible for ensuring compliance with their local procedures for maintaining the integrity of their data collection systems.  </w:t>
      </w:r>
    </w:p>
    <w:p w:rsidR="00581107" w:rsidRPr="0072494A" w:rsidRDefault="00581107" w:rsidP="00581107">
      <w:pPr>
        <w:pStyle w:val="xl19"/>
        <w:spacing w:before="0" w:after="0"/>
        <w:rPr>
          <w:szCs w:val="24"/>
        </w:rPr>
      </w:pPr>
    </w:p>
    <w:p w:rsidR="00581107" w:rsidRPr="0072494A" w:rsidRDefault="00581107" w:rsidP="00581107">
      <w:pPr>
        <w:pStyle w:val="xl19"/>
        <w:spacing w:before="0" w:after="0"/>
        <w:rPr>
          <w:szCs w:val="24"/>
        </w:rPr>
      </w:pPr>
      <w:r w:rsidRPr="0072494A">
        <w:rPr>
          <w:color w:val="000000"/>
          <w:szCs w:val="24"/>
        </w:rPr>
        <w:t xml:space="preserve">For </w:t>
      </w:r>
      <w:r w:rsidRPr="0072494A">
        <w:rPr>
          <w:i/>
          <w:color w:val="000000"/>
          <w:szCs w:val="24"/>
        </w:rPr>
        <w:t xml:space="preserve">court-ordered use </w:t>
      </w:r>
      <w:r w:rsidRPr="0072494A">
        <w:rPr>
          <w:color w:val="000000"/>
          <w:szCs w:val="24"/>
        </w:rPr>
        <w:t>ADR the primary source of data collection for tabulating the Department’s use of ADR is component reporting.  The primary source of case outcomes is attorney evaluations.  Each litigating component is responsible for tracking attorney usage of ADR and forwarding this information to ODR.  ODR gathers outcome information from attorneys.  The individual components are responsible for ensuring compliance with their local procedures for maintaining the integrity of their data collection systems.</w:t>
      </w:r>
    </w:p>
    <w:p w:rsidR="0026799E" w:rsidRDefault="0026799E" w:rsidP="0026799E">
      <w:pPr>
        <w:rPr>
          <w:i/>
        </w:rPr>
      </w:pPr>
    </w:p>
    <w:p w:rsidR="00890DB6" w:rsidRDefault="00890DB6" w:rsidP="00890DB6">
      <w:pPr>
        <w:tabs>
          <w:tab w:val="left" w:pos="13140"/>
        </w:tabs>
        <w:jc w:val="center"/>
      </w:pPr>
    </w:p>
    <w:p w:rsidR="00224A36" w:rsidRDefault="0093457A" w:rsidP="00890DB6">
      <w:pPr>
        <w:tabs>
          <w:tab w:val="left" w:pos="13140"/>
        </w:tabs>
        <w:rPr>
          <w:sz w:val="16"/>
        </w:rPr>
      </w:pPr>
      <w:r>
        <w:object w:dxaOrig="13052" w:dyaOrig="4408">
          <v:shape id="_x0000_i1026" type="#_x0000_t75" style="width:652.5pt;height:220.5pt" o:ole="" o:bordertopcolor="this" o:borderleftcolor="this" o:borderbottomcolor="this" o:borderrightcolor="this">
            <v:imagedata r:id="rId12" o:title=""/>
            <w10:bordertop type="single" width="18"/>
            <w10:borderleft type="single" width="18"/>
            <w10:borderbottom type="single" width="18"/>
            <w10:borderright type="single" width="18"/>
          </v:shape>
          <o:OLEObject Type="Embed" ProgID="Excel.Sheet.8" ShapeID="_x0000_i1026" DrawAspect="Content" ObjectID="_1358245094" r:id="rId13"/>
        </w:object>
      </w:r>
    </w:p>
    <w:p w:rsidR="00224A36" w:rsidRDefault="00224A36">
      <w:pPr>
        <w:rPr>
          <w:sz w:val="16"/>
        </w:rPr>
      </w:pPr>
    </w:p>
    <w:p w:rsidR="009136AE" w:rsidRDefault="009136AE">
      <w:pPr>
        <w:rPr>
          <w:sz w:val="16"/>
        </w:rPr>
        <w:sectPr w:rsidR="009136AE" w:rsidSect="009136AE">
          <w:pgSz w:w="15840" w:h="12240" w:orient="landscape" w:code="1"/>
          <w:pgMar w:top="1440" w:right="1152" w:bottom="1440" w:left="1152" w:header="432" w:footer="432" w:gutter="0"/>
          <w:cols w:space="720"/>
          <w:docGrid w:linePitch="326"/>
        </w:sectPr>
      </w:pPr>
    </w:p>
    <w:p w:rsidR="00974423" w:rsidRDefault="00974423" w:rsidP="00974423">
      <w:pPr>
        <w:pStyle w:val="xl27"/>
        <w:spacing w:before="0" w:after="0"/>
        <w:rPr>
          <w:rFonts w:ascii="Times New Roman" w:eastAsia="Times New Roman" w:hAnsi="Times New Roman"/>
          <w:bCs/>
          <w:szCs w:val="18"/>
        </w:rPr>
      </w:pPr>
      <w:smartTag w:uri="urn:schemas-microsoft-com:office:smarttags" w:element="PersonName">
        <w:r>
          <w:rPr>
            <w:rFonts w:ascii="Times New Roman" w:eastAsia="Times New Roman" w:hAnsi="Times New Roman"/>
            <w:bCs/>
            <w:szCs w:val="18"/>
          </w:rPr>
          <w:lastRenderedPageBreak/>
          <w:t>Performance</w:t>
        </w:r>
      </w:smartTag>
      <w:r>
        <w:rPr>
          <w:rFonts w:ascii="Times New Roman" w:eastAsia="Times New Roman" w:hAnsi="Times New Roman"/>
          <w:bCs/>
          <w:szCs w:val="18"/>
        </w:rPr>
        <w:t>, Resources, and Strategies</w:t>
      </w:r>
    </w:p>
    <w:p w:rsidR="00974423" w:rsidRDefault="00974423" w:rsidP="00974423">
      <w:pPr>
        <w:pStyle w:val="BodyText"/>
        <w:rPr>
          <w:rFonts w:ascii="Arial" w:hAnsi="Arial" w:cs="Arial"/>
          <w:b/>
          <w:bCs/>
          <w:szCs w:val="24"/>
        </w:rPr>
      </w:pPr>
    </w:p>
    <w:p w:rsidR="00974423" w:rsidRDefault="00801759" w:rsidP="00974423">
      <w:pPr>
        <w:rPr>
          <w:b/>
          <w:color w:val="000000"/>
        </w:rPr>
      </w:pPr>
      <w:r w:rsidRPr="00801759">
        <w:rPr>
          <w:b/>
          <w:bCs/>
          <w:noProof/>
          <w:color w:val="000000"/>
        </w:rPr>
        <w:pict>
          <v:shapetype id="_x0000_t202" coordsize="21600,21600" o:spt="202" path="m,l,21600r21600,l21600,xe">
            <v:stroke joinstyle="miter"/>
            <v:path gradientshapeok="t" o:connecttype="rect"/>
          </v:shapetype>
          <v:shape id="_x0000_s1033" type="#_x0000_t202" style="position:absolute;margin-left:9pt;margin-top:13.2pt;width:459pt;height:99pt;z-index:251664384">
            <v:textbox style="mso-next-textbox:#_x0000_s1033">
              <w:txbxContent>
                <w:p w:rsidR="00974423" w:rsidRDefault="00974423" w:rsidP="00974423">
                  <w:pPr>
                    <w:rPr>
                      <w:color w:val="000000"/>
                    </w:rPr>
                  </w:pPr>
                  <w:r w:rsidRPr="007342BD">
                    <w:rPr>
                      <w:bCs/>
                      <w:color w:val="000000"/>
                    </w:rPr>
                    <w:t>Strategic Goal II</w:t>
                  </w:r>
                  <w:r>
                    <w:rPr>
                      <w:b/>
                      <w:bCs/>
                      <w:color w:val="000000"/>
                    </w:rPr>
                    <w:t xml:space="preserve">: </w:t>
                  </w:r>
                  <w:r>
                    <w:rPr>
                      <w:color w:val="000000"/>
                    </w:rPr>
                    <w:t xml:space="preserve"> Prevent Crime, Enforce Federal Laws, and Represent the Rights and </w:t>
                  </w:r>
                </w:p>
                <w:p w:rsidR="00974423" w:rsidRDefault="00974423" w:rsidP="00974423">
                  <w:pPr>
                    <w:rPr>
                      <w:color w:val="000000"/>
                    </w:rPr>
                  </w:pPr>
                  <w:r>
                    <w:rPr>
                      <w:color w:val="000000"/>
                    </w:rPr>
                    <w:t>Interests of the American People</w:t>
                  </w:r>
                </w:p>
                <w:p w:rsidR="00974423" w:rsidRDefault="00974423" w:rsidP="00974423">
                  <w:pPr>
                    <w:rPr>
                      <w:color w:val="000000"/>
                    </w:rPr>
                  </w:pPr>
                </w:p>
                <w:p w:rsidR="00974423" w:rsidRDefault="00974423" w:rsidP="00D56819">
                  <w:r w:rsidRPr="007342BD">
                    <w:rPr>
                      <w:bCs/>
                      <w:color w:val="000000"/>
                    </w:rPr>
                    <w:t>Objective</w:t>
                  </w:r>
                  <w:r>
                    <w:rPr>
                      <w:b/>
                      <w:bCs/>
                      <w:color w:val="000000"/>
                    </w:rPr>
                    <w:t xml:space="preserve">: </w:t>
                  </w:r>
                  <w:r>
                    <w:rPr>
                      <w:color w:val="000000"/>
                    </w:rPr>
                    <w:t xml:space="preserve">  </w:t>
                  </w:r>
                  <w:r w:rsidRPr="00D86F1F">
                    <w:rPr>
                      <w:u w:val="single"/>
                    </w:rPr>
                    <w:t>Strategic Goal Two, Objective 2.</w:t>
                  </w:r>
                  <w:r>
                    <w:rPr>
                      <w:u w:val="single"/>
                    </w:rPr>
                    <w:t>7</w:t>
                  </w:r>
                  <w:r>
                    <w:t xml:space="preserve"> - V</w:t>
                  </w:r>
                  <w:r w:rsidRPr="00D86F1F">
                    <w:t xml:space="preserve">igorously </w:t>
                  </w:r>
                  <w:r>
                    <w:t xml:space="preserve">enforce and </w:t>
                  </w:r>
                  <w:r w:rsidRPr="00D86F1F">
                    <w:t>represent</w:t>
                  </w:r>
                  <w:r w:rsidR="00D56819">
                    <w:t xml:space="preserve"> </w:t>
                  </w:r>
                  <w:r w:rsidRPr="00D86F1F">
                    <w:t>the interests of the United States in all matters for which</w:t>
                  </w:r>
                  <w:r>
                    <w:t xml:space="preserve"> </w:t>
                  </w:r>
                  <w:r w:rsidRPr="00D86F1F">
                    <w:t>the Department has jurisdiction.</w:t>
                  </w:r>
                </w:p>
                <w:p w:rsidR="00974423" w:rsidRDefault="00974423" w:rsidP="00974423"/>
              </w:txbxContent>
            </v:textbox>
          </v:shape>
        </w:pict>
      </w:r>
    </w:p>
    <w:p w:rsidR="00974423" w:rsidRDefault="00974423" w:rsidP="00974423">
      <w:pPr>
        <w:rPr>
          <w:b/>
          <w:color w:val="000000"/>
        </w:rPr>
      </w:pPr>
    </w:p>
    <w:p w:rsidR="00974423" w:rsidRDefault="00974423" w:rsidP="00974423">
      <w:pPr>
        <w:rPr>
          <w:b/>
          <w:color w:val="000000"/>
        </w:rPr>
      </w:pPr>
    </w:p>
    <w:p w:rsidR="00974423" w:rsidRDefault="00974423" w:rsidP="00974423">
      <w:pPr>
        <w:rPr>
          <w:b/>
          <w:color w:val="000000"/>
        </w:rPr>
      </w:pPr>
    </w:p>
    <w:p w:rsidR="00974423" w:rsidRDefault="00974423" w:rsidP="00974423">
      <w:pPr>
        <w:rPr>
          <w:b/>
          <w:color w:val="000000"/>
        </w:rPr>
      </w:pPr>
    </w:p>
    <w:p w:rsidR="00974423" w:rsidRDefault="00974423" w:rsidP="00974423">
      <w:pPr>
        <w:rPr>
          <w:b/>
          <w:color w:val="000000"/>
        </w:rPr>
      </w:pPr>
    </w:p>
    <w:p w:rsidR="00974423" w:rsidRDefault="00974423" w:rsidP="00974423">
      <w:pPr>
        <w:rPr>
          <w:b/>
          <w:color w:val="000000"/>
        </w:rPr>
      </w:pPr>
    </w:p>
    <w:p w:rsidR="00974423" w:rsidRDefault="00974423" w:rsidP="00974423">
      <w:pPr>
        <w:rPr>
          <w:b/>
          <w:color w:val="000000"/>
        </w:rPr>
      </w:pPr>
    </w:p>
    <w:p w:rsidR="00974423" w:rsidRDefault="00974423" w:rsidP="00974423">
      <w:pPr>
        <w:rPr>
          <w:color w:val="000000"/>
        </w:rPr>
      </w:pPr>
    </w:p>
    <w:p w:rsidR="00974423" w:rsidRDefault="00974423" w:rsidP="00974423">
      <w:pPr>
        <w:rPr>
          <w:color w:val="000000"/>
        </w:rPr>
      </w:pPr>
      <w:r>
        <w:rPr>
          <w:b/>
          <w:bCs/>
          <w:color w:val="000000"/>
        </w:rPr>
        <w:t>3.1</w:t>
      </w:r>
      <w:r w:rsidR="00DA49E4">
        <w:rPr>
          <w:b/>
          <w:bCs/>
          <w:color w:val="000000"/>
        </w:rPr>
        <w:t xml:space="preserve"> </w:t>
      </w:r>
      <w:r>
        <w:rPr>
          <w:b/>
          <w:bCs/>
          <w:color w:val="000000"/>
        </w:rPr>
        <w:t xml:space="preserve">Workload Measure 1:  </w:t>
      </w:r>
      <w:r w:rsidRPr="007342BD">
        <w:rPr>
          <w:color w:val="000000"/>
          <w:u w:val="single"/>
        </w:rPr>
        <w:t>Number of cases authorized for funding of professional neutrals</w:t>
      </w:r>
    </w:p>
    <w:p w:rsidR="00974423" w:rsidRDefault="00974423" w:rsidP="00974423">
      <w:pPr>
        <w:ind w:firstLine="720"/>
        <w:rPr>
          <w:b/>
          <w:bCs/>
          <w:color w:val="000000"/>
        </w:rPr>
      </w:pPr>
    </w:p>
    <w:p w:rsidR="00974423" w:rsidRDefault="00974423" w:rsidP="00AB7F54">
      <w:pPr>
        <w:ind w:firstLine="90"/>
        <w:rPr>
          <w:b/>
          <w:bCs/>
          <w:color w:val="000000"/>
        </w:rPr>
      </w:pPr>
      <w:r>
        <w:rPr>
          <w:b/>
          <w:bCs/>
          <w:color w:val="000000"/>
        </w:rPr>
        <w:t>a.</w:t>
      </w:r>
      <w:r w:rsidR="00DA49E4">
        <w:rPr>
          <w:b/>
          <w:bCs/>
          <w:color w:val="000000"/>
        </w:rPr>
        <w:t xml:space="preserve"> </w:t>
      </w:r>
      <w:smartTag w:uri="urn:schemas-microsoft-com:office:smarttags" w:element="PersonName">
        <w:r>
          <w:rPr>
            <w:b/>
            <w:bCs/>
            <w:color w:val="000000"/>
          </w:rPr>
          <w:t>Performance</w:t>
        </w:r>
      </w:smartTag>
      <w:r>
        <w:rPr>
          <w:b/>
          <w:bCs/>
          <w:color w:val="000000"/>
        </w:rPr>
        <w:t xml:space="preserve"> Plan and Report for Outcomes </w:t>
      </w:r>
    </w:p>
    <w:p w:rsidR="00974423" w:rsidRPr="00D20821" w:rsidRDefault="00974423" w:rsidP="00974423">
      <w:pPr>
        <w:pStyle w:val="xl19"/>
        <w:spacing w:before="0" w:after="0"/>
        <w:rPr>
          <w:rFonts w:eastAsia="Times New Roman"/>
          <w:b/>
          <w:i/>
          <w:szCs w:val="24"/>
        </w:rPr>
      </w:pPr>
    </w:p>
    <w:p w:rsidR="00974423" w:rsidRDefault="00974423" w:rsidP="00AB7F54">
      <w:r>
        <w:t xml:space="preserve">In support of its goal to promote the use of ADR at the Department, ODR funds the use of professional neutrals in appropriate Department cases. The areas and scope of ADR funding are necessarily broad in order to cover the wide variety of civil cases involving the </w:t>
      </w:r>
      <w:smartTag w:uri="urn:schemas-microsoft-com:office:smarttags" w:element="place">
        <w:smartTag w:uri="urn:schemas-microsoft-com:office:smarttags" w:element="country-region">
          <w:r>
            <w:t>United States</w:t>
          </w:r>
        </w:smartTag>
      </w:smartTag>
      <w:r>
        <w:t>, including:</w:t>
      </w:r>
    </w:p>
    <w:p w:rsidR="00974423" w:rsidRDefault="00974423" w:rsidP="00974423"/>
    <w:p w:rsidR="00974423" w:rsidRDefault="00974423" w:rsidP="00B830EB">
      <w:pPr>
        <w:tabs>
          <w:tab w:val="num" w:pos="1440"/>
        </w:tabs>
        <w:ind w:left="1152" w:hanging="576"/>
      </w:pPr>
      <w:r>
        <w:rPr>
          <w:rFonts w:ascii="Symbol" w:hAnsi="Symbol"/>
          <w:sz w:val="20"/>
        </w:rPr>
        <w:t></w:t>
      </w:r>
      <w:r>
        <w:rPr>
          <w:sz w:val="14"/>
          <w:szCs w:val="14"/>
        </w:rPr>
        <w:t>              </w:t>
      </w:r>
      <w:r>
        <w:t xml:space="preserve">Civil Division use of ADR in aviation and admiralty defenses, medical malpractice, class action discrimination, workplace discrimination litigation, and some health care and consumer fraud enforcement;  </w:t>
      </w:r>
    </w:p>
    <w:p w:rsidR="00974423" w:rsidRDefault="00974423" w:rsidP="00B830EB">
      <w:pPr>
        <w:tabs>
          <w:tab w:val="num" w:pos="1440"/>
        </w:tabs>
        <w:ind w:left="1152" w:hanging="576"/>
      </w:pPr>
      <w:r>
        <w:rPr>
          <w:rFonts w:ascii="Symbol" w:hAnsi="Symbol"/>
          <w:sz w:val="20"/>
        </w:rPr>
        <w:t></w:t>
      </w:r>
      <w:r>
        <w:rPr>
          <w:sz w:val="14"/>
          <w:szCs w:val="14"/>
        </w:rPr>
        <w:t>              </w:t>
      </w:r>
      <w:r>
        <w:t>Tax Division civil litigation;</w:t>
      </w:r>
    </w:p>
    <w:p w:rsidR="00974423" w:rsidRDefault="00974423" w:rsidP="00B830EB">
      <w:pPr>
        <w:tabs>
          <w:tab w:val="num" w:pos="1440"/>
        </w:tabs>
        <w:ind w:left="1152" w:hanging="576"/>
      </w:pPr>
      <w:r>
        <w:rPr>
          <w:rFonts w:ascii="Symbol" w:hAnsi="Symbol"/>
          <w:sz w:val="20"/>
        </w:rPr>
        <w:t></w:t>
      </w:r>
      <w:r>
        <w:rPr>
          <w:sz w:val="14"/>
          <w:szCs w:val="14"/>
        </w:rPr>
        <w:t>              </w:t>
      </w:r>
      <w:proofErr w:type="gramStart"/>
      <w:r>
        <w:t>A</w:t>
      </w:r>
      <w:proofErr w:type="gramEnd"/>
      <w:r>
        <w:t xml:space="preserve"> vast array of civil matters handled in United States Attorney’s offices nationwide; </w:t>
      </w:r>
    </w:p>
    <w:p w:rsidR="00974423" w:rsidRDefault="00974423" w:rsidP="00B830EB">
      <w:pPr>
        <w:tabs>
          <w:tab w:val="num" w:pos="1440"/>
        </w:tabs>
        <w:ind w:left="1152" w:hanging="576"/>
      </w:pPr>
      <w:r>
        <w:rPr>
          <w:rFonts w:ascii="Symbol" w:hAnsi="Symbol"/>
          <w:sz w:val="20"/>
        </w:rPr>
        <w:t></w:t>
      </w:r>
      <w:r>
        <w:tab/>
      </w:r>
      <w:proofErr w:type="gramStart"/>
      <w:r>
        <w:t>The</w:t>
      </w:r>
      <w:proofErr w:type="gramEnd"/>
      <w:r>
        <w:t xml:space="preserve"> Community Misdemeanor Mediation Project within the Misdemeanor Section of the </w:t>
      </w:r>
      <w:smartTag w:uri="urn:schemas-microsoft-com:office:smarttags" w:element="country-region">
        <w:r>
          <w:t>United States</w:t>
        </w:r>
      </w:smartTag>
      <w:r>
        <w:t xml:space="preserve"> Attorneys’ Office for the </w:t>
      </w:r>
      <w:smartTag w:uri="urn:schemas-microsoft-com:office:smarttags" w:element="place">
        <w:smartTag w:uri="urn:schemas-microsoft-com:office:smarttags" w:element="State">
          <w:r>
            <w:t>District of Columbia</w:t>
          </w:r>
        </w:smartTag>
      </w:smartTag>
      <w:r>
        <w:t xml:space="preserve">; </w:t>
      </w:r>
    </w:p>
    <w:p w:rsidR="00974423" w:rsidRDefault="00974423" w:rsidP="00B830EB">
      <w:pPr>
        <w:tabs>
          <w:tab w:val="num" w:pos="1440"/>
        </w:tabs>
        <w:ind w:left="1152" w:hanging="576"/>
      </w:pPr>
      <w:r>
        <w:rPr>
          <w:rFonts w:ascii="Symbol" w:hAnsi="Symbol"/>
          <w:sz w:val="20"/>
        </w:rPr>
        <w:t></w:t>
      </w:r>
      <w:r>
        <w:rPr>
          <w:sz w:val="14"/>
          <w:szCs w:val="14"/>
        </w:rPr>
        <w:t>              </w:t>
      </w:r>
      <w:r>
        <w:t xml:space="preserve">Civil Rights Division cases involving housing, employment, education, and other types of discrimination claims; </w:t>
      </w:r>
    </w:p>
    <w:p w:rsidR="00974423" w:rsidRDefault="00974423" w:rsidP="00B830EB">
      <w:pPr>
        <w:tabs>
          <w:tab w:val="num" w:pos="1440"/>
        </w:tabs>
        <w:ind w:left="1152" w:hanging="576"/>
      </w:pPr>
      <w:r>
        <w:rPr>
          <w:rFonts w:ascii="Symbol" w:hAnsi="Symbol"/>
          <w:sz w:val="20"/>
        </w:rPr>
        <w:t></w:t>
      </w:r>
      <w:r>
        <w:rPr>
          <w:sz w:val="14"/>
          <w:szCs w:val="14"/>
        </w:rPr>
        <w:t>              </w:t>
      </w:r>
      <w:r>
        <w:t>Environment and Natural Resources Division litigation in water rights disputes and Native American land disputes.</w:t>
      </w:r>
    </w:p>
    <w:p w:rsidR="00974423" w:rsidRDefault="00974423" w:rsidP="00974423">
      <w:pPr>
        <w:tabs>
          <w:tab w:val="num" w:pos="1440"/>
        </w:tabs>
        <w:ind w:left="1440" w:hanging="576"/>
      </w:pPr>
    </w:p>
    <w:p w:rsidR="00974423" w:rsidRPr="006E2E46" w:rsidRDefault="00974423" w:rsidP="006E2E46">
      <w:pPr>
        <w:rPr>
          <w:color w:val="000000"/>
        </w:rPr>
      </w:pPr>
      <w:r w:rsidRPr="00574C93">
        <w:rPr>
          <w:bCs/>
          <w:i/>
          <w:color w:val="000000"/>
        </w:rPr>
        <w:t>Discussion</w:t>
      </w:r>
      <w:r>
        <w:rPr>
          <w:b/>
          <w:bCs/>
          <w:color w:val="000000"/>
        </w:rPr>
        <w:t xml:space="preserve">:  </w:t>
      </w:r>
      <w:r>
        <w:rPr>
          <w:color w:val="000000"/>
        </w:rPr>
        <w:t>The number of cases funded fl</w:t>
      </w:r>
      <w:r w:rsidR="00C43346">
        <w:rPr>
          <w:color w:val="000000"/>
        </w:rPr>
        <w:t>uctuates from year to year because</w:t>
      </w:r>
      <w:r>
        <w:rPr>
          <w:color w:val="000000"/>
        </w:rPr>
        <w:t xml:space="preserve"> the number of civil lawsuits filed which involve the Federal Government fluctuates. Additionally, there are fluctuations which are more case specific such as the type of case, the particular District Court involved and whether it mandates mediation participation, the appropriateness of ADR for resolving the issues in individual cases as well as the willingness of DOJ clients and opposing counsel to settle a particular case. </w:t>
      </w:r>
    </w:p>
    <w:p w:rsidR="00974423" w:rsidRDefault="00974423" w:rsidP="00974423"/>
    <w:p w:rsidR="00974423" w:rsidRPr="007167D5" w:rsidRDefault="00974423" w:rsidP="00974423">
      <w:pPr>
        <w:tabs>
          <w:tab w:val="left" w:pos="720"/>
        </w:tabs>
        <w:ind w:left="720"/>
        <w:rPr>
          <w:b/>
        </w:rPr>
      </w:pPr>
      <w:r w:rsidRPr="007167D5">
        <w:rPr>
          <w:b/>
          <w:bCs/>
          <w:i/>
          <w:iCs/>
        </w:rPr>
        <w:t xml:space="preserve">FY 2006 </w:t>
      </w:r>
      <w:smartTag w:uri="urn:schemas-microsoft-com:office:smarttags" w:element="PersonName">
        <w:r w:rsidRPr="007167D5">
          <w:rPr>
            <w:b/>
            <w:bCs/>
            <w:i/>
            <w:iCs/>
          </w:rPr>
          <w:t>Performance</w:t>
        </w:r>
      </w:smartTag>
      <w:r w:rsidRPr="007167D5">
        <w:rPr>
          <w:b/>
          <w:bCs/>
          <w:i/>
          <w:iCs/>
        </w:rPr>
        <w:t xml:space="preserve"> Actual:</w:t>
      </w:r>
      <w:r w:rsidRPr="007167D5">
        <w:rPr>
          <w:b/>
          <w:i/>
        </w:rPr>
        <w:t xml:space="preserve">  </w:t>
      </w:r>
      <w:r w:rsidRPr="007167D5">
        <w:rPr>
          <w:b/>
        </w:rPr>
        <w:t>485</w:t>
      </w:r>
    </w:p>
    <w:p w:rsidR="00974423" w:rsidRPr="00897E7E" w:rsidRDefault="00974423" w:rsidP="00974423">
      <w:pPr>
        <w:tabs>
          <w:tab w:val="left" w:pos="720"/>
        </w:tabs>
        <w:ind w:left="720"/>
        <w:rPr>
          <w:b/>
        </w:rPr>
      </w:pPr>
      <w:r w:rsidRPr="007167D5">
        <w:rPr>
          <w:b/>
          <w:bCs/>
          <w:i/>
          <w:iCs/>
        </w:rPr>
        <w:t xml:space="preserve">FY 2007 </w:t>
      </w:r>
      <w:smartTag w:uri="urn:schemas-microsoft-com:office:smarttags" w:element="PersonName">
        <w:r w:rsidRPr="007167D5">
          <w:rPr>
            <w:b/>
            <w:bCs/>
            <w:i/>
            <w:iCs/>
          </w:rPr>
          <w:t>Performance</w:t>
        </w:r>
      </w:smartTag>
      <w:r w:rsidRPr="007167D5">
        <w:rPr>
          <w:b/>
          <w:bCs/>
          <w:i/>
          <w:iCs/>
        </w:rPr>
        <w:t xml:space="preserve"> Actual:</w:t>
      </w:r>
      <w:r w:rsidRPr="0057364A">
        <w:rPr>
          <w:b/>
          <w:i/>
        </w:rPr>
        <w:t xml:space="preserve"> </w:t>
      </w:r>
      <w:r w:rsidRPr="00897E7E">
        <w:rPr>
          <w:b/>
        </w:rPr>
        <w:t>505</w:t>
      </w:r>
    </w:p>
    <w:p w:rsidR="00974423" w:rsidRPr="007167D5" w:rsidRDefault="00974423" w:rsidP="00974423">
      <w:pPr>
        <w:tabs>
          <w:tab w:val="left" w:pos="720"/>
        </w:tabs>
        <w:ind w:left="720"/>
        <w:rPr>
          <w:b/>
          <w:bCs/>
          <w:iCs/>
        </w:rPr>
      </w:pPr>
      <w:r w:rsidRPr="007167D5">
        <w:rPr>
          <w:b/>
          <w:bCs/>
          <w:i/>
          <w:iCs/>
        </w:rPr>
        <w:t xml:space="preserve">FY 2008 </w:t>
      </w:r>
      <w:smartTag w:uri="urn:schemas-microsoft-com:office:smarttags" w:element="PersonName">
        <w:r w:rsidRPr="007167D5">
          <w:rPr>
            <w:b/>
            <w:bCs/>
            <w:i/>
            <w:iCs/>
          </w:rPr>
          <w:t>Performance</w:t>
        </w:r>
      </w:smartTag>
      <w:r w:rsidRPr="007167D5">
        <w:rPr>
          <w:b/>
          <w:bCs/>
          <w:i/>
          <w:iCs/>
        </w:rPr>
        <w:t xml:space="preserve"> Actual:</w:t>
      </w:r>
      <w:r w:rsidRPr="007167D5">
        <w:rPr>
          <w:b/>
          <w:bCs/>
          <w:iCs/>
        </w:rPr>
        <w:t xml:space="preserve">  522</w:t>
      </w:r>
    </w:p>
    <w:p w:rsidR="00974423" w:rsidRPr="00AF6DFD" w:rsidRDefault="00974423" w:rsidP="00974423">
      <w:pPr>
        <w:tabs>
          <w:tab w:val="left" w:pos="720"/>
        </w:tabs>
        <w:ind w:left="720"/>
        <w:rPr>
          <w:b/>
          <w:bCs/>
          <w:i/>
          <w:iCs/>
        </w:rPr>
      </w:pPr>
      <w:r w:rsidRPr="00AF6DFD">
        <w:rPr>
          <w:b/>
          <w:bCs/>
          <w:i/>
          <w:iCs/>
        </w:rPr>
        <w:t xml:space="preserve">FY 2009 </w:t>
      </w:r>
      <w:smartTag w:uri="urn:schemas-microsoft-com:office:smarttags" w:element="PersonName">
        <w:r w:rsidRPr="00AF6DFD">
          <w:rPr>
            <w:b/>
            <w:bCs/>
            <w:i/>
            <w:iCs/>
          </w:rPr>
          <w:t>Performance</w:t>
        </w:r>
      </w:smartTag>
      <w:r w:rsidRPr="00AF6DFD">
        <w:rPr>
          <w:b/>
          <w:bCs/>
          <w:i/>
          <w:iCs/>
        </w:rPr>
        <w:t xml:space="preserve"> Actual:</w:t>
      </w:r>
      <w:r w:rsidRPr="00AF6DFD">
        <w:rPr>
          <w:b/>
          <w:bCs/>
          <w:iCs/>
        </w:rPr>
        <w:t xml:space="preserve"> 528</w:t>
      </w:r>
    </w:p>
    <w:p w:rsidR="00974423" w:rsidRPr="00F26108" w:rsidRDefault="00974423" w:rsidP="00974423">
      <w:pPr>
        <w:tabs>
          <w:tab w:val="left" w:pos="720"/>
        </w:tabs>
        <w:ind w:left="720"/>
        <w:rPr>
          <w:b/>
          <w:bCs/>
          <w:iCs/>
        </w:rPr>
      </w:pPr>
      <w:r w:rsidRPr="00F26108">
        <w:rPr>
          <w:b/>
          <w:bCs/>
          <w:i/>
          <w:iCs/>
        </w:rPr>
        <w:t xml:space="preserve">FY 2010 </w:t>
      </w:r>
      <w:smartTag w:uri="urn:schemas-microsoft-com:office:smarttags" w:element="PersonName">
        <w:r w:rsidRPr="00F26108">
          <w:rPr>
            <w:b/>
            <w:bCs/>
            <w:i/>
            <w:iCs/>
          </w:rPr>
          <w:t>Performance</w:t>
        </w:r>
      </w:smartTag>
      <w:r w:rsidRPr="00F26108">
        <w:rPr>
          <w:b/>
          <w:bCs/>
          <w:i/>
          <w:iCs/>
        </w:rPr>
        <w:t xml:space="preserve"> Actual: </w:t>
      </w:r>
      <w:r w:rsidR="00C343B4">
        <w:rPr>
          <w:b/>
          <w:bCs/>
          <w:iCs/>
        </w:rPr>
        <w:t>509</w:t>
      </w:r>
    </w:p>
    <w:p w:rsidR="00974423" w:rsidRDefault="00974423" w:rsidP="00974423">
      <w:pPr>
        <w:tabs>
          <w:tab w:val="left" w:pos="720"/>
        </w:tabs>
        <w:ind w:left="720"/>
      </w:pPr>
      <w:r>
        <w:rPr>
          <w:bCs/>
          <w:i/>
          <w:iCs/>
        </w:rPr>
        <w:t>FY 2011 Performance Target:</w:t>
      </w:r>
      <w:r>
        <w:t xml:space="preserve">  164</w:t>
      </w:r>
    </w:p>
    <w:p w:rsidR="00974423" w:rsidRPr="00E87B37" w:rsidRDefault="00974423" w:rsidP="00974423">
      <w:pPr>
        <w:tabs>
          <w:tab w:val="left" w:pos="720"/>
        </w:tabs>
        <w:ind w:left="720"/>
      </w:pPr>
      <w:r>
        <w:rPr>
          <w:bCs/>
          <w:i/>
          <w:iCs/>
        </w:rPr>
        <w:t>FY 2012 Performance Target:</w:t>
      </w:r>
      <w:r>
        <w:t xml:space="preserve"> 164</w:t>
      </w:r>
    </w:p>
    <w:p w:rsidR="007111E1" w:rsidRDefault="007111E1" w:rsidP="00067A32">
      <w:pPr>
        <w:rPr>
          <w:b/>
          <w:bCs/>
          <w:color w:val="000000"/>
        </w:rPr>
      </w:pPr>
    </w:p>
    <w:p w:rsidR="007111E1" w:rsidRDefault="007111E1" w:rsidP="00067A32">
      <w:pPr>
        <w:rPr>
          <w:b/>
          <w:bCs/>
          <w:color w:val="000000"/>
        </w:rPr>
      </w:pPr>
    </w:p>
    <w:p w:rsidR="007111E1" w:rsidRDefault="007111E1" w:rsidP="00067A32">
      <w:pPr>
        <w:rPr>
          <w:b/>
          <w:bCs/>
          <w:color w:val="000000"/>
        </w:rPr>
      </w:pPr>
    </w:p>
    <w:p w:rsidR="00974423" w:rsidRDefault="00974423" w:rsidP="00067A32">
      <w:pPr>
        <w:rPr>
          <w:b/>
          <w:bCs/>
          <w:color w:val="000000"/>
        </w:rPr>
      </w:pPr>
      <w:r>
        <w:rPr>
          <w:b/>
          <w:bCs/>
          <w:color w:val="000000"/>
        </w:rPr>
        <w:lastRenderedPageBreak/>
        <w:t xml:space="preserve">b. Strategies to Accomplish Outcomes for 2011/2012:  </w:t>
      </w:r>
    </w:p>
    <w:p w:rsidR="00974423" w:rsidRDefault="00974423" w:rsidP="00067A32">
      <w:pPr>
        <w:rPr>
          <w:color w:val="000000"/>
        </w:rPr>
      </w:pPr>
      <w:r>
        <w:rPr>
          <w:b/>
          <w:bCs/>
          <w:color w:val="000000"/>
        </w:rPr>
        <w:br/>
      </w:r>
      <w:r>
        <w:rPr>
          <w:color w:val="000000"/>
        </w:rPr>
        <w:t xml:space="preserve">ODR will continue aiming for a high number of cases authorized for funding of professional neutrals, but recognizes that </w:t>
      </w:r>
      <w:r>
        <w:t>despite fluctuations</w:t>
      </w:r>
      <w:r>
        <w:rPr>
          <w:color w:val="000000"/>
        </w:rPr>
        <w:t xml:space="preserve">, use of ADR will continue to bring </w:t>
      </w:r>
      <w:r>
        <w:t xml:space="preserve">significant </w:t>
      </w:r>
      <w:r>
        <w:rPr>
          <w:color w:val="000000"/>
        </w:rPr>
        <w:t>savings and benefits to the Department and the</w:t>
      </w:r>
      <w:r w:rsidR="00BA50BF">
        <w:rPr>
          <w:color w:val="000000"/>
        </w:rPr>
        <w:t xml:space="preserve"> </w:t>
      </w:r>
      <w:r>
        <w:rPr>
          <w:color w:val="000000"/>
        </w:rPr>
        <w:t xml:space="preserve">United States Government. </w:t>
      </w:r>
    </w:p>
    <w:p w:rsidR="00974423" w:rsidRDefault="00974423" w:rsidP="00974423">
      <w:pPr>
        <w:ind w:left="720"/>
        <w:rPr>
          <w:bCs/>
          <w:szCs w:val="23"/>
        </w:rPr>
      </w:pPr>
    </w:p>
    <w:p w:rsidR="00974423" w:rsidRDefault="00974423" w:rsidP="00974423">
      <w:pPr>
        <w:ind w:left="720"/>
        <w:rPr>
          <w:bCs/>
          <w:szCs w:val="23"/>
        </w:rPr>
      </w:pPr>
    </w:p>
    <w:p w:rsidR="00974423" w:rsidRPr="008C17F9" w:rsidRDefault="00974423" w:rsidP="00974423">
      <w:pPr>
        <w:numPr>
          <w:ilvl w:val="1"/>
          <w:numId w:val="36"/>
        </w:numPr>
        <w:rPr>
          <w:b/>
          <w:bCs/>
          <w:color w:val="000000"/>
        </w:rPr>
      </w:pPr>
      <w:r>
        <w:rPr>
          <w:b/>
          <w:bCs/>
          <w:color w:val="000000"/>
        </w:rPr>
        <w:t xml:space="preserve"> Workload Measure 2:  </w:t>
      </w:r>
      <w:r w:rsidR="00F716A9">
        <w:rPr>
          <w:color w:val="000000"/>
          <w:u w:val="single"/>
        </w:rPr>
        <w:t>Number of training sessions</w:t>
      </w:r>
      <w:r w:rsidRPr="00574C93">
        <w:rPr>
          <w:color w:val="000000"/>
          <w:u w:val="single"/>
        </w:rPr>
        <w:t xml:space="preserve"> to facilitate the use of ADR</w:t>
      </w:r>
    </w:p>
    <w:p w:rsidR="00974423" w:rsidRDefault="00974423" w:rsidP="00974423">
      <w:pPr>
        <w:ind w:left="720"/>
        <w:rPr>
          <w:b/>
          <w:bCs/>
          <w:color w:val="000000"/>
        </w:rPr>
      </w:pPr>
    </w:p>
    <w:p w:rsidR="00974423" w:rsidRDefault="00974423" w:rsidP="00067A32">
      <w:pPr>
        <w:rPr>
          <w:b/>
          <w:bCs/>
          <w:color w:val="000000"/>
        </w:rPr>
      </w:pPr>
      <w:r>
        <w:rPr>
          <w:b/>
          <w:bCs/>
          <w:color w:val="000000"/>
        </w:rPr>
        <w:t xml:space="preserve">a. </w:t>
      </w:r>
      <w:smartTag w:uri="urn:schemas-microsoft-com:office:smarttags" w:element="PersonName">
        <w:r>
          <w:rPr>
            <w:b/>
            <w:bCs/>
            <w:color w:val="000000"/>
          </w:rPr>
          <w:t>Performance</w:t>
        </w:r>
      </w:smartTag>
      <w:r>
        <w:rPr>
          <w:b/>
          <w:bCs/>
          <w:color w:val="000000"/>
        </w:rPr>
        <w:t xml:space="preserve"> Plan &amp; Reported Outcomes</w:t>
      </w:r>
    </w:p>
    <w:p w:rsidR="00974423" w:rsidRDefault="00974423" w:rsidP="00067A32">
      <w:pPr>
        <w:ind w:firstLine="720"/>
        <w:rPr>
          <w:color w:val="000000"/>
        </w:rPr>
      </w:pPr>
    </w:p>
    <w:p w:rsidR="00974423" w:rsidRDefault="00974423" w:rsidP="00067A32">
      <w:pPr>
        <w:pStyle w:val="BodyText2"/>
        <w:rPr>
          <w:b/>
          <w:bCs/>
          <w:sz w:val="24"/>
        </w:rPr>
      </w:pPr>
      <w:r>
        <w:rPr>
          <w:sz w:val="24"/>
        </w:rPr>
        <w:t>In support of its goal to facilitate the effective use of ADR in litigation and other agency disputes, ODR provides training and education for Department or other federal attorneys as needed on the effective use of ADR.</w:t>
      </w:r>
      <w:r>
        <w:rPr>
          <w:b/>
          <w:bCs/>
          <w:sz w:val="24"/>
        </w:rPr>
        <w:t xml:space="preserve">  </w:t>
      </w:r>
    </w:p>
    <w:p w:rsidR="00974423" w:rsidRPr="00323550" w:rsidRDefault="00974423" w:rsidP="000707EC">
      <w:pPr>
        <w:pStyle w:val="BodyText2"/>
        <w:ind w:firstLine="720"/>
        <w:rPr>
          <w:color w:val="FF00FF"/>
          <w:sz w:val="24"/>
          <w:szCs w:val="24"/>
        </w:rPr>
      </w:pPr>
    </w:p>
    <w:p w:rsidR="00974423" w:rsidRDefault="00974423" w:rsidP="000707EC">
      <w:pPr>
        <w:autoSpaceDE w:val="0"/>
        <w:autoSpaceDN w:val="0"/>
        <w:adjustRightInd w:val="0"/>
        <w:rPr>
          <w:color w:val="000000"/>
        </w:rPr>
      </w:pPr>
      <w:r w:rsidRPr="00574C93">
        <w:rPr>
          <w:bCs/>
          <w:i/>
          <w:color w:val="000000"/>
        </w:rPr>
        <w:t>Discussion</w:t>
      </w:r>
      <w:r>
        <w:rPr>
          <w:b/>
          <w:bCs/>
          <w:color w:val="000000"/>
        </w:rPr>
        <w:t xml:space="preserve">: </w:t>
      </w:r>
      <w:r w:rsidR="00E5400E">
        <w:rPr>
          <w:color w:val="000000"/>
        </w:rPr>
        <w:t xml:space="preserve"> The number of training sessions fluctuates</w:t>
      </w:r>
      <w:r w:rsidR="009E0888">
        <w:rPr>
          <w:color w:val="000000"/>
        </w:rPr>
        <w:t xml:space="preserve"> </w:t>
      </w:r>
      <w:r>
        <w:rPr>
          <w:color w:val="000000"/>
        </w:rPr>
        <w:t xml:space="preserve">from year to year. This is because the number of </w:t>
      </w:r>
      <w:r w:rsidR="00F227C6">
        <w:rPr>
          <w:color w:val="000000"/>
        </w:rPr>
        <w:t>courses that</w:t>
      </w:r>
      <w:r>
        <w:rPr>
          <w:color w:val="000000"/>
        </w:rPr>
        <w:t xml:space="preserve"> Department components or</w:t>
      </w:r>
      <w:r w:rsidR="009E0888">
        <w:rPr>
          <w:color w:val="000000"/>
        </w:rPr>
        <w:t xml:space="preserve"> </w:t>
      </w:r>
      <w:r>
        <w:rPr>
          <w:color w:val="000000"/>
        </w:rPr>
        <w:t xml:space="preserve">federal agencies need and request depends on factors that vary, e.g., number of new attorneys hired who need training, number of subject-specific needs that arise in Department components and federal agencies because of caseload or particular types of cases being handled, and the ability of Department and ODR to dedicate time for training. </w:t>
      </w:r>
    </w:p>
    <w:p w:rsidR="00974423" w:rsidRDefault="00974423" w:rsidP="00974423">
      <w:pPr>
        <w:autoSpaceDE w:val="0"/>
        <w:autoSpaceDN w:val="0"/>
        <w:adjustRightInd w:val="0"/>
        <w:rPr>
          <w:color w:val="000000"/>
        </w:rPr>
      </w:pPr>
    </w:p>
    <w:p w:rsidR="00974423" w:rsidRDefault="00974423" w:rsidP="0066171A">
      <w:r w:rsidRPr="000D2CBC">
        <w:t xml:space="preserve">It is difficult to </w:t>
      </w:r>
      <w:r>
        <w:t xml:space="preserve">directly </w:t>
      </w:r>
      <w:r w:rsidRPr="000D2CBC">
        <w:t>ga</w:t>
      </w:r>
      <w:r>
        <w:t>u</w:t>
      </w:r>
      <w:r w:rsidRPr="000D2CBC">
        <w:t xml:space="preserve">ge the impact of training at </w:t>
      </w:r>
      <w:r w:rsidR="0058555C">
        <w:t xml:space="preserve">the </w:t>
      </w:r>
      <w:r w:rsidRPr="000D2CBC">
        <w:t>N</w:t>
      </w:r>
      <w:r w:rsidR="0058555C">
        <w:t xml:space="preserve">ational </w:t>
      </w:r>
      <w:r w:rsidR="0058555C" w:rsidRPr="000D2CBC">
        <w:t>A</w:t>
      </w:r>
      <w:r w:rsidR="0058555C">
        <w:t xml:space="preserve">dvocate </w:t>
      </w:r>
      <w:r w:rsidRPr="000D2CBC">
        <w:t>C</w:t>
      </w:r>
      <w:r w:rsidR="0058555C">
        <w:t>enter</w:t>
      </w:r>
      <w:r w:rsidRPr="000D2CBC">
        <w:t xml:space="preserve"> as it relates to increased requests for use of ADR funds.</w:t>
      </w:r>
      <w:r>
        <w:t xml:space="preserve"> </w:t>
      </w:r>
      <w:r w:rsidRPr="000D2CBC">
        <w:t>There is no control, of course, over the variety of cases brought in each District. Obviously, not every case is appropriate for ADR. The purpose of the training is not only to help the attorneys apply relevant techniques in the ADR processes, but even more importantly, to identify and assess each case as to whether or not ADR might be helpful in advantageously settling the case for the government.  However, it is clear that there has been a distinct increase in requests for funding during the same time that the training has been stepped up</w:t>
      </w:r>
      <w:r>
        <w:t xml:space="preserve">. For example, in FY 2007 ODR recorded a five (5) percent increase in funding by the end of the fiscal year. </w:t>
      </w:r>
    </w:p>
    <w:p w:rsidR="00974423" w:rsidRDefault="00974423" w:rsidP="00974423">
      <w:pPr>
        <w:ind w:left="720" w:hanging="720"/>
      </w:pPr>
      <w:r>
        <w:t xml:space="preserve"> </w:t>
      </w:r>
    </w:p>
    <w:p w:rsidR="00974423" w:rsidRPr="008A5D0B" w:rsidRDefault="00974423" w:rsidP="00974423">
      <w:pPr>
        <w:rPr>
          <w:b/>
        </w:rPr>
      </w:pPr>
      <w:r>
        <w:tab/>
      </w:r>
      <w:bookmarkStart w:id="3" w:name="OLE_LINK18"/>
      <w:bookmarkStart w:id="4" w:name="OLE_LINK19"/>
      <w:r w:rsidRPr="008A5D0B">
        <w:rPr>
          <w:b/>
          <w:bCs/>
          <w:i/>
          <w:iCs/>
        </w:rPr>
        <w:t xml:space="preserve">FY 2006 </w:t>
      </w:r>
      <w:smartTag w:uri="urn:schemas-microsoft-com:office:smarttags" w:element="PersonName">
        <w:r w:rsidRPr="008A5D0B">
          <w:rPr>
            <w:b/>
            <w:bCs/>
            <w:i/>
            <w:iCs/>
          </w:rPr>
          <w:t>Performance</w:t>
        </w:r>
      </w:smartTag>
      <w:r w:rsidRPr="008A5D0B">
        <w:rPr>
          <w:b/>
          <w:bCs/>
          <w:i/>
          <w:iCs/>
        </w:rPr>
        <w:t xml:space="preserve"> </w:t>
      </w:r>
      <w:r w:rsidRPr="008A5D0B">
        <w:rPr>
          <w:b/>
          <w:bCs/>
          <w:i/>
          <w:iCs/>
          <w:u w:val="single"/>
        </w:rPr>
        <w:t>Actual</w:t>
      </w:r>
      <w:r w:rsidRPr="008A5D0B">
        <w:rPr>
          <w:b/>
          <w:bCs/>
          <w:i/>
          <w:iCs/>
        </w:rPr>
        <w:t>:</w:t>
      </w:r>
      <w:r w:rsidRPr="008A5D0B">
        <w:rPr>
          <w:b/>
        </w:rPr>
        <w:t xml:space="preserve"> </w:t>
      </w:r>
      <w:bookmarkEnd w:id="3"/>
      <w:bookmarkEnd w:id="4"/>
      <w:r w:rsidRPr="008A5D0B">
        <w:rPr>
          <w:b/>
        </w:rPr>
        <w:t>2</w:t>
      </w:r>
    </w:p>
    <w:p w:rsidR="00974423" w:rsidRPr="008A5D0B" w:rsidRDefault="00974423" w:rsidP="00974423">
      <w:pPr>
        <w:ind w:left="720"/>
        <w:rPr>
          <w:b/>
          <w:bCs/>
          <w:i/>
          <w:iCs/>
        </w:rPr>
      </w:pPr>
      <w:r w:rsidRPr="008A5D0B">
        <w:rPr>
          <w:b/>
          <w:bCs/>
          <w:i/>
          <w:iCs/>
        </w:rPr>
        <w:t xml:space="preserve">FY 2007 </w:t>
      </w:r>
      <w:smartTag w:uri="urn:schemas-microsoft-com:office:smarttags" w:element="PersonName">
        <w:r w:rsidRPr="008A5D0B">
          <w:rPr>
            <w:b/>
            <w:bCs/>
            <w:i/>
            <w:iCs/>
          </w:rPr>
          <w:t>Performance</w:t>
        </w:r>
      </w:smartTag>
      <w:r w:rsidRPr="008A5D0B">
        <w:rPr>
          <w:b/>
          <w:bCs/>
          <w:i/>
          <w:iCs/>
        </w:rPr>
        <w:t xml:space="preserve"> </w:t>
      </w:r>
      <w:r w:rsidRPr="008A5D0B">
        <w:rPr>
          <w:b/>
          <w:bCs/>
          <w:i/>
          <w:iCs/>
          <w:u w:val="single"/>
        </w:rPr>
        <w:t>Actual</w:t>
      </w:r>
      <w:r w:rsidRPr="008A5D0B">
        <w:rPr>
          <w:b/>
          <w:bCs/>
          <w:i/>
          <w:iCs/>
        </w:rPr>
        <w:t xml:space="preserve">: </w:t>
      </w:r>
      <w:r w:rsidRPr="00897E7E">
        <w:rPr>
          <w:b/>
          <w:bCs/>
          <w:iCs/>
        </w:rPr>
        <w:t>5</w:t>
      </w:r>
    </w:p>
    <w:p w:rsidR="00974423" w:rsidRPr="00366529" w:rsidRDefault="00974423" w:rsidP="00974423">
      <w:pPr>
        <w:ind w:left="720"/>
        <w:rPr>
          <w:b/>
        </w:rPr>
      </w:pPr>
      <w:r w:rsidRPr="00366529">
        <w:rPr>
          <w:b/>
          <w:bCs/>
          <w:i/>
          <w:iCs/>
        </w:rPr>
        <w:t xml:space="preserve">FY 2008 </w:t>
      </w:r>
      <w:smartTag w:uri="urn:schemas-microsoft-com:office:smarttags" w:element="PersonName">
        <w:r w:rsidRPr="00366529">
          <w:rPr>
            <w:b/>
            <w:bCs/>
            <w:i/>
            <w:iCs/>
          </w:rPr>
          <w:t>Performance</w:t>
        </w:r>
      </w:smartTag>
      <w:r w:rsidRPr="00366529">
        <w:rPr>
          <w:b/>
          <w:bCs/>
          <w:i/>
          <w:iCs/>
        </w:rPr>
        <w:t xml:space="preserve"> </w:t>
      </w:r>
      <w:r w:rsidRPr="00366529">
        <w:rPr>
          <w:b/>
          <w:bCs/>
          <w:i/>
          <w:iCs/>
          <w:u w:val="single"/>
        </w:rPr>
        <w:t>Actual</w:t>
      </w:r>
      <w:r w:rsidRPr="00366529">
        <w:rPr>
          <w:b/>
          <w:bCs/>
          <w:i/>
          <w:iCs/>
        </w:rPr>
        <w:t xml:space="preserve">: </w:t>
      </w:r>
      <w:r w:rsidRPr="008C673C">
        <w:rPr>
          <w:b/>
          <w:bCs/>
          <w:iCs/>
        </w:rPr>
        <w:t>8</w:t>
      </w:r>
    </w:p>
    <w:p w:rsidR="00974423" w:rsidRDefault="00974423" w:rsidP="00974423">
      <w:pPr>
        <w:ind w:left="720"/>
      </w:pPr>
      <w:r w:rsidRPr="00AF6DFD">
        <w:rPr>
          <w:b/>
          <w:bCs/>
          <w:i/>
          <w:iCs/>
        </w:rPr>
        <w:t xml:space="preserve">FY 2009 </w:t>
      </w:r>
      <w:smartTag w:uri="urn:schemas-microsoft-com:office:smarttags" w:element="PersonName">
        <w:r w:rsidRPr="00AF6DFD">
          <w:rPr>
            <w:b/>
            <w:bCs/>
            <w:i/>
            <w:iCs/>
          </w:rPr>
          <w:t>Performance</w:t>
        </w:r>
      </w:smartTag>
      <w:r w:rsidRPr="00AF6DFD">
        <w:rPr>
          <w:b/>
          <w:bCs/>
          <w:i/>
          <w:iCs/>
        </w:rPr>
        <w:t xml:space="preserve"> </w:t>
      </w:r>
      <w:r w:rsidRPr="008C673C">
        <w:rPr>
          <w:b/>
          <w:bCs/>
          <w:i/>
          <w:iCs/>
          <w:u w:val="single"/>
        </w:rPr>
        <w:t>Actual</w:t>
      </w:r>
      <w:r w:rsidRPr="00574C93">
        <w:rPr>
          <w:bCs/>
          <w:i/>
          <w:iCs/>
        </w:rPr>
        <w:t>:</w:t>
      </w:r>
      <w:r w:rsidRPr="008C673C">
        <w:rPr>
          <w:b/>
        </w:rPr>
        <w:t xml:space="preserve"> 1</w:t>
      </w:r>
    </w:p>
    <w:p w:rsidR="00974423" w:rsidRDefault="00974423" w:rsidP="00974423">
      <w:pPr>
        <w:ind w:left="720"/>
      </w:pPr>
      <w:r w:rsidRPr="00574C93">
        <w:rPr>
          <w:bCs/>
          <w:i/>
          <w:iCs/>
        </w:rPr>
        <w:t>FY 20</w:t>
      </w:r>
      <w:r>
        <w:rPr>
          <w:bCs/>
          <w:i/>
          <w:iCs/>
        </w:rPr>
        <w:t>10</w:t>
      </w:r>
      <w:r w:rsidRPr="00574C93">
        <w:rPr>
          <w:bCs/>
          <w:i/>
          <w:iCs/>
        </w:rPr>
        <w:t xml:space="preserve"> </w:t>
      </w:r>
      <w:smartTag w:uri="urn:schemas-microsoft-com:office:smarttags" w:element="PersonName">
        <w:r w:rsidRPr="00574C93">
          <w:rPr>
            <w:bCs/>
            <w:i/>
            <w:iCs/>
          </w:rPr>
          <w:t>Performance</w:t>
        </w:r>
      </w:smartTag>
      <w:r w:rsidRPr="00574C93">
        <w:rPr>
          <w:bCs/>
          <w:i/>
          <w:iCs/>
        </w:rPr>
        <w:t xml:space="preserve"> Target:</w:t>
      </w:r>
      <w:r w:rsidRPr="00574C93">
        <w:t xml:space="preserve"> 10</w:t>
      </w:r>
    </w:p>
    <w:p w:rsidR="00F02FE7" w:rsidRDefault="00974423" w:rsidP="00974423">
      <w:pPr>
        <w:ind w:left="720"/>
      </w:pPr>
      <w:r>
        <w:rPr>
          <w:bCs/>
          <w:i/>
          <w:iCs/>
        </w:rPr>
        <w:t>FY 2011 Performance Target:</w:t>
      </w:r>
      <w:r>
        <w:t xml:space="preserve"> 10</w:t>
      </w:r>
    </w:p>
    <w:p w:rsidR="00974423" w:rsidRDefault="00F02FE7" w:rsidP="00974423">
      <w:pPr>
        <w:ind w:left="720"/>
        <w:rPr>
          <w:sz w:val="22"/>
        </w:rPr>
      </w:pPr>
      <w:r>
        <w:rPr>
          <w:bCs/>
          <w:i/>
          <w:iCs/>
        </w:rPr>
        <w:t>FY 2012 Performance Target:</w:t>
      </w:r>
      <w:r>
        <w:t xml:space="preserve"> 10</w:t>
      </w:r>
      <w:r w:rsidR="00974423">
        <w:br/>
      </w:r>
    </w:p>
    <w:p w:rsidR="00974423" w:rsidRDefault="00974423" w:rsidP="0066171A">
      <w:pPr>
        <w:rPr>
          <w:b/>
          <w:bCs/>
        </w:rPr>
      </w:pPr>
      <w:r>
        <w:rPr>
          <w:b/>
          <w:bCs/>
        </w:rPr>
        <w:t>b. Strategies to Accomplish Outcomes</w:t>
      </w:r>
    </w:p>
    <w:p w:rsidR="00974423" w:rsidRDefault="00974423" w:rsidP="0066171A"/>
    <w:p w:rsidR="00974423" w:rsidRDefault="00974423" w:rsidP="0066171A">
      <w:pPr>
        <w:rPr>
          <w:color w:val="000000"/>
        </w:rPr>
      </w:pPr>
      <w:r w:rsidRPr="00574C93">
        <w:rPr>
          <w:bCs/>
          <w:color w:val="000000"/>
        </w:rPr>
        <w:t>Strategies to Achieve FY 20</w:t>
      </w:r>
      <w:r w:rsidR="00CF718C">
        <w:rPr>
          <w:bCs/>
          <w:color w:val="000000"/>
        </w:rPr>
        <w:t>11</w:t>
      </w:r>
      <w:r w:rsidRPr="00574C93">
        <w:rPr>
          <w:bCs/>
          <w:color w:val="000000"/>
        </w:rPr>
        <w:t>/</w:t>
      </w:r>
      <w:r>
        <w:rPr>
          <w:bCs/>
          <w:color w:val="000000"/>
        </w:rPr>
        <w:t>201</w:t>
      </w:r>
      <w:r w:rsidR="00CF718C">
        <w:rPr>
          <w:bCs/>
          <w:color w:val="000000"/>
        </w:rPr>
        <w:t>2</w:t>
      </w:r>
      <w:r w:rsidRPr="00574C93">
        <w:rPr>
          <w:bCs/>
          <w:color w:val="000000"/>
        </w:rPr>
        <w:t xml:space="preserve"> Goal</w:t>
      </w:r>
      <w:r>
        <w:rPr>
          <w:b/>
          <w:bCs/>
          <w:color w:val="000000"/>
        </w:rPr>
        <w:t>:</w:t>
      </w:r>
      <w:r>
        <w:rPr>
          <w:color w:val="000000"/>
        </w:rPr>
        <w:t xml:space="preserve"> ODR will continue aiming for a high number of trainings, but recognizes that </w:t>
      </w:r>
      <w:r>
        <w:t>despite fluctuations</w:t>
      </w:r>
      <w:r>
        <w:rPr>
          <w:color w:val="000000"/>
        </w:rPr>
        <w:t>, training in ADR will continue to promote its effective use in the Department and other federal agencies.</w:t>
      </w:r>
    </w:p>
    <w:p w:rsidR="00974423" w:rsidRDefault="00974423" w:rsidP="00974423">
      <w:pPr>
        <w:rPr>
          <w:b/>
          <w:bCs/>
          <w:color w:val="000000"/>
        </w:rPr>
      </w:pPr>
    </w:p>
    <w:p w:rsidR="0080059F" w:rsidRDefault="0080059F" w:rsidP="00974423">
      <w:pPr>
        <w:rPr>
          <w:b/>
          <w:bCs/>
          <w:color w:val="000000"/>
        </w:rPr>
      </w:pPr>
    </w:p>
    <w:p w:rsidR="0080059F" w:rsidRDefault="0080059F" w:rsidP="00974423">
      <w:pPr>
        <w:rPr>
          <w:b/>
          <w:bCs/>
          <w:color w:val="000000"/>
        </w:rPr>
      </w:pPr>
    </w:p>
    <w:p w:rsidR="0080059F" w:rsidRDefault="0080059F" w:rsidP="00974423">
      <w:pPr>
        <w:rPr>
          <w:b/>
          <w:bCs/>
          <w:color w:val="000000"/>
        </w:rPr>
      </w:pPr>
    </w:p>
    <w:p w:rsidR="00974423" w:rsidRDefault="00974423" w:rsidP="00974423">
      <w:pPr>
        <w:rPr>
          <w:color w:val="000000"/>
        </w:rPr>
      </w:pPr>
      <w:r>
        <w:rPr>
          <w:b/>
          <w:bCs/>
          <w:color w:val="000000"/>
        </w:rPr>
        <w:lastRenderedPageBreak/>
        <w:t>3.3 Outcome Measure 1:</w:t>
      </w:r>
      <w:r>
        <w:rPr>
          <w:color w:val="000000"/>
        </w:rPr>
        <w:t xml:space="preserve">  </w:t>
      </w:r>
      <w:r w:rsidRPr="00574C93">
        <w:rPr>
          <w:color w:val="000000"/>
          <w:u w:val="single"/>
        </w:rPr>
        <w:t xml:space="preserve">Percentage of cases </w:t>
      </w:r>
      <w:r>
        <w:rPr>
          <w:color w:val="000000"/>
          <w:u w:val="single"/>
        </w:rPr>
        <w:t>r</w:t>
      </w:r>
      <w:r w:rsidRPr="00574C93">
        <w:rPr>
          <w:color w:val="000000"/>
          <w:u w:val="single"/>
        </w:rPr>
        <w:t>esolved using voluntary ADR</w:t>
      </w:r>
      <w:r>
        <w:rPr>
          <w:color w:val="000000"/>
        </w:rPr>
        <w:t xml:space="preserve"> </w:t>
      </w:r>
    </w:p>
    <w:p w:rsidR="00974423" w:rsidRDefault="00974423" w:rsidP="00974423">
      <w:pPr>
        <w:ind w:left="720"/>
        <w:rPr>
          <w:color w:val="000000"/>
        </w:rPr>
      </w:pPr>
    </w:p>
    <w:p w:rsidR="00974423" w:rsidRPr="00574C93" w:rsidRDefault="00974423" w:rsidP="00BB5305">
      <w:pPr>
        <w:pStyle w:val="BodyTextIndent2"/>
        <w:ind w:hanging="360"/>
        <w:rPr>
          <w:b/>
        </w:rPr>
      </w:pPr>
      <w:r w:rsidRPr="00574C93">
        <w:rPr>
          <w:b/>
          <w:bCs/>
        </w:rPr>
        <w:t xml:space="preserve">a. </w:t>
      </w:r>
      <w:smartTag w:uri="urn:schemas-microsoft-com:office:smarttags" w:element="PersonName">
        <w:r w:rsidRPr="00574C93">
          <w:rPr>
            <w:b/>
            <w:bCs/>
          </w:rPr>
          <w:t>Performance</w:t>
        </w:r>
      </w:smartTag>
      <w:r w:rsidRPr="00574C93">
        <w:rPr>
          <w:b/>
          <w:bCs/>
        </w:rPr>
        <w:t xml:space="preserve"> Plan</w:t>
      </w:r>
      <w:r>
        <w:rPr>
          <w:b/>
          <w:bCs/>
        </w:rPr>
        <w:t xml:space="preserve"> &amp; </w:t>
      </w:r>
      <w:r w:rsidRPr="00574C93">
        <w:rPr>
          <w:b/>
          <w:bCs/>
        </w:rPr>
        <w:t>Report</w:t>
      </w:r>
      <w:r>
        <w:rPr>
          <w:b/>
          <w:bCs/>
        </w:rPr>
        <w:t>ed</w:t>
      </w:r>
      <w:r w:rsidRPr="00574C93">
        <w:rPr>
          <w:b/>
          <w:bCs/>
        </w:rPr>
        <w:t xml:space="preserve"> </w:t>
      </w:r>
      <w:r>
        <w:rPr>
          <w:b/>
          <w:bCs/>
        </w:rPr>
        <w:t>O</w:t>
      </w:r>
      <w:r w:rsidRPr="00574C93">
        <w:rPr>
          <w:b/>
          <w:bCs/>
        </w:rPr>
        <w:t>utcomes</w:t>
      </w:r>
    </w:p>
    <w:p w:rsidR="00974423" w:rsidRDefault="00974423" w:rsidP="00BB5305">
      <w:pPr>
        <w:rPr>
          <w:color w:val="000000"/>
        </w:rPr>
      </w:pPr>
      <w:r>
        <w:rPr>
          <w:color w:val="000000"/>
        </w:rPr>
        <w:t xml:space="preserve">In support of its goal to evaluate the use of ADR at the Department, ODR has evaluated the use, cost-effectiveness and results of ODR-funded ADR at the Department. In FY 2006, ODR developed two outcome measures: one measuring the percentage of cases resolved using </w:t>
      </w:r>
      <w:r>
        <w:rPr>
          <w:i/>
          <w:iCs/>
          <w:color w:val="000000"/>
        </w:rPr>
        <w:t>voluntary</w:t>
      </w:r>
      <w:r>
        <w:rPr>
          <w:color w:val="000000"/>
        </w:rPr>
        <w:t xml:space="preserve"> ADR, and the other measuring the percentage of cases resolved using </w:t>
      </w:r>
      <w:r w:rsidRPr="00D268E3">
        <w:rPr>
          <w:i/>
          <w:iCs/>
          <w:color w:val="000000"/>
        </w:rPr>
        <w:t>court-</w:t>
      </w:r>
      <w:r w:rsidRPr="00D268E3">
        <w:rPr>
          <w:i/>
          <w:iCs/>
        </w:rPr>
        <w:t>ordered</w:t>
      </w:r>
      <w:r>
        <w:rPr>
          <w:color w:val="000000"/>
        </w:rPr>
        <w:t xml:space="preserve"> ADR.</w:t>
      </w:r>
    </w:p>
    <w:p w:rsidR="00974423" w:rsidRDefault="00974423" w:rsidP="00974423">
      <w:pPr>
        <w:ind w:left="720" w:hanging="720"/>
        <w:rPr>
          <w:color w:val="000000"/>
        </w:rPr>
      </w:pPr>
    </w:p>
    <w:p w:rsidR="00974423" w:rsidRDefault="00974423" w:rsidP="00974423">
      <w:pPr>
        <w:ind w:left="720" w:hanging="720"/>
      </w:pPr>
    </w:p>
    <w:p w:rsidR="00974423" w:rsidRDefault="00974423" w:rsidP="00243D60">
      <w:pPr>
        <w:numPr>
          <w:ilvl w:val="0"/>
          <w:numId w:val="34"/>
        </w:numPr>
        <w:tabs>
          <w:tab w:val="clear" w:pos="1440"/>
          <w:tab w:val="num" w:pos="720"/>
        </w:tabs>
        <w:ind w:left="720"/>
      </w:pPr>
      <w:r>
        <w:t xml:space="preserve">In FY 2006, the percentage of cases resolved using </w:t>
      </w:r>
      <w:r w:rsidRPr="00472C3C">
        <w:rPr>
          <w:i/>
        </w:rPr>
        <w:t>voluntary</w:t>
      </w:r>
      <w:r>
        <w:t xml:space="preserve"> ADR is 79%.</w:t>
      </w:r>
    </w:p>
    <w:p w:rsidR="00974423" w:rsidRDefault="00974423" w:rsidP="00243D60">
      <w:pPr>
        <w:ind w:hanging="720"/>
      </w:pPr>
    </w:p>
    <w:p w:rsidR="00974423" w:rsidRDefault="00974423" w:rsidP="00243D60">
      <w:pPr>
        <w:numPr>
          <w:ilvl w:val="0"/>
          <w:numId w:val="34"/>
        </w:numPr>
        <w:tabs>
          <w:tab w:val="clear" w:pos="1440"/>
          <w:tab w:val="num" w:pos="720"/>
        </w:tabs>
        <w:ind w:left="720"/>
      </w:pPr>
      <w:r>
        <w:t xml:space="preserve">In FY 2007, the percentage of cases resolved using </w:t>
      </w:r>
      <w:r w:rsidRPr="00472C3C">
        <w:rPr>
          <w:i/>
        </w:rPr>
        <w:t>voluntary</w:t>
      </w:r>
      <w:r>
        <w:t xml:space="preserve"> ADR was 72%</w:t>
      </w:r>
    </w:p>
    <w:p w:rsidR="00974423" w:rsidRDefault="00974423" w:rsidP="00243D60"/>
    <w:p w:rsidR="00974423" w:rsidRDefault="00974423" w:rsidP="00243D60">
      <w:pPr>
        <w:numPr>
          <w:ilvl w:val="0"/>
          <w:numId w:val="34"/>
        </w:numPr>
        <w:tabs>
          <w:tab w:val="clear" w:pos="1440"/>
          <w:tab w:val="num" w:pos="720"/>
        </w:tabs>
        <w:ind w:left="720"/>
      </w:pPr>
      <w:r>
        <w:t xml:space="preserve">In FY 2008, the percentage of cases resolved using </w:t>
      </w:r>
      <w:r w:rsidRPr="00472C3C">
        <w:rPr>
          <w:i/>
        </w:rPr>
        <w:t>voluntary</w:t>
      </w:r>
      <w:r>
        <w:t xml:space="preserve"> ADR was 79%</w:t>
      </w:r>
    </w:p>
    <w:p w:rsidR="00974423" w:rsidRDefault="00974423" w:rsidP="00243D60"/>
    <w:p w:rsidR="00974423" w:rsidRDefault="00974423" w:rsidP="00243D60">
      <w:pPr>
        <w:numPr>
          <w:ilvl w:val="0"/>
          <w:numId w:val="34"/>
        </w:numPr>
        <w:tabs>
          <w:tab w:val="clear" w:pos="1440"/>
          <w:tab w:val="num" w:pos="720"/>
        </w:tabs>
        <w:ind w:left="720"/>
      </w:pPr>
      <w:r>
        <w:t xml:space="preserve">In FY 2009, the percentage of cases resolved using </w:t>
      </w:r>
      <w:r w:rsidRPr="00472C3C">
        <w:rPr>
          <w:i/>
        </w:rPr>
        <w:t>voluntary</w:t>
      </w:r>
      <w:r>
        <w:t xml:space="preserve"> ADR was 78%</w:t>
      </w:r>
    </w:p>
    <w:p w:rsidR="00007B26" w:rsidRDefault="00007B26" w:rsidP="00243D60">
      <w:pPr>
        <w:pStyle w:val="ListParagraph"/>
        <w:ind w:left="0"/>
      </w:pPr>
    </w:p>
    <w:p w:rsidR="00007B26" w:rsidRDefault="00007B26" w:rsidP="00243D60">
      <w:pPr>
        <w:numPr>
          <w:ilvl w:val="0"/>
          <w:numId w:val="34"/>
        </w:numPr>
        <w:tabs>
          <w:tab w:val="clear" w:pos="1440"/>
          <w:tab w:val="num" w:pos="720"/>
        </w:tabs>
        <w:ind w:left="720"/>
      </w:pPr>
      <w:r>
        <w:t xml:space="preserve">In FY 2010, the percentage of cases resolved using </w:t>
      </w:r>
      <w:r w:rsidRPr="00F62DE9">
        <w:rPr>
          <w:i/>
        </w:rPr>
        <w:t>voluntary</w:t>
      </w:r>
      <w:r>
        <w:t xml:space="preserve"> ADR was </w:t>
      </w:r>
      <w:r w:rsidR="0019151C">
        <w:t>74</w:t>
      </w:r>
      <w:r>
        <w:t>%</w:t>
      </w:r>
    </w:p>
    <w:p w:rsidR="00974423" w:rsidRDefault="00974423" w:rsidP="00974423"/>
    <w:p w:rsidR="00974423" w:rsidRPr="00534E11" w:rsidRDefault="00974423" w:rsidP="00D07B4B">
      <w:r w:rsidRPr="00574C93">
        <w:rPr>
          <w:bCs/>
          <w:i/>
        </w:rPr>
        <w:t>Discussion</w:t>
      </w:r>
      <w:r>
        <w:rPr>
          <w:b/>
          <w:bCs/>
        </w:rPr>
        <w:t>:</w:t>
      </w:r>
      <w:r>
        <w:t xml:space="preserve"> The resolution rates</w:t>
      </w:r>
      <w:r w:rsidR="009B6983">
        <w:t xml:space="preserve"> </w:t>
      </w:r>
      <w:r>
        <w:t>fluctuate from year to year, and data cannot definitivel</w:t>
      </w:r>
      <w:r w:rsidR="0080059F">
        <w:t>y explain the fluctuations because</w:t>
      </w:r>
      <w:r>
        <w:t xml:space="preserve"> each case is factually unique and</w:t>
      </w:r>
      <w:r>
        <w:rPr>
          <w:color w:val="000000"/>
        </w:rPr>
        <w:t xml:space="preserve"> the resolution rate of ADR in Department cases depends on factors that are inherently unpredictable and</w:t>
      </w:r>
      <w:r w:rsidR="009B6983">
        <w:rPr>
          <w:color w:val="000000"/>
        </w:rPr>
        <w:t xml:space="preserve"> </w:t>
      </w:r>
      <w:r>
        <w:rPr>
          <w:color w:val="000000"/>
        </w:rPr>
        <w:t>uncontrollable, e.g.</w:t>
      </w:r>
      <w:r w:rsidR="009B6983">
        <w:rPr>
          <w:color w:val="000000"/>
        </w:rPr>
        <w:t xml:space="preserve"> </w:t>
      </w:r>
      <w:r>
        <w:rPr>
          <w:color w:val="000000"/>
        </w:rPr>
        <w:t>number and types of affirmative and</w:t>
      </w:r>
      <w:r w:rsidR="009B6983">
        <w:rPr>
          <w:color w:val="000000"/>
        </w:rPr>
        <w:t xml:space="preserve"> </w:t>
      </w:r>
      <w:r>
        <w:rPr>
          <w:color w:val="000000"/>
        </w:rPr>
        <w:t>defensive cases, number and types of cases ordered into ADR by the courts,</w:t>
      </w:r>
      <w:r w:rsidR="009B6983">
        <w:t xml:space="preserve"> </w:t>
      </w:r>
      <w:r>
        <w:rPr>
          <w:color w:val="000000"/>
        </w:rPr>
        <w:t xml:space="preserve">appropriateness of individual cases for ADR, likelihood that individual cases may/may not be settled, and ability and willingness of DOJ clients and opposing counsel to settle a case. </w:t>
      </w:r>
      <w:r>
        <w:t>ODR’s</w:t>
      </w:r>
      <w:r w:rsidR="009B6983">
        <w:rPr>
          <w:color w:val="000000"/>
        </w:rPr>
        <w:t xml:space="preserve"> </w:t>
      </w:r>
      <w:r>
        <w:t xml:space="preserve">future targets are based on success in meeting past targets, but that is necessarily an imprecise and uncontrollable goal.  </w:t>
      </w:r>
      <w:r>
        <w:br/>
      </w:r>
    </w:p>
    <w:p w:rsidR="00974423" w:rsidRPr="008A5D0B" w:rsidRDefault="00974423" w:rsidP="00974423">
      <w:pPr>
        <w:tabs>
          <w:tab w:val="left" w:pos="720"/>
        </w:tabs>
        <w:ind w:left="720"/>
        <w:rPr>
          <w:b/>
        </w:rPr>
      </w:pPr>
      <w:r w:rsidRPr="008A5D0B">
        <w:rPr>
          <w:b/>
          <w:bCs/>
          <w:i/>
          <w:iCs/>
        </w:rPr>
        <w:t xml:space="preserve">FY 2006 </w:t>
      </w:r>
      <w:smartTag w:uri="urn:schemas-microsoft-com:office:smarttags" w:element="PersonName">
        <w:r w:rsidRPr="008A5D0B">
          <w:rPr>
            <w:b/>
            <w:bCs/>
            <w:i/>
            <w:iCs/>
          </w:rPr>
          <w:t>Performance</w:t>
        </w:r>
      </w:smartTag>
      <w:r w:rsidRPr="008A5D0B">
        <w:rPr>
          <w:b/>
          <w:bCs/>
          <w:i/>
          <w:iCs/>
        </w:rPr>
        <w:t xml:space="preserve"> </w:t>
      </w:r>
      <w:r w:rsidRPr="008A5D0B">
        <w:rPr>
          <w:b/>
          <w:bCs/>
          <w:i/>
          <w:iCs/>
          <w:u w:val="single"/>
        </w:rPr>
        <w:t>Actual:</w:t>
      </w:r>
      <w:r w:rsidRPr="008A5D0B">
        <w:rPr>
          <w:b/>
        </w:rPr>
        <w:t xml:space="preserve">  79% </w:t>
      </w:r>
      <w:r w:rsidRPr="008A5D0B">
        <w:rPr>
          <w:b/>
        </w:rPr>
        <w:br/>
      </w:r>
      <w:r w:rsidRPr="008A5D0B">
        <w:rPr>
          <w:b/>
          <w:bCs/>
          <w:i/>
          <w:iCs/>
        </w:rPr>
        <w:t xml:space="preserve">FY 2007 </w:t>
      </w:r>
      <w:smartTag w:uri="urn:schemas-microsoft-com:office:smarttags" w:element="PersonName">
        <w:r w:rsidRPr="008A5D0B">
          <w:rPr>
            <w:b/>
            <w:bCs/>
            <w:i/>
            <w:iCs/>
          </w:rPr>
          <w:t>Performance</w:t>
        </w:r>
      </w:smartTag>
      <w:r w:rsidRPr="008A5D0B">
        <w:rPr>
          <w:b/>
          <w:bCs/>
          <w:i/>
          <w:iCs/>
        </w:rPr>
        <w:t xml:space="preserve"> </w:t>
      </w:r>
      <w:r w:rsidRPr="008A5D0B">
        <w:rPr>
          <w:b/>
          <w:bCs/>
          <w:i/>
          <w:iCs/>
          <w:u w:val="single"/>
        </w:rPr>
        <w:t>Actual</w:t>
      </w:r>
      <w:r w:rsidRPr="008A5D0B">
        <w:rPr>
          <w:b/>
          <w:bCs/>
          <w:i/>
          <w:iCs/>
        </w:rPr>
        <w:t>:</w:t>
      </w:r>
      <w:r w:rsidRPr="008A5D0B">
        <w:rPr>
          <w:b/>
        </w:rPr>
        <w:t xml:space="preserve"> </w:t>
      </w:r>
      <w:r>
        <w:rPr>
          <w:b/>
        </w:rPr>
        <w:t>72</w:t>
      </w:r>
      <w:r w:rsidRPr="008A5D0B">
        <w:rPr>
          <w:b/>
        </w:rPr>
        <w:t xml:space="preserve">% </w:t>
      </w:r>
    </w:p>
    <w:p w:rsidR="00974423" w:rsidRPr="00AF6DFD" w:rsidRDefault="00974423" w:rsidP="00974423">
      <w:pPr>
        <w:tabs>
          <w:tab w:val="left" w:pos="720"/>
        </w:tabs>
        <w:ind w:left="720"/>
        <w:rPr>
          <w:b/>
        </w:rPr>
      </w:pPr>
      <w:r w:rsidRPr="00AF6DFD">
        <w:rPr>
          <w:b/>
          <w:bCs/>
          <w:i/>
          <w:iCs/>
        </w:rPr>
        <w:t xml:space="preserve">FY 2008 </w:t>
      </w:r>
      <w:smartTag w:uri="urn:schemas-microsoft-com:office:smarttags" w:element="PersonName">
        <w:r w:rsidRPr="00AF6DFD">
          <w:rPr>
            <w:b/>
            <w:bCs/>
            <w:i/>
            <w:iCs/>
          </w:rPr>
          <w:t>Performance</w:t>
        </w:r>
      </w:smartTag>
      <w:r w:rsidRPr="00AF6DFD">
        <w:rPr>
          <w:b/>
          <w:bCs/>
          <w:i/>
          <w:iCs/>
        </w:rPr>
        <w:t xml:space="preserve"> </w:t>
      </w:r>
      <w:r w:rsidRPr="00AF6DFD">
        <w:rPr>
          <w:b/>
          <w:bCs/>
          <w:i/>
          <w:iCs/>
          <w:u w:val="single"/>
        </w:rPr>
        <w:t>Actual</w:t>
      </w:r>
      <w:r w:rsidRPr="00AF6DFD">
        <w:rPr>
          <w:b/>
          <w:bCs/>
          <w:i/>
          <w:iCs/>
        </w:rPr>
        <w:t>:</w:t>
      </w:r>
      <w:r w:rsidRPr="00AF6DFD">
        <w:rPr>
          <w:b/>
        </w:rPr>
        <w:t xml:space="preserve">  79%</w:t>
      </w:r>
    </w:p>
    <w:p w:rsidR="00974423" w:rsidRDefault="00974423" w:rsidP="00974423">
      <w:pPr>
        <w:tabs>
          <w:tab w:val="left" w:pos="720"/>
        </w:tabs>
        <w:ind w:left="720"/>
      </w:pPr>
      <w:r w:rsidRPr="00AF6DFD">
        <w:rPr>
          <w:b/>
          <w:bCs/>
          <w:i/>
          <w:iCs/>
        </w:rPr>
        <w:t>FY 200</w:t>
      </w:r>
      <w:r>
        <w:rPr>
          <w:b/>
          <w:bCs/>
          <w:i/>
          <w:iCs/>
        </w:rPr>
        <w:t>9</w:t>
      </w:r>
      <w:r w:rsidRPr="00AF6DFD">
        <w:rPr>
          <w:b/>
          <w:bCs/>
          <w:i/>
          <w:iCs/>
        </w:rPr>
        <w:t xml:space="preserve"> </w:t>
      </w:r>
      <w:smartTag w:uri="urn:schemas-microsoft-com:office:smarttags" w:element="PersonName">
        <w:r w:rsidRPr="00AF6DFD">
          <w:rPr>
            <w:b/>
            <w:bCs/>
            <w:i/>
            <w:iCs/>
          </w:rPr>
          <w:t>Performance</w:t>
        </w:r>
      </w:smartTag>
      <w:r w:rsidRPr="00AF6DFD">
        <w:rPr>
          <w:b/>
          <w:bCs/>
          <w:i/>
          <w:iCs/>
        </w:rPr>
        <w:t xml:space="preserve"> </w:t>
      </w:r>
      <w:r w:rsidRPr="00AF6DFD">
        <w:rPr>
          <w:b/>
          <w:bCs/>
          <w:i/>
          <w:iCs/>
          <w:u w:val="single"/>
        </w:rPr>
        <w:t>Actual</w:t>
      </w:r>
      <w:r w:rsidRPr="00AF6DFD">
        <w:rPr>
          <w:b/>
          <w:bCs/>
          <w:i/>
          <w:iCs/>
        </w:rPr>
        <w:t>:</w:t>
      </w:r>
      <w:r w:rsidRPr="00AF6DFD">
        <w:rPr>
          <w:b/>
          <w:bCs/>
          <w:iCs/>
        </w:rPr>
        <w:t xml:space="preserve">  78%</w:t>
      </w:r>
    </w:p>
    <w:p w:rsidR="00974423" w:rsidRPr="00A1072B" w:rsidRDefault="00974423" w:rsidP="00974423">
      <w:pPr>
        <w:tabs>
          <w:tab w:val="left" w:pos="720"/>
        </w:tabs>
        <w:ind w:left="720"/>
        <w:rPr>
          <w:b/>
        </w:rPr>
      </w:pPr>
      <w:r w:rsidRPr="00A1072B">
        <w:rPr>
          <w:b/>
          <w:bCs/>
          <w:i/>
          <w:iCs/>
        </w:rPr>
        <w:t xml:space="preserve">FY 2010 </w:t>
      </w:r>
      <w:smartTag w:uri="urn:schemas-microsoft-com:office:smarttags" w:element="PersonName">
        <w:r w:rsidRPr="00A1072B">
          <w:rPr>
            <w:b/>
            <w:bCs/>
            <w:i/>
            <w:iCs/>
          </w:rPr>
          <w:t>Performance</w:t>
        </w:r>
      </w:smartTag>
      <w:r w:rsidRPr="00A1072B">
        <w:rPr>
          <w:b/>
          <w:bCs/>
          <w:i/>
          <w:iCs/>
        </w:rPr>
        <w:t xml:space="preserve"> </w:t>
      </w:r>
      <w:r w:rsidR="00F62DE9" w:rsidRPr="00A1072B">
        <w:rPr>
          <w:b/>
          <w:bCs/>
          <w:i/>
          <w:iCs/>
          <w:u w:val="single"/>
        </w:rPr>
        <w:t>Actual</w:t>
      </w:r>
      <w:r w:rsidRPr="00A1072B">
        <w:rPr>
          <w:b/>
          <w:bCs/>
          <w:i/>
          <w:iCs/>
        </w:rPr>
        <w:t>:</w:t>
      </w:r>
      <w:r w:rsidRPr="00A1072B">
        <w:rPr>
          <w:b/>
        </w:rPr>
        <w:t xml:space="preserve">  </w:t>
      </w:r>
      <w:r w:rsidR="0019151C" w:rsidRPr="00A1072B">
        <w:rPr>
          <w:b/>
        </w:rPr>
        <w:t>74%</w:t>
      </w:r>
    </w:p>
    <w:p w:rsidR="00974423" w:rsidRDefault="00974423" w:rsidP="00974423">
      <w:pPr>
        <w:tabs>
          <w:tab w:val="left" w:pos="720"/>
        </w:tabs>
        <w:ind w:left="720"/>
      </w:pPr>
      <w:r>
        <w:rPr>
          <w:bCs/>
          <w:i/>
          <w:iCs/>
        </w:rPr>
        <w:t xml:space="preserve">FY 2011 </w:t>
      </w:r>
      <w:smartTag w:uri="urn:schemas-microsoft-com:office:smarttags" w:element="PersonName">
        <w:r>
          <w:rPr>
            <w:bCs/>
            <w:i/>
            <w:iCs/>
          </w:rPr>
          <w:t>Performance</w:t>
        </w:r>
      </w:smartTag>
      <w:r>
        <w:rPr>
          <w:bCs/>
          <w:i/>
          <w:iCs/>
        </w:rPr>
        <w:t xml:space="preserve"> Target:</w:t>
      </w:r>
      <w:r>
        <w:t xml:space="preserve"> 60%</w:t>
      </w:r>
    </w:p>
    <w:p w:rsidR="00F62DE9" w:rsidRDefault="00F62DE9" w:rsidP="00974423">
      <w:pPr>
        <w:tabs>
          <w:tab w:val="left" w:pos="720"/>
        </w:tabs>
        <w:ind w:left="720"/>
      </w:pPr>
      <w:r>
        <w:rPr>
          <w:bCs/>
          <w:i/>
          <w:iCs/>
        </w:rPr>
        <w:t>FY 2012 Performance Target:</w:t>
      </w:r>
      <w:r>
        <w:t xml:space="preserve"> 60%</w:t>
      </w:r>
    </w:p>
    <w:p w:rsidR="00974423" w:rsidRPr="00472C3C" w:rsidRDefault="00974423" w:rsidP="00974423">
      <w:pPr>
        <w:ind w:left="720"/>
        <w:rPr>
          <w:color w:val="000000"/>
        </w:rPr>
      </w:pPr>
    </w:p>
    <w:p w:rsidR="00974423" w:rsidRDefault="00974423" w:rsidP="00957A11">
      <w:r>
        <w:t>The figures are based on evaluations by att</w:t>
      </w:r>
      <w:r w:rsidR="00A83F2A">
        <w:t>orneys in individual cases that</w:t>
      </w:r>
      <w:r>
        <w:t xml:space="preserve"> were funded by ODR. The data from the evaluations shows that DOJ continues to</w:t>
      </w:r>
      <w:r w:rsidR="00165EB9">
        <w:t xml:space="preserve"> </w:t>
      </w:r>
      <w:r>
        <w:t>realize significant benefits in both time saved and money saved through use of ADR. For example, from FY 2006 to FY 2008, Department attorneys estimated a</w:t>
      </w:r>
      <w:r w:rsidR="00A83F2A">
        <w:t xml:space="preserve"> total savings of $29,620,397</w:t>
      </w:r>
      <w:r>
        <w:t xml:space="preserve"> in litigation and/or discovery costs (See, Figure 6). In addition, Department attorneys reported an estimated 84,854 hours of attorney and staff time were saved through use of ADR processes, representing the work of approximately 41 full time positions</w:t>
      </w:r>
      <w:r w:rsidR="00D63B8F">
        <w:t xml:space="preserve">. </w:t>
      </w:r>
    </w:p>
    <w:p w:rsidR="00350022" w:rsidRDefault="00350022" w:rsidP="00957A11"/>
    <w:p w:rsidR="00974423" w:rsidRDefault="00974423" w:rsidP="008A7C28">
      <w:pPr>
        <w:ind w:firstLine="720"/>
      </w:pPr>
    </w:p>
    <w:p w:rsidR="00974423" w:rsidRDefault="00974423" w:rsidP="008A7C28">
      <w:r>
        <w:lastRenderedPageBreak/>
        <w:t>In FY 2006, Department attorneys reported an estimated savings of $23,231,647 in litigation and/or discovery costs through the use of ADR. In addition, Department attorneys reported an estimated 39,467 hours of attorney and staff time were saved by participating in ADR processes. Moreover, Department attorneys reported 611 months were saved in litigation and/or discovery time after participating in ADR processes. I</w:t>
      </w:r>
      <w:r w:rsidRPr="0063570E">
        <w:t>n FY</w:t>
      </w:r>
      <w:r>
        <w:t xml:space="preserve"> </w:t>
      </w:r>
      <w:r w:rsidRPr="0063570E">
        <w:t xml:space="preserve">2007, </w:t>
      </w:r>
      <w:r>
        <w:t>D</w:t>
      </w:r>
      <w:r w:rsidRPr="0063570E">
        <w:t>epartment</w:t>
      </w:r>
      <w:r>
        <w:t xml:space="preserve"> attorneys reported an </w:t>
      </w:r>
      <w:r w:rsidRPr="0063570E">
        <w:t xml:space="preserve">estimated </w:t>
      </w:r>
      <w:r>
        <w:t xml:space="preserve">savings of </w:t>
      </w:r>
      <w:r w:rsidR="00801759" w:rsidRPr="0063570E">
        <w:rPr>
          <w:lang w:val="en-CA"/>
        </w:rPr>
        <w:fldChar w:fldCharType="begin"/>
      </w:r>
      <w:r w:rsidRPr="0063570E">
        <w:rPr>
          <w:lang w:val="en-CA"/>
        </w:rPr>
        <w:instrText xml:space="preserve"> SEQ CHAPTER \h \r 1</w:instrText>
      </w:r>
      <w:r w:rsidR="00801759" w:rsidRPr="0063570E">
        <w:rPr>
          <w:lang w:val="en-CA"/>
        </w:rPr>
        <w:fldChar w:fldCharType="end"/>
      </w:r>
      <w:r w:rsidRPr="0063570E">
        <w:t>$</w:t>
      </w:r>
      <w:r>
        <w:t>3</w:t>
      </w:r>
      <w:r w:rsidRPr="0063570E">
        <w:t>,</w:t>
      </w:r>
      <w:r>
        <w:t>00</w:t>
      </w:r>
      <w:r w:rsidRPr="0063570E">
        <w:t xml:space="preserve">1,000 in litigation and discovery costs to the Department. In addition, Department attorneys reported an </w:t>
      </w:r>
      <w:r w:rsidR="00801759">
        <w:rPr>
          <w:lang w:val="en-CA"/>
        </w:rPr>
        <w:fldChar w:fldCharType="begin"/>
      </w:r>
      <w:r>
        <w:rPr>
          <w:lang w:val="en-CA"/>
        </w:rPr>
        <w:instrText xml:space="preserve"> SEQ CHAPTER \h \r 1</w:instrText>
      </w:r>
      <w:r w:rsidR="00801759">
        <w:rPr>
          <w:lang w:val="en-CA"/>
        </w:rPr>
        <w:fldChar w:fldCharType="end"/>
      </w:r>
      <w:r w:rsidRPr="0063570E">
        <w:t xml:space="preserve">estimated </w:t>
      </w:r>
      <w:r>
        <w:t>22</w:t>
      </w:r>
      <w:r w:rsidRPr="0063570E">
        <w:t>,</w:t>
      </w:r>
      <w:r>
        <w:t>377</w:t>
      </w:r>
      <w:r w:rsidRPr="0063570E">
        <w:t xml:space="preserve"> hours of staff time was saved by </w:t>
      </w:r>
      <w:r>
        <w:t xml:space="preserve">participating </w:t>
      </w:r>
      <w:r w:rsidRPr="0063570E">
        <w:t>in ADR processe</w:t>
      </w:r>
      <w:r>
        <w:t xml:space="preserve">s and </w:t>
      </w:r>
      <w:r w:rsidRPr="0063570E">
        <w:t xml:space="preserve">Department attorneys reported that </w:t>
      </w:r>
      <w:r>
        <w:t>429 months were saved in litigation and/or discovery time because they participated in ADR rather than litigation.</w:t>
      </w:r>
    </w:p>
    <w:p w:rsidR="00974423" w:rsidRDefault="00974423" w:rsidP="008A7C28">
      <w:pPr>
        <w:ind w:firstLine="720"/>
      </w:pPr>
    </w:p>
    <w:p w:rsidR="00974423" w:rsidRDefault="00974423" w:rsidP="008A7C28">
      <w:r>
        <w:t>I</w:t>
      </w:r>
      <w:r w:rsidRPr="0063570E">
        <w:t>n FY</w:t>
      </w:r>
      <w:r>
        <w:t xml:space="preserve"> </w:t>
      </w:r>
      <w:r w:rsidRPr="0063570E">
        <w:t>200</w:t>
      </w:r>
      <w:r>
        <w:t>8</w:t>
      </w:r>
      <w:r w:rsidRPr="0063570E">
        <w:t xml:space="preserve">, </w:t>
      </w:r>
      <w:r>
        <w:t>D</w:t>
      </w:r>
      <w:r w:rsidRPr="0063570E">
        <w:t>epartment</w:t>
      </w:r>
      <w:r>
        <w:t xml:space="preserve"> attorneys reported an </w:t>
      </w:r>
      <w:r w:rsidRPr="0063570E">
        <w:t xml:space="preserve">estimated </w:t>
      </w:r>
      <w:r>
        <w:t xml:space="preserve">savings of </w:t>
      </w:r>
      <w:r w:rsidR="00801759" w:rsidRPr="0063570E">
        <w:rPr>
          <w:lang w:val="en-CA"/>
        </w:rPr>
        <w:fldChar w:fldCharType="begin"/>
      </w:r>
      <w:r w:rsidRPr="0063570E">
        <w:rPr>
          <w:lang w:val="en-CA"/>
        </w:rPr>
        <w:instrText xml:space="preserve"> SEQ CHAPTER \h \r 1</w:instrText>
      </w:r>
      <w:r w:rsidR="00801759" w:rsidRPr="0063570E">
        <w:rPr>
          <w:lang w:val="en-CA"/>
        </w:rPr>
        <w:fldChar w:fldCharType="end"/>
      </w:r>
      <w:r w:rsidRPr="0063570E">
        <w:t>$</w:t>
      </w:r>
      <w:r>
        <w:t>3</w:t>
      </w:r>
      <w:r w:rsidRPr="0063570E">
        <w:t>,</w:t>
      </w:r>
      <w:r>
        <w:t>387</w:t>
      </w:r>
      <w:r w:rsidRPr="0063570E">
        <w:t>,</w:t>
      </w:r>
      <w:r>
        <w:t>750</w:t>
      </w:r>
      <w:r w:rsidRPr="0063570E">
        <w:t xml:space="preserve"> in litigation and discovery costs to the Department. In addition, Department attorneys reported an </w:t>
      </w:r>
      <w:r w:rsidR="00801759">
        <w:rPr>
          <w:lang w:val="en-CA"/>
        </w:rPr>
        <w:fldChar w:fldCharType="begin"/>
      </w:r>
      <w:r>
        <w:rPr>
          <w:lang w:val="en-CA"/>
        </w:rPr>
        <w:instrText xml:space="preserve"> SEQ CHAPTER \h \r 1</w:instrText>
      </w:r>
      <w:r w:rsidR="00801759">
        <w:rPr>
          <w:lang w:val="en-CA"/>
        </w:rPr>
        <w:fldChar w:fldCharType="end"/>
      </w:r>
      <w:r w:rsidRPr="0063570E">
        <w:t xml:space="preserve">estimated </w:t>
      </w:r>
      <w:r>
        <w:t>23</w:t>
      </w:r>
      <w:r w:rsidRPr="0063570E">
        <w:t>,</w:t>
      </w:r>
      <w:r>
        <w:t>010</w:t>
      </w:r>
      <w:r w:rsidRPr="0063570E">
        <w:t xml:space="preserve"> hours of staff time was saved by </w:t>
      </w:r>
      <w:r>
        <w:t xml:space="preserve">participating </w:t>
      </w:r>
      <w:r w:rsidRPr="0063570E">
        <w:t>in ADR processe</w:t>
      </w:r>
      <w:r>
        <w:t xml:space="preserve">s and </w:t>
      </w:r>
      <w:r w:rsidRPr="0063570E">
        <w:t xml:space="preserve">Department attorneys reported that </w:t>
      </w:r>
      <w:r>
        <w:t>661 months were saved in litigation and/or discovery time because they participated in ADR rather than litigation.</w:t>
      </w:r>
    </w:p>
    <w:p w:rsidR="00974423" w:rsidRDefault="00974423" w:rsidP="008A7C28">
      <w:pPr>
        <w:ind w:firstLine="720"/>
      </w:pPr>
    </w:p>
    <w:p w:rsidR="00974423" w:rsidRDefault="00974423" w:rsidP="008A7C28">
      <w:r>
        <w:t>I</w:t>
      </w:r>
      <w:r w:rsidRPr="0063570E">
        <w:t>n FY</w:t>
      </w:r>
      <w:r>
        <w:t xml:space="preserve"> </w:t>
      </w:r>
      <w:r w:rsidRPr="0063570E">
        <w:t>200</w:t>
      </w:r>
      <w:r>
        <w:t>9</w:t>
      </w:r>
      <w:r w:rsidRPr="0063570E">
        <w:t xml:space="preserve">, </w:t>
      </w:r>
      <w:r>
        <w:t>D</w:t>
      </w:r>
      <w:r w:rsidRPr="0063570E">
        <w:t>epartment</w:t>
      </w:r>
      <w:r>
        <w:t xml:space="preserve"> attorneys reported an </w:t>
      </w:r>
      <w:r w:rsidRPr="0063570E">
        <w:t xml:space="preserve">estimated </w:t>
      </w:r>
      <w:r>
        <w:t xml:space="preserve">savings of </w:t>
      </w:r>
      <w:r w:rsidR="00801759" w:rsidRPr="0063570E">
        <w:rPr>
          <w:lang w:val="en-CA"/>
        </w:rPr>
        <w:fldChar w:fldCharType="begin"/>
      </w:r>
      <w:r w:rsidRPr="0063570E">
        <w:rPr>
          <w:lang w:val="en-CA"/>
        </w:rPr>
        <w:instrText xml:space="preserve"> SEQ CHAPTER \h \r 1</w:instrText>
      </w:r>
      <w:r w:rsidR="00801759" w:rsidRPr="0063570E">
        <w:rPr>
          <w:lang w:val="en-CA"/>
        </w:rPr>
        <w:fldChar w:fldCharType="end"/>
      </w:r>
      <w:r w:rsidRPr="0063570E">
        <w:t>$</w:t>
      </w:r>
      <w:r>
        <w:t>5</w:t>
      </w:r>
      <w:r w:rsidRPr="0063570E">
        <w:t>,</w:t>
      </w:r>
      <w:r>
        <w:t>940,287</w:t>
      </w:r>
      <w:r w:rsidRPr="0063570E">
        <w:t xml:space="preserve"> in litigation and discovery costs to the Department. In addition, Department attorneys reported an </w:t>
      </w:r>
      <w:r w:rsidR="00801759">
        <w:rPr>
          <w:lang w:val="en-CA"/>
        </w:rPr>
        <w:fldChar w:fldCharType="begin"/>
      </w:r>
      <w:r>
        <w:rPr>
          <w:lang w:val="en-CA"/>
        </w:rPr>
        <w:instrText xml:space="preserve"> SEQ CHAPTER \h \r 1</w:instrText>
      </w:r>
      <w:r w:rsidR="00801759">
        <w:rPr>
          <w:lang w:val="en-CA"/>
        </w:rPr>
        <w:fldChar w:fldCharType="end"/>
      </w:r>
      <w:r w:rsidRPr="0063570E">
        <w:t xml:space="preserve">estimated </w:t>
      </w:r>
      <w:r>
        <w:t>43,635</w:t>
      </w:r>
      <w:r w:rsidRPr="0063570E">
        <w:t xml:space="preserve"> hours of staff time was saved by </w:t>
      </w:r>
      <w:r>
        <w:t xml:space="preserve">participating </w:t>
      </w:r>
      <w:r w:rsidRPr="0063570E">
        <w:t>in ADR processe</w:t>
      </w:r>
      <w:r>
        <w:t xml:space="preserve">s and </w:t>
      </w:r>
      <w:r w:rsidRPr="0063570E">
        <w:t xml:space="preserve">Department attorneys reported that </w:t>
      </w:r>
      <w:r>
        <w:t>849 months were saved in litigation and/or discovery time because they participated in ADR rather than litigation.</w:t>
      </w:r>
    </w:p>
    <w:p w:rsidR="00974423" w:rsidRDefault="00974423" w:rsidP="00974423">
      <w:pPr>
        <w:ind w:left="720"/>
      </w:pPr>
    </w:p>
    <w:p w:rsidR="00974423" w:rsidRDefault="00974423" w:rsidP="00DA0FE9">
      <w:r>
        <w:t xml:space="preserve">Settlement gives the Department and the United States Government significant savings in the costs and delay of litigation and discovery, as well as the monies paid to resolve the dispute. The saved resources can be used to handle other matters that cannot or should not settle. ADR allows the parties to negotiate a creative disposition that best serves their interests and which may go beyond the authority of a court to order. ADR fosters solutions that may substitute for the payment of money or reduce potential monetary exposure. Even where the case does not settle, ADR can be valuable in narrowing the issues, or helping the parties move closer to settlement (or facilitate a later settlement) by demonstrating good faith, improving the parties’ relations, or making progress in the negotiations. ADR may be beneficial in resolving several related disputes in one global settlement, or in settling one dispute that can set parameters for the resolution of similar future disputes. ADR can contribute to effective case management by resolving discovery disputes or facilitating the informal exchange of critical information.  </w:t>
      </w:r>
    </w:p>
    <w:p w:rsidR="00974423" w:rsidRDefault="00974423" w:rsidP="00974423">
      <w:pPr>
        <w:ind w:left="720"/>
      </w:pPr>
    </w:p>
    <w:p w:rsidR="00974423" w:rsidRDefault="00974423" w:rsidP="00DA0FE9">
      <w:r>
        <w:t>For example, regardless of whether the case was resolved or not</w:t>
      </w:r>
      <w:r w:rsidRPr="00AF64EE">
        <w:t xml:space="preserve"> </w:t>
      </w:r>
      <w:r>
        <w:t>Department attorneys who participated in ADR reported benefits of the process still reported benefits.</w:t>
      </w:r>
    </w:p>
    <w:p w:rsidR="00974423" w:rsidRDefault="00974423" w:rsidP="00745A66"/>
    <w:p w:rsidR="00974423" w:rsidRDefault="00974423" w:rsidP="00902F1D">
      <w:pPr>
        <w:rPr>
          <w:strike/>
        </w:rPr>
      </w:pPr>
      <w:r>
        <w:rPr>
          <w:b/>
          <w:bCs/>
        </w:rPr>
        <w:t>b. Strategies to Accomplish Outcomes</w:t>
      </w:r>
      <w:r>
        <w:br/>
      </w:r>
      <w:r>
        <w:br/>
      </w:r>
      <w:r w:rsidRPr="00574C93">
        <w:rPr>
          <w:bCs/>
        </w:rPr>
        <w:t>Strategies to Achieve FY 20</w:t>
      </w:r>
      <w:r w:rsidR="00077D58">
        <w:rPr>
          <w:bCs/>
        </w:rPr>
        <w:t>11</w:t>
      </w:r>
      <w:r>
        <w:rPr>
          <w:bCs/>
        </w:rPr>
        <w:t>/201</w:t>
      </w:r>
      <w:r w:rsidR="00077D58">
        <w:rPr>
          <w:bCs/>
        </w:rPr>
        <w:t>2</w:t>
      </w:r>
      <w:r w:rsidRPr="00574C93">
        <w:rPr>
          <w:bCs/>
        </w:rPr>
        <w:t xml:space="preserve"> Goal</w:t>
      </w:r>
      <w:r>
        <w:rPr>
          <w:b/>
          <w:bCs/>
        </w:rPr>
        <w:t>:</w:t>
      </w:r>
      <w:r>
        <w:t xml:space="preserve">  ODR will continue aiming for use and resolution rates that are high but recognizes that despite fluctuations, use of ADR will continue to bring significant savings and benefits to the Department and the United States Government.   </w:t>
      </w:r>
      <w:r>
        <w:br/>
      </w:r>
    </w:p>
    <w:p w:rsidR="00974423" w:rsidRDefault="00974423" w:rsidP="003F7D8D">
      <w:pPr>
        <w:pStyle w:val="xl19"/>
        <w:spacing w:before="0" w:after="0"/>
      </w:pPr>
      <w:r>
        <w:t xml:space="preserve">ODR will continue its efforts to better evaluate use and results of ADR by obtaining more comprehensive reporting from the components. ODR joined in the Department case management project to focus on improving reporting. The new Department-wide Litigation Case Management System includes a centralized application and database for case management. In order to provide consistency and usability for all components, </w:t>
      </w:r>
    </w:p>
    <w:p w:rsidR="00974423" w:rsidRDefault="00974423" w:rsidP="00974423">
      <w:pPr>
        <w:pStyle w:val="xl19"/>
        <w:spacing w:before="0" w:after="0"/>
        <w:ind w:left="720"/>
      </w:pPr>
    </w:p>
    <w:p w:rsidR="00974423" w:rsidRDefault="00974423" w:rsidP="003F7D8D">
      <w:pPr>
        <w:pStyle w:val="xl19"/>
        <w:spacing w:before="0" w:after="0"/>
      </w:pPr>
      <w:r>
        <w:t xml:space="preserve">ODR requested that the litigation architecture include tracking of dispute resolution.  ODR will also explore the possibility of requiring the components that utilize ADR to report annually on the number of cases in which ADR was used and the total cost and resource savings realized through use of ADR. </w:t>
      </w:r>
    </w:p>
    <w:p w:rsidR="00974423" w:rsidRDefault="00974423" w:rsidP="00974423">
      <w:pPr>
        <w:pStyle w:val="xl19"/>
        <w:spacing w:before="0" w:after="0"/>
        <w:ind w:left="720"/>
      </w:pPr>
    </w:p>
    <w:p w:rsidR="00974423" w:rsidRDefault="00974423" w:rsidP="00905E11">
      <w:pPr>
        <w:pStyle w:val="xl19"/>
        <w:spacing w:before="0" w:after="0"/>
      </w:pPr>
      <w:r>
        <w:t xml:space="preserve">ODR continues to find new and innovation ways to improve upon the collection of data from Department attorneys and Assistant United States Attorneys who participate in ADR processes. For example, in FY 2007, ODR revised an online ADR evaluation form that Department attorneys can complete for every case. The form is now fully automated which allows ODR to extract data quickly and more efficiently. This revision also creates mandatory fields which will encourage more detail in the responses submitted by Department attorneys. </w:t>
      </w:r>
    </w:p>
    <w:p w:rsidR="00974423" w:rsidRDefault="00974423" w:rsidP="00974423">
      <w:pPr>
        <w:pStyle w:val="xl19"/>
        <w:spacing w:before="0" w:after="0"/>
        <w:ind w:left="720"/>
      </w:pPr>
    </w:p>
    <w:p w:rsidR="00974423" w:rsidRDefault="00974423" w:rsidP="004157D3">
      <w:pPr>
        <w:pStyle w:val="xl19"/>
        <w:spacing w:before="0" w:after="0"/>
      </w:pPr>
      <w:r>
        <w:t xml:space="preserve">ODR redesigned its internal Department web page that provides practical guidance-at-a-glance and resources for Department attorneys on the use and benefits of ADR. ODR anticipates that new and approved online resources will continue to promote the use of ADR within the Department and, thus, strives to keep these resources as fresh and technologically savvy while retaining their use-friendly appeal.  </w:t>
      </w:r>
    </w:p>
    <w:p w:rsidR="00974423" w:rsidRDefault="00974423" w:rsidP="00974423">
      <w:pPr>
        <w:pStyle w:val="xl19"/>
        <w:spacing w:before="0" w:after="0"/>
        <w:ind w:left="720"/>
      </w:pPr>
    </w:p>
    <w:p w:rsidR="00974423" w:rsidRDefault="00974423" w:rsidP="004157D3">
      <w:pPr>
        <w:pStyle w:val="xl19"/>
        <w:spacing w:before="0" w:after="0"/>
      </w:pPr>
      <w:r>
        <w:t>O</w:t>
      </w:r>
      <w:r>
        <w:rPr>
          <w:color w:val="000000"/>
        </w:rPr>
        <w:t>DR</w:t>
      </w:r>
      <w:r w:rsidRPr="004267B8">
        <w:t xml:space="preserve"> </w:t>
      </w:r>
      <w:r>
        <w:t xml:space="preserve">continues to identify and develop better ways of storing and tracking ADR data. Beginning in </w:t>
      </w:r>
      <w:r w:rsidRPr="004267B8">
        <w:t>FY 200</w:t>
      </w:r>
      <w:r>
        <w:t>7</w:t>
      </w:r>
      <w:r w:rsidRPr="004267B8">
        <w:t xml:space="preserve">, </w:t>
      </w:r>
      <w:r>
        <w:t>ODR began to map</w:t>
      </w:r>
      <w:r w:rsidRPr="004267B8">
        <w:t xml:space="preserve"> data, build</w:t>
      </w:r>
      <w:r>
        <w:t xml:space="preserve"> </w:t>
      </w:r>
      <w:r w:rsidRPr="004267B8">
        <w:t xml:space="preserve">conversion tools, </w:t>
      </w:r>
      <w:proofErr w:type="gramStart"/>
      <w:r w:rsidRPr="004267B8">
        <w:t>migrat</w:t>
      </w:r>
      <w:r>
        <w:t>e</w:t>
      </w:r>
      <w:proofErr w:type="gramEnd"/>
      <w:r>
        <w:t xml:space="preserve"> data, and correct</w:t>
      </w:r>
      <w:r w:rsidR="000121A7">
        <w:t xml:space="preserve"> </w:t>
      </w:r>
      <w:r w:rsidRPr="004267B8">
        <w:t>discrepancies</w:t>
      </w:r>
      <w:r>
        <w:t xml:space="preserve"> into a system of data collection. By the end of FY 2008, ODR had develop</w:t>
      </w:r>
      <w:r w:rsidR="000121A7">
        <w:t xml:space="preserve">ed, designed, and implemented </w:t>
      </w:r>
      <w:proofErr w:type="gramStart"/>
      <w:r w:rsidR="000121A7">
        <w:t xml:space="preserve">a </w:t>
      </w:r>
      <w:r>
        <w:t>document</w:t>
      </w:r>
      <w:proofErr w:type="gramEnd"/>
      <w:r>
        <w:t xml:space="preserve"> storage and tracking database and, as a result, vastly improved its statistical analysis capabilities and resource management. In the past ODR tracked funding requests and data from evaluations in a static manner by using spreadsheets. In FY 2008, ODR completed the extraction of data from its ADR records and created a variety of field levels in an electronic database. ODR is now able to write </w:t>
      </w:r>
      <w:proofErr w:type="gramStart"/>
      <w:r>
        <w:t>reports,</w:t>
      </w:r>
      <w:proofErr w:type="gramEnd"/>
      <w:r>
        <w:t xml:space="preserve"> sort and sub sort data, and manage information in rapid and precise manner. This project continued in FY 2009 to </w:t>
      </w:r>
      <w:r w:rsidRPr="004267B8">
        <w:t>require the effort and attention of existing government employees as well as the specialized expertise and supplemental labor of industry consulta</w:t>
      </w:r>
      <w:r>
        <w:t xml:space="preserve">nts and/or contractor resources to create and maintain </w:t>
      </w:r>
      <w:proofErr w:type="gramStart"/>
      <w:r>
        <w:t>a fully</w:t>
      </w:r>
      <w:proofErr w:type="gramEnd"/>
      <w:r>
        <w:t xml:space="preserve"> functioning data storage and tracking system.  From FY 2010 and onward,</w:t>
      </w:r>
      <w:r w:rsidRPr="004267B8">
        <w:t xml:space="preserve"> the </w:t>
      </w:r>
      <w:r>
        <w:t xml:space="preserve">effort and attention of existing government employees will be required to maintain the data storage and tracking system and make upgrades and changes to the system, as needed.  </w:t>
      </w:r>
    </w:p>
    <w:p w:rsidR="00974423" w:rsidRDefault="00974423" w:rsidP="00974423">
      <w:pPr>
        <w:pStyle w:val="xl19"/>
        <w:spacing w:before="0" w:after="0"/>
        <w:ind w:left="720"/>
      </w:pPr>
    </w:p>
    <w:p w:rsidR="00974423" w:rsidRDefault="00974423" w:rsidP="00974423">
      <w:pPr>
        <w:ind w:left="720"/>
        <w:rPr>
          <w:bCs/>
          <w:szCs w:val="23"/>
        </w:rPr>
      </w:pPr>
    </w:p>
    <w:p w:rsidR="00974423" w:rsidRDefault="00D672DA" w:rsidP="00974423">
      <w:pPr>
        <w:rPr>
          <w:color w:val="000000"/>
        </w:rPr>
      </w:pPr>
      <w:r>
        <w:rPr>
          <w:b/>
          <w:bCs/>
          <w:color w:val="000000"/>
        </w:rPr>
        <w:t xml:space="preserve">3.4 </w:t>
      </w:r>
      <w:r w:rsidR="00974423">
        <w:rPr>
          <w:b/>
          <w:bCs/>
          <w:color w:val="000000"/>
        </w:rPr>
        <w:t>Outcome Measure 2:</w:t>
      </w:r>
      <w:r w:rsidR="00974423">
        <w:rPr>
          <w:color w:val="000000"/>
        </w:rPr>
        <w:t xml:space="preserve"> </w:t>
      </w:r>
      <w:r w:rsidR="00974423" w:rsidRPr="00574C93">
        <w:rPr>
          <w:color w:val="000000"/>
          <w:u w:val="single"/>
        </w:rPr>
        <w:t xml:space="preserve"> Percentage of cases resolved using court-ordered ADR</w:t>
      </w:r>
      <w:r w:rsidR="00974423">
        <w:rPr>
          <w:color w:val="000000"/>
        </w:rPr>
        <w:t xml:space="preserve"> </w:t>
      </w:r>
    </w:p>
    <w:p w:rsidR="00974423" w:rsidRDefault="00974423" w:rsidP="00974423">
      <w:pPr>
        <w:ind w:left="720"/>
        <w:rPr>
          <w:color w:val="000000"/>
        </w:rPr>
      </w:pPr>
    </w:p>
    <w:p w:rsidR="00974423" w:rsidRDefault="00F751B1" w:rsidP="000A2088">
      <w:pPr>
        <w:numPr>
          <w:ilvl w:val="0"/>
          <w:numId w:val="29"/>
        </w:numPr>
        <w:tabs>
          <w:tab w:val="clear" w:pos="1080"/>
          <w:tab w:val="num" w:pos="180"/>
        </w:tabs>
        <w:ind w:left="0" w:firstLine="0"/>
        <w:rPr>
          <w:b/>
          <w:bCs/>
        </w:rPr>
      </w:pPr>
      <w:r>
        <w:rPr>
          <w:b/>
          <w:bCs/>
        </w:rPr>
        <w:t xml:space="preserve"> </w:t>
      </w:r>
      <w:r w:rsidR="00974423" w:rsidRPr="0043198C">
        <w:rPr>
          <w:b/>
          <w:bCs/>
        </w:rPr>
        <w:t xml:space="preserve">Performance Plan </w:t>
      </w:r>
      <w:r w:rsidR="00974423">
        <w:rPr>
          <w:b/>
          <w:bCs/>
        </w:rPr>
        <w:t xml:space="preserve">&amp; </w:t>
      </w:r>
      <w:r w:rsidR="00974423" w:rsidRPr="0043198C">
        <w:rPr>
          <w:b/>
          <w:bCs/>
        </w:rPr>
        <w:t>Report</w:t>
      </w:r>
      <w:r w:rsidR="00974423">
        <w:rPr>
          <w:b/>
          <w:bCs/>
        </w:rPr>
        <w:t>ed</w:t>
      </w:r>
      <w:r w:rsidR="00974423" w:rsidRPr="0043198C">
        <w:rPr>
          <w:b/>
          <w:bCs/>
        </w:rPr>
        <w:t xml:space="preserve"> Outcomes</w:t>
      </w:r>
    </w:p>
    <w:p w:rsidR="00974423" w:rsidRPr="0043198C" w:rsidRDefault="00974423" w:rsidP="00974423">
      <w:pPr>
        <w:ind w:left="720"/>
        <w:rPr>
          <w:b/>
          <w:color w:val="000000"/>
        </w:rPr>
      </w:pPr>
    </w:p>
    <w:p w:rsidR="00974423" w:rsidRDefault="00974423" w:rsidP="000D2972">
      <w:pPr>
        <w:rPr>
          <w:color w:val="000000"/>
        </w:rPr>
      </w:pPr>
      <w:r>
        <w:rPr>
          <w:color w:val="000000"/>
        </w:rPr>
        <w:t xml:space="preserve">In support of its goal to evaluate the use of ADR at the Department, ODR has evaluated the use, cost effectiveness and results of ODR funded ADR at the Department. ODR has two outcome measures: one measuring the percentage of cases resolved using </w:t>
      </w:r>
      <w:r w:rsidRPr="00DE7980">
        <w:rPr>
          <w:i/>
          <w:color w:val="000000"/>
        </w:rPr>
        <w:t>voluntary</w:t>
      </w:r>
      <w:r>
        <w:rPr>
          <w:i/>
          <w:color w:val="000000"/>
        </w:rPr>
        <w:t xml:space="preserve"> </w:t>
      </w:r>
      <w:r>
        <w:rPr>
          <w:color w:val="000000"/>
        </w:rPr>
        <w:t xml:space="preserve">ADR, and the other measuring the percentage of cases resolved using </w:t>
      </w:r>
      <w:r w:rsidRPr="00DE7980">
        <w:rPr>
          <w:i/>
          <w:color w:val="000000"/>
        </w:rPr>
        <w:t>court-ordered</w:t>
      </w:r>
      <w:r>
        <w:rPr>
          <w:color w:val="000000"/>
        </w:rPr>
        <w:t xml:space="preserve"> ADR.</w:t>
      </w:r>
    </w:p>
    <w:p w:rsidR="00974423" w:rsidRDefault="00974423" w:rsidP="00974423">
      <w:pPr>
        <w:ind w:left="720" w:hanging="720"/>
        <w:rPr>
          <w:color w:val="000000"/>
        </w:rPr>
      </w:pPr>
    </w:p>
    <w:p w:rsidR="00974423" w:rsidRDefault="00974423" w:rsidP="00F72D05">
      <w:pPr>
        <w:numPr>
          <w:ilvl w:val="0"/>
          <w:numId w:val="32"/>
        </w:numPr>
        <w:tabs>
          <w:tab w:val="clear" w:pos="1440"/>
          <w:tab w:val="num" w:pos="1080"/>
        </w:tabs>
        <w:ind w:left="1080"/>
      </w:pPr>
      <w:r>
        <w:t>In FY 2006, the percentage of cases resolved using court ordered ADR was 59%.</w:t>
      </w:r>
    </w:p>
    <w:p w:rsidR="00974423" w:rsidRDefault="00974423" w:rsidP="00F72D05">
      <w:pPr>
        <w:tabs>
          <w:tab w:val="left" w:pos="1035"/>
          <w:tab w:val="left" w:pos="1080"/>
        </w:tabs>
      </w:pPr>
      <w:r>
        <w:tab/>
      </w:r>
    </w:p>
    <w:p w:rsidR="00974423" w:rsidRDefault="00974423" w:rsidP="00F72D05">
      <w:pPr>
        <w:numPr>
          <w:ilvl w:val="0"/>
          <w:numId w:val="32"/>
        </w:numPr>
        <w:tabs>
          <w:tab w:val="clear" w:pos="1440"/>
          <w:tab w:val="num" w:pos="1080"/>
        </w:tabs>
        <w:ind w:left="1080"/>
      </w:pPr>
      <w:r>
        <w:t>In FY 2007, the percentage of cases resolved using court-ordered ADR was 60%.</w:t>
      </w:r>
    </w:p>
    <w:p w:rsidR="00974423" w:rsidRDefault="00974423" w:rsidP="00F72D05">
      <w:pPr>
        <w:tabs>
          <w:tab w:val="left" w:pos="1080"/>
        </w:tabs>
      </w:pPr>
    </w:p>
    <w:p w:rsidR="00974423" w:rsidRDefault="00974423" w:rsidP="00F72D05">
      <w:pPr>
        <w:numPr>
          <w:ilvl w:val="0"/>
          <w:numId w:val="32"/>
        </w:numPr>
        <w:tabs>
          <w:tab w:val="clear" w:pos="1440"/>
          <w:tab w:val="num" w:pos="1080"/>
        </w:tabs>
        <w:ind w:left="1080"/>
      </w:pPr>
      <w:r>
        <w:lastRenderedPageBreak/>
        <w:t>In FY 2008, the percentage of cases resolved using court-ordered ADR was 51%.</w:t>
      </w:r>
    </w:p>
    <w:p w:rsidR="00974423" w:rsidRDefault="00974423" w:rsidP="00F72D05">
      <w:pPr>
        <w:tabs>
          <w:tab w:val="left" w:pos="1080"/>
        </w:tabs>
      </w:pPr>
    </w:p>
    <w:p w:rsidR="00974423" w:rsidRDefault="00974423" w:rsidP="00F72D05">
      <w:pPr>
        <w:numPr>
          <w:ilvl w:val="0"/>
          <w:numId w:val="32"/>
        </w:numPr>
        <w:tabs>
          <w:tab w:val="clear" w:pos="1440"/>
          <w:tab w:val="num" w:pos="1080"/>
        </w:tabs>
        <w:ind w:left="1080"/>
      </w:pPr>
      <w:r>
        <w:t>In FY 2009, the percentage of cases resolved using court-ordered ADR was 42%.</w:t>
      </w:r>
    </w:p>
    <w:p w:rsidR="00BD35DC" w:rsidRDefault="00BD35DC" w:rsidP="00F72D05">
      <w:pPr>
        <w:pStyle w:val="ListParagraph"/>
        <w:tabs>
          <w:tab w:val="left" w:pos="1080"/>
        </w:tabs>
        <w:ind w:left="360"/>
      </w:pPr>
    </w:p>
    <w:p w:rsidR="00BD35DC" w:rsidRDefault="00BD35DC" w:rsidP="00F72D05">
      <w:pPr>
        <w:numPr>
          <w:ilvl w:val="0"/>
          <w:numId w:val="32"/>
        </w:numPr>
        <w:tabs>
          <w:tab w:val="clear" w:pos="1440"/>
          <w:tab w:val="num" w:pos="1080"/>
        </w:tabs>
        <w:ind w:left="1080"/>
      </w:pPr>
      <w:r>
        <w:t>In FY 2010, the percentage of cases resolved using court-ordered ADR was 42%.</w:t>
      </w:r>
    </w:p>
    <w:p w:rsidR="00974423" w:rsidRDefault="00974423" w:rsidP="00974423">
      <w:pPr>
        <w:ind w:left="1080"/>
      </w:pPr>
    </w:p>
    <w:p w:rsidR="00974423" w:rsidRDefault="00974423" w:rsidP="00E50B46">
      <w:r w:rsidRPr="00574C93">
        <w:rPr>
          <w:bCs/>
          <w:i/>
        </w:rPr>
        <w:t>Discussion:</w:t>
      </w:r>
      <w:r>
        <w:t xml:space="preserve">  The resolution rates fluctuate from year to year, and d</w:t>
      </w:r>
      <w:r w:rsidR="000D2972">
        <w:t xml:space="preserve">ata cannot definitively explain </w:t>
      </w:r>
      <w:r>
        <w:t>the fluctuations. This is because</w:t>
      </w:r>
      <w:r>
        <w:rPr>
          <w:color w:val="000000"/>
        </w:rPr>
        <w:t xml:space="preserve"> the resolution rate of ADR in Department cases depends on factors that are inherently unpredictable and uncontrollable, e.g., number and types of affirmative and defensive litigation cases begun in the components, number and types of cases ordered into ADR by the courts, appropriateness of individual cases for ADR, likelihood that individual cases may/may not be settled, and ability and willingness of DOJ clients and opposing counsel to settle a case. </w:t>
      </w:r>
      <w:r>
        <w:t>ODR’s future targets are based on success in meeting past targets,</w:t>
      </w:r>
      <w:r w:rsidR="0017375E">
        <w:t xml:space="preserve"> </w:t>
      </w:r>
      <w:r>
        <w:t xml:space="preserve">but that is necessarily an imprecise and uncontrollable goal.  </w:t>
      </w:r>
      <w:r>
        <w:br/>
      </w:r>
    </w:p>
    <w:p w:rsidR="00974423" w:rsidRDefault="00974423" w:rsidP="003B2AD6">
      <w:r>
        <w:t xml:space="preserve">The figures are based on manual records of attorney evaluations of ADR results in individual cases, submitted mostly in those cases in which attorneys procured the services of the neutral through payment from the ODR fund administered by ODR. These evaluations are a fragmentary picture of results in the Department and consequently the use and benefits of ADR are believed to be underreported. </w:t>
      </w:r>
    </w:p>
    <w:p w:rsidR="00974423" w:rsidRDefault="00974423" w:rsidP="00974423">
      <w:pPr>
        <w:ind w:left="720"/>
      </w:pPr>
    </w:p>
    <w:p w:rsidR="00974423" w:rsidRDefault="00974423" w:rsidP="003B2AD6">
      <w:r>
        <w:t>Resolution of cases through ADR offers important benefits in the Department’s enforcement and defensive litigation. Settlement gives the Department and the United States Government significant savings in the costs and delay of litigation and discovery, as well as the monies paid to resolve the dispute. The saved resources can be used to handle other matters that cannot or should not settle. ADR allows the parties to negotiate a creative disposition that best serves their interests and which may go beyond the jurisdiction of a court to order. ADR fosters solutions that may substitute for the payment of money or reduce potential monetary exposure. Even where the case does</w:t>
      </w:r>
      <w:r w:rsidR="00552B67">
        <w:t xml:space="preserve"> </w:t>
      </w:r>
      <w:r>
        <w:t>not settle, ADR can be valuable in narrowing the issues, or helping the parties move closer to settlement (or facilitate a later settlement) by demonstrating good faith, improving their relations, or making progress in the negotiations. ADR may be beneficial in resolving several related disputes in one global settlement, or in settling one dispute that can set parameters for the resolution of similar future disputes. ADR can contribute to effective case management by resolving discovery disputes or facilitating the informal exchange of critical information.</w:t>
      </w:r>
    </w:p>
    <w:p w:rsidR="00974423" w:rsidRDefault="00974423" w:rsidP="00974423">
      <w:pPr>
        <w:ind w:left="720"/>
      </w:pPr>
    </w:p>
    <w:p w:rsidR="00974423" w:rsidRPr="00515E86" w:rsidRDefault="00974423" w:rsidP="00974423">
      <w:pPr>
        <w:tabs>
          <w:tab w:val="left" w:pos="720"/>
        </w:tabs>
        <w:ind w:left="720"/>
        <w:rPr>
          <w:b/>
        </w:rPr>
      </w:pPr>
      <w:r w:rsidRPr="00515E86">
        <w:rPr>
          <w:b/>
        </w:rPr>
        <w:br/>
      </w:r>
      <w:r w:rsidRPr="00515E86">
        <w:rPr>
          <w:b/>
          <w:bCs/>
          <w:i/>
          <w:iCs/>
        </w:rPr>
        <w:t xml:space="preserve">FY 2006 </w:t>
      </w:r>
      <w:smartTag w:uri="urn:schemas-microsoft-com:office:smarttags" w:element="PersonName">
        <w:r w:rsidRPr="00515E86">
          <w:rPr>
            <w:b/>
            <w:bCs/>
            <w:i/>
            <w:iCs/>
          </w:rPr>
          <w:t>Performance</w:t>
        </w:r>
      </w:smartTag>
      <w:r w:rsidRPr="00515E86">
        <w:rPr>
          <w:b/>
          <w:bCs/>
          <w:i/>
          <w:iCs/>
        </w:rPr>
        <w:t xml:space="preserve"> </w:t>
      </w:r>
      <w:r w:rsidRPr="00515E86">
        <w:rPr>
          <w:b/>
          <w:bCs/>
          <w:i/>
          <w:iCs/>
          <w:u w:val="single"/>
        </w:rPr>
        <w:t>Actual</w:t>
      </w:r>
      <w:r w:rsidRPr="00515E86">
        <w:rPr>
          <w:b/>
          <w:bCs/>
          <w:i/>
          <w:iCs/>
        </w:rPr>
        <w:t>:</w:t>
      </w:r>
      <w:r w:rsidRPr="00515E86">
        <w:rPr>
          <w:b/>
        </w:rPr>
        <w:t xml:space="preserve">  59% </w:t>
      </w:r>
    </w:p>
    <w:p w:rsidR="00974423" w:rsidRPr="00574C93" w:rsidRDefault="00974423" w:rsidP="00974423">
      <w:pPr>
        <w:tabs>
          <w:tab w:val="left" w:pos="720"/>
        </w:tabs>
        <w:ind w:left="720"/>
      </w:pPr>
      <w:r w:rsidRPr="00515E86">
        <w:rPr>
          <w:b/>
          <w:bCs/>
          <w:i/>
          <w:iCs/>
        </w:rPr>
        <w:t xml:space="preserve">FY 2007 </w:t>
      </w:r>
      <w:smartTag w:uri="urn:schemas-microsoft-com:office:smarttags" w:element="PersonName">
        <w:r w:rsidRPr="00515E86">
          <w:rPr>
            <w:b/>
            <w:bCs/>
            <w:i/>
            <w:iCs/>
          </w:rPr>
          <w:t>Performance</w:t>
        </w:r>
      </w:smartTag>
      <w:r w:rsidRPr="00515E86">
        <w:rPr>
          <w:b/>
          <w:bCs/>
          <w:i/>
          <w:iCs/>
        </w:rPr>
        <w:t xml:space="preserve"> </w:t>
      </w:r>
      <w:r>
        <w:rPr>
          <w:b/>
          <w:bCs/>
          <w:i/>
          <w:iCs/>
          <w:u w:val="single"/>
        </w:rPr>
        <w:t>Actual</w:t>
      </w:r>
      <w:r w:rsidRPr="00515E86">
        <w:rPr>
          <w:b/>
          <w:bCs/>
          <w:i/>
          <w:iCs/>
        </w:rPr>
        <w:t>:</w:t>
      </w:r>
      <w:r w:rsidRPr="00515E86">
        <w:rPr>
          <w:b/>
        </w:rPr>
        <w:t xml:space="preserve"> </w:t>
      </w:r>
      <w:r>
        <w:rPr>
          <w:b/>
        </w:rPr>
        <w:t>60</w:t>
      </w:r>
      <w:r w:rsidRPr="00515E86">
        <w:rPr>
          <w:b/>
        </w:rPr>
        <w:t>%</w:t>
      </w:r>
      <w:r w:rsidRPr="00574C93">
        <w:br/>
      </w:r>
      <w:r w:rsidRPr="005E7D57">
        <w:rPr>
          <w:b/>
          <w:bCs/>
          <w:i/>
          <w:iCs/>
        </w:rPr>
        <w:t xml:space="preserve">FY 2008 Performance </w:t>
      </w:r>
      <w:r w:rsidRPr="005E7D57">
        <w:rPr>
          <w:b/>
          <w:bCs/>
          <w:i/>
          <w:iCs/>
          <w:u w:val="single"/>
        </w:rPr>
        <w:t>Actual</w:t>
      </w:r>
      <w:r w:rsidRPr="005E7D57">
        <w:rPr>
          <w:b/>
          <w:bCs/>
          <w:i/>
          <w:iCs/>
        </w:rPr>
        <w:t>:</w:t>
      </w:r>
      <w:r w:rsidRPr="005E7D57">
        <w:rPr>
          <w:b/>
        </w:rPr>
        <w:t xml:space="preserve">  51% </w:t>
      </w:r>
    </w:p>
    <w:p w:rsidR="00974423" w:rsidRDefault="00974423" w:rsidP="00974423">
      <w:pPr>
        <w:tabs>
          <w:tab w:val="left" w:pos="720"/>
        </w:tabs>
        <w:ind w:left="720"/>
      </w:pPr>
      <w:r w:rsidRPr="00442076">
        <w:rPr>
          <w:b/>
          <w:bCs/>
          <w:i/>
          <w:iCs/>
        </w:rPr>
        <w:t xml:space="preserve">FY 2009 </w:t>
      </w:r>
      <w:smartTag w:uri="urn:schemas-microsoft-com:office:smarttags" w:element="PersonName">
        <w:r w:rsidRPr="00442076">
          <w:rPr>
            <w:b/>
            <w:bCs/>
            <w:i/>
            <w:iCs/>
          </w:rPr>
          <w:t>Performance</w:t>
        </w:r>
      </w:smartTag>
      <w:r w:rsidRPr="00442076">
        <w:rPr>
          <w:b/>
          <w:bCs/>
          <w:i/>
          <w:iCs/>
          <w:u w:val="single"/>
        </w:rPr>
        <w:t xml:space="preserve"> Actua</w:t>
      </w:r>
      <w:r w:rsidRPr="00442076">
        <w:rPr>
          <w:bCs/>
          <w:i/>
          <w:iCs/>
          <w:u w:val="single"/>
        </w:rPr>
        <w:t>l</w:t>
      </w:r>
      <w:r w:rsidRPr="00574C93">
        <w:rPr>
          <w:bCs/>
          <w:i/>
          <w:iCs/>
        </w:rPr>
        <w:t>:</w:t>
      </w:r>
      <w:r w:rsidRPr="00574C93">
        <w:t xml:space="preserve"> </w:t>
      </w:r>
      <w:r w:rsidRPr="00442076">
        <w:rPr>
          <w:b/>
        </w:rPr>
        <w:t xml:space="preserve"> 42%</w:t>
      </w:r>
      <w:r w:rsidRPr="00574C93">
        <w:t xml:space="preserve"> </w:t>
      </w:r>
    </w:p>
    <w:p w:rsidR="00974423" w:rsidRDefault="00974423" w:rsidP="00974423">
      <w:pPr>
        <w:tabs>
          <w:tab w:val="left" w:pos="720"/>
        </w:tabs>
        <w:ind w:left="720"/>
      </w:pPr>
      <w:r w:rsidRPr="00574C93">
        <w:rPr>
          <w:bCs/>
          <w:i/>
          <w:iCs/>
        </w:rPr>
        <w:t xml:space="preserve">FY </w:t>
      </w:r>
      <w:proofErr w:type="gramStart"/>
      <w:r w:rsidRPr="00574C93">
        <w:rPr>
          <w:bCs/>
          <w:i/>
          <w:iCs/>
        </w:rPr>
        <w:t>20</w:t>
      </w:r>
      <w:r>
        <w:rPr>
          <w:bCs/>
          <w:i/>
          <w:iCs/>
        </w:rPr>
        <w:t xml:space="preserve">10 </w:t>
      </w:r>
      <w:r w:rsidRPr="00574C93">
        <w:rPr>
          <w:bCs/>
          <w:i/>
          <w:iCs/>
        </w:rPr>
        <w:t xml:space="preserve"> Performance</w:t>
      </w:r>
      <w:proofErr w:type="gramEnd"/>
      <w:r w:rsidRPr="00574C93">
        <w:rPr>
          <w:bCs/>
          <w:i/>
          <w:iCs/>
        </w:rPr>
        <w:t xml:space="preserve"> Target:</w:t>
      </w:r>
      <w:r w:rsidRPr="00574C93">
        <w:t xml:space="preserve">  25% </w:t>
      </w:r>
    </w:p>
    <w:p w:rsidR="00974423" w:rsidRDefault="00974423" w:rsidP="00974423">
      <w:pPr>
        <w:tabs>
          <w:tab w:val="left" w:pos="720"/>
        </w:tabs>
        <w:ind w:left="720"/>
      </w:pPr>
      <w:r>
        <w:rPr>
          <w:bCs/>
          <w:i/>
          <w:iCs/>
        </w:rPr>
        <w:t>FY 2011 Performance Target:</w:t>
      </w:r>
      <w:r>
        <w:t xml:space="preserve"> 25%</w:t>
      </w:r>
    </w:p>
    <w:p w:rsidR="00974423" w:rsidRDefault="00974423" w:rsidP="00974423">
      <w:pPr>
        <w:tabs>
          <w:tab w:val="left" w:pos="720"/>
        </w:tabs>
        <w:ind w:left="720"/>
      </w:pPr>
    </w:p>
    <w:p w:rsidR="00974423" w:rsidRDefault="00974423" w:rsidP="00515215">
      <w:r>
        <w:rPr>
          <w:b/>
          <w:bCs/>
        </w:rPr>
        <w:t>b. Strategies to Accomplish Outcomes</w:t>
      </w:r>
      <w:r>
        <w:br/>
      </w:r>
      <w:r>
        <w:br/>
      </w:r>
      <w:r w:rsidRPr="00574C93">
        <w:rPr>
          <w:bCs/>
        </w:rPr>
        <w:t>Strategies to Achieve FY</w:t>
      </w:r>
      <w:r>
        <w:rPr>
          <w:bCs/>
        </w:rPr>
        <w:t xml:space="preserve"> 2010/2011</w:t>
      </w:r>
      <w:r w:rsidRPr="00574C93">
        <w:rPr>
          <w:bCs/>
        </w:rPr>
        <w:t xml:space="preserve"> Goal:</w:t>
      </w:r>
      <w:r>
        <w:t xml:space="preserve">  ODR will continue aiming for use and resolution </w:t>
      </w:r>
      <w:r>
        <w:lastRenderedPageBreak/>
        <w:t xml:space="preserve">rates that are high but recognizes that despite fluctuations, use of ADR will continue to bring significant savings and benefits to the Department and the United States Government.   </w:t>
      </w:r>
    </w:p>
    <w:p w:rsidR="00974423" w:rsidRDefault="00974423" w:rsidP="00974423">
      <w:pPr>
        <w:ind w:left="720"/>
      </w:pPr>
    </w:p>
    <w:p w:rsidR="00974423" w:rsidRDefault="00974423" w:rsidP="00515215">
      <w:r>
        <w:t xml:space="preserve">ODR will continue its efforts to better evaluate use and results of ADR by obtaining more comprehensive reporting from the components. ODR joined in the Department case management project to focus on improving reporting. The new Department-wide Litigation Case Management System includes a centralized application and database for case management, in order to provide consistency and usability for all components. ODR requested that the litigation architecture include tracking of dispute resolution. ODR will also explore the possibility of requiring the components that utilize ADR to report annually on the number of cases in which ADR was used and the total cost and resource savings realized through use of ADR.  </w:t>
      </w:r>
    </w:p>
    <w:p w:rsidR="00974423" w:rsidRDefault="00974423" w:rsidP="00974423">
      <w:pPr>
        <w:ind w:left="720"/>
      </w:pPr>
    </w:p>
    <w:p w:rsidR="00974423" w:rsidRDefault="00974423" w:rsidP="00E15B04">
      <w:r>
        <w:t xml:space="preserve">ODR created a new online ADR evaluation form that Department attorneys can complete for every case in which ADR was used and, beginning in FY 2006, the attorneys have been able to submit the completed evaluation form electronically to ODR. ODR has also established an internal Department web page that provides practical guidance-at-a-glance for Department attorneys on the use and benefits of ADR. The ADR evaluation form is on the Department’s internal web page. </w:t>
      </w:r>
    </w:p>
    <w:p w:rsidR="00974423" w:rsidRDefault="00974423" w:rsidP="00974423">
      <w:pPr>
        <w:ind w:left="720"/>
      </w:pPr>
    </w:p>
    <w:p w:rsidR="00A75052" w:rsidRDefault="00A75052">
      <w:pPr>
        <w:pStyle w:val="BodyText"/>
        <w:rPr>
          <w:i/>
          <w:iCs/>
        </w:rPr>
      </w:pPr>
    </w:p>
    <w:p w:rsidR="005D39D7" w:rsidRDefault="005D39D7">
      <w:pPr>
        <w:pStyle w:val="BodyText"/>
        <w:rPr>
          <w:i/>
          <w:iCs/>
        </w:rPr>
      </w:pPr>
    </w:p>
    <w:p w:rsidR="006A29E1" w:rsidRDefault="006A29E1" w:rsidP="006A29E1">
      <w:pPr>
        <w:pStyle w:val="BodyText"/>
        <w:rPr>
          <w:i/>
          <w:iCs/>
        </w:rPr>
      </w:pPr>
    </w:p>
    <w:p w:rsidR="00256741" w:rsidRPr="00256741" w:rsidRDefault="00256741" w:rsidP="00256741">
      <w:pPr>
        <w:pStyle w:val="BodyText"/>
        <w:rPr>
          <w:iCs/>
        </w:rPr>
      </w:pPr>
    </w:p>
    <w:p w:rsidR="00224A36" w:rsidRDefault="00224A36">
      <w:pPr>
        <w:pStyle w:val="BodyText"/>
      </w:pPr>
    </w:p>
    <w:p w:rsidR="00224A36" w:rsidRDefault="00224A36">
      <w:pPr>
        <w:rPr>
          <w:rFonts w:ascii="Arial" w:hAnsi="Arial"/>
        </w:rPr>
      </w:pPr>
    </w:p>
    <w:p w:rsidR="00224A36" w:rsidRDefault="00224A36">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p w:rsidR="006A2FE8" w:rsidRDefault="006A2FE8">
      <w:pPr>
        <w:pStyle w:val="BodyText"/>
        <w:rPr>
          <w:b/>
          <w:bCs/>
          <w:i/>
          <w:iCs/>
        </w:rPr>
      </w:pPr>
    </w:p>
    <w:sectPr w:rsidR="006A2FE8" w:rsidSect="009136AE">
      <w:headerReference w:type="even" r:id="rId14"/>
      <w:headerReference w:type="default" r:id="rId15"/>
      <w:headerReference w:type="first" r:id="rId16"/>
      <w:pgSz w:w="12240" w:h="15840" w:code="1"/>
      <w:pgMar w:top="1152" w:right="1440" w:bottom="1152"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FC3" w:rsidRDefault="000C6FC3">
      <w:r>
        <w:separator/>
      </w:r>
    </w:p>
  </w:endnote>
  <w:endnote w:type="continuationSeparator" w:id="0">
    <w:p w:rsidR="000C6FC3" w:rsidRDefault="000C6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C3" w:rsidRDefault="00801759">
    <w:pPr>
      <w:pStyle w:val="Footer"/>
      <w:jc w:val="center"/>
    </w:pPr>
    <w:fldSimple w:instr=" PAGE   \* MERGEFORMAT ">
      <w:r w:rsidR="004D2B39">
        <w:rPr>
          <w:noProof/>
        </w:rPr>
        <w:t>11</w:t>
      </w:r>
    </w:fldSimple>
  </w:p>
  <w:p w:rsidR="000C6FC3" w:rsidRDefault="000C6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FC3" w:rsidRDefault="000C6FC3">
      <w:r>
        <w:separator/>
      </w:r>
    </w:p>
  </w:footnote>
  <w:footnote w:type="continuationSeparator" w:id="0">
    <w:p w:rsidR="000C6FC3" w:rsidRDefault="000C6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C3" w:rsidRDefault="000C6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C3" w:rsidRDefault="000C6F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FC3" w:rsidRDefault="000C6F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C94812"/>
    <w:multiLevelType w:val="hybridMultilevel"/>
    <w:tmpl w:val="289C3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424BF3"/>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6">
    <w:nsid w:val="42C415E0"/>
    <w:multiLevelType w:val="hybridMultilevel"/>
    <w:tmpl w:val="E340BA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47A066B"/>
    <w:multiLevelType w:val="hybridMultilevel"/>
    <w:tmpl w:val="B3488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AE845C2"/>
    <w:multiLevelType w:val="hybridMultilevel"/>
    <w:tmpl w:val="41106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A35370"/>
    <w:multiLevelType w:val="hybridMultilevel"/>
    <w:tmpl w:val="8D687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2B1813"/>
    <w:multiLevelType w:val="hybridMultilevel"/>
    <w:tmpl w:val="12AEECA2"/>
    <w:lvl w:ilvl="0" w:tplc="38AED8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7BA0920"/>
    <w:multiLevelType w:val="hybridMultilevel"/>
    <w:tmpl w:val="5448C5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0617D47"/>
    <w:multiLevelType w:val="hybridMultilevel"/>
    <w:tmpl w:val="B6102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022DD8"/>
    <w:multiLevelType w:val="multilevel"/>
    <w:tmpl w:val="D55A967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8"/>
  </w:num>
  <w:num w:numId="3">
    <w:abstractNumId w:val="12"/>
  </w:num>
  <w:num w:numId="4">
    <w:abstractNumId w:val="2"/>
  </w:num>
  <w:num w:numId="5">
    <w:abstractNumId w:val="33"/>
  </w:num>
  <w:num w:numId="6">
    <w:abstractNumId w:val="6"/>
  </w:num>
  <w:num w:numId="7">
    <w:abstractNumId w:val="35"/>
  </w:num>
  <w:num w:numId="8">
    <w:abstractNumId w:val="21"/>
  </w:num>
  <w:num w:numId="9">
    <w:abstractNumId w:val="17"/>
  </w:num>
  <w:num w:numId="10">
    <w:abstractNumId w:val="11"/>
  </w:num>
  <w:num w:numId="11">
    <w:abstractNumId w:val="24"/>
  </w:num>
  <w:num w:numId="12">
    <w:abstractNumId w:val="20"/>
  </w:num>
  <w:num w:numId="13">
    <w:abstractNumId w:val="4"/>
  </w:num>
  <w:num w:numId="14">
    <w:abstractNumId w:val="14"/>
  </w:num>
  <w:num w:numId="15">
    <w:abstractNumId w:val="0"/>
  </w:num>
  <w:num w:numId="16">
    <w:abstractNumId w:val="18"/>
  </w:num>
  <w:num w:numId="17">
    <w:abstractNumId w:val="10"/>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19"/>
  </w:num>
  <w:num w:numId="20">
    <w:abstractNumId w:val="25"/>
  </w:num>
  <w:num w:numId="21">
    <w:abstractNumId w:val="22"/>
  </w:num>
  <w:num w:numId="22">
    <w:abstractNumId w:val="30"/>
  </w:num>
  <w:num w:numId="23">
    <w:abstractNumId w:val="3"/>
  </w:num>
  <w:num w:numId="24">
    <w:abstractNumId w:val="15"/>
  </w:num>
  <w:num w:numId="25">
    <w:abstractNumId w:val="7"/>
  </w:num>
  <w:num w:numId="26">
    <w:abstractNumId w:val="13"/>
  </w:num>
  <w:num w:numId="27">
    <w:abstractNumId w:val="9"/>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29"/>
  </w:num>
  <w:num w:numId="30">
    <w:abstractNumId w:val="32"/>
  </w:num>
  <w:num w:numId="31">
    <w:abstractNumId w:val="5"/>
  </w:num>
  <w:num w:numId="32">
    <w:abstractNumId w:val="16"/>
  </w:num>
  <w:num w:numId="33">
    <w:abstractNumId w:val="23"/>
  </w:num>
  <w:num w:numId="34">
    <w:abstractNumId w:val="31"/>
  </w:num>
  <w:num w:numId="35">
    <w:abstractNumId w:val="27"/>
  </w:num>
  <w:num w:numId="36">
    <w:abstractNumId w:val="34"/>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rsids>
    <w:rsidRoot w:val="003D0E7B"/>
    <w:rsid w:val="0000365E"/>
    <w:rsid w:val="00005EFD"/>
    <w:rsid w:val="00006EDF"/>
    <w:rsid w:val="00007B26"/>
    <w:rsid w:val="00011207"/>
    <w:rsid w:val="000121A7"/>
    <w:rsid w:val="0001481B"/>
    <w:rsid w:val="00014F8E"/>
    <w:rsid w:val="000164DC"/>
    <w:rsid w:val="000203AA"/>
    <w:rsid w:val="000214F1"/>
    <w:rsid w:val="00023728"/>
    <w:rsid w:val="00025EF7"/>
    <w:rsid w:val="00030811"/>
    <w:rsid w:val="00034954"/>
    <w:rsid w:val="00042B3C"/>
    <w:rsid w:val="00044C68"/>
    <w:rsid w:val="00045BFB"/>
    <w:rsid w:val="00050E0C"/>
    <w:rsid w:val="00051D53"/>
    <w:rsid w:val="00053DBF"/>
    <w:rsid w:val="00053DD2"/>
    <w:rsid w:val="00054E33"/>
    <w:rsid w:val="00054F1F"/>
    <w:rsid w:val="000553F7"/>
    <w:rsid w:val="00056F09"/>
    <w:rsid w:val="0006543F"/>
    <w:rsid w:val="0006689A"/>
    <w:rsid w:val="00067A32"/>
    <w:rsid w:val="00070433"/>
    <w:rsid w:val="000707EC"/>
    <w:rsid w:val="00073538"/>
    <w:rsid w:val="0007449E"/>
    <w:rsid w:val="000755B1"/>
    <w:rsid w:val="00077D58"/>
    <w:rsid w:val="00080297"/>
    <w:rsid w:val="00086EDF"/>
    <w:rsid w:val="000937A9"/>
    <w:rsid w:val="000A0803"/>
    <w:rsid w:val="000A1682"/>
    <w:rsid w:val="000A2088"/>
    <w:rsid w:val="000A224F"/>
    <w:rsid w:val="000A3E86"/>
    <w:rsid w:val="000A40C2"/>
    <w:rsid w:val="000A71A4"/>
    <w:rsid w:val="000B08A9"/>
    <w:rsid w:val="000C084A"/>
    <w:rsid w:val="000C1FBF"/>
    <w:rsid w:val="000C3194"/>
    <w:rsid w:val="000C40C2"/>
    <w:rsid w:val="000C6DCF"/>
    <w:rsid w:val="000C6FC3"/>
    <w:rsid w:val="000C79E1"/>
    <w:rsid w:val="000D2512"/>
    <w:rsid w:val="000D2972"/>
    <w:rsid w:val="000D73EC"/>
    <w:rsid w:val="000D74C1"/>
    <w:rsid w:val="000E2AEC"/>
    <w:rsid w:val="000E34A5"/>
    <w:rsid w:val="000F15A2"/>
    <w:rsid w:val="000F2A30"/>
    <w:rsid w:val="000F321C"/>
    <w:rsid w:val="000F5C92"/>
    <w:rsid w:val="000F7E92"/>
    <w:rsid w:val="00100F8B"/>
    <w:rsid w:val="001012AA"/>
    <w:rsid w:val="00104C69"/>
    <w:rsid w:val="001071A0"/>
    <w:rsid w:val="001116B5"/>
    <w:rsid w:val="001123BA"/>
    <w:rsid w:val="0011291B"/>
    <w:rsid w:val="00113A1D"/>
    <w:rsid w:val="00126B7E"/>
    <w:rsid w:val="001347E9"/>
    <w:rsid w:val="001363C1"/>
    <w:rsid w:val="00142988"/>
    <w:rsid w:val="00142CD8"/>
    <w:rsid w:val="001436CB"/>
    <w:rsid w:val="001526DA"/>
    <w:rsid w:val="0016008A"/>
    <w:rsid w:val="001608AB"/>
    <w:rsid w:val="00161168"/>
    <w:rsid w:val="001613C6"/>
    <w:rsid w:val="00163AD7"/>
    <w:rsid w:val="00165BD8"/>
    <w:rsid w:val="00165EB9"/>
    <w:rsid w:val="00172C1E"/>
    <w:rsid w:val="0017375E"/>
    <w:rsid w:val="00175569"/>
    <w:rsid w:val="00180538"/>
    <w:rsid w:val="00181487"/>
    <w:rsid w:val="00184F7E"/>
    <w:rsid w:val="0019151C"/>
    <w:rsid w:val="0019205E"/>
    <w:rsid w:val="001A3012"/>
    <w:rsid w:val="001A6122"/>
    <w:rsid w:val="001B1FC5"/>
    <w:rsid w:val="001B2A05"/>
    <w:rsid w:val="001B2AFD"/>
    <w:rsid w:val="001B31B3"/>
    <w:rsid w:val="001B5D53"/>
    <w:rsid w:val="001B5DB4"/>
    <w:rsid w:val="001C0F82"/>
    <w:rsid w:val="001C2463"/>
    <w:rsid w:val="001D0D9A"/>
    <w:rsid w:val="001D13BD"/>
    <w:rsid w:val="001D1825"/>
    <w:rsid w:val="001E43B4"/>
    <w:rsid w:val="001E532B"/>
    <w:rsid w:val="001E6A87"/>
    <w:rsid w:val="001E72A1"/>
    <w:rsid w:val="001F3BCA"/>
    <w:rsid w:val="001F4B59"/>
    <w:rsid w:val="002015E7"/>
    <w:rsid w:val="0020204D"/>
    <w:rsid w:val="00203CA3"/>
    <w:rsid w:val="00204DE8"/>
    <w:rsid w:val="002112F5"/>
    <w:rsid w:val="00217B3B"/>
    <w:rsid w:val="002218C8"/>
    <w:rsid w:val="00222AA8"/>
    <w:rsid w:val="00224A36"/>
    <w:rsid w:val="00230F8A"/>
    <w:rsid w:val="00231886"/>
    <w:rsid w:val="00235B47"/>
    <w:rsid w:val="002371D6"/>
    <w:rsid w:val="00242306"/>
    <w:rsid w:val="00242E43"/>
    <w:rsid w:val="00243D60"/>
    <w:rsid w:val="0024599A"/>
    <w:rsid w:val="00251A04"/>
    <w:rsid w:val="00256741"/>
    <w:rsid w:val="00262C93"/>
    <w:rsid w:val="0026374C"/>
    <w:rsid w:val="00266B82"/>
    <w:rsid w:val="0026799E"/>
    <w:rsid w:val="00270349"/>
    <w:rsid w:val="00271688"/>
    <w:rsid w:val="00282951"/>
    <w:rsid w:val="00287806"/>
    <w:rsid w:val="00292688"/>
    <w:rsid w:val="002930E6"/>
    <w:rsid w:val="00293AB3"/>
    <w:rsid w:val="00295130"/>
    <w:rsid w:val="002A19E0"/>
    <w:rsid w:val="002A33D5"/>
    <w:rsid w:val="002B4426"/>
    <w:rsid w:val="002B6EFB"/>
    <w:rsid w:val="002B6F42"/>
    <w:rsid w:val="002B70A0"/>
    <w:rsid w:val="002C5589"/>
    <w:rsid w:val="002C664A"/>
    <w:rsid w:val="002E12B9"/>
    <w:rsid w:val="002E17AE"/>
    <w:rsid w:val="002E2640"/>
    <w:rsid w:val="002E27B7"/>
    <w:rsid w:val="002F12AF"/>
    <w:rsid w:val="002F6D16"/>
    <w:rsid w:val="002F6F98"/>
    <w:rsid w:val="00302546"/>
    <w:rsid w:val="00305761"/>
    <w:rsid w:val="00306000"/>
    <w:rsid w:val="00316F27"/>
    <w:rsid w:val="00317730"/>
    <w:rsid w:val="00323381"/>
    <w:rsid w:val="00323DF4"/>
    <w:rsid w:val="00324849"/>
    <w:rsid w:val="00326AC8"/>
    <w:rsid w:val="00330439"/>
    <w:rsid w:val="0033094F"/>
    <w:rsid w:val="00331BB9"/>
    <w:rsid w:val="003353EE"/>
    <w:rsid w:val="00337579"/>
    <w:rsid w:val="003425B7"/>
    <w:rsid w:val="00346613"/>
    <w:rsid w:val="00350022"/>
    <w:rsid w:val="003578DC"/>
    <w:rsid w:val="0036043A"/>
    <w:rsid w:val="00360B53"/>
    <w:rsid w:val="00361B39"/>
    <w:rsid w:val="00366CF3"/>
    <w:rsid w:val="003677F2"/>
    <w:rsid w:val="00372C3E"/>
    <w:rsid w:val="00380F8D"/>
    <w:rsid w:val="00383B00"/>
    <w:rsid w:val="0038674E"/>
    <w:rsid w:val="00387586"/>
    <w:rsid w:val="00387FB2"/>
    <w:rsid w:val="00395D66"/>
    <w:rsid w:val="00396366"/>
    <w:rsid w:val="003A1222"/>
    <w:rsid w:val="003A38EA"/>
    <w:rsid w:val="003A7660"/>
    <w:rsid w:val="003A7922"/>
    <w:rsid w:val="003B05E8"/>
    <w:rsid w:val="003B0CB9"/>
    <w:rsid w:val="003B2AD6"/>
    <w:rsid w:val="003B2E8C"/>
    <w:rsid w:val="003D0667"/>
    <w:rsid w:val="003D0B97"/>
    <w:rsid w:val="003D0E7B"/>
    <w:rsid w:val="003D0FEA"/>
    <w:rsid w:val="003D2773"/>
    <w:rsid w:val="003D3E88"/>
    <w:rsid w:val="003E08AD"/>
    <w:rsid w:val="003E0DB9"/>
    <w:rsid w:val="003E0E22"/>
    <w:rsid w:val="003E5664"/>
    <w:rsid w:val="003E615F"/>
    <w:rsid w:val="003E746C"/>
    <w:rsid w:val="003F2498"/>
    <w:rsid w:val="003F7D8D"/>
    <w:rsid w:val="00400AC4"/>
    <w:rsid w:val="00400C58"/>
    <w:rsid w:val="00413D62"/>
    <w:rsid w:val="004157D3"/>
    <w:rsid w:val="004168F0"/>
    <w:rsid w:val="00417846"/>
    <w:rsid w:val="00426797"/>
    <w:rsid w:val="00427F7F"/>
    <w:rsid w:val="00431903"/>
    <w:rsid w:val="00433BB2"/>
    <w:rsid w:val="004365F4"/>
    <w:rsid w:val="004366EC"/>
    <w:rsid w:val="00436703"/>
    <w:rsid w:val="00436958"/>
    <w:rsid w:val="00437BA4"/>
    <w:rsid w:val="00442363"/>
    <w:rsid w:val="00446A90"/>
    <w:rsid w:val="00457FD6"/>
    <w:rsid w:val="00461E17"/>
    <w:rsid w:val="0047187B"/>
    <w:rsid w:val="004753FC"/>
    <w:rsid w:val="00480329"/>
    <w:rsid w:val="0048075E"/>
    <w:rsid w:val="00487EFA"/>
    <w:rsid w:val="004918D1"/>
    <w:rsid w:val="00493966"/>
    <w:rsid w:val="00494B65"/>
    <w:rsid w:val="004952A7"/>
    <w:rsid w:val="004A0FF7"/>
    <w:rsid w:val="004A707A"/>
    <w:rsid w:val="004B1656"/>
    <w:rsid w:val="004B698D"/>
    <w:rsid w:val="004B775C"/>
    <w:rsid w:val="004C078B"/>
    <w:rsid w:val="004C1AF6"/>
    <w:rsid w:val="004C2FBB"/>
    <w:rsid w:val="004C581E"/>
    <w:rsid w:val="004D1D69"/>
    <w:rsid w:val="004D2B39"/>
    <w:rsid w:val="004D6A84"/>
    <w:rsid w:val="004E2357"/>
    <w:rsid w:val="004E48F4"/>
    <w:rsid w:val="004F1B7D"/>
    <w:rsid w:val="004F263A"/>
    <w:rsid w:val="004F7D52"/>
    <w:rsid w:val="005040A7"/>
    <w:rsid w:val="00505030"/>
    <w:rsid w:val="00507DEF"/>
    <w:rsid w:val="00511430"/>
    <w:rsid w:val="00511AD2"/>
    <w:rsid w:val="00511FC8"/>
    <w:rsid w:val="00515215"/>
    <w:rsid w:val="00515ADA"/>
    <w:rsid w:val="00533085"/>
    <w:rsid w:val="00534E11"/>
    <w:rsid w:val="00535C9A"/>
    <w:rsid w:val="005360B6"/>
    <w:rsid w:val="00540A7B"/>
    <w:rsid w:val="00540F18"/>
    <w:rsid w:val="00546185"/>
    <w:rsid w:val="00546DF7"/>
    <w:rsid w:val="00547FE3"/>
    <w:rsid w:val="00552B67"/>
    <w:rsid w:val="00552FA5"/>
    <w:rsid w:val="005552FF"/>
    <w:rsid w:val="00555DF0"/>
    <w:rsid w:val="005632D9"/>
    <w:rsid w:val="005647DA"/>
    <w:rsid w:val="00566F71"/>
    <w:rsid w:val="0056748D"/>
    <w:rsid w:val="005730E5"/>
    <w:rsid w:val="00574941"/>
    <w:rsid w:val="00576A91"/>
    <w:rsid w:val="00581107"/>
    <w:rsid w:val="00581610"/>
    <w:rsid w:val="00582BB7"/>
    <w:rsid w:val="00583B1D"/>
    <w:rsid w:val="00584C3E"/>
    <w:rsid w:val="0058555C"/>
    <w:rsid w:val="0059020B"/>
    <w:rsid w:val="005914FD"/>
    <w:rsid w:val="00592F15"/>
    <w:rsid w:val="005933C6"/>
    <w:rsid w:val="00593CBE"/>
    <w:rsid w:val="005955E2"/>
    <w:rsid w:val="005A1919"/>
    <w:rsid w:val="005B391D"/>
    <w:rsid w:val="005B4F15"/>
    <w:rsid w:val="005B6BB2"/>
    <w:rsid w:val="005C0B24"/>
    <w:rsid w:val="005C16EA"/>
    <w:rsid w:val="005C1702"/>
    <w:rsid w:val="005C1780"/>
    <w:rsid w:val="005C21DC"/>
    <w:rsid w:val="005C37D9"/>
    <w:rsid w:val="005C624C"/>
    <w:rsid w:val="005C6CF6"/>
    <w:rsid w:val="005D14B4"/>
    <w:rsid w:val="005D2FF1"/>
    <w:rsid w:val="005D39D7"/>
    <w:rsid w:val="005E018C"/>
    <w:rsid w:val="005F06B9"/>
    <w:rsid w:val="005F37CD"/>
    <w:rsid w:val="005F48E6"/>
    <w:rsid w:val="00601A72"/>
    <w:rsid w:val="006039C5"/>
    <w:rsid w:val="00604A97"/>
    <w:rsid w:val="00611931"/>
    <w:rsid w:val="00611E26"/>
    <w:rsid w:val="00612476"/>
    <w:rsid w:val="006153BA"/>
    <w:rsid w:val="00615A4D"/>
    <w:rsid w:val="00617017"/>
    <w:rsid w:val="0063361D"/>
    <w:rsid w:val="006364D4"/>
    <w:rsid w:val="006366E2"/>
    <w:rsid w:val="0063673C"/>
    <w:rsid w:val="00637F58"/>
    <w:rsid w:val="006425DA"/>
    <w:rsid w:val="00652CD4"/>
    <w:rsid w:val="00660989"/>
    <w:rsid w:val="0066171A"/>
    <w:rsid w:val="006629F4"/>
    <w:rsid w:val="0066304C"/>
    <w:rsid w:val="00663D4C"/>
    <w:rsid w:val="00670138"/>
    <w:rsid w:val="00670357"/>
    <w:rsid w:val="00672BFB"/>
    <w:rsid w:val="006751EA"/>
    <w:rsid w:val="00675254"/>
    <w:rsid w:val="00681570"/>
    <w:rsid w:val="00682A53"/>
    <w:rsid w:val="006906DE"/>
    <w:rsid w:val="0069364A"/>
    <w:rsid w:val="00693F48"/>
    <w:rsid w:val="00695EDC"/>
    <w:rsid w:val="006A051C"/>
    <w:rsid w:val="006A29E1"/>
    <w:rsid w:val="006A2FE8"/>
    <w:rsid w:val="006A30E2"/>
    <w:rsid w:val="006A58E7"/>
    <w:rsid w:val="006B4CA9"/>
    <w:rsid w:val="006C1CE0"/>
    <w:rsid w:val="006C6008"/>
    <w:rsid w:val="006C689E"/>
    <w:rsid w:val="006E00F4"/>
    <w:rsid w:val="006E01E3"/>
    <w:rsid w:val="006E2E46"/>
    <w:rsid w:val="006E3B4B"/>
    <w:rsid w:val="006E6513"/>
    <w:rsid w:val="006F3D67"/>
    <w:rsid w:val="006F53CB"/>
    <w:rsid w:val="00704FB3"/>
    <w:rsid w:val="007055B6"/>
    <w:rsid w:val="00705837"/>
    <w:rsid w:val="00710A68"/>
    <w:rsid w:val="007111E1"/>
    <w:rsid w:val="007139B4"/>
    <w:rsid w:val="00713F17"/>
    <w:rsid w:val="00715480"/>
    <w:rsid w:val="007157CA"/>
    <w:rsid w:val="00717DAE"/>
    <w:rsid w:val="00721A17"/>
    <w:rsid w:val="007234E3"/>
    <w:rsid w:val="0072494A"/>
    <w:rsid w:val="0073201D"/>
    <w:rsid w:val="00734CE0"/>
    <w:rsid w:val="00736FFF"/>
    <w:rsid w:val="007371B8"/>
    <w:rsid w:val="00740FB3"/>
    <w:rsid w:val="00745A66"/>
    <w:rsid w:val="007461F7"/>
    <w:rsid w:val="0074768F"/>
    <w:rsid w:val="00754EC3"/>
    <w:rsid w:val="00764C71"/>
    <w:rsid w:val="0076666E"/>
    <w:rsid w:val="00767E8F"/>
    <w:rsid w:val="00771421"/>
    <w:rsid w:val="007734F8"/>
    <w:rsid w:val="00774848"/>
    <w:rsid w:val="007749AA"/>
    <w:rsid w:val="00776054"/>
    <w:rsid w:val="0078303E"/>
    <w:rsid w:val="007876CB"/>
    <w:rsid w:val="007918BF"/>
    <w:rsid w:val="00792186"/>
    <w:rsid w:val="00792421"/>
    <w:rsid w:val="00796786"/>
    <w:rsid w:val="007975E7"/>
    <w:rsid w:val="007979FE"/>
    <w:rsid w:val="007A2829"/>
    <w:rsid w:val="007A3F28"/>
    <w:rsid w:val="007A688C"/>
    <w:rsid w:val="007B0CF3"/>
    <w:rsid w:val="007B3004"/>
    <w:rsid w:val="007B406F"/>
    <w:rsid w:val="007B55EE"/>
    <w:rsid w:val="007B6252"/>
    <w:rsid w:val="007B6B33"/>
    <w:rsid w:val="007B6E98"/>
    <w:rsid w:val="007C0D16"/>
    <w:rsid w:val="007C238C"/>
    <w:rsid w:val="007C4781"/>
    <w:rsid w:val="007C570E"/>
    <w:rsid w:val="007D12F5"/>
    <w:rsid w:val="007D48F9"/>
    <w:rsid w:val="007E23AD"/>
    <w:rsid w:val="007E613C"/>
    <w:rsid w:val="007F45A2"/>
    <w:rsid w:val="007F4D5D"/>
    <w:rsid w:val="007F6312"/>
    <w:rsid w:val="0080059F"/>
    <w:rsid w:val="00801759"/>
    <w:rsid w:val="008021AD"/>
    <w:rsid w:val="00806020"/>
    <w:rsid w:val="00815081"/>
    <w:rsid w:val="00816635"/>
    <w:rsid w:val="00836002"/>
    <w:rsid w:val="00840A3A"/>
    <w:rsid w:val="0084110B"/>
    <w:rsid w:val="008451EF"/>
    <w:rsid w:val="00851836"/>
    <w:rsid w:val="008530DA"/>
    <w:rsid w:val="008557F1"/>
    <w:rsid w:val="00860CE0"/>
    <w:rsid w:val="0086381F"/>
    <w:rsid w:val="0087565C"/>
    <w:rsid w:val="00875A38"/>
    <w:rsid w:val="00880581"/>
    <w:rsid w:val="0088138A"/>
    <w:rsid w:val="00881D1D"/>
    <w:rsid w:val="00890A9F"/>
    <w:rsid w:val="00890DB6"/>
    <w:rsid w:val="00893644"/>
    <w:rsid w:val="0089771B"/>
    <w:rsid w:val="008A0516"/>
    <w:rsid w:val="008A14E2"/>
    <w:rsid w:val="008A7C28"/>
    <w:rsid w:val="008B256E"/>
    <w:rsid w:val="008B295B"/>
    <w:rsid w:val="008B3EC5"/>
    <w:rsid w:val="008B672C"/>
    <w:rsid w:val="008C043E"/>
    <w:rsid w:val="008C0946"/>
    <w:rsid w:val="008C4C9E"/>
    <w:rsid w:val="008D0C2A"/>
    <w:rsid w:val="008D27AC"/>
    <w:rsid w:val="008D46B7"/>
    <w:rsid w:val="008D6134"/>
    <w:rsid w:val="008E2B1C"/>
    <w:rsid w:val="008F0F4B"/>
    <w:rsid w:val="008F460B"/>
    <w:rsid w:val="008F5966"/>
    <w:rsid w:val="008F7449"/>
    <w:rsid w:val="008F7450"/>
    <w:rsid w:val="009017AA"/>
    <w:rsid w:val="00901AB2"/>
    <w:rsid w:val="00902F1D"/>
    <w:rsid w:val="00905B0E"/>
    <w:rsid w:val="00905E11"/>
    <w:rsid w:val="00906DF9"/>
    <w:rsid w:val="00910CDC"/>
    <w:rsid w:val="009136AE"/>
    <w:rsid w:val="009147A6"/>
    <w:rsid w:val="00925A5F"/>
    <w:rsid w:val="00925CD7"/>
    <w:rsid w:val="0093076A"/>
    <w:rsid w:val="00930DD2"/>
    <w:rsid w:val="0093457A"/>
    <w:rsid w:val="00934D0C"/>
    <w:rsid w:val="00950ADA"/>
    <w:rsid w:val="0095733D"/>
    <w:rsid w:val="00957A11"/>
    <w:rsid w:val="00962547"/>
    <w:rsid w:val="00967760"/>
    <w:rsid w:val="00971703"/>
    <w:rsid w:val="0097259E"/>
    <w:rsid w:val="00974423"/>
    <w:rsid w:val="00982480"/>
    <w:rsid w:val="009842DA"/>
    <w:rsid w:val="00984AD4"/>
    <w:rsid w:val="00993556"/>
    <w:rsid w:val="0099399E"/>
    <w:rsid w:val="009A25D8"/>
    <w:rsid w:val="009A4734"/>
    <w:rsid w:val="009A710D"/>
    <w:rsid w:val="009B257E"/>
    <w:rsid w:val="009B6983"/>
    <w:rsid w:val="009B744E"/>
    <w:rsid w:val="009C031F"/>
    <w:rsid w:val="009C62D0"/>
    <w:rsid w:val="009C6CE3"/>
    <w:rsid w:val="009C7A02"/>
    <w:rsid w:val="009D7A0B"/>
    <w:rsid w:val="009E0888"/>
    <w:rsid w:val="009E0FEA"/>
    <w:rsid w:val="009E12C8"/>
    <w:rsid w:val="009E164D"/>
    <w:rsid w:val="009E6E14"/>
    <w:rsid w:val="009F0B96"/>
    <w:rsid w:val="009F5F9D"/>
    <w:rsid w:val="009F6B30"/>
    <w:rsid w:val="00A02026"/>
    <w:rsid w:val="00A06230"/>
    <w:rsid w:val="00A0692E"/>
    <w:rsid w:val="00A1072B"/>
    <w:rsid w:val="00A13AA0"/>
    <w:rsid w:val="00A17DA7"/>
    <w:rsid w:val="00A20E8E"/>
    <w:rsid w:val="00A25111"/>
    <w:rsid w:val="00A25C65"/>
    <w:rsid w:val="00A274D8"/>
    <w:rsid w:val="00A419B0"/>
    <w:rsid w:val="00A43852"/>
    <w:rsid w:val="00A55F6D"/>
    <w:rsid w:val="00A56B6E"/>
    <w:rsid w:val="00A6112B"/>
    <w:rsid w:val="00A62C56"/>
    <w:rsid w:val="00A67E3F"/>
    <w:rsid w:val="00A733D6"/>
    <w:rsid w:val="00A75052"/>
    <w:rsid w:val="00A77712"/>
    <w:rsid w:val="00A826DB"/>
    <w:rsid w:val="00A83F2A"/>
    <w:rsid w:val="00A867D1"/>
    <w:rsid w:val="00A87425"/>
    <w:rsid w:val="00A92439"/>
    <w:rsid w:val="00A938CC"/>
    <w:rsid w:val="00A964E5"/>
    <w:rsid w:val="00A965C2"/>
    <w:rsid w:val="00AA3992"/>
    <w:rsid w:val="00AB1422"/>
    <w:rsid w:val="00AB5E25"/>
    <w:rsid w:val="00AB7F54"/>
    <w:rsid w:val="00AC06DD"/>
    <w:rsid w:val="00AC1A1A"/>
    <w:rsid w:val="00AC2C96"/>
    <w:rsid w:val="00AD3063"/>
    <w:rsid w:val="00AD424C"/>
    <w:rsid w:val="00AD5EE6"/>
    <w:rsid w:val="00AD6A16"/>
    <w:rsid w:val="00AE3308"/>
    <w:rsid w:val="00AE49CB"/>
    <w:rsid w:val="00AF1926"/>
    <w:rsid w:val="00AF33F5"/>
    <w:rsid w:val="00AF3691"/>
    <w:rsid w:val="00AF7E9F"/>
    <w:rsid w:val="00B0138C"/>
    <w:rsid w:val="00B03A1E"/>
    <w:rsid w:val="00B04FD6"/>
    <w:rsid w:val="00B058E9"/>
    <w:rsid w:val="00B05DA7"/>
    <w:rsid w:val="00B1333D"/>
    <w:rsid w:val="00B139E3"/>
    <w:rsid w:val="00B1486E"/>
    <w:rsid w:val="00B2081C"/>
    <w:rsid w:val="00B2226F"/>
    <w:rsid w:val="00B24952"/>
    <w:rsid w:val="00B270AC"/>
    <w:rsid w:val="00B27868"/>
    <w:rsid w:val="00B352EE"/>
    <w:rsid w:val="00B37CE7"/>
    <w:rsid w:val="00B44B15"/>
    <w:rsid w:val="00B461C2"/>
    <w:rsid w:val="00B50845"/>
    <w:rsid w:val="00B50B54"/>
    <w:rsid w:val="00B50CCC"/>
    <w:rsid w:val="00B531D5"/>
    <w:rsid w:val="00B5344E"/>
    <w:rsid w:val="00B54D23"/>
    <w:rsid w:val="00B64D26"/>
    <w:rsid w:val="00B66E6E"/>
    <w:rsid w:val="00B70E30"/>
    <w:rsid w:val="00B7468D"/>
    <w:rsid w:val="00B75ADA"/>
    <w:rsid w:val="00B77982"/>
    <w:rsid w:val="00B8049B"/>
    <w:rsid w:val="00B830EB"/>
    <w:rsid w:val="00B85B84"/>
    <w:rsid w:val="00B86509"/>
    <w:rsid w:val="00B86D37"/>
    <w:rsid w:val="00B87D1D"/>
    <w:rsid w:val="00BA2681"/>
    <w:rsid w:val="00BA50BF"/>
    <w:rsid w:val="00BA627E"/>
    <w:rsid w:val="00BA6550"/>
    <w:rsid w:val="00BA740D"/>
    <w:rsid w:val="00BB0AD4"/>
    <w:rsid w:val="00BB5305"/>
    <w:rsid w:val="00BB5538"/>
    <w:rsid w:val="00BC3C38"/>
    <w:rsid w:val="00BC3D84"/>
    <w:rsid w:val="00BD22F3"/>
    <w:rsid w:val="00BD35DC"/>
    <w:rsid w:val="00BD44E0"/>
    <w:rsid w:val="00BD4814"/>
    <w:rsid w:val="00BD7466"/>
    <w:rsid w:val="00BE111F"/>
    <w:rsid w:val="00BE21EA"/>
    <w:rsid w:val="00BF15A3"/>
    <w:rsid w:val="00BF2C74"/>
    <w:rsid w:val="00BF35A7"/>
    <w:rsid w:val="00BF6388"/>
    <w:rsid w:val="00BF7C7F"/>
    <w:rsid w:val="00C01747"/>
    <w:rsid w:val="00C04EF3"/>
    <w:rsid w:val="00C124E8"/>
    <w:rsid w:val="00C143A7"/>
    <w:rsid w:val="00C22F24"/>
    <w:rsid w:val="00C24B0B"/>
    <w:rsid w:val="00C25D4E"/>
    <w:rsid w:val="00C30C7B"/>
    <w:rsid w:val="00C33FC8"/>
    <w:rsid w:val="00C343B4"/>
    <w:rsid w:val="00C35A96"/>
    <w:rsid w:val="00C360DE"/>
    <w:rsid w:val="00C36DD2"/>
    <w:rsid w:val="00C37F85"/>
    <w:rsid w:val="00C40B38"/>
    <w:rsid w:val="00C43346"/>
    <w:rsid w:val="00C50CEF"/>
    <w:rsid w:val="00C52AFB"/>
    <w:rsid w:val="00C562F6"/>
    <w:rsid w:val="00C62824"/>
    <w:rsid w:val="00C7120E"/>
    <w:rsid w:val="00C74952"/>
    <w:rsid w:val="00C75359"/>
    <w:rsid w:val="00C804DA"/>
    <w:rsid w:val="00C83BA7"/>
    <w:rsid w:val="00C93B1D"/>
    <w:rsid w:val="00C94ABB"/>
    <w:rsid w:val="00C97183"/>
    <w:rsid w:val="00CA09EF"/>
    <w:rsid w:val="00CA3C1B"/>
    <w:rsid w:val="00CA6E35"/>
    <w:rsid w:val="00CB08A0"/>
    <w:rsid w:val="00CC1EF3"/>
    <w:rsid w:val="00CC3680"/>
    <w:rsid w:val="00CC5EE1"/>
    <w:rsid w:val="00CD0B74"/>
    <w:rsid w:val="00CD4683"/>
    <w:rsid w:val="00CD5DDA"/>
    <w:rsid w:val="00CF22C7"/>
    <w:rsid w:val="00CF44BE"/>
    <w:rsid w:val="00CF4593"/>
    <w:rsid w:val="00CF49BE"/>
    <w:rsid w:val="00CF718C"/>
    <w:rsid w:val="00D0251C"/>
    <w:rsid w:val="00D060A0"/>
    <w:rsid w:val="00D07B4B"/>
    <w:rsid w:val="00D10210"/>
    <w:rsid w:val="00D10E98"/>
    <w:rsid w:val="00D12F8A"/>
    <w:rsid w:val="00D14978"/>
    <w:rsid w:val="00D167DD"/>
    <w:rsid w:val="00D17876"/>
    <w:rsid w:val="00D203E4"/>
    <w:rsid w:val="00D21491"/>
    <w:rsid w:val="00D215A6"/>
    <w:rsid w:val="00D23376"/>
    <w:rsid w:val="00D3425E"/>
    <w:rsid w:val="00D3644F"/>
    <w:rsid w:val="00D43B22"/>
    <w:rsid w:val="00D441EC"/>
    <w:rsid w:val="00D52C2F"/>
    <w:rsid w:val="00D56819"/>
    <w:rsid w:val="00D63B8F"/>
    <w:rsid w:val="00D66DE2"/>
    <w:rsid w:val="00D672DA"/>
    <w:rsid w:val="00D721A8"/>
    <w:rsid w:val="00D7524D"/>
    <w:rsid w:val="00D80138"/>
    <w:rsid w:val="00D80271"/>
    <w:rsid w:val="00D97E56"/>
    <w:rsid w:val="00DA0FE9"/>
    <w:rsid w:val="00DA4058"/>
    <w:rsid w:val="00DA49E4"/>
    <w:rsid w:val="00DA4A93"/>
    <w:rsid w:val="00DB3B33"/>
    <w:rsid w:val="00DB5178"/>
    <w:rsid w:val="00DB5593"/>
    <w:rsid w:val="00DC1E5A"/>
    <w:rsid w:val="00DC2BF0"/>
    <w:rsid w:val="00DC3DC8"/>
    <w:rsid w:val="00DD1E49"/>
    <w:rsid w:val="00DD31EC"/>
    <w:rsid w:val="00DD3546"/>
    <w:rsid w:val="00DD3C37"/>
    <w:rsid w:val="00DD6722"/>
    <w:rsid w:val="00DE33F7"/>
    <w:rsid w:val="00DE3B13"/>
    <w:rsid w:val="00DE42D9"/>
    <w:rsid w:val="00DE5D4D"/>
    <w:rsid w:val="00DF07C7"/>
    <w:rsid w:val="00DF6AD8"/>
    <w:rsid w:val="00E0065D"/>
    <w:rsid w:val="00E01FDF"/>
    <w:rsid w:val="00E041EE"/>
    <w:rsid w:val="00E0504C"/>
    <w:rsid w:val="00E076EB"/>
    <w:rsid w:val="00E07B93"/>
    <w:rsid w:val="00E103D2"/>
    <w:rsid w:val="00E15B04"/>
    <w:rsid w:val="00E20934"/>
    <w:rsid w:val="00E32D57"/>
    <w:rsid w:val="00E37324"/>
    <w:rsid w:val="00E43151"/>
    <w:rsid w:val="00E43A0F"/>
    <w:rsid w:val="00E4629C"/>
    <w:rsid w:val="00E50B46"/>
    <w:rsid w:val="00E5400E"/>
    <w:rsid w:val="00E62A98"/>
    <w:rsid w:val="00E62C8B"/>
    <w:rsid w:val="00E668DC"/>
    <w:rsid w:val="00E71297"/>
    <w:rsid w:val="00E8100E"/>
    <w:rsid w:val="00E81A46"/>
    <w:rsid w:val="00E84B8D"/>
    <w:rsid w:val="00E9094F"/>
    <w:rsid w:val="00E90F31"/>
    <w:rsid w:val="00E96B32"/>
    <w:rsid w:val="00EA1DC0"/>
    <w:rsid w:val="00EA71F4"/>
    <w:rsid w:val="00EA7CF0"/>
    <w:rsid w:val="00EB01EC"/>
    <w:rsid w:val="00EB04A3"/>
    <w:rsid w:val="00EB2312"/>
    <w:rsid w:val="00EC02CE"/>
    <w:rsid w:val="00EC1415"/>
    <w:rsid w:val="00EC6E85"/>
    <w:rsid w:val="00EC7220"/>
    <w:rsid w:val="00ED0B5E"/>
    <w:rsid w:val="00ED79B0"/>
    <w:rsid w:val="00EE1531"/>
    <w:rsid w:val="00EE16F7"/>
    <w:rsid w:val="00EE375A"/>
    <w:rsid w:val="00EE6333"/>
    <w:rsid w:val="00EE7701"/>
    <w:rsid w:val="00EF02A1"/>
    <w:rsid w:val="00EF20FD"/>
    <w:rsid w:val="00F01E31"/>
    <w:rsid w:val="00F02FE7"/>
    <w:rsid w:val="00F043B0"/>
    <w:rsid w:val="00F0658B"/>
    <w:rsid w:val="00F1245B"/>
    <w:rsid w:val="00F1552C"/>
    <w:rsid w:val="00F159F9"/>
    <w:rsid w:val="00F16EFE"/>
    <w:rsid w:val="00F20A1F"/>
    <w:rsid w:val="00F227C6"/>
    <w:rsid w:val="00F23166"/>
    <w:rsid w:val="00F24802"/>
    <w:rsid w:val="00F24A99"/>
    <w:rsid w:val="00F26108"/>
    <w:rsid w:val="00F321C5"/>
    <w:rsid w:val="00F34FD3"/>
    <w:rsid w:val="00F36620"/>
    <w:rsid w:val="00F40141"/>
    <w:rsid w:val="00F41668"/>
    <w:rsid w:val="00F422C9"/>
    <w:rsid w:val="00F429DA"/>
    <w:rsid w:val="00F506BE"/>
    <w:rsid w:val="00F5377D"/>
    <w:rsid w:val="00F55A35"/>
    <w:rsid w:val="00F57FCD"/>
    <w:rsid w:val="00F62DE9"/>
    <w:rsid w:val="00F656E7"/>
    <w:rsid w:val="00F716A9"/>
    <w:rsid w:val="00F71A04"/>
    <w:rsid w:val="00F72D05"/>
    <w:rsid w:val="00F751B1"/>
    <w:rsid w:val="00F77864"/>
    <w:rsid w:val="00F807FB"/>
    <w:rsid w:val="00F81BB0"/>
    <w:rsid w:val="00F836E4"/>
    <w:rsid w:val="00F865B4"/>
    <w:rsid w:val="00F87281"/>
    <w:rsid w:val="00F90ABC"/>
    <w:rsid w:val="00F91C17"/>
    <w:rsid w:val="00F92A16"/>
    <w:rsid w:val="00F9306B"/>
    <w:rsid w:val="00F964CF"/>
    <w:rsid w:val="00FA00B4"/>
    <w:rsid w:val="00FA2839"/>
    <w:rsid w:val="00FA59CC"/>
    <w:rsid w:val="00FB1FE2"/>
    <w:rsid w:val="00FB3DB9"/>
    <w:rsid w:val="00FC00DD"/>
    <w:rsid w:val="00FC41DD"/>
    <w:rsid w:val="00FC4A03"/>
    <w:rsid w:val="00FC5E1D"/>
    <w:rsid w:val="00FC6F30"/>
    <w:rsid w:val="00FD0447"/>
    <w:rsid w:val="00FD156A"/>
    <w:rsid w:val="00FD1C96"/>
    <w:rsid w:val="00FD3A36"/>
    <w:rsid w:val="00FE0746"/>
    <w:rsid w:val="00FE650A"/>
    <w:rsid w:val="00FF1D21"/>
    <w:rsid w:val="00FF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basedOn w:val="Normal"/>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BodyTextIndent2">
    <w:name w:val="Body Text Indent 2"/>
    <w:basedOn w:val="Normal"/>
    <w:link w:val="BodyTextIndent2Char"/>
    <w:rsid w:val="00974423"/>
    <w:pPr>
      <w:spacing w:after="120" w:line="480" w:lineRule="auto"/>
      <w:ind w:left="360"/>
    </w:pPr>
  </w:style>
  <w:style w:type="character" w:customStyle="1" w:styleId="BodyTextIndent2Char">
    <w:name w:val="Body Text Indent 2 Char"/>
    <w:basedOn w:val="DefaultParagraphFont"/>
    <w:link w:val="BodyTextIndent2"/>
    <w:rsid w:val="00974423"/>
    <w:rPr>
      <w:sz w:val="24"/>
      <w:szCs w:val="24"/>
    </w:rPr>
  </w:style>
</w:styles>
</file>

<file path=word/webSettings.xml><?xml version="1.0" encoding="utf-8"?>
<w:webSettings xmlns:r="http://schemas.openxmlformats.org/officeDocument/2006/relationships" xmlns:w="http://schemas.openxmlformats.org/wordprocessingml/2006/main">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Office_Excel_97-2003_Worksheet2.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9EE5-0CD3-4182-A8EB-42AB4C1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3659</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24203</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jschmaus</cp:lastModifiedBy>
  <cp:revision>120</cp:revision>
  <cp:lastPrinted>2011-02-03T18:31:00Z</cp:lastPrinted>
  <dcterms:created xsi:type="dcterms:W3CDTF">2011-02-03T13:20:00Z</dcterms:created>
  <dcterms:modified xsi:type="dcterms:W3CDTF">2011-02-03T18:31:00Z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