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9E5" w:rsidRDefault="008039E5">
      <w:pPr>
        <w:pStyle w:val="Footer"/>
        <w:tabs>
          <w:tab w:val="clear" w:pos="8640"/>
          <w:tab w:val="left" w:leader="dot" w:pos="4320"/>
        </w:tabs>
        <w:jc w:val="center"/>
        <w:rPr>
          <w:rFonts w:ascii="Times New Roman" w:hAnsi="Times New Roman"/>
          <w:b/>
          <w:sz w:val="36"/>
        </w:rPr>
      </w:pPr>
    </w:p>
    <w:p w:rsidR="008039E5" w:rsidRDefault="008039E5">
      <w:pPr>
        <w:pStyle w:val="Footer"/>
        <w:tabs>
          <w:tab w:val="clear" w:pos="8640"/>
          <w:tab w:val="left" w:leader="dot" w:pos="4320"/>
        </w:tabs>
        <w:jc w:val="center"/>
        <w:rPr>
          <w:rFonts w:ascii="Times New Roman" w:hAnsi="Times New Roman"/>
          <w:b/>
          <w:sz w:val="36"/>
        </w:rPr>
      </w:pPr>
    </w:p>
    <w:p w:rsidR="008039E5" w:rsidRDefault="008039E5">
      <w:pPr>
        <w:pStyle w:val="Footer"/>
        <w:tabs>
          <w:tab w:val="clear" w:pos="8640"/>
          <w:tab w:val="left" w:leader="dot" w:pos="4320"/>
        </w:tabs>
        <w:jc w:val="center"/>
        <w:rPr>
          <w:rFonts w:ascii="Times New Roman" w:hAnsi="Times New Roman"/>
          <w:b/>
          <w:sz w:val="36"/>
        </w:rPr>
      </w:pPr>
    </w:p>
    <w:p w:rsidR="008039E5" w:rsidRDefault="008039E5">
      <w:pPr>
        <w:pStyle w:val="Footer"/>
        <w:tabs>
          <w:tab w:val="clear" w:pos="8640"/>
          <w:tab w:val="left" w:leader="dot" w:pos="4320"/>
        </w:tabs>
        <w:jc w:val="center"/>
        <w:rPr>
          <w:rFonts w:ascii="Times New Roman" w:hAnsi="Times New Roman"/>
          <w:b/>
          <w:sz w:val="36"/>
        </w:rPr>
      </w:pPr>
    </w:p>
    <w:p w:rsidR="008039E5" w:rsidRDefault="008039E5">
      <w:pPr>
        <w:pStyle w:val="Footer"/>
        <w:tabs>
          <w:tab w:val="clear" w:pos="8640"/>
          <w:tab w:val="left" w:leader="dot" w:pos="4320"/>
        </w:tabs>
        <w:jc w:val="center"/>
        <w:rPr>
          <w:rFonts w:ascii="Times New Roman" w:hAnsi="Times New Roman"/>
          <w:b/>
          <w:sz w:val="36"/>
        </w:rPr>
      </w:pPr>
    </w:p>
    <w:p w:rsidR="008039E5" w:rsidRDefault="008039E5">
      <w:pPr>
        <w:pStyle w:val="Footer"/>
        <w:tabs>
          <w:tab w:val="clear" w:pos="8640"/>
          <w:tab w:val="left" w:leader="dot" w:pos="4320"/>
        </w:tabs>
        <w:jc w:val="center"/>
        <w:rPr>
          <w:rFonts w:ascii="Times New Roman" w:hAnsi="Times New Roman"/>
          <w:b/>
          <w:sz w:val="36"/>
        </w:rPr>
      </w:pPr>
    </w:p>
    <w:p w:rsidR="008039E5" w:rsidRDefault="008039E5">
      <w:pPr>
        <w:pStyle w:val="Footer"/>
        <w:tabs>
          <w:tab w:val="clear" w:pos="8640"/>
          <w:tab w:val="left" w:leader="dot" w:pos="4320"/>
        </w:tabs>
        <w:jc w:val="center"/>
        <w:rPr>
          <w:rFonts w:ascii="Times New Roman" w:hAnsi="Times New Roman"/>
          <w:b/>
          <w:sz w:val="36"/>
        </w:rPr>
      </w:pPr>
      <w:smartTag w:uri="urn:schemas-microsoft-com:office:smarttags" w:element="place">
        <w:smartTag w:uri="urn:schemas-microsoft-com:office:smarttags" w:element="country-region">
          <w:r>
            <w:rPr>
              <w:rFonts w:ascii="Times New Roman" w:hAnsi="Times New Roman"/>
              <w:b/>
              <w:sz w:val="36"/>
            </w:rPr>
            <w:t>U.S.</w:t>
          </w:r>
        </w:smartTag>
      </w:smartTag>
      <w:r>
        <w:rPr>
          <w:rFonts w:ascii="Times New Roman" w:hAnsi="Times New Roman"/>
          <w:b/>
          <w:sz w:val="36"/>
        </w:rPr>
        <w:t xml:space="preserve"> Department of Justice</w:t>
      </w:r>
    </w:p>
    <w:p w:rsidR="008039E5" w:rsidRDefault="008039E5">
      <w:pPr>
        <w:pStyle w:val="Footer"/>
        <w:tabs>
          <w:tab w:val="clear" w:pos="8640"/>
          <w:tab w:val="left" w:leader="dot" w:pos="4320"/>
        </w:tabs>
        <w:jc w:val="center"/>
        <w:rPr>
          <w:rFonts w:ascii="Times New Roman" w:hAnsi="Times New Roman"/>
          <w:b/>
          <w:sz w:val="36"/>
        </w:rPr>
      </w:pPr>
    </w:p>
    <w:p w:rsidR="008039E5" w:rsidRDefault="008039E5">
      <w:pPr>
        <w:pStyle w:val="Footer"/>
        <w:tabs>
          <w:tab w:val="clear" w:pos="8640"/>
          <w:tab w:val="left" w:leader="dot" w:pos="4320"/>
        </w:tabs>
        <w:jc w:val="center"/>
        <w:rPr>
          <w:rFonts w:ascii="Times New Roman" w:hAnsi="Times New Roman"/>
          <w:b/>
        </w:rPr>
      </w:pPr>
    </w:p>
    <w:p w:rsidR="008039E5" w:rsidRDefault="008039E5">
      <w:pPr>
        <w:pStyle w:val="Footer"/>
        <w:tabs>
          <w:tab w:val="clear" w:pos="8640"/>
          <w:tab w:val="left" w:leader="dot" w:pos="4320"/>
        </w:tabs>
        <w:jc w:val="center"/>
        <w:rPr>
          <w:rFonts w:ascii="Times New Roman" w:hAnsi="Times New Roman" w:cs="Arial"/>
          <w:b/>
          <w:sz w:val="36"/>
        </w:rPr>
      </w:pPr>
      <w:r>
        <w:rPr>
          <w:rFonts w:ascii="Times New Roman" w:hAnsi="Times New Roman" w:cs="Arial"/>
          <w:b/>
          <w:sz w:val="36"/>
        </w:rPr>
        <w:t xml:space="preserve">FY </w:t>
      </w:r>
      <w:r w:rsidR="00A25545">
        <w:rPr>
          <w:rFonts w:ascii="Times New Roman" w:hAnsi="Times New Roman" w:cs="Arial"/>
          <w:b/>
          <w:sz w:val="36"/>
        </w:rPr>
        <w:t>2013</w:t>
      </w:r>
      <w:r>
        <w:rPr>
          <w:rFonts w:ascii="Times New Roman" w:hAnsi="Times New Roman" w:cs="Arial"/>
          <w:b/>
          <w:sz w:val="36"/>
        </w:rPr>
        <w:t xml:space="preserve"> PERFORMANCE BUDGET</w:t>
      </w:r>
    </w:p>
    <w:p w:rsidR="008039E5" w:rsidRDefault="00366D39">
      <w:pPr>
        <w:pStyle w:val="Footer"/>
        <w:tabs>
          <w:tab w:val="clear" w:pos="8640"/>
          <w:tab w:val="left" w:leader="dot" w:pos="4320"/>
        </w:tabs>
        <w:jc w:val="center"/>
        <w:rPr>
          <w:rFonts w:ascii="Times New Roman" w:hAnsi="Times New Roman"/>
          <w:b/>
          <w:sz w:val="36"/>
        </w:rPr>
      </w:pPr>
      <w:r>
        <w:rPr>
          <w:rFonts w:ascii="Times New Roman" w:hAnsi="Times New Roman"/>
          <w:b/>
          <w:sz w:val="36"/>
        </w:rPr>
        <w:t>Congressional</w:t>
      </w:r>
      <w:r w:rsidR="008039E5">
        <w:rPr>
          <w:rFonts w:ascii="Times New Roman" w:hAnsi="Times New Roman"/>
          <w:b/>
          <w:sz w:val="36"/>
        </w:rPr>
        <w:t xml:space="preserve"> Submission</w:t>
      </w:r>
    </w:p>
    <w:p w:rsidR="008039E5" w:rsidRDefault="008039E5">
      <w:pPr>
        <w:pStyle w:val="Footer"/>
        <w:tabs>
          <w:tab w:val="clear" w:pos="8640"/>
          <w:tab w:val="left" w:leader="dot" w:pos="4320"/>
        </w:tabs>
        <w:jc w:val="center"/>
        <w:rPr>
          <w:rFonts w:ascii="Times New Roman" w:hAnsi="Times New Roman"/>
          <w:b/>
          <w:sz w:val="36"/>
        </w:rPr>
      </w:pPr>
    </w:p>
    <w:p w:rsidR="008039E5" w:rsidRDefault="008039E5">
      <w:pPr>
        <w:pStyle w:val="Footer"/>
        <w:tabs>
          <w:tab w:val="clear" w:pos="8640"/>
          <w:tab w:val="left" w:leader="dot" w:pos="4320"/>
        </w:tabs>
        <w:jc w:val="center"/>
        <w:rPr>
          <w:rFonts w:ascii="Times New Roman" w:hAnsi="Times New Roman"/>
          <w:b/>
          <w:sz w:val="36"/>
        </w:rPr>
      </w:pPr>
    </w:p>
    <w:p w:rsidR="008039E5" w:rsidRPr="00F36AA2" w:rsidRDefault="008039E5">
      <w:pPr>
        <w:pStyle w:val="Footer"/>
        <w:tabs>
          <w:tab w:val="clear" w:pos="8640"/>
          <w:tab w:val="left" w:leader="dot" w:pos="4320"/>
        </w:tabs>
        <w:jc w:val="center"/>
        <w:rPr>
          <w:rFonts w:ascii="Times New Roman" w:hAnsi="Times New Roman"/>
          <w:b/>
          <w:sz w:val="48"/>
          <w:szCs w:val="48"/>
        </w:rPr>
      </w:pPr>
      <w:r w:rsidRPr="00F36AA2">
        <w:rPr>
          <w:rFonts w:ascii="Times New Roman" w:hAnsi="Times New Roman"/>
          <w:b/>
          <w:sz w:val="48"/>
          <w:szCs w:val="48"/>
        </w:rPr>
        <w:t>Community Relations Service</w:t>
      </w:r>
    </w:p>
    <w:p w:rsidR="008039E5" w:rsidRDefault="008039E5">
      <w:pPr>
        <w:pStyle w:val="Footer"/>
        <w:tabs>
          <w:tab w:val="clear" w:pos="8640"/>
          <w:tab w:val="left" w:leader="dot" w:pos="4320"/>
        </w:tabs>
        <w:jc w:val="center"/>
        <w:rPr>
          <w:rFonts w:ascii="Times New Roman" w:hAnsi="Times New Roman"/>
          <w:b/>
          <w:sz w:val="36"/>
        </w:rPr>
      </w:pPr>
    </w:p>
    <w:p w:rsidR="008039E5" w:rsidRDefault="008039E5">
      <w:pPr>
        <w:tabs>
          <w:tab w:val="right" w:pos="8928"/>
        </w:tabs>
        <w:outlineLvl w:val="0"/>
        <w:rPr>
          <w:b/>
          <w:sz w:val="36"/>
        </w:rPr>
      </w:pPr>
    </w:p>
    <w:p w:rsidR="008039E5" w:rsidRDefault="008039E5" w:rsidP="00FA2839">
      <w:pPr>
        <w:pStyle w:val="ListParagraph"/>
      </w:pPr>
    </w:p>
    <w:p w:rsidR="008039E5" w:rsidRDefault="008039E5" w:rsidP="00FA2839">
      <w:pPr>
        <w:tabs>
          <w:tab w:val="right" w:pos="8928"/>
        </w:tabs>
        <w:ind w:left="720"/>
        <w:outlineLvl w:val="0"/>
      </w:pPr>
    </w:p>
    <w:p w:rsidR="008039E5" w:rsidRDefault="008039E5" w:rsidP="009E6E14">
      <w:pPr>
        <w:tabs>
          <w:tab w:val="right" w:pos="8928"/>
        </w:tabs>
        <w:ind w:left="360"/>
        <w:outlineLvl w:val="0"/>
      </w:pPr>
    </w:p>
    <w:p w:rsidR="008039E5" w:rsidRDefault="008039E5" w:rsidP="009E6E14">
      <w:pPr>
        <w:tabs>
          <w:tab w:val="right" w:pos="8928"/>
        </w:tabs>
        <w:ind w:left="360"/>
        <w:outlineLvl w:val="0"/>
      </w:pPr>
    </w:p>
    <w:p w:rsidR="008039E5" w:rsidRDefault="008039E5" w:rsidP="009E6E14">
      <w:pPr>
        <w:tabs>
          <w:tab w:val="right" w:pos="8928"/>
        </w:tabs>
        <w:ind w:left="360"/>
        <w:outlineLvl w:val="0"/>
      </w:pPr>
    </w:p>
    <w:p w:rsidR="008039E5" w:rsidRDefault="008039E5" w:rsidP="009E6E14">
      <w:pPr>
        <w:tabs>
          <w:tab w:val="right" w:pos="8928"/>
        </w:tabs>
        <w:ind w:left="360"/>
        <w:outlineLvl w:val="0"/>
      </w:pPr>
    </w:p>
    <w:p w:rsidR="008039E5" w:rsidRDefault="008039E5" w:rsidP="009E6E14">
      <w:pPr>
        <w:tabs>
          <w:tab w:val="right" w:pos="8928"/>
        </w:tabs>
        <w:ind w:left="360"/>
        <w:outlineLvl w:val="0"/>
      </w:pPr>
    </w:p>
    <w:p w:rsidR="008039E5" w:rsidRDefault="008039E5" w:rsidP="009E6E14">
      <w:pPr>
        <w:tabs>
          <w:tab w:val="right" w:pos="8928"/>
        </w:tabs>
        <w:ind w:left="360"/>
        <w:outlineLvl w:val="0"/>
      </w:pPr>
      <w:r>
        <w:br w:type="page"/>
      </w:r>
    </w:p>
    <w:p w:rsidR="008039E5" w:rsidRDefault="008039E5" w:rsidP="009E6E14">
      <w:pPr>
        <w:tabs>
          <w:tab w:val="right" w:pos="8928"/>
        </w:tabs>
        <w:ind w:left="360"/>
        <w:outlineLvl w:val="0"/>
      </w:pPr>
    </w:p>
    <w:p w:rsidR="008039E5" w:rsidRDefault="008039E5" w:rsidP="00323DF4">
      <w:pPr>
        <w:tabs>
          <w:tab w:val="right" w:pos="8928"/>
        </w:tabs>
        <w:outlineLvl w:val="0"/>
      </w:pPr>
    </w:p>
    <w:p w:rsidR="008039E5" w:rsidRDefault="008039E5">
      <w:pPr>
        <w:pStyle w:val="Heading1"/>
        <w:tabs>
          <w:tab w:val="left" w:leader="dot" w:pos="7920"/>
          <w:tab w:val="right" w:pos="8640"/>
        </w:tabs>
        <w:rPr>
          <w:rFonts w:ascii="Times New Roman" w:hAnsi="Times New Roman"/>
        </w:rPr>
      </w:pPr>
      <w:r>
        <w:rPr>
          <w:rFonts w:ascii="Times New Roman" w:hAnsi="Times New Roman"/>
        </w:rPr>
        <w:t>Table of Contents</w:t>
      </w:r>
    </w:p>
    <w:p w:rsidR="008039E5" w:rsidRDefault="008039E5">
      <w:pPr>
        <w:tabs>
          <w:tab w:val="left" w:leader="dot" w:pos="7920"/>
          <w:tab w:val="right" w:pos="8640"/>
        </w:tabs>
        <w:rPr>
          <w:b/>
        </w:rPr>
      </w:pPr>
    </w:p>
    <w:p w:rsidR="008039E5" w:rsidRDefault="008039E5" w:rsidP="00E0065D">
      <w:pPr>
        <w:pStyle w:val="xl19"/>
        <w:tabs>
          <w:tab w:val="right" w:pos="8730"/>
        </w:tabs>
        <w:spacing w:before="0" w:after="0"/>
        <w:outlineLvl w:val="0"/>
        <w:rPr>
          <w:bCs/>
        </w:rPr>
      </w:pPr>
      <w:r>
        <w:rPr>
          <w:bCs/>
        </w:rPr>
        <w:tab/>
        <w:t>Page No.</w:t>
      </w:r>
    </w:p>
    <w:p w:rsidR="008039E5" w:rsidRDefault="008039E5" w:rsidP="00E0065D">
      <w:pPr>
        <w:pStyle w:val="xl19"/>
        <w:tabs>
          <w:tab w:val="right" w:pos="8730"/>
        </w:tabs>
        <w:spacing w:before="0" w:after="0"/>
        <w:outlineLvl w:val="0"/>
        <w:rPr>
          <w:bCs/>
        </w:rPr>
      </w:pPr>
    </w:p>
    <w:p w:rsidR="008039E5" w:rsidRPr="00390F26" w:rsidRDefault="008039E5" w:rsidP="00F36AA2">
      <w:pPr>
        <w:pStyle w:val="xl19"/>
        <w:tabs>
          <w:tab w:val="left" w:leader="dot" w:pos="8280"/>
          <w:tab w:val="right" w:pos="8640"/>
        </w:tabs>
        <w:spacing w:before="0" w:after="0"/>
        <w:rPr>
          <w:bCs/>
        </w:rPr>
      </w:pPr>
      <w:r w:rsidRPr="00390F26">
        <w:rPr>
          <w:b/>
          <w:bCs/>
        </w:rPr>
        <w:t xml:space="preserve">I.    Overview </w:t>
      </w:r>
      <w:r w:rsidR="007724EE">
        <w:rPr>
          <w:bCs/>
        </w:rPr>
        <w:t>…………………………………………………………………………...</w:t>
      </w:r>
      <w:r>
        <w:rPr>
          <w:bCs/>
        </w:rPr>
        <w:t>..</w:t>
      </w:r>
      <w:r>
        <w:rPr>
          <w:bCs/>
        </w:rPr>
        <w:tab/>
        <w:t xml:space="preserve">   3</w:t>
      </w:r>
      <w:r>
        <w:rPr>
          <w:bCs/>
        </w:rPr>
        <w:tab/>
      </w:r>
      <w:r w:rsidRPr="00390F26">
        <w:rPr>
          <w:bCs/>
        </w:rPr>
        <w:t xml:space="preserve">     </w:t>
      </w:r>
    </w:p>
    <w:p w:rsidR="008039E5" w:rsidRPr="00390F26" w:rsidRDefault="008039E5" w:rsidP="00F36AA2">
      <w:pPr>
        <w:pStyle w:val="xl27"/>
        <w:tabs>
          <w:tab w:val="left" w:leader="dot" w:pos="7920"/>
          <w:tab w:val="right" w:pos="8640"/>
        </w:tabs>
        <w:spacing w:before="0" w:after="0"/>
        <w:rPr>
          <w:rFonts w:ascii="Times New Roman" w:hAnsi="Times New Roman" w:cs="Arial"/>
          <w:szCs w:val="24"/>
        </w:rPr>
      </w:pPr>
    </w:p>
    <w:p w:rsidR="008039E5" w:rsidRDefault="008039E5" w:rsidP="00F36AA2">
      <w:pPr>
        <w:pStyle w:val="xl19"/>
        <w:tabs>
          <w:tab w:val="right" w:leader="dot" w:pos="7920"/>
          <w:tab w:val="right" w:leader="dot" w:pos="8730"/>
        </w:tabs>
        <w:spacing w:before="0" w:after="0"/>
        <w:outlineLvl w:val="0"/>
        <w:rPr>
          <w:rFonts w:cs="Arial"/>
          <w:szCs w:val="24"/>
        </w:rPr>
      </w:pPr>
      <w:r w:rsidRPr="00A669A4">
        <w:rPr>
          <w:rFonts w:cs="Arial"/>
          <w:b/>
          <w:szCs w:val="24"/>
        </w:rPr>
        <w:t>II.</w:t>
      </w:r>
      <w:r w:rsidRPr="00390F26">
        <w:rPr>
          <w:rFonts w:cs="Arial"/>
          <w:szCs w:val="24"/>
        </w:rPr>
        <w:t xml:space="preserve">   </w:t>
      </w:r>
      <w:r w:rsidRPr="00A669A4">
        <w:rPr>
          <w:rFonts w:cs="Arial"/>
          <w:b/>
          <w:szCs w:val="24"/>
        </w:rPr>
        <w:t>Summary of Program Changes</w:t>
      </w:r>
      <w:r w:rsidR="009E1855">
        <w:rPr>
          <w:rFonts w:cs="Arial"/>
          <w:szCs w:val="24"/>
        </w:rPr>
        <w:t>……………………………………………....</w:t>
      </w:r>
      <w:r>
        <w:rPr>
          <w:rFonts w:cs="Arial"/>
          <w:szCs w:val="24"/>
        </w:rPr>
        <w:tab/>
      </w:r>
      <w:r w:rsidR="00C16250">
        <w:rPr>
          <w:rFonts w:cs="Arial"/>
          <w:szCs w:val="24"/>
        </w:rPr>
        <w:t>7</w:t>
      </w:r>
    </w:p>
    <w:p w:rsidR="008039E5" w:rsidRDefault="008039E5" w:rsidP="00EE7701">
      <w:pPr>
        <w:pStyle w:val="xl19"/>
        <w:tabs>
          <w:tab w:val="right" w:leader="dot" w:pos="7920"/>
          <w:tab w:val="right" w:leader="dot" w:pos="8730"/>
        </w:tabs>
        <w:spacing w:before="0" w:after="0"/>
        <w:outlineLvl w:val="0"/>
        <w:rPr>
          <w:b/>
          <w:bCs/>
        </w:rPr>
      </w:pPr>
    </w:p>
    <w:p w:rsidR="008039E5" w:rsidRPr="00E0065D" w:rsidRDefault="008039E5" w:rsidP="00E62C8B">
      <w:pPr>
        <w:pStyle w:val="xl19"/>
        <w:tabs>
          <w:tab w:val="left" w:leader="dot" w:pos="7920"/>
          <w:tab w:val="right" w:pos="8640"/>
        </w:tabs>
        <w:spacing w:before="0" w:after="0"/>
        <w:ind w:left="360" w:hanging="360"/>
        <w:rPr>
          <w:b/>
          <w:bCs/>
        </w:rPr>
      </w:pPr>
      <w:r>
        <w:rPr>
          <w:b/>
        </w:rPr>
        <w:t>III</w:t>
      </w:r>
      <w:r w:rsidRPr="00E0065D">
        <w:rPr>
          <w:b/>
        </w:rPr>
        <w:t>. Appropriations Language and Anal</w:t>
      </w:r>
      <w:r>
        <w:rPr>
          <w:b/>
        </w:rPr>
        <w:t>ysis of Appropriations Language</w:t>
      </w:r>
      <w:r w:rsidR="000B458C">
        <w:rPr>
          <w:rFonts w:cs="Arial"/>
          <w:szCs w:val="24"/>
        </w:rPr>
        <w:tab/>
        <w:t>………</w:t>
      </w:r>
      <w:r w:rsidR="00C16250">
        <w:rPr>
          <w:rFonts w:cs="Arial"/>
          <w:szCs w:val="24"/>
        </w:rPr>
        <w:t>7</w:t>
      </w:r>
    </w:p>
    <w:p w:rsidR="008039E5" w:rsidRPr="00E0065D" w:rsidRDefault="008039E5">
      <w:pPr>
        <w:pStyle w:val="xl27"/>
        <w:tabs>
          <w:tab w:val="left" w:leader="dot" w:pos="7920"/>
          <w:tab w:val="right" w:pos="8640"/>
        </w:tabs>
        <w:spacing w:before="0" w:after="0"/>
        <w:rPr>
          <w:rFonts w:ascii="Times New Roman" w:hAnsi="Times New Roman" w:cs="Arial"/>
          <w:szCs w:val="24"/>
        </w:rPr>
      </w:pPr>
    </w:p>
    <w:p w:rsidR="008039E5" w:rsidRDefault="008039E5">
      <w:pPr>
        <w:pStyle w:val="xl27"/>
        <w:tabs>
          <w:tab w:val="left" w:leader="dot" w:pos="7920"/>
          <w:tab w:val="right" w:pos="8640"/>
        </w:tabs>
        <w:spacing w:before="0" w:after="0"/>
        <w:rPr>
          <w:rFonts w:ascii="Times New Roman" w:hAnsi="Times New Roman" w:cs="Arial"/>
          <w:szCs w:val="24"/>
        </w:rPr>
      </w:pPr>
      <w:r>
        <w:rPr>
          <w:rFonts w:ascii="Times New Roman" w:hAnsi="Times New Roman" w:cs="Arial"/>
          <w:szCs w:val="24"/>
        </w:rPr>
        <w:t>IV. Decision Unit Justification</w:t>
      </w:r>
    </w:p>
    <w:p w:rsidR="008039E5" w:rsidRDefault="008039E5">
      <w:pPr>
        <w:tabs>
          <w:tab w:val="left" w:leader="dot" w:pos="7920"/>
          <w:tab w:val="right" w:pos="8640"/>
        </w:tabs>
        <w:rPr>
          <w:bCs/>
        </w:rPr>
      </w:pPr>
      <w:r>
        <w:rPr>
          <w:bCs/>
        </w:rPr>
        <w:t xml:space="preserve">     </w:t>
      </w:r>
    </w:p>
    <w:p w:rsidR="008039E5" w:rsidRPr="00390F26" w:rsidRDefault="008039E5" w:rsidP="00F36AA2">
      <w:pPr>
        <w:tabs>
          <w:tab w:val="left" w:leader="dot" w:pos="7920"/>
          <w:tab w:val="right" w:pos="8640"/>
        </w:tabs>
        <w:rPr>
          <w:bCs/>
        </w:rPr>
      </w:pPr>
      <w:r>
        <w:rPr>
          <w:bCs/>
        </w:rPr>
        <w:t xml:space="preserve">     </w:t>
      </w:r>
      <w:r w:rsidRPr="00390F26">
        <w:rPr>
          <w:bCs/>
        </w:rPr>
        <w:t xml:space="preserve">     A.  Community Relations Service   </w:t>
      </w:r>
    </w:p>
    <w:p w:rsidR="008039E5" w:rsidRPr="00390F26" w:rsidRDefault="008039E5" w:rsidP="00F36AA2">
      <w:pPr>
        <w:tabs>
          <w:tab w:val="left" w:leader="dot" w:pos="8280"/>
          <w:tab w:val="right" w:pos="8640"/>
        </w:tabs>
        <w:rPr>
          <w:bCs/>
        </w:rPr>
      </w:pPr>
      <w:r w:rsidRPr="00390F26">
        <w:rPr>
          <w:bCs/>
        </w:rPr>
        <w:t xml:space="preserve">           1.  Program Description</w:t>
      </w:r>
      <w:r w:rsidRPr="00390F26">
        <w:rPr>
          <w:bCs/>
        </w:rPr>
        <w:tab/>
      </w:r>
      <w:r w:rsidR="000B458C">
        <w:rPr>
          <w:bCs/>
        </w:rPr>
        <w:tab/>
        <w:t xml:space="preserve">   </w:t>
      </w:r>
      <w:r w:rsidR="00C16250">
        <w:rPr>
          <w:bCs/>
        </w:rPr>
        <w:t>8</w:t>
      </w:r>
      <w:r w:rsidRPr="00390F26">
        <w:rPr>
          <w:bCs/>
        </w:rPr>
        <w:tab/>
      </w:r>
    </w:p>
    <w:p w:rsidR="008039E5" w:rsidRPr="00390F26" w:rsidRDefault="008039E5" w:rsidP="00F36AA2">
      <w:pPr>
        <w:tabs>
          <w:tab w:val="left" w:leader="dot" w:pos="8280"/>
          <w:tab w:val="right" w:pos="8640"/>
        </w:tabs>
        <w:rPr>
          <w:bCs/>
        </w:rPr>
      </w:pPr>
      <w:r w:rsidRPr="00390F26">
        <w:rPr>
          <w:bCs/>
        </w:rPr>
        <w:t xml:space="preserve">           2.  Performance</w:t>
      </w:r>
      <w:r w:rsidR="000B458C">
        <w:rPr>
          <w:bCs/>
        </w:rPr>
        <w:t xml:space="preserve"> Tables</w:t>
      </w:r>
      <w:r w:rsidR="000B458C">
        <w:rPr>
          <w:bCs/>
        </w:rPr>
        <w:tab/>
      </w:r>
      <w:r w:rsidR="000B458C">
        <w:rPr>
          <w:bCs/>
        </w:rPr>
        <w:tab/>
        <w:t xml:space="preserve">   </w:t>
      </w:r>
      <w:r w:rsidR="00C16250">
        <w:rPr>
          <w:bCs/>
        </w:rPr>
        <w:t>11</w:t>
      </w:r>
      <w:r w:rsidR="00C16250" w:rsidRPr="00390F26">
        <w:rPr>
          <w:bCs/>
        </w:rPr>
        <w:t xml:space="preserve">  </w:t>
      </w:r>
      <w:r w:rsidRPr="00390F26">
        <w:rPr>
          <w:bCs/>
        </w:rPr>
        <w:tab/>
      </w:r>
    </w:p>
    <w:p w:rsidR="008039E5" w:rsidRPr="00390F26" w:rsidRDefault="008039E5" w:rsidP="00F36AA2">
      <w:pPr>
        <w:tabs>
          <w:tab w:val="left" w:leader="dot" w:pos="8280"/>
          <w:tab w:val="right" w:pos="8640"/>
        </w:tabs>
        <w:rPr>
          <w:bCs/>
        </w:rPr>
      </w:pPr>
      <w:r w:rsidRPr="00390F26">
        <w:rPr>
          <w:bCs/>
        </w:rPr>
        <w:t xml:space="preserve">           3.  Performance, Resources, and Strategies</w:t>
      </w:r>
      <w:r w:rsidRPr="00390F26">
        <w:rPr>
          <w:bCs/>
        </w:rPr>
        <w:tab/>
      </w:r>
      <w:r w:rsidR="00FE1537">
        <w:rPr>
          <w:bCs/>
        </w:rPr>
        <w:tab/>
        <w:t xml:space="preserve">   </w:t>
      </w:r>
      <w:r w:rsidR="00C16250">
        <w:rPr>
          <w:bCs/>
        </w:rPr>
        <w:t>13</w:t>
      </w:r>
      <w:r w:rsidRPr="00390F26">
        <w:rPr>
          <w:bCs/>
        </w:rPr>
        <w:tab/>
      </w:r>
    </w:p>
    <w:p w:rsidR="008039E5" w:rsidRDefault="008039E5" w:rsidP="00F36AA2">
      <w:pPr>
        <w:tabs>
          <w:tab w:val="left" w:leader="dot" w:pos="7920"/>
          <w:tab w:val="right" w:pos="8640"/>
        </w:tabs>
        <w:rPr>
          <w:bCs/>
        </w:rPr>
      </w:pPr>
    </w:p>
    <w:p w:rsidR="008039E5" w:rsidRDefault="008039E5" w:rsidP="00AA3992">
      <w:pPr>
        <w:pStyle w:val="xl27"/>
        <w:tabs>
          <w:tab w:val="left" w:leader="dot" w:pos="7920"/>
          <w:tab w:val="right" w:pos="8640"/>
        </w:tabs>
        <w:spacing w:before="0" w:after="0"/>
        <w:rPr>
          <w:rFonts w:ascii="Times New Roman" w:hAnsi="Times New Roman" w:cs="Arial"/>
          <w:b w:val="0"/>
          <w:bCs/>
          <w:szCs w:val="24"/>
        </w:rPr>
      </w:pPr>
      <w:r>
        <w:rPr>
          <w:rFonts w:ascii="Times New Roman" w:hAnsi="Times New Roman" w:cs="Arial"/>
          <w:szCs w:val="24"/>
        </w:rPr>
        <w:t>V. Program Increases by Item</w:t>
      </w:r>
    </w:p>
    <w:p w:rsidR="008039E5" w:rsidRDefault="008039E5" w:rsidP="00AA3992">
      <w:pPr>
        <w:pStyle w:val="xl27"/>
        <w:tabs>
          <w:tab w:val="left" w:leader="dot" w:pos="7920"/>
          <w:tab w:val="right" w:pos="8640"/>
        </w:tabs>
        <w:spacing w:before="0" w:after="0"/>
        <w:rPr>
          <w:rFonts w:ascii="Times New Roman" w:hAnsi="Times New Roman" w:cs="Arial"/>
          <w:b w:val="0"/>
          <w:bCs/>
          <w:szCs w:val="24"/>
        </w:rPr>
      </w:pPr>
    </w:p>
    <w:p w:rsidR="008039E5" w:rsidRDefault="008039E5" w:rsidP="00F36AA2">
      <w:pPr>
        <w:tabs>
          <w:tab w:val="left" w:leader="dot" w:pos="8280"/>
          <w:tab w:val="right" w:pos="8640"/>
        </w:tabs>
        <w:rPr>
          <w:bCs/>
        </w:rPr>
      </w:pPr>
      <w:r>
        <w:rPr>
          <w:bCs/>
        </w:rPr>
        <w:t xml:space="preserve">     A.  Program Increases by Item</w:t>
      </w:r>
      <w:r w:rsidRPr="00390F26">
        <w:rPr>
          <w:bCs/>
        </w:rPr>
        <w:t xml:space="preserve"> </w:t>
      </w:r>
      <w:r w:rsidR="00FE1537">
        <w:rPr>
          <w:bCs/>
        </w:rPr>
        <w:tab/>
      </w:r>
      <w:r w:rsidR="00FE1537">
        <w:rPr>
          <w:bCs/>
        </w:rPr>
        <w:tab/>
      </w:r>
      <w:r w:rsidR="00C16250">
        <w:rPr>
          <w:bCs/>
        </w:rPr>
        <w:t>14</w:t>
      </w:r>
    </w:p>
    <w:p w:rsidR="008039E5" w:rsidRDefault="008039E5" w:rsidP="00AA3992">
      <w:pPr>
        <w:tabs>
          <w:tab w:val="left" w:leader="dot" w:pos="7920"/>
          <w:tab w:val="right" w:pos="8640"/>
        </w:tabs>
        <w:rPr>
          <w:bCs/>
        </w:rPr>
      </w:pPr>
    </w:p>
    <w:p w:rsidR="008039E5" w:rsidRPr="00CA09EF" w:rsidRDefault="008039E5" w:rsidP="00AA3992">
      <w:pPr>
        <w:tabs>
          <w:tab w:val="left" w:leader="dot" w:pos="7920"/>
          <w:tab w:val="right" w:pos="8640"/>
        </w:tabs>
        <w:rPr>
          <w:b/>
          <w:bCs/>
        </w:rPr>
      </w:pPr>
      <w:r w:rsidRPr="00CA09EF">
        <w:rPr>
          <w:b/>
          <w:bCs/>
        </w:rPr>
        <w:t>V</w:t>
      </w:r>
      <w:r>
        <w:rPr>
          <w:b/>
          <w:bCs/>
        </w:rPr>
        <w:t xml:space="preserve">I. </w:t>
      </w:r>
      <w:r w:rsidRPr="00CA09EF">
        <w:rPr>
          <w:b/>
          <w:bCs/>
        </w:rPr>
        <w:t>Program Offsets by Item</w:t>
      </w:r>
    </w:p>
    <w:p w:rsidR="008039E5" w:rsidRDefault="008039E5" w:rsidP="00AA3992">
      <w:pPr>
        <w:tabs>
          <w:tab w:val="left" w:leader="dot" w:pos="7920"/>
          <w:tab w:val="right" w:pos="8640"/>
        </w:tabs>
        <w:rPr>
          <w:bCs/>
        </w:rPr>
      </w:pPr>
    </w:p>
    <w:p w:rsidR="008039E5" w:rsidRPr="00A669A4" w:rsidRDefault="008039E5" w:rsidP="00AA3992">
      <w:pPr>
        <w:tabs>
          <w:tab w:val="left" w:leader="dot" w:pos="7920"/>
          <w:tab w:val="right" w:pos="8640"/>
        </w:tabs>
        <w:rPr>
          <w:bCs/>
          <w:color w:val="000000"/>
        </w:rPr>
      </w:pPr>
      <w:r w:rsidRPr="00A669A4">
        <w:rPr>
          <w:bCs/>
          <w:color w:val="000000"/>
        </w:rPr>
        <w:t xml:space="preserve">     A.  Program Offsets by Item </w:t>
      </w:r>
      <w:r w:rsidRPr="00A669A4">
        <w:rPr>
          <w:bCs/>
          <w:color w:val="000000"/>
        </w:rPr>
        <w:tab/>
      </w:r>
      <w:r>
        <w:rPr>
          <w:bCs/>
          <w:color w:val="000000"/>
        </w:rPr>
        <w:t>…..</w:t>
      </w:r>
      <w:r w:rsidRPr="00A669A4">
        <w:rPr>
          <w:bCs/>
          <w:color w:val="000000"/>
        </w:rPr>
        <w:tab/>
      </w:r>
      <w:r w:rsidR="00C16250">
        <w:rPr>
          <w:bCs/>
          <w:color w:val="000000"/>
        </w:rPr>
        <w:t>17</w:t>
      </w:r>
    </w:p>
    <w:p w:rsidR="008039E5" w:rsidRDefault="008039E5" w:rsidP="00AA3992">
      <w:pPr>
        <w:tabs>
          <w:tab w:val="left" w:leader="dot" w:pos="7920"/>
          <w:tab w:val="right" w:pos="8640"/>
        </w:tabs>
        <w:rPr>
          <w:bCs/>
        </w:rPr>
      </w:pPr>
    </w:p>
    <w:p w:rsidR="008039E5" w:rsidRDefault="008039E5" w:rsidP="00AA3992">
      <w:pPr>
        <w:tabs>
          <w:tab w:val="left" w:leader="dot" w:pos="7920"/>
          <w:tab w:val="right" w:pos="8640"/>
        </w:tabs>
        <w:rPr>
          <w:bCs/>
        </w:rPr>
      </w:pPr>
    </w:p>
    <w:p w:rsidR="008039E5" w:rsidRDefault="008039E5">
      <w:pPr>
        <w:pStyle w:val="xl27"/>
        <w:tabs>
          <w:tab w:val="left" w:leader="dot" w:pos="7920"/>
          <w:tab w:val="right" w:pos="8640"/>
        </w:tabs>
        <w:spacing w:before="0" w:after="0"/>
        <w:rPr>
          <w:rFonts w:ascii="Times New Roman" w:hAnsi="Times New Roman"/>
          <w:bCs/>
          <w:szCs w:val="24"/>
        </w:rPr>
      </w:pPr>
      <w:r>
        <w:rPr>
          <w:rFonts w:ascii="Times New Roman" w:hAnsi="Times New Roman"/>
          <w:bCs/>
          <w:szCs w:val="24"/>
        </w:rPr>
        <w:t xml:space="preserve">VII. </w:t>
      </w:r>
      <w:r w:rsidRPr="00390F26">
        <w:rPr>
          <w:rFonts w:ascii="Times New Roman" w:hAnsi="Times New Roman"/>
          <w:bCs/>
          <w:szCs w:val="24"/>
        </w:rPr>
        <w:t>Exhibits</w:t>
      </w:r>
    </w:p>
    <w:p w:rsidR="008039E5" w:rsidRDefault="008039E5">
      <w:pPr>
        <w:tabs>
          <w:tab w:val="left" w:leader="dot" w:pos="7920"/>
          <w:tab w:val="right" w:pos="8640"/>
        </w:tabs>
        <w:outlineLvl w:val="0"/>
        <w:rPr>
          <w:b/>
          <w:bCs/>
        </w:rPr>
      </w:pPr>
    </w:p>
    <w:p w:rsidR="00506BA6" w:rsidRDefault="00506BA6" w:rsidP="00506BA6">
      <w:pPr>
        <w:tabs>
          <w:tab w:val="left" w:leader="dot" w:pos="7920"/>
          <w:tab w:val="right" w:pos="8640"/>
        </w:tabs>
        <w:outlineLvl w:val="0"/>
        <w:rPr>
          <w:b/>
          <w:bCs/>
        </w:rPr>
      </w:pPr>
    </w:p>
    <w:p w:rsidR="00506BA6" w:rsidRDefault="00506BA6" w:rsidP="00506BA6">
      <w:pPr>
        <w:numPr>
          <w:ilvl w:val="0"/>
          <w:numId w:val="5"/>
        </w:numPr>
        <w:tabs>
          <w:tab w:val="left" w:leader="dot" w:pos="7920"/>
          <w:tab w:val="right" w:pos="8640"/>
        </w:tabs>
        <w:outlineLvl w:val="0"/>
        <w:rPr>
          <w:bCs/>
        </w:rPr>
      </w:pPr>
      <w:r>
        <w:t>Organizational Chart</w:t>
      </w:r>
    </w:p>
    <w:p w:rsidR="00506BA6" w:rsidRDefault="00506BA6" w:rsidP="00506BA6">
      <w:pPr>
        <w:pStyle w:val="xl19"/>
        <w:tabs>
          <w:tab w:val="left" w:leader="dot" w:pos="7920"/>
          <w:tab w:val="right" w:pos="8640"/>
        </w:tabs>
        <w:spacing w:before="0" w:after="0"/>
        <w:ind w:left="360"/>
        <w:rPr>
          <w:bCs/>
        </w:rPr>
      </w:pPr>
      <w:r>
        <w:rPr>
          <w:bCs/>
        </w:rPr>
        <w:t xml:space="preserve">B.  Summary of Requirements </w:t>
      </w:r>
    </w:p>
    <w:p w:rsidR="00506BA6" w:rsidRDefault="00506BA6" w:rsidP="00506BA6">
      <w:pPr>
        <w:tabs>
          <w:tab w:val="left" w:leader="dot" w:pos="7920"/>
          <w:tab w:val="right" w:pos="8640"/>
        </w:tabs>
        <w:ind w:left="360"/>
        <w:rPr>
          <w:bCs/>
        </w:rPr>
      </w:pPr>
      <w:r>
        <w:rPr>
          <w:bCs/>
        </w:rPr>
        <w:t>C.  FY 2013 Program Increases/Offsets by Decision Unit</w:t>
      </w:r>
    </w:p>
    <w:p w:rsidR="00506BA6" w:rsidRPr="004B775C" w:rsidRDefault="00506BA6" w:rsidP="00506BA6">
      <w:pPr>
        <w:numPr>
          <w:ilvl w:val="0"/>
          <w:numId w:val="7"/>
        </w:numPr>
        <w:tabs>
          <w:tab w:val="left" w:leader="dot" w:pos="7920"/>
          <w:tab w:val="right" w:pos="8640"/>
        </w:tabs>
        <w:rPr>
          <w:bCs/>
        </w:rPr>
      </w:pPr>
      <w:r w:rsidRPr="004B775C">
        <w:rPr>
          <w:bCs/>
        </w:rPr>
        <w:t>Resources by DOJ Strategic Goal</w:t>
      </w:r>
      <w:r>
        <w:rPr>
          <w:bCs/>
        </w:rPr>
        <w:t xml:space="preserve"> and Strategic </w:t>
      </w:r>
      <w:r w:rsidRPr="004B775C">
        <w:rPr>
          <w:bCs/>
        </w:rPr>
        <w:t xml:space="preserve">Objective </w:t>
      </w:r>
    </w:p>
    <w:p w:rsidR="00506BA6" w:rsidRDefault="00506BA6" w:rsidP="00506BA6">
      <w:pPr>
        <w:numPr>
          <w:ilvl w:val="0"/>
          <w:numId w:val="7"/>
        </w:numPr>
        <w:tabs>
          <w:tab w:val="left" w:leader="dot" w:pos="7920"/>
          <w:tab w:val="right" w:pos="8640"/>
        </w:tabs>
        <w:rPr>
          <w:bCs/>
        </w:rPr>
      </w:pPr>
      <w:r w:rsidRPr="004B775C">
        <w:rPr>
          <w:bCs/>
        </w:rPr>
        <w:t>Justification for Base Adjustments</w:t>
      </w:r>
    </w:p>
    <w:p w:rsidR="00506BA6" w:rsidRDefault="00506BA6" w:rsidP="00506BA6">
      <w:pPr>
        <w:numPr>
          <w:ilvl w:val="0"/>
          <w:numId w:val="7"/>
        </w:numPr>
        <w:tabs>
          <w:tab w:val="left" w:leader="dot" w:pos="7920"/>
          <w:tab w:val="right" w:pos="8640"/>
        </w:tabs>
        <w:rPr>
          <w:bCs/>
        </w:rPr>
      </w:pPr>
      <w:r>
        <w:rPr>
          <w:bCs/>
        </w:rPr>
        <w:t>Crosswalk of 2011 Availability</w:t>
      </w:r>
    </w:p>
    <w:p w:rsidR="00506BA6" w:rsidRPr="00D14978" w:rsidRDefault="00506BA6" w:rsidP="00506BA6">
      <w:pPr>
        <w:numPr>
          <w:ilvl w:val="0"/>
          <w:numId w:val="7"/>
        </w:numPr>
        <w:tabs>
          <w:tab w:val="left" w:leader="dot" w:pos="7920"/>
          <w:tab w:val="right" w:pos="8640"/>
        </w:tabs>
        <w:rPr>
          <w:bCs/>
          <w:i/>
        </w:rPr>
      </w:pPr>
      <w:r w:rsidRPr="00792186">
        <w:rPr>
          <w:bCs/>
        </w:rPr>
        <w:t>Crosswalk of 201</w:t>
      </w:r>
      <w:r>
        <w:rPr>
          <w:bCs/>
        </w:rPr>
        <w:t>2</w:t>
      </w:r>
      <w:r w:rsidRPr="00792186">
        <w:rPr>
          <w:bCs/>
        </w:rPr>
        <w:t xml:space="preserve"> Availability</w:t>
      </w:r>
      <w:r>
        <w:rPr>
          <w:bCs/>
        </w:rPr>
        <w:t xml:space="preserve"> </w:t>
      </w:r>
    </w:p>
    <w:p w:rsidR="00506BA6" w:rsidRDefault="00506BA6" w:rsidP="00506BA6">
      <w:pPr>
        <w:numPr>
          <w:ilvl w:val="0"/>
          <w:numId w:val="7"/>
        </w:numPr>
        <w:tabs>
          <w:tab w:val="left" w:leader="dot" w:pos="7920"/>
          <w:tab w:val="right" w:pos="8640"/>
        </w:tabs>
        <w:rPr>
          <w:bCs/>
        </w:rPr>
      </w:pPr>
      <w:r>
        <w:rPr>
          <w:bCs/>
        </w:rPr>
        <w:t>Summary of Reimbursable Resources</w:t>
      </w:r>
    </w:p>
    <w:p w:rsidR="00506BA6" w:rsidRDefault="00506BA6" w:rsidP="00506BA6">
      <w:pPr>
        <w:numPr>
          <w:ilvl w:val="0"/>
          <w:numId w:val="7"/>
        </w:numPr>
        <w:tabs>
          <w:tab w:val="left" w:leader="dot" w:pos="7920"/>
          <w:tab w:val="right" w:pos="8640"/>
        </w:tabs>
        <w:rPr>
          <w:bCs/>
        </w:rPr>
      </w:pPr>
      <w:r>
        <w:rPr>
          <w:bCs/>
        </w:rPr>
        <w:t>Detail of Permanent Positions by Category</w:t>
      </w:r>
    </w:p>
    <w:p w:rsidR="00506BA6" w:rsidRDefault="00506BA6" w:rsidP="00506BA6">
      <w:pPr>
        <w:numPr>
          <w:ilvl w:val="0"/>
          <w:numId w:val="7"/>
        </w:numPr>
        <w:tabs>
          <w:tab w:val="left" w:leader="dot" w:pos="7920"/>
          <w:tab w:val="right" w:pos="8640"/>
        </w:tabs>
        <w:rPr>
          <w:bCs/>
        </w:rPr>
      </w:pPr>
      <w:r>
        <w:rPr>
          <w:bCs/>
        </w:rPr>
        <w:t>Financial Analysis of Program Changes</w:t>
      </w:r>
    </w:p>
    <w:p w:rsidR="00506BA6" w:rsidRDefault="00506BA6" w:rsidP="00506BA6">
      <w:pPr>
        <w:numPr>
          <w:ilvl w:val="0"/>
          <w:numId w:val="7"/>
        </w:numPr>
        <w:tabs>
          <w:tab w:val="left" w:leader="dot" w:pos="7920"/>
          <w:tab w:val="right" w:pos="8640"/>
        </w:tabs>
        <w:rPr>
          <w:bCs/>
        </w:rPr>
      </w:pPr>
      <w:r>
        <w:rPr>
          <w:bCs/>
        </w:rPr>
        <w:t>Summary of Requirements by Grade</w:t>
      </w:r>
    </w:p>
    <w:p w:rsidR="00506BA6" w:rsidRDefault="00506BA6" w:rsidP="00506BA6">
      <w:pPr>
        <w:numPr>
          <w:ilvl w:val="0"/>
          <w:numId w:val="7"/>
        </w:numPr>
        <w:tabs>
          <w:tab w:val="left" w:leader="dot" w:pos="7920"/>
          <w:tab w:val="right" w:pos="8640"/>
        </w:tabs>
        <w:rPr>
          <w:bCs/>
        </w:rPr>
      </w:pPr>
      <w:r>
        <w:rPr>
          <w:bCs/>
        </w:rPr>
        <w:t>Summary of Requirements by Object Class</w:t>
      </w:r>
    </w:p>
    <w:p w:rsidR="00506BA6" w:rsidRDefault="00506BA6" w:rsidP="00506BA6">
      <w:pPr>
        <w:numPr>
          <w:ilvl w:val="0"/>
          <w:numId w:val="7"/>
        </w:numPr>
        <w:tabs>
          <w:tab w:val="left" w:leader="dot" w:pos="7920"/>
          <w:tab w:val="right" w:pos="8640"/>
        </w:tabs>
        <w:rPr>
          <w:bCs/>
        </w:rPr>
      </w:pPr>
      <w:r w:rsidRPr="004B775C">
        <w:rPr>
          <w:bCs/>
        </w:rPr>
        <w:t>Status of Congressionally Requested Studies, Reports, and Evaluations</w:t>
      </w:r>
      <w:r>
        <w:rPr>
          <w:bCs/>
        </w:rPr>
        <w:t xml:space="preserve"> </w:t>
      </w:r>
      <w:r w:rsidR="00F662E4">
        <w:rPr>
          <w:bCs/>
        </w:rPr>
        <w:t>(Not Applicable)</w:t>
      </w:r>
    </w:p>
    <w:p w:rsidR="008039E5" w:rsidRDefault="008039E5" w:rsidP="00366D39">
      <w:pPr>
        <w:tabs>
          <w:tab w:val="left" w:leader="dot" w:pos="7920"/>
          <w:tab w:val="right" w:pos="8640"/>
        </w:tabs>
        <w:rPr>
          <w:bCs/>
        </w:rPr>
      </w:pPr>
    </w:p>
    <w:p w:rsidR="008039E5" w:rsidRPr="00F36AA2" w:rsidRDefault="008039E5" w:rsidP="001D1825">
      <w:pPr>
        <w:pStyle w:val="BodyTextIndent"/>
        <w:ind w:left="0"/>
        <w:rPr>
          <w:b/>
          <w:i w:val="0"/>
        </w:rPr>
      </w:pPr>
    </w:p>
    <w:p w:rsidR="008039E5" w:rsidRDefault="008039E5" w:rsidP="001D1825">
      <w:pPr>
        <w:pStyle w:val="BodyTextIndent"/>
        <w:ind w:left="0"/>
        <w:rPr>
          <w:b/>
        </w:rPr>
      </w:pPr>
    </w:p>
    <w:p w:rsidR="008039E5" w:rsidRDefault="008039E5">
      <w:pPr>
        <w:pStyle w:val="BodyTextIndent"/>
        <w:rPr>
          <w:b/>
        </w:rPr>
      </w:pPr>
    </w:p>
    <w:p w:rsidR="008039E5" w:rsidRDefault="008039E5">
      <w:pPr>
        <w:pStyle w:val="BodyTextIndent"/>
        <w:rPr>
          <w:b/>
        </w:rPr>
      </w:pPr>
    </w:p>
    <w:p w:rsidR="008039E5" w:rsidRDefault="008039E5">
      <w:pPr>
        <w:pStyle w:val="BodyTextIndent"/>
        <w:rPr>
          <w:b/>
        </w:rPr>
      </w:pPr>
    </w:p>
    <w:p w:rsidR="008039E5" w:rsidRPr="00E43151" w:rsidRDefault="008039E5">
      <w:pPr>
        <w:pStyle w:val="BodyText"/>
        <w:rPr>
          <w:b/>
          <w:bCs/>
          <w:sz w:val="28"/>
          <w:szCs w:val="28"/>
        </w:rPr>
      </w:pPr>
      <w:r w:rsidRPr="00E43151">
        <w:rPr>
          <w:b/>
          <w:bCs/>
          <w:sz w:val="28"/>
          <w:szCs w:val="28"/>
        </w:rPr>
        <w:t xml:space="preserve">I.  Overview for </w:t>
      </w:r>
      <w:r>
        <w:rPr>
          <w:b/>
          <w:bCs/>
          <w:sz w:val="28"/>
          <w:szCs w:val="28"/>
        </w:rPr>
        <w:t>Community Relations Service</w:t>
      </w:r>
    </w:p>
    <w:p w:rsidR="008039E5" w:rsidRDefault="008039E5">
      <w:pPr>
        <w:pStyle w:val="BodyText"/>
      </w:pPr>
      <w:r>
        <w:t xml:space="preserve">   </w:t>
      </w:r>
    </w:p>
    <w:p w:rsidR="008039E5" w:rsidRPr="00390F26" w:rsidRDefault="008039E5" w:rsidP="005771F2">
      <w:r w:rsidRPr="00390F26">
        <w:t xml:space="preserve">In </w:t>
      </w:r>
      <w:r w:rsidR="00A05594">
        <w:t>f</w:t>
      </w:r>
      <w:r w:rsidRPr="00390F26">
        <w:t xml:space="preserve">iscal </w:t>
      </w:r>
      <w:r w:rsidR="00A05594">
        <w:t>y</w:t>
      </w:r>
      <w:r w:rsidRPr="00390F26">
        <w:t xml:space="preserve">ear </w:t>
      </w:r>
      <w:r w:rsidR="00A25545">
        <w:t>2013</w:t>
      </w:r>
      <w:r w:rsidRPr="00390F26">
        <w:t xml:space="preserve">, the Community Relations Service (CRS) requests </w:t>
      </w:r>
      <w:r w:rsidR="00A25545">
        <w:rPr>
          <w:iCs/>
        </w:rPr>
        <w:t>61</w:t>
      </w:r>
      <w:r>
        <w:rPr>
          <w:iCs/>
        </w:rPr>
        <w:t xml:space="preserve"> </w:t>
      </w:r>
      <w:r w:rsidR="00C347CB">
        <w:rPr>
          <w:iCs/>
        </w:rPr>
        <w:t xml:space="preserve">positions (including 2 attorneys), </w:t>
      </w:r>
      <w:r w:rsidR="00A25545">
        <w:rPr>
          <w:iCs/>
        </w:rPr>
        <w:t>59</w:t>
      </w:r>
      <w:r w:rsidRPr="00390F26">
        <w:rPr>
          <w:iCs/>
        </w:rPr>
        <w:t xml:space="preserve"> </w:t>
      </w:r>
      <w:r w:rsidR="00C347CB">
        <w:rPr>
          <w:iCs/>
        </w:rPr>
        <w:t>FTE</w:t>
      </w:r>
      <w:r w:rsidRPr="00390F26">
        <w:t xml:space="preserve">, and </w:t>
      </w:r>
      <w:r w:rsidRPr="00390F26">
        <w:rPr>
          <w:iCs/>
        </w:rPr>
        <w:t>$</w:t>
      </w:r>
      <w:r>
        <w:rPr>
          <w:iCs/>
        </w:rPr>
        <w:t>12,</w:t>
      </w:r>
      <w:r w:rsidR="00A25545">
        <w:rPr>
          <w:iCs/>
        </w:rPr>
        <w:t>036,000</w:t>
      </w:r>
      <w:r w:rsidRPr="00893C1F">
        <w:rPr>
          <w:iCs/>
        </w:rPr>
        <w:t>.  CRS</w:t>
      </w:r>
      <w:r w:rsidR="00C347CB">
        <w:rPr>
          <w:iCs/>
        </w:rPr>
        <w:t>’</w:t>
      </w:r>
      <w:r w:rsidRPr="00893C1F">
        <w:rPr>
          <w:iCs/>
        </w:rPr>
        <w:t xml:space="preserve"> </w:t>
      </w:r>
      <w:r w:rsidR="00C347CB">
        <w:rPr>
          <w:iCs/>
        </w:rPr>
        <w:t xml:space="preserve">request includes </w:t>
      </w:r>
      <w:r w:rsidR="00A05594">
        <w:rPr>
          <w:iCs/>
        </w:rPr>
        <w:t xml:space="preserve">a </w:t>
      </w:r>
      <w:r w:rsidR="00C347CB">
        <w:rPr>
          <w:iCs/>
        </w:rPr>
        <w:t>program</w:t>
      </w:r>
      <w:r w:rsidRPr="00C1362F">
        <w:rPr>
          <w:iCs/>
        </w:rPr>
        <w:t xml:space="preserve"> </w:t>
      </w:r>
      <w:r w:rsidR="0009131C">
        <w:rPr>
          <w:iCs/>
        </w:rPr>
        <w:t>enhancement</w:t>
      </w:r>
      <w:r>
        <w:rPr>
          <w:iCs/>
        </w:rPr>
        <w:t xml:space="preserve"> </w:t>
      </w:r>
      <w:r w:rsidR="00C347CB">
        <w:rPr>
          <w:iCs/>
        </w:rPr>
        <w:t xml:space="preserve">of 5 positions, 3 FTE and $391,000 </w:t>
      </w:r>
      <w:r>
        <w:rPr>
          <w:iCs/>
        </w:rPr>
        <w:t xml:space="preserve">which will allow it to successfully fulfill its mandate under the </w:t>
      </w:r>
      <w:r w:rsidR="0002397B" w:rsidRPr="00D90913">
        <w:rPr>
          <w:color w:val="000000"/>
        </w:rPr>
        <w:t>Matthew Shepard</w:t>
      </w:r>
      <w:r w:rsidR="0002397B">
        <w:t xml:space="preserve"> and James Byrd, Jr. Hate Crimes Prevention Act (P.L. 111-84, 2009) (“Hate Crimes Protection Act”)</w:t>
      </w:r>
      <w:r>
        <w:rPr>
          <w:iCs/>
        </w:rPr>
        <w:t xml:space="preserve">.  </w:t>
      </w:r>
      <w:r w:rsidRPr="00390F26">
        <w:t xml:space="preserve">CRS’ information technology (IT) program is allotted one FTE position </w:t>
      </w:r>
      <w:r w:rsidRPr="00056E11">
        <w:t xml:space="preserve">and two current contract employees.  </w:t>
      </w:r>
      <w:r w:rsidRPr="00FF1D21">
        <w:rPr>
          <w:bCs/>
        </w:rPr>
        <w:t>Electronic</w:t>
      </w:r>
      <w:r w:rsidRPr="00C1151B">
        <w:rPr>
          <w:bCs/>
        </w:rPr>
        <w:t xml:space="preserve"> copies of the Department of Justice’s </w:t>
      </w:r>
      <w:r>
        <w:rPr>
          <w:bCs/>
        </w:rPr>
        <w:t>C</w:t>
      </w:r>
      <w:r w:rsidRPr="00C1151B">
        <w:rPr>
          <w:bCs/>
        </w:rPr>
        <w:t xml:space="preserve">ongressional </w:t>
      </w:r>
      <w:r>
        <w:rPr>
          <w:bCs/>
        </w:rPr>
        <w:t>B</w:t>
      </w:r>
      <w:r w:rsidRPr="00C1151B">
        <w:rPr>
          <w:bCs/>
        </w:rPr>
        <w:t xml:space="preserve">udget </w:t>
      </w:r>
      <w:r>
        <w:rPr>
          <w:bCs/>
        </w:rPr>
        <w:t xml:space="preserve">Justifications and </w:t>
      </w:r>
      <w:r w:rsidRPr="00C1151B">
        <w:rPr>
          <w:bCs/>
        </w:rPr>
        <w:t>Capital Asset Plan and Business Case</w:t>
      </w:r>
      <w:r>
        <w:rPr>
          <w:bCs/>
        </w:rPr>
        <w:t xml:space="preserve"> exhibits</w:t>
      </w:r>
      <w:r w:rsidRPr="00C1151B">
        <w:rPr>
          <w:bCs/>
        </w:rPr>
        <w:t xml:space="preserve"> can be viewed or downloaded from the Internet using the Internet address:</w:t>
      </w:r>
      <w:r>
        <w:rPr>
          <w:bCs/>
        </w:rPr>
        <w:t xml:space="preserve"> </w:t>
      </w:r>
      <w:r>
        <w:rPr>
          <w:color w:val="1F497D"/>
        </w:rPr>
        <w:t xml:space="preserve"> </w:t>
      </w:r>
      <w:hyperlink r:id="rId8" w:history="1">
        <w:r>
          <w:rPr>
            <w:rStyle w:val="Hyperlink"/>
          </w:rPr>
          <w:t>http://www.justice.gov/02organizations/bpp.htm</w:t>
        </w:r>
      </w:hyperlink>
      <w:r w:rsidRPr="00C1151B">
        <w:rPr>
          <w:bCs/>
        </w:rPr>
        <w:t xml:space="preserve">  </w:t>
      </w:r>
      <w:r>
        <w:rPr>
          <w:bCs/>
        </w:rPr>
        <w:br/>
      </w:r>
    </w:p>
    <w:p w:rsidR="008039E5" w:rsidRPr="00390F26" w:rsidRDefault="008039E5" w:rsidP="005771F2">
      <w:r w:rsidRPr="00390F26">
        <w:t>CRS</w:t>
      </w:r>
      <w:r w:rsidR="0002397B">
        <w:t>,</w:t>
      </w:r>
      <w:r w:rsidR="00A05594">
        <w:t xml:space="preserve"> </w:t>
      </w:r>
      <w:r w:rsidRPr="00390F26">
        <w:t>an agency within the U.S. Department of Justice,</w:t>
      </w:r>
      <w:r>
        <w:t xml:space="preserve"> </w:t>
      </w:r>
      <w:r w:rsidRPr="00390F26">
        <w:t>was created under Title X of the historic Civil Rights Act of 1964 (42 U.S.C. §2000g et seq.) signed into law by President Lyndon B. Johnson on July 2, 1964.  Title X of the 1964 law mandated CRS’ creation and its duties and responsibilities.</w:t>
      </w:r>
      <w:r>
        <w:t xml:space="preserve">  Pursuant to the Hate Crimes Protection Act, CRS is authorized to work with communities to help them develop the capacity to prevent and respond </w:t>
      </w:r>
      <w:r w:rsidR="001943E4">
        <w:t xml:space="preserve">more effectively </w:t>
      </w:r>
      <w:r>
        <w:t xml:space="preserve">to violent hate crimes allegedly committed on the basis of actual or perceived race, color, national origin, gender, gender identity, sexual orientation, religion, or disability.  </w:t>
      </w:r>
    </w:p>
    <w:p w:rsidR="008039E5" w:rsidRDefault="008039E5" w:rsidP="005771F2"/>
    <w:p w:rsidR="008039E5" w:rsidRPr="00F354DF" w:rsidRDefault="0011093C" w:rsidP="00F354DF">
      <w:pPr>
        <w:rPr>
          <w:b/>
        </w:rPr>
      </w:pPr>
      <w:r w:rsidRPr="00390F26">
        <w:t>CRS</w:t>
      </w:r>
      <w:r>
        <w:t xml:space="preserve"> </w:t>
      </w:r>
      <w:r w:rsidRPr="00390F26">
        <w:t>is</w:t>
      </w:r>
      <w:r w:rsidR="008039E5" w:rsidRPr="00390F26">
        <w:t xml:space="preserve"> headquartered in Washington, D.C. and is a single decision unit that plays a significant role in accomplishing </w:t>
      </w:r>
      <w:r w:rsidR="008039E5" w:rsidRPr="007724EE">
        <w:rPr>
          <w:b/>
        </w:rPr>
        <w:t xml:space="preserve">DOJ’s Strategic </w:t>
      </w:r>
      <w:r w:rsidR="009D019D" w:rsidRPr="009D019D">
        <w:rPr>
          <w:b/>
        </w:rPr>
        <w:t>Goal #2 - Prevent Crime, Protect the Rights of the American People, and Enforce Federal Law</w:t>
      </w:r>
      <w:r w:rsidR="00F354DF">
        <w:rPr>
          <w:b/>
        </w:rPr>
        <w:t xml:space="preserve">.  </w:t>
      </w:r>
      <w:r w:rsidR="002956E3">
        <w:t xml:space="preserve">While working in support of Strategic Goal #2, </w:t>
      </w:r>
      <w:r w:rsidR="002B0C0C" w:rsidRPr="002B0C0C">
        <w:t>CRS also</w:t>
      </w:r>
      <w:r w:rsidR="002956E3">
        <w:t xml:space="preserve"> helps support</w:t>
      </w:r>
      <w:r w:rsidR="00F354DF">
        <w:rPr>
          <w:b/>
        </w:rPr>
        <w:t xml:space="preserve"> DOJ’s Strategic Goal #3</w:t>
      </w:r>
      <w:r w:rsidR="003C6BB5">
        <w:rPr>
          <w:b/>
        </w:rPr>
        <w:t xml:space="preserve"> </w:t>
      </w:r>
      <w:r w:rsidR="00F354DF">
        <w:rPr>
          <w:b/>
        </w:rPr>
        <w:t xml:space="preserve">Ensure and Support the Fair, Impartial, Efficient, and Transparent Administration of </w:t>
      </w:r>
      <w:r w:rsidR="00F354DF" w:rsidRPr="00F354DF">
        <w:rPr>
          <w:b/>
        </w:rPr>
        <w:t>Justic</w:t>
      </w:r>
      <w:r w:rsidR="00F354DF">
        <w:rPr>
          <w:b/>
        </w:rPr>
        <w:t xml:space="preserve">e at the Federal, State, Local, </w:t>
      </w:r>
      <w:r w:rsidR="00F354DF" w:rsidRPr="00F354DF">
        <w:rPr>
          <w:b/>
        </w:rPr>
        <w:t>Tribal, and International Levels</w:t>
      </w:r>
      <w:r w:rsidR="008039E5" w:rsidRPr="000A2E3B">
        <w:t xml:space="preserve">. </w:t>
      </w:r>
      <w:r w:rsidR="000A2E3B" w:rsidRPr="000A2E3B">
        <w:t xml:space="preserve"> </w:t>
      </w:r>
      <w:r w:rsidR="008039E5" w:rsidRPr="00390F26">
        <w:t xml:space="preserve">CRS serves as the Department’s “peacemaker” for community conflicts and tensions arising from </w:t>
      </w:r>
      <w:r w:rsidR="008039E5">
        <w:t xml:space="preserve">actual </w:t>
      </w:r>
      <w:r w:rsidR="008039E5" w:rsidRPr="00390F26">
        <w:t xml:space="preserve">or perceived discriminatory practices based on race, color, or national origin.  </w:t>
      </w:r>
      <w:r w:rsidR="008039E5">
        <w:t xml:space="preserve">CRS also helps communities prevent and respond to violent hate crimes committed on the basis of race, color, national origin, gender, gender identity, religion, sexual orientation, or disability.  </w:t>
      </w:r>
    </w:p>
    <w:p w:rsidR="008039E5" w:rsidRDefault="008039E5" w:rsidP="005771F2"/>
    <w:p w:rsidR="008039E5" w:rsidRPr="00390F26" w:rsidRDefault="008039E5" w:rsidP="005771F2">
      <w:r w:rsidRPr="00390F26">
        <w:t xml:space="preserve">CRS provides specialized mediation and conciliation services to state, local and federal officials and communities throughout the </w:t>
      </w:r>
      <w:smartTag w:uri="urn:schemas-microsoft-com:office:smarttags" w:element="place">
        <w:smartTag w:uri="urn:schemas-microsoft-com:office:smarttags" w:element="country-region">
          <w:r w:rsidRPr="00390F26">
            <w:t>United States</w:t>
          </w:r>
        </w:smartTag>
      </w:smartTag>
      <w:r w:rsidRPr="00390F26">
        <w:t xml:space="preserve">.  The Agency’s goal is to assist in resolving and preventing racial, ethnic and national origin community conflicts, </w:t>
      </w:r>
      <w:r>
        <w:t>civil disorder, and violent hate crimes on the basis of race, color, national origin, gender, gender identity, sexual orientation, religion, or disability</w:t>
      </w:r>
      <w:r w:rsidRPr="00390F26">
        <w:t xml:space="preserve">.  CRS has 10 Regional offices and 4 field offices </w:t>
      </w:r>
      <w:r w:rsidR="00330269">
        <w:t>in</w:t>
      </w:r>
      <w:r w:rsidR="00330269" w:rsidRPr="00390F26">
        <w:t xml:space="preserve"> </w:t>
      </w:r>
      <w:r w:rsidRPr="00390F26">
        <w:t>the following locations:  Boston; New York; Philadelphia; Chicago (field office in Detroit); Kansas City</w:t>
      </w:r>
      <w:r>
        <w:t>, MO</w:t>
      </w:r>
      <w:r w:rsidRPr="00390F26">
        <w:t>; Denver; Los Angeles (field office in San Francisco); Dallas (field office in Houston); Atlan</w:t>
      </w:r>
      <w:r>
        <w:t>ta (field office in Miami); and</w:t>
      </w:r>
      <w:r w:rsidRPr="00390F26">
        <w:t xml:space="preserve"> Seattle.  </w:t>
      </w:r>
    </w:p>
    <w:p w:rsidR="008039E5" w:rsidRPr="00390F26" w:rsidRDefault="008039E5" w:rsidP="005771F2"/>
    <w:p w:rsidR="008039E5" w:rsidRDefault="008039E5" w:rsidP="005771F2">
      <w:r w:rsidRPr="00390F26">
        <w:t xml:space="preserve">CRS </w:t>
      </w:r>
      <w:r>
        <w:t>is a remarkably unique</w:t>
      </w:r>
      <w:r w:rsidRPr="00390F26">
        <w:t xml:space="preserve"> federal component dedicated to assisting state and local units of government, private and public organizations, and community groups </w:t>
      </w:r>
      <w:r w:rsidR="001943E4">
        <w:t>develop local capacity to prevent</w:t>
      </w:r>
      <w:r w:rsidRPr="00390F26">
        <w:t xml:space="preserve"> racial and ethnic tensions.  </w:t>
      </w:r>
      <w:r>
        <w:t xml:space="preserve">CRS can also assist willing parties and explore opportunities to develop and implement local strategies that can help law enforcement, local officials, civil rights organizations, and interested community groups respond to alleged hate crimes and find ways to prevent future incidents.  </w:t>
      </w:r>
      <w:r w:rsidRPr="00390F26">
        <w:t xml:space="preserve">CRS conciliators </w:t>
      </w:r>
      <w:r>
        <w:t xml:space="preserve">also </w:t>
      </w:r>
      <w:r w:rsidRPr="00390F26">
        <w:t xml:space="preserve">assist in restoring stability and accord to communities following civil disorder, or in initiating rumor control to prevent misinformation from spreading throughout a community.  </w:t>
      </w:r>
    </w:p>
    <w:p w:rsidR="008039E5" w:rsidRDefault="008039E5" w:rsidP="005771F2"/>
    <w:p w:rsidR="008039E5" w:rsidRDefault="008039E5" w:rsidP="005771F2">
      <w:r>
        <w:t>State and local law enforcement officials and community leaders may contact CRS to request assistance in improving communication between law enforcement and community members in the aftermath of a hate crime.  CRS improves community response mechanisms, by facilitating the development of community capacity to help prevent hate crimes with services and programs that include: conciliation, mediation, training, technical assistance, and other tension reduction techniques.  C</w:t>
      </w:r>
      <w:r w:rsidR="0009131C">
        <w:t>RS may help facilitate dialogue</w:t>
      </w:r>
      <w:r>
        <w:t xml:space="preserve"> between law enforcement and community members to increase mutual understanding about the investigative and prosecutorial process as well as the concerns of people in the community.  </w:t>
      </w:r>
    </w:p>
    <w:p w:rsidR="008039E5" w:rsidRDefault="008039E5" w:rsidP="005771F2"/>
    <w:p w:rsidR="008039E5" w:rsidRPr="00390F26" w:rsidRDefault="008039E5" w:rsidP="005771F2">
      <w:r w:rsidRPr="00390F26">
        <w:t xml:space="preserve">CRS is able to address the perception of </w:t>
      </w:r>
      <w:r>
        <w:t>discrimination</w:t>
      </w:r>
      <w:r w:rsidRPr="00390F26">
        <w:t xml:space="preserve"> that can be as disruptive to community stability as actual discrimination.  CRS does not have law enforcement authority, nor does it investigate or prosecute cases.  As an impartial </w:t>
      </w:r>
      <w:r>
        <w:t>a</w:t>
      </w:r>
      <w:r w:rsidRPr="00390F26">
        <w:t xml:space="preserve">gency, CRS does not look to assign blame or fault to any individual or group.  In contrast, CRS enables communities to develop and implement their own solutions to reducing tensions as a neutral conciliator.  Furthermore, as alternatives to coercion or litigation, CRS facilitates the development of viable and voluntary solutions for resolution of community tension. </w:t>
      </w:r>
    </w:p>
    <w:p w:rsidR="008039E5" w:rsidRPr="00390F26" w:rsidRDefault="008039E5" w:rsidP="005771F2"/>
    <w:p w:rsidR="008039E5" w:rsidRDefault="008039E5" w:rsidP="005771F2">
      <w:r w:rsidRPr="00390F26">
        <w:t xml:space="preserve">The CRS budget consists of operating expenses which include, but </w:t>
      </w:r>
      <w:r>
        <w:t>are</w:t>
      </w:r>
      <w:r w:rsidRPr="00390F26">
        <w:t xml:space="preserve"> not limited to, payroll for its </w:t>
      </w:r>
      <w:r w:rsidR="00B93209">
        <w:t>61</w:t>
      </w:r>
      <w:r w:rsidR="00B93209" w:rsidRPr="00390F26">
        <w:t xml:space="preserve"> </w:t>
      </w:r>
      <w:r w:rsidRPr="00390F26">
        <w:t>permanent positions; travel expenses to enable CRS’ conciliation professionals to respond in person to requests for assistance from state and local units of government, private and public organizations, and community groups; and funding for normal operations</w:t>
      </w:r>
      <w:r>
        <w:t xml:space="preserve"> (</w:t>
      </w:r>
      <w:r w:rsidR="00915A80">
        <w:t>e.g.</w:t>
      </w:r>
      <w:r w:rsidRPr="00390F26">
        <w:t xml:space="preserve"> information technology, communications, equipment, supplies, etc</w:t>
      </w:r>
      <w:r>
        <w:t>)</w:t>
      </w:r>
      <w:r w:rsidRPr="00390F26">
        <w:t xml:space="preserve">.  </w:t>
      </w:r>
      <w:r>
        <w:t xml:space="preserve">The </w:t>
      </w:r>
      <w:r w:rsidRPr="00390F26">
        <w:t xml:space="preserve">FY </w:t>
      </w:r>
      <w:r w:rsidR="008D4440">
        <w:t xml:space="preserve">2013 </w:t>
      </w:r>
      <w:r>
        <w:t>funding level of</w:t>
      </w:r>
      <w:r w:rsidRPr="00390F26">
        <w:t xml:space="preserve"> $</w:t>
      </w:r>
      <w:r>
        <w:t>12,</w:t>
      </w:r>
      <w:r w:rsidR="008D4440">
        <w:t>036,000</w:t>
      </w:r>
      <w:r w:rsidRPr="00390F26">
        <w:t xml:space="preserve"> is required for CRS to support the Department in </w:t>
      </w:r>
      <w:r>
        <w:t xml:space="preserve">fulfilling its new obligations related to the passage of the Matthew Shepard and James Byrd, Jr. Hate Crimes Prevention Act.  This funding also includes requirements for current services which are necessary to successfully carry out other </w:t>
      </w:r>
      <w:r w:rsidRPr="00390F26">
        <w:t xml:space="preserve">conflict resolution and violence prevention activities. </w:t>
      </w:r>
    </w:p>
    <w:p w:rsidR="008039E5" w:rsidRPr="00390F26" w:rsidRDefault="008039E5" w:rsidP="005771F2"/>
    <w:p w:rsidR="008039E5" w:rsidRDefault="008039E5" w:rsidP="005771F2">
      <w:r w:rsidRPr="00390F26">
        <w:t xml:space="preserve">No programs within CRS have been subject to the Program Assessment </w:t>
      </w:r>
      <w:r w:rsidR="00B93209">
        <w:t>R</w:t>
      </w:r>
      <w:r w:rsidR="00B93209" w:rsidRPr="00390F26">
        <w:t>eview</w:t>
      </w:r>
      <w:r w:rsidRPr="00390F26">
        <w:t xml:space="preserve">. </w:t>
      </w:r>
    </w:p>
    <w:p w:rsidR="008039E5" w:rsidRDefault="008039E5" w:rsidP="005771F2"/>
    <w:p w:rsidR="00303023" w:rsidRDefault="00303023" w:rsidP="005771F2">
      <w:pPr>
        <w:pStyle w:val="BodyText"/>
        <w:rPr>
          <w:b/>
          <w:szCs w:val="24"/>
        </w:rPr>
      </w:pPr>
    </w:p>
    <w:p w:rsidR="008039E5" w:rsidRPr="00303023" w:rsidRDefault="009E6187" w:rsidP="005771F2">
      <w:pPr>
        <w:pStyle w:val="BodyText"/>
        <w:rPr>
          <w:b/>
          <w:szCs w:val="24"/>
          <w:u w:val="single"/>
        </w:rPr>
      </w:pPr>
      <w:r w:rsidRPr="009E6187">
        <w:rPr>
          <w:b/>
          <w:szCs w:val="24"/>
          <w:u w:val="single"/>
        </w:rPr>
        <w:t>Performance Challenges</w:t>
      </w:r>
    </w:p>
    <w:p w:rsidR="008039E5" w:rsidRPr="00390F26" w:rsidRDefault="008039E5" w:rsidP="005771F2"/>
    <w:p w:rsidR="008039E5" w:rsidRDefault="008039E5" w:rsidP="005771F2">
      <w:r>
        <w:t xml:space="preserve">With the passage of the </w:t>
      </w:r>
      <w:r w:rsidRPr="00D90913">
        <w:rPr>
          <w:color w:val="000000"/>
        </w:rPr>
        <w:t>Matthew Shepard</w:t>
      </w:r>
      <w:r>
        <w:t xml:space="preserve"> and James Byrd, Jr. Hate Crimes Prevention Act (P.L. 111-84, 2009) (“Hate Crimes Protection Act”)</w:t>
      </w:r>
      <w:r w:rsidR="00915A80">
        <w:t>,</w:t>
      </w:r>
      <w:r>
        <w:t xml:space="preserve"> CRS has dramatically expanded its jurisdiction.  Pursuant to the Act, “There are authorized to be appropriated to the Department of Justice, including the Community Relations Service, for fiscal years 2010, 2011, and 2012 such sums as are necessary to increase the number of personnel to prevent and respond to alleged violations of section 249 of title 18, United States Code, as added by section 4707 of this division.”  CRS has been transformed from an agency focused on addressing and preventing conflict and violence related to discrimination on the basis of race, color, and national origin to an agency that is responsible for helping communities prevent and respond to violent hate crimes committed on the basis of actual or perceived gender, gender identity, sexual orientation, religion, and disability in addition to race, color, and national origin.  </w:t>
      </w:r>
    </w:p>
    <w:p w:rsidR="008039E5" w:rsidRDefault="008039E5" w:rsidP="005771F2"/>
    <w:p w:rsidR="008039E5" w:rsidRDefault="008039E5" w:rsidP="005771F2">
      <w:pPr>
        <w:rPr>
          <w:color w:val="000000"/>
        </w:rPr>
      </w:pPr>
      <w:r>
        <w:t xml:space="preserve">As the only federal agency exclusively </w:t>
      </w:r>
      <w:r w:rsidRPr="00883717">
        <w:rPr>
          <w:color w:val="000000"/>
        </w:rPr>
        <w:t>dedicated to assist</w:t>
      </w:r>
      <w:r>
        <w:rPr>
          <w:color w:val="000000"/>
        </w:rPr>
        <w:t>ing s</w:t>
      </w:r>
      <w:r w:rsidRPr="00883717">
        <w:rPr>
          <w:color w:val="000000"/>
        </w:rPr>
        <w:t>tate and local units of government, privat</w:t>
      </w:r>
      <w:r>
        <w:rPr>
          <w:color w:val="000000"/>
        </w:rPr>
        <w:t xml:space="preserve">e and public organizations, </w:t>
      </w:r>
      <w:r w:rsidRPr="00883717">
        <w:rPr>
          <w:color w:val="000000"/>
        </w:rPr>
        <w:t>community groups</w:t>
      </w:r>
      <w:r>
        <w:rPr>
          <w:color w:val="000000"/>
        </w:rPr>
        <w:t>, and even other federal agencies</w:t>
      </w:r>
      <w:r w:rsidRPr="00883717">
        <w:rPr>
          <w:color w:val="000000"/>
        </w:rPr>
        <w:t xml:space="preserve"> with preventing and reso</w:t>
      </w:r>
      <w:r w:rsidR="006B54BC">
        <w:rPr>
          <w:color w:val="000000"/>
        </w:rPr>
        <w:t>lving racial and ethnic tension</w:t>
      </w:r>
      <w:r w:rsidRPr="00883717">
        <w:rPr>
          <w:color w:val="000000"/>
        </w:rPr>
        <w:t xml:space="preserve">, </w:t>
      </w:r>
      <w:r w:rsidR="006B54BC">
        <w:rPr>
          <w:color w:val="000000"/>
        </w:rPr>
        <w:t>conflict, and civil disorder</w:t>
      </w:r>
      <w:r>
        <w:rPr>
          <w:color w:val="000000"/>
        </w:rPr>
        <w:t xml:space="preserve">, CRS is uniquely qualified to fulfill this broader legislative mandate.  To help communities prevent and respond to violent hate crimes, CRS may facilitate educational meetings and dialogues or conduct other services in response to conflicts or incidents that, left unaddressed, may escalate </w:t>
      </w:r>
      <w:r w:rsidR="000606A9">
        <w:rPr>
          <w:color w:val="000000"/>
        </w:rPr>
        <w:t>in</w:t>
      </w:r>
      <w:r>
        <w:rPr>
          <w:color w:val="000000"/>
        </w:rPr>
        <w:t xml:space="preserve">to violent hate crimes.  CRS is an expert at bringing law enforcement officials, advocacy groups, and individual community members to the table in a way that creates lasting </w:t>
      </w:r>
      <w:r w:rsidRPr="00883717">
        <w:rPr>
          <w:color w:val="000000"/>
        </w:rPr>
        <w:t>racial stability and harmony</w:t>
      </w:r>
      <w:r>
        <w:rPr>
          <w:color w:val="000000"/>
        </w:rPr>
        <w:t xml:space="preserve"> and enables those communities to address future conflicts without outside assistance</w:t>
      </w:r>
      <w:r w:rsidRPr="00883717">
        <w:rPr>
          <w:color w:val="000000"/>
        </w:rPr>
        <w:t>.</w:t>
      </w:r>
      <w:r>
        <w:rPr>
          <w:color w:val="000000"/>
        </w:rPr>
        <w:t xml:space="preserve">  Nevertheless, as </w:t>
      </w:r>
      <w:r w:rsidR="00A8107A">
        <w:rPr>
          <w:color w:val="000000"/>
        </w:rPr>
        <w:t xml:space="preserve">Congress explained in </w:t>
      </w:r>
      <w:r>
        <w:rPr>
          <w:color w:val="000000"/>
        </w:rPr>
        <w:t xml:space="preserve">the Hate Crimes legislation, CRS will need the additional resources requested in FY </w:t>
      </w:r>
      <w:r w:rsidR="008D4440">
        <w:rPr>
          <w:color w:val="000000"/>
        </w:rPr>
        <w:t>2013</w:t>
      </w:r>
      <w:r>
        <w:rPr>
          <w:color w:val="000000"/>
        </w:rPr>
        <w:t xml:space="preserve"> to cover these new jurisdictional areas and fulfill this broader mandate. </w:t>
      </w:r>
    </w:p>
    <w:p w:rsidR="008039E5" w:rsidRDefault="008039E5" w:rsidP="005771F2">
      <w:pPr>
        <w:rPr>
          <w:color w:val="000000"/>
        </w:rPr>
      </w:pPr>
    </w:p>
    <w:p w:rsidR="008039E5" w:rsidRPr="00390F26" w:rsidRDefault="008039E5" w:rsidP="005771F2">
      <w:r w:rsidRPr="00390F26">
        <w:t xml:space="preserve">CRS </w:t>
      </w:r>
      <w:r w:rsidR="00A8107A">
        <w:t>continues</w:t>
      </w:r>
      <w:r w:rsidRPr="00390F26">
        <w:t xml:space="preserve"> to assess its daily operations based on Departmental needs, technological</w:t>
      </w:r>
      <w:r w:rsidR="007D2F09">
        <w:t xml:space="preserve"> </w:t>
      </w:r>
      <w:r w:rsidRPr="00390F26">
        <w:t>developments, national security, and budget</w:t>
      </w:r>
      <w:r>
        <w:t>ary</w:t>
      </w:r>
      <w:r w:rsidRPr="00390F26">
        <w:t xml:space="preserve"> constraints. </w:t>
      </w:r>
      <w:r>
        <w:t>All of t</w:t>
      </w:r>
      <w:r w:rsidRPr="00390F26">
        <w:t>hese internal factors pose</w:t>
      </w:r>
      <w:r w:rsidR="007D2F09">
        <w:t xml:space="preserve"> </w:t>
      </w:r>
      <w:r w:rsidRPr="00390F26">
        <w:t>challenges that affect the success of CRS’ external conciliation and mediation services.</w:t>
      </w:r>
    </w:p>
    <w:p w:rsidR="008039E5" w:rsidRPr="00390F26" w:rsidRDefault="008039E5" w:rsidP="005771F2"/>
    <w:p w:rsidR="008039E5" w:rsidRPr="007564FC" w:rsidRDefault="001860D6" w:rsidP="005771F2">
      <w:pPr>
        <w:pStyle w:val="xl27"/>
        <w:rPr>
          <w:rFonts w:ascii="Times New Roman" w:hAnsi="Times New Roman"/>
          <w:bCs/>
        </w:rPr>
      </w:pPr>
      <w:r w:rsidRPr="001860D6">
        <w:rPr>
          <w:rFonts w:ascii="Times New Roman" w:hAnsi="Times New Roman"/>
          <w:bCs/>
        </w:rPr>
        <w:t>1.  Internal Challenges</w:t>
      </w:r>
    </w:p>
    <w:p w:rsidR="008039E5" w:rsidRDefault="008039E5" w:rsidP="005771F2">
      <w:pPr>
        <w:pStyle w:val="BodyText"/>
        <w:rPr>
          <w:bCs/>
          <w:iCs/>
        </w:rPr>
      </w:pPr>
      <w:r w:rsidRPr="00056E11">
        <w:t>CRS continues to face internal challenges</w:t>
      </w:r>
      <w:r>
        <w:t>,</w:t>
      </w:r>
      <w:r w:rsidRPr="00056E11">
        <w:t xml:space="preserve"> as it must monitor the country for jurisdictional conflicts and attempt to respond to each case with limited resources.  In FY </w:t>
      </w:r>
      <w:r w:rsidR="00A8107A">
        <w:t>2011</w:t>
      </w:r>
      <w:r w:rsidRPr="00056E11">
        <w:t xml:space="preserve">, CRS </w:t>
      </w:r>
      <w:r>
        <w:t>alerted</w:t>
      </w:r>
      <w:r w:rsidRPr="00056E11">
        <w:t xml:space="preserve"> nearly </w:t>
      </w:r>
      <w:r w:rsidR="00DF58FD">
        <w:t>896</w:t>
      </w:r>
      <w:r w:rsidR="00DF58FD" w:rsidRPr="00056E11">
        <w:t xml:space="preserve"> </w:t>
      </w:r>
      <w:r w:rsidRPr="00056E11">
        <w:t>community incidents and conflicts arising from issues of race, color or national origin</w:t>
      </w:r>
      <w:r w:rsidR="003633BB">
        <w:t xml:space="preserve"> and from communities seeking to prevent and more effectively respond to violent hate crimes on the basis of actual or perceived race, color, national origin, gender, gender identity, sexual orientation, religion, or disability</w:t>
      </w:r>
      <w:r w:rsidRPr="00056E11">
        <w:t>.</w:t>
      </w:r>
      <w:r>
        <w:t xml:space="preserve">  </w:t>
      </w:r>
      <w:r w:rsidR="003633BB">
        <w:t xml:space="preserve">The number of alerts, reflecting a request for services or an incident that appears to be jurisdictional that has come to the attention of CRS staff, has steadily increased since 2009, when just under 800 alerts were reported.  Despite this increase in demand, CRS has not been able to increase its staff.  </w:t>
      </w:r>
      <w:r w:rsidRPr="00056E11">
        <w:t xml:space="preserve">CRS currently operates with a field staff of </w:t>
      </w:r>
      <w:r>
        <w:t>3</w:t>
      </w:r>
      <w:r w:rsidR="00DF58FD">
        <w:t>2</w:t>
      </w:r>
      <w:r w:rsidRPr="00056E11">
        <w:t xml:space="preserve"> </w:t>
      </w:r>
      <w:r>
        <w:t>Mediators and Conciliators</w:t>
      </w:r>
      <w:r w:rsidRPr="00056E11">
        <w:t xml:space="preserve"> (</w:t>
      </w:r>
      <w:r>
        <w:t>10</w:t>
      </w:r>
      <w:r w:rsidRPr="00056E11">
        <w:t xml:space="preserve"> Regional Directors</w:t>
      </w:r>
      <w:r>
        <w:t xml:space="preserve"> </w:t>
      </w:r>
      <w:r w:rsidRPr="00056E11">
        <w:t>and 2</w:t>
      </w:r>
      <w:r w:rsidR="00DF58FD">
        <w:t>2</w:t>
      </w:r>
      <w:r w:rsidRPr="00056E11">
        <w:t xml:space="preserve"> Conciliation Specialists) to address conflicts throughout the United States and six territories.  Regional conciliators attempt to assess every jurisdictional case which has come to their attention, but temporal, budgetary, and geographical limitations affect deployment decisions.  CRS will continue to focus its internal efforts on building new staff capacities through succession planning, mentoring, and sustained, high-quality training.  This includes a focus on improving mediation and management skills for new hires.  With nearly forty percent of the Agency retirement eligible, </w:t>
      </w:r>
      <w:r w:rsidR="00470208">
        <w:t>filling</w:t>
      </w:r>
      <w:r w:rsidRPr="00056E11">
        <w:t xml:space="preserve"> higher grade positions </w:t>
      </w:r>
      <w:r w:rsidR="00470208">
        <w:t xml:space="preserve">formerly </w:t>
      </w:r>
      <w:r w:rsidRPr="00056E11">
        <w:t xml:space="preserve">held by senior staff </w:t>
      </w:r>
      <w:r w:rsidR="00470208">
        <w:t>with</w:t>
      </w:r>
      <w:r w:rsidR="00470208" w:rsidRPr="00056E11">
        <w:t xml:space="preserve"> </w:t>
      </w:r>
      <w:r w:rsidRPr="00056E11">
        <w:t>lower grade</w:t>
      </w:r>
      <w:r w:rsidR="00470208">
        <w:t xml:space="preserve"> or </w:t>
      </w:r>
      <w:r w:rsidR="00201C69">
        <w:t>mid</w:t>
      </w:r>
      <w:r w:rsidRPr="00056E11">
        <w:t>-level positions</w:t>
      </w:r>
      <w:r w:rsidR="00470208">
        <w:t xml:space="preserve"> will inherently present a learning curve</w:t>
      </w:r>
      <w:r w:rsidRPr="00056E11">
        <w:t xml:space="preserve">. </w:t>
      </w:r>
      <w:r>
        <w:t xml:space="preserve"> </w:t>
      </w:r>
      <w:r w:rsidRPr="00056E11">
        <w:t xml:space="preserve">High quality standards for leadership, in-service training, mediation certification, standardized measurable work plans, and improved tracking systems on service delivery and case reporting will remain crucial aspects </w:t>
      </w:r>
      <w:r w:rsidR="00131B34">
        <w:t>CRS’ strategy to address internal and external challenges</w:t>
      </w:r>
      <w:r w:rsidRPr="00056E11">
        <w:t>.</w:t>
      </w:r>
      <w:r w:rsidR="000B6C5A">
        <w:t xml:space="preserve">  CRS is continually identifying new ways to increase savings across the agency through policies that encourage less and more concentrated travel and that</w:t>
      </w:r>
      <w:r w:rsidR="0062555B">
        <w:t xml:space="preserve"> </w:t>
      </w:r>
      <w:r w:rsidR="000B6C5A">
        <w:rPr>
          <w:bCs/>
          <w:iCs/>
        </w:rPr>
        <w:t>increase awareness about energy and paper use by encouraging the use of double-sided printing and reducing electricity use in all of its offices.</w:t>
      </w:r>
    </w:p>
    <w:p w:rsidR="008039E5" w:rsidRDefault="008039E5" w:rsidP="005771F2">
      <w:pPr>
        <w:pStyle w:val="BodyText"/>
        <w:rPr>
          <w:bCs/>
          <w:iCs/>
        </w:rPr>
      </w:pPr>
    </w:p>
    <w:p w:rsidR="008039E5" w:rsidRPr="007564FC" w:rsidRDefault="001860D6" w:rsidP="005771F2">
      <w:pPr>
        <w:pStyle w:val="BodyText"/>
        <w:rPr>
          <w:b/>
          <w:bCs/>
          <w:iCs/>
        </w:rPr>
      </w:pPr>
      <w:r w:rsidRPr="001860D6">
        <w:rPr>
          <w:b/>
          <w:bCs/>
          <w:iCs/>
        </w:rPr>
        <w:t>2.  External Challenges</w:t>
      </w:r>
    </w:p>
    <w:p w:rsidR="008039E5" w:rsidRPr="00390F26" w:rsidRDefault="008039E5" w:rsidP="005771F2">
      <w:pPr>
        <w:pStyle w:val="BodyText"/>
        <w:rPr>
          <w:bCs/>
          <w:iCs/>
        </w:rPr>
      </w:pPr>
    </w:p>
    <w:p w:rsidR="008039E5" w:rsidRPr="00056E11" w:rsidRDefault="008039E5" w:rsidP="005771F2">
      <w:pPr>
        <w:pStyle w:val="BodyText"/>
      </w:pPr>
      <w:r w:rsidRPr="00056E11">
        <w:t xml:space="preserve">Notwithstanding CRS’ daily operational challenges, CRS will continue to respond to issues that garner national attention, such as increased reports of </w:t>
      </w:r>
      <w:r>
        <w:t>community tension associated with disputes between Tribal Nations and state and local officials involving allegations of discrimination on the basis of race and national origin, community tension and allegations of racial profiling associated with issues at the intersection of race, national origin, and immigration controversies</w:t>
      </w:r>
      <w:r w:rsidRPr="00056E11">
        <w:t xml:space="preserve">, </w:t>
      </w:r>
      <w:r w:rsidR="00131B34">
        <w:t xml:space="preserve">and racial and </w:t>
      </w:r>
      <w:r w:rsidRPr="00056E11">
        <w:t xml:space="preserve">community tensions that stem from demographic shifts and new </w:t>
      </w:r>
      <w:r>
        <w:t>migratio</w:t>
      </w:r>
      <w:r w:rsidRPr="00056E11">
        <w:t xml:space="preserve">n.  </w:t>
      </w:r>
      <w:r>
        <w:t xml:space="preserve">As debates about national and local immigration policy reform escalate, experience suggests that we will see an increase in discrimination on the basis of race, color, or national origin against immigrants or people who are perceived to be immigrants.  </w:t>
      </w:r>
      <w:r w:rsidRPr="00056E11">
        <w:t>In addition, CRS will continue to respond to racial tensions involving ethnic communities who have alleged or experienced discriminatory treatment following September 11, 2001, particularly Arab American</w:t>
      </w:r>
      <w:r w:rsidR="00131B34">
        <w:t xml:space="preserve"> </w:t>
      </w:r>
      <w:r w:rsidR="000618E9">
        <w:t xml:space="preserve">and </w:t>
      </w:r>
      <w:r w:rsidR="000618E9" w:rsidRPr="00056E11">
        <w:t>Muslim</w:t>
      </w:r>
      <w:r w:rsidR="00131B34">
        <w:t xml:space="preserve"> individuals, as well as Sikhs and others who are perceived to be Muslim.</w:t>
      </w:r>
      <w:r w:rsidRPr="00056E11">
        <w:t xml:space="preserve">  </w:t>
      </w:r>
      <w:r>
        <w:t xml:space="preserve">CRS has seen a dramatic increase in concern in these communities following the very contentious debate around the building of mosques and Islamic cultural centers.  </w:t>
      </w:r>
      <w:r w:rsidRPr="00056E11">
        <w:t xml:space="preserve">CRS’ technical assistance, including educational videos and training programs, </w:t>
      </w:r>
      <w:r>
        <w:t xml:space="preserve">and the facilitation of dialogues between Arabs, Muslims, and Sikhs, law enforcement officials, and other interested parties </w:t>
      </w:r>
      <w:r w:rsidRPr="00056E11">
        <w:t xml:space="preserve">are just some of the ways that the Agency can help to promote tolerance, respect, and peaceful interaction between members of various communities.      </w:t>
      </w:r>
    </w:p>
    <w:p w:rsidR="008039E5" w:rsidRPr="00056E11" w:rsidRDefault="008039E5" w:rsidP="005771F2">
      <w:pPr>
        <w:pStyle w:val="BodyText"/>
      </w:pPr>
    </w:p>
    <w:p w:rsidR="008039E5" w:rsidRPr="00056E11" w:rsidRDefault="008039E5" w:rsidP="005771F2">
      <w:r w:rsidRPr="00056E11">
        <w:t>CRS will continue to help resolve race-related community conflicts in areas such as housing, education, and the administration of justice.  Police-community relations surrounding excessive use of force, and the possibility of racial violence resulting from these incidents, particularly in minority communities, consumes more than half of CRS’ work.  Additionally, CRS continues to address school conflicts based on race, color, and national origin.  CRS is increasingly called upon to address racial harassment and violence in elementary and secondary schools, and on college and university campuses.  CRS has responded to school brawls, riots, and racial gang violence, working to restore stability in schools through various conflict resolution initiatives.  The Agency is prepared, as well, to respond to hate-related incidents involving desecration of houses of worship</w:t>
      </w:r>
      <w:r>
        <w:t xml:space="preserve"> where there is a connection between the desecration and perceived discrimination on the basis of race, color, or national origin or where the community perceives the act as a violent hate crime or an act that, if left unaddressed, could lead to a violent hate crime</w:t>
      </w:r>
      <w:r w:rsidRPr="00056E11">
        <w:t xml:space="preserve">.  </w:t>
      </w:r>
    </w:p>
    <w:p w:rsidR="008039E5" w:rsidRPr="00056E11" w:rsidRDefault="008039E5" w:rsidP="005771F2"/>
    <w:p w:rsidR="008039E5" w:rsidRDefault="008039E5" w:rsidP="005771F2">
      <w:r>
        <w:t>With the passage of the Shepard and Byrd, Jr. Hate Crimes Prevention Act, CRS has an explicit mandate to prevent and respond to violent hate crimes committed on the basis of the actual or perceived race, color, religion, national origin, gender, gender identity, sexual orientation, or disability of any person.  This expansion – adding five additional protected categories that</w:t>
      </w:r>
      <w:r w:rsidR="00AA7620">
        <w:t xml:space="preserve"> may trigger CRS jurisdiction </w:t>
      </w:r>
      <w:r w:rsidR="00814CDC">
        <w:t>-</w:t>
      </w:r>
      <w:r w:rsidR="008212E8">
        <w:t xml:space="preserve"> </w:t>
      </w:r>
      <w:r w:rsidR="00814CDC">
        <w:t xml:space="preserve">has </w:t>
      </w:r>
      <w:r>
        <w:t>significantly increase</w:t>
      </w:r>
      <w:r w:rsidR="00814CDC">
        <w:t>d</w:t>
      </w:r>
      <w:r>
        <w:t xml:space="preserve"> the demand for CRS services.    In order to help communities prevent violent hate crimes, CRS may facilitate educational meetings and dialogues or conduct other services in response to conflicts or incidents that, left unaddressed, may escalate to violent hate crimes.  </w:t>
      </w:r>
    </w:p>
    <w:p w:rsidR="008039E5" w:rsidRDefault="008039E5" w:rsidP="005771F2"/>
    <w:p w:rsidR="008039E5" w:rsidRDefault="008039E5" w:rsidP="005771F2">
      <w:r>
        <w:t xml:space="preserve">CRS is also receiving a significant increase in requests for services to address tension associated with the intersection of immigration issues with perceptions of discrimination on the basis of race, color, and national origin.  CRS has worked with state and local law enforcement officials, federal law enforcement officials, state and local government leaders, as well as local and national organizations to address tension associated with allegations of racial profiling and racial discrimination associated with these issues and has deployed inter-regional teams to provide on-site conciliation services at marches and protests with tens of thousands participants.  These tensions are likely to increase in the coming years.  </w:t>
      </w:r>
    </w:p>
    <w:p w:rsidR="008039E5" w:rsidRDefault="008039E5" w:rsidP="005771F2"/>
    <w:p w:rsidR="008039E5" w:rsidRPr="006D3294" w:rsidRDefault="008039E5" w:rsidP="005771F2">
      <w:r w:rsidRPr="00056E11">
        <w:t xml:space="preserve">CRS must constantly reintroduce its services to community and local government leaders due to election turnover, term-limited positions, and a statutory mandate that prevents the Agency from publicizing much of its work.  </w:t>
      </w:r>
      <w:r w:rsidRPr="0073783B">
        <w:t>Furthermore, many of the people and communitie</w:t>
      </w:r>
      <w:r>
        <w:t>s CRS can serve pursuant to the</w:t>
      </w:r>
      <w:r w:rsidRPr="0073783B">
        <w:t xml:space="preserve"> Hate Crimes Prevention Act are not familiar with CRS services because they did not fall under CRS jurisdiction before passage of the Act in 2009.  For example, communities who may be targeted for violent hate crimes on the basis of gender, gender identity, sexual orientation, religion, or disability may not have worked with CRS in the past when its jurisdiction was focused on addressing racial tension.  </w:t>
      </w:r>
      <w:r w:rsidRPr="00056E11">
        <w:t xml:space="preserve">Evolving community “flash points” increase the need to be knowledgeable and aware of the host of vulnerabilities that communities face.  </w:t>
      </w:r>
      <w:r w:rsidR="007564FC">
        <w:t>Despite these challenges,</w:t>
      </w:r>
      <w:r w:rsidRPr="00056E11">
        <w:t xml:space="preserve"> obstacles to entry and the fluctuating nature of jurisdictional conflicts do not deter CRS from offering its services to communities in need.  Through skillful conciliation and mediation, CRS’ services can limit disruptions to community peace and stability.  For any jurisdictional conflict, CRS stands ready to offer its conflict resolution services to communities across the </w:t>
      </w:r>
      <w:smartTag w:uri="urn:schemas-microsoft-com:office:smarttags" w:element="place">
        <w:smartTag w:uri="urn:schemas-microsoft-com:office:smarttags" w:element="country-region">
          <w:r w:rsidRPr="00056E11">
            <w:t>United States</w:t>
          </w:r>
        </w:smartTag>
      </w:smartTag>
      <w:r w:rsidRPr="00056E11">
        <w:t>.</w:t>
      </w:r>
      <w:r w:rsidRPr="00390F26">
        <w:t xml:space="preserve"> </w:t>
      </w:r>
    </w:p>
    <w:p w:rsidR="008039E5" w:rsidRPr="005771F2" w:rsidRDefault="008039E5" w:rsidP="00DD3546">
      <w:pPr>
        <w:pStyle w:val="BodyText"/>
        <w:rPr>
          <w:bCs/>
          <w:iCs/>
        </w:rPr>
      </w:pPr>
    </w:p>
    <w:p w:rsidR="000B6C5A" w:rsidRDefault="00814CDC" w:rsidP="005771F2">
      <w:pPr>
        <w:pStyle w:val="BodyText"/>
        <w:rPr>
          <w:bCs/>
          <w:iCs/>
        </w:rPr>
      </w:pPr>
      <w:r>
        <w:rPr>
          <w:bCs/>
          <w:iCs/>
        </w:rPr>
        <w:t xml:space="preserve">The </w:t>
      </w:r>
      <w:r w:rsidR="000B6C5A">
        <w:rPr>
          <w:bCs/>
          <w:iCs/>
        </w:rPr>
        <w:t>2010</w:t>
      </w:r>
      <w:r>
        <w:rPr>
          <w:bCs/>
          <w:iCs/>
        </w:rPr>
        <w:t xml:space="preserve"> FBI Hate Crime Statistics Report</w:t>
      </w:r>
      <w:r w:rsidR="000B6C5A">
        <w:rPr>
          <w:bCs/>
          <w:iCs/>
        </w:rPr>
        <w:t>, the most recent hate crimes statistics available from the FBI,</w:t>
      </w:r>
      <w:r>
        <w:rPr>
          <w:bCs/>
          <w:iCs/>
        </w:rPr>
        <w:t xml:space="preserve"> reflects the increase</w:t>
      </w:r>
      <w:r w:rsidRPr="00814CDC">
        <w:rPr>
          <w:bCs/>
          <w:iCs/>
        </w:rPr>
        <w:t xml:space="preserve"> </w:t>
      </w:r>
      <w:r w:rsidR="000B6C5A">
        <w:rPr>
          <w:bCs/>
          <w:iCs/>
        </w:rPr>
        <w:t xml:space="preserve">in demand for services that CRS is seeing in communities across the country.  </w:t>
      </w:r>
      <w:r w:rsidR="003F6381">
        <w:rPr>
          <w:bCs/>
          <w:iCs/>
        </w:rPr>
        <w:t>According to the FBI’s Report, there</w:t>
      </w:r>
      <w:r w:rsidR="000B6C5A">
        <w:rPr>
          <w:bCs/>
          <w:iCs/>
        </w:rPr>
        <w:t xml:space="preserve"> was an increase</w:t>
      </w:r>
      <w:r w:rsidRPr="00814CDC">
        <w:rPr>
          <w:bCs/>
          <w:iCs/>
        </w:rPr>
        <w:t xml:space="preserve"> in </w:t>
      </w:r>
      <w:r w:rsidR="000B6C5A">
        <w:rPr>
          <w:bCs/>
          <w:iCs/>
        </w:rPr>
        <w:t xml:space="preserve">reported hate </w:t>
      </w:r>
      <w:r w:rsidRPr="00814CDC">
        <w:rPr>
          <w:bCs/>
          <w:iCs/>
        </w:rPr>
        <w:t xml:space="preserve">crimes against </w:t>
      </w:r>
      <w:r w:rsidR="000B6C5A">
        <w:rPr>
          <w:bCs/>
          <w:iCs/>
        </w:rPr>
        <w:t xml:space="preserve">Latinos, the Gay, Lesbian, Bisexual and Transgender communities, </w:t>
      </w:r>
      <w:r w:rsidRPr="00814CDC">
        <w:rPr>
          <w:bCs/>
          <w:iCs/>
        </w:rPr>
        <w:t>and Muslims</w:t>
      </w:r>
      <w:r w:rsidR="000B6C5A">
        <w:rPr>
          <w:bCs/>
          <w:iCs/>
        </w:rPr>
        <w:t xml:space="preserve">. </w:t>
      </w:r>
    </w:p>
    <w:p w:rsidR="00C16250" w:rsidRDefault="00C16250" w:rsidP="005771F2">
      <w:pPr>
        <w:pStyle w:val="BodyText"/>
        <w:rPr>
          <w:bCs/>
          <w:iCs/>
        </w:rPr>
      </w:pPr>
    </w:p>
    <w:p w:rsidR="009E6187" w:rsidRDefault="009E6187" w:rsidP="009E6187"/>
    <w:p w:rsidR="008039E5" w:rsidRPr="000B4165" w:rsidRDefault="008039E5" w:rsidP="00F54A30">
      <w:pPr>
        <w:pStyle w:val="BodyText"/>
      </w:pPr>
      <w:r w:rsidRPr="00E43151">
        <w:rPr>
          <w:rFonts w:cs="Arial"/>
          <w:b/>
          <w:bCs/>
          <w:sz w:val="28"/>
          <w:szCs w:val="28"/>
        </w:rPr>
        <w:t>II. Summary of Program Changes</w:t>
      </w:r>
    </w:p>
    <w:p w:rsidR="008039E5" w:rsidRDefault="008039E5">
      <w:pPr>
        <w:pStyle w:val="BodyText"/>
        <w:rPr>
          <w:rFonts w:cs="Arial"/>
          <w:b/>
          <w:bCs/>
          <w:i/>
          <w:iCs/>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61"/>
        <w:gridCol w:w="4647"/>
        <w:gridCol w:w="720"/>
        <w:gridCol w:w="720"/>
        <w:gridCol w:w="1080"/>
        <w:gridCol w:w="712"/>
      </w:tblGrid>
      <w:tr w:rsidR="008039E5" w:rsidRPr="000E2AEC" w:rsidTr="006A30E2">
        <w:trPr>
          <w:cantSplit/>
        </w:trPr>
        <w:tc>
          <w:tcPr>
            <w:tcW w:w="1761" w:type="dxa"/>
            <w:vMerge w:val="restart"/>
            <w:shd w:val="clear" w:color="auto" w:fill="E6E6E6"/>
          </w:tcPr>
          <w:p w:rsidR="008039E5" w:rsidRPr="000E2AEC" w:rsidRDefault="008039E5">
            <w:pPr>
              <w:pStyle w:val="BodyText"/>
              <w:jc w:val="center"/>
              <w:rPr>
                <w:b/>
                <w:bCs/>
                <w:szCs w:val="24"/>
              </w:rPr>
            </w:pPr>
          </w:p>
          <w:p w:rsidR="008039E5" w:rsidRPr="000E2AEC" w:rsidRDefault="008039E5">
            <w:pPr>
              <w:pStyle w:val="BodyText"/>
              <w:jc w:val="center"/>
              <w:rPr>
                <w:b/>
                <w:bCs/>
                <w:szCs w:val="24"/>
              </w:rPr>
            </w:pPr>
            <w:r w:rsidRPr="000E2AEC">
              <w:rPr>
                <w:b/>
                <w:bCs/>
                <w:szCs w:val="24"/>
              </w:rPr>
              <w:t>Item Name</w:t>
            </w:r>
          </w:p>
        </w:tc>
        <w:tc>
          <w:tcPr>
            <w:tcW w:w="7167" w:type="dxa"/>
            <w:gridSpan w:val="4"/>
            <w:shd w:val="clear" w:color="auto" w:fill="E6E6E6"/>
          </w:tcPr>
          <w:p w:rsidR="008039E5" w:rsidRPr="000E2AEC" w:rsidRDefault="008039E5">
            <w:pPr>
              <w:pStyle w:val="BodyText"/>
              <w:jc w:val="center"/>
              <w:rPr>
                <w:b/>
                <w:bCs/>
                <w:szCs w:val="24"/>
              </w:rPr>
            </w:pPr>
          </w:p>
          <w:p w:rsidR="008039E5" w:rsidRPr="000E2AEC" w:rsidRDefault="008039E5">
            <w:pPr>
              <w:pStyle w:val="BodyText"/>
              <w:jc w:val="center"/>
              <w:rPr>
                <w:b/>
                <w:bCs/>
                <w:szCs w:val="24"/>
              </w:rPr>
            </w:pPr>
            <w:r w:rsidRPr="000E2AEC">
              <w:rPr>
                <w:b/>
                <w:bCs/>
                <w:szCs w:val="24"/>
              </w:rPr>
              <w:t>Description</w:t>
            </w:r>
          </w:p>
        </w:tc>
        <w:tc>
          <w:tcPr>
            <w:tcW w:w="712" w:type="dxa"/>
            <w:vMerge w:val="restart"/>
            <w:shd w:val="clear" w:color="auto" w:fill="E6E6E6"/>
          </w:tcPr>
          <w:p w:rsidR="008039E5" w:rsidRPr="000E2AEC" w:rsidRDefault="008039E5">
            <w:pPr>
              <w:pStyle w:val="BodyText"/>
              <w:jc w:val="center"/>
              <w:rPr>
                <w:b/>
                <w:bCs/>
                <w:szCs w:val="24"/>
              </w:rPr>
            </w:pPr>
          </w:p>
          <w:p w:rsidR="008039E5" w:rsidRPr="000E2AEC" w:rsidRDefault="008039E5">
            <w:pPr>
              <w:pStyle w:val="BodyText"/>
              <w:jc w:val="center"/>
              <w:rPr>
                <w:b/>
                <w:bCs/>
                <w:szCs w:val="24"/>
              </w:rPr>
            </w:pPr>
            <w:r w:rsidRPr="000E2AEC">
              <w:rPr>
                <w:b/>
                <w:bCs/>
                <w:szCs w:val="24"/>
              </w:rPr>
              <w:t>Page</w:t>
            </w:r>
          </w:p>
        </w:tc>
      </w:tr>
      <w:tr w:rsidR="008039E5" w:rsidRPr="000E2AEC">
        <w:trPr>
          <w:cantSplit/>
        </w:trPr>
        <w:tc>
          <w:tcPr>
            <w:tcW w:w="1761" w:type="dxa"/>
            <w:vMerge/>
          </w:tcPr>
          <w:p w:rsidR="008039E5" w:rsidRPr="000E2AEC" w:rsidRDefault="008039E5">
            <w:pPr>
              <w:pStyle w:val="BodyText"/>
              <w:jc w:val="center"/>
              <w:rPr>
                <w:b/>
                <w:bCs/>
                <w:szCs w:val="24"/>
              </w:rPr>
            </w:pPr>
          </w:p>
        </w:tc>
        <w:tc>
          <w:tcPr>
            <w:tcW w:w="4647" w:type="dxa"/>
          </w:tcPr>
          <w:p w:rsidR="008039E5" w:rsidRPr="000E2AEC" w:rsidRDefault="008039E5">
            <w:pPr>
              <w:pStyle w:val="BodyText"/>
              <w:jc w:val="center"/>
              <w:rPr>
                <w:b/>
                <w:bCs/>
                <w:szCs w:val="24"/>
              </w:rPr>
            </w:pPr>
          </w:p>
        </w:tc>
        <w:tc>
          <w:tcPr>
            <w:tcW w:w="720" w:type="dxa"/>
            <w:shd w:val="clear" w:color="auto" w:fill="F3F3F3"/>
          </w:tcPr>
          <w:p w:rsidR="008039E5" w:rsidRPr="000E2AEC" w:rsidRDefault="008039E5">
            <w:pPr>
              <w:pStyle w:val="BodyText"/>
              <w:jc w:val="center"/>
              <w:rPr>
                <w:b/>
                <w:bCs/>
                <w:szCs w:val="24"/>
              </w:rPr>
            </w:pPr>
          </w:p>
          <w:p w:rsidR="008039E5" w:rsidRPr="000E2AEC" w:rsidRDefault="008039E5">
            <w:pPr>
              <w:pStyle w:val="BodyText"/>
              <w:jc w:val="center"/>
              <w:rPr>
                <w:b/>
                <w:bCs/>
                <w:szCs w:val="24"/>
              </w:rPr>
            </w:pPr>
            <w:r w:rsidRPr="000E2AEC">
              <w:rPr>
                <w:b/>
                <w:bCs/>
                <w:szCs w:val="24"/>
              </w:rPr>
              <w:t>Pos.</w:t>
            </w:r>
          </w:p>
        </w:tc>
        <w:tc>
          <w:tcPr>
            <w:tcW w:w="720" w:type="dxa"/>
            <w:shd w:val="clear" w:color="auto" w:fill="F3F3F3"/>
          </w:tcPr>
          <w:p w:rsidR="008039E5" w:rsidRPr="000E2AEC" w:rsidRDefault="008039E5">
            <w:pPr>
              <w:pStyle w:val="BodyText"/>
              <w:jc w:val="center"/>
              <w:rPr>
                <w:b/>
                <w:bCs/>
                <w:szCs w:val="24"/>
              </w:rPr>
            </w:pPr>
          </w:p>
          <w:p w:rsidR="008039E5" w:rsidRPr="000E2AEC" w:rsidRDefault="008039E5">
            <w:pPr>
              <w:pStyle w:val="BodyText"/>
              <w:jc w:val="center"/>
              <w:rPr>
                <w:b/>
                <w:bCs/>
                <w:szCs w:val="24"/>
              </w:rPr>
            </w:pPr>
            <w:r w:rsidRPr="000E2AEC">
              <w:rPr>
                <w:b/>
                <w:bCs/>
                <w:szCs w:val="24"/>
              </w:rPr>
              <w:t>FTE</w:t>
            </w:r>
          </w:p>
        </w:tc>
        <w:tc>
          <w:tcPr>
            <w:tcW w:w="1080" w:type="dxa"/>
            <w:shd w:val="clear" w:color="auto" w:fill="F3F3F3"/>
          </w:tcPr>
          <w:p w:rsidR="008039E5" w:rsidRPr="000E2AEC" w:rsidRDefault="008039E5">
            <w:pPr>
              <w:pStyle w:val="BodyText"/>
              <w:jc w:val="center"/>
              <w:rPr>
                <w:b/>
                <w:bCs/>
                <w:szCs w:val="24"/>
              </w:rPr>
            </w:pPr>
            <w:r w:rsidRPr="000E2AEC">
              <w:rPr>
                <w:b/>
                <w:bCs/>
                <w:szCs w:val="24"/>
              </w:rPr>
              <w:t>Dollars ($000)</w:t>
            </w:r>
          </w:p>
        </w:tc>
        <w:tc>
          <w:tcPr>
            <w:tcW w:w="712" w:type="dxa"/>
            <w:vMerge/>
          </w:tcPr>
          <w:p w:rsidR="008039E5" w:rsidRPr="000E2AEC" w:rsidRDefault="008039E5">
            <w:pPr>
              <w:pStyle w:val="BodyText"/>
              <w:jc w:val="center"/>
              <w:rPr>
                <w:b/>
                <w:bCs/>
                <w:szCs w:val="24"/>
              </w:rPr>
            </w:pPr>
          </w:p>
        </w:tc>
      </w:tr>
      <w:tr w:rsidR="008039E5" w:rsidRPr="000E2AEC" w:rsidTr="00F54A30">
        <w:trPr>
          <w:trHeight w:val="1952"/>
        </w:trPr>
        <w:tc>
          <w:tcPr>
            <w:tcW w:w="1761" w:type="dxa"/>
          </w:tcPr>
          <w:p w:rsidR="008039E5" w:rsidRPr="00056E11" w:rsidRDefault="008039E5" w:rsidP="005B40CA">
            <w:pPr>
              <w:pStyle w:val="BodyText"/>
              <w:rPr>
                <w:rFonts w:ascii="Arial" w:hAnsi="Arial" w:cs="Arial"/>
                <w:b/>
                <w:bCs/>
                <w:sz w:val="20"/>
              </w:rPr>
            </w:pPr>
            <w:r>
              <w:rPr>
                <w:rFonts w:ascii="Arial" w:hAnsi="Arial" w:cs="Arial"/>
                <w:b/>
                <w:bCs/>
                <w:sz w:val="20"/>
              </w:rPr>
              <w:t>Hate Crime Prevention</w:t>
            </w:r>
          </w:p>
        </w:tc>
        <w:tc>
          <w:tcPr>
            <w:tcW w:w="4647" w:type="dxa"/>
          </w:tcPr>
          <w:p w:rsidR="008039E5" w:rsidRPr="00BA1580" w:rsidRDefault="008039E5" w:rsidP="00035E12">
            <w:r>
              <w:rPr>
                <w:color w:val="000000"/>
              </w:rPr>
              <w:t xml:space="preserve">These enhancements will maximize CRS’ crisis response across the entire </w:t>
            </w:r>
            <w:smartTag w:uri="urn:schemas-microsoft-com:office:smarttags" w:element="place">
              <w:smartTag w:uri="urn:schemas-microsoft-com:office:smarttags" w:element="country-region">
                <w:r>
                  <w:rPr>
                    <w:color w:val="000000"/>
                  </w:rPr>
                  <w:t>United States</w:t>
                </w:r>
              </w:smartTag>
            </w:smartTag>
            <w:r>
              <w:rPr>
                <w:color w:val="000000"/>
              </w:rPr>
              <w:t xml:space="preserve"> and enable it to fulfill its historical mandate pursuant to Title X of the Civil Rights Act of 1964 as well as its new mandate pursuant to the Shepard and Byrd, Jr. Hate Crimes Prevention Act. </w:t>
            </w:r>
          </w:p>
          <w:p w:rsidR="008039E5" w:rsidRPr="00056E11" w:rsidRDefault="008039E5" w:rsidP="005B40CA">
            <w:pPr>
              <w:pStyle w:val="BodyText"/>
              <w:rPr>
                <w:rFonts w:ascii="Arial" w:hAnsi="Arial" w:cs="Arial"/>
                <w:b/>
                <w:bCs/>
                <w:sz w:val="20"/>
              </w:rPr>
            </w:pPr>
          </w:p>
        </w:tc>
        <w:tc>
          <w:tcPr>
            <w:tcW w:w="720" w:type="dxa"/>
          </w:tcPr>
          <w:p w:rsidR="008039E5" w:rsidRPr="008031E0" w:rsidRDefault="008D4440" w:rsidP="005B40CA">
            <w:pPr>
              <w:pStyle w:val="BodyText"/>
              <w:jc w:val="center"/>
              <w:rPr>
                <w:b/>
                <w:bCs/>
                <w:szCs w:val="24"/>
              </w:rPr>
            </w:pPr>
            <w:r w:rsidRPr="008031E0">
              <w:rPr>
                <w:b/>
                <w:bCs/>
                <w:szCs w:val="24"/>
              </w:rPr>
              <w:t>5</w:t>
            </w:r>
          </w:p>
        </w:tc>
        <w:tc>
          <w:tcPr>
            <w:tcW w:w="720" w:type="dxa"/>
          </w:tcPr>
          <w:p w:rsidR="008039E5" w:rsidRPr="008031E0" w:rsidRDefault="008D4440" w:rsidP="005B40CA">
            <w:pPr>
              <w:pStyle w:val="BodyText"/>
              <w:jc w:val="center"/>
              <w:rPr>
                <w:b/>
                <w:bCs/>
                <w:szCs w:val="24"/>
              </w:rPr>
            </w:pPr>
            <w:r w:rsidRPr="008031E0">
              <w:rPr>
                <w:b/>
                <w:bCs/>
                <w:szCs w:val="24"/>
              </w:rPr>
              <w:t>3</w:t>
            </w:r>
          </w:p>
        </w:tc>
        <w:tc>
          <w:tcPr>
            <w:tcW w:w="1080" w:type="dxa"/>
          </w:tcPr>
          <w:p w:rsidR="008039E5" w:rsidRPr="008031E0" w:rsidRDefault="008D4440" w:rsidP="005B40CA">
            <w:pPr>
              <w:pStyle w:val="BodyText"/>
              <w:jc w:val="center"/>
              <w:rPr>
                <w:b/>
                <w:bCs/>
                <w:szCs w:val="24"/>
              </w:rPr>
            </w:pPr>
            <w:r w:rsidRPr="008031E0">
              <w:rPr>
                <w:b/>
                <w:bCs/>
                <w:szCs w:val="24"/>
              </w:rPr>
              <w:t>391</w:t>
            </w:r>
          </w:p>
        </w:tc>
        <w:tc>
          <w:tcPr>
            <w:tcW w:w="712" w:type="dxa"/>
          </w:tcPr>
          <w:p w:rsidR="008039E5" w:rsidRPr="000E2AEC" w:rsidRDefault="00C16250" w:rsidP="006A6E30">
            <w:pPr>
              <w:pStyle w:val="BodyText"/>
              <w:jc w:val="center"/>
              <w:rPr>
                <w:b/>
                <w:bCs/>
                <w:szCs w:val="24"/>
              </w:rPr>
            </w:pPr>
            <w:r>
              <w:rPr>
                <w:b/>
                <w:bCs/>
                <w:szCs w:val="24"/>
              </w:rPr>
              <w:t>14</w:t>
            </w:r>
          </w:p>
        </w:tc>
      </w:tr>
      <w:tr w:rsidR="008039E5" w:rsidRPr="000E2AEC">
        <w:tc>
          <w:tcPr>
            <w:tcW w:w="1761" w:type="dxa"/>
          </w:tcPr>
          <w:p w:rsidR="008039E5" w:rsidRPr="00035E12" w:rsidRDefault="008D4440">
            <w:pPr>
              <w:pStyle w:val="BodyText"/>
              <w:rPr>
                <w:rFonts w:ascii="Arial" w:hAnsi="Arial" w:cs="Arial"/>
                <w:b/>
                <w:bCs/>
                <w:sz w:val="20"/>
              </w:rPr>
            </w:pPr>
            <w:r>
              <w:rPr>
                <w:rFonts w:ascii="Arial" w:hAnsi="Arial" w:cs="Arial"/>
                <w:b/>
                <w:bCs/>
                <w:sz w:val="20"/>
              </w:rPr>
              <w:t>IT Savings</w:t>
            </w:r>
          </w:p>
        </w:tc>
        <w:tc>
          <w:tcPr>
            <w:tcW w:w="4647" w:type="dxa"/>
          </w:tcPr>
          <w:p w:rsidR="008039E5" w:rsidRPr="00035E12" w:rsidRDefault="00FB6FD1" w:rsidP="008D4440">
            <w:pPr>
              <w:pStyle w:val="BodyText"/>
              <w:rPr>
                <w:bCs/>
                <w:szCs w:val="24"/>
              </w:rPr>
            </w:pPr>
            <w:r>
              <w:rPr>
                <w:rFonts w:cs="Calibri"/>
              </w:rPr>
              <w:t xml:space="preserve">The </w:t>
            </w:r>
            <w:r w:rsidR="008D4440">
              <w:rPr>
                <w:rFonts w:cs="Calibri"/>
              </w:rPr>
              <w:t>Department of Justice is developing an infrastructure to enable DOJ components to better collaborate on IT contracting</w:t>
            </w:r>
            <w:r>
              <w:rPr>
                <w:rFonts w:cs="Calibri"/>
              </w:rPr>
              <w:t>,</w:t>
            </w:r>
            <w:r w:rsidR="008D4440">
              <w:rPr>
                <w:rFonts w:cs="Calibri"/>
              </w:rPr>
              <w:t xml:space="preserve"> which should result in lower IT expenditures</w:t>
            </w:r>
            <w:r>
              <w:rPr>
                <w:rFonts w:cs="Calibri"/>
              </w:rPr>
              <w:t>.</w:t>
            </w:r>
          </w:p>
        </w:tc>
        <w:tc>
          <w:tcPr>
            <w:tcW w:w="720" w:type="dxa"/>
          </w:tcPr>
          <w:p w:rsidR="008039E5" w:rsidRDefault="00C557B8">
            <w:pPr>
              <w:pStyle w:val="BodyText"/>
              <w:jc w:val="center"/>
              <w:rPr>
                <w:b/>
                <w:bCs/>
                <w:szCs w:val="24"/>
              </w:rPr>
            </w:pPr>
            <w:r>
              <w:rPr>
                <w:b/>
                <w:bCs/>
                <w:szCs w:val="24"/>
              </w:rPr>
              <w:t>0</w:t>
            </w:r>
          </w:p>
        </w:tc>
        <w:tc>
          <w:tcPr>
            <w:tcW w:w="720" w:type="dxa"/>
          </w:tcPr>
          <w:p w:rsidR="008039E5" w:rsidRDefault="00C557B8">
            <w:pPr>
              <w:pStyle w:val="BodyText"/>
              <w:jc w:val="center"/>
              <w:rPr>
                <w:b/>
                <w:bCs/>
                <w:szCs w:val="24"/>
              </w:rPr>
            </w:pPr>
            <w:r>
              <w:rPr>
                <w:b/>
                <w:bCs/>
                <w:szCs w:val="24"/>
              </w:rPr>
              <w:t>0</w:t>
            </w:r>
          </w:p>
        </w:tc>
        <w:tc>
          <w:tcPr>
            <w:tcW w:w="1080" w:type="dxa"/>
          </w:tcPr>
          <w:p w:rsidR="008039E5" w:rsidRDefault="008D4440">
            <w:pPr>
              <w:pStyle w:val="BodyText"/>
              <w:jc w:val="center"/>
              <w:rPr>
                <w:b/>
                <w:bCs/>
                <w:szCs w:val="24"/>
              </w:rPr>
            </w:pPr>
            <w:r>
              <w:rPr>
                <w:b/>
                <w:bCs/>
                <w:szCs w:val="24"/>
              </w:rPr>
              <w:t>-16</w:t>
            </w:r>
          </w:p>
        </w:tc>
        <w:tc>
          <w:tcPr>
            <w:tcW w:w="712" w:type="dxa"/>
          </w:tcPr>
          <w:p w:rsidR="009E6187" w:rsidRDefault="006A6E30">
            <w:pPr>
              <w:pStyle w:val="BodyText"/>
              <w:jc w:val="center"/>
              <w:rPr>
                <w:b/>
                <w:bCs/>
                <w:szCs w:val="24"/>
              </w:rPr>
            </w:pPr>
            <w:r>
              <w:rPr>
                <w:b/>
                <w:bCs/>
                <w:szCs w:val="24"/>
              </w:rPr>
              <w:t>1</w:t>
            </w:r>
            <w:r w:rsidR="00C16250">
              <w:rPr>
                <w:b/>
                <w:bCs/>
                <w:szCs w:val="24"/>
              </w:rPr>
              <w:t>7</w:t>
            </w:r>
          </w:p>
        </w:tc>
      </w:tr>
    </w:tbl>
    <w:p w:rsidR="008039E5" w:rsidRDefault="008039E5">
      <w:pPr>
        <w:pStyle w:val="BodyText"/>
        <w:rPr>
          <w:rFonts w:ascii="Arial" w:hAnsi="Arial" w:cs="Arial"/>
          <w:b/>
          <w:bCs/>
        </w:rPr>
      </w:pPr>
    </w:p>
    <w:p w:rsidR="008039E5" w:rsidRDefault="008039E5">
      <w:pPr>
        <w:pStyle w:val="BodyText"/>
        <w:rPr>
          <w:rFonts w:ascii="Arial" w:hAnsi="Arial" w:cs="Arial"/>
          <w:b/>
          <w:bCs/>
        </w:rPr>
      </w:pPr>
    </w:p>
    <w:p w:rsidR="008039E5" w:rsidRDefault="008039E5" w:rsidP="00BD7466">
      <w:pPr>
        <w:pStyle w:val="BodyText"/>
        <w:rPr>
          <w:rFonts w:cs="Arial"/>
          <w:b/>
          <w:bCs/>
          <w:sz w:val="28"/>
          <w:szCs w:val="28"/>
        </w:rPr>
      </w:pPr>
      <w:bookmarkStart w:id="0" w:name="OLE_LINK5"/>
      <w:bookmarkStart w:id="1" w:name="OLE_LINK6"/>
      <w:r>
        <w:rPr>
          <w:rFonts w:cs="Arial"/>
          <w:b/>
          <w:bCs/>
          <w:sz w:val="28"/>
          <w:szCs w:val="28"/>
        </w:rPr>
        <w:t xml:space="preserve">III. </w:t>
      </w:r>
      <w:r w:rsidRPr="00E43151">
        <w:rPr>
          <w:rFonts w:cs="Arial"/>
          <w:b/>
          <w:bCs/>
          <w:sz w:val="28"/>
          <w:szCs w:val="28"/>
        </w:rPr>
        <w:t>Appropriations Language and Analysis of Appropriations Language</w:t>
      </w:r>
    </w:p>
    <w:p w:rsidR="008039E5" w:rsidRDefault="008039E5" w:rsidP="00BD7466">
      <w:pPr>
        <w:pStyle w:val="BodyText"/>
        <w:rPr>
          <w:rFonts w:cs="Arial"/>
          <w:b/>
          <w:bCs/>
          <w:sz w:val="28"/>
          <w:szCs w:val="28"/>
        </w:rPr>
      </w:pPr>
    </w:p>
    <w:p w:rsidR="008039E5" w:rsidRPr="00A06230" w:rsidRDefault="008039E5" w:rsidP="00BD7466">
      <w:pPr>
        <w:pStyle w:val="BodyText"/>
        <w:rPr>
          <w:rFonts w:cs="Arial"/>
          <w:b/>
          <w:bCs/>
        </w:rPr>
      </w:pPr>
      <w:r>
        <w:rPr>
          <w:rFonts w:cs="Arial"/>
          <w:b/>
          <w:bCs/>
        </w:rPr>
        <w:t>Appropriations Language</w:t>
      </w:r>
    </w:p>
    <w:bookmarkEnd w:id="0"/>
    <w:bookmarkEnd w:id="1"/>
    <w:p w:rsidR="006D2B0F" w:rsidRPr="00E97FF6" w:rsidRDefault="006D2B0F" w:rsidP="006D2B0F">
      <w:pPr>
        <w:pStyle w:val="NormalWeb"/>
        <w:spacing w:after="240" w:afterAutospacing="0"/>
      </w:pPr>
      <w:r w:rsidRPr="00E97FF6">
        <w:t>SALARIES AND EXPENSES, COMMUNITY RELATIONS SERVICE</w:t>
      </w:r>
    </w:p>
    <w:p w:rsidR="006D2B0F" w:rsidRPr="000670CC" w:rsidRDefault="001860D6" w:rsidP="006D2B0F">
      <w:pPr>
        <w:rPr>
          <w:iCs/>
        </w:rPr>
      </w:pPr>
      <w:r w:rsidRPr="001860D6">
        <w:rPr>
          <w:iCs/>
        </w:rPr>
        <w:t xml:space="preserve">For necessary expenses of the Community Relations Service, </w:t>
      </w:r>
      <w:r w:rsidR="000670CC">
        <w:rPr>
          <w:iCs/>
        </w:rPr>
        <w:t xml:space="preserve">[$11,456,000] </w:t>
      </w:r>
      <w:r w:rsidRPr="001860D6">
        <w:rPr>
          <w:i/>
          <w:iCs/>
          <w:u w:val="single"/>
        </w:rPr>
        <w:t>$12,036,000</w:t>
      </w:r>
      <w:r w:rsidRPr="001860D6">
        <w:rPr>
          <w:iCs/>
        </w:rPr>
        <w:t>: Provided, That notwithstanding section 205 of this Act, upon a determination by the Attorney General that emergent circumstances require additional funding for conflict resolution and violence prevention activities of</w:t>
      </w:r>
      <w:r w:rsidR="00B20AA9">
        <w:rPr>
          <w:iCs/>
        </w:rPr>
        <w:t xml:space="preserve"> </w:t>
      </w:r>
      <w:r w:rsidRPr="001860D6">
        <w:rPr>
          <w:iCs/>
        </w:rPr>
        <w:t>the Community Relations Service, the Attorney General may transfer such amounts to the Community Relations Service, from available appropriations for the current fiscal year for the Department of Justice, as may be necessary to respond to such circumstances: Provided further, That any</w:t>
      </w:r>
      <w:r w:rsidR="00B20AA9">
        <w:rPr>
          <w:iCs/>
        </w:rPr>
        <w:t xml:space="preserve"> </w:t>
      </w:r>
      <w:bookmarkStart w:id="2" w:name="_GoBack"/>
      <w:bookmarkEnd w:id="2"/>
      <w:r w:rsidRPr="001860D6">
        <w:rPr>
          <w:iCs/>
        </w:rPr>
        <w:t>transfer pursuant to the preceding proviso shall be treated as a reprogramming under section 505 of this Act and shall not be available for obligation or expenditure except in compliance with the procedures set forth in that section.</w:t>
      </w:r>
    </w:p>
    <w:p w:rsidR="006D2B0F" w:rsidRDefault="006D2B0F" w:rsidP="006D2B0F"/>
    <w:p w:rsidR="00C16250" w:rsidRDefault="00C16250" w:rsidP="006D2B0F">
      <w:pPr>
        <w:rPr>
          <w:b/>
        </w:rPr>
      </w:pPr>
    </w:p>
    <w:p w:rsidR="006D2B0F" w:rsidRDefault="006D2B0F" w:rsidP="006D2B0F">
      <w:pPr>
        <w:rPr>
          <w:b/>
        </w:rPr>
      </w:pPr>
      <w:r>
        <w:rPr>
          <w:b/>
        </w:rPr>
        <w:t>Analysis of Appropriations Language</w:t>
      </w:r>
    </w:p>
    <w:p w:rsidR="006D2B0F" w:rsidRDefault="006D2B0F" w:rsidP="006D2B0F">
      <w:pPr>
        <w:rPr>
          <w:b/>
        </w:rPr>
      </w:pPr>
    </w:p>
    <w:p w:rsidR="006D2B0F" w:rsidRDefault="006D2B0F" w:rsidP="006D2B0F">
      <w:r w:rsidRPr="00276D71">
        <w:t>There are no substantive changes proposed.</w:t>
      </w:r>
    </w:p>
    <w:p w:rsidR="00C16250" w:rsidRDefault="00C16250" w:rsidP="006D2B0F"/>
    <w:p w:rsidR="00C16250" w:rsidRPr="00276D71" w:rsidRDefault="00C16250" w:rsidP="006D2B0F"/>
    <w:p w:rsidR="00C16250" w:rsidRPr="00276D71" w:rsidRDefault="00C16250" w:rsidP="006D2B0F">
      <w:pPr>
        <w:rPr>
          <w:b/>
        </w:rPr>
      </w:pPr>
    </w:p>
    <w:p w:rsidR="008039E5" w:rsidRPr="00E43151" w:rsidRDefault="008039E5" w:rsidP="00A06230">
      <w:pPr>
        <w:pStyle w:val="BodyText"/>
        <w:rPr>
          <w:rFonts w:cs="Arial"/>
          <w:b/>
          <w:bCs/>
          <w:sz w:val="28"/>
          <w:szCs w:val="28"/>
        </w:rPr>
      </w:pPr>
      <w:r>
        <w:rPr>
          <w:rFonts w:cs="Arial"/>
          <w:b/>
          <w:bCs/>
        </w:rPr>
        <w:t>VI</w:t>
      </w:r>
      <w:r w:rsidRPr="00E43151">
        <w:rPr>
          <w:rFonts w:cs="Arial"/>
          <w:b/>
          <w:bCs/>
          <w:sz w:val="28"/>
          <w:szCs w:val="28"/>
        </w:rPr>
        <w:t>. Decision Unit Justification</w:t>
      </w:r>
    </w:p>
    <w:p w:rsidR="008039E5" w:rsidRDefault="008039E5">
      <w:pPr>
        <w:pStyle w:val="BodyText"/>
        <w:rPr>
          <w:rFonts w:cs="Arial"/>
          <w:b/>
          <w:bCs/>
        </w:rPr>
      </w:pPr>
    </w:p>
    <w:p w:rsidR="008031E0" w:rsidRDefault="008039E5">
      <w:pPr>
        <w:pStyle w:val="BodyText"/>
        <w:numPr>
          <w:ilvl w:val="0"/>
          <w:numId w:val="33"/>
        </w:numPr>
        <w:rPr>
          <w:rFonts w:cs="Arial"/>
          <w:b/>
          <w:bCs/>
          <w:i/>
          <w:iCs/>
        </w:rPr>
      </w:pPr>
      <w:r>
        <w:rPr>
          <w:rFonts w:cs="Arial"/>
          <w:b/>
          <w:bCs/>
          <w:i/>
          <w:iCs/>
        </w:rPr>
        <w:t>Community Relations Service</w:t>
      </w:r>
    </w:p>
    <w:p w:rsidR="00143E5F" w:rsidRDefault="00143E5F" w:rsidP="00143E5F">
      <w:pPr>
        <w:pStyle w:val="BodyText"/>
        <w:rPr>
          <w:rFonts w:cs="Arial"/>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8"/>
        <w:gridCol w:w="1260"/>
        <w:gridCol w:w="1260"/>
        <w:gridCol w:w="2088"/>
      </w:tblGrid>
      <w:tr w:rsidR="00143E5F" w:rsidTr="00143E5F">
        <w:tc>
          <w:tcPr>
            <w:tcW w:w="4968" w:type="dxa"/>
          </w:tcPr>
          <w:p w:rsidR="00143E5F" w:rsidRDefault="007724EE" w:rsidP="00143E5F">
            <w:pPr>
              <w:pStyle w:val="Title"/>
              <w:ind w:left="0"/>
              <w:jc w:val="left"/>
              <w:rPr>
                <w:iCs/>
              </w:rPr>
            </w:pPr>
            <w:r>
              <w:t>Conflict Resolution &amp; Violence Prevention Activities</w:t>
            </w:r>
            <w:r>
              <w:rPr>
                <w:iCs/>
              </w:rPr>
              <w:t xml:space="preserve"> </w:t>
            </w:r>
          </w:p>
        </w:tc>
        <w:tc>
          <w:tcPr>
            <w:tcW w:w="1260" w:type="dxa"/>
          </w:tcPr>
          <w:p w:rsidR="00143E5F" w:rsidRDefault="00143E5F" w:rsidP="00143E5F">
            <w:pPr>
              <w:pStyle w:val="Title"/>
              <w:ind w:left="0"/>
              <w:rPr>
                <w:i w:val="0"/>
              </w:rPr>
            </w:pPr>
            <w:r>
              <w:rPr>
                <w:i w:val="0"/>
              </w:rPr>
              <w:t>Perm. Pos.</w:t>
            </w:r>
          </w:p>
        </w:tc>
        <w:tc>
          <w:tcPr>
            <w:tcW w:w="1260" w:type="dxa"/>
          </w:tcPr>
          <w:p w:rsidR="00143E5F" w:rsidRDefault="00143E5F" w:rsidP="00143E5F">
            <w:pPr>
              <w:pStyle w:val="Title"/>
              <w:ind w:left="0"/>
              <w:rPr>
                <w:i w:val="0"/>
              </w:rPr>
            </w:pPr>
            <w:r>
              <w:rPr>
                <w:i w:val="0"/>
              </w:rPr>
              <w:t>FTE</w:t>
            </w:r>
          </w:p>
        </w:tc>
        <w:tc>
          <w:tcPr>
            <w:tcW w:w="2088" w:type="dxa"/>
          </w:tcPr>
          <w:p w:rsidR="00143E5F" w:rsidRDefault="00143E5F" w:rsidP="00143E5F">
            <w:pPr>
              <w:pStyle w:val="Title"/>
              <w:ind w:left="0"/>
              <w:rPr>
                <w:i w:val="0"/>
              </w:rPr>
            </w:pPr>
            <w:r>
              <w:rPr>
                <w:i w:val="0"/>
              </w:rPr>
              <w:t>Amount</w:t>
            </w:r>
          </w:p>
        </w:tc>
      </w:tr>
      <w:tr w:rsidR="00143E5F" w:rsidTr="00143E5F">
        <w:tc>
          <w:tcPr>
            <w:tcW w:w="4968" w:type="dxa"/>
          </w:tcPr>
          <w:p w:rsidR="00143E5F" w:rsidRDefault="00143E5F" w:rsidP="00143E5F">
            <w:pPr>
              <w:pStyle w:val="Title"/>
              <w:ind w:left="0"/>
              <w:jc w:val="left"/>
              <w:rPr>
                <w:b w:val="0"/>
                <w:bCs/>
                <w:i w:val="0"/>
              </w:rPr>
            </w:pPr>
            <w:r>
              <w:rPr>
                <w:b w:val="0"/>
                <w:bCs/>
                <w:i w:val="0"/>
              </w:rPr>
              <w:t xml:space="preserve">2011 Enacted </w:t>
            </w:r>
          </w:p>
        </w:tc>
        <w:tc>
          <w:tcPr>
            <w:tcW w:w="1260" w:type="dxa"/>
            <w:vAlign w:val="center"/>
          </w:tcPr>
          <w:p w:rsidR="00143E5F" w:rsidRDefault="00143E5F" w:rsidP="00143E5F">
            <w:pPr>
              <w:pStyle w:val="Title"/>
              <w:ind w:left="0"/>
              <w:jc w:val="right"/>
              <w:rPr>
                <w:b w:val="0"/>
                <w:bCs/>
                <w:i w:val="0"/>
              </w:rPr>
            </w:pPr>
            <w:r>
              <w:rPr>
                <w:b w:val="0"/>
                <w:bCs/>
                <w:i w:val="0"/>
              </w:rPr>
              <w:t>56</w:t>
            </w:r>
          </w:p>
        </w:tc>
        <w:tc>
          <w:tcPr>
            <w:tcW w:w="1260" w:type="dxa"/>
            <w:vAlign w:val="center"/>
          </w:tcPr>
          <w:p w:rsidR="00143E5F" w:rsidRDefault="00143E5F" w:rsidP="00143E5F">
            <w:pPr>
              <w:pStyle w:val="Title"/>
              <w:ind w:left="0"/>
              <w:jc w:val="right"/>
              <w:rPr>
                <w:b w:val="0"/>
                <w:bCs/>
                <w:i w:val="0"/>
              </w:rPr>
            </w:pPr>
            <w:r>
              <w:rPr>
                <w:b w:val="0"/>
                <w:bCs/>
                <w:i w:val="0"/>
              </w:rPr>
              <w:t>56</w:t>
            </w:r>
          </w:p>
        </w:tc>
        <w:tc>
          <w:tcPr>
            <w:tcW w:w="2088" w:type="dxa"/>
            <w:vAlign w:val="center"/>
          </w:tcPr>
          <w:p w:rsidR="00143E5F" w:rsidRDefault="00143E5F" w:rsidP="00143E5F">
            <w:pPr>
              <w:pStyle w:val="Title"/>
              <w:ind w:left="0"/>
              <w:jc w:val="right"/>
              <w:rPr>
                <w:b w:val="0"/>
                <w:bCs/>
                <w:i w:val="0"/>
              </w:rPr>
            </w:pPr>
            <w:r>
              <w:rPr>
                <w:b w:val="0"/>
                <w:bCs/>
                <w:i w:val="0"/>
              </w:rPr>
              <w:t>$11,456</w:t>
            </w:r>
          </w:p>
        </w:tc>
      </w:tr>
      <w:tr w:rsidR="00143E5F" w:rsidTr="00143E5F">
        <w:tc>
          <w:tcPr>
            <w:tcW w:w="4968" w:type="dxa"/>
          </w:tcPr>
          <w:p w:rsidR="00143E5F" w:rsidRDefault="00143E5F" w:rsidP="00143E5F">
            <w:pPr>
              <w:pStyle w:val="Title"/>
              <w:ind w:left="0"/>
              <w:jc w:val="left"/>
              <w:rPr>
                <w:b w:val="0"/>
                <w:bCs/>
                <w:i w:val="0"/>
              </w:rPr>
            </w:pPr>
            <w:r>
              <w:rPr>
                <w:b w:val="0"/>
                <w:bCs/>
                <w:i w:val="0"/>
              </w:rPr>
              <w:t xml:space="preserve">2012 Enacted </w:t>
            </w:r>
          </w:p>
        </w:tc>
        <w:tc>
          <w:tcPr>
            <w:tcW w:w="1260" w:type="dxa"/>
            <w:vAlign w:val="center"/>
          </w:tcPr>
          <w:p w:rsidR="00143E5F" w:rsidRDefault="00143E5F" w:rsidP="00143E5F">
            <w:pPr>
              <w:pStyle w:val="Title"/>
              <w:ind w:left="0"/>
              <w:jc w:val="right"/>
              <w:rPr>
                <w:b w:val="0"/>
                <w:bCs/>
                <w:i w:val="0"/>
              </w:rPr>
            </w:pPr>
            <w:r>
              <w:rPr>
                <w:b w:val="0"/>
                <w:bCs/>
                <w:i w:val="0"/>
              </w:rPr>
              <w:t>56</w:t>
            </w:r>
          </w:p>
        </w:tc>
        <w:tc>
          <w:tcPr>
            <w:tcW w:w="1260" w:type="dxa"/>
            <w:vAlign w:val="center"/>
          </w:tcPr>
          <w:p w:rsidR="00143E5F" w:rsidRDefault="00143E5F" w:rsidP="00143E5F">
            <w:pPr>
              <w:pStyle w:val="Title"/>
              <w:ind w:left="0"/>
              <w:jc w:val="right"/>
              <w:rPr>
                <w:b w:val="0"/>
                <w:bCs/>
                <w:i w:val="0"/>
              </w:rPr>
            </w:pPr>
            <w:r>
              <w:rPr>
                <w:b w:val="0"/>
                <w:bCs/>
                <w:i w:val="0"/>
              </w:rPr>
              <w:t>56</w:t>
            </w:r>
          </w:p>
        </w:tc>
        <w:tc>
          <w:tcPr>
            <w:tcW w:w="2088" w:type="dxa"/>
            <w:vAlign w:val="center"/>
          </w:tcPr>
          <w:p w:rsidR="00143E5F" w:rsidRDefault="00143E5F" w:rsidP="00143E5F">
            <w:pPr>
              <w:pStyle w:val="Title"/>
              <w:ind w:left="0"/>
              <w:jc w:val="right"/>
              <w:rPr>
                <w:b w:val="0"/>
                <w:bCs/>
                <w:i w:val="0"/>
              </w:rPr>
            </w:pPr>
            <w:r>
              <w:rPr>
                <w:b w:val="0"/>
                <w:bCs/>
                <w:i w:val="0"/>
              </w:rPr>
              <w:t>$11,456</w:t>
            </w:r>
          </w:p>
        </w:tc>
      </w:tr>
      <w:tr w:rsidR="00143E5F" w:rsidTr="00143E5F">
        <w:tc>
          <w:tcPr>
            <w:tcW w:w="4968" w:type="dxa"/>
          </w:tcPr>
          <w:p w:rsidR="00143E5F" w:rsidRDefault="00143E5F" w:rsidP="00143E5F">
            <w:pPr>
              <w:pStyle w:val="Title"/>
              <w:ind w:left="0"/>
              <w:jc w:val="left"/>
              <w:rPr>
                <w:b w:val="0"/>
                <w:bCs/>
                <w:i w:val="0"/>
              </w:rPr>
            </w:pPr>
            <w:r>
              <w:rPr>
                <w:b w:val="0"/>
                <w:bCs/>
                <w:i w:val="0"/>
              </w:rPr>
              <w:t>Adjustments to Base and Technical Adjustments</w:t>
            </w:r>
          </w:p>
        </w:tc>
        <w:tc>
          <w:tcPr>
            <w:tcW w:w="1260" w:type="dxa"/>
            <w:vAlign w:val="center"/>
          </w:tcPr>
          <w:p w:rsidR="00143E5F" w:rsidRDefault="00C16250" w:rsidP="00143E5F">
            <w:pPr>
              <w:pStyle w:val="Title"/>
              <w:ind w:left="0"/>
              <w:jc w:val="right"/>
              <w:rPr>
                <w:b w:val="0"/>
                <w:bCs/>
                <w:i w:val="0"/>
              </w:rPr>
            </w:pPr>
            <w:r>
              <w:rPr>
                <w:b w:val="0"/>
                <w:bCs/>
                <w:i w:val="0"/>
              </w:rPr>
              <w:t>0</w:t>
            </w:r>
          </w:p>
        </w:tc>
        <w:tc>
          <w:tcPr>
            <w:tcW w:w="1260" w:type="dxa"/>
            <w:vAlign w:val="center"/>
          </w:tcPr>
          <w:p w:rsidR="00143E5F" w:rsidRDefault="00C16250" w:rsidP="00143E5F">
            <w:pPr>
              <w:pStyle w:val="Title"/>
              <w:ind w:left="0"/>
              <w:jc w:val="right"/>
              <w:rPr>
                <w:b w:val="0"/>
                <w:bCs/>
                <w:i w:val="0"/>
              </w:rPr>
            </w:pPr>
            <w:r>
              <w:rPr>
                <w:b w:val="0"/>
                <w:bCs/>
                <w:i w:val="0"/>
              </w:rPr>
              <w:t>0</w:t>
            </w:r>
          </w:p>
        </w:tc>
        <w:tc>
          <w:tcPr>
            <w:tcW w:w="2088" w:type="dxa"/>
            <w:vAlign w:val="center"/>
          </w:tcPr>
          <w:p w:rsidR="00143E5F" w:rsidRDefault="00143E5F" w:rsidP="00143E5F">
            <w:pPr>
              <w:pStyle w:val="Title"/>
              <w:ind w:left="0"/>
              <w:jc w:val="right"/>
              <w:rPr>
                <w:b w:val="0"/>
                <w:bCs/>
                <w:i w:val="0"/>
              </w:rPr>
            </w:pPr>
            <w:r>
              <w:rPr>
                <w:b w:val="0"/>
                <w:bCs/>
                <w:i w:val="0"/>
              </w:rPr>
              <w:t>$205</w:t>
            </w:r>
          </w:p>
        </w:tc>
      </w:tr>
      <w:tr w:rsidR="00143E5F" w:rsidTr="00143E5F">
        <w:tc>
          <w:tcPr>
            <w:tcW w:w="4968" w:type="dxa"/>
          </w:tcPr>
          <w:p w:rsidR="00143E5F" w:rsidRDefault="00143E5F" w:rsidP="00143E5F">
            <w:pPr>
              <w:pStyle w:val="Title"/>
              <w:ind w:left="0"/>
              <w:jc w:val="left"/>
              <w:rPr>
                <w:b w:val="0"/>
                <w:bCs/>
                <w:i w:val="0"/>
              </w:rPr>
            </w:pPr>
            <w:r>
              <w:rPr>
                <w:b w:val="0"/>
                <w:bCs/>
                <w:i w:val="0"/>
              </w:rPr>
              <w:t>2013 Current Services</w:t>
            </w:r>
          </w:p>
        </w:tc>
        <w:tc>
          <w:tcPr>
            <w:tcW w:w="1260" w:type="dxa"/>
            <w:vAlign w:val="center"/>
          </w:tcPr>
          <w:p w:rsidR="00143E5F" w:rsidRDefault="000A2E3B" w:rsidP="00143E5F">
            <w:pPr>
              <w:pStyle w:val="Title"/>
              <w:ind w:left="0"/>
              <w:jc w:val="right"/>
              <w:rPr>
                <w:b w:val="0"/>
                <w:bCs/>
                <w:i w:val="0"/>
              </w:rPr>
            </w:pPr>
            <w:r>
              <w:rPr>
                <w:b w:val="0"/>
                <w:bCs/>
                <w:i w:val="0"/>
              </w:rPr>
              <w:t>56</w:t>
            </w:r>
          </w:p>
        </w:tc>
        <w:tc>
          <w:tcPr>
            <w:tcW w:w="1260" w:type="dxa"/>
            <w:vAlign w:val="center"/>
          </w:tcPr>
          <w:p w:rsidR="00143E5F" w:rsidRDefault="000A2E3B" w:rsidP="00143E5F">
            <w:pPr>
              <w:pStyle w:val="Title"/>
              <w:ind w:left="0"/>
              <w:jc w:val="right"/>
              <w:rPr>
                <w:b w:val="0"/>
                <w:bCs/>
                <w:i w:val="0"/>
              </w:rPr>
            </w:pPr>
            <w:r>
              <w:rPr>
                <w:b w:val="0"/>
                <w:bCs/>
                <w:i w:val="0"/>
              </w:rPr>
              <w:t>56</w:t>
            </w:r>
          </w:p>
        </w:tc>
        <w:tc>
          <w:tcPr>
            <w:tcW w:w="2088" w:type="dxa"/>
            <w:vAlign w:val="center"/>
          </w:tcPr>
          <w:p w:rsidR="00143E5F" w:rsidRDefault="00143E5F" w:rsidP="00143E5F">
            <w:pPr>
              <w:pStyle w:val="Title"/>
              <w:ind w:left="0"/>
              <w:jc w:val="right"/>
              <w:rPr>
                <w:b w:val="0"/>
                <w:bCs/>
                <w:i w:val="0"/>
              </w:rPr>
            </w:pPr>
            <w:r>
              <w:rPr>
                <w:b w:val="0"/>
                <w:bCs/>
                <w:i w:val="0"/>
              </w:rPr>
              <w:t>$11,661</w:t>
            </w:r>
          </w:p>
        </w:tc>
      </w:tr>
      <w:tr w:rsidR="00143E5F" w:rsidTr="00143E5F">
        <w:tc>
          <w:tcPr>
            <w:tcW w:w="4968" w:type="dxa"/>
            <w:tcBorders>
              <w:bottom w:val="single" w:sz="4" w:space="0" w:color="auto"/>
            </w:tcBorders>
          </w:tcPr>
          <w:p w:rsidR="00143E5F" w:rsidRDefault="00143E5F" w:rsidP="00143E5F">
            <w:pPr>
              <w:pStyle w:val="Title"/>
              <w:ind w:left="0"/>
              <w:jc w:val="left"/>
              <w:rPr>
                <w:b w:val="0"/>
                <w:bCs/>
                <w:i w:val="0"/>
              </w:rPr>
            </w:pPr>
            <w:r>
              <w:rPr>
                <w:b w:val="0"/>
                <w:bCs/>
                <w:i w:val="0"/>
              </w:rPr>
              <w:t>2013 Program Increases</w:t>
            </w:r>
          </w:p>
        </w:tc>
        <w:tc>
          <w:tcPr>
            <w:tcW w:w="1260" w:type="dxa"/>
            <w:tcBorders>
              <w:bottom w:val="single" w:sz="4" w:space="0" w:color="auto"/>
            </w:tcBorders>
            <w:vAlign w:val="center"/>
          </w:tcPr>
          <w:p w:rsidR="00143E5F" w:rsidRDefault="000A2E3B" w:rsidP="00143E5F">
            <w:pPr>
              <w:pStyle w:val="Title"/>
              <w:ind w:left="0"/>
              <w:jc w:val="right"/>
              <w:rPr>
                <w:b w:val="0"/>
                <w:bCs/>
                <w:i w:val="0"/>
              </w:rPr>
            </w:pPr>
            <w:r>
              <w:rPr>
                <w:b w:val="0"/>
                <w:bCs/>
                <w:i w:val="0"/>
              </w:rPr>
              <w:t>5</w:t>
            </w:r>
          </w:p>
        </w:tc>
        <w:tc>
          <w:tcPr>
            <w:tcW w:w="1260" w:type="dxa"/>
            <w:tcBorders>
              <w:bottom w:val="single" w:sz="4" w:space="0" w:color="auto"/>
            </w:tcBorders>
            <w:vAlign w:val="center"/>
          </w:tcPr>
          <w:p w:rsidR="00143E5F" w:rsidRDefault="000A2E3B" w:rsidP="00143E5F">
            <w:pPr>
              <w:pStyle w:val="Title"/>
              <w:ind w:left="0"/>
              <w:jc w:val="right"/>
              <w:rPr>
                <w:b w:val="0"/>
                <w:bCs/>
                <w:i w:val="0"/>
              </w:rPr>
            </w:pPr>
            <w:r>
              <w:rPr>
                <w:b w:val="0"/>
                <w:bCs/>
                <w:i w:val="0"/>
              </w:rPr>
              <w:t>3</w:t>
            </w:r>
          </w:p>
        </w:tc>
        <w:tc>
          <w:tcPr>
            <w:tcW w:w="2088" w:type="dxa"/>
            <w:tcBorders>
              <w:bottom w:val="single" w:sz="4" w:space="0" w:color="auto"/>
            </w:tcBorders>
            <w:vAlign w:val="center"/>
          </w:tcPr>
          <w:p w:rsidR="00143E5F" w:rsidRDefault="00143E5F" w:rsidP="00143E5F">
            <w:pPr>
              <w:pStyle w:val="Title"/>
              <w:ind w:left="0"/>
              <w:jc w:val="right"/>
              <w:rPr>
                <w:b w:val="0"/>
                <w:bCs/>
                <w:i w:val="0"/>
              </w:rPr>
            </w:pPr>
            <w:r>
              <w:rPr>
                <w:b w:val="0"/>
                <w:bCs/>
                <w:i w:val="0"/>
              </w:rPr>
              <w:t>$391</w:t>
            </w:r>
          </w:p>
        </w:tc>
      </w:tr>
      <w:tr w:rsidR="00143E5F" w:rsidTr="00143E5F">
        <w:tc>
          <w:tcPr>
            <w:tcW w:w="4968" w:type="dxa"/>
            <w:tcBorders>
              <w:bottom w:val="single" w:sz="4" w:space="0" w:color="auto"/>
            </w:tcBorders>
          </w:tcPr>
          <w:p w:rsidR="00143E5F" w:rsidRDefault="00143E5F" w:rsidP="00143E5F">
            <w:pPr>
              <w:pStyle w:val="Title"/>
              <w:ind w:left="0"/>
              <w:jc w:val="left"/>
              <w:rPr>
                <w:b w:val="0"/>
                <w:bCs/>
                <w:i w:val="0"/>
              </w:rPr>
            </w:pPr>
            <w:r>
              <w:rPr>
                <w:b w:val="0"/>
                <w:bCs/>
                <w:i w:val="0"/>
              </w:rPr>
              <w:t>2013 Program Offsets</w:t>
            </w:r>
          </w:p>
        </w:tc>
        <w:tc>
          <w:tcPr>
            <w:tcW w:w="1260" w:type="dxa"/>
            <w:tcBorders>
              <w:bottom w:val="single" w:sz="4" w:space="0" w:color="auto"/>
            </w:tcBorders>
            <w:vAlign w:val="center"/>
          </w:tcPr>
          <w:p w:rsidR="00143E5F" w:rsidRDefault="00C16250" w:rsidP="00143E5F">
            <w:pPr>
              <w:pStyle w:val="Title"/>
              <w:ind w:left="0"/>
              <w:jc w:val="right"/>
              <w:rPr>
                <w:b w:val="0"/>
                <w:bCs/>
                <w:i w:val="0"/>
              </w:rPr>
            </w:pPr>
            <w:r>
              <w:rPr>
                <w:b w:val="0"/>
                <w:bCs/>
                <w:i w:val="0"/>
              </w:rPr>
              <w:t>0</w:t>
            </w:r>
          </w:p>
        </w:tc>
        <w:tc>
          <w:tcPr>
            <w:tcW w:w="1260" w:type="dxa"/>
            <w:tcBorders>
              <w:bottom w:val="single" w:sz="4" w:space="0" w:color="auto"/>
            </w:tcBorders>
            <w:vAlign w:val="center"/>
          </w:tcPr>
          <w:p w:rsidR="00143E5F" w:rsidRDefault="00C16250" w:rsidP="00143E5F">
            <w:pPr>
              <w:pStyle w:val="Title"/>
              <w:ind w:left="0"/>
              <w:jc w:val="right"/>
              <w:rPr>
                <w:b w:val="0"/>
                <w:bCs/>
                <w:i w:val="0"/>
              </w:rPr>
            </w:pPr>
            <w:r>
              <w:rPr>
                <w:b w:val="0"/>
                <w:bCs/>
                <w:i w:val="0"/>
              </w:rPr>
              <w:t>0</w:t>
            </w:r>
          </w:p>
        </w:tc>
        <w:tc>
          <w:tcPr>
            <w:tcW w:w="2088" w:type="dxa"/>
            <w:tcBorders>
              <w:bottom w:val="single" w:sz="4" w:space="0" w:color="auto"/>
            </w:tcBorders>
            <w:vAlign w:val="center"/>
          </w:tcPr>
          <w:p w:rsidR="00143E5F" w:rsidRDefault="00143E5F" w:rsidP="00143E5F">
            <w:pPr>
              <w:pStyle w:val="Title"/>
              <w:ind w:left="0"/>
              <w:jc w:val="right"/>
              <w:rPr>
                <w:b w:val="0"/>
                <w:bCs/>
                <w:i w:val="0"/>
              </w:rPr>
            </w:pPr>
            <w:r>
              <w:rPr>
                <w:b w:val="0"/>
                <w:bCs/>
                <w:i w:val="0"/>
              </w:rPr>
              <w:t>-$16</w:t>
            </w:r>
          </w:p>
        </w:tc>
      </w:tr>
      <w:tr w:rsidR="00143E5F" w:rsidTr="00143E5F">
        <w:tc>
          <w:tcPr>
            <w:tcW w:w="4968" w:type="dxa"/>
            <w:tcBorders>
              <w:bottom w:val="single" w:sz="4" w:space="0" w:color="auto"/>
            </w:tcBorders>
          </w:tcPr>
          <w:p w:rsidR="00143E5F" w:rsidRDefault="00143E5F" w:rsidP="00143E5F">
            <w:pPr>
              <w:pStyle w:val="Title"/>
              <w:ind w:left="0"/>
              <w:jc w:val="left"/>
              <w:rPr>
                <w:b w:val="0"/>
                <w:bCs/>
                <w:i w:val="0"/>
              </w:rPr>
            </w:pPr>
            <w:r>
              <w:rPr>
                <w:b w:val="0"/>
                <w:bCs/>
                <w:i w:val="0"/>
              </w:rPr>
              <w:t>2013 Request</w:t>
            </w:r>
          </w:p>
        </w:tc>
        <w:tc>
          <w:tcPr>
            <w:tcW w:w="1260" w:type="dxa"/>
            <w:tcBorders>
              <w:bottom w:val="single" w:sz="4" w:space="0" w:color="auto"/>
            </w:tcBorders>
            <w:vAlign w:val="center"/>
          </w:tcPr>
          <w:p w:rsidR="00143E5F" w:rsidRDefault="000A2E3B" w:rsidP="00143E5F">
            <w:pPr>
              <w:pStyle w:val="Title"/>
              <w:ind w:left="0"/>
              <w:jc w:val="right"/>
              <w:rPr>
                <w:b w:val="0"/>
                <w:bCs/>
                <w:i w:val="0"/>
              </w:rPr>
            </w:pPr>
            <w:r>
              <w:rPr>
                <w:b w:val="0"/>
                <w:bCs/>
                <w:i w:val="0"/>
              </w:rPr>
              <w:t>61</w:t>
            </w:r>
          </w:p>
        </w:tc>
        <w:tc>
          <w:tcPr>
            <w:tcW w:w="1260" w:type="dxa"/>
            <w:tcBorders>
              <w:bottom w:val="single" w:sz="4" w:space="0" w:color="auto"/>
            </w:tcBorders>
            <w:vAlign w:val="center"/>
          </w:tcPr>
          <w:p w:rsidR="00143E5F" w:rsidRDefault="000A2E3B" w:rsidP="00143E5F">
            <w:pPr>
              <w:pStyle w:val="Title"/>
              <w:ind w:left="0"/>
              <w:jc w:val="right"/>
              <w:rPr>
                <w:b w:val="0"/>
                <w:bCs/>
                <w:i w:val="0"/>
              </w:rPr>
            </w:pPr>
            <w:r>
              <w:rPr>
                <w:b w:val="0"/>
                <w:bCs/>
                <w:i w:val="0"/>
              </w:rPr>
              <w:t>59</w:t>
            </w:r>
          </w:p>
        </w:tc>
        <w:tc>
          <w:tcPr>
            <w:tcW w:w="2088" w:type="dxa"/>
            <w:tcBorders>
              <w:bottom w:val="single" w:sz="4" w:space="0" w:color="auto"/>
            </w:tcBorders>
            <w:vAlign w:val="center"/>
          </w:tcPr>
          <w:p w:rsidR="00143E5F" w:rsidRDefault="00143E5F" w:rsidP="00143E5F">
            <w:pPr>
              <w:pStyle w:val="Title"/>
              <w:ind w:left="0"/>
              <w:jc w:val="right"/>
              <w:rPr>
                <w:b w:val="0"/>
                <w:bCs/>
                <w:i w:val="0"/>
              </w:rPr>
            </w:pPr>
            <w:r>
              <w:rPr>
                <w:b w:val="0"/>
                <w:bCs/>
                <w:i w:val="0"/>
              </w:rPr>
              <w:t>$12,036</w:t>
            </w:r>
          </w:p>
        </w:tc>
      </w:tr>
      <w:tr w:rsidR="00143E5F" w:rsidTr="00143E5F">
        <w:tc>
          <w:tcPr>
            <w:tcW w:w="4968" w:type="dxa"/>
            <w:shd w:val="clear" w:color="auto" w:fill="E6E6E6"/>
          </w:tcPr>
          <w:p w:rsidR="00143E5F" w:rsidRDefault="00143E5F" w:rsidP="00143E5F">
            <w:pPr>
              <w:pStyle w:val="Title"/>
              <w:ind w:left="0"/>
              <w:jc w:val="left"/>
              <w:rPr>
                <w:b w:val="0"/>
                <w:bCs/>
                <w:i w:val="0"/>
              </w:rPr>
            </w:pPr>
            <w:r>
              <w:rPr>
                <w:i w:val="0"/>
              </w:rPr>
              <w:t>Total Change 2012-2013</w:t>
            </w:r>
          </w:p>
        </w:tc>
        <w:tc>
          <w:tcPr>
            <w:tcW w:w="1260" w:type="dxa"/>
            <w:shd w:val="clear" w:color="auto" w:fill="E6E6E6"/>
            <w:vAlign w:val="center"/>
          </w:tcPr>
          <w:p w:rsidR="00143E5F" w:rsidRDefault="00C16250" w:rsidP="00143E5F">
            <w:pPr>
              <w:pStyle w:val="Title"/>
              <w:ind w:left="0"/>
              <w:jc w:val="right"/>
              <w:rPr>
                <w:b w:val="0"/>
                <w:bCs/>
                <w:i w:val="0"/>
              </w:rPr>
            </w:pPr>
            <w:r>
              <w:rPr>
                <w:b w:val="0"/>
                <w:bCs/>
                <w:i w:val="0"/>
              </w:rPr>
              <w:t>5</w:t>
            </w:r>
          </w:p>
        </w:tc>
        <w:tc>
          <w:tcPr>
            <w:tcW w:w="1260" w:type="dxa"/>
            <w:shd w:val="clear" w:color="auto" w:fill="E6E6E6"/>
            <w:vAlign w:val="center"/>
          </w:tcPr>
          <w:p w:rsidR="00143E5F" w:rsidRDefault="00C16250" w:rsidP="00143E5F">
            <w:pPr>
              <w:pStyle w:val="Title"/>
              <w:ind w:left="0"/>
              <w:jc w:val="right"/>
              <w:rPr>
                <w:b w:val="0"/>
                <w:bCs/>
                <w:i w:val="0"/>
              </w:rPr>
            </w:pPr>
            <w:r>
              <w:rPr>
                <w:b w:val="0"/>
                <w:bCs/>
                <w:i w:val="0"/>
              </w:rPr>
              <w:t>3</w:t>
            </w:r>
          </w:p>
        </w:tc>
        <w:tc>
          <w:tcPr>
            <w:tcW w:w="2088" w:type="dxa"/>
            <w:shd w:val="clear" w:color="auto" w:fill="E6E6E6"/>
            <w:vAlign w:val="center"/>
          </w:tcPr>
          <w:p w:rsidR="00143E5F" w:rsidRDefault="00143E5F" w:rsidP="00143E5F">
            <w:pPr>
              <w:pStyle w:val="Title"/>
              <w:ind w:left="0"/>
              <w:jc w:val="right"/>
              <w:rPr>
                <w:b w:val="0"/>
                <w:bCs/>
                <w:i w:val="0"/>
              </w:rPr>
            </w:pPr>
            <w:r>
              <w:rPr>
                <w:b w:val="0"/>
                <w:bCs/>
                <w:i w:val="0"/>
              </w:rPr>
              <w:t>$580</w:t>
            </w:r>
          </w:p>
        </w:tc>
      </w:tr>
    </w:tbl>
    <w:p w:rsidR="00143E5F" w:rsidRDefault="00143E5F" w:rsidP="00143E5F">
      <w:pPr>
        <w:pStyle w:val="BodyText"/>
        <w:rPr>
          <w:rFonts w:cs="Arial"/>
          <w:b/>
          <w:bCs/>
          <w:i/>
          <w:iCs/>
        </w:rPr>
      </w:pPr>
    </w:p>
    <w:p w:rsidR="008039E5" w:rsidRPr="00143E5F" w:rsidRDefault="008039E5" w:rsidP="00143E5F">
      <w:pPr>
        <w:pStyle w:val="BodyText"/>
        <w:rPr>
          <w:rFonts w:cs="Arial"/>
          <w:b/>
          <w:bCs/>
          <w:i/>
          <w:iCs/>
        </w:rPr>
      </w:pPr>
      <w:r w:rsidRPr="00143E5F">
        <w:rPr>
          <w:rFonts w:cs="Arial"/>
          <w:b/>
          <w:bCs/>
        </w:rPr>
        <w:tab/>
      </w:r>
    </w:p>
    <w:p w:rsidR="00143E5F" w:rsidRPr="00143E5F" w:rsidRDefault="008039E5" w:rsidP="00143E5F">
      <w:pPr>
        <w:pStyle w:val="xl27"/>
        <w:numPr>
          <w:ilvl w:val="0"/>
          <w:numId w:val="28"/>
        </w:numPr>
        <w:rPr>
          <w:rFonts w:ascii="Times New Roman" w:hAnsi="Times New Roman"/>
        </w:rPr>
      </w:pPr>
      <w:r>
        <w:rPr>
          <w:rFonts w:ascii="Times New Roman" w:hAnsi="Times New Roman"/>
        </w:rPr>
        <w:t>Program Description</w:t>
      </w:r>
    </w:p>
    <w:p w:rsidR="008031E0" w:rsidRPr="00F354DF" w:rsidRDefault="009021D8">
      <w:pPr>
        <w:numPr>
          <w:ilvl w:val="12"/>
          <w:numId w:val="0"/>
        </w:numPr>
      </w:pPr>
      <w:r>
        <w:rPr>
          <w:iCs/>
        </w:rPr>
        <w:t>CRS’</w:t>
      </w:r>
      <w:r w:rsidRPr="00390F26">
        <w:rPr>
          <w:iCs/>
        </w:rPr>
        <w:t xml:space="preserve"> program</w:t>
      </w:r>
      <w:r>
        <w:rPr>
          <w:iCs/>
        </w:rPr>
        <w:t>s contribute</w:t>
      </w:r>
      <w:r w:rsidRPr="00390F26">
        <w:rPr>
          <w:iCs/>
        </w:rPr>
        <w:t xml:space="preserve"> to the </w:t>
      </w:r>
      <w:r w:rsidR="008039E5" w:rsidRPr="00255927">
        <w:rPr>
          <w:b/>
        </w:rPr>
        <w:t>DOJ’s Strategic Goal #2 -</w:t>
      </w:r>
      <w:r w:rsidR="009D019D" w:rsidRPr="009D019D">
        <w:rPr>
          <w:b/>
        </w:rPr>
        <w:t>Prevent Crime, Protect the Rights of the American People, and Enforce Federal Law.</w:t>
      </w:r>
      <w:r w:rsidR="00641FCF">
        <w:t xml:space="preserve"> Within these goals, CRS Specially addresses Strategic Objectives 2.2 Prevent and intervene in crimes against populations, uphold the rights of, and improve services to American’s crime victims and Strategic Objective 2.5 Promote and protect Americans’ civil rights.</w:t>
      </w:r>
      <w:r w:rsidR="00F354DF">
        <w:t xml:space="preserve">  </w:t>
      </w:r>
      <w:r w:rsidR="002956E3">
        <w:t>While working in support of Strategic Goal #2, CRS’ work also supports</w:t>
      </w:r>
      <w:r w:rsidR="00F354DF">
        <w:t xml:space="preserve"> </w:t>
      </w:r>
      <w:r w:rsidR="00F354DF">
        <w:rPr>
          <w:b/>
        </w:rPr>
        <w:t xml:space="preserve">DOJ’s Strategic Goal #3 Ensure and Support the Fair, Impartial, Efficient, and Transparent Administration of </w:t>
      </w:r>
      <w:r w:rsidR="00F354DF" w:rsidRPr="00F354DF">
        <w:rPr>
          <w:b/>
        </w:rPr>
        <w:t>Justic</w:t>
      </w:r>
      <w:r w:rsidR="00F354DF">
        <w:rPr>
          <w:b/>
        </w:rPr>
        <w:t xml:space="preserve">e at the Federal, State, Local, </w:t>
      </w:r>
      <w:r w:rsidR="00F354DF" w:rsidRPr="00F354DF">
        <w:rPr>
          <w:b/>
        </w:rPr>
        <w:t>Tribal, and International Levels</w:t>
      </w:r>
      <w:r w:rsidR="002956E3">
        <w:rPr>
          <w:b/>
        </w:rPr>
        <w:t xml:space="preserve">.  </w:t>
      </w:r>
      <w:r w:rsidR="002956E3">
        <w:t xml:space="preserve">CRS supports </w:t>
      </w:r>
      <w:r w:rsidR="00F354DF">
        <w:t xml:space="preserve">Objective 3.1, Promote and strengthen relationships and strategies for the administration of justice with state, local, tribal, and international law enforcement. </w:t>
      </w:r>
    </w:p>
    <w:p w:rsidR="008039E5" w:rsidRPr="00893C1F" w:rsidRDefault="008039E5" w:rsidP="00A22190">
      <w:pPr>
        <w:pStyle w:val="NormalWeb"/>
        <w:spacing w:after="240" w:afterAutospacing="0"/>
      </w:pPr>
      <w:r w:rsidRPr="00893C1F">
        <w:t>CRS has implemented several strategies, which are intended to effectively address the issues of discriminatory practices based on race, color, or national origin, which impair the rights of people</w:t>
      </w:r>
      <w:r>
        <w:t>, and work with communities to help prevent and respond to violent hate crimes on the basis of actual or perceived gender, gender identity, sexual orientation, religion, or disability</w:t>
      </w:r>
      <w:r w:rsidRPr="00893C1F">
        <w:t xml:space="preserve">.  </w:t>
      </w:r>
      <w:r w:rsidR="00F354DF" w:rsidRPr="00110EC5">
        <w:t xml:space="preserve">CRS </w:t>
      </w:r>
      <w:r w:rsidR="00F354DF">
        <w:t>conducts</w:t>
      </w:r>
      <w:r w:rsidR="00F354DF" w:rsidRPr="00110EC5">
        <w:t xml:space="preserve"> training with federal, state, and local law enforcement and community members </w:t>
      </w:r>
      <w:r w:rsidR="00F354DF">
        <w:t xml:space="preserve">to address concerns regarding racial profiling and to improve law enforcement officials’ interactions with community members.  </w:t>
      </w:r>
      <w:r w:rsidRPr="00893C1F">
        <w:t xml:space="preserve">Examples of various CRS strategies and programs are:  </w:t>
      </w:r>
    </w:p>
    <w:p w:rsidR="008039E5" w:rsidRPr="00893C1F" w:rsidRDefault="008039E5" w:rsidP="00A22190">
      <w:pPr>
        <w:numPr>
          <w:ilvl w:val="0"/>
          <w:numId w:val="32"/>
        </w:numPr>
      </w:pPr>
      <w:r w:rsidRPr="00893C1F">
        <w:rPr>
          <w:b/>
          <w:bCs/>
          <w:u w:val="single"/>
        </w:rPr>
        <w:t>Law Enforcement Mediation Skills (LEMS) Program</w:t>
      </w:r>
      <w:r w:rsidRPr="00893C1F">
        <w:rPr>
          <w:bCs/>
        </w:rPr>
        <w:t xml:space="preserve"> </w:t>
      </w:r>
      <w:r w:rsidRPr="00893C1F">
        <w:t xml:space="preserve">is a two day (16 hour) program designed to equip the attending officers with basic knowledge of mediation and conflict resolution skills as they apply directly to law enforcement.  </w:t>
      </w:r>
      <w:r>
        <w:t>The</w:t>
      </w:r>
      <w:r w:rsidRPr="00893C1F">
        <w:t xml:space="preserve"> program focuses on the officer's need to respond to any given conflict or dispute efficiently and effectively.  Traditional methods of policing in response to disturbance calls have resulted in callbacks to the same disturbance.  The CRS LEMS program offers a mediation and conflict resolution approach that hopefully leads to fewer callbacks, and more lasting solutions based on the disputants’ involvement in resolving their own issues.  The process involves empowering law enforcement officials to resolve disputes through the use of conflict resolution, rather than arrest.  It also instills skills and knowledge with citizens to resolve disputes without the necessity of a police presence.  The course focuses on police-community relations in minority communities.</w:t>
      </w:r>
    </w:p>
    <w:p w:rsidR="008039E5" w:rsidRPr="00893C1F" w:rsidRDefault="008039E5" w:rsidP="00A22190">
      <w:pPr>
        <w:ind w:left="360"/>
      </w:pPr>
    </w:p>
    <w:p w:rsidR="008039E5" w:rsidRPr="00893C1F" w:rsidRDefault="008039E5" w:rsidP="00A22190">
      <w:pPr>
        <w:pStyle w:val="BodyText"/>
        <w:numPr>
          <w:ilvl w:val="0"/>
          <w:numId w:val="31"/>
        </w:numPr>
      </w:pPr>
      <w:r w:rsidRPr="00893C1F">
        <w:rPr>
          <w:b/>
          <w:u w:val="single"/>
        </w:rPr>
        <w:t>Anti-Racial Profiling Program</w:t>
      </w:r>
      <w:r w:rsidRPr="00893C1F">
        <w:t xml:space="preserve"> is a program that reviews the history and concept of profiling by police in addressing criminal activity.  The program focuses on the complexities of using race as a factor in police investigations.  Through a series of videotape and role playing exercises, law enforcement and community members view the effects of racial profiling on communities, as well as ways to defuse racial profiling allegations whenever they arise.</w:t>
      </w:r>
    </w:p>
    <w:p w:rsidR="008039E5" w:rsidRPr="00893C1F" w:rsidRDefault="008039E5" w:rsidP="00A22190">
      <w:pPr>
        <w:pStyle w:val="BodyText"/>
        <w:ind w:left="360"/>
      </w:pPr>
    </w:p>
    <w:p w:rsidR="008039E5" w:rsidRPr="00893C1F" w:rsidRDefault="008039E5" w:rsidP="00A22190">
      <w:pPr>
        <w:pStyle w:val="BodyText"/>
        <w:numPr>
          <w:ilvl w:val="0"/>
          <w:numId w:val="31"/>
        </w:numPr>
      </w:pPr>
      <w:r w:rsidRPr="00893C1F">
        <w:rPr>
          <w:b/>
          <w:bCs/>
          <w:u w:val="single"/>
        </w:rPr>
        <w:t>Arab-Muslim, Sikh (AMS) Cultural Awareness Program</w:t>
      </w:r>
      <w:r w:rsidRPr="00893C1F">
        <w:rPr>
          <w:bCs/>
        </w:rPr>
        <w:t xml:space="preserve"> is a program that </w:t>
      </w:r>
      <w:r w:rsidRPr="00893C1F">
        <w:t xml:space="preserve">utilizes community-based, free trainers capable of delivering law enforcement training to heighten awareness, increase knowledge and develop skills to effectively communicate with Arab, Muslim, and Sikh communities.  The program educates law enforcement officials on different cultural practices in order to reduce the possibility of tensions developing due to misinformation or lack of understanding.  </w:t>
      </w:r>
      <w:r>
        <w:t>Most t</w:t>
      </w:r>
      <w:r w:rsidRPr="00893C1F">
        <w:t xml:space="preserve">rainers </w:t>
      </w:r>
      <w:r>
        <w:t xml:space="preserve">come from Arab, Muslim, and Sikh communities and </w:t>
      </w:r>
      <w:r w:rsidRPr="00893C1F">
        <w:t>work side-by-side with CRS staff</w:t>
      </w:r>
      <w:r>
        <w:t xml:space="preserve">, following </w:t>
      </w:r>
      <w:r w:rsidRPr="00893C1F">
        <w:t xml:space="preserve">a standardized and approved CRS curriculum. </w:t>
      </w:r>
    </w:p>
    <w:p w:rsidR="008039E5" w:rsidRPr="00893C1F" w:rsidRDefault="008039E5" w:rsidP="00A22190">
      <w:pPr>
        <w:pStyle w:val="BodyText"/>
        <w:ind w:left="360"/>
      </w:pPr>
    </w:p>
    <w:p w:rsidR="008039E5" w:rsidRPr="00AC2B3E" w:rsidRDefault="008039E5" w:rsidP="00A22190">
      <w:pPr>
        <w:pStyle w:val="xl27"/>
        <w:numPr>
          <w:ilvl w:val="0"/>
          <w:numId w:val="31"/>
        </w:numPr>
        <w:rPr>
          <w:rFonts w:ascii="Times New Roman" w:hAnsi="Times New Roman"/>
          <w:bCs/>
          <w:u w:val="single"/>
        </w:rPr>
      </w:pPr>
      <w:r w:rsidRPr="00AC2B3E">
        <w:rPr>
          <w:rFonts w:ascii="Times New Roman" w:hAnsi="Times New Roman"/>
          <w:bCs/>
          <w:u w:val="single"/>
        </w:rPr>
        <w:t>Student Problem Identification and Resolution of Issues Together (SPIRIT)</w:t>
      </w:r>
      <w:r>
        <w:rPr>
          <w:rFonts w:ascii="Times New Roman" w:hAnsi="Times New Roman"/>
          <w:b w:val="0"/>
          <w:bCs/>
        </w:rPr>
        <w:t xml:space="preserve"> is a two half-day interactive student based problem solving program that engages students in developing solutions to problems associated with allegations of discrimination, harassment, and hate activity in schools and creating the safest possible environment for learning.  SPIRIT also engages school administrators, teachers, school resource officers, local officials, community leaders, and parents in the process of identifying and responding to these conflicts in schools.  </w:t>
      </w:r>
    </w:p>
    <w:p w:rsidR="008039E5" w:rsidRDefault="008039E5" w:rsidP="00A22190">
      <w:pPr>
        <w:pStyle w:val="ListParagraph"/>
        <w:rPr>
          <w:bCs/>
          <w:u w:val="single"/>
        </w:rPr>
      </w:pPr>
    </w:p>
    <w:p w:rsidR="008039E5" w:rsidRDefault="008039E5" w:rsidP="00A22190">
      <w:pPr>
        <w:pStyle w:val="xl27"/>
        <w:numPr>
          <w:ilvl w:val="0"/>
          <w:numId w:val="31"/>
        </w:numPr>
        <w:rPr>
          <w:rFonts w:ascii="Times New Roman" w:hAnsi="Times New Roman"/>
          <w:b w:val="0"/>
          <w:bCs/>
        </w:rPr>
      </w:pPr>
      <w:r w:rsidRPr="00893C1F">
        <w:rPr>
          <w:rFonts w:ascii="Times New Roman" w:hAnsi="Times New Roman"/>
          <w:bCs/>
          <w:u w:val="single"/>
        </w:rPr>
        <w:t>City - Problem Identification and Resolution of Issues Together (City-SPIRIT) Program</w:t>
      </w:r>
      <w:r w:rsidRPr="00893C1F">
        <w:rPr>
          <w:rFonts w:ascii="Times New Roman" w:hAnsi="Times New Roman"/>
          <w:b w:val="0"/>
          <w:bCs/>
        </w:rPr>
        <w:t xml:space="preserve"> is a </w:t>
      </w:r>
      <w:r>
        <w:rPr>
          <w:rFonts w:ascii="Times New Roman" w:hAnsi="Times New Roman"/>
          <w:b w:val="0"/>
          <w:bCs/>
        </w:rPr>
        <w:t xml:space="preserve">two-day problem solving and resolution program that brings together representatives from local government agencies, community, faith-based organizations, law enforcement, and businesses to develop collaborative approaches for reducing racial conflicts and addressing the factors that contribute to the conflicts.  The parties may also develop approaches for preventing and responding to violent hate crimes on the basis of actual or perceived race, color, national origin, gender, gender identity, sexual orientation, religion, and disability.  This program helps communities establish a lasting capacity to prevent and respond to conflicts.  </w:t>
      </w:r>
    </w:p>
    <w:p w:rsidR="008039E5" w:rsidRPr="00893C1F" w:rsidRDefault="008039E5" w:rsidP="00C42E6B">
      <w:pPr>
        <w:pStyle w:val="xl27"/>
        <w:rPr>
          <w:rFonts w:ascii="Times New Roman" w:hAnsi="Times New Roman"/>
          <w:b w:val="0"/>
          <w:bCs/>
        </w:rPr>
      </w:pPr>
    </w:p>
    <w:p w:rsidR="008039E5" w:rsidRDefault="008039E5" w:rsidP="00C42E6B">
      <w:pPr>
        <w:pStyle w:val="xl27"/>
        <w:numPr>
          <w:ilvl w:val="0"/>
          <w:numId w:val="31"/>
        </w:numPr>
        <w:rPr>
          <w:rFonts w:ascii="Times New Roman" w:hAnsi="Times New Roman"/>
          <w:b w:val="0"/>
          <w:bCs/>
        </w:rPr>
      </w:pPr>
      <w:r>
        <w:rPr>
          <w:rFonts w:ascii="Times New Roman" w:hAnsi="Times New Roman"/>
          <w:bCs/>
          <w:u w:val="single"/>
        </w:rPr>
        <w:t xml:space="preserve">Self-Marshalling Assistance and Training </w:t>
      </w:r>
      <w:r w:rsidRPr="00893C1F">
        <w:rPr>
          <w:rFonts w:ascii="Times New Roman" w:hAnsi="Times New Roman"/>
          <w:b w:val="0"/>
          <w:bCs/>
        </w:rPr>
        <w:t xml:space="preserve">is </w:t>
      </w:r>
      <w:r>
        <w:rPr>
          <w:rFonts w:ascii="Times New Roman" w:hAnsi="Times New Roman"/>
          <w:b w:val="0"/>
          <w:bCs/>
        </w:rPr>
        <w:t xml:space="preserve">provided by CRS at the request of local law enforcement, city officials, and demonstration organizers to assist with planning and managing safe marches and demonstrations.  CRS facilitates meetings between all parties involved, and serves as a neutral entity to help ensure that information is shared appropriately so marches and demonstrations are as safe as possible.  </w:t>
      </w:r>
    </w:p>
    <w:p w:rsidR="00F97170" w:rsidRDefault="00F97170" w:rsidP="00A22190">
      <w:pPr>
        <w:pStyle w:val="xl27"/>
        <w:spacing w:before="0" w:after="0"/>
        <w:rPr>
          <w:rFonts w:ascii="Times New Roman" w:hAnsi="Times New Roman"/>
          <w:b w:val="0"/>
          <w:bCs/>
        </w:rPr>
      </w:pPr>
    </w:p>
    <w:p w:rsidR="008039E5" w:rsidRPr="00893C1F" w:rsidRDefault="008039E5" w:rsidP="00A22190">
      <w:pPr>
        <w:pStyle w:val="xl27"/>
        <w:spacing w:before="0" w:after="0"/>
        <w:rPr>
          <w:rFonts w:ascii="Times New Roman" w:hAnsi="Times New Roman"/>
          <w:b w:val="0"/>
          <w:bCs/>
        </w:rPr>
      </w:pPr>
      <w:r w:rsidRPr="00893C1F">
        <w:rPr>
          <w:rFonts w:ascii="Times New Roman" w:hAnsi="Times New Roman"/>
          <w:b w:val="0"/>
          <w:bCs/>
        </w:rPr>
        <w:t xml:space="preserve">CRS introduced and updated several management systems to more effectively address racial tension and violence in major cities.  CRS intensified its emphasis on staff development and training of staff on the fundamental skills of conflict resolution.  CRS holds staff training sessions to enhance and refresh contemporary conflict resolution strategies and mediation skills.  CRS instituted an internal skills certification process for fundamental tools that are used in conflict resolution cases.  The Agency continues to strengthen its emphasis on local capacity building by having conciliators focus on the implementation of collaborative partnerships and other mechanisms for strategically empowering and sustaining peaceful communities.  </w:t>
      </w:r>
    </w:p>
    <w:p w:rsidR="008039E5" w:rsidRPr="00893C1F" w:rsidRDefault="008039E5" w:rsidP="00A22190">
      <w:pPr>
        <w:pStyle w:val="xl27"/>
        <w:spacing w:before="0" w:after="0"/>
        <w:rPr>
          <w:rFonts w:ascii="Times New Roman" w:hAnsi="Times New Roman"/>
          <w:b w:val="0"/>
          <w:bCs/>
        </w:rPr>
      </w:pPr>
    </w:p>
    <w:p w:rsidR="008039E5" w:rsidRDefault="008039E5" w:rsidP="00A22190">
      <w:pPr>
        <w:pStyle w:val="xl27"/>
        <w:spacing w:before="0" w:after="0"/>
        <w:rPr>
          <w:rFonts w:ascii="Times New Roman" w:hAnsi="Times New Roman"/>
          <w:b w:val="0"/>
          <w:bCs/>
        </w:rPr>
      </w:pPr>
      <w:r w:rsidRPr="00893C1F">
        <w:rPr>
          <w:rFonts w:ascii="Times New Roman" w:hAnsi="Times New Roman"/>
          <w:b w:val="0"/>
          <w:bCs/>
        </w:rPr>
        <w:t xml:space="preserve">The services of CRS are tracked by a case management database system.  Quality assurance is measured by a weekly headquarters review of every new case in the CRS system.  Headquarters then provides operational feedback to all 10 Regional Directors on a weekly basis, and holds managers accountable for ensuring strict compliance with </w:t>
      </w:r>
      <w:r>
        <w:rPr>
          <w:rFonts w:ascii="Times New Roman" w:hAnsi="Times New Roman"/>
          <w:b w:val="0"/>
          <w:bCs/>
        </w:rPr>
        <w:t xml:space="preserve">CRS’ </w:t>
      </w:r>
      <w:r w:rsidRPr="00893C1F">
        <w:rPr>
          <w:rFonts w:ascii="Times New Roman" w:hAnsi="Times New Roman"/>
          <w:b w:val="0"/>
          <w:bCs/>
        </w:rPr>
        <w:t>jurisdictional mandate.  Regions are directed to hold bi-monthly staff meetings to review casework feedback.  Conciliators have made significant qualitative and technical progress on casework.</w:t>
      </w:r>
    </w:p>
    <w:p w:rsidR="008039E5" w:rsidRPr="006D3294" w:rsidRDefault="008039E5" w:rsidP="00A22190">
      <w:pPr>
        <w:pStyle w:val="xl27"/>
        <w:spacing w:before="0" w:after="0"/>
        <w:rPr>
          <w:rFonts w:ascii="Times New Roman" w:hAnsi="Times New Roman"/>
          <w:b w:val="0"/>
          <w:b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F90F24" w:rsidRDefault="00F90F24" w:rsidP="00F90F24">
      <w:pPr>
        <w:tabs>
          <w:tab w:val="left" w:pos="1080"/>
          <w:tab w:val="left" w:pos="3600"/>
          <w:tab w:val="left" w:pos="5580"/>
        </w:tabs>
        <w:rPr>
          <w:iCs/>
        </w:rPr>
      </w:pPr>
    </w:p>
    <w:p w:rsidR="008039E5" w:rsidRDefault="008039E5" w:rsidP="00417623">
      <w:pPr>
        <w:tabs>
          <w:tab w:val="left" w:pos="1080"/>
          <w:tab w:val="left" w:pos="3600"/>
          <w:tab w:val="left" w:pos="5580"/>
        </w:tabs>
        <w:ind w:left="360"/>
        <w:rPr>
          <w:iCs/>
        </w:rPr>
      </w:pPr>
    </w:p>
    <w:p w:rsidR="008039E5" w:rsidRDefault="008039E5" w:rsidP="00567358">
      <w:pPr>
        <w:tabs>
          <w:tab w:val="left" w:pos="1080"/>
          <w:tab w:val="left" w:pos="3600"/>
          <w:tab w:val="left" w:pos="5580"/>
        </w:tabs>
        <w:ind w:left="360"/>
        <w:rPr>
          <w:iCs/>
        </w:rPr>
      </w:pPr>
    </w:p>
    <w:p w:rsidR="008039E5" w:rsidRDefault="008039E5" w:rsidP="00567358">
      <w:pPr>
        <w:tabs>
          <w:tab w:val="left" w:pos="1080"/>
          <w:tab w:val="left" w:pos="3600"/>
          <w:tab w:val="left" w:pos="5580"/>
        </w:tabs>
        <w:ind w:left="360"/>
        <w:rPr>
          <w:iCs/>
        </w:rPr>
      </w:pPr>
    </w:p>
    <w:p w:rsidR="00B55A32" w:rsidRDefault="00B55A32">
      <w:pPr>
        <w:jc w:val="center"/>
        <w:rPr>
          <w:rFonts w:ascii="Arial" w:hAnsi="Arial" w:cs="Arial"/>
          <w:b/>
          <w:bCs/>
          <w:sz w:val="20"/>
          <w:szCs w:val="20"/>
        </w:rPr>
        <w:sectPr w:rsidR="00B55A32" w:rsidSect="00A97B4B">
          <w:footerReference w:type="default" r:id="rId9"/>
          <w:pgSz w:w="12240" w:h="15840" w:code="1"/>
          <w:pgMar w:top="1152" w:right="1152" w:bottom="1152" w:left="1152" w:header="432" w:footer="432" w:gutter="0"/>
          <w:cols w:space="720"/>
          <w:docGrid w:linePitch="326"/>
        </w:sectPr>
      </w:pPr>
    </w:p>
    <w:tbl>
      <w:tblPr>
        <w:tblpPr w:leftFromText="180" w:rightFromText="180" w:horzAnchor="margin" w:tblpY="705"/>
        <w:tblW w:w="14220" w:type="dxa"/>
        <w:tblLayout w:type="fixed"/>
        <w:tblLook w:val="0000"/>
      </w:tblPr>
      <w:tblGrid>
        <w:gridCol w:w="14220"/>
      </w:tblGrid>
      <w:tr w:rsidR="00B47D75" w:rsidTr="00C16250">
        <w:trPr>
          <w:trHeight w:val="7995"/>
        </w:trPr>
        <w:tc>
          <w:tcPr>
            <w:tcW w:w="14220" w:type="dxa"/>
            <w:tcBorders>
              <w:top w:val="nil"/>
              <w:left w:val="single" w:sz="8" w:space="0" w:color="auto"/>
              <w:bottom w:val="single" w:sz="4" w:space="0" w:color="auto"/>
              <w:right w:val="single" w:sz="8" w:space="0" w:color="000000"/>
            </w:tcBorders>
            <w:shd w:val="clear" w:color="auto" w:fill="auto"/>
          </w:tcPr>
          <w:p w:rsidR="00B47D75" w:rsidRDefault="002D6579" w:rsidP="00C16250">
            <w:pPr>
              <w:rPr>
                <w:rFonts w:ascii="Arial" w:hAnsi="Arial" w:cs="Arial"/>
                <w:b/>
                <w:bCs/>
                <w:sz w:val="20"/>
                <w:szCs w:val="20"/>
              </w:rPr>
            </w:pPr>
            <w:r w:rsidRPr="00470223">
              <w:rPr>
                <w:rFonts w:ascii="Calibri" w:hAnsi="Calibri"/>
                <w:sz w:val="22"/>
                <w:szCs w:val="22"/>
              </w:rPr>
              <w:object w:dxaOrig="12095" w:dyaOrig="93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75pt;height:418.5pt" o:ole="" o:bordertopcolor="this" o:borderleftcolor="this" o:borderbottomcolor="this" o:borderrightcolor="this">
                  <v:imagedata r:id="rId10" o:title=""/>
                  <w10:bordertop type="single" width="4"/>
                  <w10:borderleft type="single" width="4"/>
                  <w10:borderbottom type="single" width="4"/>
                  <w10:borderright type="single" width="4"/>
                </v:shape>
                <o:OLEObject Type="Embed" ProgID="Excel.Sheet.8" ShapeID="_x0000_i1025" DrawAspect="Content" ObjectID="_1390228161" r:id="rId11"/>
              </w:object>
            </w:r>
          </w:p>
        </w:tc>
      </w:tr>
    </w:tbl>
    <w:p w:rsidR="00C16250" w:rsidRPr="007564FC" w:rsidRDefault="00C16250" w:rsidP="00C16250">
      <w:pPr>
        <w:numPr>
          <w:ilvl w:val="0"/>
          <w:numId w:val="28"/>
        </w:numPr>
        <w:tabs>
          <w:tab w:val="left" w:pos="1080"/>
          <w:tab w:val="left" w:pos="3600"/>
          <w:tab w:val="left" w:pos="5580"/>
        </w:tabs>
        <w:ind w:left="360"/>
        <w:rPr>
          <w:b/>
          <w:iCs/>
        </w:rPr>
      </w:pPr>
      <w:r w:rsidRPr="001860D6">
        <w:rPr>
          <w:b/>
          <w:iCs/>
        </w:rPr>
        <w:t>Performance and Resource Tables</w:t>
      </w:r>
    </w:p>
    <w:p w:rsidR="00B55A32" w:rsidRDefault="00B55A32" w:rsidP="00F90F24">
      <w:pPr>
        <w:tabs>
          <w:tab w:val="left" w:pos="1080"/>
          <w:tab w:val="left" w:pos="3600"/>
          <w:tab w:val="left" w:pos="5580"/>
        </w:tabs>
        <w:rPr>
          <w:iCs/>
        </w:rPr>
        <w:sectPr w:rsidR="00B55A32" w:rsidSect="007947CA">
          <w:pgSz w:w="15840" w:h="12240" w:orient="landscape" w:code="1"/>
          <w:pgMar w:top="1152" w:right="1152" w:bottom="900" w:left="1152" w:header="432" w:footer="432" w:gutter="0"/>
          <w:cols w:space="720"/>
          <w:docGrid w:linePitch="326"/>
        </w:sectPr>
      </w:pPr>
    </w:p>
    <w:p w:rsidR="00F90F24" w:rsidRDefault="00BB3308" w:rsidP="007947CA">
      <w:pPr>
        <w:tabs>
          <w:tab w:val="left" w:pos="1080"/>
          <w:tab w:val="left" w:pos="3600"/>
          <w:tab w:val="left" w:pos="5580"/>
        </w:tabs>
        <w:rPr>
          <w:iCs/>
        </w:rPr>
      </w:pPr>
      <w:r>
        <w:rPr>
          <w:iCs/>
          <w:noProof/>
        </w:rPr>
        <w:pict>
          <v:shape id="_x0000_s1026" type="#_x0000_t75" style="position:absolute;margin-left:2.3pt;margin-top:40pt;width:620.3pt;height:420.75pt;z-index:251658240;mso-position-horizontal-relative:text;mso-position-vertical-relative:text" stroked="t" strokeweight="2.25pt">
            <v:imagedata r:id="rId12" o:title=""/>
            <w10:wrap type="square" side="right"/>
          </v:shape>
          <o:OLEObject Type="Embed" ProgID="Excel.Sheet.8" ShapeID="_x0000_s1026" DrawAspect="Content" ObjectID="_1390228162" r:id="rId13"/>
        </w:pict>
      </w:r>
    </w:p>
    <w:tbl>
      <w:tblPr>
        <w:tblW w:w="13480" w:type="dxa"/>
        <w:tblInd w:w="93" w:type="dxa"/>
        <w:tblLook w:val="0000"/>
      </w:tblPr>
      <w:tblGrid>
        <w:gridCol w:w="3375"/>
        <w:gridCol w:w="2350"/>
        <w:gridCol w:w="705"/>
        <w:gridCol w:w="705"/>
        <w:gridCol w:w="705"/>
        <w:gridCol w:w="705"/>
        <w:gridCol w:w="705"/>
        <w:gridCol w:w="705"/>
        <w:gridCol w:w="705"/>
        <w:gridCol w:w="705"/>
        <w:gridCol w:w="705"/>
        <w:gridCol w:w="705"/>
        <w:gridCol w:w="705"/>
      </w:tblGrid>
      <w:tr w:rsidR="00F90F24" w:rsidTr="00E94B47">
        <w:trPr>
          <w:trHeight w:val="300"/>
        </w:trPr>
        <w:tc>
          <w:tcPr>
            <w:tcW w:w="3375" w:type="dxa"/>
            <w:tcBorders>
              <w:top w:val="nil"/>
              <w:left w:val="nil"/>
              <w:bottom w:val="nil"/>
              <w:right w:val="nil"/>
            </w:tcBorders>
            <w:shd w:val="clear" w:color="auto" w:fill="auto"/>
            <w:noWrap/>
            <w:vAlign w:val="bottom"/>
          </w:tcPr>
          <w:p w:rsidR="00F90F24" w:rsidRDefault="00F90F24">
            <w:pPr>
              <w:rPr>
                <w:rFonts w:ascii="Calibri" w:hAnsi="Calibri"/>
                <w:color w:val="000000"/>
                <w:sz w:val="22"/>
                <w:szCs w:val="22"/>
              </w:rPr>
            </w:pPr>
          </w:p>
        </w:tc>
        <w:tc>
          <w:tcPr>
            <w:tcW w:w="2350" w:type="dxa"/>
            <w:tcBorders>
              <w:top w:val="nil"/>
              <w:left w:val="nil"/>
              <w:bottom w:val="nil"/>
              <w:right w:val="nil"/>
            </w:tcBorders>
            <w:shd w:val="clear" w:color="auto" w:fill="auto"/>
            <w:noWrap/>
            <w:vAlign w:val="bottom"/>
          </w:tcPr>
          <w:p w:rsidR="00F90F24" w:rsidRDefault="00F90F24">
            <w:pPr>
              <w:rPr>
                <w:rFonts w:ascii="Calibri" w:hAnsi="Calibri"/>
                <w:color w:val="000000"/>
                <w:sz w:val="22"/>
                <w:szCs w:val="22"/>
              </w:rPr>
            </w:pPr>
          </w:p>
        </w:tc>
        <w:tc>
          <w:tcPr>
            <w:tcW w:w="705" w:type="dxa"/>
            <w:tcBorders>
              <w:top w:val="nil"/>
              <w:left w:val="nil"/>
              <w:bottom w:val="nil"/>
              <w:right w:val="nil"/>
            </w:tcBorders>
            <w:shd w:val="clear" w:color="auto" w:fill="auto"/>
            <w:noWrap/>
            <w:vAlign w:val="bottom"/>
          </w:tcPr>
          <w:p w:rsidR="00F90F24" w:rsidRDefault="00F90F24">
            <w:pPr>
              <w:rPr>
                <w:rFonts w:ascii="Calibri" w:hAnsi="Calibri"/>
                <w:color w:val="000000"/>
                <w:sz w:val="22"/>
                <w:szCs w:val="22"/>
              </w:rPr>
            </w:pPr>
          </w:p>
        </w:tc>
        <w:tc>
          <w:tcPr>
            <w:tcW w:w="705" w:type="dxa"/>
            <w:tcBorders>
              <w:top w:val="nil"/>
              <w:left w:val="nil"/>
              <w:bottom w:val="nil"/>
              <w:right w:val="nil"/>
            </w:tcBorders>
            <w:shd w:val="clear" w:color="auto" w:fill="auto"/>
            <w:noWrap/>
            <w:vAlign w:val="bottom"/>
          </w:tcPr>
          <w:p w:rsidR="00F90F24" w:rsidRDefault="00F90F24">
            <w:pPr>
              <w:rPr>
                <w:rFonts w:ascii="Calibri" w:hAnsi="Calibri"/>
                <w:color w:val="000000"/>
                <w:sz w:val="22"/>
                <w:szCs w:val="22"/>
              </w:rPr>
            </w:pPr>
          </w:p>
        </w:tc>
        <w:tc>
          <w:tcPr>
            <w:tcW w:w="705" w:type="dxa"/>
            <w:tcBorders>
              <w:top w:val="nil"/>
              <w:left w:val="nil"/>
              <w:bottom w:val="nil"/>
              <w:right w:val="nil"/>
            </w:tcBorders>
            <w:shd w:val="clear" w:color="auto" w:fill="auto"/>
            <w:noWrap/>
            <w:vAlign w:val="bottom"/>
          </w:tcPr>
          <w:p w:rsidR="00F90F24" w:rsidRDefault="00F90F24">
            <w:pPr>
              <w:rPr>
                <w:rFonts w:ascii="Calibri" w:hAnsi="Calibri"/>
                <w:color w:val="000000"/>
                <w:sz w:val="22"/>
                <w:szCs w:val="22"/>
              </w:rPr>
            </w:pPr>
          </w:p>
        </w:tc>
        <w:tc>
          <w:tcPr>
            <w:tcW w:w="705" w:type="dxa"/>
            <w:tcBorders>
              <w:top w:val="nil"/>
              <w:left w:val="nil"/>
              <w:bottom w:val="nil"/>
              <w:right w:val="nil"/>
            </w:tcBorders>
            <w:shd w:val="clear" w:color="auto" w:fill="auto"/>
            <w:noWrap/>
            <w:vAlign w:val="bottom"/>
          </w:tcPr>
          <w:p w:rsidR="00F90F24" w:rsidRDefault="00F90F24">
            <w:pPr>
              <w:rPr>
                <w:rFonts w:ascii="Calibri" w:hAnsi="Calibri"/>
                <w:color w:val="000000"/>
                <w:sz w:val="22"/>
                <w:szCs w:val="22"/>
              </w:rPr>
            </w:pPr>
          </w:p>
        </w:tc>
        <w:tc>
          <w:tcPr>
            <w:tcW w:w="705" w:type="dxa"/>
            <w:tcBorders>
              <w:top w:val="nil"/>
              <w:left w:val="nil"/>
              <w:bottom w:val="nil"/>
              <w:right w:val="nil"/>
            </w:tcBorders>
            <w:shd w:val="clear" w:color="auto" w:fill="auto"/>
            <w:noWrap/>
            <w:vAlign w:val="bottom"/>
          </w:tcPr>
          <w:p w:rsidR="00F90F24" w:rsidRDefault="00F90F24">
            <w:pPr>
              <w:rPr>
                <w:rFonts w:ascii="Calibri" w:hAnsi="Calibri"/>
                <w:color w:val="000000"/>
                <w:sz w:val="22"/>
                <w:szCs w:val="22"/>
              </w:rPr>
            </w:pPr>
          </w:p>
        </w:tc>
        <w:tc>
          <w:tcPr>
            <w:tcW w:w="705" w:type="dxa"/>
            <w:tcBorders>
              <w:top w:val="nil"/>
              <w:left w:val="nil"/>
              <w:bottom w:val="nil"/>
              <w:right w:val="nil"/>
            </w:tcBorders>
            <w:shd w:val="clear" w:color="auto" w:fill="auto"/>
            <w:noWrap/>
            <w:vAlign w:val="bottom"/>
          </w:tcPr>
          <w:p w:rsidR="00F90F24" w:rsidRDefault="00F90F24">
            <w:pPr>
              <w:rPr>
                <w:rFonts w:ascii="Calibri" w:hAnsi="Calibri"/>
                <w:color w:val="000000"/>
                <w:sz w:val="22"/>
                <w:szCs w:val="22"/>
              </w:rPr>
            </w:pPr>
          </w:p>
        </w:tc>
        <w:tc>
          <w:tcPr>
            <w:tcW w:w="705" w:type="dxa"/>
            <w:tcBorders>
              <w:top w:val="nil"/>
              <w:left w:val="nil"/>
              <w:bottom w:val="nil"/>
              <w:right w:val="nil"/>
            </w:tcBorders>
            <w:shd w:val="clear" w:color="auto" w:fill="auto"/>
            <w:noWrap/>
            <w:vAlign w:val="bottom"/>
          </w:tcPr>
          <w:p w:rsidR="00F90F24" w:rsidRDefault="00F90F24">
            <w:pPr>
              <w:rPr>
                <w:rFonts w:ascii="Calibri" w:hAnsi="Calibri"/>
                <w:color w:val="000000"/>
                <w:sz w:val="22"/>
                <w:szCs w:val="22"/>
              </w:rPr>
            </w:pPr>
          </w:p>
        </w:tc>
        <w:tc>
          <w:tcPr>
            <w:tcW w:w="705" w:type="dxa"/>
            <w:tcBorders>
              <w:top w:val="nil"/>
              <w:left w:val="nil"/>
              <w:bottom w:val="nil"/>
              <w:right w:val="nil"/>
            </w:tcBorders>
            <w:shd w:val="clear" w:color="auto" w:fill="auto"/>
            <w:noWrap/>
            <w:vAlign w:val="bottom"/>
          </w:tcPr>
          <w:p w:rsidR="00F90F24" w:rsidRDefault="00F90F24">
            <w:pPr>
              <w:rPr>
                <w:rFonts w:ascii="Calibri" w:hAnsi="Calibri"/>
                <w:color w:val="000000"/>
                <w:sz w:val="22"/>
                <w:szCs w:val="22"/>
              </w:rPr>
            </w:pPr>
          </w:p>
        </w:tc>
        <w:tc>
          <w:tcPr>
            <w:tcW w:w="705" w:type="dxa"/>
            <w:tcBorders>
              <w:top w:val="nil"/>
              <w:left w:val="nil"/>
              <w:bottom w:val="nil"/>
              <w:right w:val="nil"/>
            </w:tcBorders>
            <w:shd w:val="clear" w:color="auto" w:fill="auto"/>
            <w:noWrap/>
            <w:vAlign w:val="bottom"/>
          </w:tcPr>
          <w:p w:rsidR="00F90F24" w:rsidRDefault="00F90F24">
            <w:pPr>
              <w:rPr>
                <w:rFonts w:ascii="Calibri" w:hAnsi="Calibri"/>
                <w:color w:val="000000"/>
                <w:sz w:val="22"/>
                <w:szCs w:val="22"/>
              </w:rPr>
            </w:pPr>
          </w:p>
        </w:tc>
        <w:tc>
          <w:tcPr>
            <w:tcW w:w="705" w:type="dxa"/>
            <w:tcBorders>
              <w:top w:val="nil"/>
              <w:left w:val="nil"/>
              <w:bottom w:val="nil"/>
              <w:right w:val="nil"/>
            </w:tcBorders>
            <w:shd w:val="clear" w:color="auto" w:fill="auto"/>
            <w:noWrap/>
            <w:vAlign w:val="bottom"/>
          </w:tcPr>
          <w:p w:rsidR="00F90F24" w:rsidRDefault="00F90F24">
            <w:pPr>
              <w:rPr>
                <w:rFonts w:ascii="Calibri" w:hAnsi="Calibri"/>
                <w:color w:val="000000"/>
                <w:sz w:val="22"/>
                <w:szCs w:val="22"/>
              </w:rPr>
            </w:pPr>
          </w:p>
        </w:tc>
        <w:tc>
          <w:tcPr>
            <w:tcW w:w="705" w:type="dxa"/>
            <w:tcBorders>
              <w:top w:val="nil"/>
              <w:left w:val="nil"/>
              <w:bottom w:val="nil"/>
              <w:right w:val="nil"/>
            </w:tcBorders>
            <w:shd w:val="clear" w:color="auto" w:fill="auto"/>
            <w:noWrap/>
            <w:vAlign w:val="bottom"/>
          </w:tcPr>
          <w:p w:rsidR="00F90F24" w:rsidRDefault="00F90F24">
            <w:pPr>
              <w:rPr>
                <w:rFonts w:ascii="Calibri" w:hAnsi="Calibri"/>
                <w:color w:val="000000"/>
                <w:sz w:val="22"/>
                <w:szCs w:val="22"/>
              </w:rPr>
            </w:pPr>
          </w:p>
        </w:tc>
      </w:tr>
      <w:tr w:rsidR="00F90F24" w:rsidTr="00E94B47">
        <w:trPr>
          <w:trHeight w:val="255"/>
        </w:trPr>
        <w:tc>
          <w:tcPr>
            <w:tcW w:w="3375" w:type="dxa"/>
            <w:tcBorders>
              <w:top w:val="nil"/>
              <w:left w:val="nil"/>
              <w:bottom w:val="nil"/>
              <w:right w:val="nil"/>
            </w:tcBorders>
            <w:shd w:val="clear" w:color="auto" w:fill="auto"/>
            <w:noWrap/>
            <w:vAlign w:val="bottom"/>
          </w:tcPr>
          <w:p w:rsidR="00F90F24" w:rsidRDefault="00F90F24">
            <w:pPr>
              <w:rPr>
                <w:rFonts w:ascii="Arial" w:hAnsi="Arial" w:cs="Arial"/>
                <w:b/>
                <w:bCs/>
                <w:sz w:val="16"/>
                <w:szCs w:val="16"/>
              </w:rPr>
            </w:pPr>
          </w:p>
        </w:tc>
        <w:tc>
          <w:tcPr>
            <w:tcW w:w="2350" w:type="dxa"/>
            <w:tcBorders>
              <w:top w:val="nil"/>
              <w:left w:val="nil"/>
              <w:bottom w:val="nil"/>
              <w:right w:val="nil"/>
            </w:tcBorders>
            <w:shd w:val="clear" w:color="auto" w:fill="auto"/>
            <w:noWrap/>
            <w:vAlign w:val="bottom"/>
          </w:tcPr>
          <w:p w:rsidR="00F90F24" w:rsidRDefault="00F90F24">
            <w:pPr>
              <w:rPr>
                <w:rFonts w:ascii="Calibri" w:hAnsi="Calibri"/>
                <w:color w:val="000000"/>
                <w:sz w:val="22"/>
                <w:szCs w:val="22"/>
              </w:rPr>
            </w:pPr>
          </w:p>
        </w:tc>
        <w:tc>
          <w:tcPr>
            <w:tcW w:w="705" w:type="dxa"/>
            <w:tcBorders>
              <w:top w:val="nil"/>
              <w:left w:val="nil"/>
              <w:bottom w:val="nil"/>
              <w:right w:val="nil"/>
            </w:tcBorders>
            <w:shd w:val="clear" w:color="auto" w:fill="auto"/>
            <w:noWrap/>
            <w:vAlign w:val="bottom"/>
          </w:tcPr>
          <w:p w:rsidR="00F90F24" w:rsidRDefault="00F90F24">
            <w:pPr>
              <w:rPr>
                <w:rFonts w:ascii="Calibri" w:hAnsi="Calibri"/>
                <w:color w:val="000000"/>
                <w:sz w:val="22"/>
                <w:szCs w:val="22"/>
              </w:rPr>
            </w:pPr>
          </w:p>
        </w:tc>
        <w:tc>
          <w:tcPr>
            <w:tcW w:w="705" w:type="dxa"/>
            <w:tcBorders>
              <w:top w:val="nil"/>
              <w:left w:val="nil"/>
              <w:bottom w:val="nil"/>
              <w:right w:val="nil"/>
            </w:tcBorders>
            <w:shd w:val="clear" w:color="auto" w:fill="auto"/>
            <w:noWrap/>
            <w:vAlign w:val="bottom"/>
          </w:tcPr>
          <w:p w:rsidR="00F90F24" w:rsidRDefault="00F90F24">
            <w:pPr>
              <w:rPr>
                <w:rFonts w:ascii="Calibri" w:hAnsi="Calibri"/>
                <w:color w:val="000000"/>
                <w:sz w:val="22"/>
                <w:szCs w:val="22"/>
              </w:rPr>
            </w:pPr>
          </w:p>
        </w:tc>
        <w:tc>
          <w:tcPr>
            <w:tcW w:w="705" w:type="dxa"/>
            <w:tcBorders>
              <w:top w:val="nil"/>
              <w:left w:val="nil"/>
              <w:bottom w:val="nil"/>
              <w:right w:val="nil"/>
            </w:tcBorders>
            <w:shd w:val="clear" w:color="auto" w:fill="auto"/>
            <w:noWrap/>
            <w:vAlign w:val="bottom"/>
          </w:tcPr>
          <w:p w:rsidR="00F90F24" w:rsidRDefault="00F90F24">
            <w:pPr>
              <w:rPr>
                <w:rFonts w:ascii="Calibri" w:hAnsi="Calibri"/>
                <w:color w:val="000000"/>
                <w:sz w:val="22"/>
                <w:szCs w:val="22"/>
              </w:rPr>
            </w:pPr>
          </w:p>
        </w:tc>
        <w:tc>
          <w:tcPr>
            <w:tcW w:w="705" w:type="dxa"/>
            <w:tcBorders>
              <w:top w:val="nil"/>
              <w:left w:val="nil"/>
              <w:bottom w:val="nil"/>
              <w:right w:val="nil"/>
            </w:tcBorders>
            <w:shd w:val="clear" w:color="auto" w:fill="auto"/>
            <w:noWrap/>
            <w:vAlign w:val="bottom"/>
          </w:tcPr>
          <w:p w:rsidR="00F90F24" w:rsidRDefault="00F90F24">
            <w:pPr>
              <w:rPr>
                <w:rFonts w:ascii="Calibri" w:hAnsi="Calibri"/>
                <w:color w:val="000000"/>
                <w:sz w:val="22"/>
                <w:szCs w:val="22"/>
              </w:rPr>
            </w:pPr>
          </w:p>
        </w:tc>
        <w:tc>
          <w:tcPr>
            <w:tcW w:w="705" w:type="dxa"/>
            <w:tcBorders>
              <w:top w:val="nil"/>
              <w:left w:val="nil"/>
              <w:bottom w:val="nil"/>
              <w:right w:val="nil"/>
            </w:tcBorders>
            <w:shd w:val="clear" w:color="auto" w:fill="auto"/>
            <w:noWrap/>
            <w:vAlign w:val="bottom"/>
          </w:tcPr>
          <w:p w:rsidR="00F90F24" w:rsidRDefault="00F90F24">
            <w:pPr>
              <w:rPr>
                <w:rFonts w:ascii="Calibri" w:hAnsi="Calibri"/>
                <w:color w:val="000000"/>
                <w:sz w:val="22"/>
                <w:szCs w:val="22"/>
              </w:rPr>
            </w:pPr>
          </w:p>
        </w:tc>
        <w:tc>
          <w:tcPr>
            <w:tcW w:w="705" w:type="dxa"/>
            <w:tcBorders>
              <w:top w:val="nil"/>
              <w:left w:val="nil"/>
              <w:bottom w:val="nil"/>
              <w:right w:val="nil"/>
            </w:tcBorders>
            <w:shd w:val="clear" w:color="auto" w:fill="auto"/>
            <w:noWrap/>
            <w:vAlign w:val="bottom"/>
          </w:tcPr>
          <w:p w:rsidR="00F90F24" w:rsidRDefault="00F90F24">
            <w:pPr>
              <w:rPr>
                <w:rFonts w:ascii="Calibri" w:hAnsi="Calibri"/>
                <w:color w:val="000000"/>
                <w:sz w:val="22"/>
                <w:szCs w:val="22"/>
              </w:rPr>
            </w:pPr>
          </w:p>
        </w:tc>
        <w:tc>
          <w:tcPr>
            <w:tcW w:w="705" w:type="dxa"/>
            <w:tcBorders>
              <w:top w:val="nil"/>
              <w:left w:val="nil"/>
              <w:bottom w:val="nil"/>
              <w:right w:val="nil"/>
            </w:tcBorders>
            <w:shd w:val="clear" w:color="auto" w:fill="auto"/>
            <w:noWrap/>
            <w:vAlign w:val="bottom"/>
          </w:tcPr>
          <w:p w:rsidR="00F90F24" w:rsidRDefault="00F90F24">
            <w:pPr>
              <w:rPr>
                <w:rFonts w:ascii="Calibri" w:hAnsi="Calibri"/>
                <w:color w:val="000000"/>
                <w:sz w:val="22"/>
                <w:szCs w:val="22"/>
              </w:rPr>
            </w:pPr>
          </w:p>
        </w:tc>
        <w:tc>
          <w:tcPr>
            <w:tcW w:w="705" w:type="dxa"/>
            <w:tcBorders>
              <w:top w:val="nil"/>
              <w:left w:val="nil"/>
              <w:bottom w:val="nil"/>
              <w:right w:val="nil"/>
            </w:tcBorders>
            <w:shd w:val="clear" w:color="auto" w:fill="auto"/>
            <w:noWrap/>
            <w:vAlign w:val="bottom"/>
          </w:tcPr>
          <w:p w:rsidR="00F90F24" w:rsidRDefault="00F90F24">
            <w:pPr>
              <w:rPr>
                <w:rFonts w:ascii="Calibri" w:hAnsi="Calibri"/>
                <w:color w:val="000000"/>
                <w:sz w:val="22"/>
                <w:szCs w:val="22"/>
              </w:rPr>
            </w:pPr>
          </w:p>
        </w:tc>
        <w:tc>
          <w:tcPr>
            <w:tcW w:w="705" w:type="dxa"/>
            <w:tcBorders>
              <w:top w:val="nil"/>
              <w:left w:val="nil"/>
              <w:bottom w:val="nil"/>
              <w:right w:val="nil"/>
            </w:tcBorders>
            <w:shd w:val="clear" w:color="auto" w:fill="auto"/>
            <w:noWrap/>
            <w:vAlign w:val="bottom"/>
          </w:tcPr>
          <w:p w:rsidR="00F90F24" w:rsidRDefault="00F90F24">
            <w:pPr>
              <w:rPr>
                <w:rFonts w:ascii="Calibri" w:hAnsi="Calibri"/>
                <w:color w:val="000000"/>
                <w:sz w:val="22"/>
                <w:szCs w:val="22"/>
              </w:rPr>
            </w:pPr>
          </w:p>
        </w:tc>
        <w:tc>
          <w:tcPr>
            <w:tcW w:w="705" w:type="dxa"/>
            <w:tcBorders>
              <w:top w:val="nil"/>
              <w:left w:val="nil"/>
              <w:bottom w:val="nil"/>
              <w:right w:val="nil"/>
            </w:tcBorders>
            <w:shd w:val="clear" w:color="auto" w:fill="auto"/>
            <w:noWrap/>
            <w:vAlign w:val="bottom"/>
          </w:tcPr>
          <w:p w:rsidR="00F90F24" w:rsidRDefault="00F90F24">
            <w:pPr>
              <w:rPr>
                <w:rFonts w:ascii="Calibri" w:hAnsi="Calibri"/>
                <w:color w:val="000000"/>
                <w:sz w:val="22"/>
                <w:szCs w:val="22"/>
              </w:rPr>
            </w:pPr>
          </w:p>
        </w:tc>
        <w:tc>
          <w:tcPr>
            <w:tcW w:w="705" w:type="dxa"/>
            <w:tcBorders>
              <w:top w:val="nil"/>
              <w:left w:val="nil"/>
              <w:bottom w:val="nil"/>
              <w:right w:val="nil"/>
            </w:tcBorders>
            <w:shd w:val="clear" w:color="auto" w:fill="auto"/>
            <w:noWrap/>
            <w:vAlign w:val="bottom"/>
          </w:tcPr>
          <w:p w:rsidR="00F90F24" w:rsidRDefault="00F90F24">
            <w:pPr>
              <w:rPr>
                <w:rFonts w:ascii="Calibri" w:hAnsi="Calibri"/>
                <w:color w:val="000000"/>
                <w:sz w:val="22"/>
                <w:szCs w:val="22"/>
              </w:rPr>
            </w:pPr>
          </w:p>
        </w:tc>
      </w:tr>
      <w:tr w:rsidR="00F90F24" w:rsidTr="00E94B47">
        <w:trPr>
          <w:trHeight w:val="300"/>
        </w:trPr>
        <w:tc>
          <w:tcPr>
            <w:tcW w:w="3375" w:type="dxa"/>
            <w:tcBorders>
              <w:top w:val="nil"/>
              <w:left w:val="nil"/>
              <w:bottom w:val="nil"/>
              <w:right w:val="nil"/>
            </w:tcBorders>
            <w:shd w:val="clear" w:color="auto" w:fill="auto"/>
            <w:noWrap/>
            <w:vAlign w:val="bottom"/>
          </w:tcPr>
          <w:p w:rsidR="00F90F24" w:rsidRDefault="00F90F24">
            <w:pPr>
              <w:rPr>
                <w:rFonts w:ascii="Arial" w:hAnsi="Arial" w:cs="Arial"/>
                <w:b/>
                <w:bCs/>
                <w:sz w:val="16"/>
                <w:szCs w:val="16"/>
              </w:rPr>
            </w:pPr>
          </w:p>
        </w:tc>
        <w:tc>
          <w:tcPr>
            <w:tcW w:w="2350" w:type="dxa"/>
            <w:tcBorders>
              <w:top w:val="nil"/>
              <w:left w:val="nil"/>
              <w:bottom w:val="nil"/>
              <w:right w:val="nil"/>
            </w:tcBorders>
            <w:shd w:val="clear" w:color="auto" w:fill="auto"/>
            <w:noWrap/>
            <w:vAlign w:val="bottom"/>
          </w:tcPr>
          <w:p w:rsidR="00F90F24" w:rsidRDefault="00F90F24">
            <w:pPr>
              <w:rPr>
                <w:rFonts w:ascii="Calibri" w:hAnsi="Calibri"/>
                <w:color w:val="000000"/>
                <w:sz w:val="22"/>
                <w:szCs w:val="22"/>
              </w:rPr>
            </w:pPr>
          </w:p>
        </w:tc>
        <w:tc>
          <w:tcPr>
            <w:tcW w:w="705" w:type="dxa"/>
            <w:tcBorders>
              <w:top w:val="nil"/>
              <w:left w:val="nil"/>
              <w:bottom w:val="nil"/>
              <w:right w:val="nil"/>
            </w:tcBorders>
            <w:shd w:val="clear" w:color="auto" w:fill="auto"/>
            <w:noWrap/>
            <w:vAlign w:val="bottom"/>
          </w:tcPr>
          <w:p w:rsidR="00F90F24" w:rsidRDefault="00F90F24">
            <w:pPr>
              <w:rPr>
                <w:rFonts w:ascii="Calibri" w:hAnsi="Calibri"/>
                <w:color w:val="000000"/>
                <w:sz w:val="22"/>
                <w:szCs w:val="22"/>
              </w:rPr>
            </w:pPr>
          </w:p>
        </w:tc>
        <w:tc>
          <w:tcPr>
            <w:tcW w:w="705" w:type="dxa"/>
            <w:tcBorders>
              <w:top w:val="nil"/>
              <w:left w:val="nil"/>
              <w:bottom w:val="nil"/>
              <w:right w:val="nil"/>
            </w:tcBorders>
            <w:shd w:val="clear" w:color="auto" w:fill="auto"/>
            <w:noWrap/>
            <w:vAlign w:val="bottom"/>
          </w:tcPr>
          <w:p w:rsidR="00F90F24" w:rsidRDefault="00F90F24">
            <w:pPr>
              <w:rPr>
                <w:rFonts w:ascii="Calibri" w:hAnsi="Calibri"/>
                <w:color w:val="000000"/>
                <w:sz w:val="22"/>
                <w:szCs w:val="22"/>
              </w:rPr>
            </w:pPr>
          </w:p>
        </w:tc>
        <w:tc>
          <w:tcPr>
            <w:tcW w:w="705" w:type="dxa"/>
            <w:tcBorders>
              <w:top w:val="nil"/>
              <w:left w:val="nil"/>
              <w:bottom w:val="nil"/>
              <w:right w:val="nil"/>
            </w:tcBorders>
            <w:shd w:val="clear" w:color="auto" w:fill="auto"/>
            <w:noWrap/>
            <w:vAlign w:val="bottom"/>
          </w:tcPr>
          <w:p w:rsidR="00F90F24" w:rsidRDefault="00F90F24">
            <w:pPr>
              <w:rPr>
                <w:rFonts w:ascii="Calibri" w:hAnsi="Calibri"/>
                <w:color w:val="000000"/>
                <w:sz w:val="22"/>
                <w:szCs w:val="22"/>
              </w:rPr>
            </w:pPr>
          </w:p>
        </w:tc>
        <w:tc>
          <w:tcPr>
            <w:tcW w:w="705" w:type="dxa"/>
            <w:tcBorders>
              <w:top w:val="nil"/>
              <w:left w:val="nil"/>
              <w:bottom w:val="nil"/>
              <w:right w:val="nil"/>
            </w:tcBorders>
            <w:shd w:val="clear" w:color="auto" w:fill="auto"/>
            <w:noWrap/>
            <w:vAlign w:val="bottom"/>
          </w:tcPr>
          <w:p w:rsidR="00F90F24" w:rsidRDefault="00F90F24">
            <w:pPr>
              <w:rPr>
                <w:rFonts w:ascii="Calibri" w:hAnsi="Calibri"/>
                <w:color w:val="000000"/>
                <w:sz w:val="22"/>
                <w:szCs w:val="22"/>
              </w:rPr>
            </w:pPr>
          </w:p>
        </w:tc>
        <w:tc>
          <w:tcPr>
            <w:tcW w:w="705" w:type="dxa"/>
            <w:tcBorders>
              <w:top w:val="nil"/>
              <w:left w:val="nil"/>
              <w:bottom w:val="nil"/>
              <w:right w:val="nil"/>
            </w:tcBorders>
            <w:shd w:val="clear" w:color="auto" w:fill="auto"/>
            <w:noWrap/>
            <w:vAlign w:val="bottom"/>
          </w:tcPr>
          <w:p w:rsidR="00F90F24" w:rsidRDefault="00F90F24">
            <w:pPr>
              <w:rPr>
                <w:rFonts w:ascii="Calibri" w:hAnsi="Calibri"/>
                <w:color w:val="000000"/>
                <w:sz w:val="22"/>
                <w:szCs w:val="22"/>
              </w:rPr>
            </w:pPr>
          </w:p>
        </w:tc>
        <w:tc>
          <w:tcPr>
            <w:tcW w:w="705" w:type="dxa"/>
            <w:tcBorders>
              <w:top w:val="nil"/>
              <w:left w:val="nil"/>
              <w:bottom w:val="nil"/>
              <w:right w:val="nil"/>
            </w:tcBorders>
            <w:shd w:val="clear" w:color="auto" w:fill="auto"/>
            <w:noWrap/>
            <w:vAlign w:val="bottom"/>
          </w:tcPr>
          <w:p w:rsidR="00F90F24" w:rsidRDefault="00F90F24">
            <w:pPr>
              <w:rPr>
                <w:rFonts w:ascii="Calibri" w:hAnsi="Calibri"/>
                <w:color w:val="000000"/>
                <w:sz w:val="22"/>
                <w:szCs w:val="22"/>
              </w:rPr>
            </w:pPr>
          </w:p>
        </w:tc>
        <w:tc>
          <w:tcPr>
            <w:tcW w:w="705" w:type="dxa"/>
            <w:tcBorders>
              <w:top w:val="nil"/>
              <w:left w:val="nil"/>
              <w:bottom w:val="nil"/>
              <w:right w:val="nil"/>
            </w:tcBorders>
            <w:shd w:val="clear" w:color="auto" w:fill="auto"/>
            <w:noWrap/>
            <w:vAlign w:val="bottom"/>
          </w:tcPr>
          <w:p w:rsidR="00F90F24" w:rsidRDefault="00F90F24">
            <w:pPr>
              <w:rPr>
                <w:rFonts w:ascii="Calibri" w:hAnsi="Calibri"/>
                <w:color w:val="000000"/>
                <w:sz w:val="22"/>
                <w:szCs w:val="22"/>
              </w:rPr>
            </w:pPr>
          </w:p>
        </w:tc>
        <w:tc>
          <w:tcPr>
            <w:tcW w:w="705" w:type="dxa"/>
            <w:tcBorders>
              <w:top w:val="nil"/>
              <w:left w:val="nil"/>
              <w:bottom w:val="nil"/>
              <w:right w:val="nil"/>
            </w:tcBorders>
            <w:shd w:val="clear" w:color="auto" w:fill="auto"/>
            <w:noWrap/>
            <w:vAlign w:val="bottom"/>
          </w:tcPr>
          <w:p w:rsidR="00F90F24" w:rsidRDefault="00F90F24">
            <w:pPr>
              <w:rPr>
                <w:rFonts w:ascii="Calibri" w:hAnsi="Calibri"/>
                <w:color w:val="000000"/>
                <w:sz w:val="22"/>
                <w:szCs w:val="22"/>
              </w:rPr>
            </w:pPr>
          </w:p>
        </w:tc>
        <w:tc>
          <w:tcPr>
            <w:tcW w:w="705" w:type="dxa"/>
            <w:tcBorders>
              <w:top w:val="nil"/>
              <w:left w:val="nil"/>
              <w:bottom w:val="nil"/>
              <w:right w:val="nil"/>
            </w:tcBorders>
            <w:shd w:val="clear" w:color="auto" w:fill="auto"/>
            <w:noWrap/>
            <w:vAlign w:val="bottom"/>
          </w:tcPr>
          <w:p w:rsidR="00F90F24" w:rsidRDefault="00F90F24">
            <w:pPr>
              <w:rPr>
                <w:rFonts w:ascii="Calibri" w:hAnsi="Calibri"/>
                <w:color w:val="000000"/>
                <w:sz w:val="22"/>
                <w:szCs w:val="22"/>
              </w:rPr>
            </w:pPr>
          </w:p>
        </w:tc>
        <w:tc>
          <w:tcPr>
            <w:tcW w:w="705" w:type="dxa"/>
            <w:tcBorders>
              <w:top w:val="nil"/>
              <w:left w:val="nil"/>
              <w:bottom w:val="nil"/>
              <w:right w:val="nil"/>
            </w:tcBorders>
            <w:shd w:val="clear" w:color="auto" w:fill="auto"/>
            <w:noWrap/>
            <w:vAlign w:val="bottom"/>
          </w:tcPr>
          <w:p w:rsidR="00F90F24" w:rsidRDefault="00F90F24">
            <w:pPr>
              <w:rPr>
                <w:rFonts w:ascii="Calibri" w:hAnsi="Calibri"/>
                <w:color w:val="000000"/>
                <w:sz w:val="22"/>
                <w:szCs w:val="22"/>
              </w:rPr>
            </w:pPr>
          </w:p>
        </w:tc>
        <w:tc>
          <w:tcPr>
            <w:tcW w:w="705" w:type="dxa"/>
            <w:tcBorders>
              <w:top w:val="nil"/>
              <w:left w:val="nil"/>
              <w:bottom w:val="nil"/>
              <w:right w:val="nil"/>
            </w:tcBorders>
            <w:shd w:val="clear" w:color="auto" w:fill="auto"/>
            <w:noWrap/>
            <w:vAlign w:val="bottom"/>
          </w:tcPr>
          <w:p w:rsidR="00F90F24" w:rsidRDefault="00F90F24">
            <w:pPr>
              <w:rPr>
                <w:rFonts w:ascii="Calibri" w:hAnsi="Calibri"/>
                <w:color w:val="000000"/>
                <w:sz w:val="22"/>
                <w:szCs w:val="22"/>
              </w:rPr>
            </w:pPr>
          </w:p>
        </w:tc>
      </w:tr>
    </w:tbl>
    <w:p w:rsidR="008039E5" w:rsidRDefault="008039E5" w:rsidP="00567358">
      <w:pPr>
        <w:tabs>
          <w:tab w:val="left" w:pos="1080"/>
          <w:tab w:val="left" w:pos="3600"/>
          <w:tab w:val="left" w:pos="5580"/>
        </w:tabs>
        <w:rPr>
          <w:iCs/>
        </w:rPr>
        <w:sectPr w:rsidR="008039E5" w:rsidSect="007947CA">
          <w:pgSz w:w="15840" w:h="12240" w:orient="landscape" w:code="1"/>
          <w:pgMar w:top="1152" w:right="1152" w:bottom="1152" w:left="1152" w:header="432" w:footer="432" w:gutter="0"/>
          <w:cols w:space="720"/>
          <w:docGrid w:linePitch="326"/>
        </w:sectPr>
      </w:pPr>
    </w:p>
    <w:p w:rsidR="000B458C" w:rsidRPr="00A72EE0" w:rsidRDefault="001860D6" w:rsidP="000B458C">
      <w:pPr>
        <w:pStyle w:val="BodyText"/>
        <w:rPr>
          <w:b/>
        </w:rPr>
      </w:pPr>
      <w:r w:rsidRPr="001860D6">
        <w:rPr>
          <w:b/>
        </w:rPr>
        <w:t>3.</w:t>
      </w:r>
      <w:r w:rsidR="000B458C">
        <w:t xml:space="preserve">   </w:t>
      </w:r>
      <w:r w:rsidR="000B458C" w:rsidRPr="00A72EE0">
        <w:rPr>
          <w:b/>
        </w:rPr>
        <w:t>Performance, Resources, and Strategies</w:t>
      </w:r>
    </w:p>
    <w:p w:rsidR="000B458C" w:rsidRDefault="000B458C" w:rsidP="000B458C">
      <w:pPr>
        <w:pStyle w:val="BodyText"/>
      </w:pPr>
    </w:p>
    <w:p w:rsidR="000B458C" w:rsidRDefault="000B458C" w:rsidP="000B458C">
      <w:pPr>
        <w:pStyle w:val="BodyText"/>
        <w:rPr>
          <w:i/>
        </w:rPr>
      </w:pPr>
    </w:p>
    <w:p w:rsidR="000B458C" w:rsidRDefault="000B458C" w:rsidP="000B458C">
      <w:pPr>
        <w:pStyle w:val="BodyText"/>
        <w:rPr>
          <w:rFonts w:cs="Arial"/>
        </w:rPr>
      </w:pPr>
      <w:r>
        <w:rPr>
          <w:rFonts w:cs="Arial"/>
        </w:rPr>
        <w:t xml:space="preserve">a. </w:t>
      </w:r>
      <w:r>
        <w:rPr>
          <w:rFonts w:cs="Arial"/>
        </w:rPr>
        <w:tab/>
        <w:t xml:space="preserve">  Performance Plan and Report for Outcomes</w:t>
      </w:r>
    </w:p>
    <w:p w:rsidR="000B458C" w:rsidRDefault="000B458C" w:rsidP="000B458C">
      <w:pPr>
        <w:pStyle w:val="BodyText"/>
      </w:pPr>
    </w:p>
    <w:p w:rsidR="00F37C28" w:rsidRPr="00255927" w:rsidRDefault="000B458C" w:rsidP="00F37C28">
      <w:pPr>
        <w:numPr>
          <w:ilvl w:val="12"/>
          <w:numId w:val="0"/>
        </w:numPr>
        <w:rPr>
          <w:b/>
        </w:rPr>
      </w:pPr>
      <w:r w:rsidRPr="00390F26">
        <w:rPr>
          <w:iCs/>
        </w:rPr>
        <w:t xml:space="preserve">The Conflict Resolution and Violence Prevention Activities program contributes to the </w:t>
      </w:r>
      <w:r w:rsidRPr="00390F26">
        <w:rPr>
          <w:u w:val="single"/>
        </w:rPr>
        <w:t>Department’s Strategic Goal #2</w:t>
      </w:r>
      <w:r w:rsidRPr="00390F26">
        <w:t>,</w:t>
      </w:r>
      <w:r w:rsidR="00F37C28" w:rsidRPr="009021D8">
        <w:rPr>
          <w:b/>
        </w:rPr>
        <w:t xml:space="preserve"> </w:t>
      </w:r>
      <w:r w:rsidR="009D019D" w:rsidRPr="009D019D">
        <w:rPr>
          <w:b/>
        </w:rPr>
        <w:t xml:space="preserve">Prevent Crime, Protect the Rights of the American People, and Enforce Federal Law. </w:t>
      </w:r>
    </w:p>
    <w:p w:rsidR="00F37C28" w:rsidRDefault="00F37C28" w:rsidP="00F37C28">
      <w:pPr>
        <w:numPr>
          <w:ilvl w:val="12"/>
          <w:numId w:val="0"/>
        </w:numPr>
      </w:pPr>
    </w:p>
    <w:p w:rsidR="00F37C28" w:rsidRDefault="00F37C28" w:rsidP="00F37C28">
      <w:pPr>
        <w:numPr>
          <w:ilvl w:val="12"/>
          <w:numId w:val="0"/>
        </w:numPr>
      </w:pPr>
      <w:r>
        <w:t>Within these goals, CRS Specially addresses Strategic Objectives 2.2: Prevent and intervene in crimes against populations, uphold the rights of, and improve services to American’s crime victims and Strategic Objective 2.5: Promote and protect Americans’ civil rights.</w:t>
      </w:r>
    </w:p>
    <w:p w:rsidR="000B458C" w:rsidRPr="00390F26" w:rsidRDefault="000B458C" w:rsidP="000B458C">
      <w:pPr>
        <w:pStyle w:val="BodyText"/>
        <w:rPr>
          <w:iCs/>
        </w:rPr>
      </w:pPr>
      <w:r w:rsidRPr="00390F26">
        <w:t xml:space="preserve"> </w:t>
      </w:r>
    </w:p>
    <w:p w:rsidR="000B458C" w:rsidRPr="00390F26" w:rsidRDefault="000B458C" w:rsidP="000B458C">
      <w:pPr>
        <w:pStyle w:val="BodyText"/>
        <w:rPr>
          <w:iCs/>
        </w:rPr>
      </w:pPr>
      <w:r w:rsidRPr="00390F26">
        <w:rPr>
          <w:iCs/>
        </w:rPr>
        <w:t>Each region, composed of 2-4 Conciliators and one Regional Director, conducts appraisals of racial tension, in collaboration with community, state and local officials, to determine projects that require immediate attention and demonstrate the greatest need for inclusion in a work plan for resolving racial conflict or violence.  Annually, the work plan addresses those communities within each region that require conflict resolution services on an annual basis.  Approximately 75% of the region’s workload is direct crisis response services, 5% administrative, and 20% comprehensive projects that address the Annual Appraisal of R</w:t>
      </w:r>
      <w:r>
        <w:rPr>
          <w:iCs/>
        </w:rPr>
        <w:t>egiona</w:t>
      </w:r>
      <w:r w:rsidRPr="00390F26">
        <w:rPr>
          <w:iCs/>
        </w:rPr>
        <w:t>l Tension (AART).  Most CRS Conciliators have a common set of programmatic tools, such as mediation, conflict resolution, technical assistance, and specific conflict-related training programs that respond to racial tension and violence.</w:t>
      </w:r>
    </w:p>
    <w:p w:rsidR="000B458C" w:rsidRPr="00390F26" w:rsidRDefault="000B458C" w:rsidP="000B458C">
      <w:pPr>
        <w:pStyle w:val="BodyText"/>
      </w:pPr>
    </w:p>
    <w:p w:rsidR="000B458C" w:rsidRPr="00390F26" w:rsidRDefault="000B458C" w:rsidP="000B458C">
      <w:r w:rsidRPr="00390F26">
        <w:t>b.</w:t>
      </w:r>
      <w:r w:rsidRPr="00390F26">
        <w:tab/>
        <w:t xml:space="preserve">  Strategies to Accomplish Outcomes</w:t>
      </w:r>
    </w:p>
    <w:p w:rsidR="000B458C" w:rsidRPr="00390F26" w:rsidRDefault="000B458C" w:rsidP="000B458C"/>
    <w:p w:rsidR="000B458C" w:rsidRPr="00390F26" w:rsidRDefault="000B458C" w:rsidP="000B458C">
      <w:r w:rsidRPr="00390F26">
        <w:t xml:space="preserve">CRS strategies include the Law Enforcement Mediation Skills (LEMS) and Anti-Racial Profiling Programs; Arab, Muslim, and Sikh (AMS) Cultural Awareness Program; </w:t>
      </w:r>
      <w:r>
        <w:t>the Self-Marshalling Assistance and Training Program, and</w:t>
      </w:r>
      <w:r w:rsidRPr="00390F26">
        <w:t xml:space="preserve"> the City Problem Identification and Resolution of Issues Together (City SPIRIT) program.  [See Section IV for detailed descriptions of CRS strategy programs.</w:t>
      </w:r>
      <w:r>
        <w:t xml:space="preserve">] </w:t>
      </w:r>
      <w:r w:rsidRPr="00390F26">
        <w:t xml:space="preserve"> These strategies are specifically designed to assist states, local communities, and tribal governments in resolving violence and conflict.</w:t>
      </w:r>
      <w:r>
        <w:t xml:space="preserve"> </w:t>
      </w:r>
      <w:r w:rsidRPr="00390F26">
        <w:t xml:space="preserve"> CRS has been working collaboratively with four major customer groups: (1) investigative and law enforcement agencies; (2) courts, state, local and tribal governments, and federal agencies, including U.S. Attorneys, FBI, various components of the Department of Justice, Department of Housing and Urban Development, Department of the Interior, Department of Transportation/Transportation Security Administration, Department of Education, and domestic </w:t>
      </w:r>
      <w:r w:rsidRPr="00C22A0B">
        <w:t>immigration</w:t>
      </w:r>
      <w:r w:rsidRPr="00390F26">
        <w:t xml:space="preserve"> officials; (3) schools, colleges, and universities; and (4) community groups and other organizations to assist and resolve racial </w:t>
      </w:r>
      <w:r>
        <w:t xml:space="preserve">conflict and to help communities develop the ability to more effectively prevent and respond to alleged violent hate crimes on the basis of actual or perceived race, color, national origin, gender, gender identity, sexual orientation, religion, or disability.  </w:t>
      </w:r>
      <w:r w:rsidRPr="00390F26">
        <w:t xml:space="preserve">CRS develops strategies that focus on bringing together the energy of community leaders, organizations, and citizens to work towards crime-prevention and providing safe neighborhoods and communities for all Americans through cooperation and coordination with other Department of Justice components.  CRS provides comprehensive services that empower communities to help themselves and maximize the federal investment at the local level through capacity building. </w:t>
      </w:r>
    </w:p>
    <w:p w:rsidR="000B458C" w:rsidRPr="00390F26" w:rsidRDefault="000B458C" w:rsidP="000B458C"/>
    <w:p w:rsidR="008039E5" w:rsidRDefault="000B458C" w:rsidP="000B458C">
      <w:pPr>
        <w:rPr>
          <w:sz w:val="16"/>
        </w:rPr>
        <w:sectPr w:rsidR="008039E5" w:rsidSect="00827889">
          <w:pgSz w:w="12240" w:h="15840" w:code="1"/>
          <w:pgMar w:top="1152" w:right="1152" w:bottom="1152" w:left="1152" w:header="432" w:footer="432" w:gutter="0"/>
          <w:cols w:space="720"/>
          <w:docGrid w:linePitch="326"/>
        </w:sectPr>
      </w:pPr>
      <w:r w:rsidRPr="00390F26">
        <w:t>In order to fulfill the strategic goals of the Agency, the CRS management team will continue to stress contemporary mediation skills development, accountability, adherence to performance</w:t>
      </w:r>
    </w:p>
    <w:p w:rsidR="008039E5" w:rsidRPr="00390F26" w:rsidRDefault="008039E5" w:rsidP="00536DC0">
      <w:r w:rsidRPr="00390F26">
        <w:t xml:space="preserve">work plans, and affirmation of a merit award system for outstanding work.  CRS’ success can be evaluated on how well its services assist communities in need, contributing to the Department’s Conflict Resolution and Violence Prevention Activities.  In addition, CRS is gauged on its success in keeping the peace in cities throughout the country when events occur that have the potential to escalate into major riots or violence.  CRS continues to evaluate new methods for measuring the Agency’s success, always aiming to improve upon its service delivery to American communities.   </w:t>
      </w:r>
    </w:p>
    <w:p w:rsidR="008039E5" w:rsidRPr="00390F26" w:rsidRDefault="008039E5" w:rsidP="00536DC0"/>
    <w:p w:rsidR="008039E5" w:rsidRPr="00390F26" w:rsidRDefault="008039E5" w:rsidP="00536DC0">
      <w:r w:rsidRPr="00390F26">
        <w:t>c.</w:t>
      </w:r>
      <w:r w:rsidRPr="00390F26">
        <w:tab/>
        <w:t xml:space="preserve">Results of </w:t>
      </w:r>
      <w:r>
        <w:t>Program Assessment</w:t>
      </w:r>
      <w:r w:rsidRPr="00390F26">
        <w:t xml:space="preserve"> Reviews</w:t>
      </w:r>
    </w:p>
    <w:p w:rsidR="008039E5" w:rsidRPr="00390F26" w:rsidRDefault="008039E5" w:rsidP="00536DC0"/>
    <w:p w:rsidR="008039E5" w:rsidRPr="00390F26" w:rsidRDefault="008039E5" w:rsidP="00536DC0">
      <w:r w:rsidRPr="00390F26">
        <w:t xml:space="preserve"> No programs in the CRS budget account have been subject to an independent </w:t>
      </w:r>
      <w:r>
        <w:t>Program Assessment</w:t>
      </w:r>
      <w:r w:rsidRPr="00390F26">
        <w:t xml:space="preserve"> Review. </w:t>
      </w:r>
      <w:r>
        <w:t xml:space="preserve"> </w:t>
      </w:r>
      <w:r w:rsidRPr="00390F26">
        <w:t xml:space="preserve">CRS has consistently maintained a green status for all five performance measureable areas. </w:t>
      </w:r>
      <w:r w:rsidRPr="00390F26">
        <w:tab/>
      </w:r>
    </w:p>
    <w:p w:rsidR="00303023" w:rsidRPr="00303023" w:rsidRDefault="00303023" w:rsidP="00536DC0">
      <w:pPr>
        <w:pStyle w:val="Footer"/>
        <w:tabs>
          <w:tab w:val="clear" w:pos="8640"/>
          <w:tab w:val="left" w:leader="dot" w:pos="4320"/>
        </w:tabs>
        <w:rPr>
          <w:rFonts w:ascii="Times New Roman" w:hAnsi="Times New Roman"/>
          <w:b/>
          <w:sz w:val="24"/>
          <w:szCs w:val="24"/>
        </w:rPr>
      </w:pPr>
    </w:p>
    <w:p w:rsidR="00C16250" w:rsidRPr="00303023" w:rsidRDefault="00C16250" w:rsidP="00536DC0">
      <w:pPr>
        <w:pStyle w:val="Footer"/>
        <w:tabs>
          <w:tab w:val="clear" w:pos="8640"/>
          <w:tab w:val="left" w:leader="dot" w:pos="4320"/>
        </w:tabs>
        <w:rPr>
          <w:rFonts w:ascii="Times New Roman" w:hAnsi="Times New Roman"/>
          <w:b/>
          <w:sz w:val="24"/>
          <w:szCs w:val="24"/>
        </w:rPr>
      </w:pPr>
    </w:p>
    <w:p w:rsidR="008039E5" w:rsidRPr="00303023" w:rsidRDefault="009E6187" w:rsidP="00B87D1D">
      <w:pPr>
        <w:pStyle w:val="BodyText"/>
        <w:rPr>
          <w:rFonts w:cs="Arial"/>
          <w:b/>
          <w:sz w:val="28"/>
          <w:szCs w:val="28"/>
        </w:rPr>
      </w:pPr>
      <w:r w:rsidRPr="009E6187">
        <w:rPr>
          <w:rFonts w:cs="Arial"/>
          <w:b/>
          <w:sz w:val="28"/>
          <w:szCs w:val="28"/>
        </w:rPr>
        <w:t>V. Program Increases by Item</w:t>
      </w:r>
    </w:p>
    <w:p w:rsidR="008039E5" w:rsidRDefault="008039E5" w:rsidP="0089771B">
      <w:pPr>
        <w:pStyle w:val="BodyText"/>
        <w:ind w:left="360"/>
        <w:rPr>
          <w:rFonts w:cs="Arial"/>
          <w:b/>
          <w:szCs w:val="24"/>
        </w:rPr>
      </w:pPr>
    </w:p>
    <w:p w:rsidR="008039E5" w:rsidRDefault="00E25731" w:rsidP="0075358D">
      <w:pPr>
        <w:pStyle w:val="xl19"/>
        <w:tabs>
          <w:tab w:val="left" w:pos="3420"/>
          <w:tab w:val="right" w:pos="8640"/>
        </w:tabs>
        <w:spacing w:before="0" w:after="0"/>
        <w:rPr>
          <w:b/>
          <w:bCs/>
          <w:u w:val="single"/>
        </w:rPr>
      </w:pPr>
      <w:r w:rsidRPr="00201C69">
        <w:rPr>
          <w:b/>
          <w:bCs/>
        </w:rPr>
        <w:t>Item Name:</w:t>
      </w:r>
      <w:r w:rsidRPr="00201C69">
        <w:rPr>
          <w:b/>
          <w:bCs/>
        </w:rPr>
        <w:tab/>
      </w:r>
      <w:r w:rsidR="001860D6" w:rsidRPr="001860D6">
        <w:rPr>
          <w:b/>
          <w:bCs/>
        </w:rPr>
        <w:t>Hate Crime Prevention and Response</w:t>
      </w:r>
    </w:p>
    <w:p w:rsidR="00E25731" w:rsidRDefault="00E25731" w:rsidP="0075358D">
      <w:pPr>
        <w:pStyle w:val="xl19"/>
        <w:tabs>
          <w:tab w:val="left" w:pos="3420"/>
          <w:tab w:val="right" w:pos="8640"/>
        </w:tabs>
        <w:spacing w:before="0" w:after="0"/>
      </w:pPr>
    </w:p>
    <w:p w:rsidR="008039E5" w:rsidRDefault="008039E5" w:rsidP="0075358D">
      <w:pPr>
        <w:pStyle w:val="xl19"/>
        <w:tabs>
          <w:tab w:val="left" w:pos="3420"/>
          <w:tab w:val="right" w:pos="8640"/>
        </w:tabs>
        <w:spacing w:before="0" w:after="0"/>
      </w:pPr>
      <w:r>
        <w:t>Budget Decision Unit(</w:t>
      </w:r>
      <w:r w:rsidR="008531F6">
        <w:t xml:space="preserve">s): </w:t>
      </w:r>
      <w:r w:rsidR="008531F6">
        <w:tab/>
        <w:t>Conflict Resolution &amp; Violence Prevention Activities</w:t>
      </w:r>
    </w:p>
    <w:p w:rsidR="009E6187" w:rsidRDefault="009E6187" w:rsidP="009E6187">
      <w:pPr>
        <w:pStyle w:val="xl19"/>
        <w:tabs>
          <w:tab w:val="left" w:pos="3420"/>
          <w:tab w:val="right" w:pos="8640"/>
        </w:tabs>
        <w:spacing w:before="0" w:after="0"/>
      </w:pPr>
    </w:p>
    <w:p w:rsidR="009E6187" w:rsidRDefault="008039E5" w:rsidP="009E6187">
      <w:pPr>
        <w:pStyle w:val="xl19"/>
        <w:tabs>
          <w:tab w:val="left" w:pos="3420"/>
          <w:tab w:val="right" w:pos="8640"/>
        </w:tabs>
        <w:spacing w:before="0"/>
        <w:ind w:left="3420" w:hanging="3420"/>
      </w:pPr>
      <w:r>
        <w:t>Strategic Goal(s) &amp; Objective(s):</w:t>
      </w:r>
      <w:r>
        <w:tab/>
      </w:r>
      <w:r w:rsidRPr="00CB7FD4">
        <w:rPr>
          <w:b/>
        </w:rPr>
        <w:t>Strategic Goal 2:</w:t>
      </w:r>
      <w:r w:rsidRPr="000A65DB">
        <w:t xml:space="preserve"> </w:t>
      </w:r>
      <w:r w:rsidR="00847B90">
        <w:t>Prevent Crime, Protect the Rights of the American People, and Enforce Federal Law</w:t>
      </w:r>
      <w:r w:rsidR="00847B90" w:rsidRPr="00DB1FBA">
        <w:t>.</w:t>
      </w:r>
    </w:p>
    <w:p w:rsidR="009E6187" w:rsidRDefault="00303023" w:rsidP="009E6187">
      <w:pPr>
        <w:pStyle w:val="xl19"/>
        <w:tabs>
          <w:tab w:val="left" w:pos="3420"/>
          <w:tab w:val="right" w:pos="8640"/>
        </w:tabs>
        <w:spacing w:before="0"/>
        <w:ind w:left="3420" w:hanging="3420"/>
        <w:rPr>
          <w:b/>
        </w:rPr>
      </w:pPr>
      <w:r>
        <w:tab/>
      </w:r>
      <w:r w:rsidR="008039E5" w:rsidRPr="00CB7FD4">
        <w:rPr>
          <w:b/>
        </w:rPr>
        <w:t>Strategic Objective 2.</w:t>
      </w:r>
      <w:r w:rsidR="00847B90">
        <w:rPr>
          <w:b/>
        </w:rPr>
        <w:t xml:space="preserve">2: </w:t>
      </w:r>
      <w:r w:rsidR="009E6187" w:rsidRPr="009E6187">
        <w:t>Prevent and intervene in crimes against populations, uphold the rights of, and improve services to American’s crime victims</w:t>
      </w:r>
      <w:r>
        <w:t>.</w:t>
      </w:r>
      <w:r w:rsidR="00847B90" w:rsidRPr="00CB7FD4" w:rsidDel="00847B90">
        <w:rPr>
          <w:b/>
        </w:rPr>
        <w:t xml:space="preserve"> </w:t>
      </w:r>
      <w:r w:rsidR="00847B90">
        <w:rPr>
          <w:b/>
        </w:rPr>
        <w:tab/>
      </w:r>
    </w:p>
    <w:p w:rsidR="009E6187" w:rsidRDefault="00303023" w:rsidP="009E6187">
      <w:pPr>
        <w:pStyle w:val="xl19"/>
        <w:tabs>
          <w:tab w:val="left" w:pos="3420"/>
          <w:tab w:val="right" w:pos="8640"/>
        </w:tabs>
        <w:spacing w:before="0" w:after="0"/>
        <w:ind w:left="3420" w:hanging="3420"/>
        <w:rPr>
          <w:b/>
        </w:rPr>
      </w:pPr>
      <w:r>
        <w:rPr>
          <w:b/>
        </w:rPr>
        <w:tab/>
      </w:r>
      <w:r w:rsidR="008039E5" w:rsidRPr="00CB7FD4">
        <w:rPr>
          <w:b/>
        </w:rPr>
        <w:t>Strategic Objective</w:t>
      </w:r>
      <w:r w:rsidR="008039E5">
        <w:rPr>
          <w:b/>
        </w:rPr>
        <w:t xml:space="preserve"> </w:t>
      </w:r>
      <w:r w:rsidR="00847B90">
        <w:rPr>
          <w:b/>
        </w:rPr>
        <w:t>2.5</w:t>
      </w:r>
      <w:r w:rsidR="008039E5" w:rsidRPr="001812FF">
        <w:rPr>
          <w:b/>
        </w:rPr>
        <w:t>:</w:t>
      </w:r>
      <w:r w:rsidR="00576E43" w:rsidRPr="00576E43">
        <w:rPr>
          <w:b/>
        </w:rPr>
        <w:t xml:space="preserve">  </w:t>
      </w:r>
      <w:r w:rsidR="009E6187" w:rsidRPr="009E6187">
        <w:t>Promote and protect Americans’ civil rights.</w:t>
      </w:r>
    </w:p>
    <w:p w:rsidR="009E6187" w:rsidRDefault="009E6187" w:rsidP="009E6187">
      <w:pPr>
        <w:pStyle w:val="xl19"/>
        <w:tabs>
          <w:tab w:val="left" w:pos="3420"/>
          <w:tab w:val="right" w:pos="8640"/>
        </w:tabs>
        <w:spacing w:before="0" w:after="0"/>
        <w:ind w:left="3420" w:hanging="3420"/>
      </w:pPr>
    </w:p>
    <w:p w:rsidR="008039E5" w:rsidRPr="00B261DA" w:rsidRDefault="008039E5" w:rsidP="00C8084D">
      <w:pPr>
        <w:pStyle w:val="xl19"/>
        <w:tabs>
          <w:tab w:val="left" w:pos="3420"/>
          <w:tab w:val="right" w:pos="8640"/>
        </w:tabs>
        <w:spacing w:before="0" w:after="0"/>
      </w:pPr>
      <w:r>
        <w:t>Organizational Program:</w:t>
      </w:r>
      <w:r>
        <w:tab/>
        <w:t>Community Relations Service</w:t>
      </w:r>
      <w:r w:rsidRPr="00B261DA">
        <w:t xml:space="preserve"> </w:t>
      </w:r>
    </w:p>
    <w:p w:rsidR="008039E5" w:rsidRDefault="008039E5" w:rsidP="0075358D">
      <w:pPr>
        <w:pStyle w:val="BodyText"/>
        <w:rPr>
          <w:rFonts w:cs="Arial"/>
          <w:b/>
          <w:szCs w:val="24"/>
        </w:rPr>
      </w:pPr>
    </w:p>
    <w:p w:rsidR="008039E5" w:rsidRDefault="008039E5" w:rsidP="0075358D">
      <w:pPr>
        <w:pStyle w:val="xl19"/>
        <w:tabs>
          <w:tab w:val="left" w:pos="3420"/>
          <w:tab w:val="right" w:pos="4320"/>
        </w:tabs>
        <w:spacing w:before="0" w:after="0"/>
      </w:pPr>
      <w:r>
        <w:t xml:space="preserve">Component Ranking of Item: </w:t>
      </w:r>
      <w:r>
        <w:tab/>
        <w:t>1 of 1</w:t>
      </w:r>
    </w:p>
    <w:p w:rsidR="008039E5" w:rsidRDefault="008039E5" w:rsidP="0075358D">
      <w:pPr>
        <w:pStyle w:val="xl19"/>
        <w:spacing w:before="0" w:after="0"/>
      </w:pPr>
    </w:p>
    <w:p w:rsidR="008039E5" w:rsidRDefault="008039E5" w:rsidP="00B75377">
      <w:pPr>
        <w:pStyle w:val="xl19"/>
        <w:tabs>
          <w:tab w:val="left" w:pos="2340"/>
          <w:tab w:val="right" w:pos="3060"/>
          <w:tab w:val="left" w:pos="3600"/>
          <w:tab w:val="right" w:pos="4500"/>
          <w:tab w:val="left" w:pos="5310"/>
          <w:tab w:val="right" w:pos="6300"/>
        </w:tabs>
        <w:spacing w:before="0" w:after="0"/>
        <w:rPr>
          <w:u w:val="single"/>
        </w:rPr>
      </w:pPr>
      <w:r>
        <w:t>Program Increase:  Positions _</w:t>
      </w:r>
      <w:r>
        <w:rPr>
          <w:u w:val="single"/>
        </w:rPr>
        <w:t>_</w:t>
      </w:r>
      <w:r w:rsidR="00F60C07">
        <w:rPr>
          <w:u w:val="single"/>
        </w:rPr>
        <w:t>5</w:t>
      </w:r>
      <w:r w:rsidR="008B1F35">
        <w:rPr>
          <w:u w:val="single"/>
        </w:rPr>
        <w:t>_ _</w:t>
      </w:r>
      <w:r>
        <w:t xml:space="preserve">  Atty__</w:t>
      </w:r>
      <w:r w:rsidRPr="00CB7FD4">
        <w:rPr>
          <w:u w:val="single"/>
        </w:rPr>
        <w:t>0</w:t>
      </w:r>
      <w:r>
        <w:t xml:space="preserve">__  FTE  </w:t>
      </w:r>
      <w:r>
        <w:rPr>
          <w:u w:val="single"/>
        </w:rPr>
        <w:t>_</w:t>
      </w:r>
      <w:r w:rsidR="00F60C07">
        <w:rPr>
          <w:u w:val="single"/>
        </w:rPr>
        <w:t>3</w:t>
      </w:r>
      <w:r>
        <w:rPr>
          <w:u w:val="single"/>
        </w:rPr>
        <w:t>__</w:t>
      </w:r>
      <w:r>
        <w:t xml:space="preserve">  Dollars  </w:t>
      </w:r>
      <w:r>
        <w:rPr>
          <w:u w:val="single"/>
        </w:rPr>
        <w:t>_$</w:t>
      </w:r>
      <w:r w:rsidR="00F60C07">
        <w:rPr>
          <w:u w:val="single"/>
        </w:rPr>
        <w:t>391,000</w:t>
      </w:r>
      <w:r>
        <w:rPr>
          <w:u w:val="single"/>
        </w:rPr>
        <w:t>__________</w:t>
      </w:r>
    </w:p>
    <w:p w:rsidR="008039E5" w:rsidRDefault="008039E5" w:rsidP="0075358D"/>
    <w:p w:rsidR="008039E5" w:rsidRDefault="008039E5" w:rsidP="0075358D">
      <w:pPr>
        <w:pStyle w:val="xl24"/>
        <w:spacing w:before="0" w:after="0"/>
      </w:pPr>
      <w:r>
        <w:t>Description of Item</w:t>
      </w:r>
    </w:p>
    <w:p w:rsidR="008039E5" w:rsidRPr="0075358D" w:rsidRDefault="008039E5" w:rsidP="0075358D">
      <w:pPr>
        <w:pStyle w:val="xl24"/>
        <w:spacing w:before="0" w:after="0"/>
        <w:rPr>
          <w:iCs/>
          <w:u w:val="none"/>
        </w:rPr>
      </w:pPr>
      <w:r>
        <w:rPr>
          <w:u w:val="none"/>
        </w:rPr>
        <w:t xml:space="preserve">CRS is requesting an enhancement of </w:t>
      </w:r>
      <w:r w:rsidR="00F60C07">
        <w:rPr>
          <w:u w:val="none"/>
        </w:rPr>
        <w:t>5</w:t>
      </w:r>
      <w:r>
        <w:rPr>
          <w:u w:val="none"/>
        </w:rPr>
        <w:t xml:space="preserve"> positions, </w:t>
      </w:r>
      <w:r w:rsidR="00F60C07">
        <w:rPr>
          <w:u w:val="none"/>
        </w:rPr>
        <w:t>3</w:t>
      </w:r>
      <w:r>
        <w:rPr>
          <w:u w:val="none"/>
        </w:rPr>
        <w:t xml:space="preserve"> FTE, and $</w:t>
      </w:r>
      <w:r w:rsidR="00F60C07">
        <w:rPr>
          <w:u w:val="none"/>
        </w:rPr>
        <w:t>391,000,</w:t>
      </w:r>
      <w:r>
        <w:rPr>
          <w:u w:val="none"/>
        </w:rPr>
        <w:t xml:space="preserve"> in order to successfully fulfill its expanded mandate under the Hate Crimes Prevention Act.  The additional resources include personnel and non-personnel support, including training, travel, and publications, which will increase regional staff by </w:t>
      </w:r>
      <w:r w:rsidR="00201C69">
        <w:rPr>
          <w:u w:val="none"/>
        </w:rPr>
        <w:t>4</w:t>
      </w:r>
      <w:r w:rsidR="00E25731">
        <w:rPr>
          <w:u w:val="none"/>
        </w:rPr>
        <w:t xml:space="preserve"> </w:t>
      </w:r>
      <w:r>
        <w:rPr>
          <w:u w:val="none"/>
        </w:rPr>
        <w:t xml:space="preserve">conciliators in the field and </w:t>
      </w:r>
      <w:r w:rsidR="00201C69">
        <w:rPr>
          <w:u w:val="none"/>
        </w:rPr>
        <w:t>1</w:t>
      </w:r>
      <w:r>
        <w:rPr>
          <w:u w:val="none"/>
        </w:rPr>
        <w:t xml:space="preserve"> staff member, and allow CRS to successfully carry out its mission.  </w:t>
      </w:r>
    </w:p>
    <w:p w:rsidR="008039E5" w:rsidRDefault="008039E5" w:rsidP="0075358D"/>
    <w:p w:rsidR="008039E5" w:rsidRDefault="008039E5" w:rsidP="0075358D">
      <w:pPr>
        <w:pStyle w:val="xl24"/>
        <w:spacing w:before="0" w:after="0"/>
      </w:pPr>
      <w:r>
        <w:t>Justification</w:t>
      </w:r>
    </w:p>
    <w:p w:rsidR="008039E5" w:rsidRDefault="008039E5" w:rsidP="0075358D">
      <w:r>
        <w:t xml:space="preserve">The addition of </w:t>
      </w:r>
      <w:r w:rsidR="00201C69">
        <w:t xml:space="preserve">4 </w:t>
      </w:r>
      <w:r>
        <w:t xml:space="preserve">conciliators to the region and </w:t>
      </w:r>
      <w:r w:rsidR="00201C69">
        <w:t>1</w:t>
      </w:r>
      <w:r w:rsidR="00592291">
        <w:t xml:space="preserve"> </w:t>
      </w:r>
      <w:r>
        <w:t>staff member will maximize crisis response and maximize conflict resolution and violence reduction throughout the United States.  This enhancement will allow CRS to fulfill its statutory mandate pursuant to Title X of the Civil Rights Act of 1964 as well as its mandate pursuant to the Shepard and Byrd, Jr. Hate Crimes Prevention Act.</w:t>
      </w:r>
    </w:p>
    <w:p w:rsidR="008039E5" w:rsidRDefault="008039E5" w:rsidP="00E41A27">
      <w:pPr>
        <w:pStyle w:val="NormalWeb"/>
        <w:spacing w:after="240"/>
      </w:pPr>
      <w:r>
        <w:t xml:space="preserve">The Shepard and Byrd, Jr. Act has dramatically increased CRS’ workload as well as training and travel expenses.  Congress anticipated the increase in demand for CRS services in the text of the statute:  “There are authorized to be appropriated to the Department of Justice, including the Community Relations Service, for fiscal years 2010, 2011, </w:t>
      </w:r>
      <w:r w:rsidR="00E17967">
        <w:t xml:space="preserve">2012, </w:t>
      </w:r>
      <w:r>
        <w:t xml:space="preserve">and </w:t>
      </w:r>
      <w:r w:rsidR="00E17967">
        <w:t>2013</w:t>
      </w:r>
      <w:r>
        <w:t xml:space="preserve"> such sums as are necessary to increase the number of personnel to prevent and respond to alleged violations of section 249 of title 18, United States Code, as added by section 4707 of this division.”  (P.L. 111-84, §4706).</w:t>
      </w:r>
    </w:p>
    <w:p w:rsidR="008039E5" w:rsidRDefault="008039E5" w:rsidP="00E41A27">
      <w:pPr>
        <w:pStyle w:val="NormalWeb"/>
        <w:spacing w:after="240"/>
      </w:pPr>
      <w:r>
        <w:t xml:space="preserve">As detailed above, the HCPA has transformed CRS from a component focused on working with communities to prevent and respond to community tension related to alleged discrimination on the basis of race, color, and national origin to a component that is responsible for helping communities address and prevent conflict on the basis of gender, gender identity, sexual orientation, religion, and disability in addition to race, color, and national origin.  The passage of the HCPA will also likely mean an increase in CRS caseload associated with responding to alleged hate crimes on the basis of race, color, or national origin, as the statute removes the former prerequisite showing that the victim was participating in a federally protected act.  This, combined with an increase in reports of alleged hate related activity on the basis of race, color, or national origin associated with immigration issues, means a significant increase in demand for CRS in our historical areas of jurisdiction as well.  </w:t>
      </w:r>
    </w:p>
    <w:p w:rsidR="008039E5" w:rsidRDefault="008039E5" w:rsidP="00E41A27">
      <w:r>
        <w:t xml:space="preserve">Responding to this increase in community need and demand is no small task, as CRS is the only federal agency exclusively dedicated to assisting state and local units of government, private and public organizations, community groups, and other federal agencies with preventing and resolving racial and ethnic tensions, conflicts, and civil disorders.  CRS is uniquely qualified to fulfill its new mandate, as CRS is an expert at bringing law enforcement officials, advocacy groups, and individual community members to the table in a way that creates lasting racial stability and harmony and enables those communities to address future conflicts without outside assistance.  Nevertheless, as the HCPA noted, CRS will need significant resources to build the staff and expertise necessary to cover these new jurisdictional areas and to fulfill this broader mandate.  </w:t>
      </w:r>
      <w:r w:rsidR="00FC2CDD">
        <w:t>T</w:t>
      </w:r>
      <w:r>
        <w:t>he agency will require increased travel funds, to continue to effectively help communities prevent and respond to violent hate crimes committed on the basis of gender, gender identity, sexual orientation, religion, disability, race, color, and national origin</w:t>
      </w:r>
    </w:p>
    <w:p w:rsidR="008039E5" w:rsidRDefault="008039E5" w:rsidP="0075358D">
      <w:pPr>
        <w:rPr>
          <w:i/>
          <w:iCs/>
        </w:rPr>
      </w:pPr>
    </w:p>
    <w:p w:rsidR="008039E5" w:rsidRDefault="008039E5" w:rsidP="0075358D">
      <w:pPr>
        <w:pStyle w:val="xl24"/>
        <w:spacing w:before="0" w:after="0"/>
      </w:pPr>
      <w:r>
        <w:t>Impact on Performance (Relationship of Increase to Strategic Goals)</w:t>
      </w:r>
    </w:p>
    <w:p w:rsidR="008039E5" w:rsidRDefault="008039E5" w:rsidP="0075358D">
      <w:pPr>
        <w:pStyle w:val="xl24"/>
        <w:spacing w:before="0" w:after="0"/>
      </w:pPr>
    </w:p>
    <w:p w:rsidR="008039E5" w:rsidRDefault="008039E5" w:rsidP="0075358D">
      <w:r>
        <w:t xml:space="preserve">A staff of </w:t>
      </w:r>
      <w:r w:rsidR="00F60C07">
        <w:t>61</w:t>
      </w:r>
      <w:r>
        <w:t xml:space="preserve"> personnel (</w:t>
      </w:r>
      <w:r w:rsidR="00F60C07">
        <w:t>59</w:t>
      </w:r>
      <w:r>
        <w:t xml:space="preserve"> FTE) and training, travel, and publication support will maximize CRS’ crisis response across the entire United States and enable it to fulfill its historical mandate pursuant to Title X of the Civil Rights Act of 1964 as well as its mandate pursuant to the Shepard and Byrd, Jr. Act and James Byrd, Jr. Hate Crimes Prevention Act.</w:t>
      </w:r>
    </w:p>
    <w:p w:rsidR="008039E5" w:rsidRDefault="008039E5" w:rsidP="0075358D"/>
    <w:p w:rsidR="007724EE" w:rsidRDefault="008039E5" w:rsidP="0075358D">
      <w:r>
        <w:t xml:space="preserve">The increase will also have a significant and positive impact on other components.  </w:t>
      </w:r>
      <w:r w:rsidRPr="001F3820">
        <w:t>By virtue of its mission and role, CRS is likely to be the first DOJ component that is in a commun</w:t>
      </w:r>
      <w:r>
        <w:t>ity during a public controversy that may include issues involving other federal components and agencies and state and local governments and agencies</w:t>
      </w:r>
      <w:r w:rsidRPr="001F3820">
        <w:t xml:space="preserve">.  It </w:t>
      </w:r>
      <w:r>
        <w:t>will also be likely to</w:t>
      </w:r>
      <w:r w:rsidRPr="001F3820">
        <w:t xml:space="preserve"> be the one component with significant community contact.  As a result, C</w:t>
      </w:r>
      <w:r>
        <w:t xml:space="preserve">RS may be able to help </w:t>
      </w:r>
      <w:r w:rsidRPr="001F3820">
        <w:t xml:space="preserve">define the public perception of the Department’s overall responsiveness and assist other components in gaining successful entry into the community in the context of elevated levels of controversy regarding policy changes.  </w:t>
      </w:r>
      <w:r>
        <w:t xml:space="preserve">This entry may be facilitated through CRS dialogues or community forums where agencies and components can introduce themselves and explain their services in a manner that allows the public to understand why investigations or other processes may take longer than they would prefer.  </w:t>
      </w:r>
    </w:p>
    <w:p w:rsidR="007724EE" w:rsidRDefault="007724EE" w:rsidP="0075358D"/>
    <w:p w:rsidR="00D320C6" w:rsidRDefault="00D320C6" w:rsidP="007724EE">
      <w:pPr>
        <w:pStyle w:val="BodyText2"/>
        <w:jc w:val="center"/>
        <w:rPr>
          <w:b/>
          <w:sz w:val="24"/>
          <w:szCs w:val="24"/>
        </w:rPr>
      </w:pPr>
    </w:p>
    <w:p w:rsidR="007724EE" w:rsidRPr="00C771E7" w:rsidRDefault="007724EE" w:rsidP="007724EE">
      <w:pPr>
        <w:pStyle w:val="BodyText2"/>
        <w:jc w:val="center"/>
        <w:rPr>
          <w:b/>
          <w:sz w:val="24"/>
          <w:szCs w:val="24"/>
        </w:rPr>
      </w:pPr>
      <w:r>
        <w:rPr>
          <w:b/>
          <w:sz w:val="24"/>
          <w:szCs w:val="24"/>
        </w:rPr>
        <w:t>Funding</w:t>
      </w:r>
    </w:p>
    <w:p w:rsidR="007724EE" w:rsidRDefault="007724EE" w:rsidP="0075358D"/>
    <w:p w:rsidR="008039E5" w:rsidRDefault="008039E5" w:rsidP="0075358D">
      <w:pPr>
        <w:pStyle w:val="xl24"/>
        <w:spacing w:before="0" w:after="0"/>
        <w:ind w:right="-1080"/>
      </w:pPr>
      <w:r>
        <w:t>Base Funding</w:t>
      </w:r>
    </w:p>
    <w:p w:rsidR="008039E5" w:rsidRDefault="008039E5" w:rsidP="0075358D">
      <w:pPr>
        <w:pStyle w:val="xl24"/>
        <w:spacing w:before="0" w:after="0"/>
        <w:ind w:right="-1080"/>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607"/>
        <w:gridCol w:w="572"/>
        <w:gridCol w:w="1395"/>
        <w:gridCol w:w="603"/>
        <w:gridCol w:w="607"/>
        <w:gridCol w:w="590"/>
        <w:gridCol w:w="1440"/>
        <w:gridCol w:w="590"/>
        <w:gridCol w:w="607"/>
        <w:gridCol w:w="672"/>
        <w:gridCol w:w="1535"/>
      </w:tblGrid>
      <w:tr w:rsidR="008039E5" w:rsidTr="0075358D">
        <w:tc>
          <w:tcPr>
            <w:tcW w:w="3168" w:type="dxa"/>
            <w:gridSpan w:val="4"/>
            <w:shd w:val="clear" w:color="auto" w:fill="E6E6E6"/>
          </w:tcPr>
          <w:p w:rsidR="008039E5" w:rsidRPr="00726069" w:rsidRDefault="008039E5" w:rsidP="00642BA5">
            <w:pPr>
              <w:pStyle w:val="Heading7"/>
              <w:ind w:right="-1080"/>
              <w:jc w:val="left"/>
              <w:rPr>
                <w:sz w:val="20"/>
              </w:rPr>
            </w:pPr>
            <w:r>
              <w:rPr>
                <w:sz w:val="20"/>
              </w:rPr>
              <w:t xml:space="preserve">       </w:t>
            </w:r>
            <w:r w:rsidR="008D3064">
              <w:rPr>
                <w:sz w:val="20"/>
              </w:rPr>
              <w:t>FY 2011 Enacted</w:t>
            </w:r>
          </w:p>
        </w:tc>
        <w:tc>
          <w:tcPr>
            <w:tcW w:w="3240" w:type="dxa"/>
            <w:gridSpan w:val="4"/>
            <w:shd w:val="clear" w:color="auto" w:fill="E6E6E6"/>
          </w:tcPr>
          <w:p w:rsidR="008039E5" w:rsidRPr="00726069" w:rsidRDefault="008D3064" w:rsidP="0075358D">
            <w:pPr>
              <w:pStyle w:val="Heading7"/>
              <w:ind w:right="-1080"/>
              <w:rPr>
                <w:sz w:val="20"/>
              </w:rPr>
            </w:pPr>
            <w:r>
              <w:rPr>
                <w:sz w:val="20"/>
              </w:rPr>
              <w:t>FY 2012 Enacted</w:t>
            </w:r>
          </w:p>
        </w:tc>
        <w:tc>
          <w:tcPr>
            <w:tcW w:w="3404" w:type="dxa"/>
            <w:gridSpan w:val="4"/>
            <w:shd w:val="clear" w:color="auto" w:fill="E6E6E6"/>
          </w:tcPr>
          <w:p w:rsidR="008039E5" w:rsidRPr="00726069" w:rsidRDefault="008039E5" w:rsidP="00642BA5">
            <w:pPr>
              <w:pStyle w:val="Heading7"/>
              <w:ind w:right="-1080"/>
              <w:jc w:val="left"/>
              <w:rPr>
                <w:sz w:val="20"/>
              </w:rPr>
            </w:pPr>
            <w:r>
              <w:rPr>
                <w:sz w:val="20"/>
              </w:rPr>
              <w:t xml:space="preserve">                </w:t>
            </w:r>
            <w:r w:rsidRPr="00726069">
              <w:rPr>
                <w:sz w:val="20"/>
              </w:rPr>
              <w:t xml:space="preserve">FY </w:t>
            </w:r>
            <w:r w:rsidR="008D3064">
              <w:rPr>
                <w:sz w:val="20"/>
              </w:rPr>
              <w:t>2013</w:t>
            </w:r>
            <w:r w:rsidRPr="00726069">
              <w:rPr>
                <w:sz w:val="20"/>
              </w:rPr>
              <w:t xml:space="preserve"> Current Services</w:t>
            </w:r>
          </w:p>
        </w:tc>
      </w:tr>
      <w:tr w:rsidR="008039E5" w:rsidTr="00642BA5">
        <w:tc>
          <w:tcPr>
            <w:tcW w:w="594" w:type="dxa"/>
          </w:tcPr>
          <w:p w:rsidR="008039E5" w:rsidRPr="00726069" w:rsidRDefault="008039E5" w:rsidP="0075358D">
            <w:pPr>
              <w:pStyle w:val="xl24"/>
              <w:spacing w:before="0" w:after="0"/>
              <w:ind w:right="-1080"/>
              <w:rPr>
                <w:sz w:val="20"/>
                <w:u w:val="none"/>
              </w:rPr>
            </w:pPr>
            <w:r w:rsidRPr="00726069">
              <w:rPr>
                <w:sz w:val="20"/>
                <w:u w:val="none"/>
              </w:rPr>
              <w:t>Pos</w:t>
            </w:r>
          </w:p>
        </w:tc>
        <w:tc>
          <w:tcPr>
            <w:tcW w:w="607" w:type="dxa"/>
          </w:tcPr>
          <w:p w:rsidR="008039E5" w:rsidRPr="00726069" w:rsidRDefault="008039E5" w:rsidP="0075358D">
            <w:pPr>
              <w:pStyle w:val="xl24"/>
              <w:spacing w:before="0" w:after="0"/>
              <w:ind w:right="-1080"/>
              <w:rPr>
                <w:sz w:val="20"/>
                <w:u w:val="none"/>
              </w:rPr>
            </w:pPr>
            <w:r w:rsidRPr="00726069">
              <w:rPr>
                <w:sz w:val="20"/>
                <w:u w:val="none"/>
              </w:rPr>
              <w:t>Agt/</w:t>
            </w:r>
          </w:p>
          <w:p w:rsidR="008039E5" w:rsidRPr="00726069" w:rsidRDefault="008039E5" w:rsidP="0075358D">
            <w:pPr>
              <w:pStyle w:val="xl24"/>
              <w:spacing w:before="0" w:after="0"/>
              <w:ind w:right="-1080"/>
              <w:rPr>
                <w:sz w:val="20"/>
                <w:u w:val="none"/>
              </w:rPr>
            </w:pPr>
            <w:r w:rsidRPr="00726069">
              <w:rPr>
                <w:sz w:val="20"/>
                <w:u w:val="none"/>
              </w:rPr>
              <w:t>Atty</w:t>
            </w:r>
          </w:p>
        </w:tc>
        <w:tc>
          <w:tcPr>
            <w:tcW w:w="572" w:type="dxa"/>
          </w:tcPr>
          <w:p w:rsidR="008039E5" w:rsidRPr="00726069" w:rsidRDefault="008039E5" w:rsidP="0075358D">
            <w:pPr>
              <w:pStyle w:val="xl24"/>
              <w:spacing w:before="0" w:after="0"/>
              <w:ind w:right="-1080"/>
              <w:rPr>
                <w:sz w:val="20"/>
                <w:u w:val="none"/>
              </w:rPr>
            </w:pPr>
            <w:r w:rsidRPr="00726069">
              <w:rPr>
                <w:sz w:val="20"/>
                <w:u w:val="none"/>
              </w:rPr>
              <w:t>FTE</w:t>
            </w:r>
          </w:p>
        </w:tc>
        <w:tc>
          <w:tcPr>
            <w:tcW w:w="1395" w:type="dxa"/>
          </w:tcPr>
          <w:p w:rsidR="008039E5" w:rsidRPr="00726069" w:rsidRDefault="008039E5" w:rsidP="0075358D">
            <w:pPr>
              <w:pStyle w:val="xl24"/>
              <w:spacing w:before="0" w:after="0"/>
              <w:ind w:right="-1080"/>
              <w:rPr>
                <w:sz w:val="20"/>
                <w:u w:val="none"/>
              </w:rPr>
            </w:pPr>
            <w:r w:rsidRPr="00726069">
              <w:rPr>
                <w:sz w:val="20"/>
                <w:u w:val="none"/>
              </w:rPr>
              <w:t>$(000)</w:t>
            </w:r>
          </w:p>
        </w:tc>
        <w:tc>
          <w:tcPr>
            <w:tcW w:w="603" w:type="dxa"/>
          </w:tcPr>
          <w:p w:rsidR="008039E5" w:rsidRPr="00726069" w:rsidRDefault="008039E5" w:rsidP="0075358D">
            <w:pPr>
              <w:pStyle w:val="xl24"/>
              <w:spacing w:before="0" w:after="0"/>
              <w:ind w:right="-1080"/>
              <w:rPr>
                <w:sz w:val="20"/>
                <w:u w:val="none"/>
              </w:rPr>
            </w:pPr>
            <w:r w:rsidRPr="00726069">
              <w:rPr>
                <w:sz w:val="20"/>
                <w:u w:val="none"/>
              </w:rPr>
              <w:t>Pos</w:t>
            </w:r>
          </w:p>
        </w:tc>
        <w:tc>
          <w:tcPr>
            <w:tcW w:w="607" w:type="dxa"/>
          </w:tcPr>
          <w:p w:rsidR="008039E5" w:rsidRPr="00726069" w:rsidRDefault="008039E5" w:rsidP="0075358D">
            <w:pPr>
              <w:pStyle w:val="xl24"/>
              <w:spacing w:before="0" w:after="0"/>
              <w:ind w:right="-1080"/>
              <w:rPr>
                <w:sz w:val="20"/>
                <w:u w:val="none"/>
              </w:rPr>
            </w:pPr>
            <w:r w:rsidRPr="00726069">
              <w:rPr>
                <w:sz w:val="20"/>
                <w:u w:val="none"/>
              </w:rPr>
              <w:t>Agt/</w:t>
            </w:r>
          </w:p>
          <w:p w:rsidR="008039E5" w:rsidRPr="00726069" w:rsidRDefault="008039E5" w:rsidP="0075358D">
            <w:pPr>
              <w:pStyle w:val="xl24"/>
              <w:spacing w:before="0" w:after="0"/>
              <w:ind w:right="-1080"/>
              <w:rPr>
                <w:sz w:val="20"/>
                <w:u w:val="none"/>
              </w:rPr>
            </w:pPr>
            <w:r w:rsidRPr="00726069">
              <w:rPr>
                <w:sz w:val="20"/>
                <w:u w:val="none"/>
              </w:rPr>
              <w:t>Atty</w:t>
            </w:r>
          </w:p>
        </w:tc>
        <w:tc>
          <w:tcPr>
            <w:tcW w:w="590" w:type="dxa"/>
          </w:tcPr>
          <w:p w:rsidR="008039E5" w:rsidRPr="00726069" w:rsidRDefault="008039E5" w:rsidP="0075358D">
            <w:pPr>
              <w:pStyle w:val="xl24"/>
              <w:spacing w:before="0" w:after="0"/>
              <w:ind w:right="-1080"/>
              <w:rPr>
                <w:sz w:val="20"/>
                <w:u w:val="none"/>
              </w:rPr>
            </w:pPr>
            <w:r w:rsidRPr="00726069">
              <w:rPr>
                <w:sz w:val="20"/>
                <w:u w:val="none"/>
              </w:rPr>
              <w:t>FTE</w:t>
            </w:r>
          </w:p>
        </w:tc>
        <w:tc>
          <w:tcPr>
            <w:tcW w:w="1440" w:type="dxa"/>
          </w:tcPr>
          <w:p w:rsidR="008039E5" w:rsidRPr="00726069" w:rsidRDefault="008039E5" w:rsidP="0075358D">
            <w:pPr>
              <w:pStyle w:val="xl24"/>
              <w:spacing w:before="0" w:after="0"/>
              <w:ind w:right="-1080"/>
              <w:rPr>
                <w:sz w:val="20"/>
                <w:u w:val="none"/>
              </w:rPr>
            </w:pPr>
            <w:r w:rsidRPr="00726069">
              <w:rPr>
                <w:sz w:val="20"/>
                <w:u w:val="none"/>
              </w:rPr>
              <w:t>$(000)</w:t>
            </w:r>
          </w:p>
        </w:tc>
        <w:tc>
          <w:tcPr>
            <w:tcW w:w="590" w:type="dxa"/>
          </w:tcPr>
          <w:p w:rsidR="008039E5" w:rsidRPr="00726069" w:rsidRDefault="008039E5" w:rsidP="0075358D">
            <w:pPr>
              <w:pStyle w:val="xl24"/>
              <w:spacing w:before="0" w:after="0"/>
              <w:ind w:right="-1080"/>
              <w:rPr>
                <w:sz w:val="20"/>
                <w:u w:val="none"/>
              </w:rPr>
            </w:pPr>
            <w:r w:rsidRPr="00726069">
              <w:rPr>
                <w:sz w:val="20"/>
                <w:u w:val="none"/>
              </w:rPr>
              <w:t>Pos</w:t>
            </w:r>
          </w:p>
        </w:tc>
        <w:tc>
          <w:tcPr>
            <w:tcW w:w="607" w:type="dxa"/>
          </w:tcPr>
          <w:p w:rsidR="008039E5" w:rsidRPr="00726069" w:rsidRDefault="008039E5" w:rsidP="0075358D">
            <w:pPr>
              <w:pStyle w:val="xl24"/>
              <w:spacing w:before="0" w:after="0"/>
              <w:ind w:right="-1080"/>
              <w:rPr>
                <w:sz w:val="20"/>
                <w:u w:val="none"/>
              </w:rPr>
            </w:pPr>
            <w:r w:rsidRPr="00726069">
              <w:rPr>
                <w:sz w:val="20"/>
                <w:u w:val="none"/>
              </w:rPr>
              <w:t>Agt/</w:t>
            </w:r>
          </w:p>
          <w:p w:rsidR="008039E5" w:rsidRPr="00726069" w:rsidRDefault="008039E5" w:rsidP="0075358D">
            <w:pPr>
              <w:pStyle w:val="xl24"/>
              <w:spacing w:before="0" w:after="0"/>
              <w:ind w:right="-1080"/>
              <w:rPr>
                <w:sz w:val="20"/>
                <w:u w:val="none"/>
              </w:rPr>
            </w:pPr>
            <w:r w:rsidRPr="00726069">
              <w:rPr>
                <w:sz w:val="20"/>
                <w:u w:val="none"/>
              </w:rPr>
              <w:t>Atty</w:t>
            </w:r>
          </w:p>
        </w:tc>
        <w:tc>
          <w:tcPr>
            <w:tcW w:w="672" w:type="dxa"/>
          </w:tcPr>
          <w:p w:rsidR="008039E5" w:rsidRPr="00726069" w:rsidRDefault="008039E5" w:rsidP="0075358D">
            <w:pPr>
              <w:pStyle w:val="xl24"/>
              <w:spacing w:before="0" w:after="0"/>
              <w:ind w:right="-1080"/>
              <w:rPr>
                <w:sz w:val="20"/>
                <w:u w:val="none"/>
              </w:rPr>
            </w:pPr>
            <w:r w:rsidRPr="00726069">
              <w:rPr>
                <w:sz w:val="20"/>
                <w:u w:val="none"/>
              </w:rPr>
              <w:t>FTE</w:t>
            </w:r>
          </w:p>
        </w:tc>
        <w:tc>
          <w:tcPr>
            <w:tcW w:w="1535" w:type="dxa"/>
          </w:tcPr>
          <w:p w:rsidR="008039E5" w:rsidRPr="00726069" w:rsidRDefault="008039E5" w:rsidP="0075358D">
            <w:pPr>
              <w:pStyle w:val="xl24"/>
              <w:spacing w:before="0" w:after="0"/>
              <w:ind w:right="-1080"/>
              <w:rPr>
                <w:sz w:val="20"/>
                <w:u w:val="none"/>
              </w:rPr>
            </w:pPr>
            <w:r w:rsidRPr="00726069">
              <w:rPr>
                <w:sz w:val="20"/>
                <w:u w:val="none"/>
              </w:rPr>
              <w:t>$(000)</w:t>
            </w:r>
          </w:p>
        </w:tc>
      </w:tr>
      <w:tr w:rsidR="008039E5" w:rsidRPr="00C77486" w:rsidTr="00642BA5">
        <w:tc>
          <w:tcPr>
            <w:tcW w:w="594" w:type="dxa"/>
          </w:tcPr>
          <w:p w:rsidR="008039E5" w:rsidRPr="00C77486" w:rsidRDefault="00F72E2D" w:rsidP="0075358D">
            <w:pPr>
              <w:pStyle w:val="xl24"/>
              <w:spacing w:before="0" w:after="0"/>
              <w:ind w:right="-1080"/>
              <w:rPr>
                <w:sz w:val="20"/>
                <w:u w:val="none"/>
              </w:rPr>
            </w:pPr>
            <w:r>
              <w:rPr>
                <w:sz w:val="20"/>
                <w:u w:val="none"/>
              </w:rPr>
              <w:t>8</w:t>
            </w:r>
          </w:p>
        </w:tc>
        <w:tc>
          <w:tcPr>
            <w:tcW w:w="607" w:type="dxa"/>
          </w:tcPr>
          <w:p w:rsidR="008039E5" w:rsidRPr="00C77486" w:rsidRDefault="00F72E2D" w:rsidP="0075358D">
            <w:pPr>
              <w:pStyle w:val="xl24"/>
              <w:spacing w:before="0" w:after="0"/>
              <w:ind w:right="-1080"/>
              <w:rPr>
                <w:sz w:val="20"/>
                <w:u w:val="none"/>
              </w:rPr>
            </w:pPr>
            <w:r>
              <w:rPr>
                <w:sz w:val="20"/>
                <w:u w:val="none"/>
              </w:rPr>
              <w:t>0</w:t>
            </w:r>
          </w:p>
        </w:tc>
        <w:tc>
          <w:tcPr>
            <w:tcW w:w="572" w:type="dxa"/>
          </w:tcPr>
          <w:p w:rsidR="008039E5" w:rsidRPr="00C77486" w:rsidRDefault="00592291" w:rsidP="0075358D">
            <w:pPr>
              <w:pStyle w:val="xl24"/>
              <w:spacing w:before="0" w:after="0"/>
              <w:ind w:right="-1080"/>
              <w:rPr>
                <w:sz w:val="20"/>
                <w:u w:val="none"/>
              </w:rPr>
            </w:pPr>
            <w:r>
              <w:rPr>
                <w:sz w:val="20"/>
                <w:u w:val="none"/>
              </w:rPr>
              <w:t>8</w:t>
            </w:r>
          </w:p>
        </w:tc>
        <w:tc>
          <w:tcPr>
            <w:tcW w:w="1395" w:type="dxa"/>
          </w:tcPr>
          <w:p w:rsidR="008039E5" w:rsidRPr="00C77486" w:rsidRDefault="00592291" w:rsidP="00592291">
            <w:pPr>
              <w:pStyle w:val="xl24"/>
              <w:spacing w:before="0" w:after="0"/>
              <w:ind w:right="-1080"/>
              <w:rPr>
                <w:sz w:val="20"/>
                <w:u w:val="none"/>
              </w:rPr>
            </w:pPr>
            <w:r>
              <w:rPr>
                <w:sz w:val="20"/>
                <w:u w:val="none"/>
              </w:rPr>
              <w:t>1,718</w:t>
            </w:r>
          </w:p>
        </w:tc>
        <w:tc>
          <w:tcPr>
            <w:tcW w:w="603" w:type="dxa"/>
          </w:tcPr>
          <w:p w:rsidR="008039E5" w:rsidRPr="00C77486" w:rsidRDefault="00F72E2D" w:rsidP="0075358D">
            <w:pPr>
              <w:pStyle w:val="xl24"/>
              <w:spacing w:before="0" w:after="0"/>
              <w:ind w:right="-1080"/>
              <w:rPr>
                <w:sz w:val="20"/>
                <w:u w:val="none"/>
              </w:rPr>
            </w:pPr>
            <w:r>
              <w:rPr>
                <w:sz w:val="20"/>
                <w:u w:val="none"/>
              </w:rPr>
              <w:t>8</w:t>
            </w:r>
          </w:p>
        </w:tc>
        <w:tc>
          <w:tcPr>
            <w:tcW w:w="607" w:type="dxa"/>
          </w:tcPr>
          <w:p w:rsidR="008039E5" w:rsidRPr="00C77486" w:rsidRDefault="00F72E2D" w:rsidP="0075358D">
            <w:pPr>
              <w:pStyle w:val="xl24"/>
              <w:spacing w:before="0" w:after="0"/>
              <w:ind w:right="-1080"/>
              <w:rPr>
                <w:sz w:val="20"/>
                <w:u w:val="none"/>
              </w:rPr>
            </w:pPr>
            <w:r>
              <w:rPr>
                <w:sz w:val="20"/>
                <w:u w:val="none"/>
              </w:rPr>
              <w:t>0</w:t>
            </w:r>
          </w:p>
        </w:tc>
        <w:tc>
          <w:tcPr>
            <w:tcW w:w="590" w:type="dxa"/>
          </w:tcPr>
          <w:p w:rsidR="008039E5" w:rsidRPr="00C77486" w:rsidRDefault="00592291" w:rsidP="0075358D">
            <w:pPr>
              <w:pStyle w:val="xl24"/>
              <w:spacing w:before="0" w:after="0"/>
              <w:ind w:right="-1080"/>
              <w:rPr>
                <w:sz w:val="20"/>
                <w:u w:val="none"/>
              </w:rPr>
            </w:pPr>
            <w:r>
              <w:rPr>
                <w:sz w:val="20"/>
                <w:u w:val="none"/>
              </w:rPr>
              <w:t>8</w:t>
            </w:r>
          </w:p>
        </w:tc>
        <w:tc>
          <w:tcPr>
            <w:tcW w:w="1440" w:type="dxa"/>
          </w:tcPr>
          <w:p w:rsidR="008039E5" w:rsidRPr="00C77486" w:rsidRDefault="00592291" w:rsidP="0075358D">
            <w:pPr>
              <w:pStyle w:val="xl24"/>
              <w:spacing w:before="0" w:after="0"/>
              <w:ind w:right="-1080"/>
              <w:rPr>
                <w:sz w:val="20"/>
                <w:u w:val="none"/>
              </w:rPr>
            </w:pPr>
            <w:r>
              <w:rPr>
                <w:sz w:val="20"/>
                <w:u w:val="none"/>
              </w:rPr>
              <w:t>1,718</w:t>
            </w:r>
          </w:p>
        </w:tc>
        <w:tc>
          <w:tcPr>
            <w:tcW w:w="590" w:type="dxa"/>
          </w:tcPr>
          <w:p w:rsidR="008039E5" w:rsidRPr="00C77486" w:rsidRDefault="00592291" w:rsidP="0075358D">
            <w:pPr>
              <w:pStyle w:val="xl24"/>
              <w:spacing w:before="0" w:after="0"/>
              <w:ind w:right="-1080"/>
              <w:rPr>
                <w:sz w:val="20"/>
                <w:u w:val="none"/>
              </w:rPr>
            </w:pPr>
            <w:r>
              <w:rPr>
                <w:sz w:val="20"/>
                <w:u w:val="none"/>
              </w:rPr>
              <w:t>8</w:t>
            </w:r>
          </w:p>
        </w:tc>
        <w:tc>
          <w:tcPr>
            <w:tcW w:w="607" w:type="dxa"/>
          </w:tcPr>
          <w:p w:rsidR="008039E5" w:rsidRPr="00C77486" w:rsidRDefault="008C3F16" w:rsidP="0075358D">
            <w:pPr>
              <w:pStyle w:val="xl24"/>
              <w:spacing w:before="0" w:after="0"/>
              <w:ind w:right="-1080"/>
              <w:rPr>
                <w:sz w:val="20"/>
                <w:u w:val="none"/>
              </w:rPr>
            </w:pPr>
            <w:r>
              <w:rPr>
                <w:sz w:val="20"/>
                <w:u w:val="none"/>
              </w:rPr>
              <w:t>0</w:t>
            </w:r>
          </w:p>
        </w:tc>
        <w:tc>
          <w:tcPr>
            <w:tcW w:w="672" w:type="dxa"/>
          </w:tcPr>
          <w:p w:rsidR="008039E5" w:rsidRPr="00C77486" w:rsidRDefault="00592291" w:rsidP="0075358D">
            <w:pPr>
              <w:pStyle w:val="xl24"/>
              <w:spacing w:before="0" w:after="0"/>
              <w:ind w:right="-1080"/>
              <w:rPr>
                <w:sz w:val="20"/>
                <w:u w:val="none"/>
              </w:rPr>
            </w:pPr>
            <w:r>
              <w:rPr>
                <w:sz w:val="20"/>
                <w:u w:val="none"/>
              </w:rPr>
              <w:t>8</w:t>
            </w:r>
          </w:p>
        </w:tc>
        <w:tc>
          <w:tcPr>
            <w:tcW w:w="1535" w:type="dxa"/>
          </w:tcPr>
          <w:p w:rsidR="008039E5" w:rsidRPr="00C77486" w:rsidRDefault="008C3F16" w:rsidP="00B75377">
            <w:pPr>
              <w:pStyle w:val="xl24"/>
              <w:spacing w:before="0" w:after="0"/>
              <w:ind w:right="-1080"/>
              <w:rPr>
                <w:sz w:val="20"/>
                <w:u w:val="none"/>
              </w:rPr>
            </w:pPr>
            <w:r>
              <w:rPr>
                <w:sz w:val="20"/>
                <w:u w:val="none"/>
              </w:rPr>
              <w:t>1,749</w:t>
            </w:r>
          </w:p>
        </w:tc>
      </w:tr>
    </w:tbl>
    <w:p w:rsidR="008039E5" w:rsidRPr="00C77486" w:rsidRDefault="008039E5" w:rsidP="0075358D">
      <w:pPr>
        <w:pStyle w:val="xl24"/>
        <w:spacing w:before="0" w:after="0"/>
        <w:ind w:right="-1080"/>
        <w:rPr>
          <w:u w:val="none"/>
        </w:rPr>
      </w:pPr>
    </w:p>
    <w:p w:rsidR="008039E5" w:rsidRDefault="008039E5" w:rsidP="0075358D">
      <w:pPr>
        <w:pStyle w:val="xl24"/>
        <w:spacing w:before="0" w:after="0"/>
        <w:ind w:right="-1080"/>
      </w:pPr>
    </w:p>
    <w:p w:rsidR="008039E5" w:rsidRDefault="008039E5" w:rsidP="0075358D">
      <w:pPr>
        <w:pStyle w:val="BodyText"/>
      </w:pPr>
      <w:r>
        <w:rPr>
          <w:u w:val="single"/>
        </w:rPr>
        <w:t>Personnel Increase Cost Summary</w:t>
      </w:r>
    </w:p>
    <w:p w:rsidR="001E32F4" w:rsidRDefault="001E32F4" w:rsidP="001E32F4">
      <w:pPr>
        <w:pStyle w:val="BodyText"/>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12"/>
        <w:gridCol w:w="1579"/>
        <w:gridCol w:w="1349"/>
        <w:gridCol w:w="1508"/>
        <w:gridCol w:w="1890"/>
        <w:gridCol w:w="1890"/>
      </w:tblGrid>
      <w:tr w:rsidR="001E32F4" w:rsidRPr="0018562E" w:rsidTr="003620A5">
        <w:tc>
          <w:tcPr>
            <w:tcW w:w="1612" w:type="dxa"/>
            <w:shd w:val="clear" w:color="auto" w:fill="E6E6E6"/>
            <w:vAlign w:val="center"/>
          </w:tcPr>
          <w:p w:rsidR="001E32F4" w:rsidRPr="0018562E" w:rsidRDefault="001E32F4" w:rsidP="003620A5">
            <w:pPr>
              <w:jc w:val="center"/>
              <w:rPr>
                <w:sz w:val="20"/>
                <w:szCs w:val="20"/>
              </w:rPr>
            </w:pPr>
            <w:r w:rsidRPr="0018562E">
              <w:rPr>
                <w:sz w:val="20"/>
                <w:szCs w:val="20"/>
              </w:rPr>
              <w:t>Type of Position</w:t>
            </w:r>
          </w:p>
        </w:tc>
        <w:tc>
          <w:tcPr>
            <w:tcW w:w="1579" w:type="dxa"/>
            <w:vAlign w:val="center"/>
          </w:tcPr>
          <w:p w:rsidR="001E32F4" w:rsidRPr="0018562E" w:rsidRDefault="001E32F4" w:rsidP="003620A5">
            <w:pPr>
              <w:jc w:val="center"/>
              <w:rPr>
                <w:sz w:val="20"/>
                <w:szCs w:val="20"/>
              </w:rPr>
            </w:pPr>
            <w:r w:rsidRPr="0018562E">
              <w:rPr>
                <w:sz w:val="20"/>
                <w:szCs w:val="20"/>
              </w:rPr>
              <w:t>Modular Cost</w:t>
            </w:r>
          </w:p>
          <w:p w:rsidR="001E32F4" w:rsidRPr="0018562E" w:rsidRDefault="001E32F4" w:rsidP="003620A5">
            <w:pPr>
              <w:jc w:val="center"/>
              <w:rPr>
                <w:sz w:val="20"/>
                <w:szCs w:val="20"/>
              </w:rPr>
            </w:pPr>
            <w:r w:rsidRPr="0018562E">
              <w:rPr>
                <w:sz w:val="20"/>
                <w:szCs w:val="20"/>
              </w:rPr>
              <w:t>per Position ($000)</w:t>
            </w:r>
          </w:p>
        </w:tc>
        <w:tc>
          <w:tcPr>
            <w:tcW w:w="1349" w:type="dxa"/>
            <w:vAlign w:val="center"/>
          </w:tcPr>
          <w:p w:rsidR="001E32F4" w:rsidRPr="0018562E" w:rsidRDefault="001E32F4" w:rsidP="003620A5">
            <w:pPr>
              <w:jc w:val="center"/>
              <w:rPr>
                <w:sz w:val="20"/>
                <w:szCs w:val="20"/>
              </w:rPr>
            </w:pPr>
            <w:r w:rsidRPr="0018562E">
              <w:rPr>
                <w:sz w:val="20"/>
                <w:szCs w:val="20"/>
              </w:rPr>
              <w:t>Number of</w:t>
            </w:r>
          </w:p>
          <w:p w:rsidR="001E32F4" w:rsidRPr="0018562E" w:rsidRDefault="001E32F4" w:rsidP="003620A5">
            <w:pPr>
              <w:jc w:val="center"/>
              <w:rPr>
                <w:sz w:val="20"/>
                <w:szCs w:val="20"/>
              </w:rPr>
            </w:pPr>
            <w:r w:rsidRPr="0018562E">
              <w:rPr>
                <w:sz w:val="20"/>
                <w:szCs w:val="20"/>
              </w:rPr>
              <w:t>Positions</w:t>
            </w:r>
          </w:p>
          <w:p w:rsidR="001E32F4" w:rsidRPr="0018562E" w:rsidRDefault="001E32F4" w:rsidP="003620A5">
            <w:pPr>
              <w:jc w:val="center"/>
              <w:rPr>
                <w:sz w:val="20"/>
                <w:szCs w:val="20"/>
              </w:rPr>
            </w:pPr>
            <w:r w:rsidRPr="0018562E">
              <w:rPr>
                <w:sz w:val="20"/>
                <w:szCs w:val="20"/>
              </w:rPr>
              <w:t>Requested</w:t>
            </w:r>
          </w:p>
        </w:tc>
        <w:tc>
          <w:tcPr>
            <w:tcW w:w="1508" w:type="dxa"/>
            <w:vAlign w:val="center"/>
          </w:tcPr>
          <w:p w:rsidR="001E32F4" w:rsidRPr="0018562E" w:rsidRDefault="001E32F4" w:rsidP="003620A5">
            <w:pPr>
              <w:jc w:val="center"/>
              <w:rPr>
                <w:sz w:val="20"/>
                <w:szCs w:val="20"/>
              </w:rPr>
            </w:pPr>
            <w:r w:rsidRPr="0018562E">
              <w:rPr>
                <w:sz w:val="20"/>
                <w:szCs w:val="20"/>
              </w:rPr>
              <w:t>FY 2013</w:t>
            </w:r>
          </w:p>
          <w:p w:rsidR="001E32F4" w:rsidRPr="0018562E" w:rsidRDefault="001E32F4" w:rsidP="003620A5">
            <w:pPr>
              <w:jc w:val="center"/>
              <w:rPr>
                <w:sz w:val="20"/>
                <w:szCs w:val="20"/>
              </w:rPr>
            </w:pPr>
            <w:r w:rsidRPr="0018562E">
              <w:rPr>
                <w:sz w:val="20"/>
                <w:szCs w:val="20"/>
              </w:rPr>
              <w:t>Request</w:t>
            </w:r>
          </w:p>
          <w:p w:rsidR="001E32F4" w:rsidRPr="0018562E" w:rsidRDefault="001E32F4" w:rsidP="003620A5">
            <w:pPr>
              <w:jc w:val="center"/>
              <w:rPr>
                <w:sz w:val="20"/>
                <w:szCs w:val="20"/>
              </w:rPr>
            </w:pPr>
            <w:r w:rsidRPr="0018562E">
              <w:rPr>
                <w:sz w:val="20"/>
                <w:szCs w:val="20"/>
              </w:rPr>
              <w:t xml:space="preserve"> ($000)</w:t>
            </w:r>
          </w:p>
        </w:tc>
        <w:tc>
          <w:tcPr>
            <w:tcW w:w="1890" w:type="dxa"/>
            <w:vAlign w:val="center"/>
          </w:tcPr>
          <w:p w:rsidR="001E32F4" w:rsidRPr="0018562E" w:rsidRDefault="001E32F4" w:rsidP="003620A5">
            <w:pPr>
              <w:jc w:val="center"/>
              <w:rPr>
                <w:sz w:val="20"/>
                <w:szCs w:val="20"/>
              </w:rPr>
            </w:pPr>
            <w:r w:rsidRPr="0018562E">
              <w:rPr>
                <w:sz w:val="20"/>
                <w:szCs w:val="20"/>
              </w:rPr>
              <w:t xml:space="preserve">FY 2014 </w:t>
            </w:r>
          </w:p>
          <w:p w:rsidR="001E32F4" w:rsidRPr="0018562E" w:rsidRDefault="001E32F4" w:rsidP="003620A5">
            <w:pPr>
              <w:jc w:val="center"/>
              <w:rPr>
                <w:sz w:val="20"/>
                <w:szCs w:val="20"/>
              </w:rPr>
            </w:pPr>
            <w:r w:rsidRPr="0018562E">
              <w:rPr>
                <w:sz w:val="20"/>
                <w:szCs w:val="20"/>
              </w:rPr>
              <w:t>Net Annualization</w:t>
            </w:r>
          </w:p>
          <w:p w:rsidR="001E32F4" w:rsidRPr="0018562E" w:rsidRDefault="001E32F4" w:rsidP="003620A5">
            <w:pPr>
              <w:jc w:val="center"/>
              <w:rPr>
                <w:sz w:val="20"/>
                <w:szCs w:val="20"/>
              </w:rPr>
            </w:pPr>
            <w:r w:rsidRPr="0018562E">
              <w:rPr>
                <w:sz w:val="20"/>
                <w:szCs w:val="20"/>
              </w:rPr>
              <w:t>(change from 2013)</w:t>
            </w:r>
          </w:p>
          <w:p w:rsidR="001E32F4" w:rsidRPr="0018562E" w:rsidRDefault="001E32F4" w:rsidP="003620A5">
            <w:pPr>
              <w:jc w:val="center"/>
              <w:rPr>
                <w:sz w:val="20"/>
                <w:szCs w:val="20"/>
              </w:rPr>
            </w:pPr>
            <w:r w:rsidRPr="0018562E">
              <w:rPr>
                <w:sz w:val="20"/>
                <w:szCs w:val="20"/>
              </w:rPr>
              <w:t>($000)</w:t>
            </w:r>
          </w:p>
        </w:tc>
        <w:tc>
          <w:tcPr>
            <w:tcW w:w="1890" w:type="dxa"/>
          </w:tcPr>
          <w:p w:rsidR="001E32F4" w:rsidRPr="0018562E" w:rsidRDefault="001E32F4" w:rsidP="003620A5">
            <w:pPr>
              <w:jc w:val="center"/>
              <w:rPr>
                <w:sz w:val="20"/>
                <w:szCs w:val="20"/>
              </w:rPr>
            </w:pPr>
            <w:r w:rsidRPr="0018562E">
              <w:rPr>
                <w:sz w:val="20"/>
                <w:szCs w:val="20"/>
              </w:rPr>
              <w:t xml:space="preserve">FY 2015 </w:t>
            </w:r>
          </w:p>
          <w:p w:rsidR="001E32F4" w:rsidRPr="0018562E" w:rsidRDefault="001E32F4" w:rsidP="003620A5">
            <w:pPr>
              <w:jc w:val="center"/>
              <w:rPr>
                <w:sz w:val="20"/>
                <w:szCs w:val="20"/>
              </w:rPr>
            </w:pPr>
            <w:r w:rsidRPr="0018562E">
              <w:rPr>
                <w:sz w:val="20"/>
                <w:szCs w:val="20"/>
              </w:rPr>
              <w:t>Net Annualization</w:t>
            </w:r>
          </w:p>
          <w:p w:rsidR="001E32F4" w:rsidRPr="0018562E" w:rsidRDefault="001E32F4" w:rsidP="003620A5">
            <w:pPr>
              <w:jc w:val="center"/>
              <w:rPr>
                <w:sz w:val="20"/>
                <w:szCs w:val="20"/>
              </w:rPr>
            </w:pPr>
            <w:r w:rsidRPr="0018562E">
              <w:rPr>
                <w:sz w:val="20"/>
                <w:szCs w:val="20"/>
              </w:rPr>
              <w:t>(change from 2014)</w:t>
            </w:r>
          </w:p>
          <w:p w:rsidR="001E32F4" w:rsidRPr="0018562E" w:rsidRDefault="001E32F4" w:rsidP="003620A5">
            <w:pPr>
              <w:jc w:val="center"/>
              <w:rPr>
                <w:sz w:val="20"/>
                <w:szCs w:val="20"/>
              </w:rPr>
            </w:pPr>
            <w:r w:rsidRPr="0018562E">
              <w:rPr>
                <w:sz w:val="20"/>
                <w:szCs w:val="20"/>
              </w:rPr>
              <w:t>($000)</w:t>
            </w:r>
          </w:p>
        </w:tc>
      </w:tr>
      <w:tr w:rsidR="001E32F4" w:rsidRPr="0018562E" w:rsidTr="003620A5">
        <w:tc>
          <w:tcPr>
            <w:tcW w:w="1612" w:type="dxa"/>
          </w:tcPr>
          <w:p w:rsidR="001E32F4" w:rsidRPr="0018562E" w:rsidRDefault="001E32F4" w:rsidP="003620A5">
            <w:pPr>
              <w:pStyle w:val="Footer"/>
              <w:widowControl/>
              <w:tabs>
                <w:tab w:val="clear" w:pos="432"/>
                <w:tab w:val="clear" w:pos="4320"/>
                <w:tab w:val="clear" w:pos="5040"/>
                <w:tab w:val="clear" w:pos="6210"/>
                <w:tab w:val="clear" w:pos="6930"/>
                <w:tab w:val="clear" w:pos="8190"/>
                <w:tab w:val="clear" w:pos="8640"/>
                <w:tab w:val="clear" w:pos="8820"/>
                <w:tab w:val="clear" w:pos="9810"/>
              </w:tabs>
              <w:rPr>
                <w:rFonts w:ascii="Times New Roman" w:hAnsi="Times New Roman"/>
              </w:rPr>
            </w:pPr>
            <w:r w:rsidRPr="0018562E">
              <w:rPr>
                <w:rFonts w:ascii="Times New Roman" w:hAnsi="Times New Roman"/>
              </w:rPr>
              <w:t xml:space="preserve"> </w:t>
            </w:r>
            <w:r w:rsidR="005C7BCA" w:rsidRPr="0018562E">
              <w:rPr>
                <w:rFonts w:ascii="Times New Roman" w:hAnsi="Times New Roman"/>
              </w:rPr>
              <w:t>Conciliator (14</w:t>
            </w:r>
            <w:r w:rsidR="006E3841" w:rsidRPr="0018562E">
              <w:rPr>
                <w:rFonts w:ascii="Times New Roman" w:hAnsi="Times New Roman"/>
              </w:rPr>
              <w:t>)</w:t>
            </w:r>
          </w:p>
        </w:tc>
        <w:tc>
          <w:tcPr>
            <w:tcW w:w="1579" w:type="dxa"/>
            <w:vAlign w:val="center"/>
          </w:tcPr>
          <w:p w:rsidR="001E32F4" w:rsidRPr="0018562E" w:rsidRDefault="004375B8" w:rsidP="003620A5">
            <w:pPr>
              <w:jc w:val="right"/>
              <w:rPr>
                <w:sz w:val="20"/>
                <w:szCs w:val="20"/>
              </w:rPr>
            </w:pPr>
            <w:r w:rsidRPr="0018562E">
              <w:rPr>
                <w:sz w:val="20"/>
                <w:szCs w:val="20"/>
              </w:rPr>
              <w:t>97</w:t>
            </w:r>
          </w:p>
        </w:tc>
        <w:tc>
          <w:tcPr>
            <w:tcW w:w="1349" w:type="dxa"/>
            <w:vAlign w:val="center"/>
          </w:tcPr>
          <w:p w:rsidR="001E32F4" w:rsidRPr="0018562E" w:rsidRDefault="004375B8" w:rsidP="003620A5">
            <w:pPr>
              <w:jc w:val="right"/>
              <w:rPr>
                <w:sz w:val="20"/>
                <w:szCs w:val="20"/>
              </w:rPr>
            </w:pPr>
            <w:r w:rsidRPr="0018562E">
              <w:rPr>
                <w:sz w:val="20"/>
                <w:szCs w:val="20"/>
              </w:rPr>
              <w:t>1</w:t>
            </w:r>
          </w:p>
        </w:tc>
        <w:tc>
          <w:tcPr>
            <w:tcW w:w="1508" w:type="dxa"/>
            <w:vAlign w:val="center"/>
          </w:tcPr>
          <w:p w:rsidR="001E32F4" w:rsidRPr="0018562E" w:rsidRDefault="005C7BCA" w:rsidP="003620A5">
            <w:pPr>
              <w:jc w:val="right"/>
              <w:rPr>
                <w:sz w:val="20"/>
                <w:szCs w:val="20"/>
              </w:rPr>
            </w:pPr>
            <w:r w:rsidRPr="0018562E">
              <w:rPr>
                <w:sz w:val="20"/>
                <w:szCs w:val="20"/>
              </w:rPr>
              <w:t>97</w:t>
            </w:r>
          </w:p>
        </w:tc>
        <w:tc>
          <w:tcPr>
            <w:tcW w:w="1890" w:type="dxa"/>
            <w:vAlign w:val="center"/>
          </w:tcPr>
          <w:p w:rsidR="001E32F4" w:rsidRPr="0018562E" w:rsidRDefault="0018562E" w:rsidP="003620A5">
            <w:pPr>
              <w:jc w:val="right"/>
              <w:rPr>
                <w:sz w:val="20"/>
                <w:szCs w:val="20"/>
              </w:rPr>
            </w:pPr>
            <w:r w:rsidRPr="0018562E">
              <w:rPr>
                <w:sz w:val="20"/>
                <w:szCs w:val="20"/>
              </w:rPr>
              <w:t>83</w:t>
            </w:r>
          </w:p>
        </w:tc>
        <w:tc>
          <w:tcPr>
            <w:tcW w:w="1890" w:type="dxa"/>
          </w:tcPr>
          <w:p w:rsidR="001E32F4" w:rsidRPr="0018562E" w:rsidRDefault="0018562E" w:rsidP="0018562E">
            <w:pPr>
              <w:jc w:val="center"/>
              <w:rPr>
                <w:sz w:val="20"/>
                <w:szCs w:val="20"/>
              </w:rPr>
            </w:pPr>
            <w:r w:rsidRPr="0018562E">
              <w:rPr>
                <w:sz w:val="20"/>
                <w:szCs w:val="20"/>
              </w:rPr>
              <w:t>N/A</w:t>
            </w:r>
          </w:p>
        </w:tc>
      </w:tr>
      <w:tr w:rsidR="006E3841" w:rsidRPr="0018562E" w:rsidTr="003620A5">
        <w:tc>
          <w:tcPr>
            <w:tcW w:w="1612" w:type="dxa"/>
          </w:tcPr>
          <w:p w:rsidR="006E3841" w:rsidRPr="0018562E" w:rsidRDefault="006E3841" w:rsidP="003620A5">
            <w:pPr>
              <w:rPr>
                <w:sz w:val="20"/>
                <w:szCs w:val="20"/>
              </w:rPr>
            </w:pPr>
            <w:r w:rsidRPr="0018562E">
              <w:rPr>
                <w:sz w:val="20"/>
                <w:szCs w:val="20"/>
              </w:rPr>
              <w:t>Conciliator (11)</w:t>
            </w:r>
          </w:p>
        </w:tc>
        <w:tc>
          <w:tcPr>
            <w:tcW w:w="1579" w:type="dxa"/>
            <w:vAlign w:val="center"/>
          </w:tcPr>
          <w:p w:rsidR="006E3841" w:rsidRPr="0018562E" w:rsidRDefault="007B1321" w:rsidP="003620A5">
            <w:pPr>
              <w:jc w:val="right"/>
              <w:rPr>
                <w:sz w:val="20"/>
                <w:szCs w:val="20"/>
              </w:rPr>
            </w:pPr>
            <w:r>
              <w:rPr>
                <w:sz w:val="20"/>
                <w:szCs w:val="20"/>
              </w:rPr>
              <w:t>70</w:t>
            </w:r>
          </w:p>
        </w:tc>
        <w:tc>
          <w:tcPr>
            <w:tcW w:w="1349" w:type="dxa"/>
            <w:vAlign w:val="center"/>
          </w:tcPr>
          <w:p w:rsidR="006E3841" w:rsidRPr="0018562E" w:rsidRDefault="005C7BCA" w:rsidP="003620A5">
            <w:pPr>
              <w:jc w:val="right"/>
              <w:rPr>
                <w:sz w:val="20"/>
                <w:szCs w:val="20"/>
              </w:rPr>
            </w:pPr>
            <w:r w:rsidRPr="0018562E">
              <w:rPr>
                <w:sz w:val="20"/>
                <w:szCs w:val="20"/>
              </w:rPr>
              <w:t>3</w:t>
            </w:r>
          </w:p>
        </w:tc>
        <w:tc>
          <w:tcPr>
            <w:tcW w:w="1508" w:type="dxa"/>
            <w:vAlign w:val="center"/>
          </w:tcPr>
          <w:p w:rsidR="006E3841" w:rsidRPr="0018562E" w:rsidRDefault="007B1321" w:rsidP="003620A5">
            <w:pPr>
              <w:jc w:val="right"/>
              <w:rPr>
                <w:sz w:val="20"/>
                <w:szCs w:val="20"/>
              </w:rPr>
            </w:pPr>
            <w:r>
              <w:rPr>
                <w:sz w:val="20"/>
                <w:szCs w:val="20"/>
              </w:rPr>
              <w:t>211</w:t>
            </w:r>
          </w:p>
        </w:tc>
        <w:tc>
          <w:tcPr>
            <w:tcW w:w="1890" w:type="dxa"/>
            <w:vAlign w:val="center"/>
          </w:tcPr>
          <w:p w:rsidR="006E3841" w:rsidRPr="0018562E" w:rsidRDefault="005C7BCA" w:rsidP="003620A5">
            <w:pPr>
              <w:jc w:val="right"/>
              <w:rPr>
                <w:sz w:val="20"/>
                <w:szCs w:val="20"/>
              </w:rPr>
            </w:pPr>
            <w:r w:rsidRPr="0018562E">
              <w:rPr>
                <w:sz w:val="20"/>
                <w:szCs w:val="20"/>
              </w:rPr>
              <w:t>199</w:t>
            </w:r>
          </w:p>
        </w:tc>
        <w:tc>
          <w:tcPr>
            <w:tcW w:w="1890" w:type="dxa"/>
          </w:tcPr>
          <w:p w:rsidR="006E3841" w:rsidRPr="0018562E" w:rsidRDefault="0018562E" w:rsidP="0018562E">
            <w:pPr>
              <w:jc w:val="center"/>
              <w:rPr>
                <w:sz w:val="20"/>
                <w:szCs w:val="20"/>
              </w:rPr>
            </w:pPr>
            <w:r w:rsidRPr="0018562E">
              <w:rPr>
                <w:sz w:val="20"/>
                <w:szCs w:val="20"/>
              </w:rPr>
              <w:t>N/A</w:t>
            </w:r>
          </w:p>
        </w:tc>
      </w:tr>
      <w:tr w:rsidR="001E32F4" w:rsidRPr="0018562E" w:rsidTr="003620A5">
        <w:tc>
          <w:tcPr>
            <w:tcW w:w="1612" w:type="dxa"/>
          </w:tcPr>
          <w:p w:rsidR="001E32F4" w:rsidRPr="0018562E" w:rsidRDefault="001E32F4" w:rsidP="003620A5">
            <w:pPr>
              <w:rPr>
                <w:sz w:val="20"/>
                <w:szCs w:val="20"/>
              </w:rPr>
            </w:pPr>
            <w:r w:rsidRPr="0018562E">
              <w:rPr>
                <w:sz w:val="20"/>
                <w:szCs w:val="20"/>
              </w:rPr>
              <w:t xml:space="preserve"> </w:t>
            </w:r>
            <w:r w:rsidR="006E3841" w:rsidRPr="0018562E">
              <w:rPr>
                <w:sz w:val="20"/>
                <w:szCs w:val="20"/>
              </w:rPr>
              <w:t>Admin Support ( GS-11)</w:t>
            </w:r>
          </w:p>
        </w:tc>
        <w:tc>
          <w:tcPr>
            <w:tcW w:w="1579" w:type="dxa"/>
            <w:vAlign w:val="center"/>
          </w:tcPr>
          <w:p w:rsidR="001E32F4" w:rsidRPr="0018562E" w:rsidRDefault="004375B8" w:rsidP="003620A5">
            <w:pPr>
              <w:jc w:val="right"/>
              <w:rPr>
                <w:sz w:val="20"/>
                <w:szCs w:val="20"/>
              </w:rPr>
            </w:pPr>
            <w:r w:rsidRPr="0018562E">
              <w:rPr>
                <w:sz w:val="20"/>
                <w:szCs w:val="20"/>
              </w:rPr>
              <w:t>62</w:t>
            </w:r>
          </w:p>
        </w:tc>
        <w:tc>
          <w:tcPr>
            <w:tcW w:w="1349" w:type="dxa"/>
            <w:vAlign w:val="center"/>
          </w:tcPr>
          <w:p w:rsidR="001E32F4" w:rsidRPr="0018562E" w:rsidRDefault="005C7BCA" w:rsidP="003620A5">
            <w:pPr>
              <w:jc w:val="right"/>
              <w:rPr>
                <w:sz w:val="20"/>
                <w:szCs w:val="20"/>
              </w:rPr>
            </w:pPr>
            <w:r w:rsidRPr="0018562E">
              <w:rPr>
                <w:sz w:val="20"/>
                <w:szCs w:val="20"/>
              </w:rPr>
              <w:t>1</w:t>
            </w:r>
          </w:p>
        </w:tc>
        <w:tc>
          <w:tcPr>
            <w:tcW w:w="1508" w:type="dxa"/>
            <w:vAlign w:val="center"/>
          </w:tcPr>
          <w:p w:rsidR="001E32F4" w:rsidRPr="0018562E" w:rsidRDefault="005C7BCA" w:rsidP="003620A5">
            <w:pPr>
              <w:jc w:val="right"/>
              <w:rPr>
                <w:sz w:val="20"/>
                <w:szCs w:val="20"/>
              </w:rPr>
            </w:pPr>
            <w:r w:rsidRPr="0018562E">
              <w:rPr>
                <w:sz w:val="20"/>
                <w:szCs w:val="20"/>
              </w:rPr>
              <w:t>62</w:t>
            </w:r>
          </w:p>
        </w:tc>
        <w:tc>
          <w:tcPr>
            <w:tcW w:w="1890" w:type="dxa"/>
            <w:vAlign w:val="center"/>
          </w:tcPr>
          <w:p w:rsidR="001E32F4" w:rsidRPr="0018562E" w:rsidRDefault="0018562E" w:rsidP="003620A5">
            <w:pPr>
              <w:jc w:val="right"/>
              <w:rPr>
                <w:sz w:val="20"/>
                <w:szCs w:val="20"/>
              </w:rPr>
            </w:pPr>
            <w:r w:rsidRPr="0018562E">
              <w:rPr>
                <w:sz w:val="20"/>
                <w:szCs w:val="20"/>
              </w:rPr>
              <w:t>58</w:t>
            </w:r>
          </w:p>
        </w:tc>
        <w:tc>
          <w:tcPr>
            <w:tcW w:w="1890" w:type="dxa"/>
          </w:tcPr>
          <w:p w:rsidR="001E32F4" w:rsidRPr="0018562E" w:rsidRDefault="0018562E" w:rsidP="0018562E">
            <w:pPr>
              <w:jc w:val="center"/>
              <w:rPr>
                <w:sz w:val="20"/>
                <w:szCs w:val="20"/>
              </w:rPr>
            </w:pPr>
            <w:r w:rsidRPr="0018562E">
              <w:rPr>
                <w:sz w:val="20"/>
                <w:szCs w:val="20"/>
              </w:rPr>
              <w:t>N/A</w:t>
            </w:r>
          </w:p>
        </w:tc>
      </w:tr>
      <w:tr w:rsidR="001E32F4" w:rsidRPr="0018562E" w:rsidTr="003620A5">
        <w:tc>
          <w:tcPr>
            <w:tcW w:w="1612" w:type="dxa"/>
          </w:tcPr>
          <w:p w:rsidR="001E32F4" w:rsidRPr="0018562E" w:rsidRDefault="001E32F4" w:rsidP="003620A5">
            <w:pPr>
              <w:rPr>
                <w:sz w:val="20"/>
                <w:szCs w:val="20"/>
              </w:rPr>
            </w:pPr>
            <w:r w:rsidRPr="0018562E">
              <w:rPr>
                <w:sz w:val="20"/>
                <w:szCs w:val="20"/>
              </w:rPr>
              <w:t>Total Personnel</w:t>
            </w:r>
          </w:p>
        </w:tc>
        <w:tc>
          <w:tcPr>
            <w:tcW w:w="1579" w:type="dxa"/>
            <w:vAlign w:val="center"/>
          </w:tcPr>
          <w:p w:rsidR="001E32F4" w:rsidRPr="0018562E" w:rsidRDefault="001E32F4" w:rsidP="003620A5">
            <w:pPr>
              <w:jc w:val="right"/>
              <w:rPr>
                <w:sz w:val="20"/>
                <w:szCs w:val="20"/>
              </w:rPr>
            </w:pPr>
          </w:p>
        </w:tc>
        <w:tc>
          <w:tcPr>
            <w:tcW w:w="1349" w:type="dxa"/>
            <w:vAlign w:val="center"/>
          </w:tcPr>
          <w:p w:rsidR="001E32F4" w:rsidRPr="0018562E" w:rsidRDefault="00A41B80" w:rsidP="003620A5">
            <w:pPr>
              <w:jc w:val="right"/>
              <w:rPr>
                <w:sz w:val="20"/>
                <w:szCs w:val="20"/>
              </w:rPr>
            </w:pPr>
            <w:r>
              <w:rPr>
                <w:sz w:val="20"/>
                <w:szCs w:val="20"/>
              </w:rPr>
              <w:t>5</w:t>
            </w:r>
          </w:p>
        </w:tc>
        <w:tc>
          <w:tcPr>
            <w:tcW w:w="1508" w:type="dxa"/>
            <w:vAlign w:val="center"/>
          </w:tcPr>
          <w:p w:rsidR="001E32F4" w:rsidRPr="0018562E" w:rsidRDefault="007B1321" w:rsidP="003620A5">
            <w:pPr>
              <w:jc w:val="right"/>
              <w:rPr>
                <w:sz w:val="20"/>
                <w:szCs w:val="20"/>
              </w:rPr>
            </w:pPr>
            <w:r>
              <w:rPr>
                <w:sz w:val="20"/>
                <w:szCs w:val="20"/>
              </w:rPr>
              <w:t>370</w:t>
            </w:r>
          </w:p>
        </w:tc>
        <w:tc>
          <w:tcPr>
            <w:tcW w:w="1890" w:type="dxa"/>
            <w:vAlign w:val="center"/>
          </w:tcPr>
          <w:p w:rsidR="001E32F4" w:rsidRPr="0018562E" w:rsidRDefault="0018562E" w:rsidP="003620A5">
            <w:pPr>
              <w:jc w:val="right"/>
              <w:rPr>
                <w:sz w:val="20"/>
                <w:szCs w:val="20"/>
              </w:rPr>
            </w:pPr>
            <w:r w:rsidRPr="0018562E">
              <w:rPr>
                <w:sz w:val="20"/>
                <w:szCs w:val="20"/>
              </w:rPr>
              <w:t>340</w:t>
            </w:r>
          </w:p>
        </w:tc>
        <w:tc>
          <w:tcPr>
            <w:tcW w:w="1890" w:type="dxa"/>
          </w:tcPr>
          <w:p w:rsidR="001E32F4" w:rsidRPr="0018562E" w:rsidRDefault="0018562E" w:rsidP="0018562E">
            <w:pPr>
              <w:jc w:val="center"/>
              <w:rPr>
                <w:sz w:val="20"/>
                <w:szCs w:val="20"/>
              </w:rPr>
            </w:pPr>
            <w:r w:rsidRPr="0018562E">
              <w:rPr>
                <w:sz w:val="20"/>
                <w:szCs w:val="20"/>
              </w:rPr>
              <w:t>N/A</w:t>
            </w:r>
          </w:p>
        </w:tc>
      </w:tr>
    </w:tbl>
    <w:p w:rsidR="001E32F4" w:rsidRPr="0018562E" w:rsidRDefault="001E32F4" w:rsidP="001E32F4">
      <w:pPr>
        <w:rPr>
          <w:sz w:val="20"/>
          <w:szCs w:val="20"/>
        </w:rPr>
      </w:pPr>
    </w:p>
    <w:p w:rsidR="00CC110C" w:rsidRDefault="00CC110C" w:rsidP="001E32F4">
      <w:pPr>
        <w:pStyle w:val="xl24"/>
        <w:spacing w:before="0" w:after="0"/>
        <w:rPr>
          <w:szCs w:val="24"/>
        </w:rPr>
      </w:pPr>
    </w:p>
    <w:p w:rsidR="00CC110C" w:rsidRPr="003822D9" w:rsidRDefault="00CC110C" w:rsidP="00CC110C">
      <w:pPr>
        <w:pStyle w:val="xl24"/>
        <w:spacing w:before="0" w:after="0"/>
      </w:pPr>
      <w:r w:rsidRPr="003822D9">
        <w:t>Non-Personnel Increase Cost Summary</w:t>
      </w:r>
    </w:p>
    <w:p w:rsidR="00CC110C" w:rsidRPr="003822D9" w:rsidRDefault="00CC110C" w:rsidP="00CC110C"/>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1"/>
        <w:gridCol w:w="1367"/>
        <w:gridCol w:w="1530"/>
        <w:gridCol w:w="1620"/>
        <w:gridCol w:w="1890"/>
        <w:gridCol w:w="1980"/>
      </w:tblGrid>
      <w:tr w:rsidR="00CC110C" w:rsidRPr="003822D9" w:rsidTr="00201C69">
        <w:tc>
          <w:tcPr>
            <w:tcW w:w="1801" w:type="dxa"/>
            <w:shd w:val="clear" w:color="auto" w:fill="E0E0E0"/>
            <w:vAlign w:val="center"/>
          </w:tcPr>
          <w:p w:rsidR="00CC110C" w:rsidRPr="003822D9" w:rsidRDefault="00CC110C" w:rsidP="00201C69">
            <w:pPr>
              <w:jc w:val="center"/>
              <w:rPr>
                <w:sz w:val="20"/>
              </w:rPr>
            </w:pPr>
            <w:r w:rsidRPr="003822D9">
              <w:rPr>
                <w:sz w:val="20"/>
              </w:rPr>
              <w:t>Non-Personnel Item</w:t>
            </w:r>
          </w:p>
        </w:tc>
        <w:tc>
          <w:tcPr>
            <w:tcW w:w="1367" w:type="dxa"/>
            <w:vAlign w:val="center"/>
          </w:tcPr>
          <w:p w:rsidR="00CC110C" w:rsidRPr="003822D9" w:rsidRDefault="00CC110C" w:rsidP="00201C69">
            <w:pPr>
              <w:jc w:val="center"/>
              <w:rPr>
                <w:sz w:val="20"/>
              </w:rPr>
            </w:pPr>
            <w:r w:rsidRPr="003822D9">
              <w:rPr>
                <w:sz w:val="20"/>
              </w:rPr>
              <w:t>Unit Cost</w:t>
            </w:r>
          </w:p>
        </w:tc>
        <w:tc>
          <w:tcPr>
            <w:tcW w:w="1530" w:type="dxa"/>
            <w:vAlign w:val="center"/>
          </w:tcPr>
          <w:p w:rsidR="00CC110C" w:rsidRPr="003822D9" w:rsidRDefault="00CC110C" w:rsidP="00201C69">
            <w:pPr>
              <w:jc w:val="center"/>
              <w:rPr>
                <w:sz w:val="20"/>
              </w:rPr>
            </w:pPr>
            <w:r w:rsidRPr="003822D9">
              <w:rPr>
                <w:sz w:val="20"/>
              </w:rPr>
              <w:t>Quantity</w:t>
            </w:r>
          </w:p>
        </w:tc>
        <w:tc>
          <w:tcPr>
            <w:tcW w:w="1620" w:type="dxa"/>
            <w:vAlign w:val="center"/>
          </w:tcPr>
          <w:p w:rsidR="00CC110C" w:rsidRPr="003822D9" w:rsidRDefault="00CC110C" w:rsidP="00201C69">
            <w:pPr>
              <w:jc w:val="center"/>
              <w:rPr>
                <w:sz w:val="20"/>
              </w:rPr>
            </w:pPr>
            <w:r w:rsidRPr="003822D9">
              <w:rPr>
                <w:sz w:val="20"/>
              </w:rPr>
              <w:t>FY 2013 Request</w:t>
            </w:r>
          </w:p>
          <w:p w:rsidR="00CC110C" w:rsidRPr="003822D9" w:rsidRDefault="00CC110C" w:rsidP="00201C69">
            <w:pPr>
              <w:jc w:val="center"/>
              <w:rPr>
                <w:sz w:val="20"/>
              </w:rPr>
            </w:pPr>
            <w:r w:rsidRPr="003822D9">
              <w:rPr>
                <w:sz w:val="20"/>
              </w:rPr>
              <w:t>($000)</w:t>
            </w:r>
          </w:p>
        </w:tc>
        <w:tc>
          <w:tcPr>
            <w:tcW w:w="1890" w:type="dxa"/>
            <w:vAlign w:val="center"/>
          </w:tcPr>
          <w:p w:rsidR="00CC110C" w:rsidRPr="003822D9" w:rsidRDefault="00CC110C" w:rsidP="00201C69">
            <w:pPr>
              <w:jc w:val="center"/>
              <w:rPr>
                <w:sz w:val="20"/>
              </w:rPr>
            </w:pPr>
            <w:r w:rsidRPr="003822D9">
              <w:rPr>
                <w:sz w:val="20"/>
              </w:rPr>
              <w:t>FY 2014 Net</w:t>
            </w:r>
          </w:p>
          <w:p w:rsidR="00CC110C" w:rsidRPr="003822D9" w:rsidRDefault="00CC110C" w:rsidP="00201C69">
            <w:pPr>
              <w:jc w:val="center"/>
              <w:rPr>
                <w:sz w:val="20"/>
              </w:rPr>
            </w:pPr>
            <w:r w:rsidRPr="003822D9">
              <w:rPr>
                <w:sz w:val="20"/>
              </w:rPr>
              <w:t>Annualization</w:t>
            </w:r>
          </w:p>
          <w:p w:rsidR="00CC110C" w:rsidRPr="003822D9" w:rsidRDefault="00CC110C" w:rsidP="00201C69">
            <w:pPr>
              <w:jc w:val="center"/>
              <w:rPr>
                <w:sz w:val="20"/>
              </w:rPr>
            </w:pPr>
            <w:r w:rsidRPr="003822D9">
              <w:rPr>
                <w:sz w:val="20"/>
              </w:rPr>
              <w:t>(Change from 2013)</w:t>
            </w:r>
          </w:p>
          <w:p w:rsidR="00CC110C" w:rsidRPr="003822D9" w:rsidRDefault="00CC110C" w:rsidP="00201C69">
            <w:pPr>
              <w:jc w:val="center"/>
              <w:rPr>
                <w:sz w:val="20"/>
              </w:rPr>
            </w:pPr>
            <w:r w:rsidRPr="003822D9">
              <w:rPr>
                <w:sz w:val="20"/>
              </w:rPr>
              <w:t>($000)</w:t>
            </w:r>
          </w:p>
        </w:tc>
        <w:tc>
          <w:tcPr>
            <w:tcW w:w="1980" w:type="dxa"/>
          </w:tcPr>
          <w:p w:rsidR="00CC110C" w:rsidRPr="003822D9" w:rsidRDefault="00CC110C" w:rsidP="00201C69">
            <w:pPr>
              <w:jc w:val="center"/>
              <w:rPr>
                <w:sz w:val="20"/>
              </w:rPr>
            </w:pPr>
          </w:p>
          <w:p w:rsidR="00CC110C" w:rsidRPr="003822D9" w:rsidRDefault="00CC110C" w:rsidP="00201C69">
            <w:pPr>
              <w:jc w:val="center"/>
              <w:rPr>
                <w:sz w:val="20"/>
              </w:rPr>
            </w:pPr>
            <w:r w:rsidRPr="003822D9">
              <w:rPr>
                <w:sz w:val="20"/>
              </w:rPr>
              <w:t xml:space="preserve">FY 2015 </w:t>
            </w:r>
          </w:p>
          <w:p w:rsidR="00CC110C" w:rsidRPr="003822D9" w:rsidRDefault="00CC110C" w:rsidP="00201C69">
            <w:pPr>
              <w:jc w:val="center"/>
              <w:rPr>
                <w:sz w:val="20"/>
              </w:rPr>
            </w:pPr>
            <w:r w:rsidRPr="003822D9">
              <w:rPr>
                <w:sz w:val="20"/>
              </w:rPr>
              <w:t>Net Annualization (change from 2014)</w:t>
            </w:r>
          </w:p>
          <w:p w:rsidR="00CC110C" w:rsidRPr="003822D9" w:rsidRDefault="00CC110C" w:rsidP="00201C69">
            <w:pPr>
              <w:jc w:val="center"/>
              <w:rPr>
                <w:sz w:val="20"/>
              </w:rPr>
            </w:pPr>
            <w:r w:rsidRPr="003822D9">
              <w:rPr>
                <w:sz w:val="20"/>
              </w:rPr>
              <w:t>($000)</w:t>
            </w:r>
          </w:p>
        </w:tc>
      </w:tr>
      <w:tr w:rsidR="00CC110C" w:rsidRPr="003822D9" w:rsidTr="00201C69">
        <w:tc>
          <w:tcPr>
            <w:tcW w:w="1801" w:type="dxa"/>
          </w:tcPr>
          <w:p w:rsidR="00CC110C" w:rsidRPr="003822D9" w:rsidRDefault="001B2E33" w:rsidP="00201C69">
            <w:pPr>
              <w:rPr>
                <w:sz w:val="20"/>
              </w:rPr>
            </w:pPr>
            <w:r>
              <w:rPr>
                <w:sz w:val="20"/>
              </w:rPr>
              <w:t>Travel</w:t>
            </w:r>
          </w:p>
        </w:tc>
        <w:tc>
          <w:tcPr>
            <w:tcW w:w="1367" w:type="dxa"/>
            <w:vAlign w:val="center"/>
          </w:tcPr>
          <w:p w:rsidR="00CC110C" w:rsidRPr="003822D9" w:rsidRDefault="001B2E33" w:rsidP="00201C69">
            <w:pPr>
              <w:pStyle w:val="xl19"/>
              <w:spacing w:before="0" w:after="0"/>
              <w:jc w:val="right"/>
              <w:rPr>
                <w:sz w:val="20"/>
                <w:szCs w:val="24"/>
              </w:rPr>
            </w:pPr>
            <w:r>
              <w:rPr>
                <w:sz w:val="20"/>
                <w:szCs w:val="24"/>
              </w:rPr>
              <w:t>N/A</w:t>
            </w:r>
          </w:p>
        </w:tc>
        <w:tc>
          <w:tcPr>
            <w:tcW w:w="1530" w:type="dxa"/>
            <w:vAlign w:val="center"/>
          </w:tcPr>
          <w:p w:rsidR="00CC110C" w:rsidRPr="003822D9" w:rsidRDefault="001B2E33" w:rsidP="00201C69">
            <w:pPr>
              <w:jc w:val="right"/>
              <w:rPr>
                <w:sz w:val="20"/>
              </w:rPr>
            </w:pPr>
            <w:r>
              <w:rPr>
                <w:sz w:val="20"/>
              </w:rPr>
              <w:t>N/A</w:t>
            </w:r>
          </w:p>
        </w:tc>
        <w:tc>
          <w:tcPr>
            <w:tcW w:w="1620" w:type="dxa"/>
            <w:vAlign w:val="center"/>
          </w:tcPr>
          <w:p w:rsidR="00CC110C" w:rsidRPr="003822D9" w:rsidRDefault="001B2E33" w:rsidP="00201C69">
            <w:pPr>
              <w:jc w:val="right"/>
              <w:rPr>
                <w:sz w:val="20"/>
              </w:rPr>
            </w:pPr>
            <w:r>
              <w:rPr>
                <w:sz w:val="20"/>
              </w:rPr>
              <w:t>21</w:t>
            </w:r>
          </w:p>
        </w:tc>
        <w:tc>
          <w:tcPr>
            <w:tcW w:w="1890" w:type="dxa"/>
            <w:vAlign w:val="center"/>
          </w:tcPr>
          <w:p w:rsidR="00CC110C" w:rsidRPr="003822D9" w:rsidRDefault="001B2E33" w:rsidP="00201C69">
            <w:pPr>
              <w:jc w:val="right"/>
              <w:rPr>
                <w:sz w:val="20"/>
              </w:rPr>
            </w:pPr>
            <w:r>
              <w:rPr>
                <w:sz w:val="20"/>
              </w:rPr>
              <w:t>N/A</w:t>
            </w:r>
          </w:p>
        </w:tc>
        <w:tc>
          <w:tcPr>
            <w:tcW w:w="1980" w:type="dxa"/>
          </w:tcPr>
          <w:p w:rsidR="00CC110C" w:rsidRPr="003822D9" w:rsidRDefault="001B2E33" w:rsidP="00201C69">
            <w:pPr>
              <w:jc w:val="right"/>
              <w:rPr>
                <w:sz w:val="20"/>
                <w:szCs w:val="20"/>
              </w:rPr>
            </w:pPr>
            <w:r>
              <w:rPr>
                <w:sz w:val="20"/>
                <w:szCs w:val="20"/>
              </w:rPr>
              <w:t>N/A</w:t>
            </w:r>
          </w:p>
        </w:tc>
      </w:tr>
      <w:tr w:rsidR="001B2E33" w:rsidRPr="003822D9" w:rsidTr="00201C69">
        <w:tc>
          <w:tcPr>
            <w:tcW w:w="1801" w:type="dxa"/>
          </w:tcPr>
          <w:p w:rsidR="001B2E33" w:rsidRPr="003822D9" w:rsidRDefault="001B2E33" w:rsidP="00201C69">
            <w:pPr>
              <w:rPr>
                <w:sz w:val="20"/>
              </w:rPr>
            </w:pPr>
            <w:r w:rsidRPr="003822D9">
              <w:rPr>
                <w:sz w:val="20"/>
              </w:rPr>
              <w:t>Total Non-Personnel</w:t>
            </w:r>
          </w:p>
        </w:tc>
        <w:tc>
          <w:tcPr>
            <w:tcW w:w="1367" w:type="dxa"/>
            <w:vAlign w:val="center"/>
          </w:tcPr>
          <w:p w:rsidR="001B2E33" w:rsidRPr="003822D9" w:rsidRDefault="001B2E33" w:rsidP="00201C69">
            <w:pPr>
              <w:pStyle w:val="xl19"/>
              <w:spacing w:before="0" w:after="0"/>
              <w:jc w:val="right"/>
              <w:rPr>
                <w:sz w:val="20"/>
                <w:szCs w:val="24"/>
              </w:rPr>
            </w:pPr>
            <w:r>
              <w:rPr>
                <w:sz w:val="20"/>
                <w:szCs w:val="24"/>
              </w:rPr>
              <w:t>N/A</w:t>
            </w:r>
          </w:p>
        </w:tc>
        <w:tc>
          <w:tcPr>
            <w:tcW w:w="1530" w:type="dxa"/>
            <w:vAlign w:val="center"/>
          </w:tcPr>
          <w:p w:rsidR="001B2E33" w:rsidRPr="003822D9" w:rsidRDefault="001B2E33" w:rsidP="00201C69">
            <w:pPr>
              <w:jc w:val="right"/>
              <w:rPr>
                <w:sz w:val="20"/>
              </w:rPr>
            </w:pPr>
            <w:r>
              <w:rPr>
                <w:sz w:val="20"/>
              </w:rPr>
              <w:t>N/A</w:t>
            </w:r>
          </w:p>
        </w:tc>
        <w:tc>
          <w:tcPr>
            <w:tcW w:w="1620" w:type="dxa"/>
            <w:vAlign w:val="center"/>
          </w:tcPr>
          <w:p w:rsidR="001B2E33" w:rsidRPr="003822D9" w:rsidRDefault="001B2E33" w:rsidP="00201C69">
            <w:pPr>
              <w:jc w:val="right"/>
              <w:rPr>
                <w:sz w:val="20"/>
              </w:rPr>
            </w:pPr>
            <w:r>
              <w:rPr>
                <w:sz w:val="20"/>
              </w:rPr>
              <w:t>21</w:t>
            </w:r>
          </w:p>
        </w:tc>
        <w:tc>
          <w:tcPr>
            <w:tcW w:w="1890" w:type="dxa"/>
            <w:vAlign w:val="center"/>
          </w:tcPr>
          <w:p w:rsidR="001B2E33" w:rsidRPr="003822D9" w:rsidRDefault="001B2E33" w:rsidP="00201C69">
            <w:pPr>
              <w:jc w:val="right"/>
              <w:rPr>
                <w:sz w:val="20"/>
              </w:rPr>
            </w:pPr>
            <w:r>
              <w:rPr>
                <w:sz w:val="20"/>
              </w:rPr>
              <w:t>N/A</w:t>
            </w:r>
          </w:p>
        </w:tc>
        <w:tc>
          <w:tcPr>
            <w:tcW w:w="1980" w:type="dxa"/>
          </w:tcPr>
          <w:p w:rsidR="001B2E33" w:rsidRPr="003822D9" w:rsidRDefault="001B2E33" w:rsidP="00201C69">
            <w:pPr>
              <w:jc w:val="right"/>
              <w:rPr>
                <w:sz w:val="20"/>
                <w:szCs w:val="20"/>
              </w:rPr>
            </w:pPr>
            <w:r>
              <w:rPr>
                <w:sz w:val="20"/>
                <w:szCs w:val="20"/>
              </w:rPr>
              <w:t>N/A</w:t>
            </w:r>
          </w:p>
        </w:tc>
      </w:tr>
    </w:tbl>
    <w:p w:rsidR="00CC110C" w:rsidRDefault="00CC110C" w:rsidP="001E32F4">
      <w:pPr>
        <w:pStyle w:val="xl24"/>
        <w:spacing w:before="0" w:after="0"/>
        <w:rPr>
          <w:szCs w:val="24"/>
        </w:rPr>
      </w:pPr>
    </w:p>
    <w:p w:rsidR="001E32F4" w:rsidRDefault="001E32F4" w:rsidP="001E32F4">
      <w:pPr>
        <w:pStyle w:val="xl24"/>
        <w:spacing w:before="0" w:after="0"/>
        <w:rPr>
          <w:szCs w:val="24"/>
        </w:rPr>
      </w:pPr>
      <w:r>
        <w:rPr>
          <w:szCs w:val="24"/>
        </w:rPr>
        <w:t>Total Request for this Item</w:t>
      </w:r>
    </w:p>
    <w:p w:rsidR="001E32F4" w:rsidRDefault="001E32F4" w:rsidP="001E32F4"/>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720"/>
        <w:gridCol w:w="984"/>
        <w:gridCol w:w="636"/>
        <w:gridCol w:w="1080"/>
        <w:gridCol w:w="1080"/>
        <w:gridCol w:w="900"/>
        <w:gridCol w:w="1620"/>
        <w:gridCol w:w="1890"/>
      </w:tblGrid>
      <w:tr w:rsidR="0018562E" w:rsidTr="0018562E">
        <w:trPr>
          <w:trHeight w:val="719"/>
        </w:trPr>
        <w:tc>
          <w:tcPr>
            <w:tcW w:w="1080" w:type="dxa"/>
            <w:shd w:val="clear" w:color="auto" w:fill="E6E6E6"/>
          </w:tcPr>
          <w:p w:rsidR="001E32F4" w:rsidRDefault="001E32F4" w:rsidP="003620A5">
            <w:pPr>
              <w:rPr>
                <w:sz w:val="20"/>
              </w:rPr>
            </w:pPr>
          </w:p>
          <w:p w:rsidR="001E32F4" w:rsidRPr="006A30E2" w:rsidRDefault="001E32F4" w:rsidP="003620A5">
            <w:pPr>
              <w:rPr>
                <w:sz w:val="20"/>
              </w:rPr>
            </w:pPr>
          </w:p>
        </w:tc>
        <w:tc>
          <w:tcPr>
            <w:tcW w:w="720" w:type="dxa"/>
            <w:vAlign w:val="center"/>
          </w:tcPr>
          <w:p w:rsidR="001E32F4" w:rsidRDefault="001E32F4" w:rsidP="003620A5">
            <w:pPr>
              <w:jc w:val="center"/>
              <w:rPr>
                <w:sz w:val="20"/>
              </w:rPr>
            </w:pPr>
            <w:r>
              <w:rPr>
                <w:sz w:val="20"/>
              </w:rPr>
              <w:t>Pos</w:t>
            </w:r>
          </w:p>
        </w:tc>
        <w:tc>
          <w:tcPr>
            <w:tcW w:w="984" w:type="dxa"/>
            <w:vAlign w:val="center"/>
          </w:tcPr>
          <w:p w:rsidR="001E32F4" w:rsidRDefault="001E32F4" w:rsidP="003620A5">
            <w:pPr>
              <w:jc w:val="center"/>
              <w:rPr>
                <w:sz w:val="20"/>
              </w:rPr>
            </w:pPr>
          </w:p>
          <w:p w:rsidR="001E32F4" w:rsidRDefault="001E32F4" w:rsidP="003620A5">
            <w:pPr>
              <w:jc w:val="center"/>
              <w:rPr>
                <w:sz w:val="20"/>
              </w:rPr>
            </w:pPr>
            <w:r>
              <w:rPr>
                <w:sz w:val="20"/>
              </w:rPr>
              <w:t>Agt/Atty</w:t>
            </w:r>
          </w:p>
          <w:p w:rsidR="001E32F4" w:rsidRDefault="001E32F4" w:rsidP="003620A5">
            <w:pPr>
              <w:jc w:val="center"/>
              <w:rPr>
                <w:sz w:val="20"/>
              </w:rPr>
            </w:pPr>
          </w:p>
        </w:tc>
        <w:tc>
          <w:tcPr>
            <w:tcW w:w="636" w:type="dxa"/>
            <w:vAlign w:val="center"/>
          </w:tcPr>
          <w:p w:rsidR="001E32F4" w:rsidRDefault="001E32F4" w:rsidP="003620A5">
            <w:pPr>
              <w:jc w:val="center"/>
              <w:rPr>
                <w:sz w:val="20"/>
              </w:rPr>
            </w:pPr>
            <w:r>
              <w:rPr>
                <w:sz w:val="20"/>
              </w:rPr>
              <w:t>FTE</w:t>
            </w:r>
          </w:p>
        </w:tc>
        <w:tc>
          <w:tcPr>
            <w:tcW w:w="1080" w:type="dxa"/>
            <w:vAlign w:val="center"/>
          </w:tcPr>
          <w:p w:rsidR="001E32F4" w:rsidRDefault="001E32F4" w:rsidP="003620A5">
            <w:pPr>
              <w:jc w:val="center"/>
              <w:rPr>
                <w:sz w:val="20"/>
              </w:rPr>
            </w:pPr>
            <w:r>
              <w:rPr>
                <w:sz w:val="20"/>
              </w:rPr>
              <w:t>Personnel</w:t>
            </w:r>
          </w:p>
          <w:p w:rsidR="001E32F4" w:rsidRDefault="001E32F4" w:rsidP="003620A5">
            <w:pPr>
              <w:jc w:val="center"/>
              <w:rPr>
                <w:sz w:val="20"/>
              </w:rPr>
            </w:pPr>
            <w:r>
              <w:rPr>
                <w:sz w:val="20"/>
              </w:rPr>
              <w:t>($000)</w:t>
            </w:r>
          </w:p>
        </w:tc>
        <w:tc>
          <w:tcPr>
            <w:tcW w:w="1080" w:type="dxa"/>
            <w:vAlign w:val="center"/>
          </w:tcPr>
          <w:p w:rsidR="001E32F4" w:rsidRDefault="001E32F4" w:rsidP="003620A5">
            <w:pPr>
              <w:jc w:val="center"/>
              <w:rPr>
                <w:sz w:val="20"/>
              </w:rPr>
            </w:pPr>
            <w:r>
              <w:rPr>
                <w:sz w:val="20"/>
              </w:rPr>
              <w:t>Non-Personnel</w:t>
            </w:r>
          </w:p>
          <w:p w:rsidR="001E32F4" w:rsidRDefault="001E32F4" w:rsidP="003620A5">
            <w:pPr>
              <w:jc w:val="center"/>
              <w:rPr>
                <w:sz w:val="20"/>
              </w:rPr>
            </w:pPr>
            <w:r>
              <w:rPr>
                <w:sz w:val="20"/>
              </w:rPr>
              <w:t>($000)</w:t>
            </w:r>
          </w:p>
        </w:tc>
        <w:tc>
          <w:tcPr>
            <w:tcW w:w="900" w:type="dxa"/>
          </w:tcPr>
          <w:p w:rsidR="001E32F4" w:rsidRDefault="001E32F4" w:rsidP="003620A5">
            <w:pPr>
              <w:jc w:val="center"/>
              <w:rPr>
                <w:sz w:val="20"/>
              </w:rPr>
            </w:pPr>
          </w:p>
          <w:p w:rsidR="001E32F4" w:rsidRDefault="001E32F4" w:rsidP="003620A5">
            <w:pPr>
              <w:jc w:val="center"/>
              <w:rPr>
                <w:sz w:val="20"/>
              </w:rPr>
            </w:pPr>
            <w:r>
              <w:rPr>
                <w:sz w:val="20"/>
              </w:rPr>
              <w:t>Total</w:t>
            </w:r>
          </w:p>
          <w:p w:rsidR="001E32F4" w:rsidRDefault="001E32F4" w:rsidP="003620A5">
            <w:pPr>
              <w:jc w:val="center"/>
              <w:rPr>
                <w:sz w:val="20"/>
              </w:rPr>
            </w:pPr>
            <w:r>
              <w:rPr>
                <w:sz w:val="20"/>
              </w:rPr>
              <w:t>($000)</w:t>
            </w:r>
          </w:p>
        </w:tc>
        <w:tc>
          <w:tcPr>
            <w:tcW w:w="1620" w:type="dxa"/>
            <w:vAlign w:val="center"/>
          </w:tcPr>
          <w:p w:rsidR="001E32F4" w:rsidRDefault="001E32F4" w:rsidP="003620A5">
            <w:pPr>
              <w:jc w:val="center"/>
              <w:rPr>
                <w:sz w:val="20"/>
              </w:rPr>
            </w:pPr>
            <w:r>
              <w:rPr>
                <w:sz w:val="20"/>
              </w:rPr>
              <w:t>FY 2014 Net</w:t>
            </w:r>
          </w:p>
          <w:p w:rsidR="001E32F4" w:rsidRDefault="001E32F4" w:rsidP="003620A5">
            <w:pPr>
              <w:jc w:val="center"/>
              <w:rPr>
                <w:sz w:val="20"/>
              </w:rPr>
            </w:pPr>
            <w:r>
              <w:rPr>
                <w:sz w:val="20"/>
              </w:rPr>
              <w:t>Annualization</w:t>
            </w:r>
          </w:p>
          <w:p w:rsidR="001E32F4" w:rsidRDefault="001E32F4" w:rsidP="003620A5">
            <w:pPr>
              <w:jc w:val="center"/>
              <w:rPr>
                <w:sz w:val="20"/>
              </w:rPr>
            </w:pPr>
            <w:r>
              <w:rPr>
                <w:sz w:val="20"/>
              </w:rPr>
              <w:t>(Change from 2013)</w:t>
            </w:r>
          </w:p>
          <w:p w:rsidR="001E32F4" w:rsidRDefault="001E32F4" w:rsidP="003620A5">
            <w:pPr>
              <w:jc w:val="center"/>
              <w:rPr>
                <w:sz w:val="20"/>
              </w:rPr>
            </w:pPr>
            <w:r>
              <w:rPr>
                <w:sz w:val="20"/>
              </w:rPr>
              <w:t>($000)</w:t>
            </w:r>
          </w:p>
        </w:tc>
        <w:tc>
          <w:tcPr>
            <w:tcW w:w="1890" w:type="dxa"/>
          </w:tcPr>
          <w:p w:rsidR="001E32F4" w:rsidRDefault="001E32F4" w:rsidP="003620A5">
            <w:pPr>
              <w:jc w:val="center"/>
              <w:rPr>
                <w:sz w:val="20"/>
              </w:rPr>
            </w:pPr>
            <w:r>
              <w:rPr>
                <w:sz w:val="20"/>
              </w:rPr>
              <w:t>FY 2015 Net</w:t>
            </w:r>
          </w:p>
          <w:p w:rsidR="001E32F4" w:rsidRDefault="001E32F4" w:rsidP="003620A5">
            <w:pPr>
              <w:jc w:val="center"/>
              <w:rPr>
                <w:sz w:val="20"/>
              </w:rPr>
            </w:pPr>
            <w:r>
              <w:rPr>
                <w:sz w:val="20"/>
              </w:rPr>
              <w:t>Annualization</w:t>
            </w:r>
          </w:p>
          <w:p w:rsidR="001E32F4" w:rsidRDefault="001E32F4" w:rsidP="003620A5">
            <w:pPr>
              <w:jc w:val="center"/>
              <w:rPr>
                <w:sz w:val="20"/>
              </w:rPr>
            </w:pPr>
            <w:r>
              <w:rPr>
                <w:sz w:val="20"/>
              </w:rPr>
              <w:t>(Change from 2014)</w:t>
            </w:r>
          </w:p>
          <w:p w:rsidR="001E32F4" w:rsidRDefault="001E32F4" w:rsidP="003620A5">
            <w:pPr>
              <w:jc w:val="center"/>
              <w:rPr>
                <w:sz w:val="20"/>
              </w:rPr>
            </w:pPr>
            <w:r>
              <w:rPr>
                <w:sz w:val="20"/>
              </w:rPr>
              <w:t>($000)</w:t>
            </w:r>
          </w:p>
        </w:tc>
      </w:tr>
      <w:tr w:rsidR="0018562E" w:rsidTr="00A05D39">
        <w:trPr>
          <w:trHeight w:val="215"/>
        </w:trPr>
        <w:tc>
          <w:tcPr>
            <w:tcW w:w="1080" w:type="dxa"/>
          </w:tcPr>
          <w:p w:rsidR="001E32F4" w:rsidRDefault="001E32F4" w:rsidP="003620A5">
            <w:pPr>
              <w:rPr>
                <w:sz w:val="20"/>
              </w:rPr>
            </w:pPr>
            <w:r>
              <w:rPr>
                <w:sz w:val="20"/>
              </w:rPr>
              <w:t>Current Services</w:t>
            </w:r>
          </w:p>
        </w:tc>
        <w:tc>
          <w:tcPr>
            <w:tcW w:w="720" w:type="dxa"/>
            <w:vAlign w:val="bottom"/>
          </w:tcPr>
          <w:p w:rsidR="001E32F4" w:rsidRDefault="001B2E33" w:rsidP="00A05D39">
            <w:pPr>
              <w:jc w:val="right"/>
              <w:rPr>
                <w:sz w:val="20"/>
              </w:rPr>
            </w:pPr>
            <w:r>
              <w:rPr>
                <w:sz w:val="20"/>
              </w:rPr>
              <w:t>8</w:t>
            </w:r>
          </w:p>
        </w:tc>
        <w:tc>
          <w:tcPr>
            <w:tcW w:w="984" w:type="dxa"/>
            <w:vAlign w:val="bottom"/>
          </w:tcPr>
          <w:p w:rsidR="0018562E" w:rsidRDefault="001B2E33" w:rsidP="00A05D39">
            <w:pPr>
              <w:jc w:val="right"/>
              <w:rPr>
                <w:sz w:val="20"/>
              </w:rPr>
            </w:pPr>
            <w:r>
              <w:rPr>
                <w:sz w:val="20"/>
              </w:rPr>
              <w:t>0</w:t>
            </w:r>
          </w:p>
        </w:tc>
        <w:tc>
          <w:tcPr>
            <w:tcW w:w="636" w:type="dxa"/>
            <w:vAlign w:val="bottom"/>
          </w:tcPr>
          <w:p w:rsidR="001E32F4" w:rsidRDefault="001B2E33" w:rsidP="00A05D39">
            <w:pPr>
              <w:jc w:val="right"/>
              <w:rPr>
                <w:sz w:val="20"/>
              </w:rPr>
            </w:pPr>
            <w:r>
              <w:rPr>
                <w:sz w:val="20"/>
              </w:rPr>
              <w:t>8</w:t>
            </w:r>
          </w:p>
        </w:tc>
        <w:tc>
          <w:tcPr>
            <w:tcW w:w="1080" w:type="dxa"/>
            <w:vAlign w:val="bottom"/>
          </w:tcPr>
          <w:p w:rsidR="001E32F4" w:rsidRDefault="001B2E33" w:rsidP="00A05D39">
            <w:pPr>
              <w:jc w:val="right"/>
              <w:rPr>
                <w:sz w:val="20"/>
              </w:rPr>
            </w:pPr>
            <w:r>
              <w:rPr>
                <w:sz w:val="20"/>
              </w:rPr>
              <w:t>954</w:t>
            </w:r>
          </w:p>
        </w:tc>
        <w:tc>
          <w:tcPr>
            <w:tcW w:w="1080" w:type="dxa"/>
            <w:vAlign w:val="bottom"/>
          </w:tcPr>
          <w:p w:rsidR="001E32F4" w:rsidRDefault="001B2E33" w:rsidP="00A05D39">
            <w:pPr>
              <w:jc w:val="right"/>
              <w:rPr>
                <w:sz w:val="20"/>
              </w:rPr>
            </w:pPr>
            <w:r>
              <w:rPr>
                <w:sz w:val="20"/>
              </w:rPr>
              <w:t>795</w:t>
            </w:r>
          </w:p>
        </w:tc>
        <w:tc>
          <w:tcPr>
            <w:tcW w:w="900" w:type="dxa"/>
            <w:vAlign w:val="bottom"/>
          </w:tcPr>
          <w:p w:rsidR="001159AE" w:rsidRDefault="001B2E33" w:rsidP="00A05D39">
            <w:pPr>
              <w:jc w:val="right"/>
              <w:rPr>
                <w:sz w:val="20"/>
              </w:rPr>
            </w:pPr>
            <w:r>
              <w:rPr>
                <w:sz w:val="20"/>
              </w:rPr>
              <w:t>1,749</w:t>
            </w:r>
          </w:p>
        </w:tc>
        <w:tc>
          <w:tcPr>
            <w:tcW w:w="1620" w:type="dxa"/>
            <w:vAlign w:val="bottom"/>
          </w:tcPr>
          <w:p w:rsidR="001E32F4" w:rsidRDefault="00783941" w:rsidP="00A05D39">
            <w:pPr>
              <w:jc w:val="right"/>
              <w:rPr>
                <w:sz w:val="20"/>
              </w:rPr>
            </w:pPr>
            <w:r>
              <w:rPr>
                <w:sz w:val="20"/>
              </w:rPr>
              <w:t>N/A</w:t>
            </w:r>
          </w:p>
        </w:tc>
        <w:tc>
          <w:tcPr>
            <w:tcW w:w="1890" w:type="dxa"/>
            <w:vAlign w:val="bottom"/>
          </w:tcPr>
          <w:p w:rsidR="001E32F4" w:rsidRDefault="00A05D39" w:rsidP="00A05D39">
            <w:pPr>
              <w:jc w:val="right"/>
              <w:rPr>
                <w:sz w:val="20"/>
              </w:rPr>
            </w:pPr>
            <w:r>
              <w:rPr>
                <w:sz w:val="20"/>
              </w:rPr>
              <w:t>N/A</w:t>
            </w:r>
          </w:p>
        </w:tc>
      </w:tr>
      <w:tr w:rsidR="0018562E" w:rsidTr="00A05D39">
        <w:trPr>
          <w:trHeight w:val="215"/>
        </w:trPr>
        <w:tc>
          <w:tcPr>
            <w:tcW w:w="1080" w:type="dxa"/>
          </w:tcPr>
          <w:p w:rsidR="001E32F4" w:rsidRDefault="001E32F4" w:rsidP="003620A5">
            <w:pPr>
              <w:rPr>
                <w:sz w:val="20"/>
              </w:rPr>
            </w:pPr>
            <w:r>
              <w:rPr>
                <w:sz w:val="20"/>
              </w:rPr>
              <w:t>Increases</w:t>
            </w:r>
          </w:p>
        </w:tc>
        <w:tc>
          <w:tcPr>
            <w:tcW w:w="720" w:type="dxa"/>
            <w:vAlign w:val="bottom"/>
          </w:tcPr>
          <w:p w:rsidR="001E32F4" w:rsidRDefault="0018562E" w:rsidP="00A05D39">
            <w:pPr>
              <w:jc w:val="right"/>
              <w:rPr>
                <w:sz w:val="20"/>
              </w:rPr>
            </w:pPr>
            <w:r>
              <w:rPr>
                <w:sz w:val="20"/>
              </w:rPr>
              <w:t>5</w:t>
            </w:r>
          </w:p>
        </w:tc>
        <w:tc>
          <w:tcPr>
            <w:tcW w:w="984" w:type="dxa"/>
            <w:vAlign w:val="bottom"/>
          </w:tcPr>
          <w:p w:rsidR="001E32F4" w:rsidRDefault="0018562E" w:rsidP="00A05D39">
            <w:pPr>
              <w:jc w:val="right"/>
              <w:rPr>
                <w:sz w:val="20"/>
              </w:rPr>
            </w:pPr>
            <w:r>
              <w:rPr>
                <w:sz w:val="20"/>
              </w:rPr>
              <w:t>0</w:t>
            </w:r>
          </w:p>
        </w:tc>
        <w:tc>
          <w:tcPr>
            <w:tcW w:w="636" w:type="dxa"/>
            <w:vAlign w:val="bottom"/>
          </w:tcPr>
          <w:p w:rsidR="001E32F4" w:rsidRDefault="0018562E" w:rsidP="00A05D39">
            <w:pPr>
              <w:jc w:val="right"/>
              <w:rPr>
                <w:sz w:val="20"/>
              </w:rPr>
            </w:pPr>
            <w:r>
              <w:rPr>
                <w:sz w:val="20"/>
              </w:rPr>
              <w:t>3</w:t>
            </w:r>
          </w:p>
        </w:tc>
        <w:tc>
          <w:tcPr>
            <w:tcW w:w="1080" w:type="dxa"/>
            <w:vAlign w:val="bottom"/>
          </w:tcPr>
          <w:p w:rsidR="001E32F4" w:rsidRDefault="001B2E33" w:rsidP="001B2E33">
            <w:pPr>
              <w:jc w:val="right"/>
              <w:rPr>
                <w:sz w:val="20"/>
              </w:rPr>
            </w:pPr>
            <w:r>
              <w:rPr>
                <w:sz w:val="20"/>
              </w:rPr>
              <w:t>370</w:t>
            </w:r>
          </w:p>
        </w:tc>
        <w:tc>
          <w:tcPr>
            <w:tcW w:w="1080" w:type="dxa"/>
            <w:vAlign w:val="bottom"/>
          </w:tcPr>
          <w:p w:rsidR="001E32F4" w:rsidRDefault="001B2E33" w:rsidP="00A05D39">
            <w:pPr>
              <w:jc w:val="right"/>
              <w:rPr>
                <w:sz w:val="20"/>
              </w:rPr>
            </w:pPr>
            <w:r>
              <w:rPr>
                <w:sz w:val="20"/>
              </w:rPr>
              <w:t>21</w:t>
            </w:r>
          </w:p>
        </w:tc>
        <w:tc>
          <w:tcPr>
            <w:tcW w:w="900" w:type="dxa"/>
            <w:vAlign w:val="bottom"/>
          </w:tcPr>
          <w:p w:rsidR="001E32F4" w:rsidRDefault="001B2E33" w:rsidP="00A05D39">
            <w:pPr>
              <w:jc w:val="right"/>
              <w:rPr>
                <w:sz w:val="20"/>
              </w:rPr>
            </w:pPr>
            <w:r>
              <w:rPr>
                <w:sz w:val="20"/>
              </w:rPr>
              <w:t>391</w:t>
            </w:r>
          </w:p>
        </w:tc>
        <w:tc>
          <w:tcPr>
            <w:tcW w:w="1620" w:type="dxa"/>
            <w:vAlign w:val="bottom"/>
          </w:tcPr>
          <w:p w:rsidR="001E32F4" w:rsidRDefault="00783941" w:rsidP="00A05D39">
            <w:pPr>
              <w:jc w:val="right"/>
              <w:rPr>
                <w:sz w:val="20"/>
              </w:rPr>
            </w:pPr>
            <w:r>
              <w:rPr>
                <w:sz w:val="20"/>
              </w:rPr>
              <w:t>340</w:t>
            </w:r>
          </w:p>
        </w:tc>
        <w:tc>
          <w:tcPr>
            <w:tcW w:w="1890" w:type="dxa"/>
            <w:vAlign w:val="bottom"/>
          </w:tcPr>
          <w:p w:rsidR="001E32F4" w:rsidRDefault="00A05D39" w:rsidP="00A05D39">
            <w:pPr>
              <w:jc w:val="right"/>
              <w:rPr>
                <w:sz w:val="20"/>
              </w:rPr>
            </w:pPr>
            <w:r>
              <w:rPr>
                <w:sz w:val="20"/>
              </w:rPr>
              <w:t>N/A</w:t>
            </w:r>
          </w:p>
        </w:tc>
      </w:tr>
      <w:tr w:rsidR="0018562E" w:rsidTr="00A05D39">
        <w:trPr>
          <w:trHeight w:val="287"/>
        </w:trPr>
        <w:tc>
          <w:tcPr>
            <w:tcW w:w="1080" w:type="dxa"/>
          </w:tcPr>
          <w:p w:rsidR="001E32F4" w:rsidRDefault="001E32F4" w:rsidP="003620A5">
            <w:pPr>
              <w:rPr>
                <w:sz w:val="20"/>
              </w:rPr>
            </w:pPr>
            <w:r>
              <w:rPr>
                <w:sz w:val="20"/>
              </w:rPr>
              <w:t>Grand Total</w:t>
            </w:r>
          </w:p>
        </w:tc>
        <w:tc>
          <w:tcPr>
            <w:tcW w:w="720" w:type="dxa"/>
            <w:vAlign w:val="bottom"/>
          </w:tcPr>
          <w:p w:rsidR="001E32F4" w:rsidRDefault="00DF43AC" w:rsidP="00A05D39">
            <w:pPr>
              <w:jc w:val="right"/>
              <w:rPr>
                <w:sz w:val="20"/>
              </w:rPr>
            </w:pPr>
            <w:r>
              <w:rPr>
                <w:sz w:val="20"/>
              </w:rPr>
              <w:t>13</w:t>
            </w:r>
          </w:p>
        </w:tc>
        <w:tc>
          <w:tcPr>
            <w:tcW w:w="984" w:type="dxa"/>
            <w:vAlign w:val="bottom"/>
          </w:tcPr>
          <w:p w:rsidR="001E32F4" w:rsidRDefault="001E32F4" w:rsidP="00A05D39">
            <w:pPr>
              <w:jc w:val="right"/>
              <w:rPr>
                <w:sz w:val="20"/>
              </w:rPr>
            </w:pPr>
          </w:p>
          <w:p w:rsidR="0018562E" w:rsidRDefault="00DF43AC" w:rsidP="00A05D39">
            <w:pPr>
              <w:jc w:val="right"/>
              <w:rPr>
                <w:sz w:val="20"/>
              </w:rPr>
            </w:pPr>
            <w:r>
              <w:rPr>
                <w:sz w:val="20"/>
              </w:rPr>
              <w:t>0</w:t>
            </w:r>
          </w:p>
        </w:tc>
        <w:tc>
          <w:tcPr>
            <w:tcW w:w="636" w:type="dxa"/>
            <w:vAlign w:val="bottom"/>
          </w:tcPr>
          <w:p w:rsidR="001E32F4" w:rsidRDefault="00DF43AC" w:rsidP="00A05D39">
            <w:pPr>
              <w:jc w:val="right"/>
              <w:rPr>
                <w:sz w:val="20"/>
              </w:rPr>
            </w:pPr>
            <w:r>
              <w:rPr>
                <w:sz w:val="20"/>
              </w:rPr>
              <w:t>11</w:t>
            </w:r>
          </w:p>
        </w:tc>
        <w:tc>
          <w:tcPr>
            <w:tcW w:w="1080" w:type="dxa"/>
            <w:vAlign w:val="bottom"/>
          </w:tcPr>
          <w:p w:rsidR="001E32F4" w:rsidRDefault="001B2E33" w:rsidP="00A05D39">
            <w:pPr>
              <w:jc w:val="right"/>
              <w:rPr>
                <w:sz w:val="20"/>
              </w:rPr>
            </w:pPr>
            <w:r>
              <w:rPr>
                <w:sz w:val="20"/>
              </w:rPr>
              <w:t>1,324</w:t>
            </w:r>
          </w:p>
        </w:tc>
        <w:tc>
          <w:tcPr>
            <w:tcW w:w="1080" w:type="dxa"/>
            <w:vAlign w:val="bottom"/>
          </w:tcPr>
          <w:p w:rsidR="001E32F4" w:rsidRDefault="001B2E33" w:rsidP="00A05D39">
            <w:pPr>
              <w:jc w:val="right"/>
              <w:rPr>
                <w:sz w:val="20"/>
              </w:rPr>
            </w:pPr>
            <w:r>
              <w:rPr>
                <w:sz w:val="20"/>
              </w:rPr>
              <w:t>816</w:t>
            </w:r>
          </w:p>
        </w:tc>
        <w:tc>
          <w:tcPr>
            <w:tcW w:w="900" w:type="dxa"/>
            <w:vAlign w:val="bottom"/>
          </w:tcPr>
          <w:p w:rsidR="001E32F4" w:rsidRDefault="001B2E33" w:rsidP="00A05D39">
            <w:pPr>
              <w:jc w:val="right"/>
              <w:rPr>
                <w:sz w:val="20"/>
              </w:rPr>
            </w:pPr>
            <w:r>
              <w:rPr>
                <w:sz w:val="20"/>
              </w:rPr>
              <w:t>2,140</w:t>
            </w:r>
          </w:p>
        </w:tc>
        <w:tc>
          <w:tcPr>
            <w:tcW w:w="1620" w:type="dxa"/>
            <w:vAlign w:val="bottom"/>
          </w:tcPr>
          <w:p w:rsidR="001E32F4" w:rsidRDefault="001B2E33" w:rsidP="00A05D39">
            <w:pPr>
              <w:jc w:val="right"/>
              <w:rPr>
                <w:sz w:val="20"/>
              </w:rPr>
            </w:pPr>
            <w:r>
              <w:rPr>
                <w:sz w:val="20"/>
              </w:rPr>
              <w:t>340</w:t>
            </w:r>
          </w:p>
        </w:tc>
        <w:tc>
          <w:tcPr>
            <w:tcW w:w="1890" w:type="dxa"/>
            <w:vAlign w:val="bottom"/>
          </w:tcPr>
          <w:p w:rsidR="001E32F4" w:rsidRDefault="00A05D39" w:rsidP="00A05D39">
            <w:pPr>
              <w:jc w:val="right"/>
              <w:rPr>
                <w:sz w:val="20"/>
              </w:rPr>
            </w:pPr>
            <w:r>
              <w:rPr>
                <w:sz w:val="20"/>
              </w:rPr>
              <w:t>N/</w:t>
            </w:r>
            <w:r w:rsidR="00E17967">
              <w:rPr>
                <w:sz w:val="20"/>
              </w:rPr>
              <w:t>A</w:t>
            </w:r>
          </w:p>
        </w:tc>
      </w:tr>
    </w:tbl>
    <w:p w:rsidR="00303023" w:rsidRDefault="00303023" w:rsidP="001E32F4">
      <w:pPr>
        <w:pStyle w:val="BodyText2"/>
        <w:rPr>
          <w:sz w:val="24"/>
          <w:szCs w:val="24"/>
        </w:rPr>
      </w:pPr>
    </w:p>
    <w:p w:rsidR="00303023" w:rsidRDefault="00303023" w:rsidP="001E32F4">
      <w:pPr>
        <w:pStyle w:val="BodyText2"/>
        <w:rPr>
          <w:sz w:val="24"/>
          <w:szCs w:val="24"/>
        </w:rPr>
      </w:pPr>
    </w:p>
    <w:p w:rsidR="00303023" w:rsidRDefault="00303023" w:rsidP="001E32F4">
      <w:pPr>
        <w:pStyle w:val="BodyText2"/>
        <w:rPr>
          <w:sz w:val="24"/>
        </w:rPr>
      </w:pPr>
    </w:p>
    <w:p w:rsidR="008039E5" w:rsidRPr="00303023" w:rsidRDefault="009E6187" w:rsidP="009B257E">
      <w:pPr>
        <w:rPr>
          <w:b/>
          <w:sz w:val="28"/>
          <w:szCs w:val="28"/>
        </w:rPr>
      </w:pPr>
      <w:r w:rsidRPr="009E6187">
        <w:rPr>
          <w:b/>
          <w:sz w:val="28"/>
          <w:szCs w:val="28"/>
        </w:rPr>
        <w:t>VI</w:t>
      </w:r>
      <w:r w:rsidR="00284E3D" w:rsidRPr="009E6187">
        <w:rPr>
          <w:b/>
          <w:sz w:val="28"/>
          <w:szCs w:val="28"/>
        </w:rPr>
        <w:t>. Program</w:t>
      </w:r>
      <w:r w:rsidRPr="009E6187">
        <w:rPr>
          <w:b/>
          <w:sz w:val="28"/>
          <w:szCs w:val="28"/>
        </w:rPr>
        <w:t xml:space="preserve"> Offsets by Item</w:t>
      </w:r>
    </w:p>
    <w:p w:rsidR="00710384" w:rsidRDefault="00710384" w:rsidP="00C771E7">
      <w:pPr>
        <w:pStyle w:val="xl19"/>
        <w:tabs>
          <w:tab w:val="left" w:pos="3420"/>
          <w:tab w:val="right" w:pos="8640"/>
        </w:tabs>
        <w:spacing w:before="0" w:after="0"/>
        <w:rPr>
          <w:b/>
          <w:bCs/>
        </w:rPr>
      </w:pPr>
    </w:p>
    <w:p w:rsidR="00710384" w:rsidRDefault="00710384" w:rsidP="00C771E7">
      <w:pPr>
        <w:pStyle w:val="xl19"/>
        <w:tabs>
          <w:tab w:val="left" w:pos="3420"/>
          <w:tab w:val="right" w:pos="8640"/>
        </w:tabs>
        <w:spacing w:before="0" w:after="0"/>
        <w:rPr>
          <w:b/>
          <w:bCs/>
        </w:rPr>
      </w:pPr>
    </w:p>
    <w:p w:rsidR="008039E5" w:rsidRDefault="008039E5" w:rsidP="00C771E7">
      <w:pPr>
        <w:pStyle w:val="xl19"/>
        <w:tabs>
          <w:tab w:val="left" w:pos="3420"/>
          <w:tab w:val="right" w:pos="8640"/>
        </w:tabs>
        <w:spacing w:before="0" w:after="0"/>
        <w:rPr>
          <w:b/>
          <w:bCs/>
        </w:rPr>
      </w:pPr>
      <w:r>
        <w:rPr>
          <w:b/>
          <w:bCs/>
        </w:rPr>
        <w:t>Item Name:</w:t>
      </w:r>
      <w:r>
        <w:rPr>
          <w:b/>
          <w:bCs/>
        </w:rPr>
        <w:tab/>
      </w:r>
      <w:r w:rsidR="00D62320">
        <w:rPr>
          <w:b/>
          <w:bCs/>
        </w:rPr>
        <w:t>IT Savings</w:t>
      </w:r>
    </w:p>
    <w:p w:rsidR="008039E5" w:rsidRDefault="008039E5" w:rsidP="00C771E7">
      <w:pPr>
        <w:pStyle w:val="xl19"/>
        <w:tabs>
          <w:tab w:val="left" w:pos="3420"/>
          <w:tab w:val="right" w:pos="8640"/>
        </w:tabs>
        <w:spacing w:before="0" w:after="0"/>
      </w:pPr>
    </w:p>
    <w:p w:rsidR="00D62320" w:rsidRDefault="00D62320" w:rsidP="00D62320">
      <w:pPr>
        <w:pStyle w:val="xl19"/>
        <w:tabs>
          <w:tab w:val="left" w:pos="3420"/>
          <w:tab w:val="right" w:pos="8640"/>
        </w:tabs>
        <w:spacing w:before="0" w:after="0"/>
      </w:pPr>
      <w:r>
        <w:t xml:space="preserve">Budget Decision Unit(s): </w:t>
      </w:r>
      <w:r>
        <w:tab/>
        <w:t>Conflict Resolution &amp; Violence Prevention Activities</w:t>
      </w:r>
    </w:p>
    <w:p w:rsidR="00D62320" w:rsidRDefault="00D62320" w:rsidP="00D62320">
      <w:pPr>
        <w:pStyle w:val="xl19"/>
        <w:tabs>
          <w:tab w:val="left" w:pos="3420"/>
          <w:tab w:val="right" w:pos="8640"/>
        </w:tabs>
        <w:ind w:left="3420" w:hanging="3420"/>
      </w:pPr>
      <w:r>
        <w:t>Strategic Goal(s) &amp; Objective(s):</w:t>
      </w:r>
      <w:r>
        <w:tab/>
      </w:r>
      <w:r w:rsidRPr="00CB7FD4">
        <w:rPr>
          <w:b/>
        </w:rPr>
        <w:t>Strategic Goal 2:</w:t>
      </w:r>
      <w:r w:rsidRPr="000A65DB">
        <w:t xml:space="preserve"> </w:t>
      </w:r>
      <w:r>
        <w:t>Prevent Crime, Protect the Rights of the American People, and Enforce Federal Law</w:t>
      </w:r>
      <w:r w:rsidRPr="00DB1FBA">
        <w:t>.</w:t>
      </w:r>
    </w:p>
    <w:p w:rsidR="00D62320" w:rsidRPr="00847B90" w:rsidRDefault="00D62320" w:rsidP="00D62320">
      <w:pPr>
        <w:pStyle w:val="xl19"/>
        <w:tabs>
          <w:tab w:val="left" w:pos="3420"/>
          <w:tab w:val="right" w:pos="8640"/>
        </w:tabs>
        <w:ind w:left="3420" w:hanging="3420"/>
        <w:rPr>
          <w:b/>
        </w:rPr>
      </w:pPr>
      <w:r>
        <w:tab/>
      </w:r>
      <w:r w:rsidRPr="00CB7FD4">
        <w:rPr>
          <w:b/>
        </w:rPr>
        <w:t>Strategic Objective 2.</w:t>
      </w:r>
      <w:r>
        <w:rPr>
          <w:b/>
        </w:rPr>
        <w:t xml:space="preserve">2: </w:t>
      </w:r>
      <w:r w:rsidRPr="003C6BB5">
        <w:rPr>
          <w:b/>
        </w:rPr>
        <w:t>Prevent and intervene in crimes against populations, uphold the rights of, and improve services to American’s crime victims</w:t>
      </w:r>
      <w:r w:rsidRPr="00CB7FD4" w:rsidDel="00847B90">
        <w:rPr>
          <w:b/>
        </w:rPr>
        <w:t xml:space="preserve"> </w:t>
      </w:r>
      <w:r>
        <w:rPr>
          <w:b/>
        </w:rPr>
        <w:tab/>
      </w:r>
      <w:r>
        <w:rPr>
          <w:b/>
        </w:rPr>
        <w:tab/>
      </w:r>
      <w:r>
        <w:rPr>
          <w:b/>
        </w:rPr>
        <w:tab/>
      </w:r>
      <w:r w:rsidRPr="00CB7FD4">
        <w:rPr>
          <w:b/>
        </w:rPr>
        <w:t>Strategic Objective</w:t>
      </w:r>
      <w:r>
        <w:rPr>
          <w:b/>
        </w:rPr>
        <w:t xml:space="preserve"> 2.5</w:t>
      </w:r>
      <w:r w:rsidRPr="001812FF">
        <w:rPr>
          <w:b/>
        </w:rPr>
        <w:t>:</w:t>
      </w:r>
      <w:r w:rsidRPr="00847B90">
        <w:rPr>
          <w:b/>
        </w:rPr>
        <w:t xml:space="preserve">  Promote and protect Americans’ civil rights.</w:t>
      </w:r>
    </w:p>
    <w:p w:rsidR="008039E5" w:rsidRDefault="008039E5" w:rsidP="00C771E7">
      <w:pPr>
        <w:pStyle w:val="xl19"/>
        <w:tabs>
          <w:tab w:val="left" w:pos="3420"/>
          <w:tab w:val="right" w:pos="8640"/>
        </w:tabs>
        <w:spacing w:before="0" w:after="0"/>
        <w:rPr>
          <w:u w:val="single"/>
        </w:rPr>
      </w:pPr>
      <w:r>
        <w:rPr>
          <w:u w:val="single"/>
        </w:rPr>
        <w:t xml:space="preserve">                                                                </w:t>
      </w:r>
    </w:p>
    <w:p w:rsidR="008039E5" w:rsidRPr="009A6352" w:rsidRDefault="008039E5" w:rsidP="00C771E7">
      <w:pPr>
        <w:pStyle w:val="xl19"/>
        <w:tabs>
          <w:tab w:val="left" w:pos="3420"/>
          <w:tab w:val="right" w:pos="8640"/>
        </w:tabs>
        <w:spacing w:before="0" w:after="0"/>
        <w:rPr>
          <w:u w:val="single"/>
        </w:rPr>
      </w:pPr>
    </w:p>
    <w:p w:rsidR="008039E5" w:rsidRPr="00B261DA" w:rsidRDefault="008039E5" w:rsidP="00C771E7">
      <w:pPr>
        <w:pStyle w:val="xl19"/>
        <w:tabs>
          <w:tab w:val="left" w:pos="3420"/>
          <w:tab w:val="right" w:pos="8640"/>
        </w:tabs>
        <w:spacing w:before="0" w:after="0"/>
      </w:pPr>
      <w:r>
        <w:t>Organizational Program:</w:t>
      </w:r>
      <w:r>
        <w:tab/>
        <w:t>Community Relations Service</w:t>
      </w:r>
      <w:r w:rsidRPr="00B261DA">
        <w:t xml:space="preserve"> </w:t>
      </w:r>
    </w:p>
    <w:p w:rsidR="008039E5" w:rsidRDefault="008039E5" w:rsidP="00C771E7">
      <w:pPr>
        <w:pStyle w:val="BodyText"/>
        <w:rPr>
          <w:rFonts w:cs="Arial"/>
          <w:b/>
          <w:szCs w:val="24"/>
        </w:rPr>
      </w:pPr>
    </w:p>
    <w:p w:rsidR="008039E5" w:rsidRDefault="008039E5" w:rsidP="00C771E7">
      <w:pPr>
        <w:pStyle w:val="xl19"/>
        <w:tabs>
          <w:tab w:val="left" w:pos="3420"/>
          <w:tab w:val="right" w:pos="4320"/>
        </w:tabs>
        <w:spacing w:before="0" w:after="0"/>
      </w:pPr>
      <w:r>
        <w:t xml:space="preserve">Component Ranking of Item: </w:t>
      </w:r>
      <w:r>
        <w:tab/>
        <w:t>2 of 2</w:t>
      </w:r>
    </w:p>
    <w:p w:rsidR="008039E5" w:rsidRPr="00C771E7" w:rsidRDefault="008039E5" w:rsidP="00C771E7">
      <w:pPr>
        <w:pStyle w:val="xl19"/>
        <w:tabs>
          <w:tab w:val="left" w:pos="3420"/>
          <w:tab w:val="right" w:pos="4320"/>
        </w:tabs>
        <w:spacing w:before="0" w:after="0"/>
      </w:pPr>
      <w:r>
        <w:rPr>
          <w:u w:val="single"/>
        </w:rPr>
        <w:t xml:space="preserve">    </w:t>
      </w:r>
      <w:r>
        <w:t xml:space="preserve">  </w:t>
      </w:r>
    </w:p>
    <w:p w:rsidR="008039E5" w:rsidRDefault="008039E5" w:rsidP="00C771E7">
      <w:pPr>
        <w:pStyle w:val="xl19"/>
        <w:tabs>
          <w:tab w:val="left" w:pos="2340"/>
          <w:tab w:val="right" w:pos="3060"/>
          <w:tab w:val="left" w:pos="3600"/>
          <w:tab w:val="right" w:pos="4500"/>
          <w:tab w:val="left" w:pos="5310"/>
          <w:tab w:val="right" w:pos="6300"/>
        </w:tabs>
        <w:spacing w:before="0" w:after="0"/>
      </w:pPr>
      <w:r>
        <w:t>Program Reduction:  Positions:</w:t>
      </w:r>
      <w:r w:rsidRPr="003D5496">
        <w:rPr>
          <w:u w:val="single"/>
        </w:rPr>
        <w:t xml:space="preserve"> N/A</w:t>
      </w:r>
      <w:r>
        <w:t xml:space="preserve">  Agt/Atty:</w:t>
      </w:r>
      <w:r w:rsidRPr="003D5496">
        <w:rPr>
          <w:u w:val="single"/>
        </w:rPr>
        <w:t xml:space="preserve">  N/A</w:t>
      </w:r>
      <w:r>
        <w:t xml:space="preserve">   FTE:</w:t>
      </w:r>
      <w:r w:rsidRPr="003D5496">
        <w:rPr>
          <w:u w:val="single"/>
        </w:rPr>
        <w:t xml:space="preserve">  N/A</w:t>
      </w:r>
      <w:r>
        <w:t xml:space="preserve">  Dollars</w:t>
      </w:r>
      <w:r w:rsidRPr="003D5496">
        <w:t xml:space="preserve">: </w:t>
      </w:r>
      <w:r w:rsidRPr="003D5496">
        <w:rPr>
          <w:u w:val="single"/>
        </w:rPr>
        <w:t xml:space="preserve"> $</w:t>
      </w:r>
      <w:r w:rsidR="003620A5">
        <w:rPr>
          <w:u w:val="single"/>
        </w:rPr>
        <w:t>16</w:t>
      </w:r>
      <w:r w:rsidRPr="003D5496">
        <w:rPr>
          <w:u w:val="single"/>
        </w:rPr>
        <w:t>,000</w:t>
      </w:r>
    </w:p>
    <w:p w:rsidR="008039E5" w:rsidRDefault="008039E5" w:rsidP="00C771E7"/>
    <w:p w:rsidR="008039E5" w:rsidRDefault="008039E5" w:rsidP="00C771E7">
      <w:pPr>
        <w:pStyle w:val="xl24"/>
        <w:spacing w:before="0" w:after="0"/>
        <w:rPr>
          <w:szCs w:val="24"/>
        </w:rPr>
      </w:pPr>
      <w:r>
        <w:rPr>
          <w:szCs w:val="24"/>
        </w:rPr>
        <w:t>Description of Item</w:t>
      </w:r>
    </w:p>
    <w:p w:rsidR="008039E5" w:rsidRDefault="008039E5" w:rsidP="00C771E7"/>
    <w:p w:rsidR="003620A5" w:rsidRDefault="003620A5" w:rsidP="003620A5">
      <w:pPr>
        <w:rPr>
          <w:rFonts w:cs="Calibri"/>
        </w:rPr>
      </w:pPr>
      <w:r>
        <w:rPr>
          <w:rFonts w:cs="Calibri"/>
        </w:rPr>
        <w:t xml:space="preserve">This offset represents savings that will be generated through greater inter-component collaboration in IT contracting.  Funds will be redirected to support the Department’s Cyber-security and IT transformation efforts as well as other high priority requests.  </w:t>
      </w:r>
      <w:r>
        <w:rPr>
          <w:rFonts w:cs="Calibri"/>
          <w:kern w:val="28"/>
        </w:rPr>
        <w:t>FY 2013 current servic</w:t>
      </w:r>
      <w:r w:rsidR="00D62320">
        <w:rPr>
          <w:rFonts w:cs="Calibri"/>
          <w:kern w:val="28"/>
        </w:rPr>
        <w:t>es for this initiative are $16,000</w:t>
      </w:r>
      <w:r>
        <w:rPr>
          <w:rFonts w:cs="Calibri"/>
          <w:kern w:val="28"/>
        </w:rPr>
        <w:t xml:space="preserve">. </w:t>
      </w:r>
    </w:p>
    <w:p w:rsidR="008039E5" w:rsidRDefault="008039E5" w:rsidP="00C771E7">
      <w:r>
        <w:t>.</w:t>
      </w:r>
    </w:p>
    <w:p w:rsidR="008039E5" w:rsidRDefault="008039E5" w:rsidP="00C771E7">
      <w:pPr>
        <w:pStyle w:val="BodyText2"/>
        <w:rPr>
          <w:sz w:val="24"/>
        </w:rPr>
      </w:pPr>
    </w:p>
    <w:p w:rsidR="008039E5" w:rsidRDefault="008039E5" w:rsidP="00C771E7">
      <w:pPr>
        <w:pStyle w:val="BodyText2"/>
        <w:rPr>
          <w:sz w:val="24"/>
          <w:u w:val="single"/>
        </w:rPr>
      </w:pPr>
      <w:r>
        <w:rPr>
          <w:sz w:val="24"/>
          <w:u w:val="single"/>
        </w:rPr>
        <w:t>Summary Justification</w:t>
      </w:r>
    </w:p>
    <w:p w:rsidR="003620A5" w:rsidRPr="00D62320" w:rsidRDefault="00576E43" w:rsidP="003620A5">
      <w:pPr>
        <w:pStyle w:val="NormalWeb"/>
      </w:pPr>
      <w:r w:rsidRPr="00576E43">
        <w:t>As part of its effort to increase IT management efficiency and comply with OMB’s direction to reform IT management activities, the Department is implementing a cost saving initiative as well as IT transformation projects.  To support cost savings, the Department is developing an infrastructure to enable DOJ components to better collaborate on IT contracting; which should result in lower IT expenditures.  In FY 2013 the Department anticipates realizing savings on all direct non-personnel IT spending through IT contracting collaboration.  These savings will not only support greater management efficiency within components but will also support OMB’s IT Reform plan by providing resources to support major initiatives in Cybersecurity, data center consolidation, and enterprise e-mail systems.  The savings will also support other Department priorities in the FY 2013 request.  The offset to support these initiatives for CRS is $16,000.</w:t>
      </w:r>
    </w:p>
    <w:p w:rsidR="008039E5" w:rsidRPr="00EF5D52" w:rsidRDefault="008039E5" w:rsidP="00C771E7">
      <w:pPr>
        <w:rPr>
          <w:iCs/>
        </w:rPr>
      </w:pPr>
    </w:p>
    <w:p w:rsidR="008039E5" w:rsidRDefault="008039E5" w:rsidP="00C771E7">
      <w:pPr>
        <w:pStyle w:val="xl24"/>
        <w:spacing w:before="0" w:after="0"/>
      </w:pPr>
      <w:r>
        <w:t xml:space="preserve">Impact on Performance </w:t>
      </w:r>
    </w:p>
    <w:p w:rsidR="008039E5" w:rsidRPr="00C771E7" w:rsidRDefault="008039E5" w:rsidP="00C771E7">
      <w:pPr>
        <w:pStyle w:val="BodyText2"/>
        <w:rPr>
          <w:sz w:val="24"/>
          <w:szCs w:val="24"/>
        </w:rPr>
      </w:pPr>
      <w:r>
        <w:rPr>
          <w:sz w:val="24"/>
          <w:szCs w:val="24"/>
        </w:rPr>
        <w:t xml:space="preserve">This change should not have an impact on performance nor CRS’ ability to achieve its goals.  </w:t>
      </w:r>
    </w:p>
    <w:p w:rsidR="008039E5" w:rsidRDefault="008039E5" w:rsidP="00C771E7"/>
    <w:p w:rsidR="007724EE" w:rsidRDefault="007724EE" w:rsidP="00C771E7"/>
    <w:p w:rsidR="008039E5" w:rsidRPr="00C771E7" w:rsidRDefault="008039E5" w:rsidP="00D62320">
      <w:pPr>
        <w:pStyle w:val="BodyText2"/>
        <w:jc w:val="center"/>
        <w:rPr>
          <w:b/>
          <w:sz w:val="24"/>
          <w:szCs w:val="24"/>
        </w:rPr>
      </w:pPr>
      <w:r>
        <w:rPr>
          <w:b/>
          <w:sz w:val="24"/>
          <w:szCs w:val="24"/>
        </w:rPr>
        <w:t>Funding</w:t>
      </w:r>
    </w:p>
    <w:p w:rsidR="008039E5" w:rsidRDefault="008039E5" w:rsidP="00493966"/>
    <w:p w:rsidR="00D62320" w:rsidRDefault="00D62320" w:rsidP="00D62320">
      <w:pPr>
        <w:pStyle w:val="xl24"/>
        <w:spacing w:before="0" w:after="0"/>
      </w:pPr>
      <w:r>
        <w:t>Non-Personnel Reduction Cost Summary</w:t>
      </w:r>
    </w:p>
    <w:p w:rsidR="00D62320" w:rsidRDefault="00D62320" w:rsidP="00D62320">
      <w:pPr>
        <w:rPr>
          <w:sz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44"/>
        <w:gridCol w:w="1344"/>
        <w:gridCol w:w="1530"/>
        <w:gridCol w:w="1530"/>
        <w:gridCol w:w="1890"/>
        <w:gridCol w:w="1710"/>
      </w:tblGrid>
      <w:tr w:rsidR="00D62320" w:rsidTr="00D62320">
        <w:tc>
          <w:tcPr>
            <w:tcW w:w="1644" w:type="dxa"/>
            <w:shd w:val="clear" w:color="auto" w:fill="E6E6E6"/>
            <w:vAlign w:val="center"/>
          </w:tcPr>
          <w:p w:rsidR="00D62320" w:rsidRDefault="00D62320" w:rsidP="008031E0">
            <w:pPr>
              <w:jc w:val="center"/>
              <w:rPr>
                <w:sz w:val="20"/>
              </w:rPr>
            </w:pPr>
            <w:r>
              <w:rPr>
                <w:sz w:val="20"/>
              </w:rPr>
              <w:t>Non-Personnel Item</w:t>
            </w:r>
          </w:p>
        </w:tc>
        <w:tc>
          <w:tcPr>
            <w:tcW w:w="1344" w:type="dxa"/>
            <w:vAlign w:val="center"/>
          </w:tcPr>
          <w:p w:rsidR="00D62320" w:rsidRDefault="00D62320" w:rsidP="008031E0">
            <w:pPr>
              <w:jc w:val="center"/>
              <w:rPr>
                <w:sz w:val="20"/>
              </w:rPr>
            </w:pPr>
            <w:r>
              <w:rPr>
                <w:sz w:val="20"/>
              </w:rPr>
              <w:t>Unit</w:t>
            </w:r>
          </w:p>
        </w:tc>
        <w:tc>
          <w:tcPr>
            <w:tcW w:w="1530" w:type="dxa"/>
            <w:vAlign w:val="center"/>
          </w:tcPr>
          <w:p w:rsidR="00D62320" w:rsidRDefault="00D62320" w:rsidP="008031E0">
            <w:pPr>
              <w:jc w:val="center"/>
              <w:rPr>
                <w:sz w:val="20"/>
              </w:rPr>
            </w:pPr>
            <w:r>
              <w:rPr>
                <w:sz w:val="20"/>
              </w:rPr>
              <w:t>Quantity</w:t>
            </w:r>
          </w:p>
        </w:tc>
        <w:tc>
          <w:tcPr>
            <w:tcW w:w="1530" w:type="dxa"/>
            <w:vAlign w:val="center"/>
          </w:tcPr>
          <w:p w:rsidR="00D62320" w:rsidRDefault="00D62320" w:rsidP="008031E0">
            <w:pPr>
              <w:jc w:val="center"/>
              <w:rPr>
                <w:sz w:val="20"/>
              </w:rPr>
            </w:pPr>
            <w:r>
              <w:rPr>
                <w:sz w:val="20"/>
              </w:rPr>
              <w:t>FY 2013</w:t>
            </w:r>
          </w:p>
          <w:p w:rsidR="00D62320" w:rsidRDefault="00D62320" w:rsidP="008031E0">
            <w:pPr>
              <w:jc w:val="center"/>
              <w:rPr>
                <w:sz w:val="20"/>
              </w:rPr>
            </w:pPr>
            <w:r>
              <w:rPr>
                <w:sz w:val="20"/>
              </w:rPr>
              <w:t>Request</w:t>
            </w:r>
          </w:p>
          <w:p w:rsidR="00D62320" w:rsidRDefault="00D62320" w:rsidP="008031E0">
            <w:pPr>
              <w:jc w:val="center"/>
              <w:rPr>
                <w:sz w:val="20"/>
              </w:rPr>
            </w:pPr>
            <w:r>
              <w:rPr>
                <w:sz w:val="20"/>
              </w:rPr>
              <w:t>($000)</w:t>
            </w:r>
          </w:p>
        </w:tc>
        <w:tc>
          <w:tcPr>
            <w:tcW w:w="1890" w:type="dxa"/>
            <w:vAlign w:val="center"/>
          </w:tcPr>
          <w:p w:rsidR="00D62320" w:rsidRDefault="00D62320" w:rsidP="008031E0">
            <w:pPr>
              <w:jc w:val="center"/>
              <w:rPr>
                <w:sz w:val="20"/>
              </w:rPr>
            </w:pPr>
            <w:r>
              <w:rPr>
                <w:sz w:val="20"/>
              </w:rPr>
              <w:t>FY 2014 Net</w:t>
            </w:r>
          </w:p>
          <w:p w:rsidR="00D62320" w:rsidRDefault="00D62320" w:rsidP="008031E0">
            <w:pPr>
              <w:jc w:val="center"/>
              <w:rPr>
                <w:sz w:val="20"/>
              </w:rPr>
            </w:pPr>
            <w:r>
              <w:rPr>
                <w:sz w:val="20"/>
              </w:rPr>
              <w:t>Annualization (change from 2013)</w:t>
            </w:r>
          </w:p>
          <w:p w:rsidR="00D62320" w:rsidRDefault="00D62320" w:rsidP="008031E0">
            <w:pPr>
              <w:jc w:val="center"/>
              <w:rPr>
                <w:sz w:val="20"/>
              </w:rPr>
            </w:pPr>
            <w:r>
              <w:rPr>
                <w:sz w:val="20"/>
              </w:rPr>
              <w:t>($000)</w:t>
            </w:r>
          </w:p>
        </w:tc>
        <w:tc>
          <w:tcPr>
            <w:tcW w:w="1710" w:type="dxa"/>
          </w:tcPr>
          <w:p w:rsidR="00D62320" w:rsidRDefault="00D62320" w:rsidP="008031E0">
            <w:pPr>
              <w:jc w:val="center"/>
              <w:rPr>
                <w:sz w:val="20"/>
              </w:rPr>
            </w:pPr>
            <w:r>
              <w:rPr>
                <w:sz w:val="20"/>
              </w:rPr>
              <w:t>FY 2015 Net</w:t>
            </w:r>
          </w:p>
          <w:p w:rsidR="00D62320" w:rsidRDefault="00D62320" w:rsidP="008031E0">
            <w:pPr>
              <w:jc w:val="center"/>
              <w:rPr>
                <w:sz w:val="20"/>
              </w:rPr>
            </w:pPr>
            <w:r>
              <w:rPr>
                <w:sz w:val="20"/>
              </w:rPr>
              <w:t>Annualization (change from 2014)</w:t>
            </w:r>
          </w:p>
          <w:p w:rsidR="00D62320" w:rsidRDefault="00D62320" w:rsidP="008031E0">
            <w:pPr>
              <w:jc w:val="center"/>
              <w:rPr>
                <w:sz w:val="20"/>
              </w:rPr>
            </w:pPr>
            <w:r>
              <w:rPr>
                <w:sz w:val="20"/>
              </w:rPr>
              <w:t>($000)</w:t>
            </w:r>
          </w:p>
        </w:tc>
      </w:tr>
      <w:tr w:rsidR="00630C64" w:rsidTr="001943E4">
        <w:tc>
          <w:tcPr>
            <w:tcW w:w="1644" w:type="dxa"/>
          </w:tcPr>
          <w:p w:rsidR="00630C64" w:rsidRDefault="00630C64" w:rsidP="008031E0">
            <w:pPr>
              <w:rPr>
                <w:sz w:val="20"/>
              </w:rPr>
            </w:pPr>
            <w:r>
              <w:rPr>
                <w:sz w:val="20"/>
              </w:rPr>
              <w:t>N/A</w:t>
            </w:r>
          </w:p>
        </w:tc>
        <w:tc>
          <w:tcPr>
            <w:tcW w:w="1344" w:type="dxa"/>
          </w:tcPr>
          <w:p w:rsidR="00630C64" w:rsidRDefault="00630C64" w:rsidP="008031E0">
            <w:pPr>
              <w:pStyle w:val="xl19"/>
              <w:spacing w:before="0" w:after="0"/>
              <w:jc w:val="right"/>
              <w:rPr>
                <w:sz w:val="20"/>
                <w:szCs w:val="24"/>
              </w:rPr>
            </w:pPr>
            <w:r w:rsidRPr="0083486C">
              <w:rPr>
                <w:sz w:val="20"/>
              </w:rPr>
              <w:t>N/A</w:t>
            </w:r>
          </w:p>
        </w:tc>
        <w:tc>
          <w:tcPr>
            <w:tcW w:w="1530" w:type="dxa"/>
          </w:tcPr>
          <w:p w:rsidR="00630C64" w:rsidRDefault="00630C64" w:rsidP="008031E0">
            <w:pPr>
              <w:jc w:val="right"/>
              <w:rPr>
                <w:sz w:val="20"/>
              </w:rPr>
            </w:pPr>
            <w:r w:rsidRPr="0083486C">
              <w:rPr>
                <w:sz w:val="20"/>
              </w:rPr>
              <w:t>N/A</w:t>
            </w:r>
          </w:p>
        </w:tc>
        <w:tc>
          <w:tcPr>
            <w:tcW w:w="1530" w:type="dxa"/>
            <w:vAlign w:val="center"/>
          </w:tcPr>
          <w:p w:rsidR="00630C64" w:rsidRDefault="00DF43AC" w:rsidP="008031E0">
            <w:pPr>
              <w:jc w:val="right"/>
              <w:rPr>
                <w:sz w:val="20"/>
              </w:rPr>
            </w:pPr>
            <w:r>
              <w:rPr>
                <w:sz w:val="20"/>
              </w:rPr>
              <w:t>(16)</w:t>
            </w:r>
          </w:p>
        </w:tc>
        <w:tc>
          <w:tcPr>
            <w:tcW w:w="1890" w:type="dxa"/>
          </w:tcPr>
          <w:p w:rsidR="00630C64" w:rsidRDefault="00630C64" w:rsidP="008031E0">
            <w:pPr>
              <w:jc w:val="right"/>
              <w:rPr>
                <w:sz w:val="20"/>
              </w:rPr>
            </w:pPr>
            <w:r w:rsidRPr="000C49BD">
              <w:rPr>
                <w:sz w:val="20"/>
              </w:rPr>
              <w:t>N/A</w:t>
            </w:r>
          </w:p>
        </w:tc>
        <w:tc>
          <w:tcPr>
            <w:tcW w:w="1710" w:type="dxa"/>
          </w:tcPr>
          <w:p w:rsidR="00630C64" w:rsidRDefault="00630C64" w:rsidP="008031E0">
            <w:pPr>
              <w:jc w:val="right"/>
              <w:rPr>
                <w:sz w:val="20"/>
              </w:rPr>
            </w:pPr>
            <w:r w:rsidRPr="000C49BD">
              <w:rPr>
                <w:sz w:val="20"/>
              </w:rPr>
              <w:t>N/A</w:t>
            </w:r>
          </w:p>
        </w:tc>
      </w:tr>
      <w:tr w:rsidR="00DF43AC" w:rsidTr="00201C69">
        <w:tc>
          <w:tcPr>
            <w:tcW w:w="1644" w:type="dxa"/>
          </w:tcPr>
          <w:p w:rsidR="00DF43AC" w:rsidRDefault="00DF43AC" w:rsidP="008031E0">
            <w:pPr>
              <w:rPr>
                <w:sz w:val="20"/>
              </w:rPr>
            </w:pPr>
            <w:r>
              <w:rPr>
                <w:sz w:val="20"/>
              </w:rPr>
              <w:t>Total Non-Personnel</w:t>
            </w:r>
          </w:p>
        </w:tc>
        <w:tc>
          <w:tcPr>
            <w:tcW w:w="1344" w:type="dxa"/>
          </w:tcPr>
          <w:p w:rsidR="00DF43AC" w:rsidRDefault="00DF43AC" w:rsidP="008031E0">
            <w:pPr>
              <w:pStyle w:val="xl19"/>
              <w:spacing w:before="0" w:after="0"/>
              <w:jc w:val="right"/>
              <w:rPr>
                <w:sz w:val="20"/>
                <w:szCs w:val="24"/>
              </w:rPr>
            </w:pPr>
            <w:r w:rsidRPr="0083486C">
              <w:rPr>
                <w:sz w:val="20"/>
              </w:rPr>
              <w:t>N/A</w:t>
            </w:r>
          </w:p>
        </w:tc>
        <w:tc>
          <w:tcPr>
            <w:tcW w:w="1530" w:type="dxa"/>
          </w:tcPr>
          <w:p w:rsidR="00DF43AC" w:rsidRDefault="00DF43AC" w:rsidP="008031E0">
            <w:pPr>
              <w:jc w:val="right"/>
              <w:rPr>
                <w:sz w:val="20"/>
              </w:rPr>
            </w:pPr>
            <w:r w:rsidRPr="0083486C">
              <w:rPr>
                <w:sz w:val="20"/>
              </w:rPr>
              <w:t>N/A</w:t>
            </w:r>
          </w:p>
        </w:tc>
        <w:tc>
          <w:tcPr>
            <w:tcW w:w="1530" w:type="dxa"/>
            <w:vAlign w:val="center"/>
          </w:tcPr>
          <w:p w:rsidR="00DF43AC" w:rsidRDefault="00DF43AC" w:rsidP="008031E0">
            <w:pPr>
              <w:jc w:val="right"/>
              <w:rPr>
                <w:sz w:val="20"/>
              </w:rPr>
            </w:pPr>
            <w:r>
              <w:rPr>
                <w:sz w:val="20"/>
              </w:rPr>
              <w:t>(16)</w:t>
            </w:r>
          </w:p>
        </w:tc>
        <w:tc>
          <w:tcPr>
            <w:tcW w:w="1890" w:type="dxa"/>
          </w:tcPr>
          <w:p w:rsidR="00DF43AC" w:rsidRDefault="00DF43AC" w:rsidP="008031E0">
            <w:pPr>
              <w:jc w:val="right"/>
              <w:rPr>
                <w:sz w:val="20"/>
              </w:rPr>
            </w:pPr>
            <w:r w:rsidRPr="000C49BD">
              <w:rPr>
                <w:sz w:val="20"/>
              </w:rPr>
              <w:t>N/A</w:t>
            </w:r>
          </w:p>
        </w:tc>
        <w:tc>
          <w:tcPr>
            <w:tcW w:w="1710" w:type="dxa"/>
          </w:tcPr>
          <w:p w:rsidR="00DF43AC" w:rsidRDefault="00DF43AC" w:rsidP="008031E0">
            <w:pPr>
              <w:jc w:val="right"/>
              <w:rPr>
                <w:sz w:val="20"/>
              </w:rPr>
            </w:pPr>
            <w:r w:rsidRPr="000C49BD">
              <w:rPr>
                <w:sz w:val="20"/>
              </w:rPr>
              <w:t>N/A</w:t>
            </w:r>
          </w:p>
        </w:tc>
      </w:tr>
    </w:tbl>
    <w:p w:rsidR="00D62320" w:rsidRDefault="00D62320" w:rsidP="00D62320">
      <w:pPr>
        <w:rPr>
          <w:sz w:val="20"/>
        </w:rPr>
      </w:pPr>
    </w:p>
    <w:p w:rsidR="00D62320" w:rsidRDefault="00D62320" w:rsidP="00D62320">
      <w:pPr>
        <w:pStyle w:val="Footer"/>
        <w:tabs>
          <w:tab w:val="clear" w:pos="8640"/>
          <w:tab w:val="left" w:leader="dot" w:pos="4320"/>
        </w:tabs>
        <w:jc w:val="center"/>
        <w:rPr>
          <w:rFonts w:ascii="Times New Roman" w:hAnsi="Times New Roman"/>
          <w:b/>
          <w:sz w:val="36"/>
        </w:rPr>
      </w:pPr>
    </w:p>
    <w:p w:rsidR="008039E5" w:rsidRDefault="008039E5">
      <w:pPr>
        <w:pStyle w:val="Footer"/>
        <w:tabs>
          <w:tab w:val="clear" w:pos="8640"/>
          <w:tab w:val="left" w:leader="dot" w:pos="4320"/>
        </w:tabs>
        <w:jc w:val="center"/>
        <w:rPr>
          <w:rFonts w:ascii="Times New Roman" w:hAnsi="Times New Roman"/>
          <w:b/>
          <w:sz w:val="36"/>
        </w:rPr>
      </w:pPr>
    </w:p>
    <w:p w:rsidR="008039E5" w:rsidRDefault="008039E5">
      <w:pPr>
        <w:pStyle w:val="Footer"/>
        <w:tabs>
          <w:tab w:val="clear" w:pos="8640"/>
          <w:tab w:val="left" w:leader="dot" w:pos="4320"/>
        </w:tabs>
        <w:jc w:val="center"/>
        <w:rPr>
          <w:rFonts w:ascii="Times New Roman" w:hAnsi="Times New Roman"/>
          <w:b/>
          <w:sz w:val="36"/>
        </w:rPr>
      </w:pPr>
    </w:p>
    <w:p w:rsidR="008039E5" w:rsidRDefault="008039E5" w:rsidP="00E43151">
      <w:pPr>
        <w:pStyle w:val="Footer"/>
        <w:tabs>
          <w:tab w:val="clear" w:pos="8640"/>
          <w:tab w:val="left" w:leader="dot" w:pos="4320"/>
        </w:tabs>
        <w:rPr>
          <w:rFonts w:ascii="Times New Roman" w:hAnsi="Times New Roman"/>
          <w:b/>
          <w:sz w:val="28"/>
          <w:szCs w:val="28"/>
        </w:rPr>
      </w:pPr>
    </w:p>
    <w:p w:rsidR="008039E5" w:rsidRDefault="008039E5" w:rsidP="001812FF">
      <w:pPr>
        <w:pStyle w:val="xl24"/>
        <w:spacing w:before="0" w:after="0"/>
        <w:ind w:right="-1080"/>
        <w:rPr>
          <w:i/>
          <w:iCs/>
        </w:rPr>
      </w:pPr>
    </w:p>
    <w:sectPr w:rsidR="008039E5" w:rsidSect="009136AE">
      <w:headerReference w:type="even" r:id="rId14"/>
      <w:headerReference w:type="default" r:id="rId15"/>
      <w:headerReference w:type="first" r:id="rId16"/>
      <w:pgSz w:w="12240" w:h="15840" w:code="1"/>
      <w:pgMar w:top="1152" w:right="1440" w:bottom="1152" w:left="1440" w:header="432" w:footer="43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250" w:rsidRDefault="00C16250">
      <w:r>
        <w:separator/>
      </w:r>
    </w:p>
  </w:endnote>
  <w:endnote w:type="continuationSeparator" w:id="0">
    <w:p w:rsidR="00C16250" w:rsidRDefault="00C162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250" w:rsidRDefault="00BB3308">
    <w:pPr>
      <w:pStyle w:val="Footer"/>
      <w:jc w:val="center"/>
    </w:pPr>
    <w:fldSimple w:instr=" PAGE   \* MERGEFORMAT ">
      <w:r w:rsidR="00E96D17">
        <w:rPr>
          <w:noProof/>
        </w:rPr>
        <w:t>3</w:t>
      </w:r>
    </w:fldSimple>
  </w:p>
  <w:p w:rsidR="00C16250" w:rsidRDefault="00C162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250" w:rsidRDefault="00C16250">
      <w:r>
        <w:separator/>
      </w:r>
    </w:p>
  </w:footnote>
  <w:footnote w:type="continuationSeparator" w:id="0">
    <w:p w:rsidR="00C16250" w:rsidRDefault="00C162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250" w:rsidRDefault="00C162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250" w:rsidRDefault="00C162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250" w:rsidRDefault="00C162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1EA816E"/>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FE"/>
    <w:multiLevelType w:val="singleLevel"/>
    <w:tmpl w:val="FD4AB2AA"/>
    <w:lvl w:ilvl="0">
      <w:numFmt w:val="bullet"/>
      <w:lvlText w:val="*"/>
      <w:lvlJc w:val="left"/>
    </w:lvl>
  </w:abstractNum>
  <w:abstractNum w:abstractNumId="2">
    <w:nsid w:val="005E4BB4"/>
    <w:multiLevelType w:val="hybridMultilevel"/>
    <w:tmpl w:val="EB1AF35E"/>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0D0671F"/>
    <w:multiLevelType w:val="hybridMultilevel"/>
    <w:tmpl w:val="BA468014"/>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nsid w:val="03517BB9"/>
    <w:multiLevelType w:val="hybridMultilevel"/>
    <w:tmpl w:val="52D8AE20"/>
    <w:lvl w:ilvl="0" w:tplc="4C6E7134">
      <w:start w:val="2"/>
      <w:numFmt w:val="upperRoman"/>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7F36800"/>
    <w:multiLevelType w:val="hybridMultilevel"/>
    <w:tmpl w:val="223CE12C"/>
    <w:lvl w:ilvl="0" w:tplc="DDFA5E90">
      <w:start w:val="4"/>
      <w:numFmt w:val="upperLetter"/>
      <w:lvlText w:val="%1."/>
      <w:lvlJc w:val="left"/>
      <w:pPr>
        <w:tabs>
          <w:tab w:val="num" w:pos="720"/>
        </w:tabs>
        <w:ind w:left="720" w:hanging="360"/>
      </w:pPr>
      <w:rPr>
        <w:rFonts w:cs="Times New Roman"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9F45B5E"/>
    <w:multiLevelType w:val="hybridMultilevel"/>
    <w:tmpl w:val="14484AB2"/>
    <w:lvl w:ilvl="0" w:tplc="0DA6DC18">
      <w:start w:val="5"/>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C16394D"/>
    <w:multiLevelType w:val="hybridMultilevel"/>
    <w:tmpl w:val="8222DF40"/>
    <w:lvl w:ilvl="0" w:tplc="866660D0">
      <w:start w:val="6"/>
      <w:numFmt w:val="upperLetter"/>
      <w:pStyle w:val="Heading4"/>
      <w:lvlText w:val="%1."/>
      <w:lvlJc w:val="left"/>
      <w:pPr>
        <w:tabs>
          <w:tab w:val="num" w:pos="1080"/>
        </w:tabs>
        <w:ind w:left="1080" w:hanging="720"/>
      </w:pPr>
      <w:rPr>
        <w:rFonts w:cs="Times New Roman" w:hint="default"/>
        <w:b/>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F424BF3"/>
    <w:multiLevelType w:val="hybridMultilevel"/>
    <w:tmpl w:val="3A76383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042463E"/>
    <w:multiLevelType w:val="hybridMultilevel"/>
    <w:tmpl w:val="EE34CC46"/>
    <w:lvl w:ilvl="0" w:tplc="5BFC4E08">
      <w:start w:val="5"/>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371516D"/>
    <w:multiLevelType w:val="hybridMultilevel"/>
    <w:tmpl w:val="06DC63F8"/>
    <w:lvl w:ilvl="0" w:tplc="42867C80">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D9B5124"/>
    <w:multiLevelType w:val="hybridMultilevel"/>
    <w:tmpl w:val="09066C8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59E3C58"/>
    <w:multiLevelType w:val="hybridMultilevel"/>
    <w:tmpl w:val="401A9C9E"/>
    <w:lvl w:ilvl="0" w:tplc="04090015">
      <w:start w:val="2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8B06FF9"/>
    <w:multiLevelType w:val="hybridMultilevel"/>
    <w:tmpl w:val="B5FAD184"/>
    <w:lvl w:ilvl="0" w:tplc="7BD86D82">
      <w:start w:val="2"/>
      <w:numFmt w:val="upperRoman"/>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B6017B3"/>
    <w:multiLevelType w:val="singleLevel"/>
    <w:tmpl w:val="C164C488"/>
    <w:lvl w:ilvl="0">
      <w:start w:val="1"/>
      <w:numFmt w:val="decimal"/>
      <w:lvlText w:val="%1."/>
      <w:legacy w:legacy="1" w:legacySpace="0" w:legacyIndent="360"/>
      <w:lvlJc w:val="left"/>
      <w:rPr>
        <w:rFonts w:ascii="Times New Roman" w:hAnsi="Times New Roman" w:cs="Times New Roman" w:hint="default"/>
      </w:rPr>
    </w:lvl>
  </w:abstractNum>
  <w:abstractNum w:abstractNumId="15">
    <w:nsid w:val="451C7A3E"/>
    <w:multiLevelType w:val="hybridMultilevel"/>
    <w:tmpl w:val="E6481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5883253"/>
    <w:multiLevelType w:val="hybridMultilevel"/>
    <w:tmpl w:val="89060F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5B570D1"/>
    <w:multiLevelType w:val="hybridMultilevel"/>
    <w:tmpl w:val="D5D01866"/>
    <w:lvl w:ilvl="0" w:tplc="C360EE12">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74F69FD"/>
    <w:multiLevelType w:val="hybridMultilevel"/>
    <w:tmpl w:val="B636A72C"/>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7DA4131"/>
    <w:multiLevelType w:val="hybridMultilevel"/>
    <w:tmpl w:val="70A62442"/>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EF384E"/>
    <w:multiLevelType w:val="hybridMultilevel"/>
    <w:tmpl w:val="0C7404F8"/>
    <w:lvl w:ilvl="0" w:tplc="9384B4C8">
      <w:start w:val="2"/>
      <w:numFmt w:val="upperRoman"/>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5078628B"/>
    <w:multiLevelType w:val="hybridMultilevel"/>
    <w:tmpl w:val="AFA61E16"/>
    <w:lvl w:ilvl="0" w:tplc="42867C80">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0993998"/>
    <w:multiLevelType w:val="hybridMultilevel"/>
    <w:tmpl w:val="73B2086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3">
    <w:nsid w:val="55CE1368"/>
    <w:multiLevelType w:val="hybridMultilevel"/>
    <w:tmpl w:val="61A6B8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99621A3"/>
    <w:multiLevelType w:val="hybridMultilevel"/>
    <w:tmpl w:val="319ECDC4"/>
    <w:lvl w:ilvl="0" w:tplc="42867C80">
      <w:start w:val="1"/>
      <w:numFmt w:val="upperRoman"/>
      <w:lvlText w:val="%1."/>
      <w:lvlJc w:val="left"/>
      <w:pPr>
        <w:tabs>
          <w:tab w:val="num" w:pos="1080"/>
        </w:tabs>
        <w:ind w:left="1080" w:hanging="720"/>
      </w:pPr>
      <w:rPr>
        <w:rFonts w:eastAsia="Times New Roman"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A652264"/>
    <w:multiLevelType w:val="hybridMultilevel"/>
    <w:tmpl w:val="F81273F2"/>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6">
    <w:nsid w:val="5AB75A7B"/>
    <w:multiLevelType w:val="multilevel"/>
    <w:tmpl w:val="E46C8040"/>
    <w:lvl w:ilvl="0">
      <w:start w:val="1"/>
      <w:numFmt w:val="upperLetter"/>
      <w:pStyle w:val="Heading6"/>
      <w:lvlText w:val="%1."/>
      <w:lvlJc w:val="left"/>
      <w:pPr>
        <w:tabs>
          <w:tab w:val="num" w:pos="1080"/>
        </w:tabs>
        <w:ind w:left="1080" w:hanging="36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7">
    <w:nsid w:val="62813F6F"/>
    <w:multiLevelType w:val="hybridMultilevel"/>
    <w:tmpl w:val="7FE619F4"/>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8">
    <w:nsid w:val="66AC225F"/>
    <w:multiLevelType w:val="hybridMultilevel"/>
    <w:tmpl w:val="7DE88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2480497"/>
    <w:multiLevelType w:val="hybridMultilevel"/>
    <w:tmpl w:val="AD7E6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9906E47"/>
    <w:multiLevelType w:val="hybridMultilevel"/>
    <w:tmpl w:val="57942CA0"/>
    <w:lvl w:ilvl="0" w:tplc="C0A4C9CE">
      <w:start w:val="2"/>
      <w:numFmt w:val="upperRoman"/>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6"/>
  </w:num>
  <w:num w:numId="3">
    <w:abstractNumId w:val="7"/>
  </w:num>
  <w:num w:numId="4">
    <w:abstractNumId w:val="11"/>
  </w:num>
  <w:num w:numId="5">
    <w:abstractNumId w:val="2"/>
  </w:num>
  <w:num w:numId="6">
    <w:abstractNumId w:val="29"/>
  </w:num>
  <w:num w:numId="7">
    <w:abstractNumId w:val="5"/>
  </w:num>
  <w:num w:numId="8">
    <w:abstractNumId w:val="30"/>
  </w:num>
  <w:num w:numId="9">
    <w:abstractNumId w:val="21"/>
  </w:num>
  <w:num w:numId="10">
    <w:abstractNumId w:val="16"/>
  </w:num>
  <w:num w:numId="11">
    <w:abstractNumId w:val="10"/>
  </w:num>
  <w:num w:numId="12">
    <w:abstractNumId w:val="24"/>
  </w:num>
  <w:num w:numId="13">
    <w:abstractNumId w:val="20"/>
  </w:num>
  <w:num w:numId="14">
    <w:abstractNumId w:val="4"/>
  </w:num>
  <w:num w:numId="15">
    <w:abstractNumId w:val="13"/>
  </w:num>
  <w:num w:numId="16">
    <w:abstractNumId w:val="0"/>
  </w:num>
  <w:num w:numId="17">
    <w:abstractNumId w:val="17"/>
  </w:num>
  <w:num w:numId="18">
    <w:abstractNumId w:val="9"/>
  </w:num>
  <w:num w:numId="19">
    <w:abstractNumId w:val="1"/>
    <w:lvlOverride w:ilvl="0">
      <w:lvl w:ilvl="0">
        <w:numFmt w:val="bullet"/>
        <w:lvlText w:val=""/>
        <w:legacy w:legacy="1" w:legacySpace="0" w:legacyIndent="0"/>
        <w:lvlJc w:val="left"/>
        <w:rPr>
          <w:rFonts w:ascii="Symbol" w:hAnsi="Symbol" w:hint="default"/>
        </w:rPr>
      </w:lvl>
    </w:lvlOverride>
  </w:num>
  <w:num w:numId="20">
    <w:abstractNumId w:val="18"/>
  </w:num>
  <w:num w:numId="21">
    <w:abstractNumId w:val="25"/>
  </w:num>
  <w:num w:numId="22">
    <w:abstractNumId w:val="22"/>
  </w:num>
  <w:num w:numId="23">
    <w:abstractNumId w:val="27"/>
  </w:num>
  <w:num w:numId="24">
    <w:abstractNumId w:val="3"/>
  </w:num>
  <w:num w:numId="25">
    <w:abstractNumId w:val="14"/>
  </w:num>
  <w:num w:numId="26">
    <w:abstractNumId w:val="6"/>
  </w:num>
  <w:num w:numId="27">
    <w:abstractNumId w:val="12"/>
  </w:num>
  <w:num w:numId="28">
    <w:abstractNumId w:val="8"/>
  </w:num>
  <w:num w:numId="29">
    <w:abstractNumId w:val="1"/>
    <w:lvlOverride w:ilvl="0">
      <w:lvl w:ilvl="0">
        <w:numFmt w:val="bullet"/>
        <w:lvlText w:val=""/>
        <w:legacy w:legacy="1" w:legacySpace="0" w:legacyIndent="0"/>
        <w:lvlJc w:val="left"/>
        <w:rPr>
          <w:rFonts w:ascii="Symbol" w:hAnsi="Symbol" w:hint="default"/>
          <w:color w:val="auto"/>
          <w:sz w:val="24"/>
        </w:rPr>
      </w:lvl>
    </w:lvlOverride>
  </w:num>
  <w:num w:numId="30">
    <w:abstractNumId w:val="23"/>
  </w:num>
  <w:num w:numId="31">
    <w:abstractNumId w:val="15"/>
  </w:num>
  <w:num w:numId="32">
    <w:abstractNumId w:val="28"/>
  </w:num>
  <w:num w:numId="3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3D0E7B"/>
    <w:rsid w:val="00005EFD"/>
    <w:rsid w:val="00006EDF"/>
    <w:rsid w:val="00007442"/>
    <w:rsid w:val="000116E8"/>
    <w:rsid w:val="0001481B"/>
    <w:rsid w:val="00014F8E"/>
    <w:rsid w:val="000151CF"/>
    <w:rsid w:val="000164DC"/>
    <w:rsid w:val="000203AA"/>
    <w:rsid w:val="000214F1"/>
    <w:rsid w:val="00023728"/>
    <w:rsid w:val="0002397B"/>
    <w:rsid w:val="00024075"/>
    <w:rsid w:val="00025EF7"/>
    <w:rsid w:val="0002727F"/>
    <w:rsid w:val="00030811"/>
    <w:rsid w:val="00031D5D"/>
    <w:rsid w:val="00034954"/>
    <w:rsid w:val="00035E12"/>
    <w:rsid w:val="00042B3C"/>
    <w:rsid w:val="000433E8"/>
    <w:rsid w:val="00044C68"/>
    <w:rsid w:val="000473B9"/>
    <w:rsid w:val="000474F6"/>
    <w:rsid w:val="00047DF9"/>
    <w:rsid w:val="00050E0C"/>
    <w:rsid w:val="00051D53"/>
    <w:rsid w:val="00053DBF"/>
    <w:rsid w:val="00053DD2"/>
    <w:rsid w:val="00054E33"/>
    <w:rsid w:val="000553F7"/>
    <w:rsid w:val="00056E11"/>
    <w:rsid w:val="00056F09"/>
    <w:rsid w:val="000606A9"/>
    <w:rsid w:val="000618E9"/>
    <w:rsid w:val="0006689A"/>
    <w:rsid w:val="000670CC"/>
    <w:rsid w:val="000674AE"/>
    <w:rsid w:val="00070433"/>
    <w:rsid w:val="00072439"/>
    <w:rsid w:val="00072D23"/>
    <w:rsid w:val="00073538"/>
    <w:rsid w:val="0007449E"/>
    <w:rsid w:val="000755B1"/>
    <w:rsid w:val="00077357"/>
    <w:rsid w:val="00080297"/>
    <w:rsid w:val="0008137D"/>
    <w:rsid w:val="00082C31"/>
    <w:rsid w:val="00090C13"/>
    <w:rsid w:val="0009131C"/>
    <w:rsid w:val="000937A9"/>
    <w:rsid w:val="00095AA4"/>
    <w:rsid w:val="000A0803"/>
    <w:rsid w:val="000A0916"/>
    <w:rsid w:val="000A1682"/>
    <w:rsid w:val="000A224F"/>
    <w:rsid w:val="000A2E3B"/>
    <w:rsid w:val="000A3E86"/>
    <w:rsid w:val="000A40C2"/>
    <w:rsid w:val="000A65DB"/>
    <w:rsid w:val="000A71A4"/>
    <w:rsid w:val="000B2670"/>
    <w:rsid w:val="000B4165"/>
    <w:rsid w:val="000B458C"/>
    <w:rsid w:val="000B6C5A"/>
    <w:rsid w:val="000C084A"/>
    <w:rsid w:val="000C3194"/>
    <w:rsid w:val="000C40C2"/>
    <w:rsid w:val="000C7825"/>
    <w:rsid w:val="000C79E1"/>
    <w:rsid w:val="000D2512"/>
    <w:rsid w:val="000D73EC"/>
    <w:rsid w:val="000D74C1"/>
    <w:rsid w:val="000E2AEC"/>
    <w:rsid w:val="000F15A2"/>
    <w:rsid w:val="000F193B"/>
    <w:rsid w:val="000F2A30"/>
    <w:rsid w:val="000F321C"/>
    <w:rsid w:val="000F3CBD"/>
    <w:rsid w:val="00100CD0"/>
    <w:rsid w:val="001012AA"/>
    <w:rsid w:val="00104C69"/>
    <w:rsid w:val="00104F77"/>
    <w:rsid w:val="001071A0"/>
    <w:rsid w:val="0010732D"/>
    <w:rsid w:val="0011093C"/>
    <w:rsid w:val="001116B5"/>
    <w:rsid w:val="001123BA"/>
    <w:rsid w:val="0011291B"/>
    <w:rsid w:val="00112B36"/>
    <w:rsid w:val="00113A1D"/>
    <w:rsid w:val="001159AE"/>
    <w:rsid w:val="00116168"/>
    <w:rsid w:val="0011734D"/>
    <w:rsid w:val="00126B7E"/>
    <w:rsid w:val="00131B34"/>
    <w:rsid w:val="00132BB1"/>
    <w:rsid w:val="00134029"/>
    <w:rsid w:val="001347E9"/>
    <w:rsid w:val="001376D7"/>
    <w:rsid w:val="00143694"/>
    <w:rsid w:val="001436CB"/>
    <w:rsid w:val="00143E5F"/>
    <w:rsid w:val="001526DA"/>
    <w:rsid w:val="0016008A"/>
    <w:rsid w:val="001608AB"/>
    <w:rsid w:val="00161168"/>
    <w:rsid w:val="001613C6"/>
    <w:rsid w:val="00163AD7"/>
    <w:rsid w:val="00165BD8"/>
    <w:rsid w:val="00170987"/>
    <w:rsid w:val="00175569"/>
    <w:rsid w:val="00175B52"/>
    <w:rsid w:val="001779E0"/>
    <w:rsid w:val="00180538"/>
    <w:rsid w:val="001812FF"/>
    <w:rsid w:val="00181487"/>
    <w:rsid w:val="00184F7E"/>
    <w:rsid w:val="0018562E"/>
    <w:rsid w:val="001860D6"/>
    <w:rsid w:val="0019205E"/>
    <w:rsid w:val="001943E4"/>
    <w:rsid w:val="001A3012"/>
    <w:rsid w:val="001A6122"/>
    <w:rsid w:val="001B1049"/>
    <w:rsid w:val="001B1FC5"/>
    <w:rsid w:val="001B2A05"/>
    <w:rsid w:val="001B2AFD"/>
    <w:rsid w:val="001B2D67"/>
    <w:rsid w:val="001B2E33"/>
    <w:rsid w:val="001B31B3"/>
    <w:rsid w:val="001B5D53"/>
    <w:rsid w:val="001B5DB4"/>
    <w:rsid w:val="001C0F82"/>
    <w:rsid w:val="001C2463"/>
    <w:rsid w:val="001D0D9A"/>
    <w:rsid w:val="001D13BD"/>
    <w:rsid w:val="001D1825"/>
    <w:rsid w:val="001D3538"/>
    <w:rsid w:val="001D6841"/>
    <w:rsid w:val="001E13D0"/>
    <w:rsid w:val="001E32F4"/>
    <w:rsid w:val="001E5036"/>
    <w:rsid w:val="001E532B"/>
    <w:rsid w:val="001E72A1"/>
    <w:rsid w:val="001F11AE"/>
    <w:rsid w:val="001F18CB"/>
    <w:rsid w:val="001F3820"/>
    <w:rsid w:val="001F3BCA"/>
    <w:rsid w:val="002015E7"/>
    <w:rsid w:val="00201C69"/>
    <w:rsid w:val="0020204D"/>
    <w:rsid w:val="00203CA3"/>
    <w:rsid w:val="002112F5"/>
    <w:rsid w:val="0021310D"/>
    <w:rsid w:val="00217B3B"/>
    <w:rsid w:val="002218C8"/>
    <w:rsid w:val="00222AA8"/>
    <w:rsid w:val="00224A36"/>
    <w:rsid w:val="002256CD"/>
    <w:rsid w:val="002301D3"/>
    <w:rsid w:val="00230F8A"/>
    <w:rsid w:val="00231886"/>
    <w:rsid w:val="00235B47"/>
    <w:rsid w:val="002371D6"/>
    <w:rsid w:val="00237A21"/>
    <w:rsid w:val="00242306"/>
    <w:rsid w:val="00242E43"/>
    <w:rsid w:val="0024599A"/>
    <w:rsid w:val="00251A04"/>
    <w:rsid w:val="00253519"/>
    <w:rsid w:val="00255927"/>
    <w:rsid w:val="00256741"/>
    <w:rsid w:val="0026374C"/>
    <w:rsid w:val="0026799E"/>
    <w:rsid w:val="00267C48"/>
    <w:rsid w:val="00270349"/>
    <w:rsid w:val="0027068B"/>
    <w:rsid w:val="00282951"/>
    <w:rsid w:val="00284E3D"/>
    <w:rsid w:val="00287E29"/>
    <w:rsid w:val="00290CB6"/>
    <w:rsid w:val="00292688"/>
    <w:rsid w:val="002930E6"/>
    <w:rsid w:val="00293AB3"/>
    <w:rsid w:val="00295130"/>
    <w:rsid w:val="002956E3"/>
    <w:rsid w:val="00297F43"/>
    <w:rsid w:val="002A19E0"/>
    <w:rsid w:val="002A33D5"/>
    <w:rsid w:val="002A46CC"/>
    <w:rsid w:val="002B0C0C"/>
    <w:rsid w:val="002B314E"/>
    <w:rsid w:val="002B4426"/>
    <w:rsid w:val="002B6EFB"/>
    <w:rsid w:val="002B6F42"/>
    <w:rsid w:val="002B70A0"/>
    <w:rsid w:val="002C5589"/>
    <w:rsid w:val="002D3A8C"/>
    <w:rsid w:val="002D6579"/>
    <w:rsid w:val="002D7B73"/>
    <w:rsid w:val="002D7B93"/>
    <w:rsid w:val="002E12B9"/>
    <w:rsid w:val="002E27B7"/>
    <w:rsid w:val="002F12AF"/>
    <w:rsid w:val="002F6D16"/>
    <w:rsid w:val="002F6F98"/>
    <w:rsid w:val="00303023"/>
    <w:rsid w:val="00305761"/>
    <w:rsid w:val="00306000"/>
    <w:rsid w:val="00314AB7"/>
    <w:rsid w:val="00317730"/>
    <w:rsid w:val="00323381"/>
    <w:rsid w:val="00323DF4"/>
    <w:rsid w:val="00324849"/>
    <w:rsid w:val="003263DA"/>
    <w:rsid w:val="00326AC8"/>
    <w:rsid w:val="00330269"/>
    <w:rsid w:val="00330439"/>
    <w:rsid w:val="0033094F"/>
    <w:rsid w:val="00331BB9"/>
    <w:rsid w:val="00337579"/>
    <w:rsid w:val="003425B7"/>
    <w:rsid w:val="0034427A"/>
    <w:rsid w:val="00346613"/>
    <w:rsid w:val="00351B94"/>
    <w:rsid w:val="003547C8"/>
    <w:rsid w:val="003563E5"/>
    <w:rsid w:val="003578DC"/>
    <w:rsid w:val="0036043A"/>
    <w:rsid w:val="00361B39"/>
    <w:rsid w:val="003620A5"/>
    <w:rsid w:val="003633BB"/>
    <w:rsid w:val="00365FF9"/>
    <w:rsid w:val="00366CF3"/>
    <w:rsid w:val="00366D39"/>
    <w:rsid w:val="00372C3E"/>
    <w:rsid w:val="00380A1F"/>
    <w:rsid w:val="003818FA"/>
    <w:rsid w:val="00383B00"/>
    <w:rsid w:val="00384DE2"/>
    <w:rsid w:val="0038674E"/>
    <w:rsid w:val="00387586"/>
    <w:rsid w:val="00390F26"/>
    <w:rsid w:val="00396366"/>
    <w:rsid w:val="003A1C82"/>
    <w:rsid w:val="003A2792"/>
    <w:rsid w:val="003A7660"/>
    <w:rsid w:val="003A7922"/>
    <w:rsid w:val="003B05E8"/>
    <w:rsid w:val="003B0CB9"/>
    <w:rsid w:val="003B3DBA"/>
    <w:rsid w:val="003C6BB5"/>
    <w:rsid w:val="003D0667"/>
    <w:rsid w:val="003D0E7B"/>
    <w:rsid w:val="003D0FEA"/>
    <w:rsid w:val="003D2773"/>
    <w:rsid w:val="003D3E88"/>
    <w:rsid w:val="003D5496"/>
    <w:rsid w:val="003E08AD"/>
    <w:rsid w:val="003E0DB9"/>
    <w:rsid w:val="003E0E22"/>
    <w:rsid w:val="003E3A47"/>
    <w:rsid w:val="003E4E8C"/>
    <w:rsid w:val="003E5664"/>
    <w:rsid w:val="003E615F"/>
    <w:rsid w:val="003E746C"/>
    <w:rsid w:val="003F2498"/>
    <w:rsid w:val="003F6381"/>
    <w:rsid w:val="003F7E5B"/>
    <w:rsid w:val="00400748"/>
    <w:rsid w:val="00400AC4"/>
    <w:rsid w:val="00400C58"/>
    <w:rsid w:val="00412864"/>
    <w:rsid w:val="00413D62"/>
    <w:rsid w:val="004168F0"/>
    <w:rsid w:val="00417623"/>
    <w:rsid w:val="00417846"/>
    <w:rsid w:val="0042204E"/>
    <w:rsid w:val="00426797"/>
    <w:rsid w:val="00427F7F"/>
    <w:rsid w:val="00431903"/>
    <w:rsid w:val="00433BB2"/>
    <w:rsid w:val="004365F4"/>
    <w:rsid w:val="00436958"/>
    <w:rsid w:val="004370F9"/>
    <w:rsid w:val="004375B8"/>
    <w:rsid w:val="00437BA4"/>
    <w:rsid w:val="00442363"/>
    <w:rsid w:val="00442DAC"/>
    <w:rsid w:val="00446A90"/>
    <w:rsid w:val="00457FD6"/>
    <w:rsid w:val="00470208"/>
    <w:rsid w:val="0047187B"/>
    <w:rsid w:val="004728C0"/>
    <w:rsid w:val="004753FC"/>
    <w:rsid w:val="0048075E"/>
    <w:rsid w:val="00485DEF"/>
    <w:rsid w:val="004918D1"/>
    <w:rsid w:val="00493966"/>
    <w:rsid w:val="00493F1B"/>
    <w:rsid w:val="004948BE"/>
    <w:rsid w:val="00494B65"/>
    <w:rsid w:val="004A655A"/>
    <w:rsid w:val="004A707A"/>
    <w:rsid w:val="004B1656"/>
    <w:rsid w:val="004B666C"/>
    <w:rsid w:val="004B698D"/>
    <w:rsid w:val="004B775C"/>
    <w:rsid w:val="004C078B"/>
    <w:rsid w:val="004C1AF6"/>
    <w:rsid w:val="004C2FBB"/>
    <w:rsid w:val="004C47B4"/>
    <w:rsid w:val="004C581E"/>
    <w:rsid w:val="004D0C5D"/>
    <w:rsid w:val="004D1D69"/>
    <w:rsid w:val="004E48F4"/>
    <w:rsid w:val="004F263A"/>
    <w:rsid w:val="004F4641"/>
    <w:rsid w:val="004F4EDE"/>
    <w:rsid w:val="004F7D52"/>
    <w:rsid w:val="005040A7"/>
    <w:rsid w:val="00506BA6"/>
    <w:rsid w:val="00507DEF"/>
    <w:rsid w:val="00511AD2"/>
    <w:rsid w:val="00515ADA"/>
    <w:rsid w:val="0053258F"/>
    <w:rsid w:val="00533085"/>
    <w:rsid w:val="005360B6"/>
    <w:rsid w:val="00536C5E"/>
    <w:rsid w:val="00536DC0"/>
    <w:rsid w:val="00540A7B"/>
    <w:rsid w:val="00540F18"/>
    <w:rsid w:val="00550A9E"/>
    <w:rsid w:val="0055279A"/>
    <w:rsid w:val="00555DF0"/>
    <w:rsid w:val="00560770"/>
    <w:rsid w:val="005647DA"/>
    <w:rsid w:val="00564AC6"/>
    <w:rsid w:val="00566F71"/>
    <w:rsid w:val="00567358"/>
    <w:rsid w:val="005716ED"/>
    <w:rsid w:val="005730E5"/>
    <w:rsid w:val="00574941"/>
    <w:rsid w:val="00576E43"/>
    <w:rsid w:val="005771F2"/>
    <w:rsid w:val="00581610"/>
    <w:rsid w:val="00582BB7"/>
    <w:rsid w:val="00584A41"/>
    <w:rsid w:val="00584C3E"/>
    <w:rsid w:val="0059020B"/>
    <w:rsid w:val="005914FD"/>
    <w:rsid w:val="00592291"/>
    <w:rsid w:val="00592F15"/>
    <w:rsid w:val="00593CBE"/>
    <w:rsid w:val="005955E2"/>
    <w:rsid w:val="005B391D"/>
    <w:rsid w:val="005B40CA"/>
    <w:rsid w:val="005B4F15"/>
    <w:rsid w:val="005B6BB2"/>
    <w:rsid w:val="005C16EA"/>
    <w:rsid w:val="005C1702"/>
    <w:rsid w:val="005C21DC"/>
    <w:rsid w:val="005C37D9"/>
    <w:rsid w:val="005C624C"/>
    <w:rsid w:val="005C7BCA"/>
    <w:rsid w:val="005D1355"/>
    <w:rsid w:val="005D14B4"/>
    <w:rsid w:val="005D2FF1"/>
    <w:rsid w:val="005D344F"/>
    <w:rsid w:val="005D39D7"/>
    <w:rsid w:val="005D3ED6"/>
    <w:rsid w:val="005E007B"/>
    <w:rsid w:val="005E018C"/>
    <w:rsid w:val="005E1D9B"/>
    <w:rsid w:val="005F06B9"/>
    <w:rsid w:val="005F2DD3"/>
    <w:rsid w:val="005F37CD"/>
    <w:rsid w:val="005F38EC"/>
    <w:rsid w:val="005F48E6"/>
    <w:rsid w:val="00601A72"/>
    <w:rsid w:val="006039C5"/>
    <w:rsid w:val="00604A97"/>
    <w:rsid w:val="00611931"/>
    <w:rsid w:val="00611BE4"/>
    <w:rsid w:val="00612476"/>
    <w:rsid w:val="00614A73"/>
    <w:rsid w:val="006153BA"/>
    <w:rsid w:val="00615A4D"/>
    <w:rsid w:val="006160F3"/>
    <w:rsid w:val="00617017"/>
    <w:rsid w:val="006200CE"/>
    <w:rsid w:val="0062380B"/>
    <w:rsid w:val="0062555B"/>
    <w:rsid w:val="00630176"/>
    <w:rsid w:val="00630C64"/>
    <w:rsid w:val="00633095"/>
    <w:rsid w:val="0063361D"/>
    <w:rsid w:val="006353BE"/>
    <w:rsid w:val="006364D4"/>
    <w:rsid w:val="006366E2"/>
    <w:rsid w:val="00637F58"/>
    <w:rsid w:val="00640C78"/>
    <w:rsid w:val="00641FCF"/>
    <w:rsid w:val="006425DA"/>
    <w:rsid w:val="00642BA5"/>
    <w:rsid w:val="006430DC"/>
    <w:rsid w:val="006431EC"/>
    <w:rsid w:val="00644C53"/>
    <w:rsid w:val="006533D2"/>
    <w:rsid w:val="0066095F"/>
    <w:rsid w:val="00660989"/>
    <w:rsid w:val="006629F4"/>
    <w:rsid w:val="0066304C"/>
    <w:rsid w:val="00670138"/>
    <w:rsid w:val="00670357"/>
    <w:rsid w:val="00672BFB"/>
    <w:rsid w:val="006751EA"/>
    <w:rsid w:val="00675254"/>
    <w:rsid w:val="0067529E"/>
    <w:rsid w:val="00675A17"/>
    <w:rsid w:val="00682A53"/>
    <w:rsid w:val="006863AF"/>
    <w:rsid w:val="0069364A"/>
    <w:rsid w:val="00693F48"/>
    <w:rsid w:val="006941F8"/>
    <w:rsid w:val="00695EDC"/>
    <w:rsid w:val="006A29E1"/>
    <w:rsid w:val="006A2BFA"/>
    <w:rsid w:val="006A2FE8"/>
    <w:rsid w:val="006A30E2"/>
    <w:rsid w:val="006A689F"/>
    <w:rsid w:val="006A6E30"/>
    <w:rsid w:val="006B3156"/>
    <w:rsid w:val="006B4CA9"/>
    <w:rsid w:val="006B54BC"/>
    <w:rsid w:val="006B5A8B"/>
    <w:rsid w:val="006C1CE0"/>
    <w:rsid w:val="006C689E"/>
    <w:rsid w:val="006D0C47"/>
    <w:rsid w:val="006D2B0F"/>
    <w:rsid w:val="006D3294"/>
    <w:rsid w:val="006E00F4"/>
    <w:rsid w:val="006E01E3"/>
    <w:rsid w:val="006E3841"/>
    <w:rsid w:val="006E3B4B"/>
    <w:rsid w:val="006E6513"/>
    <w:rsid w:val="006E6645"/>
    <w:rsid w:val="006F4BF8"/>
    <w:rsid w:val="0070264A"/>
    <w:rsid w:val="00702788"/>
    <w:rsid w:val="00704FB3"/>
    <w:rsid w:val="007055B6"/>
    <w:rsid w:val="00710384"/>
    <w:rsid w:val="00710A68"/>
    <w:rsid w:val="00712479"/>
    <w:rsid w:val="007139B4"/>
    <w:rsid w:val="00713F17"/>
    <w:rsid w:val="00717831"/>
    <w:rsid w:val="00721A17"/>
    <w:rsid w:val="00721CAB"/>
    <w:rsid w:val="007225C2"/>
    <w:rsid w:val="007234E3"/>
    <w:rsid w:val="00725674"/>
    <w:rsid w:val="00726069"/>
    <w:rsid w:val="0073201D"/>
    <w:rsid w:val="00734CE0"/>
    <w:rsid w:val="00736FFF"/>
    <w:rsid w:val="007371B8"/>
    <w:rsid w:val="0073783B"/>
    <w:rsid w:val="00740FB3"/>
    <w:rsid w:val="00747C3F"/>
    <w:rsid w:val="00751DDD"/>
    <w:rsid w:val="0075358D"/>
    <w:rsid w:val="00754EC3"/>
    <w:rsid w:val="007564FC"/>
    <w:rsid w:val="00760636"/>
    <w:rsid w:val="00764C71"/>
    <w:rsid w:val="0076666E"/>
    <w:rsid w:val="00771421"/>
    <w:rsid w:val="007724EE"/>
    <w:rsid w:val="007734F8"/>
    <w:rsid w:val="00774848"/>
    <w:rsid w:val="007749AA"/>
    <w:rsid w:val="00776054"/>
    <w:rsid w:val="0078303E"/>
    <w:rsid w:val="00783941"/>
    <w:rsid w:val="007918BF"/>
    <w:rsid w:val="00792186"/>
    <w:rsid w:val="00792387"/>
    <w:rsid w:val="00792421"/>
    <w:rsid w:val="00793BDE"/>
    <w:rsid w:val="007947CA"/>
    <w:rsid w:val="007975E7"/>
    <w:rsid w:val="007979FE"/>
    <w:rsid w:val="007A2829"/>
    <w:rsid w:val="007A3F28"/>
    <w:rsid w:val="007A6873"/>
    <w:rsid w:val="007A688C"/>
    <w:rsid w:val="007B0CF3"/>
    <w:rsid w:val="007B1321"/>
    <w:rsid w:val="007B3004"/>
    <w:rsid w:val="007B406F"/>
    <w:rsid w:val="007B54C7"/>
    <w:rsid w:val="007B55EE"/>
    <w:rsid w:val="007B6252"/>
    <w:rsid w:val="007B6B33"/>
    <w:rsid w:val="007B6E98"/>
    <w:rsid w:val="007C0D16"/>
    <w:rsid w:val="007C238C"/>
    <w:rsid w:val="007C4781"/>
    <w:rsid w:val="007C570E"/>
    <w:rsid w:val="007D12F5"/>
    <w:rsid w:val="007D1A47"/>
    <w:rsid w:val="007D2F09"/>
    <w:rsid w:val="007D48F9"/>
    <w:rsid w:val="007E1325"/>
    <w:rsid w:val="007E613C"/>
    <w:rsid w:val="007E7830"/>
    <w:rsid w:val="007F143C"/>
    <w:rsid w:val="007F414F"/>
    <w:rsid w:val="007F45A2"/>
    <w:rsid w:val="007F4D5D"/>
    <w:rsid w:val="007F6312"/>
    <w:rsid w:val="008021AD"/>
    <w:rsid w:val="008031E0"/>
    <w:rsid w:val="008039E5"/>
    <w:rsid w:val="00806F55"/>
    <w:rsid w:val="00807822"/>
    <w:rsid w:val="008105D3"/>
    <w:rsid w:val="00814CDC"/>
    <w:rsid w:val="00815081"/>
    <w:rsid w:val="00816635"/>
    <w:rsid w:val="00816EDC"/>
    <w:rsid w:val="00816FAB"/>
    <w:rsid w:val="008212E8"/>
    <w:rsid w:val="0082184D"/>
    <w:rsid w:val="00827889"/>
    <w:rsid w:val="00833B63"/>
    <w:rsid w:val="00836002"/>
    <w:rsid w:val="0084110B"/>
    <w:rsid w:val="00841A45"/>
    <w:rsid w:val="008451EF"/>
    <w:rsid w:val="00847B90"/>
    <w:rsid w:val="00851836"/>
    <w:rsid w:val="008530DA"/>
    <w:rsid w:val="008531F6"/>
    <w:rsid w:val="008557F1"/>
    <w:rsid w:val="0086381F"/>
    <w:rsid w:val="00863C80"/>
    <w:rsid w:val="00873FB8"/>
    <w:rsid w:val="0087565C"/>
    <w:rsid w:val="00875A38"/>
    <w:rsid w:val="00880581"/>
    <w:rsid w:val="00881D1D"/>
    <w:rsid w:val="00883717"/>
    <w:rsid w:val="00887AC3"/>
    <w:rsid w:val="00890A9F"/>
    <w:rsid w:val="00890DB6"/>
    <w:rsid w:val="00893C1F"/>
    <w:rsid w:val="0089771B"/>
    <w:rsid w:val="008A0516"/>
    <w:rsid w:val="008B1F35"/>
    <w:rsid w:val="008B256E"/>
    <w:rsid w:val="008B295B"/>
    <w:rsid w:val="008B672C"/>
    <w:rsid w:val="008C043E"/>
    <w:rsid w:val="008C3F16"/>
    <w:rsid w:val="008C4741"/>
    <w:rsid w:val="008C4C9E"/>
    <w:rsid w:val="008C70EA"/>
    <w:rsid w:val="008D0C2A"/>
    <w:rsid w:val="008D27AC"/>
    <w:rsid w:val="008D3064"/>
    <w:rsid w:val="008D4440"/>
    <w:rsid w:val="008D46B7"/>
    <w:rsid w:val="008D5FA6"/>
    <w:rsid w:val="008D6134"/>
    <w:rsid w:val="008E2B1C"/>
    <w:rsid w:val="008F0F4B"/>
    <w:rsid w:val="008F460B"/>
    <w:rsid w:val="008F5966"/>
    <w:rsid w:val="008F640B"/>
    <w:rsid w:val="008F6D7A"/>
    <w:rsid w:val="008F7449"/>
    <w:rsid w:val="008F7450"/>
    <w:rsid w:val="009017AA"/>
    <w:rsid w:val="009021D8"/>
    <w:rsid w:val="00906DF9"/>
    <w:rsid w:val="00910CDC"/>
    <w:rsid w:val="00910FBA"/>
    <w:rsid w:val="009136AE"/>
    <w:rsid w:val="009147A6"/>
    <w:rsid w:val="00915A80"/>
    <w:rsid w:val="00916144"/>
    <w:rsid w:val="00917BDA"/>
    <w:rsid w:val="00923BDF"/>
    <w:rsid w:val="00925A5F"/>
    <w:rsid w:val="00925CD7"/>
    <w:rsid w:val="00930504"/>
    <w:rsid w:val="0093076A"/>
    <w:rsid w:val="00930DD2"/>
    <w:rsid w:val="00934D0C"/>
    <w:rsid w:val="009362A9"/>
    <w:rsid w:val="0095733D"/>
    <w:rsid w:val="00960903"/>
    <w:rsid w:val="00962547"/>
    <w:rsid w:val="00962D8E"/>
    <w:rsid w:val="00966BB7"/>
    <w:rsid w:val="00967760"/>
    <w:rsid w:val="00971703"/>
    <w:rsid w:val="00971B84"/>
    <w:rsid w:val="0097259E"/>
    <w:rsid w:val="00975034"/>
    <w:rsid w:val="0098140B"/>
    <w:rsid w:val="00981FCB"/>
    <w:rsid w:val="00982480"/>
    <w:rsid w:val="009842DA"/>
    <w:rsid w:val="00984AD4"/>
    <w:rsid w:val="00987FA7"/>
    <w:rsid w:val="0099309F"/>
    <w:rsid w:val="00993556"/>
    <w:rsid w:val="0099399E"/>
    <w:rsid w:val="00993D1C"/>
    <w:rsid w:val="009A11C4"/>
    <w:rsid w:val="009A25D8"/>
    <w:rsid w:val="009A413D"/>
    <w:rsid w:val="009A4734"/>
    <w:rsid w:val="009A6352"/>
    <w:rsid w:val="009A710D"/>
    <w:rsid w:val="009A7743"/>
    <w:rsid w:val="009B257E"/>
    <w:rsid w:val="009B29C7"/>
    <w:rsid w:val="009B4B5A"/>
    <w:rsid w:val="009B744E"/>
    <w:rsid w:val="009B7828"/>
    <w:rsid w:val="009C031F"/>
    <w:rsid w:val="009C4210"/>
    <w:rsid w:val="009C62D0"/>
    <w:rsid w:val="009C6CE3"/>
    <w:rsid w:val="009D019D"/>
    <w:rsid w:val="009D5E66"/>
    <w:rsid w:val="009E0ACF"/>
    <w:rsid w:val="009E0FEA"/>
    <w:rsid w:val="009E164D"/>
    <w:rsid w:val="009E1855"/>
    <w:rsid w:val="009E6187"/>
    <w:rsid w:val="009E6E14"/>
    <w:rsid w:val="009F0B96"/>
    <w:rsid w:val="009F5F9D"/>
    <w:rsid w:val="009F6B30"/>
    <w:rsid w:val="00A02026"/>
    <w:rsid w:val="00A05594"/>
    <w:rsid w:val="00A05D39"/>
    <w:rsid w:val="00A06230"/>
    <w:rsid w:val="00A0692E"/>
    <w:rsid w:val="00A13AA0"/>
    <w:rsid w:val="00A17DA7"/>
    <w:rsid w:val="00A20E8E"/>
    <w:rsid w:val="00A22190"/>
    <w:rsid w:val="00A25111"/>
    <w:rsid w:val="00A25545"/>
    <w:rsid w:val="00A25C65"/>
    <w:rsid w:val="00A274D8"/>
    <w:rsid w:val="00A2777B"/>
    <w:rsid w:val="00A419B0"/>
    <w:rsid w:val="00A41B80"/>
    <w:rsid w:val="00A520F5"/>
    <w:rsid w:val="00A521DE"/>
    <w:rsid w:val="00A55F6D"/>
    <w:rsid w:val="00A56B6E"/>
    <w:rsid w:val="00A6112B"/>
    <w:rsid w:val="00A62C56"/>
    <w:rsid w:val="00A656D7"/>
    <w:rsid w:val="00A669A4"/>
    <w:rsid w:val="00A67E3F"/>
    <w:rsid w:val="00A72EE0"/>
    <w:rsid w:val="00A7314E"/>
    <w:rsid w:val="00A733D6"/>
    <w:rsid w:val="00A75052"/>
    <w:rsid w:val="00A8107A"/>
    <w:rsid w:val="00A826DB"/>
    <w:rsid w:val="00A867D1"/>
    <w:rsid w:val="00A87425"/>
    <w:rsid w:val="00A91D1A"/>
    <w:rsid w:val="00A92439"/>
    <w:rsid w:val="00A964E5"/>
    <w:rsid w:val="00A965C2"/>
    <w:rsid w:val="00A97B4B"/>
    <w:rsid w:val="00AA3992"/>
    <w:rsid w:val="00AA61DC"/>
    <w:rsid w:val="00AA7620"/>
    <w:rsid w:val="00AB1422"/>
    <w:rsid w:val="00AB5E25"/>
    <w:rsid w:val="00AB66AA"/>
    <w:rsid w:val="00AB683D"/>
    <w:rsid w:val="00AC06DD"/>
    <w:rsid w:val="00AC1A1A"/>
    <w:rsid w:val="00AC2B3E"/>
    <w:rsid w:val="00AC2C96"/>
    <w:rsid w:val="00AD3063"/>
    <w:rsid w:val="00AD5EE6"/>
    <w:rsid w:val="00AD64ED"/>
    <w:rsid w:val="00AE155F"/>
    <w:rsid w:val="00AE3308"/>
    <w:rsid w:val="00AF1926"/>
    <w:rsid w:val="00AF30DC"/>
    <w:rsid w:val="00AF33F5"/>
    <w:rsid w:val="00AF3691"/>
    <w:rsid w:val="00AF755A"/>
    <w:rsid w:val="00AF7E9F"/>
    <w:rsid w:val="00B02904"/>
    <w:rsid w:val="00B03A1E"/>
    <w:rsid w:val="00B04FD6"/>
    <w:rsid w:val="00B058E9"/>
    <w:rsid w:val="00B05DA7"/>
    <w:rsid w:val="00B06EDC"/>
    <w:rsid w:val="00B139E3"/>
    <w:rsid w:val="00B1486E"/>
    <w:rsid w:val="00B20AA9"/>
    <w:rsid w:val="00B20F9A"/>
    <w:rsid w:val="00B2226F"/>
    <w:rsid w:val="00B24952"/>
    <w:rsid w:val="00B261DA"/>
    <w:rsid w:val="00B270AC"/>
    <w:rsid w:val="00B27868"/>
    <w:rsid w:val="00B352EE"/>
    <w:rsid w:val="00B37CE7"/>
    <w:rsid w:val="00B461C2"/>
    <w:rsid w:val="00B47D75"/>
    <w:rsid w:val="00B50B54"/>
    <w:rsid w:val="00B50CCC"/>
    <w:rsid w:val="00B5344E"/>
    <w:rsid w:val="00B55A32"/>
    <w:rsid w:val="00B64446"/>
    <w:rsid w:val="00B64D26"/>
    <w:rsid w:val="00B65A2E"/>
    <w:rsid w:val="00B66E6E"/>
    <w:rsid w:val="00B70E30"/>
    <w:rsid w:val="00B723E9"/>
    <w:rsid w:val="00B7468D"/>
    <w:rsid w:val="00B749FE"/>
    <w:rsid w:val="00B75377"/>
    <w:rsid w:val="00B77982"/>
    <w:rsid w:val="00B85B84"/>
    <w:rsid w:val="00B86509"/>
    <w:rsid w:val="00B86D37"/>
    <w:rsid w:val="00B87D1D"/>
    <w:rsid w:val="00B92EBF"/>
    <w:rsid w:val="00B93209"/>
    <w:rsid w:val="00B938B5"/>
    <w:rsid w:val="00BA1580"/>
    <w:rsid w:val="00BA2635"/>
    <w:rsid w:val="00BA627E"/>
    <w:rsid w:val="00BA6550"/>
    <w:rsid w:val="00BA740D"/>
    <w:rsid w:val="00BB0AD4"/>
    <w:rsid w:val="00BB3308"/>
    <w:rsid w:val="00BB5538"/>
    <w:rsid w:val="00BB5754"/>
    <w:rsid w:val="00BC3C38"/>
    <w:rsid w:val="00BC3D84"/>
    <w:rsid w:val="00BD22F3"/>
    <w:rsid w:val="00BD44E0"/>
    <w:rsid w:val="00BD4814"/>
    <w:rsid w:val="00BD7466"/>
    <w:rsid w:val="00BE111F"/>
    <w:rsid w:val="00BE21EA"/>
    <w:rsid w:val="00BF15A3"/>
    <w:rsid w:val="00BF1C98"/>
    <w:rsid w:val="00BF35A7"/>
    <w:rsid w:val="00BF3DB3"/>
    <w:rsid w:val="00BF6388"/>
    <w:rsid w:val="00BF7A19"/>
    <w:rsid w:val="00BF7C7F"/>
    <w:rsid w:val="00C01747"/>
    <w:rsid w:val="00C04EF3"/>
    <w:rsid w:val="00C1151B"/>
    <w:rsid w:val="00C124E8"/>
    <w:rsid w:val="00C1362F"/>
    <w:rsid w:val="00C159F5"/>
    <w:rsid w:val="00C16250"/>
    <w:rsid w:val="00C22A0B"/>
    <w:rsid w:val="00C22D0D"/>
    <w:rsid w:val="00C24B0B"/>
    <w:rsid w:val="00C25D4E"/>
    <w:rsid w:val="00C30C7B"/>
    <w:rsid w:val="00C33FC8"/>
    <w:rsid w:val="00C347CB"/>
    <w:rsid w:val="00C35A96"/>
    <w:rsid w:val="00C36DD2"/>
    <w:rsid w:val="00C37F85"/>
    <w:rsid w:val="00C40B38"/>
    <w:rsid w:val="00C42E6B"/>
    <w:rsid w:val="00C47181"/>
    <w:rsid w:val="00C50CEF"/>
    <w:rsid w:val="00C52AFB"/>
    <w:rsid w:val="00C557B8"/>
    <w:rsid w:val="00C562F6"/>
    <w:rsid w:val="00C62824"/>
    <w:rsid w:val="00C640F5"/>
    <w:rsid w:val="00C66DD8"/>
    <w:rsid w:val="00C70087"/>
    <w:rsid w:val="00C7120E"/>
    <w:rsid w:val="00C71424"/>
    <w:rsid w:val="00C724B6"/>
    <w:rsid w:val="00C74952"/>
    <w:rsid w:val="00C75359"/>
    <w:rsid w:val="00C771E7"/>
    <w:rsid w:val="00C77486"/>
    <w:rsid w:val="00C804DA"/>
    <w:rsid w:val="00C8084D"/>
    <w:rsid w:val="00C83BA7"/>
    <w:rsid w:val="00C90399"/>
    <w:rsid w:val="00C94ABB"/>
    <w:rsid w:val="00C967DF"/>
    <w:rsid w:val="00C97183"/>
    <w:rsid w:val="00CA09EF"/>
    <w:rsid w:val="00CA3C1B"/>
    <w:rsid w:val="00CA6DA2"/>
    <w:rsid w:val="00CB08A0"/>
    <w:rsid w:val="00CB3DDF"/>
    <w:rsid w:val="00CB76EA"/>
    <w:rsid w:val="00CB7FD4"/>
    <w:rsid w:val="00CC110C"/>
    <w:rsid w:val="00CC1CE7"/>
    <w:rsid w:val="00CC1EF3"/>
    <w:rsid w:val="00CC3680"/>
    <w:rsid w:val="00CC5EE1"/>
    <w:rsid w:val="00CD0B74"/>
    <w:rsid w:val="00CD4683"/>
    <w:rsid w:val="00CD5DDA"/>
    <w:rsid w:val="00CF22C7"/>
    <w:rsid w:val="00CF44BE"/>
    <w:rsid w:val="00CF4593"/>
    <w:rsid w:val="00CF49BE"/>
    <w:rsid w:val="00CF7633"/>
    <w:rsid w:val="00CF7952"/>
    <w:rsid w:val="00D06034"/>
    <w:rsid w:val="00D10210"/>
    <w:rsid w:val="00D10E98"/>
    <w:rsid w:val="00D12F8A"/>
    <w:rsid w:val="00D14978"/>
    <w:rsid w:val="00D14AE0"/>
    <w:rsid w:val="00D167DD"/>
    <w:rsid w:val="00D203E4"/>
    <w:rsid w:val="00D21491"/>
    <w:rsid w:val="00D215A6"/>
    <w:rsid w:val="00D23376"/>
    <w:rsid w:val="00D24BD7"/>
    <w:rsid w:val="00D320C6"/>
    <w:rsid w:val="00D3425E"/>
    <w:rsid w:val="00D3644F"/>
    <w:rsid w:val="00D37CCF"/>
    <w:rsid w:val="00D43B22"/>
    <w:rsid w:val="00D43BCA"/>
    <w:rsid w:val="00D441EC"/>
    <w:rsid w:val="00D468F7"/>
    <w:rsid w:val="00D46EF3"/>
    <w:rsid w:val="00D62320"/>
    <w:rsid w:val="00D6538A"/>
    <w:rsid w:val="00D66DE2"/>
    <w:rsid w:val="00D700E2"/>
    <w:rsid w:val="00D71F55"/>
    <w:rsid w:val="00D721A8"/>
    <w:rsid w:val="00D7524D"/>
    <w:rsid w:val="00D77319"/>
    <w:rsid w:val="00D800F1"/>
    <w:rsid w:val="00D80138"/>
    <w:rsid w:val="00D80174"/>
    <w:rsid w:val="00D80271"/>
    <w:rsid w:val="00D90913"/>
    <w:rsid w:val="00D94D18"/>
    <w:rsid w:val="00DA1649"/>
    <w:rsid w:val="00DA1F58"/>
    <w:rsid w:val="00DA401E"/>
    <w:rsid w:val="00DA4058"/>
    <w:rsid w:val="00DB0127"/>
    <w:rsid w:val="00DB1FBA"/>
    <w:rsid w:val="00DB3B33"/>
    <w:rsid w:val="00DB5178"/>
    <w:rsid w:val="00DB5593"/>
    <w:rsid w:val="00DC1E5A"/>
    <w:rsid w:val="00DC2BF0"/>
    <w:rsid w:val="00DC3DC8"/>
    <w:rsid w:val="00DD1E49"/>
    <w:rsid w:val="00DD244B"/>
    <w:rsid w:val="00DD31EC"/>
    <w:rsid w:val="00DD3546"/>
    <w:rsid w:val="00DD4E52"/>
    <w:rsid w:val="00DE33F7"/>
    <w:rsid w:val="00DE3B13"/>
    <w:rsid w:val="00DE42D9"/>
    <w:rsid w:val="00DE5D4D"/>
    <w:rsid w:val="00DE5E7D"/>
    <w:rsid w:val="00DF07C7"/>
    <w:rsid w:val="00DF15A7"/>
    <w:rsid w:val="00DF43AC"/>
    <w:rsid w:val="00DF58FD"/>
    <w:rsid w:val="00DF6AD8"/>
    <w:rsid w:val="00E0065D"/>
    <w:rsid w:val="00E01FDF"/>
    <w:rsid w:val="00E041EE"/>
    <w:rsid w:val="00E0504C"/>
    <w:rsid w:val="00E06EEB"/>
    <w:rsid w:val="00E076EB"/>
    <w:rsid w:val="00E07B93"/>
    <w:rsid w:val="00E135B8"/>
    <w:rsid w:val="00E1578D"/>
    <w:rsid w:val="00E17967"/>
    <w:rsid w:val="00E226B4"/>
    <w:rsid w:val="00E24B0D"/>
    <w:rsid w:val="00E25731"/>
    <w:rsid w:val="00E34970"/>
    <w:rsid w:val="00E37324"/>
    <w:rsid w:val="00E41A27"/>
    <w:rsid w:val="00E43151"/>
    <w:rsid w:val="00E43A0F"/>
    <w:rsid w:val="00E4629C"/>
    <w:rsid w:val="00E5027F"/>
    <w:rsid w:val="00E61F7E"/>
    <w:rsid w:val="00E62A98"/>
    <w:rsid w:val="00E62C8B"/>
    <w:rsid w:val="00E62EB1"/>
    <w:rsid w:val="00E63FD7"/>
    <w:rsid w:val="00E668DC"/>
    <w:rsid w:val="00E71297"/>
    <w:rsid w:val="00E800E6"/>
    <w:rsid w:val="00E83DAF"/>
    <w:rsid w:val="00E84B8D"/>
    <w:rsid w:val="00E87CF2"/>
    <w:rsid w:val="00E90F31"/>
    <w:rsid w:val="00E91110"/>
    <w:rsid w:val="00E911B7"/>
    <w:rsid w:val="00E93D2A"/>
    <w:rsid w:val="00E94B47"/>
    <w:rsid w:val="00E96817"/>
    <w:rsid w:val="00E96B32"/>
    <w:rsid w:val="00E96D17"/>
    <w:rsid w:val="00E97FF6"/>
    <w:rsid w:val="00EA1035"/>
    <w:rsid w:val="00EA1DC0"/>
    <w:rsid w:val="00EA2C5B"/>
    <w:rsid w:val="00EB01EC"/>
    <w:rsid w:val="00EB2312"/>
    <w:rsid w:val="00EB332F"/>
    <w:rsid w:val="00EB59DA"/>
    <w:rsid w:val="00EC1415"/>
    <w:rsid w:val="00EC6E85"/>
    <w:rsid w:val="00EC7220"/>
    <w:rsid w:val="00ED0B5E"/>
    <w:rsid w:val="00ED79B0"/>
    <w:rsid w:val="00EE16F7"/>
    <w:rsid w:val="00EE1EC6"/>
    <w:rsid w:val="00EE3AFF"/>
    <w:rsid w:val="00EE4E8E"/>
    <w:rsid w:val="00EE6333"/>
    <w:rsid w:val="00EE7701"/>
    <w:rsid w:val="00EF20FD"/>
    <w:rsid w:val="00EF5D52"/>
    <w:rsid w:val="00F043B0"/>
    <w:rsid w:val="00F0658B"/>
    <w:rsid w:val="00F1552C"/>
    <w:rsid w:val="00F159F9"/>
    <w:rsid w:val="00F16EFE"/>
    <w:rsid w:val="00F208D8"/>
    <w:rsid w:val="00F20A1F"/>
    <w:rsid w:val="00F22187"/>
    <w:rsid w:val="00F24802"/>
    <w:rsid w:val="00F24A99"/>
    <w:rsid w:val="00F26977"/>
    <w:rsid w:val="00F321C5"/>
    <w:rsid w:val="00F34FD3"/>
    <w:rsid w:val="00F354DF"/>
    <w:rsid w:val="00F36620"/>
    <w:rsid w:val="00F36AA2"/>
    <w:rsid w:val="00F37C28"/>
    <w:rsid w:val="00F40141"/>
    <w:rsid w:val="00F40A2F"/>
    <w:rsid w:val="00F41668"/>
    <w:rsid w:val="00F422C9"/>
    <w:rsid w:val="00F429DA"/>
    <w:rsid w:val="00F43499"/>
    <w:rsid w:val="00F506BE"/>
    <w:rsid w:val="00F5377D"/>
    <w:rsid w:val="00F54A30"/>
    <w:rsid w:val="00F57FCD"/>
    <w:rsid w:val="00F60C07"/>
    <w:rsid w:val="00F662E4"/>
    <w:rsid w:val="00F71A04"/>
    <w:rsid w:val="00F72E2D"/>
    <w:rsid w:val="00F77864"/>
    <w:rsid w:val="00F807FB"/>
    <w:rsid w:val="00F81BB0"/>
    <w:rsid w:val="00F836E4"/>
    <w:rsid w:val="00F865B4"/>
    <w:rsid w:val="00F87281"/>
    <w:rsid w:val="00F90ABC"/>
    <w:rsid w:val="00F90F24"/>
    <w:rsid w:val="00F91C17"/>
    <w:rsid w:val="00F92A16"/>
    <w:rsid w:val="00F92B94"/>
    <w:rsid w:val="00F9306B"/>
    <w:rsid w:val="00F964CF"/>
    <w:rsid w:val="00F96CB0"/>
    <w:rsid w:val="00F97170"/>
    <w:rsid w:val="00FA00B4"/>
    <w:rsid w:val="00FA2839"/>
    <w:rsid w:val="00FA2923"/>
    <w:rsid w:val="00FA59CC"/>
    <w:rsid w:val="00FA7D9A"/>
    <w:rsid w:val="00FB1000"/>
    <w:rsid w:val="00FB1FE2"/>
    <w:rsid w:val="00FB3DB9"/>
    <w:rsid w:val="00FB6FD1"/>
    <w:rsid w:val="00FC00DD"/>
    <w:rsid w:val="00FC2CDD"/>
    <w:rsid w:val="00FC41DD"/>
    <w:rsid w:val="00FC4A03"/>
    <w:rsid w:val="00FC6F30"/>
    <w:rsid w:val="00FC7663"/>
    <w:rsid w:val="00FD05C7"/>
    <w:rsid w:val="00FD1C96"/>
    <w:rsid w:val="00FD3A36"/>
    <w:rsid w:val="00FE1537"/>
    <w:rsid w:val="00FE650A"/>
    <w:rsid w:val="00FE6E2B"/>
    <w:rsid w:val="00FF1D21"/>
    <w:rsid w:val="00FF5D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footer" w:locked="1" w:uiPriority="99"/>
    <w:lsdException w:name="caption" w:locked="1" w:semiHidden="1" w:unhideWhenUsed="1" w:qFormat="1"/>
    <w:lsdException w:name="Title" w:locked="1" w:qFormat="1"/>
    <w:lsdException w:name="Body Text" w:uiPriority="99"/>
    <w:lsdException w:name="Subtitle" w:locked="1" w:qFormat="1"/>
    <w:lsdException w:name="Strong" w:locked="1" w:qFormat="1"/>
    <w:lsdException w:name="Emphasis" w:locked="1" w:qFormat="1"/>
    <w:lsdException w:name="Normal (Web)" w:locked="1"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00DD"/>
    <w:rPr>
      <w:sz w:val="24"/>
      <w:szCs w:val="24"/>
    </w:rPr>
  </w:style>
  <w:style w:type="paragraph" w:styleId="Heading1">
    <w:name w:val="heading 1"/>
    <w:basedOn w:val="Normal"/>
    <w:next w:val="Normal"/>
    <w:qFormat/>
    <w:rsid w:val="00841A45"/>
    <w:pPr>
      <w:keepNext/>
      <w:jc w:val="center"/>
      <w:outlineLvl w:val="0"/>
    </w:pPr>
    <w:rPr>
      <w:rFonts w:ascii="Courier" w:hAnsi="Courier"/>
      <w:b/>
      <w:szCs w:val="20"/>
    </w:rPr>
  </w:style>
  <w:style w:type="paragraph" w:styleId="Heading2">
    <w:name w:val="heading 2"/>
    <w:basedOn w:val="Normal"/>
    <w:next w:val="Normal"/>
    <w:qFormat/>
    <w:rsid w:val="00841A45"/>
    <w:pPr>
      <w:keepNext/>
      <w:jc w:val="right"/>
      <w:outlineLvl w:val="1"/>
    </w:pPr>
    <w:rPr>
      <w:rFonts w:ascii="Arial" w:hAnsi="Arial"/>
      <w:b/>
      <w:sz w:val="20"/>
      <w:szCs w:val="20"/>
      <w:u w:val="single"/>
    </w:rPr>
  </w:style>
  <w:style w:type="paragraph" w:styleId="Heading3">
    <w:name w:val="heading 3"/>
    <w:basedOn w:val="Normal"/>
    <w:next w:val="Normal"/>
    <w:qFormat/>
    <w:rsid w:val="00841A45"/>
    <w:pPr>
      <w:keepNext/>
      <w:tabs>
        <w:tab w:val="left" w:pos="540"/>
      </w:tabs>
      <w:autoSpaceDE w:val="0"/>
      <w:autoSpaceDN w:val="0"/>
      <w:adjustRightInd w:val="0"/>
      <w:outlineLvl w:val="2"/>
    </w:pPr>
    <w:rPr>
      <w:b/>
      <w:bCs/>
      <w:color w:val="000000"/>
    </w:rPr>
  </w:style>
  <w:style w:type="paragraph" w:styleId="Heading4">
    <w:name w:val="heading 4"/>
    <w:basedOn w:val="Normal"/>
    <w:next w:val="Normal"/>
    <w:qFormat/>
    <w:rsid w:val="00841A45"/>
    <w:pPr>
      <w:keepNext/>
      <w:numPr>
        <w:numId w:val="3"/>
      </w:numPr>
      <w:outlineLvl w:val="3"/>
    </w:pPr>
    <w:rPr>
      <w:rFonts w:ascii="Courier New" w:hAnsi="Courier New"/>
      <w:b/>
      <w:szCs w:val="20"/>
    </w:rPr>
  </w:style>
  <w:style w:type="paragraph" w:styleId="Heading5">
    <w:name w:val="heading 5"/>
    <w:basedOn w:val="Normal"/>
    <w:next w:val="Normal"/>
    <w:qFormat/>
    <w:rsid w:val="00841A45"/>
    <w:pPr>
      <w:keepNext/>
      <w:outlineLvl w:val="4"/>
    </w:pPr>
    <w:rPr>
      <w:b/>
      <w:bCs/>
      <w:sz w:val="18"/>
    </w:rPr>
  </w:style>
  <w:style w:type="paragraph" w:styleId="Heading6">
    <w:name w:val="heading 6"/>
    <w:basedOn w:val="Normal"/>
    <w:next w:val="Normal"/>
    <w:qFormat/>
    <w:rsid w:val="00841A45"/>
    <w:pPr>
      <w:keepNext/>
      <w:numPr>
        <w:numId w:val="2"/>
      </w:numPr>
      <w:outlineLvl w:val="5"/>
    </w:pPr>
    <w:rPr>
      <w:b/>
      <w:szCs w:val="20"/>
    </w:rPr>
  </w:style>
  <w:style w:type="paragraph" w:styleId="Heading7">
    <w:name w:val="heading 7"/>
    <w:basedOn w:val="Normal"/>
    <w:next w:val="Normal"/>
    <w:qFormat/>
    <w:rsid w:val="00841A45"/>
    <w:pPr>
      <w:keepNext/>
      <w:jc w:val="center"/>
      <w:outlineLvl w:val="6"/>
    </w:pPr>
    <w:rPr>
      <w:szCs w:val="20"/>
    </w:rPr>
  </w:style>
  <w:style w:type="paragraph" w:styleId="Heading8">
    <w:name w:val="heading 8"/>
    <w:basedOn w:val="Normal"/>
    <w:next w:val="Normal"/>
    <w:qFormat/>
    <w:rsid w:val="00841A45"/>
    <w:pPr>
      <w:keepNext/>
      <w:tabs>
        <w:tab w:val="right" w:pos="8928"/>
      </w:tabs>
      <w:jc w:val="center"/>
      <w:outlineLvl w:val="7"/>
    </w:pPr>
    <w:rPr>
      <w:rFonts w:ascii="Arial" w:hAnsi="Arial" w:cs="Arial"/>
      <w:b/>
      <w:sz w:val="48"/>
    </w:rPr>
  </w:style>
  <w:style w:type="paragraph" w:styleId="Heading9">
    <w:name w:val="heading 9"/>
    <w:basedOn w:val="Normal"/>
    <w:next w:val="Normal"/>
    <w:qFormat/>
    <w:rsid w:val="00841A45"/>
    <w:pPr>
      <w:keepNext/>
      <w:ind w:left="720"/>
      <w:outlineLvl w:val="8"/>
    </w:pPr>
    <w:rPr>
      <w:rFonts w:ascii="Courier" w:hAnsi="Courie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1A45"/>
    <w:pPr>
      <w:widowControl w:val="0"/>
      <w:tabs>
        <w:tab w:val="left" w:pos="432"/>
        <w:tab w:val="center" w:pos="4320"/>
        <w:tab w:val="right" w:pos="5040"/>
        <w:tab w:val="right" w:pos="6210"/>
        <w:tab w:val="right" w:pos="6930"/>
        <w:tab w:val="right" w:pos="8190"/>
        <w:tab w:val="right" w:pos="8640"/>
        <w:tab w:val="right" w:pos="8820"/>
        <w:tab w:val="right" w:pos="9810"/>
      </w:tabs>
    </w:pPr>
    <w:rPr>
      <w:rFonts w:ascii="Courier New" w:hAnsi="Courier New"/>
      <w:sz w:val="20"/>
      <w:szCs w:val="20"/>
    </w:rPr>
  </w:style>
  <w:style w:type="paragraph" w:customStyle="1" w:styleId="xl19">
    <w:name w:val="xl19"/>
    <w:basedOn w:val="Normal"/>
    <w:rsid w:val="00841A45"/>
    <w:pPr>
      <w:spacing w:before="100" w:after="100"/>
    </w:pPr>
    <w:rPr>
      <w:szCs w:val="20"/>
    </w:rPr>
  </w:style>
  <w:style w:type="paragraph" w:customStyle="1" w:styleId="APP-3A">
    <w:name w:val="APP-3A"/>
    <w:rsid w:val="00841A45"/>
    <w:rPr>
      <w:rFonts w:ascii="Arial" w:hAnsi="Arial"/>
      <w:b/>
    </w:rPr>
  </w:style>
  <w:style w:type="paragraph" w:customStyle="1" w:styleId="xl33">
    <w:name w:val="xl33"/>
    <w:basedOn w:val="Normal"/>
    <w:rsid w:val="00841A45"/>
    <w:pPr>
      <w:spacing w:before="100" w:after="100"/>
      <w:jc w:val="center"/>
    </w:pPr>
    <w:rPr>
      <w:rFonts w:ascii="Arial" w:hAnsi="Arial"/>
      <w:b/>
      <w:szCs w:val="20"/>
    </w:rPr>
  </w:style>
  <w:style w:type="paragraph" w:styleId="BodyText">
    <w:name w:val="Body Text"/>
    <w:aliases w:val="Hanging,body text,bt,heading3,NCDOT Body Text,1body,BodText,Body Txt,FL IND"/>
    <w:basedOn w:val="Normal"/>
    <w:link w:val="BodyTextChar"/>
    <w:uiPriority w:val="99"/>
    <w:rsid w:val="00841A45"/>
    <w:rPr>
      <w:szCs w:val="20"/>
    </w:rPr>
  </w:style>
  <w:style w:type="paragraph" w:customStyle="1" w:styleId="xl27">
    <w:name w:val="xl27"/>
    <w:basedOn w:val="Normal"/>
    <w:rsid w:val="00841A45"/>
    <w:pPr>
      <w:spacing w:before="100" w:after="100"/>
    </w:pPr>
    <w:rPr>
      <w:rFonts w:ascii="Arial" w:hAnsi="Arial"/>
      <w:b/>
      <w:szCs w:val="20"/>
    </w:rPr>
  </w:style>
  <w:style w:type="paragraph" w:styleId="FootnoteText">
    <w:name w:val="footnote text"/>
    <w:basedOn w:val="Normal"/>
    <w:semiHidden/>
    <w:rsid w:val="00841A45"/>
    <w:rPr>
      <w:sz w:val="20"/>
      <w:szCs w:val="20"/>
    </w:rPr>
  </w:style>
  <w:style w:type="paragraph" w:customStyle="1" w:styleId="xl34">
    <w:name w:val="xl34"/>
    <w:basedOn w:val="Normal"/>
    <w:rsid w:val="00841A45"/>
    <w:pPr>
      <w:spacing w:before="100" w:after="100"/>
      <w:jc w:val="center"/>
    </w:pPr>
    <w:rPr>
      <w:b/>
      <w:sz w:val="20"/>
      <w:szCs w:val="20"/>
    </w:rPr>
  </w:style>
  <w:style w:type="paragraph" w:styleId="Title">
    <w:name w:val="Title"/>
    <w:basedOn w:val="Normal"/>
    <w:qFormat/>
    <w:rsid w:val="00841A45"/>
    <w:pPr>
      <w:ind w:left="720"/>
      <w:jc w:val="center"/>
    </w:pPr>
    <w:rPr>
      <w:b/>
      <w:i/>
      <w:szCs w:val="20"/>
    </w:rPr>
  </w:style>
  <w:style w:type="paragraph" w:styleId="BodyText2">
    <w:name w:val="Body Text 2"/>
    <w:basedOn w:val="Normal"/>
    <w:rsid w:val="00841A45"/>
    <w:rPr>
      <w:sz w:val="20"/>
      <w:szCs w:val="20"/>
    </w:rPr>
  </w:style>
  <w:style w:type="paragraph" w:styleId="Header">
    <w:name w:val="header"/>
    <w:basedOn w:val="Normal"/>
    <w:rsid w:val="00841A45"/>
    <w:pPr>
      <w:tabs>
        <w:tab w:val="center" w:pos="4320"/>
        <w:tab w:val="right" w:pos="8640"/>
      </w:tabs>
    </w:pPr>
    <w:rPr>
      <w:rFonts w:ascii="CG Times" w:hAnsi="CG Times"/>
      <w:szCs w:val="20"/>
    </w:rPr>
  </w:style>
  <w:style w:type="paragraph" w:customStyle="1" w:styleId="xl24">
    <w:name w:val="xl24"/>
    <w:basedOn w:val="Normal"/>
    <w:rsid w:val="00841A45"/>
    <w:pPr>
      <w:spacing w:before="100" w:after="100"/>
    </w:pPr>
    <w:rPr>
      <w:szCs w:val="20"/>
      <w:u w:val="single"/>
    </w:rPr>
  </w:style>
  <w:style w:type="paragraph" w:styleId="BodyText3">
    <w:name w:val="Body Text 3"/>
    <w:basedOn w:val="Normal"/>
    <w:rsid w:val="00841A45"/>
    <w:rPr>
      <w:color w:val="000000"/>
      <w:szCs w:val="20"/>
    </w:rPr>
  </w:style>
  <w:style w:type="paragraph" w:customStyle="1" w:styleId="xl22">
    <w:name w:val="xl22"/>
    <w:basedOn w:val="Normal"/>
    <w:rsid w:val="00841A45"/>
    <w:pPr>
      <w:spacing w:before="100" w:after="100"/>
      <w:jc w:val="center"/>
    </w:pPr>
    <w:rPr>
      <w:szCs w:val="20"/>
      <w:u w:val="single"/>
    </w:rPr>
  </w:style>
  <w:style w:type="paragraph" w:styleId="TOC1">
    <w:name w:val="toc 1"/>
    <w:basedOn w:val="Normal"/>
    <w:next w:val="Normal"/>
    <w:autoRedefine/>
    <w:semiHidden/>
    <w:rsid w:val="00841A45"/>
    <w:pPr>
      <w:jc w:val="right"/>
    </w:pPr>
    <w:rPr>
      <w:szCs w:val="20"/>
    </w:rPr>
  </w:style>
  <w:style w:type="paragraph" w:styleId="TOAHeading">
    <w:name w:val="toa heading"/>
    <w:basedOn w:val="Normal"/>
    <w:next w:val="Normal"/>
    <w:semiHidden/>
    <w:rsid w:val="00841A45"/>
    <w:pPr>
      <w:widowControl w:val="0"/>
      <w:tabs>
        <w:tab w:val="right" w:pos="9360"/>
      </w:tabs>
      <w:suppressAutoHyphens/>
    </w:pPr>
    <w:rPr>
      <w:rFonts w:ascii="Courier New" w:hAnsi="Courier New"/>
      <w:sz w:val="20"/>
      <w:szCs w:val="20"/>
    </w:rPr>
  </w:style>
  <w:style w:type="character" w:styleId="PageNumber">
    <w:name w:val="page number"/>
    <w:basedOn w:val="DefaultParagraphFont"/>
    <w:rsid w:val="00841A45"/>
    <w:rPr>
      <w:rFonts w:cs="Times New Roman"/>
    </w:rPr>
  </w:style>
  <w:style w:type="paragraph" w:styleId="BodyTextIndent">
    <w:name w:val="Body Text Indent"/>
    <w:basedOn w:val="Normal"/>
    <w:rsid w:val="00841A45"/>
    <w:pPr>
      <w:tabs>
        <w:tab w:val="left" w:leader="dot" w:pos="7920"/>
        <w:tab w:val="right" w:pos="8640"/>
      </w:tabs>
      <w:ind w:left="720"/>
    </w:pPr>
    <w:rPr>
      <w:bCs/>
      <w:i/>
      <w:iCs/>
    </w:rPr>
  </w:style>
  <w:style w:type="paragraph" w:styleId="BalloonText">
    <w:name w:val="Balloon Text"/>
    <w:basedOn w:val="Normal"/>
    <w:semiHidden/>
    <w:rsid w:val="00841A45"/>
    <w:rPr>
      <w:rFonts w:ascii="Tahoma" w:hAnsi="Tahoma" w:cs="Tahoma"/>
      <w:sz w:val="16"/>
      <w:szCs w:val="16"/>
    </w:rPr>
  </w:style>
  <w:style w:type="paragraph" w:styleId="List2">
    <w:name w:val="List 2"/>
    <w:basedOn w:val="Normal"/>
    <w:rsid w:val="00E0065D"/>
    <w:pPr>
      <w:ind w:left="720" w:hanging="360"/>
    </w:pPr>
  </w:style>
  <w:style w:type="paragraph" w:styleId="List3">
    <w:name w:val="List 3"/>
    <w:basedOn w:val="Normal"/>
    <w:rsid w:val="00E0065D"/>
    <w:pPr>
      <w:ind w:left="1080" w:hanging="360"/>
    </w:pPr>
  </w:style>
  <w:style w:type="paragraph" w:styleId="ListBullet2">
    <w:name w:val="List Bullet 2"/>
    <w:basedOn w:val="Normal"/>
    <w:rsid w:val="00E0065D"/>
    <w:pPr>
      <w:numPr>
        <w:numId w:val="16"/>
      </w:numPr>
    </w:pPr>
  </w:style>
  <w:style w:type="paragraph" w:styleId="BodyTextFirstIndent2">
    <w:name w:val="Body Text First Indent 2"/>
    <w:basedOn w:val="BodyTextIndent"/>
    <w:rsid w:val="00E0065D"/>
    <w:pPr>
      <w:tabs>
        <w:tab w:val="clear" w:pos="7920"/>
        <w:tab w:val="clear" w:pos="8640"/>
      </w:tabs>
      <w:spacing w:after="120"/>
      <w:ind w:left="360" w:firstLine="210"/>
    </w:pPr>
    <w:rPr>
      <w:bCs w:val="0"/>
      <w:i w:val="0"/>
      <w:iCs w:val="0"/>
    </w:rPr>
  </w:style>
  <w:style w:type="table" w:styleId="TableGrid">
    <w:name w:val="Table Grid"/>
    <w:basedOn w:val="TableNormal"/>
    <w:rsid w:val="008756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282951"/>
    <w:rPr>
      <w:rFonts w:cs="Times New Roman"/>
      <w:sz w:val="16"/>
      <w:szCs w:val="16"/>
    </w:rPr>
  </w:style>
  <w:style w:type="paragraph" w:styleId="CommentText">
    <w:name w:val="annotation text"/>
    <w:basedOn w:val="Normal"/>
    <w:link w:val="CommentTextChar"/>
    <w:rsid w:val="00282951"/>
    <w:rPr>
      <w:sz w:val="20"/>
      <w:szCs w:val="20"/>
    </w:rPr>
  </w:style>
  <w:style w:type="paragraph" w:styleId="CommentSubject">
    <w:name w:val="annotation subject"/>
    <w:basedOn w:val="CommentText"/>
    <w:next w:val="CommentText"/>
    <w:semiHidden/>
    <w:rsid w:val="00282951"/>
    <w:rPr>
      <w:b/>
      <w:bCs/>
    </w:rPr>
  </w:style>
  <w:style w:type="character" w:styleId="Hyperlink">
    <w:name w:val="Hyperlink"/>
    <w:basedOn w:val="DefaultParagraphFont"/>
    <w:rsid w:val="00A419B0"/>
    <w:rPr>
      <w:rFonts w:cs="Times New Roman"/>
      <w:color w:val="0000FF"/>
      <w:u w:val="single"/>
    </w:rPr>
  </w:style>
  <w:style w:type="paragraph" w:styleId="ListParagraph">
    <w:name w:val="List Paragraph"/>
    <w:basedOn w:val="Normal"/>
    <w:qFormat/>
    <w:rsid w:val="00014F8E"/>
    <w:pPr>
      <w:ind w:left="720"/>
    </w:pPr>
  </w:style>
  <w:style w:type="character" w:customStyle="1" w:styleId="FooterChar">
    <w:name w:val="Footer Char"/>
    <w:basedOn w:val="DefaultParagraphFont"/>
    <w:link w:val="Footer"/>
    <w:uiPriority w:val="99"/>
    <w:locked/>
    <w:rsid w:val="00427F7F"/>
    <w:rPr>
      <w:rFonts w:ascii="Courier New" w:hAnsi="Courier New" w:cs="Times New Roman"/>
    </w:rPr>
  </w:style>
  <w:style w:type="character" w:styleId="FollowedHyperlink">
    <w:name w:val="FollowedHyperlink"/>
    <w:basedOn w:val="DefaultParagraphFont"/>
    <w:rsid w:val="005771F2"/>
    <w:rPr>
      <w:rFonts w:cs="Times New Roman"/>
      <w:color w:val="800080"/>
      <w:u w:val="single"/>
    </w:rPr>
  </w:style>
  <w:style w:type="character" w:customStyle="1" w:styleId="BodyTextChar">
    <w:name w:val="Body Text Char"/>
    <w:aliases w:val="Hanging Char,body text Char,bt Char,heading3 Char,NCDOT Body Text Char,1body Char,BodText Char,Body Txt Char,FL IND Char"/>
    <w:basedOn w:val="DefaultParagraphFont"/>
    <w:link w:val="BodyText"/>
    <w:uiPriority w:val="99"/>
    <w:locked/>
    <w:rsid w:val="005771F2"/>
    <w:rPr>
      <w:rFonts w:cs="Times New Roman"/>
      <w:sz w:val="24"/>
    </w:rPr>
  </w:style>
  <w:style w:type="paragraph" w:styleId="NormalWeb">
    <w:name w:val="Normal (Web)"/>
    <w:basedOn w:val="Normal"/>
    <w:uiPriority w:val="99"/>
    <w:rsid w:val="00792387"/>
    <w:pPr>
      <w:spacing w:before="100" w:beforeAutospacing="1" w:after="100" w:afterAutospacing="1"/>
    </w:pPr>
  </w:style>
  <w:style w:type="character" w:customStyle="1" w:styleId="CommentTextChar">
    <w:name w:val="Comment Text Char"/>
    <w:basedOn w:val="DefaultParagraphFont"/>
    <w:link w:val="CommentText"/>
    <w:locked/>
    <w:rsid w:val="0075358D"/>
    <w:rPr>
      <w:rFonts w:cs="Times New Roman"/>
    </w:rPr>
  </w:style>
  <w:style w:type="paragraph" w:styleId="Revision">
    <w:name w:val="Revision"/>
    <w:hidden/>
    <w:uiPriority w:val="99"/>
    <w:semiHidden/>
    <w:rsid w:val="00143E5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484325095">
      <w:bodyDiv w:val="1"/>
      <w:marLeft w:val="0"/>
      <w:marRight w:val="0"/>
      <w:marTop w:val="0"/>
      <w:marBottom w:val="0"/>
      <w:divBdr>
        <w:top w:val="none" w:sz="0" w:space="0" w:color="auto"/>
        <w:left w:val="none" w:sz="0" w:space="0" w:color="auto"/>
        <w:bottom w:val="none" w:sz="0" w:space="0" w:color="auto"/>
        <w:right w:val="none" w:sz="0" w:space="0" w:color="auto"/>
      </w:divBdr>
    </w:div>
    <w:div w:id="485627252">
      <w:bodyDiv w:val="1"/>
      <w:marLeft w:val="0"/>
      <w:marRight w:val="0"/>
      <w:marTop w:val="0"/>
      <w:marBottom w:val="0"/>
      <w:divBdr>
        <w:top w:val="none" w:sz="0" w:space="0" w:color="auto"/>
        <w:left w:val="none" w:sz="0" w:space="0" w:color="auto"/>
        <w:bottom w:val="none" w:sz="0" w:space="0" w:color="auto"/>
        <w:right w:val="none" w:sz="0" w:space="0" w:color="auto"/>
      </w:divBdr>
    </w:div>
    <w:div w:id="870336552">
      <w:bodyDiv w:val="1"/>
      <w:marLeft w:val="0"/>
      <w:marRight w:val="0"/>
      <w:marTop w:val="0"/>
      <w:marBottom w:val="0"/>
      <w:divBdr>
        <w:top w:val="none" w:sz="0" w:space="0" w:color="auto"/>
        <w:left w:val="none" w:sz="0" w:space="0" w:color="auto"/>
        <w:bottom w:val="none" w:sz="0" w:space="0" w:color="auto"/>
        <w:right w:val="none" w:sz="0" w:space="0" w:color="auto"/>
      </w:divBdr>
    </w:div>
    <w:div w:id="1127241380">
      <w:bodyDiv w:val="1"/>
      <w:marLeft w:val="0"/>
      <w:marRight w:val="0"/>
      <w:marTop w:val="0"/>
      <w:marBottom w:val="0"/>
      <w:divBdr>
        <w:top w:val="none" w:sz="0" w:space="0" w:color="auto"/>
        <w:left w:val="none" w:sz="0" w:space="0" w:color="auto"/>
        <w:bottom w:val="none" w:sz="0" w:space="0" w:color="auto"/>
        <w:right w:val="none" w:sz="0" w:space="0" w:color="auto"/>
      </w:divBdr>
    </w:div>
    <w:div w:id="1374306618">
      <w:bodyDiv w:val="1"/>
      <w:marLeft w:val="0"/>
      <w:marRight w:val="0"/>
      <w:marTop w:val="0"/>
      <w:marBottom w:val="0"/>
      <w:divBdr>
        <w:top w:val="none" w:sz="0" w:space="0" w:color="auto"/>
        <w:left w:val="none" w:sz="0" w:space="0" w:color="auto"/>
        <w:bottom w:val="none" w:sz="0" w:space="0" w:color="auto"/>
        <w:right w:val="none" w:sz="0" w:space="0" w:color="auto"/>
      </w:divBdr>
    </w:div>
    <w:div w:id="170139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stice.gov/02organizations/bpp.htm" TargetMode="External"/><Relationship Id="rId13" Type="http://schemas.openxmlformats.org/officeDocument/2006/relationships/oleObject" Target="embeddings/Microsoft_Office_Excel_97-2003_Worksheet2.xls"/><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Office_Excel_97-2003_Worksheet1.xls"/><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55466-D19E-40EC-81F8-F98483FB4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5826</Words>
  <Characters>34389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DRAFT</vt:lpstr>
    </vt:vector>
  </TitlesOfParts>
  <Company>Department of Justice</Company>
  <LinksUpToDate>false</LinksUpToDate>
  <CharactersWithSpaces>40135</CharactersWithSpaces>
  <SharedDoc>false</SharedDoc>
  <HLinks>
    <vt:vector size="6" baseType="variant">
      <vt:variant>
        <vt:i4>8126583</vt:i4>
      </vt:variant>
      <vt:variant>
        <vt:i4>0</vt:i4>
      </vt:variant>
      <vt:variant>
        <vt:i4>0</vt:i4>
      </vt:variant>
      <vt:variant>
        <vt:i4>5</vt:i4>
      </vt:variant>
      <vt:variant>
        <vt:lpwstr>http://www.justice.gov/02organizations/bpp.htm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debjones</dc:creator>
  <cp:lastModifiedBy>swatson</cp:lastModifiedBy>
  <cp:revision>2</cp:revision>
  <cp:lastPrinted>2012-02-08T20:22:00Z</cp:lastPrinted>
  <dcterms:created xsi:type="dcterms:W3CDTF">2012-02-08T22:43:00Z</dcterms:created>
  <dcterms:modified xsi:type="dcterms:W3CDTF">2012-02-08T22:43:00Z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