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2DD" w:rsidRDefault="008C62DD" w:rsidP="008C62DD">
      <w:pPr>
        <w:pStyle w:val="Footer"/>
        <w:tabs>
          <w:tab w:val="clear" w:pos="8640"/>
          <w:tab w:val="left" w:leader="dot" w:pos="4320"/>
        </w:tabs>
        <w:rPr>
          <w:rFonts w:ascii="Arial" w:hAnsi="Arial" w:cs="Arial"/>
          <w:b/>
          <w:sz w:val="32"/>
          <w:u w:val="single"/>
        </w:rPr>
      </w:pPr>
    </w:p>
    <w:p w:rsidR="008C62DD" w:rsidRDefault="008C62DD" w:rsidP="008C62DD">
      <w:pPr>
        <w:pStyle w:val="Footer"/>
        <w:tabs>
          <w:tab w:val="clear" w:pos="8640"/>
          <w:tab w:val="left" w:leader="dot" w:pos="4320"/>
        </w:tabs>
        <w:rPr>
          <w:rFonts w:ascii="Arial" w:hAnsi="Arial" w:cs="Arial"/>
          <w:b/>
          <w:sz w:val="32"/>
          <w:u w:val="single"/>
        </w:rPr>
      </w:pPr>
    </w:p>
    <w:p w:rsidR="008C62DD" w:rsidRDefault="008C62DD" w:rsidP="008C62DD">
      <w:pPr>
        <w:pStyle w:val="Footer"/>
        <w:tabs>
          <w:tab w:val="clear" w:pos="8640"/>
          <w:tab w:val="left" w:leader="dot" w:pos="4320"/>
        </w:tabs>
        <w:rPr>
          <w:rFonts w:ascii="Arial" w:hAnsi="Arial" w:cs="Arial"/>
          <w:b/>
          <w:sz w:val="32"/>
          <w:u w:val="single"/>
        </w:rPr>
      </w:pPr>
    </w:p>
    <w:p w:rsidR="008C62DD" w:rsidRDefault="008C62DD" w:rsidP="008C62DD">
      <w:pPr>
        <w:pStyle w:val="Footer"/>
        <w:tabs>
          <w:tab w:val="clear" w:pos="8640"/>
          <w:tab w:val="left" w:leader="dot" w:pos="4320"/>
        </w:tabs>
        <w:rPr>
          <w:rFonts w:ascii="Arial" w:hAnsi="Arial" w:cs="Arial"/>
          <w:b/>
          <w:sz w:val="32"/>
          <w:u w:val="single"/>
        </w:rPr>
      </w:pPr>
    </w:p>
    <w:p w:rsidR="008C62DD" w:rsidRDefault="008C62DD" w:rsidP="008C62DD">
      <w:pPr>
        <w:pStyle w:val="Footer"/>
        <w:tabs>
          <w:tab w:val="clear" w:pos="8640"/>
          <w:tab w:val="left" w:leader="dot" w:pos="4320"/>
        </w:tabs>
        <w:rPr>
          <w:rFonts w:ascii="Arial" w:hAnsi="Arial" w:cs="Arial"/>
          <w:b/>
          <w:sz w:val="32"/>
          <w:u w:val="single"/>
        </w:rPr>
      </w:pPr>
    </w:p>
    <w:p w:rsidR="008C62DD" w:rsidRDefault="008C62DD" w:rsidP="008C62DD">
      <w:pPr>
        <w:pStyle w:val="Footer"/>
        <w:tabs>
          <w:tab w:val="clear" w:pos="8640"/>
          <w:tab w:val="left" w:leader="dot" w:pos="4320"/>
        </w:tabs>
        <w:rPr>
          <w:rFonts w:ascii="Arial" w:hAnsi="Arial" w:cs="Arial"/>
          <w:b/>
          <w:sz w:val="32"/>
          <w:u w:val="single"/>
        </w:rPr>
      </w:pPr>
    </w:p>
    <w:p w:rsidR="008C62DD" w:rsidRDefault="008C62DD" w:rsidP="008C62DD">
      <w:pPr>
        <w:pStyle w:val="Footer"/>
        <w:tabs>
          <w:tab w:val="clear" w:pos="8640"/>
          <w:tab w:val="left" w:leader="dot" w:pos="4320"/>
        </w:tabs>
        <w:rPr>
          <w:rFonts w:ascii="Arial" w:hAnsi="Arial" w:cs="Arial"/>
          <w:b/>
          <w:sz w:val="32"/>
          <w:u w:val="single"/>
        </w:rPr>
      </w:pPr>
    </w:p>
    <w:p w:rsidR="008C62DD" w:rsidRPr="008220C1" w:rsidRDefault="008C62DD" w:rsidP="008C62DD">
      <w:pPr>
        <w:pStyle w:val="Footer"/>
        <w:tabs>
          <w:tab w:val="clear" w:pos="8640"/>
          <w:tab w:val="left" w:leader="dot" w:pos="4320"/>
        </w:tabs>
        <w:rPr>
          <w:rFonts w:ascii="Arial" w:hAnsi="Arial" w:cs="Arial"/>
          <w:b/>
          <w:sz w:val="32"/>
          <w:u w:val="single"/>
        </w:rPr>
      </w:pPr>
    </w:p>
    <w:p w:rsidR="008C62DD" w:rsidRDefault="008C62DD" w:rsidP="008C62DD">
      <w:pPr>
        <w:pStyle w:val="Footer"/>
        <w:tabs>
          <w:tab w:val="clear" w:pos="8640"/>
          <w:tab w:val="left" w:leader="dot" w:pos="4320"/>
        </w:tabs>
        <w:rPr>
          <w:rFonts w:ascii="Times New Roman" w:hAnsi="Times New Roman"/>
          <w:b/>
          <w:sz w:val="36"/>
        </w:rPr>
      </w:pPr>
      <w:r>
        <w:rPr>
          <w:rFonts w:ascii="Times New Roman" w:hAnsi="Times New Roman"/>
          <w:b/>
          <w:sz w:val="36"/>
        </w:rPr>
        <w:t xml:space="preserve">                 </w:t>
      </w:r>
      <w:r w:rsidR="008240C7">
        <w:rPr>
          <w:rFonts w:ascii="Times New Roman" w:hAnsi="Times New Roman"/>
          <w:b/>
          <w:sz w:val="36"/>
        </w:rPr>
        <w:t xml:space="preserve">             Congressional Submission</w:t>
      </w:r>
    </w:p>
    <w:p w:rsidR="008C62DD" w:rsidRDefault="008C62DD" w:rsidP="008C62DD">
      <w:pPr>
        <w:pStyle w:val="Footer"/>
        <w:tabs>
          <w:tab w:val="clear" w:pos="8640"/>
          <w:tab w:val="left" w:leader="dot" w:pos="4320"/>
        </w:tabs>
        <w:jc w:val="center"/>
        <w:rPr>
          <w:rFonts w:ascii="Times New Roman" w:hAnsi="Times New Roman"/>
          <w:b/>
          <w:sz w:val="36"/>
        </w:rPr>
      </w:pPr>
    </w:p>
    <w:p w:rsidR="008C62DD" w:rsidRDefault="008C62DD" w:rsidP="008C62DD">
      <w:pPr>
        <w:pStyle w:val="Footer"/>
        <w:tabs>
          <w:tab w:val="clear" w:pos="8640"/>
          <w:tab w:val="left" w:leader="dot" w:pos="4320"/>
        </w:tabs>
        <w:jc w:val="center"/>
        <w:rPr>
          <w:rFonts w:ascii="Times New Roman" w:hAnsi="Times New Roman"/>
          <w:b/>
          <w:sz w:val="36"/>
        </w:rPr>
      </w:pPr>
      <w:r>
        <w:rPr>
          <w:rFonts w:ascii="Times New Roman" w:hAnsi="Times New Roman"/>
          <w:b/>
          <w:sz w:val="36"/>
        </w:rPr>
        <w:t>FOREIGN CLAIMS SETTLEMENT COMMISSION</w:t>
      </w:r>
    </w:p>
    <w:p w:rsidR="008C62DD" w:rsidRDefault="008C62DD" w:rsidP="008C62DD">
      <w:pPr>
        <w:pStyle w:val="Footer"/>
        <w:tabs>
          <w:tab w:val="clear" w:pos="8640"/>
          <w:tab w:val="left" w:leader="dot" w:pos="4320"/>
        </w:tabs>
        <w:jc w:val="center"/>
        <w:rPr>
          <w:rFonts w:ascii="Times New Roman" w:hAnsi="Times New Roman"/>
          <w:b/>
          <w:sz w:val="36"/>
        </w:rPr>
      </w:pPr>
    </w:p>
    <w:p w:rsidR="008C62DD" w:rsidRDefault="008C62DD" w:rsidP="008C62DD">
      <w:pPr>
        <w:pStyle w:val="Footer"/>
        <w:tabs>
          <w:tab w:val="clear" w:pos="8640"/>
          <w:tab w:val="left" w:leader="dot" w:pos="4320"/>
        </w:tabs>
        <w:jc w:val="center"/>
        <w:rPr>
          <w:rFonts w:ascii="Times New Roman" w:hAnsi="Times New Roman"/>
          <w:b/>
          <w:sz w:val="36"/>
        </w:rPr>
      </w:pPr>
    </w:p>
    <w:p w:rsidR="008C62DD" w:rsidRDefault="008C62DD" w:rsidP="008C62DD">
      <w:pPr>
        <w:pStyle w:val="Footer"/>
        <w:tabs>
          <w:tab w:val="clear" w:pos="8640"/>
          <w:tab w:val="left" w:leader="dot" w:pos="4320"/>
        </w:tabs>
        <w:jc w:val="center"/>
        <w:rPr>
          <w:rFonts w:ascii="Times New Roman" w:hAnsi="Times New Roman"/>
          <w:b/>
          <w:sz w:val="36"/>
        </w:rPr>
      </w:pPr>
      <w:r>
        <w:rPr>
          <w:rFonts w:ascii="Times New Roman" w:hAnsi="Times New Roman"/>
          <w:b/>
          <w:sz w:val="36"/>
        </w:rPr>
        <w:t>U.S. Department of Justice</w:t>
      </w:r>
    </w:p>
    <w:p w:rsidR="008C62DD" w:rsidRDefault="008C62DD" w:rsidP="008C62DD">
      <w:pPr>
        <w:pStyle w:val="Footer"/>
        <w:tabs>
          <w:tab w:val="clear" w:pos="8640"/>
          <w:tab w:val="left" w:leader="dot" w:pos="4320"/>
        </w:tabs>
        <w:jc w:val="center"/>
        <w:rPr>
          <w:rFonts w:ascii="Times New Roman" w:hAnsi="Times New Roman"/>
          <w:b/>
        </w:rPr>
      </w:pPr>
    </w:p>
    <w:p w:rsidR="008C62DD" w:rsidRDefault="007252C8" w:rsidP="008C62DD">
      <w:pPr>
        <w:pStyle w:val="Footer"/>
        <w:tabs>
          <w:tab w:val="clear" w:pos="8640"/>
          <w:tab w:val="left" w:leader="dot" w:pos="4320"/>
        </w:tabs>
        <w:jc w:val="center"/>
        <w:rPr>
          <w:rFonts w:ascii="Times New Roman" w:hAnsi="Times New Roman" w:cs="Arial"/>
          <w:b/>
          <w:sz w:val="36"/>
        </w:rPr>
      </w:pPr>
      <w:r>
        <w:rPr>
          <w:rFonts w:ascii="Times New Roman" w:hAnsi="Times New Roman" w:cs="Arial"/>
          <w:b/>
          <w:sz w:val="36"/>
        </w:rPr>
        <w:t>FY 2013 PERFORMANCE BUDGET</w:t>
      </w:r>
    </w:p>
    <w:p w:rsidR="008C62DD" w:rsidRDefault="008C62DD" w:rsidP="008C62DD">
      <w:pPr>
        <w:pStyle w:val="xl27"/>
        <w:tabs>
          <w:tab w:val="right" w:pos="8928"/>
        </w:tabs>
        <w:spacing w:before="0" w:after="0"/>
        <w:outlineLvl w:val="0"/>
        <w:rPr>
          <w:rFonts w:ascii="Times New Roman" w:eastAsia="Times New Roman" w:hAnsi="Times New Roman"/>
          <w:szCs w:val="24"/>
        </w:rPr>
      </w:pPr>
    </w:p>
    <w:p w:rsidR="008C62DD" w:rsidRDefault="008C62DD" w:rsidP="008C62DD">
      <w:pPr>
        <w:pStyle w:val="xl27"/>
        <w:tabs>
          <w:tab w:val="right" w:pos="8928"/>
        </w:tabs>
        <w:spacing w:before="0" w:after="0"/>
        <w:outlineLvl w:val="0"/>
        <w:rPr>
          <w:rFonts w:ascii="Times New Roman" w:eastAsia="Times New Roman" w:hAnsi="Times New Roman"/>
          <w:szCs w:val="24"/>
        </w:rPr>
      </w:pPr>
      <w:r>
        <w:rPr>
          <w:rFonts w:ascii="Times New Roman" w:eastAsia="Times New Roman" w:hAnsi="Times New Roman"/>
          <w:szCs w:val="24"/>
        </w:rPr>
        <w:t xml:space="preserve">    </w:t>
      </w:r>
    </w:p>
    <w:p w:rsidR="00A55D7E" w:rsidRDefault="008C62DD">
      <w:pPr>
        <w:rPr>
          <w:b/>
          <w:szCs w:val="20"/>
        </w:rPr>
      </w:pPr>
      <w:r>
        <w:br w:type="page"/>
      </w:r>
    </w:p>
    <w:p w:rsidR="002C664A" w:rsidRDefault="002C664A">
      <w:pPr>
        <w:pStyle w:val="Heading1"/>
        <w:tabs>
          <w:tab w:val="left" w:leader="dot" w:pos="7920"/>
          <w:tab w:val="right" w:pos="8640"/>
        </w:tabs>
        <w:rPr>
          <w:rFonts w:ascii="Times New Roman" w:hAnsi="Times New Roman"/>
        </w:rPr>
      </w:pPr>
    </w:p>
    <w:p w:rsidR="00224A36" w:rsidRDefault="00224A36">
      <w:pPr>
        <w:pStyle w:val="Heading1"/>
        <w:tabs>
          <w:tab w:val="left" w:leader="dot" w:pos="7920"/>
          <w:tab w:val="right" w:pos="8640"/>
        </w:tabs>
        <w:rPr>
          <w:rFonts w:ascii="Times New Roman" w:hAnsi="Times New Roman"/>
        </w:rPr>
      </w:pPr>
      <w:r>
        <w:rPr>
          <w:rFonts w:ascii="Times New Roman" w:hAnsi="Times New Roman"/>
        </w:rPr>
        <w:t>Table of Contents</w:t>
      </w:r>
    </w:p>
    <w:p w:rsidR="00224A36" w:rsidRDefault="00224A36">
      <w:pPr>
        <w:tabs>
          <w:tab w:val="left" w:leader="dot" w:pos="7920"/>
          <w:tab w:val="right" w:pos="8640"/>
        </w:tabs>
        <w:rPr>
          <w:b/>
        </w:rPr>
      </w:pPr>
    </w:p>
    <w:p w:rsidR="004929D4" w:rsidRDefault="005A13AA" w:rsidP="005A13AA">
      <w:pPr>
        <w:pStyle w:val="xl19"/>
        <w:tabs>
          <w:tab w:val="left" w:pos="7560"/>
          <w:tab w:val="right" w:pos="8730"/>
        </w:tabs>
        <w:spacing w:before="0" w:after="0"/>
        <w:outlineLvl w:val="0"/>
        <w:rPr>
          <w:rFonts w:eastAsia="Times New Roman"/>
          <w:bCs/>
        </w:rPr>
      </w:pPr>
      <w:r>
        <w:rPr>
          <w:rFonts w:eastAsia="Times New Roman"/>
          <w:bCs/>
        </w:rPr>
        <w:tab/>
      </w:r>
      <w:r w:rsidR="003B0557">
        <w:rPr>
          <w:rFonts w:eastAsia="Times New Roman"/>
          <w:bCs/>
        </w:rPr>
        <w:t>Page No.</w:t>
      </w:r>
    </w:p>
    <w:p w:rsidR="004929D4" w:rsidRDefault="004929D4" w:rsidP="005A13AA">
      <w:pPr>
        <w:pStyle w:val="xl19"/>
        <w:tabs>
          <w:tab w:val="left" w:pos="7560"/>
          <w:tab w:val="right" w:pos="8730"/>
        </w:tabs>
        <w:spacing w:before="0" w:after="0"/>
        <w:outlineLvl w:val="0"/>
        <w:rPr>
          <w:rFonts w:eastAsia="Times New Roman"/>
          <w:bCs/>
        </w:rPr>
      </w:pPr>
    </w:p>
    <w:p w:rsidR="004929D4" w:rsidRPr="004929D4" w:rsidRDefault="004929D4" w:rsidP="004929D4">
      <w:pPr>
        <w:pStyle w:val="xl19"/>
        <w:tabs>
          <w:tab w:val="left" w:pos="7560"/>
          <w:tab w:val="right" w:pos="8730"/>
        </w:tabs>
        <w:spacing w:before="0" w:after="0"/>
        <w:outlineLvl w:val="0"/>
        <w:rPr>
          <w:rFonts w:eastAsia="Times New Roman"/>
          <w:bCs/>
        </w:rPr>
      </w:pPr>
      <w:r w:rsidRPr="004929D4">
        <w:rPr>
          <w:rFonts w:eastAsia="Times New Roman"/>
          <w:b/>
          <w:bCs/>
        </w:rPr>
        <w:t xml:space="preserve">I.  </w:t>
      </w:r>
      <w:r w:rsidR="00966944">
        <w:rPr>
          <w:rFonts w:eastAsia="Times New Roman"/>
          <w:b/>
          <w:bCs/>
        </w:rPr>
        <w:t xml:space="preserve">  </w:t>
      </w:r>
      <w:r w:rsidRPr="004929D4">
        <w:rPr>
          <w:rFonts w:eastAsia="Times New Roman"/>
          <w:b/>
          <w:bCs/>
        </w:rPr>
        <w:t xml:space="preserve"> Overview …………………………………………………………</w:t>
      </w:r>
      <w:r>
        <w:rPr>
          <w:rFonts w:eastAsia="Times New Roman"/>
          <w:b/>
          <w:bCs/>
        </w:rPr>
        <w:t xml:space="preserve">…………..  </w:t>
      </w:r>
      <w:r w:rsidR="004E1245">
        <w:rPr>
          <w:rFonts w:eastAsia="Times New Roman"/>
          <w:b/>
          <w:bCs/>
        </w:rPr>
        <w:t xml:space="preserve"> </w:t>
      </w:r>
      <w:r>
        <w:rPr>
          <w:rFonts w:eastAsia="Times New Roman"/>
          <w:b/>
          <w:bCs/>
        </w:rPr>
        <w:t xml:space="preserve"> </w:t>
      </w:r>
      <w:r>
        <w:rPr>
          <w:rFonts w:eastAsia="Times New Roman"/>
          <w:bCs/>
        </w:rPr>
        <w:t>1</w:t>
      </w:r>
    </w:p>
    <w:p w:rsidR="004929D4" w:rsidRDefault="004929D4" w:rsidP="004929D4">
      <w:pPr>
        <w:pStyle w:val="xl19"/>
        <w:tabs>
          <w:tab w:val="right" w:pos="8730"/>
        </w:tabs>
        <w:spacing w:before="0" w:after="0"/>
        <w:outlineLvl w:val="0"/>
        <w:rPr>
          <w:rFonts w:eastAsia="Times New Roman"/>
          <w:bCs/>
        </w:rPr>
      </w:pPr>
    </w:p>
    <w:p w:rsidR="00224A36" w:rsidRPr="001F7D1F" w:rsidRDefault="00966944" w:rsidP="005A13AA">
      <w:pPr>
        <w:pStyle w:val="xl19"/>
        <w:tabs>
          <w:tab w:val="right" w:leader="dot" w:pos="8190"/>
          <w:tab w:val="right" w:leader="dot" w:pos="8730"/>
        </w:tabs>
        <w:spacing w:before="0" w:after="0"/>
        <w:outlineLvl w:val="0"/>
        <w:rPr>
          <w:bCs/>
        </w:rPr>
      </w:pPr>
      <w:r>
        <w:rPr>
          <w:b/>
          <w:bCs/>
        </w:rPr>
        <w:t>II.</w:t>
      </w:r>
      <w:r w:rsidR="004B775C">
        <w:rPr>
          <w:b/>
          <w:bCs/>
        </w:rPr>
        <w:t xml:space="preserve">   </w:t>
      </w:r>
      <w:r>
        <w:rPr>
          <w:b/>
          <w:bCs/>
        </w:rPr>
        <w:t xml:space="preserve"> </w:t>
      </w:r>
      <w:r w:rsidR="004B775C">
        <w:rPr>
          <w:b/>
          <w:bCs/>
        </w:rPr>
        <w:t>S</w:t>
      </w:r>
      <w:r w:rsidR="00224A36" w:rsidRPr="00E0065D">
        <w:rPr>
          <w:b/>
          <w:bCs/>
        </w:rPr>
        <w:t>ummary of Program Changes</w:t>
      </w:r>
      <w:r w:rsidR="005A13AA">
        <w:rPr>
          <w:bCs/>
        </w:rPr>
        <w:tab/>
      </w:r>
      <w:r w:rsidR="003B0557" w:rsidRPr="001F7D1F">
        <w:rPr>
          <w:bCs/>
        </w:rPr>
        <w:t>NA</w:t>
      </w:r>
    </w:p>
    <w:p w:rsidR="00AA3992" w:rsidRPr="001F7D1F" w:rsidRDefault="00AA3992" w:rsidP="00EE7701">
      <w:pPr>
        <w:pStyle w:val="xl19"/>
        <w:tabs>
          <w:tab w:val="right" w:leader="dot" w:pos="7920"/>
          <w:tab w:val="right" w:leader="dot" w:pos="8730"/>
        </w:tabs>
        <w:spacing w:before="0" w:after="0"/>
        <w:outlineLvl w:val="0"/>
        <w:rPr>
          <w:bCs/>
        </w:rPr>
      </w:pPr>
    </w:p>
    <w:p w:rsidR="00224A36" w:rsidRDefault="00546185" w:rsidP="009C51CD">
      <w:pPr>
        <w:pStyle w:val="xl19"/>
        <w:tabs>
          <w:tab w:val="left" w:leader="dot" w:pos="7920"/>
          <w:tab w:val="right" w:pos="8640"/>
        </w:tabs>
        <w:spacing w:before="0" w:after="0"/>
        <w:ind w:left="360" w:hanging="360"/>
      </w:pPr>
      <w:r>
        <w:rPr>
          <w:b/>
        </w:rPr>
        <w:t>II</w:t>
      </w:r>
      <w:r w:rsidR="00966944">
        <w:rPr>
          <w:b/>
        </w:rPr>
        <w:t>I</w:t>
      </w:r>
      <w:proofErr w:type="gramStart"/>
      <w:r w:rsidR="00966944">
        <w:rPr>
          <w:b/>
        </w:rPr>
        <w:t xml:space="preserve">. </w:t>
      </w:r>
      <w:r w:rsidR="00993556" w:rsidRPr="00E0065D">
        <w:rPr>
          <w:b/>
        </w:rPr>
        <w:t xml:space="preserve"> Appropriations</w:t>
      </w:r>
      <w:proofErr w:type="gramEnd"/>
      <w:r w:rsidR="00993556" w:rsidRPr="00E0065D">
        <w:rPr>
          <w:b/>
        </w:rPr>
        <w:t xml:space="preserve"> Language and Anal</w:t>
      </w:r>
      <w:r w:rsidR="001E72A1">
        <w:rPr>
          <w:b/>
        </w:rPr>
        <w:t>ysis of Appropriations Language</w:t>
      </w:r>
      <w:r w:rsidR="005A13AA" w:rsidRPr="007241C6">
        <w:tab/>
      </w:r>
      <w:r w:rsidR="00214673">
        <w:t xml:space="preserve">  </w:t>
      </w:r>
      <w:r w:rsidR="004E1245">
        <w:t xml:space="preserve"> 3</w:t>
      </w:r>
    </w:p>
    <w:p w:rsidR="003D6467" w:rsidRPr="00ED2627" w:rsidRDefault="003D6467" w:rsidP="009C51CD">
      <w:pPr>
        <w:pStyle w:val="xl19"/>
        <w:tabs>
          <w:tab w:val="left" w:leader="dot" w:pos="7920"/>
          <w:tab w:val="right" w:pos="8640"/>
        </w:tabs>
        <w:spacing w:before="0" w:after="0"/>
        <w:ind w:left="360" w:hanging="360"/>
        <w:rPr>
          <w:rFonts w:eastAsia="Times New Roman" w:cs="Arial"/>
          <w:b/>
          <w:szCs w:val="24"/>
        </w:rPr>
      </w:pPr>
    </w:p>
    <w:p w:rsidR="00224A36" w:rsidRDefault="00546185">
      <w:pPr>
        <w:pStyle w:val="xl27"/>
        <w:tabs>
          <w:tab w:val="left" w:leader="dot" w:pos="7920"/>
          <w:tab w:val="right" w:pos="8640"/>
        </w:tabs>
        <w:spacing w:before="0" w:after="0"/>
        <w:rPr>
          <w:rFonts w:ascii="Times New Roman" w:eastAsia="Times New Roman" w:hAnsi="Times New Roman" w:cs="Arial"/>
          <w:szCs w:val="24"/>
        </w:rPr>
      </w:pPr>
      <w:r>
        <w:rPr>
          <w:rFonts w:ascii="Times New Roman" w:eastAsia="Times New Roman" w:hAnsi="Times New Roman" w:cs="Arial"/>
          <w:szCs w:val="24"/>
        </w:rPr>
        <w:t>I</w:t>
      </w:r>
      <w:r w:rsidR="002B2357">
        <w:rPr>
          <w:rFonts w:ascii="Times New Roman" w:eastAsia="Times New Roman" w:hAnsi="Times New Roman" w:cs="Arial"/>
          <w:szCs w:val="24"/>
        </w:rPr>
        <w:t>V.</w:t>
      </w:r>
      <w:r w:rsidR="00224A36">
        <w:rPr>
          <w:rFonts w:ascii="Times New Roman" w:eastAsia="Times New Roman" w:hAnsi="Times New Roman" w:cs="Arial"/>
          <w:szCs w:val="24"/>
        </w:rPr>
        <w:t xml:space="preserve"> </w:t>
      </w:r>
      <w:r w:rsidR="002B2357">
        <w:rPr>
          <w:rFonts w:ascii="Times New Roman" w:eastAsia="Times New Roman" w:hAnsi="Times New Roman" w:cs="Arial"/>
          <w:szCs w:val="24"/>
        </w:rPr>
        <w:t xml:space="preserve">  </w:t>
      </w:r>
      <w:r w:rsidR="00224A36">
        <w:rPr>
          <w:rFonts w:ascii="Times New Roman" w:eastAsia="Times New Roman" w:hAnsi="Times New Roman" w:cs="Arial"/>
          <w:szCs w:val="24"/>
        </w:rPr>
        <w:t xml:space="preserve">Decision Unit </w:t>
      </w:r>
      <w:r w:rsidR="00A219EA">
        <w:rPr>
          <w:rFonts w:ascii="Times New Roman" w:eastAsia="Times New Roman" w:hAnsi="Times New Roman" w:cs="Arial"/>
          <w:szCs w:val="24"/>
        </w:rPr>
        <w:t>Performance Information</w:t>
      </w:r>
    </w:p>
    <w:p w:rsidR="00224A36" w:rsidRDefault="00224A36">
      <w:pPr>
        <w:tabs>
          <w:tab w:val="left" w:leader="dot" w:pos="7920"/>
          <w:tab w:val="right" w:pos="8640"/>
        </w:tabs>
        <w:rPr>
          <w:bCs/>
        </w:rPr>
      </w:pPr>
      <w:r>
        <w:rPr>
          <w:bCs/>
        </w:rPr>
        <w:t xml:space="preserve">     </w:t>
      </w:r>
    </w:p>
    <w:p w:rsidR="00224A36" w:rsidRPr="00EF21CC" w:rsidRDefault="005C54BC" w:rsidP="00EF21CC">
      <w:pPr>
        <w:pStyle w:val="ListParagraph"/>
        <w:numPr>
          <w:ilvl w:val="0"/>
          <w:numId w:val="37"/>
        </w:numPr>
        <w:tabs>
          <w:tab w:val="left" w:leader="dot" w:pos="7920"/>
          <w:tab w:val="right" w:pos="8640"/>
        </w:tabs>
        <w:rPr>
          <w:bCs/>
        </w:rPr>
      </w:pPr>
      <w:r w:rsidRPr="00EF21CC">
        <w:rPr>
          <w:bCs/>
        </w:rPr>
        <w:t>Foreign Claims</w:t>
      </w:r>
      <w:r w:rsidR="004E1245">
        <w:t>….…………………………………………………………</w:t>
      </w:r>
      <w:r w:rsidR="004E1245" w:rsidRPr="004E1245">
        <w:tab/>
        <w:t xml:space="preserve"> </w:t>
      </w:r>
      <w:r w:rsidR="004E1245">
        <w:t xml:space="preserve"> </w:t>
      </w:r>
      <w:r w:rsidR="004E1245" w:rsidRPr="004E1245">
        <w:t xml:space="preserve"> 4</w:t>
      </w:r>
    </w:p>
    <w:p w:rsidR="00EF21CC" w:rsidRPr="00727606" w:rsidRDefault="00727606" w:rsidP="00727606">
      <w:pPr>
        <w:tabs>
          <w:tab w:val="left" w:leader="dot" w:pos="7920"/>
          <w:tab w:val="right" w:pos="8640"/>
        </w:tabs>
        <w:ind w:left="286"/>
        <w:rPr>
          <w:bCs/>
        </w:rPr>
      </w:pPr>
      <w:r>
        <w:rPr>
          <w:bCs/>
        </w:rPr>
        <w:t xml:space="preserve">      </w:t>
      </w:r>
      <w:r w:rsidR="00EF21CC" w:rsidRPr="00727606">
        <w:rPr>
          <w:bCs/>
        </w:rPr>
        <w:t>1.  Program Description ……………………………………………………</w:t>
      </w:r>
      <w:r w:rsidR="004E1245">
        <w:rPr>
          <w:bCs/>
        </w:rPr>
        <w:t>..</w:t>
      </w:r>
      <w:r w:rsidR="00EF21CC" w:rsidRPr="00727606">
        <w:rPr>
          <w:bCs/>
        </w:rPr>
        <w:t xml:space="preserve">  </w:t>
      </w:r>
      <w:r w:rsidR="00A72594">
        <w:rPr>
          <w:bCs/>
        </w:rPr>
        <w:t xml:space="preserve"> </w:t>
      </w:r>
      <w:r w:rsidR="004E1245">
        <w:rPr>
          <w:bCs/>
        </w:rPr>
        <w:t>4</w:t>
      </w:r>
    </w:p>
    <w:p w:rsidR="00224A36" w:rsidRDefault="00224A36">
      <w:pPr>
        <w:tabs>
          <w:tab w:val="left" w:leader="dot" w:pos="7920"/>
          <w:tab w:val="right" w:pos="8640"/>
        </w:tabs>
        <w:rPr>
          <w:bCs/>
        </w:rPr>
      </w:pPr>
      <w:r>
        <w:rPr>
          <w:bCs/>
        </w:rPr>
        <w:t xml:space="preserve">  </w:t>
      </w:r>
      <w:r w:rsidR="00611BA5">
        <w:rPr>
          <w:bCs/>
        </w:rPr>
        <w:t xml:space="preserve">         2</w:t>
      </w:r>
      <w:r>
        <w:rPr>
          <w:bCs/>
        </w:rPr>
        <w:t>.  Performance Tables</w:t>
      </w:r>
      <w:r w:rsidR="005A13AA">
        <w:rPr>
          <w:bCs/>
        </w:rPr>
        <w:tab/>
      </w:r>
      <w:r w:rsidR="00EF21CC">
        <w:rPr>
          <w:bCs/>
        </w:rPr>
        <w:t xml:space="preserve">  </w:t>
      </w:r>
      <w:r w:rsidR="00A72594">
        <w:rPr>
          <w:bCs/>
        </w:rPr>
        <w:t xml:space="preserve"> </w:t>
      </w:r>
      <w:r w:rsidR="004E1245">
        <w:rPr>
          <w:bCs/>
        </w:rPr>
        <w:t>6</w:t>
      </w:r>
    </w:p>
    <w:p w:rsidR="00224A36" w:rsidRPr="005C54BC" w:rsidRDefault="00611BA5">
      <w:pPr>
        <w:tabs>
          <w:tab w:val="left" w:leader="dot" w:pos="7920"/>
          <w:tab w:val="right" w:pos="8640"/>
        </w:tabs>
      </w:pPr>
      <w:r>
        <w:rPr>
          <w:bCs/>
        </w:rPr>
        <w:t xml:space="preserve">           3</w:t>
      </w:r>
      <w:r w:rsidR="00224A36">
        <w:rPr>
          <w:bCs/>
        </w:rPr>
        <w:t xml:space="preserve">.  </w:t>
      </w:r>
      <w:r w:rsidR="00224A36">
        <w:t>Performance, Resources, and Strategies</w:t>
      </w:r>
      <w:r w:rsidR="005A13AA">
        <w:tab/>
      </w:r>
      <w:r w:rsidR="00EF21CC">
        <w:t xml:space="preserve"> </w:t>
      </w:r>
      <w:r w:rsidR="00A72594">
        <w:t xml:space="preserve"> </w:t>
      </w:r>
      <w:r w:rsidR="00EF21CC">
        <w:t xml:space="preserve"> </w:t>
      </w:r>
      <w:r w:rsidR="004E1245">
        <w:t>8</w:t>
      </w:r>
    </w:p>
    <w:p w:rsidR="00AE3308" w:rsidRDefault="00AE3308" w:rsidP="00AE3308">
      <w:pPr>
        <w:tabs>
          <w:tab w:val="left" w:leader="dot" w:pos="7920"/>
          <w:tab w:val="right" w:pos="8640"/>
        </w:tabs>
        <w:rPr>
          <w:bCs/>
        </w:rPr>
      </w:pPr>
    </w:p>
    <w:p w:rsidR="00AA3992" w:rsidRPr="001F7D1F" w:rsidRDefault="008A2CA4" w:rsidP="005C54BC">
      <w:pPr>
        <w:pStyle w:val="xl27"/>
        <w:tabs>
          <w:tab w:val="left" w:leader="dot" w:pos="7920"/>
          <w:tab w:val="right" w:pos="8640"/>
        </w:tabs>
        <w:spacing w:before="0" w:after="0"/>
        <w:rPr>
          <w:rFonts w:ascii="Times New Roman" w:eastAsia="Times New Roman" w:hAnsi="Times New Roman" w:cs="Arial"/>
          <w:b w:val="0"/>
          <w:bCs/>
          <w:szCs w:val="24"/>
        </w:rPr>
      </w:pPr>
      <w:r>
        <w:rPr>
          <w:rFonts w:ascii="Times New Roman" w:eastAsia="Times New Roman" w:hAnsi="Times New Roman" w:cs="Arial"/>
          <w:szCs w:val="24"/>
        </w:rPr>
        <w:t xml:space="preserve">V.   </w:t>
      </w:r>
      <w:r w:rsidR="00AA3992">
        <w:rPr>
          <w:rFonts w:ascii="Times New Roman" w:eastAsia="Times New Roman" w:hAnsi="Times New Roman" w:cs="Arial"/>
          <w:szCs w:val="24"/>
        </w:rPr>
        <w:t xml:space="preserve"> Program Increases by Item</w:t>
      </w:r>
      <w:r w:rsidR="003B0557" w:rsidRPr="001F7D1F">
        <w:rPr>
          <w:rFonts w:ascii="Times New Roman" w:eastAsia="Times New Roman" w:hAnsi="Times New Roman" w:cs="Arial"/>
          <w:b w:val="0"/>
          <w:szCs w:val="24"/>
        </w:rPr>
        <w:tab/>
        <w:t>NA</w:t>
      </w:r>
    </w:p>
    <w:p w:rsidR="00AA3992" w:rsidRPr="001F7D1F" w:rsidRDefault="00AA3992" w:rsidP="00AA3992">
      <w:pPr>
        <w:tabs>
          <w:tab w:val="left" w:leader="dot" w:pos="7920"/>
          <w:tab w:val="right" w:pos="8640"/>
        </w:tabs>
        <w:rPr>
          <w:bCs/>
        </w:rPr>
      </w:pPr>
    </w:p>
    <w:p w:rsidR="00AA3992" w:rsidRPr="00ED2627" w:rsidRDefault="00AA3992" w:rsidP="00AA3992">
      <w:pPr>
        <w:tabs>
          <w:tab w:val="left" w:leader="dot" w:pos="7920"/>
          <w:tab w:val="right" w:pos="8640"/>
        </w:tabs>
        <w:rPr>
          <w:bCs/>
        </w:rPr>
      </w:pPr>
      <w:r w:rsidRPr="00CA09EF">
        <w:rPr>
          <w:b/>
          <w:bCs/>
        </w:rPr>
        <w:t>V</w:t>
      </w:r>
      <w:r w:rsidR="008A2CA4">
        <w:rPr>
          <w:b/>
          <w:bCs/>
        </w:rPr>
        <w:t xml:space="preserve">I. </w:t>
      </w:r>
      <w:r>
        <w:rPr>
          <w:b/>
          <w:bCs/>
        </w:rPr>
        <w:t xml:space="preserve"> </w:t>
      </w:r>
      <w:r w:rsidRPr="00CA09EF">
        <w:rPr>
          <w:b/>
          <w:bCs/>
        </w:rPr>
        <w:t>Program Offsets by Item</w:t>
      </w:r>
      <w:r w:rsidR="003B0557" w:rsidRPr="00C9669E">
        <w:rPr>
          <w:bCs/>
        </w:rPr>
        <w:tab/>
      </w:r>
      <w:r w:rsidR="003B0557">
        <w:rPr>
          <w:bCs/>
        </w:rPr>
        <w:t>NA</w:t>
      </w:r>
    </w:p>
    <w:p w:rsidR="001D1825" w:rsidRPr="00ED2627" w:rsidRDefault="001D1825" w:rsidP="00AA3992">
      <w:pPr>
        <w:tabs>
          <w:tab w:val="left" w:leader="dot" w:pos="7920"/>
          <w:tab w:val="right" w:pos="8640"/>
        </w:tabs>
        <w:rPr>
          <w:bCs/>
        </w:rPr>
      </w:pPr>
    </w:p>
    <w:p w:rsidR="00224A36" w:rsidRPr="005A13AA" w:rsidRDefault="00FD1C96">
      <w:pPr>
        <w:pStyle w:val="xl27"/>
        <w:tabs>
          <w:tab w:val="left" w:leader="dot" w:pos="7920"/>
          <w:tab w:val="right" w:pos="8640"/>
        </w:tabs>
        <w:spacing w:before="0" w:after="0"/>
        <w:rPr>
          <w:rFonts w:ascii="Times New Roman" w:eastAsia="Times New Roman" w:hAnsi="Times New Roman"/>
          <w:b w:val="0"/>
          <w:bCs/>
          <w:szCs w:val="24"/>
        </w:rPr>
      </w:pPr>
      <w:r>
        <w:rPr>
          <w:rFonts w:ascii="Times New Roman" w:eastAsia="Times New Roman" w:hAnsi="Times New Roman"/>
          <w:bCs/>
          <w:szCs w:val="24"/>
        </w:rPr>
        <w:t>V</w:t>
      </w:r>
      <w:r w:rsidR="008B73AA">
        <w:rPr>
          <w:rFonts w:ascii="Times New Roman" w:eastAsia="Times New Roman" w:hAnsi="Times New Roman"/>
          <w:bCs/>
          <w:szCs w:val="24"/>
        </w:rPr>
        <w:t>I</w:t>
      </w:r>
      <w:r w:rsidR="008A2CA4">
        <w:rPr>
          <w:rFonts w:ascii="Times New Roman" w:eastAsia="Times New Roman" w:hAnsi="Times New Roman"/>
          <w:bCs/>
          <w:szCs w:val="24"/>
        </w:rPr>
        <w:t>I.</w:t>
      </w:r>
      <w:r w:rsidR="00224A36">
        <w:rPr>
          <w:rFonts w:ascii="Times New Roman" w:eastAsia="Times New Roman" w:hAnsi="Times New Roman"/>
          <w:bCs/>
          <w:szCs w:val="24"/>
        </w:rPr>
        <w:t xml:space="preserve"> Exhibits</w:t>
      </w:r>
      <w:r w:rsidR="00E06ABE" w:rsidRPr="005A13AA">
        <w:rPr>
          <w:rFonts w:ascii="Times New Roman" w:eastAsia="Times New Roman" w:hAnsi="Times New Roman"/>
          <w:b w:val="0"/>
          <w:bCs/>
          <w:szCs w:val="24"/>
        </w:rPr>
        <w:tab/>
      </w:r>
      <w:r w:rsidR="00A72594">
        <w:rPr>
          <w:rFonts w:ascii="Times New Roman" w:eastAsia="Times New Roman" w:hAnsi="Times New Roman"/>
          <w:b w:val="0"/>
          <w:bCs/>
          <w:szCs w:val="24"/>
        </w:rPr>
        <w:t xml:space="preserve">  </w:t>
      </w:r>
      <w:r w:rsidR="004E1245">
        <w:rPr>
          <w:rFonts w:ascii="Times New Roman" w:eastAsia="Times New Roman" w:hAnsi="Times New Roman"/>
          <w:b w:val="0"/>
          <w:bCs/>
          <w:szCs w:val="24"/>
        </w:rPr>
        <w:t xml:space="preserve"> 9</w:t>
      </w:r>
    </w:p>
    <w:p w:rsidR="00224A36" w:rsidRDefault="00224A36">
      <w:pPr>
        <w:tabs>
          <w:tab w:val="left" w:leader="dot" w:pos="7920"/>
          <w:tab w:val="right" w:pos="8640"/>
        </w:tabs>
        <w:outlineLvl w:val="0"/>
        <w:rPr>
          <w:b/>
          <w:bCs/>
        </w:rPr>
      </w:pPr>
    </w:p>
    <w:p w:rsidR="00224A36" w:rsidRDefault="001E72A1" w:rsidP="00993556">
      <w:pPr>
        <w:numPr>
          <w:ilvl w:val="0"/>
          <w:numId w:val="4"/>
        </w:numPr>
        <w:tabs>
          <w:tab w:val="left" w:leader="dot" w:pos="7920"/>
          <w:tab w:val="right" w:pos="8640"/>
        </w:tabs>
        <w:outlineLvl w:val="0"/>
        <w:rPr>
          <w:bCs/>
        </w:rPr>
      </w:pPr>
      <w:r>
        <w:t>Organizational Chart</w:t>
      </w:r>
      <w:r w:rsidR="00C64FAA">
        <w:t>….……………………………………………………</w:t>
      </w:r>
    </w:p>
    <w:p w:rsidR="00224A36" w:rsidRDefault="003E615F">
      <w:pPr>
        <w:pStyle w:val="xl19"/>
        <w:tabs>
          <w:tab w:val="left" w:leader="dot" w:pos="7920"/>
          <w:tab w:val="right" w:pos="8640"/>
        </w:tabs>
        <w:spacing w:before="0" w:after="0"/>
        <w:ind w:left="360"/>
        <w:rPr>
          <w:rFonts w:eastAsia="Times New Roman"/>
          <w:bCs/>
        </w:rPr>
      </w:pPr>
      <w:r>
        <w:rPr>
          <w:rFonts w:eastAsia="Times New Roman"/>
          <w:bCs/>
        </w:rPr>
        <w:t>B.</w:t>
      </w:r>
      <w:r w:rsidR="003D0E7B">
        <w:rPr>
          <w:rFonts w:eastAsia="Times New Roman"/>
          <w:bCs/>
        </w:rPr>
        <w:t xml:space="preserve"> </w:t>
      </w:r>
      <w:r w:rsidR="00224A36">
        <w:rPr>
          <w:rFonts w:eastAsia="Times New Roman"/>
          <w:bCs/>
        </w:rPr>
        <w:t xml:space="preserve"> </w:t>
      </w:r>
      <w:r w:rsidR="00F429DA">
        <w:rPr>
          <w:rFonts w:eastAsia="Times New Roman"/>
          <w:bCs/>
        </w:rPr>
        <w:t>Summary of Requirements</w:t>
      </w:r>
      <w:r w:rsidR="00C64FAA">
        <w:rPr>
          <w:rFonts w:eastAsia="Times New Roman"/>
          <w:bCs/>
        </w:rPr>
        <w:tab/>
      </w:r>
    </w:p>
    <w:p w:rsidR="00224A36" w:rsidRDefault="003E615F">
      <w:pPr>
        <w:tabs>
          <w:tab w:val="left" w:leader="dot" w:pos="7920"/>
          <w:tab w:val="right" w:pos="8640"/>
        </w:tabs>
        <w:ind w:left="360"/>
        <w:rPr>
          <w:bCs/>
        </w:rPr>
      </w:pPr>
      <w:r>
        <w:rPr>
          <w:bCs/>
        </w:rPr>
        <w:t>C</w:t>
      </w:r>
      <w:r w:rsidR="00224A36">
        <w:rPr>
          <w:bCs/>
        </w:rPr>
        <w:t xml:space="preserve">. </w:t>
      </w:r>
      <w:r>
        <w:rPr>
          <w:bCs/>
        </w:rPr>
        <w:t xml:space="preserve"> </w:t>
      </w:r>
      <w:r w:rsidR="00224A36">
        <w:rPr>
          <w:bCs/>
        </w:rPr>
        <w:t>Pro</w:t>
      </w:r>
      <w:r w:rsidR="00F429DA">
        <w:rPr>
          <w:bCs/>
        </w:rPr>
        <w:t>gram Increases by Decision Unit</w:t>
      </w:r>
      <w:r w:rsidR="00C64FAA">
        <w:rPr>
          <w:bCs/>
        </w:rPr>
        <w:tab/>
        <w:t>NA</w:t>
      </w:r>
    </w:p>
    <w:p w:rsidR="00224A36" w:rsidRPr="004B775C" w:rsidRDefault="00224A36" w:rsidP="004B775C">
      <w:pPr>
        <w:numPr>
          <w:ilvl w:val="0"/>
          <w:numId w:val="6"/>
        </w:numPr>
        <w:tabs>
          <w:tab w:val="left" w:leader="dot" w:pos="7920"/>
          <w:tab w:val="right" w:pos="8640"/>
        </w:tabs>
        <w:rPr>
          <w:bCs/>
        </w:rPr>
      </w:pPr>
      <w:r w:rsidRPr="004B775C">
        <w:rPr>
          <w:bCs/>
        </w:rPr>
        <w:t xml:space="preserve">Resources </w:t>
      </w:r>
      <w:r w:rsidR="00F429DA" w:rsidRPr="004B775C">
        <w:rPr>
          <w:bCs/>
        </w:rPr>
        <w:t>by DOJ Strategic Goal/Objectiv</w:t>
      </w:r>
      <w:r w:rsidR="00B70E30" w:rsidRPr="004B775C">
        <w:rPr>
          <w:bCs/>
        </w:rPr>
        <w:t>e</w:t>
      </w:r>
      <w:r w:rsidR="004B775C" w:rsidRPr="004B775C">
        <w:rPr>
          <w:bCs/>
        </w:rPr>
        <w:t xml:space="preserve"> </w:t>
      </w:r>
      <w:r w:rsidR="00A0266B">
        <w:rPr>
          <w:bCs/>
        </w:rPr>
        <w:t>…</w:t>
      </w:r>
      <w:r w:rsidR="00325498">
        <w:rPr>
          <w:bCs/>
        </w:rPr>
        <w:t xml:space="preserve">……………………………       </w:t>
      </w:r>
      <w:r w:rsidR="00A22995">
        <w:rPr>
          <w:bCs/>
        </w:rPr>
        <w:tab/>
      </w:r>
    </w:p>
    <w:p w:rsidR="00224A36" w:rsidRDefault="00224A36">
      <w:pPr>
        <w:numPr>
          <w:ilvl w:val="0"/>
          <w:numId w:val="6"/>
        </w:numPr>
        <w:tabs>
          <w:tab w:val="left" w:leader="dot" w:pos="7920"/>
          <w:tab w:val="right" w:pos="8640"/>
        </w:tabs>
        <w:rPr>
          <w:bCs/>
        </w:rPr>
      </w:pPr>
      <w:r w:rsidRPr="004B775C">
        <w:rPr>
          <w:bCs/>
        </w:rPr>
        <w:t>Justification for Base Adjustments</w:t>
      </w:r>
      <w:r w:rsidR="00813296">
        <w:rPr>
          <w:bCs/>
        </w:rPr>
        <w:tab/>
      </w:r>
    </w:p>
    <w:p w:rsidR="00FD1C96" w:rsidRDefault="002015E7">
      <w:pPr>
        <w:numPr>
          <w:ilvl w:val="0"/>
          <w:numId w:val="6"/>
        </w:numPr>
        <w:tabs>
          <w:tab w:val="left" w:leader="dot" w:pos="7920"/>
          <w:tab w:val="right" w:pos="8640"/>
        </w:tabs>
        <w:rPr>
          <w:bCs/>
        </w:rPr>
      </w:pPr>
      <w:r>
        <w:rPr>
          <w:bCs/>
        </w:rPr>
        <w:t>Crosswalk of 20</w:t>
      </w:r>
      <w:r w:rsidR="008B4DB2">
        <w:rPr>
          <w:bCs/>
        </w:rPr>
        <w:t>11</w:t>
      </w:r>
      <w:r w:rsidR="00224A36">
        <w:rPr>
          <w:bCs/>
        </w:rPr>
        <w:t xml:space="preserve"> Availability</w:t>
      </w:r>
      <w:r w:rsidR="00A22995">
        <w:rPr>
          <w:bCs/>
        </w:rPr>
        <w:tab/>
      </w:r>
    </w:p>
    <w:p w:rsidR="00224A36" w:rsidRPr="00D14978" w:rsidRDefault="002015E7">
      <w:pPr>
        <w:numPr>
          <w:ilvl w:val="0"/>
          <w:numId w:val="6"/>
        </w:numPr>
        <w:tabs>
          <w:tab w:val="left" w:leader="dot" w:pos="7920"/>
          <w:tab w:val="right" w:pos="8640"/>
        </w:tabs>
        <w:rPr>
          <w:bCs/>
          <w:i/>
        </w:rPr>
      </w:pPr>
      <w:r w:rsidRPr="00792186">
        <w:rPr>
          <w:bCs/>
        </w:rPr>
        <w:t>Crosswalk of 20</w:t>
      </w:r>
      <w:r w:rsidR="00A87425" w:rsidRPr="00792186">
        <w:rPr>
          <w:bCs/>
        </w:rPr>
        <w:t>1</w:t>
      </w:r>
      <w:r w:rsidR="008B4DB2">
        <w:rPr>
          <w:bCs/>
        </w:rPr>
        <w:t>2</w:t>
      </w:r>
      <w:r w:rsidR="00FD1C96" w:rsidRPr="00792186">
        <w:rPr>
          <w:bCs/>
        </w:rPr>
        <w:t xml:space="preserve"> Avail</w:t>
      </w:r>
      <w:r w:rsidR="00433BB2" w:rsidRPr="00792186">
        <w:rPr>
          <w:bCs/>
        </w:rPr>
        <w:t>ability</w:t>
      </w:r>
      <w:r w:rsidR="004B775C">
        <w:rPr>
          <w:bCs/>
        </w:rPr>
        <w:t xml:space="preserve"> </w:t>
      </w:r>
      <w:r w:rsidR="00A22995">
        <w:rPr>
          <w:bCs/>
        </w:rPr>
        <w:tab/>
      </w:r>
    </w:p>
    <w:p w:rsidR="00224A36" w:rsidRDefault="00224A36">
      <w:pPr>
        <w:numPr>
          <w:ilvl w:val="0"/>
          <w:numId w:val="6"/>
        </w:numPr>
        <w:tabs>
          <w:tab w:val="left" w:leader="dot" w:pos="7920"/>
          <w:tab w:val="right" w:pos="8640"/>
        </w:tabs>
        <w:rPr>
          <w:bCs/>
        </w:rPr>
      </w:pPr>
      <w:r>
        <w:rPr>
          <w:bCs/>
        </w:rPr>
        <w:t>Su</w:t>
      </w:r>
      <w:r w:rsidR="00F429DA">
        <w:rPr>
          <w:bCs/>
        </w:rPr>
        <w:t>mmary of Reimbursable Resources</w:t>
      </w:r>
      <w:r w:rsidR="00D56F63">
        <w:rPr>
          <w:bCs/>
        </w:rPr>
        <w:t xml:space="preserve"> </w:t>
      </w:r>
      <w:r w:rsidR="00A22995">
        <w:rPr>
          <w:bCs/>
        </w:rPr>
        <w:tab/>
      </w:r>
      <w:r w:rsidR="00D56F63">
        <w:rPr>
          <w:bCs/>
        </w:rPr>
        <w:t>NA</w:t>
      </w:r>
    </w:p>
    <w:p w:rsidR="00224A36" w:rsidRDefault="00224A36">
      <w:pPr>
        <w:numPr>
          <w:ilvl w:val="0"/>
          <w:numId w:val="6"/>
        </w:numPr>
        <w:tabs>
          <w:tab w:val="left" w:leader="dot" w:pos="7920"/>
          <w:tab w:val="right" w:pos="8640"/>
        </w:tabs>
        <w:rPr>
          <w:bCs/>
        </w:rPr>
      </w:pPr>
      <w:r>
        <w:rPr>
          <w:bCs/>
        </w:rPr>
        <w:t xml:space="preserve">Detail of </w:t>
      </w:r>
      <w:r w:rsidR="00F429DA">
        <w:rPr>
          <w:bCs/>
        </w:rPr>
        <w:t>Permanent Positions by Category</w:t>
      </w:r>
      <w:r w:rsidR="00A22995">
        <w:rPr>
          <w:bCs/>
        </w:rPr>
        <w:tab/>
      </w:r>
    </w:p>
    <w:p w:rsidR="00224A36" w:rsidRDefault="007B406F">
      <w:pPr>
        <w:numPr>
          <w:ilvl w:val="0"/>
          <w:numId w:val="6"/>
        </w:numPr>
        <w:tabs>
          <w:tab w:val="left" w:leader="dot" w:pos="7920"/>
          <w:tab w:val="right" w:pos="8640"/>
        </w:tabs>
        <w:rPr>
          <w:bCs/>
        </w:rPr>
      </w:pPr>
      <w:r>
        <w:rPr>
          <w:bCs/>
        </w:rPr>
        <w:t>Financial Analysis of Program Increases/Offsets</w:t>
      </w:r>
      <w:r w:rsidR="00A02E36">
        <w:rPr>
          <w:bCs/>
        </w:rPr>
        <w:tab/>
        <w:t>NA</w:t>
      </w:r>
    </w:p>
    <w:p w:rsidR="00224A36" w:rsidRDefault="00B50CCC">
      <w:pPr>
        <w:numPr>
          <w:ilvl w:val="0"/>
          <w:numId w:val="6"/>
        </w:numPr>
        <w:tabs>
          <w:tab w:val="left" w:leader="dot" w:pos="7920"/>
          <w:tab w:val="right" w:pos="8640"/>
        </w:tabs>
        <w:rPr>
          <w:bCs/>
        </w:rPr>
      </w:pPr>
      <w:r>
        <w:rPr>
          <w:bCs/>
        </w:rPr>
        <w:t>Summary of Requirements by Grade</w:t>
      </w:r>
      <w:r w:rsidR="00A22995">
        <w:rPr>
          <w:bCs/>
        </w:rPr>
        <w:tab/>
      </w:r>
    </w:p>
    <w:p w:rsidR="00224A36" w:rsidRDefault="00B50CCC">
      <w:pPr>
        <w:numPr>
          <w:ilvl w:val="0"/>
          <w:numId w:val="6"/>
        </w:numPr>
        <w:tabs>
          <w:tab w:val="left" w:leader="dot" w:pos="7920"/>
          <w:tab w:val="right" w:pos="8640"/>
        </w:tabs>
        <w:rPr>
          <w:bCs/>
        </w:rPr>
      </w:pPr>
      <w:r>
        <w:rPr>
          <w:bCs/>
        </w:rPr>
        <w:t>Summary of Requirements by Object Class</w:t>
      </w:r>
      <w:r w:rsidR="00A22995">
        <w:rPr>
          <w:bCs/>
        </w:rPr>
        <w:tab/>
      </w:r>
    </w:p>
    <w:p w:rsidR="00BC7C5A" w:rsidRDefault="00B50CCC" w:rsidP="007F6312">
      <w:pPr>
        <w:numPr>
          <w:ilvl w:val="0"/>
          <w:numId w:val="6"/>
        </w:numPr>
        <w:tabs>
          <w:tab w:val="left" w:leader="dot" w:pos="7920"/>
          <w:tab w:val="right" w:pos="8640"/>
        </w:tabs>
        <w:rPr>
          <w:bCs/>
        </w:rPr>
      </w:pPr>
      <w:r w:rsidRPr="004B775C">
        <w:rPr>
          <w:bCs/>
        </w:rPr>
        <w:t xml:space="preserve">Status of Congressionally Requested Studies, Reports, </w:t>
      </w:r>
    </w:p>
    <w:p w:rsidR="004B775C" w:rsidRDefault="00B50CCC" w:rsidP="00BC7C5A">
      <w:pPr>
        <w:tabs>
          <w:tab w:val="left" w:leader="dot" w:pos="7920"/>
          <w:tab w:val="right" w:pos="8640"/>
        </w:tabs>
        <w:ind w:left="720"/>
        <w:rPr>
          <w:bCs/>
        </w:rPr>
      </w:pPr>
      <w:r w:rsidRPr="004B775C">
        <w:rPr>
          <w:bCs/>
        </w:rPr>
        <w:t>and Evaluations</w:t>
      </w:r>
      <w:r w:rsidR="00BA740D">
        <w:rPr>
          <w:bCs/>
        </w:rPr>
        <w:t xml:space="preserve"> </w:t>
      </w:r>
      <w:r w:rsidR="00BC7C5A">
        <w:rPr>
          <w:bCs/>
        </w:rPr>
        <w:tab/>
      </w:r>
      <w:r w:rsidR="00725180">
        <w:rPr>
          <w:bCs/>
        </w:rPr>
        <w:t>NA</w:t>
      </w:r>
    </w:p>
    <w:p w:rsidR="00A542D4" w:rsidRDefault="00A542D4" w:rsidP="007F6312">
      <w:pPr>
        <w:numPr>
          <w:ilvl w:val="0"/>
          <w:numId w:val="6"/>
        </w:numPr>
        <w:tabs>
          <w:tab w:val="left" w:leader="dot" w:pos="7920"/>
          <w:tab w:val="right" w:pos="8640"/>
        </w:tabs>
        <w:rPr>
          <w:bCs/>
        </w:rPr>
      </w:pPr>
      <w:r>
        <w:rPr>
          <w:bCs/>
        </w:rPr>
        <w:t>Information on Overseas Staffing</w:t>
      </w:r>
      <w:r w:rsidR="00A22995">
        <w:rPr>
          <w:bCs/>
        </w:rPr>
        <w:tab/>
        <w:t>NA</w:t>
      </w:r>
    </w:p>
    <w:p w:rsidR="002C5589" w:rsidRDefault="002C5589" w:rsidP="002C5589">
      <w:pPr>
        <w:tabs>
          <w:tab w:val="left" w:leader="dot" w:pos="7920"/>
          <w:tab w:val="right" w:pos="8640"/>
        </w:tabs>
        <w:ind w:left="360"/>
        <w:rPr>
          <w:bCs/>
        </w:rPr>
      </w:pPr>
    </w:p>
    <w:p w:rsidR="00A55D7E" w:rsidRDefault="00064C0C">
      <w:pPr>
        <w:rPr>
          <w:rFonts w:cs="Arial"/>
          <w:b/>
          <w:bCs/>
          <w:sz w:val="28"/>
          <w:szCs w:val="28"/>
        </w:rPr>
      </w:pPr>
      <w:bookmarkStart w:id="0" w:name="OLE_LINK5"/>
      <w:bookmarkStart w:id="1" w:name="OLE_LINK6"/>
      <w:r>
        <w:rPr>
          <w:rFonts w:cs="Arial"/>
          <w:b/>
          <w:bCs/>
          <w:sz w:val="28"/>
          <w:szCs w:val="28"/>
        </w:rPr>
        <w:br w:type="page"/>
      </w:r>
    </w:p>
    <w:p w:rsidR="00DC2DB7" w:rsidRDefault="00DC2DB7">
      <w:pPr>
        <w:rPr>
          <w:rFonts w:cs="Arial"/>
          <w:b/>
          <w:bCs/>
          <w:sz w:val="28"/>
          <w:szCs w:val="28"/>
        </w:rPr>
        <w:sectPr w:rsidR="00DC2DB7" w:rsidSect="006A64F6">
          <w:footerReference w:type="default" r:id="rId8"/>
          <w:type w:val="continuous"/>
          <w:pgSz w:w="12240" w:h="15840" w:code="1"/>
          <w:pgMar w:top="1152" w:right="1440" w:bottom="1152" w:left="1440" w:header="432" w:footer="432" w:gutter="0"/>
          <w:pgNumType w:start="1"/>
          <w:cols w:space="720"/>
          <w:docGrid w:linePitch="326"/>
        </w:sectPr>
      </w:pPr>
    </w:p>
    <w:p w:rsidR="00511AFB" w:rsidRDefault="00511AFB" w:rsidP="00511AFB">
      <w:pPr>
        <w:pStyle w:val="BodyText"/>
        <w:rPr>
          <w:b/>
          <w:bCs/>
        </w:rPr>
      </w:pPr>
      <w:r>
        <w:rPr>
          <w:b/>
          <w:bCs/>
        </w:rPr>
        <w:lastRenderedPageBreak/>
        <w:t>I.  Overview for the Foreign Claims Settlement Commission</w:t>
      </w:r>
    </w:p>
    <w:p w:rsidR="00511AFB" w:rsidRDefault="00511AFB" w:rsidP="00511AFB">
      <w:pPr>
        <w:pStyle w:val="BodyText"/>
      </w:pPr>
    </w:p>
    <w:p w:rsidR="00511AFB" w:rsidRPr="00882581" w:rsidRDefault="00511AFB" w:rsidP="00511AFB">
      <w:pPr>
        <w:pStyle w:val="BodyText"/>
        <w:rPr>
          <w:b/>
        </w:rPr>
      </w:pPr>
      <w:r>
        <w:rPr>
          <w:b/>
        </w:rPr>
        <w:t>1.  Introduction</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sidRPr="00A471D1">
        <w:rPr>
          <w:rFonts w:ascii="Times New Roman" w:hAnsi="Times New Roman"/>
          <w:color w:val="000000"/>
          <w:sz w:val="24"/>
          <w:szCs w:val="21"/>
        </w:rPr>
        <w:t xml:space="preserve">The </w:t>
      </w:r>
      <w:r w:rsidR="00D96ACE">
        <w:rPr>
          <w:rFonts w:ascii="Times New Roman" w:hAnsi="Times New Roman"/>
          <w:color w:val="000000"/>
          <w:sz w:val="24"/>
          <w:szCs w:val="21"/>
        </w:rPr>
        <w:t xml:space="preserve">Foreign Claims Settlement Commission (FCSC) </w:t>
      </w:r>
      <w:r w:rsidRPr="00A471D1">
        <w:rPr>
          <w:rFonts w:ascii="Times New Roman" w:hAnsi="Times New Roman"/>
          <w:color w:val="000000"/>
          <w:sz w:val="24"/>
          <w:szCs w:val="21"/>
        </w:rPr>
        <w:t>is a small, independent quasi-judicial agency within the Department of Justice that has a high profile and important mission</w:t>
      </w:r>
      <w:r w:rsidR="003A290E">
        <w:rPr>
          <w:rFonts w:ascii="Times New Roman" w:hAnsi="Times New Roman"/>
          <w:color w:val="000000"/>
          <w:sz w:val="24"/>
          <w:szCs w:val="21"/>
        </w:rPr>
        <w:t xml:space="preserve"> in FY 2013: di</w:t>
      </w:r>
      <w:r w:rsidRPr="00A471D1">
        <w:rPr>
          <w:rFonts w:ascii="Times New Roman" w:hAnsi="Times New Roman"/>
          <w:color w:val="000000"/>
          <w:sz w:val="24"/>
          <w:szCs w:val="21"/>
        </w:rPr>
        <w:t xml:space="preserve">stribute to U.S. victims of international terrorism monies paid to the United States by foreign governments.  Currently, the FCSC is in the midst of a historically large program to award compensation to U.S. victims of Libyan terrorism in which the Congress has taken an unprecedented interest. </w:t>
      </w:r>
      <w:r w:rsidR="00D96ACE">
        <w:rPr>
          <w:rFonts w:ascii="Times New Roman" w:hAnsi="Times New Roman"/>
          <w:color w:val="000000"/>
          <w:sz w:val="24"/>
          <w:szCs w:val="21"/>
        </w:rPr>
        <w:t xml:space="preserve">Additionally, it </w:t>
      </w:r>
      <w:r w:rsidRPr="00A471D1">
        <w:rPr>
          <w:rFonts w:ascii="Times New Roman" w:hAnsi="Times New Roman"/>
          <w:color w:val="000000"/>
          <w:sz w:val="24"/>
          <w:szCs w:val="21"/>
        </w:rPr>
        <w:t>anticipate</w:t>
      </w:r>
      <w:r>
        <w:rPr>
          <w:rFonts w:ascii="Times New Roman" w:hAnsi="Times New Roman"/>
          <w:color w:val="000000"/>
          <w:sz w:val="24"/>
          <w:szCs w:val="21"/>
        </w:rPr>
        <w:t>s</w:t>
      </w:r>
      <w:r w:rsidRPr="00A471D1">
        <w:rPr>
          <w:rFonts w:ascii="Times New Roman" w:hAnsi="Times New Roman"/>
          <w:color w:val="000000"/>
          <w:sz w:val="24"/>
          <w:szCs w:val="21"/>
        </w:rPr>
        <w:t xml:space="preserve"> another program to distribute compensation to U.S. victims of Iraqi actions during the Saddam Hussein era (Iraq has already paid to the United States approximately $400 million to satisfy these claims).  The work of adjudicating claims and awarding compensation is necessarily labor-intensive, requiring legal and factual research on the part of Commission staff, and adjudicatory work by the members of the Commission.  </w:t>
      </w:r>
      <w:r w:rsidR="00E8360B">
        <w:rPr>
          <w:rFonts w:ascii="Times New Roman" w:hAnsi="Times New Roman"/>
          <w:color w:val="000000"/>
          <w:sz w:val="24"/>
          <w:szCs w:val="21"/>
        </w:rPr>
        <w:t>T</w:t>
      </w:r>
      <w:r>
        <w:rPr>
          <w:rFonts w:ascii="Times New Roman" w:hAnsi="Times New Roman"/>
          <w:color w:val="000000"/>
          <w:sz w:val="24"/>
          <w:szCs w:val="21"/>
        </w:rPr>
        <w:t xml:space="preserve">he vast majority of its budget </w:t>
      </w:r>
      <w:r w:rsidRPr="00A471D1">
        <w:rPr>
          <w:rFonts w:ascii="Times New Roman" w:hAnsi="Times New Roman"/>
          <w:color w:val="000000"/>
          <w:sz w:val="24"/>
          <w:szCs w:val="21"/>
        </w:rPr>
        <w:t xml:space="preserve">is necessary for personnel costs (notwithstanding the fact that the FCSC’s budget request does not include a request for additional positions); the </w:t>
      </w:r>
      <w:r>
        <w:rPr>
          <w:rFonts w:ascii="Times New Roman" w:hAnsi="Times New Roman"/>
          <w:color w:val="000000"/>
          <w:sz w:val="24"/>
          <w:szCs w:val="21"/>
        </w:rPr>
        <w:t xml:space="preserve">bulk of the remainder </w:t>
      </w:r>
      <w:r w:rsidRPr="00A471D1">
        <w:rPr>
          <w:rFonts w:ascii="Times New Roman" w:hAnsi="Times New Roman"/>
          <w:color w:val="000000"/>
          <w:sz w:val="24"/>
          <w:szCs w:val="21"/>
        </w:rPr>
        <w:t xml:space="preserve">is for fixed costs including rent and guard service.  </w:t>
      </w:r>
      <w:r w:rsidR="00340FAB">
        <w:rPr>
          <w:rFonts w:ascii="Times New Roman" w:hAnsi="Times New Roman"/>
          <w:color w:val="000000"/>
          <w:sz w:val="24"/>
          <w:szCs w:val="21"/>
        </w:rPr>
        <w:t xml:space="preserve">  Electronic copies of the Department of Justice’s Congressional Budget Justifications and Capital Asset Plan and Business Case exhibits can be viewed or downloaded from the Internet using this Internet address:  </w:t>
      </w:r>
      <w:hyperlink r:id="rId9" w:history="1">
        <w:r w:rsidR="00340FAB" w:rsidRPr="00D300F7">
          <w:rPr>
            <w:rStyle w:val="Hyperlink"/>
            <w:szCs w:val="21"/>
          </w:rPr>
          <w:t>http://www.usdoj.gov/jmd/2013justification/</w:t>
        </w:r>
      </w:hyperlink>
      <w:r w:rsidR="00340FAB">
        <w:rPr>
          <w:rFonts w:ascii="Times New Roman" w:hAnsi="Times New Roman"/>
          <w:color w:val="000000"/>
          <w:sz w:val="24"/>
          <w:szCs w:val="21"/>
        </w:rPr>
        <w:t>.</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Pr="00A471D1"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Pr>
          <w:rFonts w:ascii="Times New Roman" w:hAnsi="Times New Roman"/>
          <w:color w:val="000000"/>
          <w:sz w:val="24"/>
          <w:szCs w:val="21"/>
        </w:rPr>
        <w:t xml:space="preserve">The operating expenses of the Commission ultimately are borne only partially, if at all, by the taxpayer.  In virtually all instances, the legislation authorizing the adjudication of claims has provided for deduction of 5% of the funds obtained from foreign governments for payment of the Commission's awards.  This amount is deposited to the credit of miscellaneous receipts in the United States Treasury to defray administrative expenses.  For example, the Commission understands that approximately $20 million has been </w:t>
      </w:r>
      <w:r w:rsidR="009B1199">
        <w:rPr>
          <w:rFonts w:ascii="Times New Roman" w:hAnsi="Times New Roman"/>
          <w:color w:val="000000"/>
          <w:sz w:val="24"/>
          <w:szCs w:val="21"/>
        </w:rPr>
        <w:t>deposited</w:t>
      </w:r>
      <w:r>
        <w:rPr>
          <w:rFonts w:ascii="Times New Roman" w:hAnsi="Times New Roman"/>
          <w:color w:val="000000"/>
          <w:sz w:val="24"/>
          <w:szCs w:val="21"/>
        </w:rPr>
        <w:t xml:space="preserve"> into the Treasury from the funds under the Libya Claims Program alone. </w:t>
      </w:r>
      <w:r w:rsidRPr="00A471D1">
        <w:rPr>
          <w:rFonts w:ascii="Times New Roman" w:hAnsi="Times New Roman"/>
          <w:color w:val="000000"/>
          <w:sz w:val="24"/>
          <w:szCs w:val="21"/>
        </w:rPr>
        <w:t xml:space="preserve">  </w:t>
      </w:r>
    </w:p>
    <w:p w:rsidR="00511AFB" w:rsidRPr="00A471D1"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sidRPr="00A471D1">
        <w:rPr>
          <w:rFonts w:ascii="Times New Roman" w:hAnsi="Times New Roman"/>
          <w:color w:val="000000"/>
          <w:sz w:val="24"/>
          <w:szCs w:val="21"/>
        </w:rPr>
        <w:t xml:space="preserve">The Commission is prepared to provide any further information about the background of the Commission, its existing programs, Congressional interest in </w:t>
      </w:r>
      <w:r w:rsidR="0004767B">
        <w:rPr>
          <w:rFonts w:ascii="Times New Roman" w:hAnsi="Times New Roman"/>
          <w:color w:val="000000"/>
          <w:sz w:val="24"/>
          <w:szCs w:val="21"/>
        </w:rPr>
        <w:t xml:space="preserve">these programs, and the basis </w:t>
      </w:r>
      <w:r w:rsidRPr="00A471D1">
        <w:rPr>
          <w:rFonts w:ascii="Times New Roman" w:hAnsi="Times New Roman"/>
          <w:color w:val="000000"/>
          <w:sz w:val="24"/>
          <w:szCs w:val="21"/>
        </w:rPr>
        <w:t>to support this</w:t>
      </w:r>
      <w:r w:rsidR="00F44157">
        <w:rPr>
          <w:rFonts w:ascii="Times New Roman" w:hAnsi="Times New Roman"/>
          <w:color w:val="000000"/>
          <w:sz w:val="24"/>
          <w:szCs w:val="21"/>
        </w:rPr>
        <w:t xml:space="preserve"> budget</w:t>
      </w:r>
      <w:r w:rsidRPr="00A471D1">
        <w:rPr>
          <w:rFonts w:ascii="Times New Roman" w:hAnsi="Times New Roman"/>
          <w:color w:val="000000"/>
          <w:sz w:val="24"/>
          <w:szCs w:val="21"/>
        </w:rPr>
        <w:t xml:space="preserve"> </w:t>
      </w:r>
      <w:r>
        <w:rPr>
          <w:rFonts w:ascii="Times New Roman" w:hAnsi="Times New Roman"/>
          <w:color w:val="000000"/>
          <w:sz w:val="24"/>
          <w:szCs w:val="21"/>
        </w:rPr>
        <w:t>request</w:t>
      </w:r>
      <w:r w:rsidRPr="00A471D1">
        <w:rPr>
          <w:rFonts w:ascii="Times New Roman" w:hAnsi="Times New Roman"/>
          <w:color w:val="000000"/>
          <w:sz w:val="24"/>
          <w:szCs w:val="21"/>
        </w:rPr>
        <w:t xml:space="preserve">.  </w:t>
      </w:r>
      <w:r>
        <w:rPr>
          <w:rFonts w:ascii="Times New Roman" w:hAnsi="Times New Roman"/>
          <w:color w:val="000000"/>
          <w:sz w:val="24"/>
          <w:szCs w:val="21"/>
        </w:rPr>
        <w:t xml:space="preserve"> </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Pr>
          <w:rFonts w:ascii="Times New Roman" w:hAnsi="Times New Roman"/>
          <w:color w:val="000000"/>
          <w:sz w:val="24"/>
          <w:szCs w:val="21"/>
        </w:rPr>
        <w:t xml:space="preserve">To date, the Commission has administered and completed 45 international and war-related claims programs involving claims against 18 countries:  Yugoslavia, Panama, Bulgaria, Hungary, Romania, Italy, the former Soviet Union, the former Czechoslovakia, Poland, Cuba, China, the former German Democratic Republic, Vietnam, Ethiopia, Egypt, Iran, Albania, and the Federal Republic of Germany.  </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Pr>
          <w:rFonts w:ascii="Times New Roman" w:hAnsi="Times New Roman"/>
          <w:color w:val="000000"/>
          <w:sz w:val="24"/>
          <w:szCs w:val="21"/>
        </w:rPr>
        <w:t>The Commission consists of a Chairman and two part</w:t>
      </w:r>
      <w:r>
        <w:rPr>
          <w:rFonts w:ascii="Times New Roman" w:hAnsi="Times New Roman"/>
          <w:color w:val="000000"/>
          <w:sz w:val="24"/>
          <w:szCs w:val="21"/>
        </w:rPr>
        <w:noBreakHyphen/>
        <w:t>time Commissioners, who are appointed by the President with the advice and consent of the Senate, as well as legal and non-legal secretariat staff.  The Chairman and the part</w:t>
      </w:r>
      <w:r>
        <w:rPr>
          <w:rFonts w:ascii="Times New Roman" w:hAnsi="Times New Roman"/>
          <w:color w:val="000000"/>
          <w:sz w:val="24"/>
          <w:szCs w:val="21"/>
        </w:rPr>
        <w:noBreakHyphen/>
        <w:t>time Commissioners receive compensation at the Executive Level V rate of pay for performance of official business of the Commission.</w:t>
      </w:r>
    </w:p>
    <w:p w:rsidR="00161B65" w:rsidRDefault="00161B65"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xl27"/>
        <w:spacing w:before="0" w:after="0"/>
        <w:rPr>
          <w:rFonts w:ascii="Times New Roman" w:hAnsi="Times New Roman"/>
          <w:color w:val="000000"/>
        </w:rPr>
      </w:pPr>
      <w:r>
        <w:rPr>
          <w:rFonts w:ascii="Times New Roman" w:hAnsi="Times New Roman"/>
          <w:color w:val="000000"/>
        </w:rPr>
        <w:t>2.  Issues, Outcomes, and Strategies</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195CBC"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Pr>
          <w:rFonts w:ascii="Times New Roman" w:hAnsi="Times New Roman"/>
          <w:color w:val="000000"/>
          <w:sz w:val="24"/>
          <w:szCs w:val="21"/>
        </w:rPr>
        <w:t>In 2013</w:t>
      </w:r>
      <w:r w:rsidR="00511AFB">
        <w:rPr>
          <w:rFonts w:ascii="Times New Roman" w:hAnsi="Times New Roman"/>
          <w:color w:val="000000"/>
          <w:sz w:val="24"/>
          <w:szCs w:val="21"/>
        </w:rPr>
        <w:t xml:space="preserve">, the Commission will continue to administer the Libya Claims Program that resulted from the President’s Executive Order 13477 dated October 31, 2008, implementing the U.S.-Libya Claims Settlement Agreement of August 14, 2008, as well as the Libyan Claims </w:t>
      </w:r>
      <w:r w:rsidR="00511AFB">
        <w:rPr>
          <w:rFonts w:ascii="Times New Roman" w:hAnsi="Times New Roman"/>
          <w:color w:val="000000"/>
          <w:sz w:val="24"/>
          <w:szCs w:val="21"/>
        </w:rPr>
        <w:lastRenderedPageBreak/>
        <w:t xml:space="preserve">Resolution Act (LCRA), passed by Congress and signed into law on August 4, 2008.  Pursuant to this Agreement and the LCRA, the government of </w:t>
      </w:r>
      <w:smartTag w:uri="urn:schemas-microsoft-com:office:smarttags" w:element="country-region">
        <w:r w:rsidR="00511AFB">
          <w:rPr>
            <w:rFonts w:ascii="Times New Roman" w:hAnsi="Times New Roman"/>
            <w:color w:val="000000"/>
            <w:sz w:val="24"/>
            <w:szCs w:val="21"/>
          </w:rPr>
          <w:t>Libya</w:t>
        </w:r>
      </w:smartTag>
      <w:r w:rsidR="00511AFB">
        <w:rPr>
          <w:rFonts w:ascii="Times New Roman" w:hAnsi="Times New Roman"/>
          <w:color w:val="000000"/>
          <w:sz w:val="24"/>
          <w:szCs w:val="21"/>
        </w:rPr>
        <w:t xml:space="preserve"> paid $1.5 billion to the </w:t>
      </w:r>
      <w:smartTag w:uri="urn:schemas-microsoft-com:office:smarttags" w:element="country-region">
        <w:r w:rsidR="00511AFB">
          <w:rPr>
            <w:rFonts w:ascii="Times New Roman" w:hAnsi="Times New Roman"/>
            <w:color w:val="000000"/>
            <w:sz w:val="24"/>
            <w:szCs w:val="21"/>
          </w:rPr>
          <w:t>United States</w:t>
        </w:r>
      </w:smartTag>
      <w:r w:rsidR="00511AFB">
        <w:rPr>
          <w:rFonts w:ascii="Times New Roman" w:hAnsi="Times New Roman"/>
          <w:color w:val="000000"/>
          <w:sz w:val="24"/>
          <w:szCs w:val="21"/>
        </w:rPr>
        <w:t xml:space="preserve"> in order to provide immediate and fair compensation to </w:t>
      </w:r>
      <w:smartTag w:uri="urn:schemas-microsoft-com:office:smarttags" w:element="country-region">
        <w:r w:rsidR="00511AFB">
          <w:rPr>
            <w:rFonts w:ascii="Times New Roman" w:hAnsi="Times New Roman"/>
            <w:color w:val="000000"/>
            <w:sz w:val="24"/>
            <w:szCs w:val="21"/>
          </w:rPr>
          <w:t>U.S.</w:t>
        </w:r>
      </w:smartTag>
      <w:r w:rsidR="00511AFB">
        <w:rPr>
          <w:rFonts w:ascii="Times New Roman" w:hAnsi="Times New Roman"/>
          <w:color w:val="000000"/>
          <w:sz w:val="24"/>
          <w:szCs w:val="21"/>
        </w:rPr>
        <w:t xml:space="preserve"> nationals with terrorism-related claims against </w:t>
      </w:r>
      <w:smartTag w:uri="urn:schemas-microsoft-com:office:smarttags" w:element="country-region">
        <w:smartTag w:uri="urn:schemas-microsoft-com:office:smarttags" w:element="place">
          <w:r w:rsidR="00511AFB">
            <w:rPr>
              <w:rFonts w:ascii="Times New Roman" w:hAnsi="Times New Roman"/>
              <w:color w:val="000000"/>
              <w:sz w:val="24"/>
              <w:szCs w:val="21"/>
            </w:rPr>
            <w:t>Libya</w:t>
          </w:r>
        </w:smartTag>
      </w:smartTag>
      <w:r w:rsidR="00511AFB">
        <w:rPr>
          <w:rFonts w:ascii="Times New Roman" w:hAnsi="Times New Roman"/>
          <w:color w:val="000000"/>
          <w:sz w:val="24"/>
          <w:szCs w:val="21"/>
        </w:rPr>
        <w:t>.  This program was referred to the Commission by the Department of State Legal Adviser’s referral letters of December 11, 2008 and January 15, 2009 pursuant to 22 U.S.C. 1623 (a)(1)(c).</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Pr>
          <w:rFonts w:ascii="Times New Roman" w:hAnsi="Times New Roman"/>
          <w:color w:val="000000"/>
          <w:sz w:val="24"/>
          <w:szCs w:val="21"/>
        </w:rPr>
        <w:t xml:space="preserve">The Commission will also continue to have authority under the International Claims Settlement Act of 1949, as amended, and the 1995 United States-Albanian claims settlement agreement, to make awards in any additional claims against Albania that are filed.   In addition, when appropriate, the Commission will continue to reopen and reconsider claims it had previously denied, taking into account the modification of the Albanian claims settlement agreement effected in 2006.  </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Pr>
          <w:rFonts w:ascii="Times New Roman" w:hAnsi="Times New Roman"/>
          <w:color w:val="000000"/>
          <w:sz w:val="24"/>
          <w:szCs w:val="21"/>
        </w:rPr>
        <w:t>Additionally, the Commission will research and respond to requests for information concerning properties expropriated by the Castro regime in Cuba, in support of the Department of State’s continuing implementation of Title IV of the Cuban Liberty and Democratic Solidarity (LIBERTAD) Act of 1996 (the "Helms</w:t>
      </w:r>
      <w:r>
        <w:rPr>
          <w:rFonts w:ascii="Times New Roman" w:hAnsi="Times New Roman"/>
          <w:color w:val="000000"/>
          <w:sz w:val="24"/>
          <w:szCs w:val="21"/>
        </w:rPr>
        <w:noBreakHyphen/>
        <w:t xml:space="preserve">Burton Act").  The Commission continues to maintain and update a computerized database of some 13,000 records containing specific information on all of the claims adjudicated in its Cuban Claims Program.  This database enables the Commission to respond more quickly and accurately to requests for information from the State Department and the general public.  </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Pr>
          <w:rFonts w:ascii="Times New Roman" w:hAnsi="Times New Roman"/>
          <w:color w:val="000000"/>
          <w:sz w:val="24"/>
          <w:szCs w:val="21"/>
        </w:rPr>
        <w:t>The Commission expects to be fully engaged in FY 2013 in a program involving claims of U.S. nationals against Iraq.  The Commission will</w:t>
      </w:r>
      <w:r w:rsidR="008A2076">
        <w:rPr>
          <w:rFonts w:ascii="Times New Roman" w:hAnsi="Times New Roman"/>
          <w:color w:val="000000"/>
          <w:sz w:val="24"/>
          <w:szCs w:val="21"/>
        </w:rPr>
        <w:t xml:space="preserve"> also</w:t>
      </w:r>
      <w:r>
        <w:rPr>
          <w:rFonts w:ascii="Times New Roman" w:hAnsi="Times New Roman"/>
          <w:color w:val="000000"/>
          <w:sz w:val="24"/>
          <w:szCs w:val="21"/>
        </w:rPr>
        <w:t xml:space="preserve"> provide, upon request, technical assistance to the Department of State </w:t>
      </w:r>
      <w:r w:rsidR="00AF5F68">
        <w:rPr>
          <w:rFonts w:ascii="Times New Roman" w:hAnsi="Times New Roman"/>
          <w:color w:val="000000"/>
          <w:sz w:val="24"/>
          <w:szCs w:val="21"/>
        </w:rPr>
        <w:t xml:space="preserve">in conducting any government to </w:t>
      </w:r>
      <w:r>
        <w:rPr>
          <w:rFonts w:ascii="Times New Roman" w:hAnsi="Times New Roman"/>
          <w:color w:val="000000"/>
          <w:sz w:val="24"/>
          <w:szCs w:val="21"/>
        </w:rPr>
        <w:t xml:space="preserve">government claims settlement negotiations.  </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r>
        <w:rPr>
          <w:rFonts w:ascii="Times New Roman" w:hAnsi="Times New Roman"/>
          <w:color w:val="000000"/>
          <w:sz w:val="24"/>
          <w:szCs w:val="21"/>
        </w:rPr>
        <w:t xml:space="preserve">Under the War Claims Act of 1948, as amended, the Commission will continue to have authority to award compensation to any previously uncompensated American servicemen held as prisoners of war in Southeast Asia during the </w:t>
      </w:r>
      <w:smartTag w:uri="urn:schemas-microsoft-com:office:smarttags" w:element="country-region">
        <w:smartTag w:uri="urn:schemas-microsoft-com:office:smarttags" w:element="place">
          <w:r>
            <w:rPr>
              <w:rFonts w:ascii="Times New Roman" w:hAnsi="Times New Roman"/>
              <w:color w:val="000000"/>
              <w:sz w:val="24"/>
              <w:szCs w:val="21"/>
            </w:rPr>
            <w:t>Vietnam</w:t>
          </w:r>
        </w:smartTag>
      </w:smartTag>
      <w:r>
        <w:rPr>
          <w:rFonts w:ascii="Times New Roman" w:hAnsi="Times New Roman"/>
          <w:color w:val="000000"/>
          <w:sz w:val="24"/>
          <w:szCs w:val="21"/>
        </w:rPr>
        <w:t xml:space="preserve"> conflict, or their survivors, for inadequate rations and inhumane treatment while in captivity.</w:t>
      </w:r>
    </w:p>
    <w:p w:rsidR="00511AFB" w:rsidRDefault="00511AFB" w:rsidP="00511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1"/>
        </w:rPr>
      </w:pPr>
    </w:p>
    <w:p w:rsidR="0099189E" w:rsidRDefault="00511AFB" w:rsidP="00511AFB">
      <w:pPr>
        <w:pStyle w:val="xl27"/>
        <w:spacing w:before="0" w:after="0"/>
        <w:rPr>
          <w:rFonts w:ascii="Times New Roman" w:hAnsi="Times New Roman"/>
          <w:b w:val="0"/>
          <w:bCs/>
          <w:color w:val="000000"/>
          <w:szCs w:val="21"/>
        </w:rPr>
      </w:pPr>
      <w:r>
        <w:rPr>
          <w:rFonts w:ascii="Times New Roman" w:hAnsi="Times New Roman"/>
          <w:b w:val="0"/>
          <w:bCs/>
          <w:color w:val="000000"/>
          <w:szCs w:val="21"/>
        </w:rPr>
        <w:t xml:space="preserve">In addition, the Commission will continue to furnish information contained in its records pertaining to the 45 </w:t>
      </w:r>
      <w:r w:rsidR="00AF5F68">
        <w:rPr>
          <w:rFonts w:ascii="Times New Roman" w:hAnsi="Times New Roman"/>
          <w:b w:val="0"/>
          <w:bCs/>
          <w:color w:val="000000"/>
          <w:szCs w:val="21"/>
        </w:rPr>
        <w:t xml:space="preserve">completed international and war </w:t>
      </w:r>
      <w:r>
        <w:rPr>
          <w:rFonts w:ascii="Times New Roman" w:hAnsi="Times New Roman"/>
          <w:b w:val="0"/>
          <w:bCs/>
          <w:color w:val="000000"/>
          <w:szCs w:val="21"/>
        </w:rPr>
        <w:t>related claims programs it has conducted, as requested by claimants, their heirs, attorneys, researchers, and other members of the public.  It will also provide to other U.S. agencies technical advice on their policy determinations, participate in preliminary planning and evaluation of pending claims legislation, and coordinate with Congressional committees considering legislation for adjudication of additional types of claims.</w:t>
      </w:r>
    </w:p>
    <w:p w:rsidR="00511AFB" w:rsidRDefault="00511AFB" w:rsidP="00511AFB">
      <w:pPr>
        <w:pStyle w:val="xl27"/>
        <w:spacing w:before="0" w:after="0"/>
        <w:rPr>
          <w:b w:val="0"/>
          <w:bCs/>
          <w:i/>
          <w:iCs/>
          <w:color w:val="000000"/>
        </w:rPr>
      </w:pPr>
    </w:p>
    <w:p w:rsidR="00511AFB" w:rsidRDefault="00511AFB" w:rsidP="00511AFB">
      <w:pPr>
        <w:pStyle w:val="xl27"/>
        <w:spacing w:before="0" w:after="0"/>
        <w:rPr>
          <w:rFonts w:ascii="Times New Roman" w:hAnsi="Times New Roman"/>
          <w:color w:val="000000"/>
        </w:rPr>
      </w:pPr>
      <w:r>
        <w:rPr>
          <w:rFonts w:ascii="Times New Roman" w:hAnsi="Times New Roman"/>
          <w:color w:val="000000"/>
        </w:rPr>
        <w:t>3.   Challenges</w:t>
      </w:r>
    </w:p>
    <w:p w:rsidR="00511AFB" w:rsidRDefault="00511AFB" w:rsidP="00511AFB">
      <w:pPr>
        <w:pStyle w:val="xl27"/>
        <w:rPr>
          <w:rFonts w:ascii="Times New Roman" w:hAnsi="Times New Roman"/>
          <w:b w:val="0"/>
          <w:bCs/>
          <w:color w:val="000000"/>
        </w:rPr>
      </w:pPr>
      <w:r>
        <w:rPr>
          <w:rFonts w:ascii="Times New Roman" w:hAnsi="Times New Roman"/>
          <w:b w:val="0"/>
          <w:bCs/>
          <w:color w:val="000000"/>
        </w:rPr>
        <w:t>External Challenges</w:t>
      </w:r>
    </w:p>
    <w:p w:rsidR="00511AFB" w:rsidRDefault="00511AFB" w:rsidP="00511AFB">
      <w:pPr>
        <w:rPr>
          <w:bCs/>
          <w:color w:val="000000"/>
        </w:rPr>
      </w:pPr>
      <w:r>
        <w:rPr>
          <w:bCs/>
          <w:color w:val="000000"/>
        </w:rPr>
        <w:t>The Commission’s external challenges include the necessity of being continuously</w:t>
      </w:r>
      <w:r w:rsidR="0063524B">
        <w:rPr>
          <w:bCs/>
          <w:color w:val="000000"/>
        </w:rPr>
        <w:t xml:space="preserve"> prepared for a workload</w:t>
      </w:r>
      <w:r>
        <w:rPr>
          <w:bCs/>
          <w:color w:val="000000"/>
        </w:rPr>
        <w:t xml:space="preserve"> dictated almost exclusively by current and future claims programs enacted by Congress or referred to the Commission by the Department of State and by the number of claims filed.  This may require expansion of its staffing to meet the requirements of new programs.  Its external challenges also include the need to notify and assist U.S. nationals in a timely fashion in </w:t>
      </w:r>
      <w:r>
        <w:rPr>
          <w:bCs/>
          <w:color w:val="000000"/>
        </w:rPr>
        <w:lastRenderedPageBreak/>
        <w:t>filing and documenting their claims, to familiarize them with the claims process, and to respond efficiently to all inquiries by the public, Congress, and other federal agencies about current and past programs.</w:t>
      </w:r>
    </w:p>
    <w:p w:rsidR="00511AFB" w:rsidRDefault="00511AFB" w:rsidP="00511AFB">
      <w:pPr>
        <w:pStyle w:val="BodyText"/>
        <w:rPr>
          <w:rFonts w:ascii="Arial" w:hAnsi="Arial"/>
          <w:b/>
          <w:color w:val="000000"/>
        </w:rPr>
      </w:pPr>
    </w:p>
    <w:p w:rsidR="00511AFB" w:rsidRDefault="00511AFB" w:rsidP="00511AFB">
      <w:pPr>
        <w:pStyle w:val="xl27"/>
        <w:rPr>
          <w:rFonts w:ascii="Times New Roman" w:hAnsi="Times New Roman"/>
          <w:b w:val="0"/>
          <w:bCs/>
          <w:color w:val="000000"/>
        </w:rPr>
      </w:pPr>
      <w:r>
        <w:rPr>
          <w:rFonts w:ascii="Times New Roman" w:hAnsi="Times New Roman"/>
          <w:b w:val="0"/>
          <w:bCs/>
          <w:color w:val="000000"/>
        </w:rPr>
        <w:t>Internal Challenges</w:t>
      </w:r>
    </w:p>
    <w:p w:rsidR="00511AFB" w:rsidRDefault="00511AFB" w:rsidP="00511AFB">
      <w:pPr>
        <w:pStyle w:val="BodyText"/>
        <w:rPr>
          <w:color w:val="000000"/>
        </w:rPr>
      </w:pPr>
      <w:r>
        <w:rPr>
          <w:color w:val="000000"/>
        </w:rPr>
        <w:t>The internal challenges the Commission faces include maintaining and focusing the skills, expertise, and experience of its</w:t>
      </w:r>
      <w:bookmarkStart w:id="2" w:name="_GoBack"/>
      <w:bookmarkEnd w:id="2"/>
      <w:r>
        <w:rPr>
          <w:color w:val="000000"/>
        </w:rPr>
        <w:t xml:space="preserve"> staff to assist U.S. nationals with claims against foreign governments as well as to provide technical assistance in this area to the Department of State and other federal agencies upon request, while at the same time continuing its claims records modernization effort by improving and updating the information in its databases and on its website.  The Commission intends also to concentrate efforts on increasing its transparency, by increasing the availability of its decisions and records to the public, particularly through electronic media. </w:t>
      </w:r>
    </w:p>
    <w:p w:rsidR="00511AFB" w:rsidRDefault="00511AFB" w:rsidP="00511AFB">
      <w:pPr>
        <w:pStyle w:val="BodyText"/>
        <w:ind w:firstLine="720"/>
        <w:rPr>
          <w:color w:val="000000"/>
        </w:rPr>
      </w:pPr>
    </w:p>
    <w:p w:rsidR="00511AFB" w:rsidRPr="0051256B" w:rsidRDefault="00511AFB" w:rsidP="00511AFB">
      <w:pPr>
        <w:pStyle w:val="BodyText"/>
        <w:rPr>
          <w:b/>
          <w:color w:val="000000"/>
        </w:rPr>
      </w:pPr>
      <w:r>
        <w:rPr>
          <w:b/>
          <w:color w:val="000000"/>
        </w:rPr>
        <w:t>4.  Performance Challenges</w:t>
      </w:r>
    </w:p>
    <w:p w:rsidR="00511AFB" w:rsidRDefault="00511AFB" w:rsidP="00511AFB">
      <w:pPr>
        <w:pStyle w:val="xl27"/>
        <w:rPr>
          <w:rFonts w:ascii="Times New Roman" w:hAnsi="Times New Roman"/>
          <w:b w:val="0"/>
          <w:bCs/>
          <w:color w:val="000000"/>
        </w:rPr>
      </w:pPr>
      <w:r>
        <w:rPr>
          <w:rFonts w:ascii="Times New Roman" w:hAnsi="Times New Roman"/>
          <w:b w:val="0"/>
          <w:bCs/>
          <w:color w:val="000000"/>
        </w:rPr>
        <w:t xml:space="preserve">The Commission is an independent agency.  Its budget is fully integrated with its own priorities and corresponds to the Department’s Strategic Goal </w:t>
      </w:r>
      <w:r w:rsidR="00F44157">
        <w:rPr>
          <w:rFonts w:ascii="Times New Roman" w:hAnsi="Times New Roman"/>
          <w:b w:val="0"/>
          <w:bCs/>
          <w:color w:val="000000"/>
        </w:rPr>
        <w:t>2:  Prevent Crime, Protect the Rights of the American People, and Enforce Federal Law.</w:t>
      </w:r>
      <w:r>
        <w:rPr>
          <w:rFonts w:ascii="Times New Roman" w:hAnsi="Times New Roman"/>
          <w:b w:val="0"/>
          <w:bCs/>
          <w:color w:val="000000"/>
        </w:rPr>
        <w:t xml:space="preserve">                       </w:t>
      </w:r>
    </w:p>
    <w:p w:rsidR="00396FB8" w:rsidRDefault="00396FB8" w:rsidP="00396FB8">
      <w:pPr>
        <w:rPr>
          <w:rFonts w:cs="Arial"/>
          <w:b/>
          <w:bCs/>
          <w:sz w:val="28"/>
          <w:szCs w:val="28"/>
        </w:rPr>
      </w:pPr>
    </w:p>
    <w:p w:rsidR="00BD7466" w:rsidRDefault="00356ECB" w:rsidP="00396FB8">
      <w:pPr>
        <w:rPr>
          <w:rFonts w:cs="Arial"/>
          <w:b/>
          <w:bCs/>
          <w:sz w:val="28"/>
          <w:szCs w:val="28"/>
        </w:rPr>
      </w:pPr>
      <w:r>
        <w:rPr>
          <w:rFonts w:cs="Arial"/>
          <w:b/>
          <w:bCs/>
          <w:sz w:val="28"/>
          <w:szCs w:val="28"/>
        </w:rPr>
        <w:t>I</w:t>
      </w:r>
      <w:r w:rsidR="00064C0C">
        <w:rPr>
          <w:rFonts w:cs="Arial"/>
          <w:b/>
          <w:bCs/>
          <w:sz w:val="28"/>
          <w:szCs w:val="28"/>
        </w:rPr>
        <w:t>I</w:t>
      </w:r>
      <w:r w:rsidR="00BB1B98">
        <w:rPr>
          <w:rFonts w:cs="Arial"/>
          <w:b/>
          <w:bCs/>
          <w:sz w:val="28"/>
          <w:szCs w:val="28"/>
        </w:rPr>
        <w:t xml:space="preserve">I. </w:t>
      </w:r>
      <w:r w:rsidR="00B1486E">
        <w:rPr>
          <w:rFonts w:cs="Arial"/>
          <w:b/>
          <w:bCs/>
          <w:sz w:val="28"/>
          <w:szCs w:val="28"/>
        </w:rPr>
        <w:t xml:space="preserve"> </w:t>
      </w:r>
      <w:r w:rsidR="00BD7466" w:rsidRPr="00E43151">
        <w:rPr>
          <w:rFonts w:cs="Arial"/>
          <w:b/>
          <w:bCs/>
          <w:sz w:val="28"/>
          <w:szCs w:val="28"/>
        </w:rPr>
        <w:t>Appropriation</w:t>
      </w:r>
      <w:r w:rsidR="00FF5D2F" w:rsidRPr="00E43151">
        <w:rPr>
          <w:rFonts w:cs="Arial"/>
          <w:b/>
          <w:bCs/>
          <w:sz w:val="28"/>
          <w:szCs w:val="28"/>
        </w:rPr>
        <w:t>s</w:t>
      </w:r>
      <w:r w:rsidR="00BD7466" w:rsidRPr="00E43151">
        <w:rPr>
          <w:rFonts w:cs="Arial"/>
          <w:b/>
          <w:bCs/>
          <w:sz w:val="28"/>
          <w:szCs w:val="28"/>
        </w:rPr>
        <w:t xml:space="preserve"> Language and Analysis of Appropriation</w:t>
      </w:r>
      <w:r w:rsidR="00FF5D2F" w:rsidRPr="00E43151">
        <w:rPr>
          <w:rFonts w:cs="Arial"/>
          <w:b/>
          <w:bCs/>
          <w:sz w:val="28"/>
          <w:szCs w:val="28"/>
        </w:rPr>
        <w:t>s</w:t>
      </w:r>
      <w:r w:rsidR="00BD7466" w:rsidRPr="00E43151">
        <w:rPr>
          <w:rFonts w:cs="Arial"/>
          <w:b/>
          <w:bCs/>
          <w:sz w:val="28"/>
          <w:szCs w:val="28"/>
        </w:rPr>
        <w:t xml:space="preserve"> Language</w:t>
      </w:r>
    </w:p>
    <w:p w:rsidR="00A06230" w:rsidRDefault="00A06230" w:rsidP="00BD7466">
      <w:pPr>
        <w:pStyle w:val="BodyText"/>
        <w:rPr>
          <w:rFonts w:cs="Arial"/>
          <w:b/>
          <w:bCs/>
          <w:sz w:val="28"/>
          <w:szCs w:val="28"/>
        </w:rPr>
      </w:pPr>
    </w:p>
    <w:p w:rsidR="00A06230" w:rsidRPr="00874AAE" w:rsidRDefault="00A06230" w:rsidP="00BD7466">
      <w:pPr>
        <w:pStyle w:val="BodyText"/>
        <w:rPr>
          <w:rFonts w:cs="Arial"/>
          <w:b/>
          <w:bCs/>
          <w:u w:val="single"/>
        </w:rPr>
      </w:pPr>
      <w:r w:rsidRPr="00874AAE">
        <w:rPr>
          <w:rFonts w:cs="Arial"/>
          <w:b/>
          <w:bCs/>
          <w:u w:val="single"/>
        </w:rPr>
        <w:t>Appropriations Language</w:t>
      </w:r>
    </w:p>
    <w:p w:rsidR="00EA0A76" w:rsidRDefault="00EA0A76" w:rsidP="00BD7466">
      <w:pPr>
        <w:pStyle w:val="BodyText"/>
        <w:rPr>
          <w:rFonts w:cs="Arial"/>
          <w:b/>
          <w:bCs/>
        </w:rPr>
      </w:pPr>
    </w:p>
    <w:p w:rsidR="00EA0A76" w:rsidRPr="00EA0A76" w:rsidRDefault="00EA0A76" w:rsidP="00BD7466">
      <w:pPr>
        <w:pStyle w:val="BodyText"/>
        <w:rPr>
          <w:rFonts w:cs="Arial"/>
          <w:bCs/>
        </w:rPr>
      </w:pPr>
      <w:r>
        <w:rPr>
          <w:rFonts w:cs="Arial"/>
          <w:bCs/>
        </w:rPr>
        <w:t>The 2013 budget estimates include proposed changes in the appropriation language listed below.  New language is italicized and underlined, and language proposed for deletion is bracketed.</w:t>
      </w:r>
    </w:p>
    <w:bookmarkEnd w:id="0"/>
    <w:bookmarkEnd w:id="1"/>
    <w:p w:rsidR="004B775C" w:rsidRDefault="004B775C" w:rsidP="004B775C">
      <w:pPr>
        <w:pStyle w:val="BodyText"/>
        <w:rPr>
          <w:rFonts w:cs="Arial"/>
          <w:b/>
          <w:bCs/>
        </w:rPr>
      </w:pPr>
    </w:p>
    <w:p w:rsidR="004B775C" w:rsidRPr="00390FD9" w:rsidRDefault="00EA0A76" w:rsidP="004B775C">
      <w:pPr>
        <w:pStyle w:val="BodyText"/>
        <w:rPr>
          <w:rFonts w:cs="Arial"/>
          <w:bCs/>
        </w:rPr>
      </w:pPr>
      <w:r w:rsidRPr="00390FD9">
        <w:rPr>
          <w:rFonts w:cs="Arial"/>
          <w:bCs/>
        </w:rPr>
        <w:t>SALARIES AND EXPENSES, FOREIGN CLAIMS SETTLEMENT COMMISSION</w:t>
      </w:r>
    </w:p>
    <w:p w:rsidR="00EA0A76" w:rsidRDefault="00EA0A76" w:rsidP="004B775C">
      <w:pPr>
        <w:pStyle w:val="BodyText"/>
        <w:rPr>
          <w:rFonts w:cs="Arial"/>
          <w:bCs/>
          <w:i/>
        </w:rPr>
      </w:pPr>
    </w:p>
    <w:p w:rsidR="00EA0A76" w:rsidRPr="00340FAB" w:rsidRDefault="00EA0A76" w:rsidP="004B775C">
      <w:pPr>
        <w:pStyle w:val="BodyText"/>
        <w:rPr>
          <w:rFonts w:cs="Arial"/>
          <w:bCs/>
        </w:rPr>
      </w:pPr>
      <w:r w:rsidRPr="00340FAB">
        <w:rPr>
          <w:rFonts w:cs="Arial"/>
          <w:bCs/>
        </w:rPr>
        <w:t>For expenses necessary to carry out the activities of the Foreign Claims Settlement Commission,</w:t>
      </w:r>
    </w:p>
    <w:p w:rsidR="00EA0A76" w:rsidRPr="00874AAE" w:rsidRDefault="00EA0A76" w:rsidP="004B775C">
      <w:pPr>
        <w:pStyle w:val="BodyText"/>
        <w:rPr>
          <w:rFonts w:cs="Arial"/>
          <w:bCs/>
          <w:i/>
          <w:u w:val="single"/>
        </w:rPr>
      </w:pPr>
      <w:r w:rsidRPr="00340FAB">
        <w:rPr>
          <w:rFonts w:cs="Arial"/>
          <w:bCs/>
        </w:rPr>
        <w:t>including services as authorized by section 3109</w:t>
      </w:r>
      <w:r w:rsidR="00E8410B" w:rsidRPr="00340FAB">
        <w:rPr>
          <w:rFonts w:cs="Arial"/>
          <w:bCs/>
        </w:rPr>
        <w:t xml:space="preserve"> of tit</w:t>
      </w:r>
      <w:r w:rsidR="005D4B63" w:rsidRPr="00340FAB">
        <w:rPr>
          <w:rFonts w:cs="Arial"/>
          <w:bCs/>
        </w:rPr>
        <w:t>le 5, United States Code, [$2,000</w:t>
      </w:r>
      <w:r w:rsidR="00E8410B" w:rsidRPr="00340FAB">
        <w:rPr>
          <w:rFonts w:cs="Arial"/>
          <w:bCs/>
        </w:rPr>
        <w:t>,000]</w:t>
      </w:r>
      <w:r w:rsidR="00331BEA">
        <w:rPr>
          <w:rFonts w:cs="Arial"/>
          <w:bCs/>
          <w:i/>
          <w:u w:val="single"/>
        </w:rPr>
        <w:t xml:space="preserve"> $2,139</w:t>
      </w:r>
      <w:r w:rsidRPr="00874AAE">
        <w:rPr>
          <w:rFonts w:cs="Arial"/>
          <w:bCs/>
          <w:i/>
          <w:u w:val="single"/>
        </w:rPr>
        <w:t>,000</w:t>
      </w:r>
      <w:r w:rsidRPr="00340FAB">
        <w:rPr>
          <w:rFonts w:cs="Arial"/>
          <w:bCs/>
          <w:i/>
        </w:rPr>
        <w:t>.</w:t>
      </w:r>
    </w:p>
    <w:p w:rsidR="004B775C" w:rsidRDefault="004B775C" w:rsidP="004B775C">
      <w:pPr>
        <w:pStyle w:val="BodyText"/>
        <w:rPr>
          <w:rFonts w:cs="Arial"/>
          <w:bCs/>
          <w:i/>
        </w:rPr>
      </w:pPr>
    </w:p>
    <w:p w:rsidR="004B775C" w:rsidRDefault="004B775C" w:rsidP="004B775C">
      <w:pPr>
        <w:pStyle w:val="BodyText"/>
        <w:rPr>
          <w:rFonts w:cs="Arial"/>
          <w:b/>
          <w:bCs/>
        </w:rPr>
      </w:pPr>
      <w:r>
        <w:rPr>
          <w:rFonts w:cs="Arial"/>
          <w:bCs/>
          <w:i/>
        </w:rPr>
        <w:t xml:space="preserve"> </w:t>
      </w:r>
      <w:r>
        <w:rPr>
          <w:rFonts w:cs="Arial"/>
          <w:b/>
          <w:bCs/>
        </w:rPr>
        <w:t>Analysis of Appropriations Language</w:t>
      </w:r>
    </w:p>
    <w:p w:rsidR="004B775C" w:rsidRDefault="004B775C" w:rsidP="004B775C">
      <w:pPr>
        <w:pStyle w:val="BodyText"/>
        <w:rPr>
          <w:rFonts w:cs="Arial"/>
          <w:b/>
          <w:bCs/>
        </w:rPr>
      </w:pPr>
    </w:p>
    <w:p w:rsidR="00161547" w:rsidRDefault="00874AAE" w:rsidP="004B775C">
      <w:pPr>
        <w:pStyle w:val="BodyText"/>
        <w:rPr>
          <w:rFonts w:cs="Arial"/>
          <w:bCs/>
          <w:i/>
        </w:rPr>
      </w:pPr>
      <w:r>
        <w:rPr>
          <w:rFonts w:cs="Arial"/>
          <w:bCs/>
          <w:i/>
        </w:rPr>
        <w:t>No substantive changes are proposed.</w:t>
      </w:r>
    </w:p>
    <w:p w:rsidR="00161547" w:rsidRDefault="00161547" w:rsidP="004B775C">
      <w:pPr>
        <w:pStyle w:val="BodyText"/>
        <w:rPr>
          <w:rFonts w:cs="Arial"/>
          <w:bCs/>
          <w:i/>
        </w:rPr>
      </w:pPr>
    </w:p>
    <w:p w:rsidR="00BE101E" w:rsidRDefault="00BE101E">
      <w:pPr>
        <w:rPr>
          <w:rFonts w:cs="Arial"/>
          <w:bCs/>
          <w:i/>
          <w:szCs w:val="20"/>
        </w:rPr>
      </w:pPr>
      <w:r>
        <w:rPr>
          <w:rFonts w:cs="Arial"/>
          <w:bCs/>
          <w:i/>
        </w:rPr>
        <w:br w:type="page"/>
      </w:r>
    </w:p>
    <w:p w:rsidR="00BE101E" w:rsidRPr="00E43151" w:rsidRDefault="00BE101E" w:rsidP="00BE101E">
      <w:pPr>
        <w:pStyle w:val="BodyText"/>
        <w:rPr>
          <w:rFonts w:cs="Arial"/>
          <w:b/>
          <w:bCs/>
          <w:sz w:val="28"/>
          <w:szCs w:val="28"/>
        </w:rPr>
      </w:pPr>
      <w:r>
        <w:rPr>
          <w:rFonts w:cs="Arial"/>
          <w:b/>
          <w:bCs/>
        </w:rPr>
        <w:lastRenderedPageBreak/>
        <w:t>IV</w:t>
      </w:r>
      <w:r w:rsidRPr="00E43151">
        <w:rPr>
          <w:rFonts w:cs="Arial"/>
          <w:b/>
          <w:bCs/>
          <w:sz w:val="28"/>
          <w:szCs w:val="28"/>
        </w:rPr>
        <w:t>. Decision Unit Justification</w:t>
      </w:r>
    </w:p>
    <w:p w:rsidR="00BE101E" w:rsidRDefault="00BE101E" w:rsidP="00BE101E">
      <w:pPr>
        <w:pStyle w:val="BodyText"/>
        <w:rPr>
          <w:rFonts w:cs="Arial"/>
          <w:b/>
          <w:bCs/>
        </w:rPr>
      </w:pPr>
    </w:p>
    <w:p w:rsidR="00BE101E" w:rsidRDefault="00BE101E" w:rsidP="00BE101E">
      <w:pPr>
        <w:pStyle w:val="BodyText"/>
        <w:rPr>
          <w:rFonts w:cs="Arial"/>
          <w:b/>
          <w:bCs/>
        </w:rPr>
      </w:pPr>
      <w:r>
        <w:rPr>
          <w:rFonts w:cs="Arial"/>
          <w:b/>
          <w:bCs/>
        </w:rPr>
        <w:t xml:space="preserve">A. </w:t>
      </w:r>
      <w:r w:rsidR="00A54895">
        <w:rPr>
          <w:rFonts w:cs="Arial"/>
          <w:b/>
          <w:bCs/>
          <w:i/>
          <w:iCs/>
        </w:rPr>
        <w:t>Foreign Claims</w:t>
      </w:r>
      <w:r>
        <w:rPr>
          <w:rFonts w:cs="Arial"/>
          <w:b/>
          <w:bCs/>
        </w:rPr>
        <w:tab/>
      </w:r>
      <w:r>
        <w:rPr>
          <w:rFonts w:cs="Arial"/>
          <w:b/>
          <w:bCs/>
        </w:rPr>
        <w:tab/>
      </w:r>
    </w:p>
    <w:p w:rsidR="00BE101E" w:rsidRDefault="00BE101E" w:rsidP="00BE101E">
      <w:pPr>
        <w:pStyle w:val="Title"/>
        <w:rPr>
          <w:b w:val="0"/>
          <w:bC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260"/>
        <w:gridCol w:w="1260"/>
        <w:gridCol w:w="2088"/>
      </w:tblGrid>
      <w:tr w:rsidR="00BE101E" w:rsidTr="00C8040C">
        <w:tc>
          <w:tcPr>
            <w:tcW w:w="4968" w:type="dxa"/>
          </w:tcPr>
          <w:p w:rsidR="00BE101E" w:rsidRDefault="00A54895" w:rsidP="00C8040C">
            <w:pPr>
              <w:pStyle w:val="Title"/>
              <w:ind w:left="0"/>
              <w:jc w:val="left"/>
              <w:rPr>
                <w:iCs/>
              </w:rPr>
            </w:pPr>
            <w:r>
              <w:rPr>
                <w:iCs/>
              </w:rPr>
              <w:t>Foreign Claims</w:t>
            </w:r>
          </w:p>
        </w:tc>
        <w:tc>
          <w:tcPr>
            <w:tcW w:w="1260" w:type="dxa"/>
          </w:tcPr>
          <w:p w:rsidR="00BE101E" w:rsidRDefault="00BE101E" w:rsidP="00C8040C">
            <w:pPr>
              <w:pStyle w:val="Title"/>
              <w:ind w:left="0"/>
              <w:rPr>
                <w:i w:val="0"/>
              </w:rPr>
            </w:pPr>
            <w:r>
              <w:rPr>
                <w:i w:val="0"/>
              </w:rPr>
              <w:t>Perm. Pos.</w:t>
            </w:r>
          </w:p>
        </w:tc>
        <w:tc>
          <w:tcPr>
            <w:tcW w:w="1260" w:type="dxa"/>
          </w:tcPr>
          <w:p w:rsidR="00BE101E" w:rsidRDefault="00BE101E" w:rsidP="00C8040C">
            <w:pPr>
              <w:pStyle w:val="Title"/>
              <w:ind w:left="0"/>
              <w:rPr>
                <w:i w:val="0"/>
              </w:rPr>
            </w:pPr>
            <w:r>
              <w:rPr>
                <w:i w:val="0"/>
              </w:rPr>
              <w:t>FTE</w:t>
            </w:r>
          </w:p>
        </w:tc>
        <w:tc>
          <w:tcPr>
            <w:tcW w:w="2088" w:type="dxa"/>
          </w:tcPr>
          <w:p w:rsidR="00BE101E" w:rsidRDefault="00BE101E" w:rsidP="00C8040C">
            <w:pPr>
              <w:pStyle w:val="Title"/>
              <w:ind w:left="0"/>
              <w:rPr>
                <w:i w:val="0"/>
              </w:rPr>
            </w:pPr>
            <w:r>
              <w:rPr>
                <w:i w:val="0"/>
              </w:rPr>
              <w:t>Amount</w:t>
            </w:r>
          </w:p>
        </w:tc>
      </w:tr>
      <w:tr w:rsidR="00BE101E" w:rsidTr="00C8040C">
        <w:tc>
          <w:tcPr>
            <w:tcW w:w="4968" w:type="dxa"/>
          </w:tcPr>
          <w:p w:rsidR="00BE101E" w:rsidRDefault="00BE101E" w:rsidP="00C8040C">
            <w:pPr>
              <w:pStyle w:val="Title"/>
              <w:ind w:left="0"/>
              <w:jc w:val="left"/>
              <w:rPr>
                <w:b w:val="0"/>
                <w:bCs/>
                <w:i w:val="0"/>
              </w:rPr>
            </w:pPr>
            <w:r>
              <w:rPr>
                <w:b w:val="0"/>
                <w:bCs/>
                <w:i w:val="0"/>
              </w:rPr>
              <w:t xml:space="preserve">2011 Enacted </w:t>
            </w:r>
          </w:p>
        </w:tc>
        <w:tc>
          <w:tcPr>
            <w:tcW w:w="1260" w:type="dxa"/>
            <w:vAlign w:val="center"/>
          </w:tcPr>
          <w:p w:rsidR="00BE101E" w:rsidRDefault="00AE1A8E" w:rsidP="00C8040C">
            <w:pPr>
              <w:pStyle w:val="Title"/>
              <w:ind w:left="0"/>
              <w:jc w:val="right"/>
              <w:rPr>
                <w:b w:val="0"/>
                <w:bCs/>
                <w:i w:val="0"/>
              </w:rPr>
            </w:pPr>
            <w:r>
              <w:rPr>
                <w:b w:val="0"/>
                <w:bCs/>
                <w:i w:val="0"/>
              </w:rPr>
              <w:t>11</w:t>
            </w:r>
          </w:p>
        </w:tc>
        <w:tc>
          <w:tcPr>
            <w:tcW w:w="1260" w:type="dxa"/>
            <w:vAlign w:val="center"/>
          </w:tcPr>
          <w:p w:rsidR="00BE101E" w:rsidRDefault="00AE1A8E" w:rsidP="00C8040C">
            <w:pPr>
              <w:pStyle w:val="Title"/>
              <w:ind w:left="0"/>
              <w:jc w:val="right"/>
              <w:rPr>
                <w:b w:val="0"/>
                <w:bCs/>
                <w:i w:val="0"/>
              </w:rPr>
            </w:pPr>
            <w:r>
              <w:rPr>
                <w:b w:val="0"/>
                <w:bCs/>
                <w:i w:val="0"/>
              </w:rPr>
              <w:t>11</w:t>
            </w:r>
          </w:p>
        </w:tc>
        <w:tc>
          <w:tcPr>
            <w:tcW w:w="2088" w:type="dxa"/>
            <w:vAlign w:val="center"/>
          </w:tcPr>
          <w:p w:rsidR="00BE101E" w:rsidRDefault="00AE1A8E" w:rsidP="00C8040C">
            <w:pPr>
              <w:pStyle w:val="Title"/>
              <w:ind w:left="0"/>
              <w:jc w:val="right"/>
              <w:rPr>
                <w:b w:val="0"/>
                <w:bCs/>
                <w:i w:val="0"/>
              </w:rPr>
            </w:pPr>
            <w:r>
              <w:rPr>
                <w:b w:val="0"/>
                <w:bCs/>
                <w:i w:val="0"/>
              </w:rPr>
              <w:t>$2,113</w:t>
            </w:r>
          </w:p>
        </w:tc>
      </w:tr>
      <w:tr w:rsidR="00BE101E" w:rsidTr="00C8040C">
        <w:tc>
          <w:tcPr>
            <w:tcW w:w="4968" w:type="dxa"/>
          </w:tcPr>
          <w:p w:rsidR="00BE101E" w:rsidRDefault="00BE101E" w:rsidP="00C8040C">
            <w:pPr>
              <w:pStyle w:val="Title"/>
              <w:ind w:left="0"/>
              <w:jc w:val="left"/>
              <w:rPr>
                <w:b w:val="0"/>
                <w:bCs/>
                <w:i w:val="0"/>
              </w:rPr>
            </w:pPr>
            <w:r>
              <w:rPr>
                <w:b w:val="0"/>
                <w:bCs/>
                <w:i w:val="0"/>
              </w:rPr>
              <w:t xml:space="preserve">2012 Enacted </w:t>
            </w:r>
          </w:p>
        </w:tc>
        <w:tc>
          <w:tcPr>
            <w:tcW w:w="1260" w:type="dxa"/>
            <w:vAlign w:val="center"/>
          </w:tcPr>
          <w:p w:rsidR="00BE101E" w:rsidRDefault="00AE1A8E" w:rsidP="00C8040C">
            <w:pPr>
              <w:pStyle w:val="Title"/>
              <w:ind w:left="0"/>
              <w:jc w:val="right"/>
              <w:rPr>
                <w:b w:val="0"/>
                <w:bCs/>
                <w:i w:val="0"/>
              </w:rPr>
            </w:pPr>
            <w:r>
              <w:rPr>
                <w:b w:val="0"/>
                <w:bCs/>
                <w:i w:val="0"/>
              </w:rPr>
              <w:t>11</w:t>
            </w:r>
          </w:p>
        </w:tc>
        <w:tc>
          <w:tcPr>
            <w:tcW w:w="1260" w:type="dxa"/>
            <w:vAlign w:val="center"/>
          </w:tcPr>
          <w:p w:rsidR="00BE101E" w:rsidRDefault="00AE1A8E" w:rsidP="00C8040C">
            <w:pPr>
              <w:pStyle w:val="Title"/>
              <w:ind w:left="0"/>
              <w:jc w:val="right"/>
              <w:rPr>
                <w:b w:val="0"/>
                <w:bCs/>
                <w:i w:val="0"/>
              </w:rPr>
            </w:pPr>
            <w:r>
              <w:rPr>
                <w:b w:val="0"/>
                <w:bCs/>
                <w:i w:val="0"/>
              </w:rPr>
              <w:t>11</w:t>
            </w:r>
          </w:p>
        </w:tc>
        <w:tc>
          <w:tcPr>
            <w:tcW w:w="2088" w:type="dxa"/>
            <w:vAlign w:val="center"/>
          </w:tcPr>
          <w:p w:rsidR="00BE101E" w:rsidRDefault="00AE1A8E" w:rsidP="00C8040C">
            <w:pPr>
              <w:pStyle w:val="Title"/>
              <w:ind w:left="0"/>
              <w:jc w:val="right"/>
              <w:rPr>
                <w:b w:val="0"/>
                <w:bCs/>
                <w:i w:val="0"/>
              </w:rPr>
            </w:pPr>
            <w:r>
              <w:rPr>
                <w:b w:val="0"/>
                <w:bCs/>
                <w:i w:val="0"/>
              </w:rPr>
              <w:t>$2,000</w:t>
            </w:r>
          </w:p>
        </w:tc>
      </w:tr>
      <w:tr w:rsidR="00BE101E" w:rsidTr="00C8040C">
        <w:tc>
          <w:tcPr>
            <w:tcW w:w="4968" w:type="dxa"/>
          </w:tcPr>
          <w:p w:rsidR="00BE101E" w:rsidRDefault="00BE101E" w:rsidP="00C8040C">
            <w:pPr>
              <w:pStyle w:val="Title"/>
              <w:ind w:left="0"/>
              <w:jc w:val="left"/>
              <w:rPr>
                <w:b w:val="0"/>
                <w:bCs/>
                <w:i w:val="0"/>
              </w:rPr>
            </w:pPr>
            <w:r>
              <w:rPr>
                <w:b w:val="0"/>
                <w:bCs/>
                <w:i w:val="0"/>
              </w:rPr>
              <w:t>Adjustments to Base and Technical Adjustments</w:t>
            </w:r>
          </w:p>
        </w:tc>
        <w:tc>
          <w:tcPr>
            <w:tcW w:w="1260" w:type="dxa"/>
            <w:vAlign w:val="center"/>
          </w:tcPr>
          <w:p w:rsidR="00BE101E" w:rsidRDefault="00BE101E" w:rsidP="00C8040C">
            <w:pPr>
              <w:pStyle w:val="Title"/>
              <w:ind w:left="0"/>
              <w:jc w:val="right"/>
              <w:rPr>
                <w:b w:val="0"/>
                <w:bCs/>
                <w:i w:val="0"/>
              </w:rPr>
            </w:pPr>
          </w:p>
        </w:tc>
        <w:tc>
          <w:tcPr>
            <w:tcW w:w="1260" w:type="dxa"/>
            <w:vAlign w:val="center"/>
          </w:tcPr>
          <w:p w:rsidR="00BE101E" w:rsidRDefault="00BE101E" w:rsidP="00C8040C">
            <w:pPr>
              <w:pStyle w:val="Title"/>
              <w:ind w:left="0"/>
              <w:jc w:val="right"/>
              <w:rPr>
                <w:b w:val="0"/>
                <w:bCs/>
                <w:i w:val="0"/>
              </w:rPr>
            </w:pPr>
          </w:p>
        </w:tc>
        <w:tc>
          <w:tcPr>
            <w:tcW w:w="2088" w:type="dxa"/>
            <w:vAlign w:val="center"/>
          </w:tcPr>
          <w:p w:rsidR="00BE101E" w:rsidRDefault="00AE1A8E" w:rsidP="00C8040C">
            <w:pPr>
              <w:pStyle w:val="Title"/>
              <w:ind w:left="0"/>
              <w:jc w:val="right"/>
              <w:rPr>
                <w:b w:val="0"/>
                <w:bCs/>
                <w:i w:val="0"/>
              </w:rPr>
            </w:pPr>
            <w:r>
              <w:rPr>
                <w:b w:val="0"/>
                <w:bCs/>
                <w:i w:val="0"/>
              </w:rPr>
              <w:t>$139</w:t>
            </w:r>
          </w:p>
        </w:tc>
      </w:tr>
      <w:tr w:rsidR="00BE101E" w:rsidTr="00C8040C">
        <w:tc>
          <w:tcPr>
            <w:tcW w:w="4968" w:type="dxa"/>
          </w:tcPr>
          <w:p w:rsidR="00BE101E" w:rsidRDefault="00BE101E" w:rsidP="00C8040C">
            <w:pPr>
              <w:pStyle w:val="Title"/>
              <w:ind w:left="0"/>
              <w:jc w:val="left"/>
              <w:rPr>
                <w:b w:val="0"/>
                <w:bCs/>
                <w:i w:val="0"/>
              </w:rPr>
            </w:pPr>
            <w:r>
              <w:rPr>
                <w:b w:val="0"/>
                <w:bCs/>
                <w:i w:val="0"/>
              </w:rPr>
              <w:t>2013 Current Services</w:t>
            </w:r>
          </w:p>
        </w:tc>
        <w:tc>
          <w:tcPr>
            <w:tcW w:w="1260" w:type="dxa"/>
            <w:vAlign w:val="center"/>
          </w:tcPr>
          <w:p w:rsidR="00BE101E" w:rsidRDefault="00BE101E" w:rsidP="00C8040C">
            <w:pPr>
              <w:pStyle w:val="Title"/>
              <w:ind w:left="0"/>
              <w:jc w:val="right"/>
              <w:rPr>
                <w:b w:val="0"/>
                <w:bCs/>
                <w:i w:val="0"/>
              </w:rPr>
            </w:pPr>
          </w:p>
        </w:tc>
        <w:tc>
          <w:tcPr>
            <w:tcW w:w="1260" w:type="dxa"/>
            <w:vAlign w:val="center"/>
          </w:tcPr>
          <w:p w:rsidR="00BE101E" w:rsidRDefault="00BE101E" w:rsidP="00C8040C">
            <w:pPr>
              <w:pStyle w:val="Title"/>
              <w:ind w:left="0"/>
              <w:jc w:val="right"/>
              <w:rPr>
                <w:b w:val="0"/>
                <w:bCs/>
                <w:i w:val="0"/>
              </w:rPr>
            </w:pPr>
          </w:p>
        </w:tc>
        <w:tc>
          <w:tcPr>
            <w:tcW w:w="2088" w:type="dxa"/>
            <w:vAlign w:val="center"/>
          </w:tcPr>
          <w:p w:rsidR="00BE101E" w:rsidRDefault="00AE1A8E" w:rsidP="00C8040C">
            <w:pPr>
              <w:pStyle w:val="Title"/>
              <w:ind w:left="0"/>
              <w:jc w:val="right"/>
              <w:rPr>
                <w:b w:val="0"/>
                <w:bCs/>
                <w:i w:val="0"/>
              </w:rPr>
            </w:pPr>
            <w:r>
              <w:rPr>
                <w:b w:val="0"/>
                <w:bCs/>
                <w:i w:val="0"/>
              </w:rPr>
              <w:t>$2,139</w:t>
            </w:r>
          </w:p>
        </w:tc>
      </w:tr>
      <w:tr w:rsidR="00BE101E" w:rsidTr="00C8040C">
        <w:tc>
          <w:tcPr>
            <w:tcW w:w="4968" w:type="dxa"/>
            <w:tcBorders>
              <w:bottom w:val="single" w:sz="4" w:space="0" w:color="auto"/>
            </w:tcBorders>
          </w:tcPr>
          <w:p w:rsidR="00BE101E" w:rsidRDefault="00BE101E" w:rsidP="00C8040C">
            <w:pPr>
              <w:pStyle w:val="Title"/>
              <w:ind w:left="0"/>
              <w:jc w:val="left"/>
              <w:rPr>
                <w:b w:val="0"/>
                <w:bCs/>
                <w:i w:val="0"/>
              </w:rPr>
            </w:pPr>
            <w:r>
              <w:rPr>
                <w:b w:val="0"/>
                <w:bCs/>
                <w:i w:val="0"/>
              </w:rPr>
              <w:t>2013 Request</w:t>
            </w:r>
          </w:p>
        </w:tc>
        <w:tc>
          <w:tcPr>
            <w:tcW w:w="1260" w:type="dxa"/>
            <w:tcBorders>
              <w:bottom w:val="single" w:sz="4" w:space="0" w:color="auto"/>
            </w:tcBorders>
            <w:vAlign w:val="center"/>
          </w:tcPr>
          <w:p w:rsidR="00BE101E" w:rsidRDefault="00BE101E" w:rsidP="00C8040C">
            <w:pPr>
              <w:pStyle w:val="Title"/>
              <w:ind w:left="0"/>
              <w:jc w:val="right"/>
              <w:rPr>
                <w:b w:val="0"/>
                <w:bCs/>
                <w:i w:val="0"/>
              </w:rPr>
            </w:pPr>
          </w:p>
        </w:tc>
        <w:tc>
          <w:tcPr>
            <w:tcW w:w="1260" w:type="dxa"/>
            <w:tcBorders>
              <w:bottom w:val="single" w:sz="4" w:space="0" w:color="auto"/>
            </w:tcBorders>
            <w:vAlign w:val="center"/>
          </w:tcPr>
          <w:p w:rsidR="00BE101E" w:rsidRDefault="00BE101E" w:rsidP="00C8040C">
            <w:pPr>
              <w:pStyle w:val="Title"/>
              <w:ind w:left="0"/>
              <w:jc w:val="right"/>
              <w:rPr>
                <w:b w:val="0"/>
                <w:bCs/>
                <w:i w:val="0"/>
              </w:rPr>
            </w:pPr>
          </w:p>
        </w:tc>
        <w:tc>
          <w:tcPr>
            <w:tcW w:w="2088" w:type="dxa"/>
            <w:tcBorders>
              <w:bottom w:val="single" w:sz="4" w:space="0" w:color="auto"/>
            </w:tcBorders>
            <w:vAlign w:val="center"/>
          </w:tcPr>
          <w:p w:rsidR="00BE101E" w:rsidRDefault="00AE1A8E" w:rsidP="00C8040C">
            <w:pPr>
              <w:pStyle w:val="Title"/>
              <w:ind w:left="0"/>
              <w:jc w:val="right"/>
              <w:rPr>
                <w:b w:val="0"/>
                <w:bCs/>
                <w:i w:val="0"/>
              </w:rPr>
            </w:pPr>
            <w:r>
              <w:rPr>
                <w:b w:val="0"/>
                <w:bCs/>
                <w:i w:val="0"/>
              </w:rPr>
              <w:t>$2,139</w:t>
            </w:r>
          </w:p>
        </w:tc>
      </w:tr>
      <w:tr w:rsidR="00BE101E" w:rsidTr="00C8040C">
        <w:tc>
          <w:tcPr>
            <w:tcW w:w="4968" w:type="dxa"/>
            <w:shd w:val="clear" w:color="auto" w:fill="E6E6E6"/>
          </w:tcPr>
          <w:p w:rsidR="00BE101E" w:rsidRDefault="00BE101E" w:rsidP="00C8040C">
            <w:pPr>
              <w:pStyle w:val="Title"/>
              <w:ind w:left="0"/>
              <w:jc w:val="left"/>
              <w:rPr>
                <w:b w:val="0"/>
                <w:bCs/>
                <w:i w:val="0"/>
              </w:rPr>
            </w:pPr>
            <w:r>
              <w:rPr>
                <w:i w:val="0"/>
              </w:rPr>
              <w:t>Total Change 2012-2013</w:t>
            </w:r>
          </w:p>
        </w:tc>
        <w:tc>
          <w:tcPr>
            <w:tcW w:w="1260" w:type="dxa"/>
            <w:shd w:val="clear" w:color="auto" w:fill="E6E6E6"/>
            <w:vAlign w:val="center"/>
          </w:tcPr>
          <w:p w:rsidR="00BE101E" w:rsidRDefault="00BE101E" w:rsidP="00C8040C">
            <w:pPr>
              <w:pStyle w:val="Title"/>
              <w:ind w:left="0"/>
              <w:jc w:val="right"/>
              <w:rPr>
                <w:b w:val="0"/>
                <w:bCs/>
                <w:i w:val="0"/>
              </w:rPr>
            </w:pPr>
          </w:p>
        </w:tc>
        <w:tc>
          <w:tcPr>
            <w:tcW w:w="1260" w:type="dxa"/>
            <w:shd w:val="clear" w:color="auto" w:fill="E6E6E6"/>
            <w:vAlign w:val="center"/>
          </w:tcPr>
          <w:p w:rsidR="00BE101E" w:rsidRDefault="00BE101E" w:rsidP="00C8040C">
            <w:pPr>
              <w:pStyle w:val="Title"/>
              <w:ind w:left="0"/>
              <w:jc w:val="right"/>
              <w:rPr>
                <w:b w:val="0"/>
                <w:bCs/>
                <w:i w:val="0"/>
              </w:rPr>
            </w:pPr>
          </w:p>
        </w:tc>
        <w:tc>
          <w:tcPr>
            <w:tcW w:w="2088" w:type="dxa"/>
            <w:shd w:val="clear" w:color="auto" w:fill="E6E6E6"/>
            <w:vAlign w:val="center"/>
          </w:tcPr>
          <w:p w:rsidR="00BE101E" w:rsidRDefault="00D43CA3" w:rsidP="00C8040C">
            <w:pPr>
              <w:pStyle w:val="Title"/>
              <w:ind w:left="0"/>
              <w:jc w:val="right"/>
              <w:rPr>
                <w:b w:val="0"/>
                <w:bCs/>
                <w:i w:val="0"/>
              </w:rPr>
            </w:pPr>
            <w:r>
              <w:rPr>
                <w:b w:val="0"/>
                <w:bCs/>
                <w:i w:val="0"/>
              </w:rPr>
              <w:t>$139</w:t>
            </w:r>
          </w:p>
        </w:tc>
      </w:tr>
    </w:tbl>
    <w:p w:rsidR="00161547" w:rsidRDefault="00161547" w:rsidP="004B775C">
      <w:pPr>
        <w:pStyle w:val="BodyText"/>
        <w:rPr>
          <w:rFonts w:cs="Arial"/>
          <w:bCs/>
          <w:i/>
        </w:rPr>
      </w:pPr>
    </w:p>
    <w:p w:rsidR="00BE101E" w:rsidRDefault="00BE101E" w:rsidP="004B775C">
      <w:pPr>
        <w:pStyle w:val="BodyText"/>
        <w:rPr>
          <w:rFonts w:cs="Arial"/>
          <w:bCs/>
          <w:i/>
        </w:rPr>
      </w:pPr>
    </w:p>
    <w:p w:rsidR="00BE101E" w:rsidRPr="00A54895" w:rsidRDefault="00BE101E" w:rsidP="00BE101E">
      <w:pPr>
        <w:pStyle w:val="BodyText"/>
        <w:rPr>
          <w:u w:val="single"/>
        </w:rPr>
      </w:pPr>
      <w:r w:rsidRPr="00A54895">
        <w:t>1.  Program Description</w:t>
      </w:r>
    </w:p>
    <w:p w:rsidR="00BE101E" w:rsidRDefault="00BE101E" w:rsidP="00BE101E">
      <w:pPr>
        <w:pStyle w:val="xl19"/>
        <w:spacing w:before="0" w:after="0"/>
        <w:rPr>
          <w:rFonts w:eastAsia="Times New Roman" w:cs="Arial"/>
          <w:i/>
          <w:iCs/>
          <w:szCs w:val="24"/>
        </w:rPr>
      </w:pPr>
    </w:p>
    <w:p w:rsidR="00BE101E" w:rsidRDefault="00BE101E" w:rsidP="00BE101E">
      <w:pPr>
        <w:rPr>
          <w:rFonts w:cs="Arial"/>
          <w:color w:val="000000"/>
        </w:rPr>
      </w:pPr>
      <w:r>
        <w:rPr>
          <w:color w:val="000000"/>
          <w:lang w:val="en-CA"/>
        </w:rPr>
        <w:t xml:space="preserve">The Commission has a single Decision Unit, and its mission is </w:t>
      </w:r>
      <w:r w:rsidR="00CC28B7">
        <w:rPr>
          <w:color w:val="000000"/>
          <w:lang w:val="en-CA"/>
        </w:rPr>
        <w:fldChar w:fldCharType="begin"/>
      </w:r>
      <w:r>
        <w:rPr>
          <w:color w:val="000000"/>
          <w:lang w:val="en-CA"/>
        </w:rPr>
        <w:instrText xml:space="preserve"> SEQ CHAPTER \h \r 1</w:instrText>
      </w:r>
      <w:r w:rsidR="00CC28B7">
        <w:rPr>
          <w:color w:val="000000"/>
          <w:lang w:val="en-CA"/>
        </w:rPr>
        <w:fldChar w:fldCharType="end"/>
      </w:r>
      <w:r>
        <w:rPr>
          <w:color w:val="000000"/>
          <w:lang w:val="en-CA"/>
        </w:rPr>
        <w:t>t</w:t>
      </w:r>
      <w:r>
        <w:rPr>
          <w:color w:val="000000"/>
        </w:rPr>
        <w:t xml:space="preserve">o protect the property rights of </w:t>
      </w:r>
      <w:smartTag w:uri="urn:schemas-microsoft-com:office:smarttags" w:element="country-region">
        <w:r>
          <w:rPr>
            <w:color w:val="000000"/>
          </w:rPr>
          <w:t>U.S.</w:t>
        </w:r>
      </w:smartTag>
      <w:r>
        <w:rPr>
          <w:color w:val="000000"/>
        </w:rPr>
        <w:t xml:space="preserve"> citizens abroad and to promote the international rule of law through adjudication of claims brought by </w:t>
      </w:r>
      <w:smartTag w:uri="urn:schemas-microsoft-com:office:smarttags" w:element="country-region">
        <w:smartTag w:uri="urn:schemas-microsoft-com:office:smarttags" w:element="place">
          <w:r>
            <w:rPr>
              <w:color w:val="000000"/>
            </w:rPr>
            <w:t>United States</w:t>
          </w:r>
        </w:smartTag>
      </w:smartTag>
      <w:r>
        <w:rPr>
          <w:color w:val="000000"/>
        </w:rPr>
        <w:t xml:space="preserve"> citizens against foreign governments.</w:t>
      </w:r>
    </w:p>
    <w:p w:rsidR="00BE101E" w:rsidRDefault="00BE101E" w:rsidP="00BE101E">
      <w:pPr>
        <w:pStyle w:val="xl19"/>
        <w:spacing w:before="0" w:after="0"/>
        <w:rPr>
          <w:rFonts w:eastAsia="Times New Roman" w:cs="Arial"/>
          <w:i/>
          <w:iCs/>
          <w:color w:val="000000"/>
          <w:szCs w:val="24"/>
        </w:rPr>
      </w:pPr>
    </w:p>
    <w:p w:rsidR="00BE101E" w:rsidRDefault="00BE101E" w:rsidP="00BE101E">
      <w:pPr>
        <w:pStyle w:val="xl19"/>
        <w:spacing w:before="0" w:after="0"/>
        <w:rPr>
          <w:rFonts w:eastAsia="Times New Roman" w:cs="Arial"/>
          <w:color w:val="000000"/>
          <w:szCs w:val="24"/>
        </w:rPr>
      </w:pPr>
      <w:r>
        <w:rPr>
          <w:rFonts w:eastAsia="Times New Roman" w:cs="Arial"/>
          <w:color w:val="000000"/>
          <w:szCs w:val="24"/>
        </w:rPr>
        <w:t>The Commission currently pursues the following organizational goals:</w:t>
      </w:r>
    </w:p>
    <w:p w:rsidR="00BE101E" w:rsidRDefault="00BE101E" w:rsidP="00BE101E">
      <w:pPr>
        <w:pStyle w:val="xl19"/>
        <w:spacing w:before="0" w:after="0"/>
        <w:rPr>
          <w:rFonts w:eastAsia="Times New Roman" w:cs="Arial"/>
          <w:color w:val="000000"/>
          <w:szCs w:val="24"/>
        </w:rPr>
      </w:pPr>
    </w:p>
    <w:p w:rsidR="00BE101E" w:rsidRDefault="00BE101E" w:rsidP="00BE101E">
      <w:pPr>
        <w:pStyle w:val="xl19"/>
        <w:numPr>
          <w:ilvl w:val="0"/>
          <w:numId w:val="36"/>
        </w:numPr>
        <w:spacing w:before="0" w:after="0"/>
        <w:rPr>
          <w:rFonts w:eastAsia="Times New Roman" w:cs="Arial"/>
          <w:color w:val="000000"/>
          <w:szCs w:val="24"/>
        </w:rPr>
      </w:pPr>
      <w:r>
        <w:rPr>
          <w:rFonts w:eastAsia="Times New Roman" w:cs="Arial"/>
          <w:color w:val="000000"/>
          <w:szCs w:val="24"/>
        </w:rPr>
        <w:t xml:space="preserve">To adjudicate claims and award compensation for terrorism-related claims against Libya  pursuant to the </w:t>
      </w:r>
      <w:smartTag w:uri="urn:schemas-microsoft-com:office:smarttags" w:element="country-region">
        <w:r>
          <w:rPr>
            <w:rFonts w:eastAsia="Times New Roman" w:cs="Arial"/>
            <w:color w:val="000000"/>
            <w:szCs w:val="24"/>
          </w:rPr>
          <w:t>U.S.</w:t>
        </w:r>
      </w:smartTag>
      <w:r>
        <w:rPr>
          <w:rFonts w:eastAsia="Times New Roman" w:cs="Arial"/>
          <w:color w:val="000000"/>
          <w:szCs w:val="24"/>
        </w:rPr>
        <w:t>-</w:t>
      </w:r>
      <w:smartTag w:uri="urn:schemas-microsoft-com:office:smarttags" w:element="place">
        <w:smartTag w:uri="urn:schemas-microsoft-com:office:smarttags" w:element="country-region">
          <w:r>
            <w:rPr>
              <w:rFonts w:eastAsia="Times New Roman" w:cs="Arial"/>
              <w:color w:val="000000"/>
              <w:szCs w:val="24"/>
            </w:rPr>
            <w:t>Libya</w:t>
          </w:r>
        </w:smartTag>
      </w:smartTag>
      <w:r>
        <w:rPr>
          <w:rFonts w:eastAsia="Times New Roman" w:cs="Arial"/>
          <w:color w:val="000000"/>
          <w:szCs w:val="24"/>
        </w:rPr>
        <w:t xml:space="preserve"> Claims Settlement Agreement and the Libyan Claims Resolution Act. </w:t>
      </w:r>
    </w:p>
    <w:p w:rsidR="00BE101E" w:rsidRDefault="00BE101E" w:rsidP="00BE101E">
      <w:pPr>
        <w:numPr>
          <w:ilvl w:val="0"/>
          <w:numId w:val="35"/>
        </w:numPr>
        <w:rPr>
          <w:color w:val="000000"/>
        </w:rPr>
      </w:pPr>
      <w:r>
        <w:rPr>
          <w:color w:val="000000"/>
        </w:rPr>
        <w:t>To adjudicate claims and award compensation to previously uncompensated U.S. claimants for property l</w:t>
      </w:r>
      <w:r w:rsidR="003B1544">
        <w:rPr>
          <w:color w:val="000000"/>
        </w:rPr>
        <w:t>osses in Albania.</w:t>
      </w:r>
    </w:p>
    <w:p w:rsidR="00BE101E" w:rsidRDefault="00CC28B7" w:rsidP="00BE101E">
      <w:pPr>
        <w:numPr>
          <w:ilvl w:val="0"/>
          <w:numId w:val="35"/>
        </w:numPr>
        <w:rPr>
          <w:color w:val="000000"/>
        </w:rPr>
      </w:pPr>
      <w:r>
        <w:rPr>
          <w:color w:val="000000"/>
          <w:lang w:val="en-CA"/>
        </w:rPr>
        <w:fldChar w:fldCharType="begin"/>
      </w:r>
      <w:r w:rsidR="00BE101E">
        <w:rPr>
          <w:color w:val="000000"/>
          <w:lang w:val="en-CA"/>
        </w:rPr>
        <w:instrText xml:space="preserve"> SEQ CHAPTER \h \r 1</w:instrText>
      </w:r>
      <w:r>
        <w:rPr>
          <w:color w:val="000000"/>
          <w:lang w:val="en-CA"/>
        </w:rPr>
        <w:fldChar w:fldCharType="end"/>
      </w:r>
      <w:r w:rsidR="00BE101E">
        <w:rPr>
          <w:color w:val="000000"/>
        </w:rPr>
        <w:t xml:space="preserve">To research and respond to requests for information concerning decisions in the Commission’s first and second Cuban Claims Programs in aid of the Department of State’s continuing implementation of the Cuban Liberty and Democratic Solidarity (LIBERTAD) Act of 1996 (the “Helms-Burton Act”). </w:t>
      </w:r>
    </w:p>
    <w:p w:rsidR="00BE101E" w:rsidRDefault="00BE101E" w:rsidP="00BE101E">
      <w:pPr>
        <w:numPr>
          <w:ilvl w:val="0"/>
          <w:numId w:val="35"/>
        </w:numPr>
        <w:rPr>
          <w:color w:val="000000"/>
        </w:rPr>
      </w:pPr>
      <w:r>
        <w:rPr>
          <w:color w:val="000000"/>
        </w:rPr>
        <w:t xml:space="preserve">To be prepared to adjudicate the outstanding claims of </w:t>
      </w:r>
      <w:smartTag w:uri="urn:schemas-microsoft-com:office:smarttags" w:element="country-region">
        <w:r>
          <w:rPr>
            <w:color w:val="000000"/>
          </w:rPr>
          <w:t>U.S.</w:t>
        </w:r>
      </w:smartTag>
      <w:r>
        <w:rPr>
          <w:color w:val="000000"/>
        </w:rPr>
        <w:t xml:space="preserve"> nationals against the Government of Iraq, upon enactment of authorizing legislation or referral to the Commission by the Secretary of State and for a possible future program relating to </w:t>
      </w:r>
      <w:smartTag w:uri="urn:schemas-microsoft-com:office:smarttags" w:element="place">
        <w:r>
          <w:rPr>
            <w:color w:val="000000"/>
          </w:rPr>
          <w:t>Guam</w:t>
        </w:r>
      </w:smartTag>
      <w:r>
        <w:rPr>
          <w:color w:val="000000"/>
        </w:rPr>
        <w:t>.</w:t>
      </w:r>
    </w:p>
    <w:p w:rsidR="00BE101E" w:rsidRDefault="00BE101E" w:rsidP="00BE101E">
      <w:pPr>
        <w:numPr>
          <w:ilvl w:val="0"/>
          <w:numId w:val="35"/>
        </w:numPr>
        <w:rPr>
          <w:color w:val="000000"/>
        </w:rPr>
      </w:pPr>
      <w:r>
        <w:rPr>
          <w:color w:val="000000"/>
        </w:rPr>
        <w:t>Upon request, to assist the Department of State in negotiations for the settlement of claims against foreign gov</w:t>
      </w:r>
      <w:r w:rsidR="00E7488F">
        <w:rPr>
          <w:color w:val="000000"/>
        </w:rPr>
        <w:t>ernments.</w:t>
      </w:r>
    </w:p>
    <w:p w:rsidR="00BE101E" w:rsidRDefault="00BE101E" w:rsidP="00BE101E">
      <w:pPr>
        <w:numPr>
          <w:ilvl w:val="0"/>
          <w:numId w:val="35"/>
        </w:numPr>
        <w:rPr>
          <w:color w:val="000000"/>
        </w:rPr>
      </w:pPr>
      <w:r>
        <w:rPr>
          <w:color w:val="000000"/>
        </w:rPr>
        <w:t xml:space="preserve">To award compensation to any previously uncompensated American POWs held in Southeast Asia during the </w:t>
      </w:r>
      <w:smartTag w:uri="urn:schemas-microsoft-com:office:smarttags" w:element="country-region">
        <w:smartTag w:uri="urn:schemas-microsoft-com:office:smarttags" w:element="place">
          <w:r>
            <w:rPr>
              <w:color w:val="000000"/>
            </w:rPr>
            <w:t>Vietnam</w:t>
          </w:r>
        </w:smartTag>
      </w:smartTag>
      <w:r>
        <w:rPr>
          <w:color w:val="000000"/>
        </w:rPr>
        <w:t xml:space="preserve"> conflict, or their survivors, for inadequate rations and inhumane treatment while in captivity.</w:t>
      </w:r>
    </w:p>
    <w:p w:rsidR="00BE101E" w:rsidRDefault="00BE101E" w:rsidP="00BE101E">
      <w:pPr>
        <w:numPr>
          <w:ilvl w:val="0"/>
          <w:numId w:val="35"/>
        </w:numPr>
        <w:rPr>
          <w:color w:val="000000"/>
        </w:rPr>
      </w:pPr>
      <w:r>
        <w:rPr>
          <w:color w:val="000000"/>
        </w:rPr>
        <w:t>To advise Congress and other agencies concerning potential future claims programs and to analyze and comment on pending legislation.</w:t>
      </w:r>
    </w:p>
    <w:p w:rsidR="00BE101E" w:rsidRDefault="00BE101E" w:rsidP="00BE101E">
      <w:pPr>
        <w:numPr>
          <w:ilvl w:val="0"/>
          <w:numId w:val="35"/>
        </w:numPr>
        <w:rPr>
          <w:color w:val="000000"/>
        </w:rPr>
      </w:pPr>
      <w:r>
        <w:rPr>
          <w:color w:val="000000"/>
        </w:rPr>
        <w:t>To advise other agencies on policy determinations relating to the settlement of international claims.</w:t>
      </w:r>
    </w:p>
    <w:p w:rsidR="00BE101E" w:rsidRDefault="00BE101E" w:rsidP="00BE101E">
      <w:pPr>
        <w:numPr>
          <w:ilvl w:val="0"/>
          <w:numId w:val="35"/>
        </w:numPr>
        <w:rPr>
          <w:color w:val="000000"/>
        </w:rPr>
      </w:pPr>
      <w:r>
        <w:rPr>
          <w:color w:val="000000"/>
        </w:rPr>
        <w:t>To assist the Department of the Treasury in making distributions on awards certified by the Commission.</w:t>
      </w:r>
    </w:p>
    <w:p w:rsidR="00BE101E" w:rsidRDefault="00BE101E" w:rsidP="00BE101E">
      <w:pPr>
        <w:numPr>
          <w:ilvl w:val="0"/>
          <w:numId w:val="35"/>
        </w:numPr>
        <w:rPr>
          <w:color w:val="000000"/>
        </w:rPr>
      </w:pPr>
      <w:r>
        <w:rPr>
          <w:color w:val="000000"/>
        </w:rPr>
        <w:t>To provide executive departments and private attorneys with legal precedents issued by the Commission.</w:t>
      </w:r>
    </w:p>
    <w:p w:rsidR="00BE101E" w:rsidRPr="00A967BA" w:rsidRDefault="00BE101E" w:rsidP="00BE101E">
      <w:pPr>
        <w:numPr>
          <w:ilvl w:val="0"/>
          <w:numId w:val="35"/>
        </w:numPr>
        <w:rPr>
          <w:rFonts w:cs="Arial"/>
          <w:iCs/>
          <w:color w:val="000000"/>
        </w:rPr>
      </w:pPr>
      <w:r>
        <w:rPr>
          <w:color w:val="000000"/>
        </w:rPr>
        <w:lastRenderedPageBreak/>
        <w:t>To provide general information concerning past programs and to respond to requests about specific decisions the Commission has made on claims.</w:t>
      </w:r>
    </w:p>
    <w:p w:rsidR="00BE101E" w:rsidRDefault="00BE101E" w:rsidP="00BE101E">
      <w:pPr>
        <w:numPr>
          <w:ilvl w:val="0"/>
          <w:numId w:val="35"/>
        </w:numPr>
        <w:rPr>
          <w:rFonts w:cs="Arial"/>
          <w:iCs/>
          <w:color w:val="000000"/>
        </w:rPr>
      </w:pPr>
      <w:r>
        <w:rPr>
          <w:color w:val="000000"/>
        </w:rPr>
        <w:t>To respond to FOIA requests from the public regarding claims programs.</w:t>
      </w:r>
    </w:p>
    <w:p w:rsidR="00BE101E" w:rsidRPr="008A39E3" w:rsidRDefault="00BE101E" w:rsidP="00BE101E">
      <w:pPr>
        <w:numPr>
          <w:ilvl w:val="0"/>
          <w:numId w:val="35"/>
        </w:numPr>
        <w:rPr>
          <w:rFonts w:cs="Arial"/>
          <w:iCs/>
        </w:rPr>
      </w:pPr>
      <w:r>
        <w:rPr>
          <w:color w:val="000000"/>
        </w:rPr>
        <w:t xml:space="preserve">To maintain and continuously update a comprehensive database of pending and active claims programs to ensure it is accurate and useful to the public and other </w:t>
      </w:r>
      <w:smartTag w:uri="urn:schemas-microsoft-com:office:smarttags" w:element="place">
        <w:smartTag w:uri="urn:schemas-microsoft-com:office:smarttags" w:element="country-region">
          <w:r>
            <w:rPr>
              <w:color w:val="000000"/>
            </w:rPr>
            <w:t>U.S.</w:t>
          </w:r>
        </w:smartTag>
      </w:smartTag>
      <w:r>
        <w:rPr>
          <w:color w:val="000000"/>
        </w:rPr>
        <w:t xml:space="preserve"> agencies.</w:t>
      </w:r>
    </w:p>
    <w:p w:rsidR="00BE101E" w:rsidRDefault="00BE101E" w:rsidP="00BE101E">
      <w:pPr>
        <w:numPr>
          <w:ilvl w:val="0"/>
          <w:numId w:val="35"/>
        </w:numPr>
        <w:rPr>
          <w:b/>
          <w:bCs/>
        </w:rPr>
      </w:pPr>
      <w:r>
        <w:rPr>
          <w:rFonts w:cs="Arial"/>
          <w:iCs/>
        </w:rPr>
        <w:t>To maintain a Commission website that explains claims programs, with downloadable claims program instructions and claim forms as well as statistic</w:t>
      </w:r>
      <w:r w:rsidR="00F84DFA">
        <w:rPr>
          <w:rFonts w:cs="Arial"/>
          <w:iCs/>
        </w:rPr>
        <w:t>al</w:t>
      </w:r>
      <w:r w:rsidR="00E847B2">
        <w:rPr>
          <w:rFonts w:cs="Arial"/>
          <w:iCs/>
        </w:rPr>
        <w:t xml:space="preserve"> and other</w:t>
      </w:r>
      <w:r w:rsidR="00F84DFA">
        <w:rPr>
          <w:rFonts w:cs="Arial"/>
          <w:iCs/>
        </w:rPr>
        <w:t xml:space="preserve"> information on past programs.</w:t>
      </w:r>
      <w:r>
        <w:rPr>
          <w:rFonts w:cs="Arial"/>
          <w:iCs/>
        </w:rPr>
        <w:t xml:space="preserve"> </w:t>
      </w:r>
    </w:p>
    <w:p w:rsidR="00BE101E" w:rsidRDefault="00BE101E" w:rsidP="004B775C">
      <w:pPr>
        <w:pStyle w:val="BodyText"/>
        <w:rPr>
          <w:rFonts w:cs="Arial"/>
          <w:bCs/>
          <w:i/>
        </w:rPr>
      </w:pPr>
    </w:p>
    <w:p w:rsidR="00161547" w:rsidRDefault="00161547" w:rsidP="004B775C">
      <w:pPr>
        <w:pStyle w:val="BodyText"/>
        <w:rPr>
          <w:rFonts w:cs="Arial"/>
          <w:bCs/>
          <w:i/>
        </w:rPr>
      </w:pPr>
    </w:p>
    <w:p w:rsidR="00161547" w:rsidRDefault="00161547" w:rsidP="004B775C">
      <w:pPr>
        <w:pStyle w:val="BodyText"/>
        <w:rPr>
          <w:rFonts w:cs="Arial"/>
          <w:bCs/>
          <w:i/>
        </w:rPr>
      </w:pPr>
    </w:p>
    <w:p w:rsidR="00161547" w:rsidRDefault="00161547" w:rsidP="004B775C">
      <w:pPr>
        <w:pStyle w:val="BodyText"/>
        <w:rPr>
          <w:rFonts w:cs="Arial"/>
          <w:bCs/>
          <w:i/>
        </w:rPr>
      </w:pPr>
    </w:p>
    <w:p w:rsidR="00161547" w:rsidRDefault="00161547" w:rsidP="004B775C">
      <w:pPr>
        <w:pStyle w:val="BodyText"/>
        <w:rPr>
          <w:rFonts w:cs="Arial"/>
          <w:bCs/>
          <w:i/>
        </w:rPr>
      </w:pPr>
    </w:p>
    <w:p w:rsidR="00161547" w:rsidRDefault="00161547" w:rsidP="004B775C">
      <w:pPr>
        <w:pStyle w:val="BodyText"/>
        <w:rPr>
          <w:rFonts w:cs="Arial"/>
          <w:bCs/>
          <w:i/>
        </w:rPr>
      </w:pPr>
    </w:p>
    <w:p w:rsidR="00161547" w:rsidRDefault="00161547" w:rsidP="004B775C">
      <w:pPr>
        <w:pStyle w:val="BodyText"/>
        <w:rPr>
          <w:rFonts w:cs="Arial"/>
          <w:bCs/>
          <w:i/>
        </w:rPr>
      </w:pPr>
    </w:p>
    <w:p w:rsidR="00161547" w:rsidRDefault="00161547" w:rsidP="004B775C">
      <w:pPr>
        <w:pStyle w:val="BodyText"/>
        <w:rPr>
          <w:rFonts w:cs="Arial"/>
          <w:bCs/>
          <w:i/>
        </w:rPr>
      </w:pPr>
    </w:p>
    <w:p w:rsidR="00161547" w:rsidRDefault="00161547" w:rsidP="004B775C">
      <w:pPr>
        <w:pStyle w:val="BodyText"/>
        <w:rPr>
          <w:rFonts w:cs="Arial"/>
          <w:bCs/>
          <w:i/>
        </w:rPr>
      </w:pPr>
    </w:p>
    <w:p w:rsidR="00161547" w:rsidRDefault="00161547" w:rsidP="004B775C">
      <w:pPr>
        <w:pStyle w:val="BodyText"/>
        <w:rPr>
          <w:rFonts w:cs="Arial"/>
          <w:bCs/>
          <w:i/>
        </w:rPr>
      </w:pPr>
    </w:p>
    <w:p w:rsidR="005C388B" w:rsidRDefault="005C388B" w:rsidP="00A54895">
      <w:pPr>
        <w:tabs>
          <w:tab w:val="left" w:pos="1080"/>
          <w:tab w:val="left" w:pos="3600"/>
          <w:tab w:val="left" w:pos="5580"/>
        </w:tabs>
        <w:rPr>
          <w:iCs/>
        </w:rPr>
        <w:sectPr w:rsidR="005C388B" w:rsidSect="00DC2DB7">
          <w:footerReference w:type="default" r:id="rId10"/>
          <w:pgSz w:w="12240" w:h="15840" w:code="1"/>
          <w:pgMar w:top="1152" w:right="1440" w:bottom="1152" w:left="1440" w:header="432" w:footer="432" w:gutter="0"/>
          <w:pgNumType w:start="1"/>
          <w:cols w:space="720"/>
          <w:docGrid w:linePitch="326"/>
        </w:sectPr>
      </w:pPr>
    </w:p>
    <w:p w:rsidR="00224A36" w:rsidRDefault="006258A4" w:rsidP="00AF4C0F">
      <w:pPr>
        <w:rPr>
          <w:sz w:val="16"/>
        </w:rPr>
      </w:pPr>
      <w:r w:rsidRPr="000A3E86">
        <w:rPr>
          <w:i/>
          <w:iCs/>
        </w:rPr>
        <w:object w:dxaOrig="12089" w:dyaOrig="9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15pt;height:400.1pt" o:ole="">
            <v:imagedata r:id="rId11" o:title=""/>
          </v:shape>
          <o:OLEObject Type="Embed" ProgID="Excel.Sheet.8" ShapeID="_x0000_i1025" DrawAspect="Content" ObjectID="_1390126436" r:id="rId12"/>
        </w:object>
      </w:r>
      <w:r w:rsidR="0070729D">
        <w:object w:dxaOrig="9486" w:dyaOrig="6208">
          <v:shape id="_x0000_i1026" type="#_x0000_t75" style="width:598.55pt;height:324.25pt" o:ole="" o:bordertopcolor="this" o:borderleftcolor="this" o:borderbottomcolor="this" o:borderrightcolor="this">
            <v:imagedata r:id="rId13" o:title=""/>
            <w10:bordertop type="single" width="18"/>
            <w10:borderleft type="single" width="18"/>
            <w10:borderbottom type="single" width="18"/>
            <w10:borderright type="single" width="18"/>
          </v:shape>
          <o:OLEObject Type="Embed" ProgID="Excel.Sheet.8" ShapeID="_x0000_i1026" DrawAspect="Content" ObjectID="_1390126437" r:id="rId14"/>
        </w:object>
      </w:r>
    </w:p>
    <w:p w:rsidR="00224A36" w:rsidRDefault="00224A36">
      <w:pPr>
        <w:rPr>
          <w:sz w:val="16"/>
        </w:rPr>
      </w:pPr>
    </w:p>
    <w:p w:rsidR="009136AE" w:rsidRPr="00387B4A" w:rsidRDefault="009136AE">
      <w:pPr>
        <w:rPr>
          <w:i/>
        </w:rPr>
        <w:sectPr w:rsidR="009136AE" w:rsidRPr="00387B4A" w:rsidSect="004636CB">
          <w:pgSz w:w="15840" w:h="12240" w:orient="landscape" w:code="1"/>
          <w:pgMar w:top="1440" w:right="1152" w:bottom="1440" w:left="1152" w:header="432" w:footer="432" w:gutter="0"/>
          <w:cols w:space="720"/>
          <w:docGrid w:linePitch="326"/>
        </w:sectPr>
      </w:pPr>
    </w:p>
    <w:p w:rsidR="00224A36" w:rsidRDefault="00151D91">
      <w:pPr>
        <w:pStyle w:val="BodyText"/>
      </w:pPr>
      <w:r>
        <w:lastRenderedPageBreak/>
        <w:t>3.</w:t>
      </w:r>
      <w:r w:rsidR="00224A36">
        <w:t xml:space="preserve">   Performance, Resources, and Strategies</w:t>
      </w:r>
    </w:p>
    <w:p w:rsidR="00224A36" w:rsidRDefault="00224A36">
      <w:pPr>
        <w:pStyle w:val="BodyText"/>
      </w:pPr>
    </w:p>
    <w:p w:rsidR="00447729" w:rsidRDefault="00447729">
      <w:pPr>
        <w:pStyle w:val="BodyText"/>
      </w:pPr>
      <w:r>
        <w:t>The Commission is an independent agency.  Its budget is fully integrated with its own priorities and corresponds best to the Department’s Strategic Goal 2</w:t>
      </w:r>
      <w:r w:rsidR="0029047E">
        <w:t>:  Protect the Rights of the American People, and Enforce Federal Law.</w:t>
      </w:r>
    </w:p>
    <w:p w:rsidR="00FC41DD" w:rsidRDefault="00906DF9">
      <w:pPr>
        <w:pStyle w:val="BodyText"/>
        <w:rPr>
          <w:i/>
        </w:rPr>
      </w:pPr>
      <w:r>
        <w:rPr>
          <w:i/>
          <w:iCs/>
        </w:rPr>
        <w:t xml:space="preserve"> </w:t>
      </w:r>
    </w:p>
    <w:p w:rsidR="006A29E1" w:rsidRDefault="006A29E1">
      <w:pPr>
        <w:pStyle w:val="BodyText"/>
        <w:rPr>
          <w:i/>
        </w:rPr>
      </w:pPr>
    </w:p>
    <w:p w:rsidR="00224A36" w:rsidRDefault="00224A36" w:rsidP="007D54FB">
      <w:pPr>
        <w:pStyle w:val="BodyText"/>
        <w:numPr>
          <w:ilvl w:val="0"/>
          <w:numId w:val="29"/>
        </w:numPr>
        <w:rPr>
          <w:rFonts w:cs="Arial"/>
        </w:rPr>
      </w:pPr>
      <w:r>
        <w:rPr>
          <w:rFonts w:cs="Arial"/>
        </w:rPr>
        <w:t>Performance Plan and Report for Outcomes</w:t>
      </w:r>
    </w:p>
    <w:p w:rsidR="007D54FB" w:rsidRDefault="007D54FB" w:rsidP="007D54FB">
      <w:pPr>
        <w:pStyle w:val="BodyText"/>
        <w:rPr>
          <w:rFonts w:cs="Arial"/>
        </w:rPr>
      </w:pPr>
    </w:p>
    <w:p w:rsidR="007D54FB" w:rsidRDefault="007D54FB" w:rsidP="007D54FB">
      <w:pPr>
        <w:pStyle w:val="BodyText"/>
        <w:rPr>
          <w:rFonts w:cs="Arial"/>
        </w:rPr>
      </w:pPr>
      <w:r>
        <w:rPr>
          <w:rFonts w:cs="Arial"/>
        </w:rPr>
        <w:t xml:space="preserve">The Commission’s activities are </w:t>
      </w:r>
      <w:r w:rsidR="000014DA">
        <w:rPr>
          <w:rFonts w:cs="Arial"/>
        </w:rPr>
        <w:t>not included in the Department of Justice’s</w:t>
      </w:r>
      <w:r>
        <w:rPr>
          <w:rFonts w:cs="Arial"/>
        </w:rPr>
        <w:t xml:space="preserve"> performance plans or reports</w:t>
      </w:r>
      <w:r w:rsidR="000014DA">
        <w:rPr>
          <w:rFonts w:cs="Arial"/>
        </w:rPr>
        <w:t xml:space="preserve">.  </w:t>
      </w:r>
      <w:r>
        <w:rPr>
          <w:rFonts w:cs="Arial"/>
        </w:rPr>
        <w:t>However, in addition to its principal function of adjudicating claims of United States nationals</w:t>
      </w:r>
      <w:r w:rsidR="000014DA">
        <w:rPr>
          <w:rFonts w:cs="Arial"/>
        </w:rPr>
        <w:t xml:space="preserve"> </w:t>
      </w:r>
      <w:r>
        <w:rPr>
          <w:rFonts w:cs="Arial"/>
        </w:rPr>
        <w:t>against foreign governments, the Commission provides continuing informational services to claimants (and, where applicable, their legal successors) with regard to the 45 completed international and war claims programs it has concluded.  It also provides advice to other Federal agencies on their policy determinations, preliminary planning, and evaluation of proposed le</w:t>
      </w:r>
      <w:r w:rsidR="00073644">
        <w:rPr>
          <w:rFonts w:cs="Arial"/>
        </w:rPr>
        <w:t>gislation intended to authorize</w:t>
      </w:r>
      <w:r>
        <w:rPr>
          <w:rFonts w:cs="Arial"/>
        </w:rPr>
        <w:t xml:space="preserve"> adjudication of claims of new categories of claimants, and liaison with congressional committees considering such legislation.</w:t>
      </w:r>
    </w:p>
    <w:p w:rsidR="00224A36" w:rsidRDefault="003B0CB9">
      <w:pPr>
        <w:pStyle w:val="BodyText"/>
        <w:rPr>
          <w:i/>
          <w:iCs/>
        </w:rPr>
      </w:pPr>
      <w:r>
        <w:rPr>
          <w:i/>
          <w:iCs/>
        </w:rPr>
        <w:t xml:space="preserve">  </w:t>
      </w:r>
    </w:p>
    <w:p w:rsidR="00A733D6" w:rsidRDefault="00A733D6">
      <w:pPr>
        <w:pStyle w:val="BodyText"/>
        <w:rPr>
          <w:i/>
          <w:iCs/>
        </w:rPr>
      </w:pPr>
    </w:p>
    <w:p w:rsidR="00224A36" w:rsidRDefault="00224A36" w:rsidP="00E9133B">
      <w:pPr>
        <w:pStyle w:val="BodyText"/>
        <w:numPr>
          <w:ilvl w:val="0"/>
          <w:numId w:val="29"/>
        </w:numPr>
        <w:rPr>
          <w:rFonts w:cs="Arial"/>
        </w:rPr>
      </w:pPr>
      <w:r>
        <w:rPr>
          <w:rFonts w:cs="Arial"/>
        </w:rPr>
        <w:t>Strategies to Accomplish Outcomes</w:t>
      </w:r>
    </w:p>
    <w:p w:rsidR="00E9133B" w:rsidRDefault="00E9133B" w:rsidP="00E9133B">
      <w:pPr>
        <w:pStyle w:val="BodyText"/>
        <w:rPr>
          <w:rFonts w:cs="Arial"/>
        </w:rPr>
      </w:pPr>
    </w:p>
    <w:p w:rsidR="00E9133B" w:rsidRDefault="00E9133B" w:rsidP="00E9133B">
      <w:pPr>
        <w:pStyle w:val="BodyText"/>
        <w:rPr>
          <w:rFonts w:cs="Arial"/>
        </w:rPr>
      </w:pPr>
      <w:r>
        <w:rPr>
          <w:rFonts w:cs="Arial"/>
        </w:rPr>
        <w:t>In 2013, the Commission will continue to adjudicate claims against Libya under Executive Order</w:t>
      </w:r>
    </w:p>
    <w:p w:rsidR="00E9133B" w:rsidRDefault="00E9133B" w:rsidP="00E9133B">
      <w:pPr>
        <w:pStyle w:val="BodyText"/>
        <w:rPr>
          <w:rFonts w:cs="Arial"/>
        </w:rPr>
      </w:pPr>
      <w:r>
        <w:rPr>
          <w:rFonts w:cs="Arial"/>
        </w:rPr>
        <w:t>13477 which implements the U.S.-Libya Claims Settlement Agreement and the Libyan Claims</w:t>
      </w:r>
    </w:p>
    <w:p w:rsidR="00E9133B" w:rsidRDefault="00E9133B" w:rsidP="00E9133B">
      <w:pPr>
        <w:pStyle w:val="BodyText"/>
        <w:rPr>
          <w:rFonts w:cs="Arial"/>
        </w:rPr>
      </w:pPr>
      <w:r>
        <w:rPr>
          <w:rFonts w:cs="Arial"/>
        </w:rPr>
        <w:t>Resolution Act.</w:t>
      </w:r>
    </w:p>
    <w:p w:rsidR="00E9133B" w:rsidRDefault="00E9133B" w:rsidP="00E9133B">
      <w:pPr>
        <w:pStyle w:val="BodyText"/>
        <w:rPr>
          <w:rFonts w:cs="Arial"/>
        </w:rPr>
      </w:pPr>
    </w:p>
    <w:p w:rsidR="00E9133B" w:rsidRDefault="00E9133B" w:rsidP="00E9133B">
      <w:pPr>
        <w:pStyle w:val="BodyText"/>
        <w:rPr>
          <w:rFonts w:cs="Arial"/>
        </w:rPr>
      </w:pPr>
      <w:r>
        <w:rPr>
          <w:rFonts w:cs="Arial"/>
        </w:rPr>
        <w:t>Under the International Claims Settlement Act of l949, as amended, and the 1995 U.S.-Albanian</w:t>
      </w:r>
    </w:p>
    <w:p w:rsidR="00E9133B" w:rsidRDefault="00E9133B" w:rsidP="00E9133B">
      <w:pPr>
        <w:pStyle w:val="BodyText"/>
        <w:rPr>
          <w:rFonts w:cs="Arial"/>
        </w:rPr>
      </w:pPr>
      <w:r>
        <w:rPr>
          <w:rFonts w:cs="Arial"/>
        </w:rPr>
        <w:t>Claims settlement agreement and the 2006 modification of that agreement, the Commission will</w:t>
      </w:r>
    </w:p>
    <w:p w:rsidR="00E9133B" w:rsidRDefault="00E9133B" w:rsidP="00E9133B">
      <w:pPr>
        <w:pStyle w:val="BodyText"/>
        <w:rPr>
          <w:rFonts w:cs="Arial"/>
        </w:rPr>
      </w:pPr>
      <w:r>
        <w:rPr>
          <w:rFonts w:cs="Arial"/>
        </w:rPr>
        <w:t>continue to have authority to make awards in any additional claims against Albania that may be filed.</w:t>
      </w:r>
    </w:p>
    <w:p w:rsidR="00E9133B" w:rsidRDefault="00E9133B" w:rsidP="00E9133B">
      <w:pPr>
        <w:pStyle w:val="BodyText"/>
        <w:rPr>
          <w:rFonts w:cs="Arial"/>
        </w:rPr>
      </w:pPr>
    </w:p>
    <w:p w:rsidR="00E9133B" w:rsidRDefault="00E9133B" w:rsidP="00E9133B">
      <w:pPr>
        <w:pStyle w:val="BodyText"/>
        <w:rPr>
          <w:rFonts w:cs="Arial"/>
        </w:rPr>
      </w:pPr>
      <w:r>
        <w:rPr>
          <w:rFonts w:cs="Arial"/>
        </w:rPr>
        <w:t>The Commission will also research and respond to requests for information concerning properties exprop</w:t>
      </w:r>
      <w:r w:rsidR="00661AF1">
        <w:rPr>
          <w:rFonts w:cs="Arial"/>
        </w:rPr>
        <w:t>riated by the Castro regime in C</w:t>
      </w:r>
      <w:r>
        <w:rPr>
          <w:rFonts w:cs="Arial"/>
        </w:rPr>
        <w:t>uba, in support of the Department of State’s</w:t>
      </w:r>
    </w:p>
    <w:p w:rsidR="00E9133B" w:rsidRDefault="00E9133B" w:rsidP="00E9133B">
      <w:pPr>
        <w:pStyle w:val="BodyText"/>
        <w:rPr>
          <w:rFonts w:cs="Arial"/>
        </w:rPr>
      </w:pPr>
      <w:r>
        <w:rPr>
          <w:rFonts w:cs="Arial"/>
        </w:rPr>
        <w:t xml:space="preserve">Continuing implementation of Title IV of the Cuban Liberty and Democratic Solidarity (LIBERTAD) Act of l996 (the “Helms-Burton Act”).  In addition, the Commission will continue to engage in preliminary planning for a possible future program relating to Guam and a program involving claims against Iraq.  The Commission will also provide, upon request, technical assistance to the Department of State in conducting government-to-government claims settlement </w:t>
      </w:r>
    </w:p>
    <w:p w:rsidR="00E9133B" w:rsidRDefault="00E9133B" w:rsidP="00E9133B">
      <w:pPr>
        <w:pStyle w:val="BodyText"/>
        <w:rPr>
          <w:rFonts w:cs="Arial"/>
        </w:rPr>
      </w:pPr>
      <w:r>
        <w:rPr>
          <w:rFonts w:cs="Arial"/>
        </w:rPr>
        <w:t>negotiations.</w:t>
      </w:r>
    </w:p>
    <w:p w:rsidR="00E9133B" w:rsidRDefault="00E9133B" w:rsidP="00E9133B">
      <w:pPr>
        <w:pStyle w:val="BodyText"/>
        <w:rPr>
          <w:rFonts w:cs="Arial"/>
        </w:rPr>
      </w:pPr>
    </w:p>
    <w:p w:rsidR="00E9133B" w:rsidRDefault="00E9133B" w:rsidP="00E9133B">
      <w:pPr>
        <w:pStyle w:val="BodyText"/>
        <w:rPr>
          <w:rFonts w:cs="Arial"/>
        </w:rPr>
      </w:pPr>
      <w:r>
        <w:rPr>
          <w:rFonts w:cs="Arial"/>
        </w:rPr>
        <w:t>Under the War Claims Act of 1948, as amended, the Commission will continue to have authority to award compensation to any previously uncompensated American servicemen held as prisoners of war in Southeast Asia during the Vietnam conflict, or their survivors, for inadequate rations and inhumane treatment while in captivity.</w:t>
      </w:r>
    </w:p>
    <w:p w:rsidR="005D39D7" w:rsidRDefault="005D39D7">
      <w:pPr>
        <w:pStyle w:val="BodyText"/>
        <w:rPr>
          <w:i/>
          <w:iCs/>
        </w:rPr>
      </w:pPr>
    </w:p>
    <w:p w:rsidR="000C42F5" w:rsidRDefault="000C42F5" w:rsidP="000C42F5">
      <w:pPr>
        <w:pStyle w:val="BodyText"/>
        <w:rPr>
          <w:iCs/>
        </w:rPr>
      </w:pPr>
    </w:p>
    <w:p w:rsidR="000C42F5" w:rsidRDefault="000C42F5" w:rsidP="000C42F5">
      <w:pPr>
        <w:pStyle w:val="BodyText"/>
        <w:rPr>
          <w:i/>
          <w:iCs/>
        </w:rPr>
      </w:pPr>
      <w:r>
        <w:rPr>
          <w:i/>
          <w:iCs/>
        </w:rPr>
        <w:t xml:space="preserve"> </w:t>
      </w:r>
    </w:p>
    <w:p w:rsidR="00994022" w:rsidRDefault="00994022">
      <w:pPr>
        <w:pStyle w:val="BodyText"/>
        <w:rPr>
          <w:i/>
          <w:iCs/>
        </w:rPr>
      </w:pPr>
    </w:p>
    <w:p w:rsidR="00994022" w:rsidRDefault="00994022">
      <w:pPr>
        <w:pStyle w:val="BodyText"/>
        <w:rPr>
          <w:i/>
          <w:iCs/>
        </w:rPr>
      </w:pPr>
    </w:p>
    <w:p w:rsidR="00994022" w:rsidRDefault="00994022">
      <w:pPr>
        <w:pStyle w:val="BodyText"/>
        <w:rPr>
          <w:i/>
          <w:iCs/>
        </w:rPr>
      </w:pPr>
    </w:p>
    <w:p w:rsidR="00EA71F4" w:rsidRPr="00E8100E" w:rsidRDefault="005E7312" w:rsidP="004E1245">
      <w:pPr>
        <w:pStyle w:val="Footer"/>
        <w:tabs>
          <w:tab w:val="clear" w:pos="8640"/>
          <w:tab w:val="left" w:leader="dot" w:pos="4320"/>
        </w:tabs>
        <w:rPr>
          <w:rFonts w:cs="Arial"/>
          <w:b/>
          <w:bCs/>
        </w:rPr>
      </w:pPr>
      <w:r>
        <w:rPr>
          <w:rFonts w:ascii="Times New Roman" w:hAnsi="Times New Roman"/>
          <w:b/>
          <w:sz w:val="28"/>
          <w:szCs w:val="28"/>
        </w:rPr>
        <w:lastRenderedPageBreak/>
        <w:t xml:space="preserve">VII. </w:t>
      </w:r>
      <w:r w:rsidR="00A733D6" w:rsidRPr="00E43151">
        <w:rPr>
          <w:rFonts w:ascii="Times New Roman" w:hAnsi="Times New Roman"/>
          <w:b/>
          <w:sz w:val="28"/>
          <w:szCs w:val="28"/>
        </w:rPr>
        <w:t xml:space="preserve">  </w:t>
      </w:r>
      <w:r w:rsidR="00224A36" w:rsidRPr="00E43151">
        <w:rPr>
          <w:rFonts w:ascii="Times New Roman" w:hAnsi="Times New Roman"/>
          <w:b/>
          <w:sz w:val="28"/>
          <w:szCs w:val="28"/>
        </w:rPr>
        <w:t>EXHIBITS</w:t>
      </w:r>
    </w:p>
    <w:sectPr w:rsidR="00EA71F4" w:rsidRPr="00E8100E" w:rsidSect="004E1245">
      <w:footerReference w:type="default" r:id="rId15"/>
      <w:pgSz w:w="12240" w:h="15840" w:code="1"/>
      <w:pgMar w:top="1152" w:right="1440" w:bottom="1152" w:left="144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2F8" w:rsidRDefault="009752F8">
      <w:r>
        <w:separator/>
      </w:r>
    </w:p>
  </w:endnote>
  <w:endnote w:type="continuationSeparator" w:id="0">
    <w:p w:rsidR="009752F8" w:rsidRDefault="009752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2E" w:rsidRDefault="0014182E">
    <w:pPr>
      <w:pStyle w:val="Footer"/>
      <w:jc w:val="center"/>
    </w:pPr>
  </w:p>
  <w:p w:rsidR="0014182E" w:rsidRDefault="00141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506"/>
      <w:docPartObj>
        <w:docPartGallery w:val="Page Numbers (Bottom of Page)"/>
        <w:docPartUnique/>
      </w:docPartObj>
    </w:sdtPr>
    <w:sdtContent>
      <w:p w:rsidR="0014182E" w:rsidRDefault="00CC28B7">
        <w:pPr>
          <w:pStyle w:val="Footer"/>
          <w:jc w:val="center"/>
        </w:pPr>
        <w:r>
          <w:fldChar w:fldCharType="begin"/>
        </w:r>
        <w:r w:rsidR="00F51EBD">
          <w:instrText xml:space="preserve"> PAGE   \* MERGEFORMAT </w:instrText>
        </w:r>
        <w:r>
          <w:fldChar w:fldCharType="separate"/>
        </w:r>
        <w:r w:rsidR="00AF54CE">
          <w:rPr>
            <w:noProof/>
          </w:rPr>
          <w:t>4</w:t>
        </w:r>
        <w:r>
          <w:rPr>
            <w:noProof/>
          </w:rPr>
          <w:fldChar w:fldCharType="end"/>
        </w:r>
      </w:p>
    </w:sdtContent>
  </w:sdt>
  <w:p w:rsidR="0014182E" w:rsidRDefault="001418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2E" w:rsidRDefault="00CC28B7" w:rsidP="004E1245">
    <w:pPr>
      <w:pStyle w:val="Footer"/>
      <w:jc w:val="center"/>
    </w:pPr>
    <w:fldSimple w:instr=" PAGE   \* MERGEFORMAT ">
      <w:r w:rsidR="00AF54CE">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2F8" w:rsidRDefault="009752F8">
      <w:r>
        <w:separator/>
      </w:r>
    </w:p>
  </w:footnote>
  <w:footnote w:type="continuationSeparator" w:id="0">
    <w:p w:rsidR="009752F8" w:rsidRDefault="00975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3517BB9"/>
    <w:multiLevelType w:val="hybridMultilevel"/>
    <w:tmpl w:val="52D8AE20"/>
    <w:lvl w:ilvl="0" w:tplc="4C6E713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EC7A50"/>
    <w:multiLevelType w:val="hybridMultilevel"/>
    <w:tmpl w:val="AF1675E0"/>
    <w:lvl w:ilvl="0" w:tplc="238E6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36800"/>
    <w:multiLevelType w:val="hybridMultilevel"/>
    <w:tmpl w:val="223CE12C"/>
    <w:lvl w:ilvl="0" w:tplc="DDFA5E90">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45B5E"/>
    <w:multiLevelType w:val="hybridMultilevel"/>
    <w:tmpl w:val="14484AB2"/>
    <w:lvl w:ilvl="0" w:tplc="0DA6DC1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16394D"/>
    <w:multiLevelType w:val="hybridMultilevel"/>
    <w:tmpl w:val="8222DF40"/>
    <w:lvl w:ilvl="0" w:tplc="866660D0">
      <w:start w:val="6"/>
      <w:numFmt w:val="upperLetter"/>
      <w:pStyle w:val="Heading4"/>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424BF3"/>
    <w:multiLevelType w:val="hybridMultilevel"/>
    <w:tmpl w:val="3A763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42463E"/>
    <w:multiLevelType w:val="hybridMultilevel"/>
    <w:tmpl w:val="EE34CC46"/>
    <w:lvl w:ilvl="0" w:tplc="5BFC4E0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1516D"/>
    <w:multiLevelType w:val="hybridMultilevel"/>
    <w:tmpl w:val="06DC63F8"/>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9B5124"/>
    <w:multiLevelType w:val="hybridMultilevel"/>
    <w:tmpl w:val="09066C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9E3C58"/>
    <w:multiLevelType w:val="hybridMultilevel"/>
    <w:tmpl w:val="401A9C9E"/>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B06FF9"/>
    <w:multiLevelType w:val="hybridMultilevel"/>
    <w:tmpl w:val="B5FAD184"/>
    <w:lvl w:ilvl="0" w:tplc="7BD86D8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16">
    <w:nsid w:val="3BDA6996"/>
    <w:multiLevelType w:val="hybridMultilevel"/>
    <w:tmpl w:val="AB3A829A"/>
    <w:lvl w:ilvl="0" w:tplc="F8C2B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5842DC"/>
    <w:multiLevelType w:val="hybridMultilevel"/>
    <w:tmpl w:val="8EF4A872"/>
    <w:lvl w:ilvl="0" w:tplc="EA9856AC">
      <w:start w:val="1"/>
      <w:numFmt w:val="upperLetter"/>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18">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4F69FD"/>
    <w:multiLevelType w:val="hybridMultilevel"/>
    <w:tmpl w:val="B636A7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F384E"/>
    <w:multiLevelType w:val="hybridMultilevel"/>
    <w:tmpl w:val="0C7404F8"/>
    <w:lvl w:ilvl="0" w:tplc="9384B4C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203F35"/>
    <w:multiLevelType w:val="hybridMultilevel"/>
    <w:tmpl w:val="0D32B6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02D232A"/>
    <w:multiLevelType w:val="hybridMultilevel"/>
    <w:tmpl w:val="4D205C3E"/>
    <w:lvl w:ilvl="0" w:tplc="142AF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78628B"/>
    <w:multiLevelType w:val="hybridMultilevel"/>
    <w:tmpl w:val="AFA61E16"/>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993998"/>
    <w:multiLevelType w:val="hybridMultilevel"/>
    <w:tmpl w:val="73B2086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99621A3"/>
    <w:multiLevelType w:val="hybridMultilevel"/>
    <w:tmpl w:val="319ECDC4"/>
    <w:lvl w:ilvl="0" w:tplc="42867C80">
      <w:start w:val="1"/>
      <w:numFmt w:val="upperRoman"/>
      <w:lvlText w:val="%1."/>
      <w:lvlJc w:val="left"/>
      <w:pPr>
        <w:tabs>
          <w:tab w:val="num" w:pos="1080"/>
        </w:tabs>
        <w:ind w:left="1080" w:hanging="720"/>
      </w:pPr>
      <w:rPr>
        <w:rFonts w:eastAsia="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652264"/>
    <w:multiLevelType w:val="hybridMultilevel"/>
    <w:tmpl w:val="F81273F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2813F6F"/>
    <w:multiLevelType w:val="hybridMultilevel"/>
    <w:tmpl w:val="7FE619F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B6424DD"/>
    <w:multiLevelType w:val="hybridMultilevel"/>
    <w:tmpl w:val="B8C04148"/>
    <w:lvl w:ilvl="0" w:tplc="3C82CCAE">
      <w:start w:val="1"/>
      <w:numFmt w:val="lowerLetter"/>
      <w:lvlText w:val="%1."/>
      <w:lvlJc w:val="left"/>
      <w:pPr>
        <w:ind w:left="835" w:hanging="8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6B309D"/>
    <w:multiLevelType w:val="hybridMultilevel"/>
    <w:tmpl w:val="D264D5A4"/>
    <w:lvl w:ilvl="0" w:tplc="DE96A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906E47"/>
    <w:multiLevelType w:val="hybridMultilevel"/>
    <w:tmpl w:val="57942CA0"/>
    <w:lvl w:ilvl="0" w:tplc="C0A4C9CE">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A73754"/>
    <w:multiLevelType w:val="hybridMultilevel"/>
    <w:tmpl w:val="EF82FA1E"/>
    <w:lvl w:ilvl="0" w:tplc="3894F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423E21"/>
    <w:multiLevelType w:val="hybridMultilevel"/>
    <w:tmpl w:val="E35023A6"/>
    <w:lvl w:ilvl="0" w:tplc="E2C67FA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8"/>
  </w:num>
  <w:num w:numId="3">
    <w:abstractNumId w:val="12"/>
  </w:num>
  <w:num w:numId="4">
    <w:abstractNumId w:val="2"/>
  </w:num>
  <w:num w:numId="5">
    <w:abstractNumId w:val="32"/>
  </w:num>
  <w:num w:numId="6">
    <w:abstractNumId w:val="6"/>
  </w:num>
  <w:num w:numId="7">
    <w:abstractNumId w:val="33"/>
  </w:num>
  <w:num w:numId="8">
    <w:abstractNumId w:val="24"/>
  </w:num>
  <w:num w:numId="9">
    <w:abstractNumId w:val="18"/>
  </w:num>
  <w:num w:numId="10">
    <w:abstractNumId w:val="11"/>
  </w:num>
  <w:num w:numId="11">
    <w:abstractNumId w:val="26"/>
  </w:num>
  <w:num w:numId="12">
    <w:abstractNumId w:val="21"/>
  </w:num>
  <w:num w:numId="13">
    <w:abstractNumId w:val="4"/>
  </w:num>
  <w:num w:numId="14">
    <w:abstractNumId w:val="14"/>
  </w:num>
  <w:num w:numId="15">
    <w:abstractNumId w:val="0"/>
  </w:num>
  <w:num w:numId="16">
    <w:abstractNumId w:val="19"/>
  </w:num>
  <w:num w:numId="17">
    <w:abstractNumId w:val="10"/>
  </w:num>
  <w:num w:numId="18">
    <w:abstractNumId w:val="1"/>
    <w:lvlOverride w:ilvl="0">
      <w:lvl w:ilvl="0">
        <w:numFmt w:val="bullet"/>
        <w:lvlText w:val=""/>
        <w:legacy w:legacy="1" w:legacySpace="0" w:legacyIndent="0"/>
        <w:lvlJc w:val="left"/>
        <w:rPr>
          <w:rFonts w:ascii="Symbol" w:hAnsi="Symbol" w:hint="default"/>
        </w:rPr>
      </w:lvl>
    </w:lvlOverride>
  </w:num>
  <w:num w:numId="19">
    <w:abstractNumId w:val="20"/>
  </w:num>
  <w:num w:numId="20">
    <w:abstractNumId w:val="27"/>
  </w:num>
  <w:num w:numId="21">
    <w:abstractNumId w:val="25"/>
  </w:num>
  <w:num w:numId="22">
    <w:abstractNumId w:val="29"/>
  </w:num>
  <w:num w:numId="23">
    <w:abstractNumId w:val="3"/>
  </w:num>
  <w:num w:numId="24">
    <w:abstractNumId w:val="15"/>
  </w:num>
  <w:num w:numId="25">
    <w:abstractNumId w:val="7"/>
  </w:num>
  <w:num w:numId="26">
    <w:abstractNumId w:val="13"/>
  </w:num>
  <w:num w:numId="27">
    <w:abstractNumId w:val="9"/>
  </w:num>
  <w:num w:numId="28">
    <w:abstractNumId w:val="1"/>
    <w:lvlOverride w:ilvl="0">
      <w:lvl w:ilvl="0">
        <w:numFmt w:val="bullet"/>
        <w:lvlText w:val=""/>
        <w:legacy w:legacy="1" w:legacySpace="0" w:legacyIndent="0"/>
        <w:lvlJc w:val="left"/>
        <w:pPr>
          <w:ind w:left="0" w:firstLine="0"/>
        </w:pPr>
        <w:rPr>
          <w:rFonts w:ascii="Symbol" w:hAnsi="Symbol" w:hint="default"/>
          <w:color w:val="auto"/>
          <w:sz w:val="24"/>
          <w:szCs w:val="24"/>
        </w:rPr>
      </w:lvl>
    </w:lvlOverride>
  </w:num>
  <w:num w:numId="29">
    <w:abstractNumId w:val="30"/>
  </w:num>
  <w:num w:numId="30">
    <w:abstractNumId w:val="31"/>
  </w:num>
  <w:num w:numId="31">
    <w:abstractNumId w:val="16"/>
  </w:num>
  <w:num w:numId="32">
    <w:abstractNumId w:val="34"/>
  </w:num>
  <w:num w:numId="33">
    <w:abstractNumId w:val="5"/>
  </w:num>
  <w:num w:numId="34">
    <w:abstractNumId w:val="23"/>
  </w:num>
  <w:num w:numId="35">
    <w:abstractNumId w:val="35"/>
  </w:num>
  <w:num w:numId="36">
    <w:abstractNumId w:val="22"/>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drawingGridHorizontalSpacing w:val="120"/>
  <w:displayHorizontalDrawingGridEvery w:val="2"/>
  <w:noPunctuationKerning/>
  <w:characterSpacingControl w:val="doNotCompress"/>
  <w:hdrShapeDefaults>
    <o:shapedefaults v:ext="edit" spidmax="165890"/>
  </w:hdrShapeDefaults>
  <w:footnotePr>
    <w:footnote w:id="-1"/>
    <w:footnote w:id="0"/>
  </w:footnotePr>
  <w:endnotePr>
    <w:endnote w:id="-1"/>
    <w:endnote w:id="0"/>
  </w:endnotePr>
  <w:compat/>
  <w:rsids>
    <w:rsidRoot w:val="003D0E7B"/>
    <w:rsid w:val="000014DA"/>
    <w:rsid w:val="0000365E"/>
    <w:rsid w:val="00004327"/>
    <w:rsid w:val="00005EFD"/>
    <w:rsid w:val="00006EDF"/>
    <w:rsid w:val="00011207"/>
    <w:rsid w:val="0001481B"/>
    <w:rsid w:val="00014F8E"/>
    <w:rsid w:val="000164DC"/>
    <w:rsid w:val="000203AA"/>
    <w:rsid w:val="000214F1"/>
    <w:rsid w:val="00023728"/>
    <w:rsid w:val="00025EF7"/>
    <w:rsid w:val="00027909"/>
    <w:rsid w:val="00030811"/>
    <w:rsid w:val="0003390B"/>
    <w:rsid w:val="00034954"/>
    <w:rsid w:val="00040336"/>
    <w:rsid w:val="00042B3C"/>
    <w:rsid w:val="00044C68"/>
    <w:rsid w:val="0004767B"/>
    <w:rsid w:val="00050E0C"/>
    <w:rsid w:val="00051D53"/>
    <w:rsid w:val="00052FD6"/>
    <w:rsid w:val="00053DBF"/>
    <w:rsid w:val="00053DD2"/>
    <w:rsid w:val="00054E33"/>
    <w:rsid w:val="00054F1F"/>
    <w:rsid w:val="000553F7"/>
    <w:rsid w:val="00056F09"/>
    <w:rsid w:val="00064A6C"/>
    <w:rsid w:val="00064C0C"/>
    <w:rsid w:val="0006543F"/>
    <w:rsid w:val="0006689A"/>
    <w:rsid w:val="00070433"/>
    <w:rsid w:val="00073538"/>
    <w:rsid w:val="00073644"/>
    <w:rsid w:val="00073844"/>
    <w:rsid w:val="0007449E"/>
    <w:rsid w:val="000755B1"/>
    <w:rsid w:val="00077567"/>
    <w:rsid w:val="00080297"/>
    <w:rsid w:val="00084944"/>
    <w:rsid w:val="00086EDF"/>
    <w:rsid w:val="0009064D"/>
    <w:rsid w:val="000937A9"/>
    <w:rsid w:val="000A0803"/>
    <w:rsid w:val="000A1682"/>
    <w:rsid w:val="000A224F"/>
    <w:rsid w:val="000A3E86"/>
    <w:rsid w:val="000A40C2"/>
    <w:rsid w:val="000A71A4"/>
    <w:rsid w:val="000B5AE9"/>
    <w:rsid w:val="000C084A"/>
    <w:rsid w:val="000C1FBF"/>
    <w:rsid w:val="000C3194"/>
    <w:rsid w:val="000C40C2"/>
    <w:rsid w:val="000C42F5"/>
    <w:rsid w:val="000C79E1"/>
    <w:rsid w:val="000D228D"/>
    <w:rsid w:val="000D2512"/>
    <w:rsid w:val="000D4435"/>
    <w:rsid w:val="000D4ED2"/>
    <w:rsid w:val="000D73EC"/>
    <w:rsid w:val="000D74C1"/>
    <w:rsid w:val="000E2AEC"/>
    <w:rsid w:val="000F15A2"/>
    <w:rsid w:val="000F2A30"/>
    <w:rsid w:val="000F321C"/>
    <w:rsid w:val="000F5A92"/>
    <w:rsid w:val="000F5C92"/>
    <w:rsid w:val="000F7E92"/>
    <w:rsid w:val="001012AA"/>
    <w:rsid w:val="00104C69"/>
    <w:rsid w:val="001071A0"/>
    <w:rsid w:val="00110881"/>
    <w:rsid w:val="001116B5"/>
    <w:rsid w:val="001123BA"/>
    <w:rsid w:val="0011291B"/>
    <w:rsid w:val="00113A1D"/>
    <w:rsid w:val="00116809"/>
    <w:rsid w:val="001227F9"/>
    <w:rsid w:val="001237B0"/>
    <w:rsid w:val="00126B7E"/>
    <w:rsid w:val="001347E9"/>
    <w:rsid w:val="001363C1"/>
    <w:rsid w:val="0014163B"/>
    <w:rsid w:val="0014182E"/>
    <w:rsid w:val="00142988"/>
    <w:rsid w:val="001436CB"/>
    <w:rsid w:val="00151D91"/>
    <w:rsid w:val="001526DA"/>
    <w:rsid w:val="0016008A"/>
    <w:rsid w:val="001608AB"/>
    <w:rsid w:val="00160F1A"/>
    <w:rsid w:val="00161168"/>
    <w:rsid w:val="001613C6"/>
    <w:rsid w:val="00161547"/>
    <w:rsid w:val="0016157F"/>
    <w:rsid w:val="00161B65"/>
    <w:rsid w:val="001630CF"/>
    <w:rsid w:val="00163AD7"/>
    <w:rsid w:val="00165BD8"/>
    <w:rsid w:val="00171CDE"/>
    <w:rsid w:val="00175289"/>
    <w:rsid w:val="00175569"/>
    <w:rsid w:val="00180538"/>
    <w:rsid w:val="001811F7"/>
    <w:rsid w:val="00181487"/>
    <w:rsid w:val="00181E11"/>
    <w:rsid w:val="00184F7E"/>
    <w:rsid w:val="0019205E"/>
    <w:rsid w:val="00194FAA"/>
    <w:rsid w:val="00195CBC"/>
    <w:rsid w:val="001A3012"/>
    <w:rsid w:val="001A6122"/>
    <w:rsid w:val="001B00D1"/>
    <w:rsid w:val="001B0BE7"/>
    <w:rsid w:val="001B1FC5"/>
    <w:rsid w:val="001B2A05"/>
    <w:rsid w:val="001B2AFD"/>
    <w:rsid w:val="001B31B3"/>
    <w:rsid w:val="001B55EB"/>
    <w:rsid w:val="001B5D53"/>
    <w:rsid w:val="001B5DB4"/>
    <w:rsid w:val="001C0F82"/>
    <w:rsid w:val="001C163E"/>
    <w:rsid w:val="001C2463"/>
    <w:rsid w:val="001D0D9A"/>
    <w:rsid w:val="001D13BD"/>
    <w:rsid w:val="001D1825"/>
    <w:rsid w:val="001D42D9"/>
    <w:rsid w:val="001E532B"/>
    <w:rsid w:val="001E72A1"/>
    <w:rsid w:val="001F3BCA"/>
    <w:rsid w:val="001F7D1F"/>
    <w:rsid w:val="002015E7"/>
    <w:rsid w:val="0020204D"/>
    <w:rsid w:val="00203CA3"/>
    <w:rsid w:val="00204DE8"/>
    <w:rsid w:val="002112F5"/>
    <w:rsid w:val="002128B3"/>
    <w:rsid w:val="00214673"/>
    <w:rsid w:val="00217B3B"/>
    <w:rsid w:val="002218C8"/>
    <w:rsid w:val="00222AA8"/>
    <w:rsid w:val="00224A36"/>
    <w:rsid w:val="002258AB"/>
    <w:rsid w:val="00230F8A"/>
    <w:rsid w:val="00231886"/>
    <w:rsid w:val="00235B47"/>
    <w:rsid w:val="002371D6"/>
    <w:rsid w:val="00242306"/>
    <w:rsid w:val="00242E43"/>
    <w:rsid w:val="002456C9"/>
    <w:rsid w:val="0024599A"/>
    <w:rsid w:val="00251A04"/>
    <w:rsid w:val="00253E93"/>
    <w:rsid w:val="00256741"/>
    <w:rsid w:val="0026374C"/>
    <w:rsid w:val="002649C2"/>
    <w:rsid w:val="00266B82"/>
    <w:rsid w:val="0026799E"/>
    <w:rsid w:val="00270349"/>
    <w:rsid w:val="00271688"/>
    <w:rsid w:val="00272484"/>
    <w:rsid w:val="002810ED"/>
    <w:rsid w:val="00282951"/>
    <w:rsid w:val="00287806"/>
    <w:rsid w:val="0029047E"/>
    <w:rsid w:val="00292688"/>
    <w:rsid w:val="002930E6"/>
    <w:rsid w:val="00293AB3"/>
    <w:rsid w:val="00295130"/>
    <w:rsid w:val="002A0852"/>
    <w:rsid w:val="002A19E0"/>
    <w:rsid w:val="002A33D5"/>
    <w:rsid w:val="002A6C0A"/>
    <w:rsid w:val="002B2357"/>
    <w:rsid w:val="002B4426"/>
    <w:rsid w:val="002B6EFB"/>
    <w:rsid w:val="002B6F42"/>
    <w:rsid w:val="002B70A0"/>
    <w:rsid w:val="002C5589"/>
    <w:rsid w:val="002C664A"/>
    <w:rsid w:val="002D7A65"/>
    <w:rsid w:val="002E12B9"/>
    <w:rsid w:val="002E17AE"/>
    <w:rsid w:val="002E2783"/>
    <w:rsid w:val="002E27B7"/>
    <w:rsid w:val="002E3BE0"/>
    <w:rsid w:val="002E4AE7"/>
    <w:rsid w:val="002F12AF"/>
    <w:rsid w:val="002F6D16"/>
    <w:rsid w:val="002F6F98"/>
    <w:rsid w:val="00302546"/>
    <w:rsid w:val="00305761"/>
    <w:rsid w:val="00306000"/>
    <w:rsid w:val="00314ECA"/>
    <w:rsid w:val="00316F27"/>
    <w:rsid w:val="00317730"/>
    <w:rsid w:val="00323381"/>
    <w:rsid w:val="00323DF4"/>
    <w:rsid w:val="00324849"/>
    <w:rsid w:val="00325498"/>
    <w:rsid w:val="00326AC8"/>
    <w:rsid w:val="00330439"/>
    <w:rsid w:val="0033094F"/>
    <w:rsid w:val="00331BB9"/>
    <w:rsid w:val="00331BEA"/>
    <w:rsid w:val="00337579"/>
    <w:rsid w:val="00340FAB"/>
    <w:rsid w:val="003425B7"/>
    <w:rsid w:val="00346613"/>
    <w:rsid w:val="003501B6"/>
    <w:rsid w:val="003533D7"/>
    <w:rsid w:val="00356ECB"/>
    <w:rsid w:val="003578DC"/>
    <w:rsid w:val="0036043A"/>
    <w:rsid w:val="00360B53"/>
    <w:rsid w:val="00361B39"/>
    <w:rsid w:val="00366CF3"/>
    <w:rsid w:val="00372C3E"/>
    <w:rsid w:val="00375FC1"/>
    <w:rsid w:val="00380BA6"/>
    <w:rsid w:val="00380E89"/>
    <w:rsid w:val="00380F8D"/>
    <w:rsid w:val="00383B00"/>
    <w:rsid w:val="0038674E"/>
    <w:rsid w:val="00387586"/>
    <w:rsid w:val="00387B4A"/>
    <w:rsid w:val="00390FD9"/>
    <w:rsid w:val="00395CC5"/>
    <w:rsid w:val="00395D66"/>
    <w:rsid w:val="00396366"/>
    <w:rsid w:val="00396410"/>
    <w:rsid w:val="00396FB8"/>
    <w:rsid w:val="003A1222"/>
    <w:rsid w:val="003A290E"/>
    <w:rsid w:val="003A38EA"/>
    <w:rsid w:val="003A7660"/>
    <w:rsid w:val="003A7922"/>
    <w:rsid w:val="003B0557"/>
    <w:rsid w:val="003B05E8"/>
    <w:rsid w:val="003B0CB9"/>
    <w:rsid w:val="003B1544"/>
    <w:rsid w:val="003B2E8C"/>
    <w:rsid w:val="003B54BC"/>
    <w:rsid w:val="003D0667"/>
    <w:rsid w:val="003D0B97"/>
    <w:rsid w:val="003D0E7B"/>
    <w:rsid w:val="003D0FEA"/>
    <w:rsid w:val="003D177A"/>
    <w:rsid w:val="003D2773"/>
    <w:rsid w:val="003D365F"/>
    <w:rsid w:val="003D3E88"/>
    <w:rsid w:val="003D6467"/>
    <w:rsid w:val="003E08AD"/>
    <w:rsid w:val="003E0DB9"/>
    <w:rsid w:val="003E0E22"/>
    <w:rsid w:val="003E5664"/>
    <w:rsid w:val="003E615F"/>
    <w:rsid w:val="003E746C"/>
    <w:rsid w:val="003F2498"/>
    <w:rsid w:val="003F3373"/>
    <w:rsid w:val="00400AC4"/>
    <w:rsid w:val="00400C58"/>
    <w:rsid w:val="00402BDA"/>
    <w:rsid w:val="00405708"/>
    <w:rsid w:val="00413D62"/>
    <w:rsid w:val="004168F0"/>
    <w:rsid w:val="00417846"/>
    <w:rsid w:val="00426797"/>
    <w:rsid w:val="00426ED9"/>
    <w:rsid w:val="00427F7F"/>
    <w:rsid w:val="00431903"/>
    <w:rsid w:val="00433BB2"/>
    <w:rsid w:val="00435152"/>
    <w:rsid w:val="004365F4"/>
    <w:rsid w:val="004366EC"/>
    <w:rsid w:val="00436703"/>
    <w:rsid w:val="00436958"/>
    <w:rsid w:val="00437BA4"/>
    <w:rsid w:val="00442363"/>
    <w:rsid w:val="00446A90"/>
    <w:rsid w:val="00447729"/>
    <w:rsid w:val="004541D0"/>
    <w:rsid w:val="00454202"/>
    <w:rsid w:val="00457FD6"/>
    <w:rsid w:val="00461E17"/>
    <w:rsid w:val="004636CB"/>
    <w:rsid w:val="0047187B"/>
    <w:rsid w:val="004724B4"/>
    <w:rsid w:val="004739E3"/>
    <w:rsid w:val="004753FC"/>
    <w:rsid w:val="0048075E"/>
    <w:rsid w:val="00487EFA"/>
    <w:rsid w:val="004918D1"/>
    <w:rsid w:val="004929D4"/>
    <w:rsid w:val="00493966"/>
    <w:rsid w:val="00494B65"/>
    <w:rsid w:val="004952A7"/>
    <w:rsid w:val="004973D2"/>
    <w:rsid w:val="004A0FF7"/>
    <w:rsid w:val="004A707A"/>
    <w:rsid w:val="004B1656"/>
    <w:rsid w:val="004B23A6"/>
    <w:rsid w:val="004B698D"/>
    <w:rsid w:val="004B775C"/>
    <w:rsid w:val="004C00BB"/>
    <w:rsid w:val="004C078B"/>
    <w:rsid w:val="004C1AF6"/>
    <w:rsid w:val="004C2FBB"/>
    <w:rsid w:val="004C581E"/>
    <w:rsid w:val="004D1D69"/>
    <w:rsid w:val="004E1245"/>
    <w:rsid w:val="004E215A"/>
    <w:rsid w:val="004E425D"/>
    <w:rsid w:val="004E471A"/>
    <w:rsid w:val="004E48F4"/>
    <w:rsid w:val="004F263A"/>
    <w:rsid w:val="004F7D52"/>
    <w:rsid w:val="005040A7"/>
    <w:rsid w:val="00505030"/>
    <w:rsid w:val="00507DEF"/>
    <w:rsid w:val="00511AD2"/>
    <w:rsid w:val="00511AFB"/>
    <w:rsid w:val="00511FC8"/>
    <w:rsid w:val="00514CFA"/>
    <w:rsid w:val="00515ADA"/>
    <w:rsid w:val="00520607"/>
    <w:rsid w:val="00533085"/>
    <w:rsid w:val="0053315A"/>
    <w:rsid w:val="005360B6"/>
    <w:rsid w:val="00540A7B"/>
    <w:rsid w:val="00540F18"/>
    <w:rsid w:val="005454B0"/>
    <w:rsid w:val="00546185"/>
    <w:rsid w:val="00546DF7"/>
    <w:rsid w:val="005479FF"/>
    <w:rsid w:val="00547FE3"/>
    <w:rsid w:val="005552FF"/>
    <w:rsid w:val="00555DF0"/>
    <w:rsid w:val="005632D9"/>
    <w:rsid w:val="005647DA"/>
    <w:rsid w:val="00566F63"/>
    <w:rsid w:val="00566F71"/>
    <w:rsid w:val="0056748D"/>
    <w:rsid w:val="005730E5"/>
    <w:rsid w:val="00574941"/>
    <w:rsid w:val="00581610"/>
    <w:rsid w:val="00582BB7"/>
    <w:rsid w:val="00584C3E"/>
    <w:rsid w:val="00584CB3"/>
    <w:rsid w:val="0059020B"/>
    <w:rsid w:val="005913FF"/>
    <w:rsid w:val="005914FD"/>
    <w:rsid w:val="00591E0A"/>
    <w:rsid w:val="00592284"/>
    <w:rsid w:val="00592C7D"/>
    <w:rsid w:val="00592F15"/>
    <w:rsid w:val="00593CBE"/>
    <w:rsid w:val="005955E2"/>
    <w:rsid w:val="00597C85"/>
    <w:rsid w:val="005A13AA"/>
    <w:rsid w:val="005A1919"/>
    <w:rsid w:val="005B391D"/>
    <w:rsid w:val="005B4F15"/>
    <w:rsid w:val="005B52B7"/>
    <w:rsid w:val="005B6BB2"/>
    <w:rsid w:val="005C0B24"/>
    <w:rsid w:val="005C16EA"/>
    <w:rsid w:val="005C1702"/>
    <w:rsid w:val="005C1780"/>
    <w:rsid w:val="005C21DC"/>
    <w:rsid w:val="005C37D9"/>
    <w:rsid w:val="005C388B"/>
    <w:rsid w:val="005C54BC"/>
    <w:rsid w:val="005C624C"/>
    <w:rsid w:val="005D14B4"/>
    <w:rsid w:val="005D1D6B"/>
    <w:rsid w:val="005D2FF1"/>
    <w:rsid w:val="005D39D7"/>
    <w:rsid w:val="005D4B63"/>
    <w:rsid w:val="005E018C"/>
    <w:rsid w:val="005E7312"/>
    <w:rsid w:val="005F06B9"/>
    <w:rsid w:val="005F37CD"/>
    <w:rsid w:val="005F48E6"/>
    <w:rsid w:val="00601A72"/>
    <w:rsid w:val="006039C5"/>
    <w:rsid w:val="00604A97"/>
    <w:rsid w:val="00611931"/>
    <w:rsid w:val="00611BA5"/>
    <w:rsid w:val="00611E26"/>
    <w:rsid w:val="00612476"/>
    <w:rsid w:val="006153BA"/>
    <w:rsid w:val="00615A4D"/>
    <w:rsid w:val="00617017"/>
    <w:rsid w:val="006258A4"/>
    <w:rsid w:val="00627644"/>
    <w:rsid w:val="0063149D"/>
    <w:rsid w:val="0063361D"/>
    <w:rsid w:val="0063524B"/>
    <w:rsid w:val="0063600D"/>
    <w:rsid w:val="006364D4"/>
    <w:rsid w:val="006366E2"/>
    <w:rsid w:val="00637F58"/>
    <w:rsid w:val="006425DA"/>
    <w:rsid w:val="00643E6B"/>
    <w:rsid w:val="00652CD4"/>
    <w:rsid w:val="00660989"/>
    <w:rsid w:val="00661AF1"/>
    <w:rsid w:val="006629F4"/>
    <w:rsid w:val="0066304C"/>
    <w:rsid w:val="00663D4C"/>
    <w:rsid w:val="00670138"/>
    <w:rsid w:val="00670357"/>
    <w:rsid w:val="00672BFB"/>
    <w:rsid w:val="006751EA"/>
    <w:rsid w:val="00675254"/>
    <w:rsid w:val="00681570"/>
    <w:rsid w:val="00682A53"/>
    <w:rsid w:val="006906DE"/>
    <w:rsid w:val="0069364A"/>
    <w:rsid w:val="00693F48"/>
    <w:rsid w:val="00695EDC"/>
    <w:rsid w:val="006A152C"/>
    <w:rsid w:val="006A29E1"/>
    <w:rsid w:val="006A2FE8"/>
    <w:rsid w:val="006A30E2"/>
    <w:rsid w:val="006A58E7"/>
    <w:rsid w:val="006A64F6"/>
    <w:rsid w:val="006B4CA9"/>
    <w:rsid w:val="006C1CE0"/>
    <w:rsid w:val="006C3CBC"/>
    <w:rsid w:val="006C689E"/>
    <w:rsid w:val="006D4CAF"/>
    <w:rsid w:val="006E00F4"/>
    <w:rsid w:val="006E01E3"/>
    <w:rsid w:val="006E3B4B"/>
    <w:rsid w:val="006E6513"/>
    <w:rsid w:val="006E6833"/>
    <w:rsid w:val="006F3D67"/>
    <w:rsid w:val="006F53CB"/>
    <w:rsid w:val="00704FB3"/>
    <w:rsid w:val="007055B6"/>
    <w:rsid w:val="00705837"/>
    <w:rsid w:val="0070729D"/>
    <w:rsid w:val="00710A68"/>
    <w:rsid w:val="007139B4"/>
    <w:rsid w:val="00713F17"/>
    <w:rsid w:val="00714D28"/>
    <w:rsid w:val="00715480"/>
    <w:rsid w:val="00717DAE"/>
    <w:rsid w:val="00721A17"/>
    <w:rsid w:val="00721FAA"/>
    <w:rsid w:val="007234E3"/>
    <w:rsid w:val="00723782"/>
    <w:rsid w:val="007241C6"/>
    <w:rsid w:val="00725180"/>
    <w:rsid w:val="007252C8"/>
    <w:rsid w:val="00727606"/>
    <w:rsid w:val="0073201D"/>
    <w:rsid w:val="00734CE0"/>
    <w:rsid w:val="00736FFF"/>
    <w:rsid w:val="007371B8"/>
    <w:rsid w:val="00740FB3"/>
    <w:rsid w:val="007461F7"/>
    <w:rsid w:val="0074635C"/>
    <w:rsid w:val="0074768F"/>
    <w:rsid w:val="00754EC3"/>
    <w:rsid w:val="00760480"/>
    <w:rsid w:val="00764C71"/>
    <w:rsid w:val="00765D56"/>
    <w:rsid w:val="0076666E"/>
    <w:rsid w:val="007671F5"/>
    <w:rsid w:val="0077106C"/>
    <w:rsid w:val="00771421"/>
    <w:rsid w:val="007734F8"/>
    <w:rsid w:val="00774848"/>
    <w:rsid w:val="007749AA"/>
    <w:rsid w:val="00776054"/>
    <w:rsid w:val="0078303E"/>
    <w:rsid w:val="007876CB"/>
    <w:rsid w:val="007918BF"/>
    <w:rsid w:val="00792186"/>
    <w:rsid w:val="00792421"/>
    <w:rsid w:val="007975E7"/>
    <w:rsid w:val="007979FE"/>
    <w:rsid w:val="007A0327"/>
    <w:rsid w:val="007A2829"/>
    <w:rsid w:val="007A3F28"/>
    <w:rsid w:val="007A688C"/>
    <w:rsid w:val="007B0CF3"/>
    <w:rsid w:val="007B3004"/>
    <w:rsid w:val="007B406F"/>
    <w:rsid w:val="007B55EE"/>
    <w:rsid w:val="007B6252"/>
    <w:rsid w:val="007B6B33"/>
    <w:rsid w:val="007B6E98"/>
    <w:rsid w:val="007C0D16"/>
    <w:rsid w:val="007C238C"/>
    <w:rsid w:val="007C4781"/>
    <w:rsid w:val="007C570E"/>
    <w:rsid w:val="007C6230"/>
    <w:rsid w:val="007D12F5"/>
    <w:rsid w:val="007D230C"/>
    <w:rsid w:val="007D3848"/>
    <w:rsid w:val="007D48F9"/>
    <w:rsid w:val="007D54FB"/>
    <w:rsid w:val="007E23AD"/>
    <w:rsid w:val="007E613C"/>
    <w:rsid w:val="007F22A9"/>
    <w:rsid w:val="007F45A2"/>
    <w:rsid w:val="007F4D5D"/>
    <w:rsid w:val="007F6312"/>
    <w:rsid w:val="008021AD"/>
    <w:rsid w:val="00806020"/>
    <w:rsid w:val="00813296"/>
    <w:rsid w:val="00813D86"/>
    <w:rsid w:val="00815081"/>
    <w:rsid w:val="00816635"/>
    <w:rsid w:val="008240C7"/>
    <w:rsid w:val="0082475E"/>
    <w:rsid w:val="008313E6"/>
    <w:rsid w:val="00831442"/>
    <w:rsid w:val="00835472"/>
    <w:rsid w:val="00836002"/>
    <w:rsid w:val="0084110B"/>
    <w:rsid w:val="008451EF"/>
    <w:rsid w:val="00851836"/>
    <w:rsid w:val="008530DA"/>
    <w:rsid w:val="008557F1"/>
    <w:rsid w:val="0086381F"/>
    <w:rsid w:val="00864C4C"/>
    <w:rsid w:val="00864C63"/>
    <w:rsid w:val="0087406B"/>
    <w:rsid w:val="00874AAE"/>
    <w:rsid w:val="0087565C"/>
    <w:rsid w:val="00875A38"/>
    <w:rsid w:val="00880581"/>
    <w:rsid w:val="0088138A"/>
    <w:rsid w:val="00881D1D"/>
    <w:rsid w:val="00890A9F"/>
    <w:rsid w:val="00890DB6"/>
    <w:rsid w:val="0089496B"/>
    <w:rsid w:val="00897522"/>
    <w:rsid w:val="0089771B"/>
    <w:rsid w:val="00897AE4"/>
    <w:rsid w:val="008A0516"/>
    <w:rsid w:val="008A14E2"/>
    <w:rsid w:val="008A2076"/>
    <w:rsid w:val="008A2CA4"/>
    <w:rsid w:val="008B1BAC"/>
    <w:rsid w:val="008B256E"/>
    <w:rsid w:val="008B295B"/>
    <w:rsid w:val="008B3EC5"/>
    <w:rsid w:val="008B4DB2"/>
    <w:rsid w:val="008B672C"/>
    <w:rsid w:val="008B73AA"/>
    <w:rsid w:val="008C043E"/>
    <w:rsid w:val="008C0946"/>
    <w:rsid w:val="008C4C9E"/>
    <w:rsid w:val="008C62DD"/>
    <w:rsid w:val="008D0C2A"/>
    <w:rsid w:val="008D27AC"/>
    <w:rsid w:val="008D46B7"/>
    <w:rsid w:val="008D6134"/>
    <w:rsid w:val="008E2B1C"/>
    <w:rsid w:val="008F0F4B"/>
    <w:rsid w:val="008F16D0"/>
    <w:rsid w:val="008F460B"/>
    <w:rsid w:val="008F5966"/>
    <w:rsid w:val="008F7449"/>
    <w:rsid w:val="008F7450"/>
    <w:rsid w:val="009017AA"/>
    <w:rsid w:val="00906DF9"/>
    <w:rsid w:val="00910CDC"/>
    <w:rsid w:val="009136AE"/>
    <w:rsid w:val="009147A6"/>
    <w:rsid w:val="00925A5F"/>
    <w:rsid w:val="00925CD7"/>
    <w:rsid w:val="0093076A"/>
    <w:rsid w:val="00930DD2"/>
    <w:rsid w:val="00932800"/>
    <w:rsid w:val="00934D0C"/>
    <w:rsid w:val="00944269"/>
    <w:rsid w:val="009445F2"/>
    <w:rsid w:val="00950ADA"/>
    <w:rsid w:val="009567FE"/>
    <w:rsid w:val="0095733D"/>
    <w:rsid w:val="00962547"/>
    <w:rsid w:val="00966209"/>
    <w:rsid w:val="009664CC"/>
    <w:rsid w:val="00966944"/>
    <w:rsid w:val="00967760"/>
    <w:rsid w:val="00971703"/>
    <w:rsid w:val="0097259E"/>
    <w:rsid w:val="009741C7"/>
    <w:rsid w:val="009752F8"/>
    <w:rsid w:val="00982480"/>
    <w:rsid w:val="009842DA"/>
    <w:rsid w:val="00984836"/>
    <w:rsid w:val="00984AD4"/>
    <w:rsid w:val="00986914"/>
    <w:rsid w:val="00987CF2"/>
    <w:rsid w:val="0099189E"/>
    <w:rsid w:val="00993556"/>
    <w:rsid w:val="0099399E"/>
    <w:rsid w:val="00994022"/>
    <w:rsid w:val="009968A2"/>
    <w:rsid w:val="009A0E76"/>
    <w:rsid w:val="009A25D8"/>
    <w:rsid w:val="009A4734"/>
    <w:rsid w:val="009A6696"/>
    <w:rsid w:val="009A710D"/>
    <w:rsid w:val="009B1199"/>
    <w:rsid w:val="009B20DE"/>
    <w:rsid w:val="009B257E"/>
    <w:rsid w:val="009B744E"/>
    <w:rsid w:val="009C031F"/>
    <w:rsid w:val="009C0463"/>
    <w:rsid w:val="009C51CD"/>
    <w:rsid w:val="009C62D0"/>
    <w:rsid w:val="009C6CE3"/>
    <w:rsid w:val="009C7A02"/>
    <w:rsid w:val="009E0965"/>
    <w:rsid w:val="009E0FEA"/>
    <w:rsid w:val="009E12C8"/>
    <w:rsid w:val="009E164D"/>
    <w:rsid w:val="009E6E14"/>
    <w:rsid w:val="009F000E"/>
    <w:rsid w:val="009F0B96"/>
    <w:rsid w:val="009F5F9D"/>
    <w:rsid w:val="009F6B30"/>
    <w:rsid w:val="00A02026"/>
    <w:rsid w:val="00A0266B"/>
    <w:rsid w:val="00A02E36"/>
    <w:rsid w:val="00A06230"/>
    <w:rsid w:val="00A0692E"/>
    <w:rsid w:val="00A11970"/>
    <w:rsid w:val="00A13AA0"/>
    <w:rsid w:val="00A17DA7"/>
    <w:rsid w:val="00A20E8E"/>
    <w:rsid w:val="00A219EA"/>
    <w:rsid w:val="00A22995"/>
    <w:rsid w:val="00A25111"/>
    <w:rsid w:val="00A25C65"/>
    <w:rsid w:val="00A26879"/>
    <w:rsid w:val="00A274D8"/>
    <w:rsid w:val="00A419B0"/>
    <w:rsid w:val="00A542D4"/>
    <w:rsid w:val="00A54895"/>
    <w:rsid w:val="00A55D7E"/>
    <w:rsid w:val="00A55F6D"/>
    <w:rsid w:val="00A56B6E"/>
    <w:rsid w:val="00A6112B"/>
    <w:rsid w:val="00A62C56"/>
    <w:rsid w:val="00A67E3F"/>
    <w:rsid w:val="00A72594"/>
    <w:rsid w:val="00A733D6"/>
    <w:rsid w:val="00A74B1F"/>
    <w:rsid w:val="00A75052"/>
    <w:rsid w:val="00A826DB"/>
    <w:rsid w:val="00A867D1"/>
    <w:rsid w:val="00A87425"/>
    <w:rsid w:val="00A92439"/>
    <w:rsid w:val="00A949BA"/>
    <w:rsid w:val="00A964E5"/>
    <w:rsid w:val="00A965C2"/>
    <w:rsid w:val="00A96A25"/>
    <w:rsid w:val="00AA3992"/>
    <w:rsid w:val="00AB1422"/>
    <w:rsid w:val="00AB5E25"/>
    <w:rsid w:val="00AC06DD"/>
    <w:rsid w:val="00AC1A1A"/>
    <w:rsid w:val="00AC2C96"/>
    <w:rsid w:val="00AC3F64"/>
    <w:rsid w:val="00AC4EC0"/>
    <w:rsid w:val="00AD2FD4"/>
    <w:rsid w:val="00AD3063"/>
    <w:rsid w:val="00AD424C"/>
    <w:rsid w:val="00AD55C0"/>
    <w:rsid w:val="00AD5EE6"/>
    <w:rsid w:val="00AD6A16"/>
    <w:rsid w:val="00AE0069"/>
    <w:rsid w:val="00AE1A8E"/>
    <w:rsid w:val="00AE3308"/>
    <w:rsid w:val="00AE49CB"/>
    <w:rsid w:val="00AE7490"/>
    <w:rsid w:val="00AF1926"/>
    <w:rsid w:val="00AF33F5"/>
    <w:rsid w:val="00AF3691"/>
    <w:rsid w:val="00AF4C0F"/>
    <w:rsid w:val="00AF54CE"/>
    <w:rsid w:val="00AF5F68"/>
    <w:rsid w:val="00AF7E9F"/>
    <w:rsid w:val="00B0138C"/>
    <w:rsid w:val="00B03805"/>
    <w:rsid w:val="00B03A1E"/>
    <w:rsid w:val="00B04FD6"/>
    <w:rsid w:val="00B058E9"/>
    <w:rsid w:val="00B05DA7"/>
    <w:rsid w:val="00B0613E"/>
    <w:rsid w:val="00B1024A"/>
    <w:rsid w:val="00B1333D"/>
    <w:rsid w:val="00B139E3"/>
    <w:rsid w:val="00B1486E"/>
    <w:rsid w:val="00B16C60"/>
    <w:rsid w:val="00B2226F"/>
    <w:rsid w:val="00B22919"/>
    <w:rsid w:val="00B23984"/>
    <w:rsid w:val="00B24952"/>
    <w:rsid w:val="00B270AC"/>
    <w:rsid w:val="00B27868"/>
    <w:rsid w:val="00B352EE"/>
    <w:rsid w:val="00B37CE7"/>
    <w:rsid w:val="00B40F82"/>
    <w:rsid w:val="00B44B15"/>
    <w:rsid w:val="00B461C2"/>
    <w:rsid w:val="00B46FED"/>
    <w:rsid w:val="00B50B54"/>
    <w:rsid w:val="00B50CCC"/>
    <w:rsid w:val="00B531D5"/>
    <w:rsid w:val="00B5344E"/>
    <w:rsid w:val="00B53587"/>
    <w:rsid w:val="00B54D23"/>
    <w:rsid w:val="00B57656"/>
    <w:rsid w:val="00B64D26"/>
    <w:rsid w:val="00B66E6E"/>
    <w:rsid w:val="00B70E30"/>
    <w:rsid w:val="00B7468D"/>
    <w:rsid w:val="00B748C3"/>
    <w:rsid w:val="00B75ADA"/>
    <w:rsid w:val="00B75B06"/>
    <w:rsid w:val="00B77982"/>
    <w:rsid w:val="00B8049B"/>
    <w:rsid w:val="00B82C37"/>
    <w:rsid w:val="00B83029"/>
    <w:rsid w:val="00B85B84"/>
    <w:rsid w:val="00B86509"/>
    <w:rsid w:val="00B86D37"/>
    <w:rsid w:val="00B87D1D"/>
    <w:rsid w:val="00B9229B"/>
    <w:rsid w:val="00BA355C"/>
    <w:rsid w:val="00BA627E"/>
    <w:rsid w:val="00BA6550"/>
    <w:rsid w:val="00BA740D"/>
    <w:rsid w:val="00BB0AD4"/>
    <w:rsid w:val="00BB1B98"/>
    <w:rsid w:val="00BB5538"/>
    <w:rsid w:val="00BC3C38"/>
    <w:rsid w:val="00BC3D84"/>
    <w:rsid w:val="00BC66C5"/>
    <w:rsid w:val="00BC7C5A"/>
    <w:rsid w:val="00BD0E43"/>
    <w:rsid w:val="00BD22F3"/>
    <w:rsid w:val="00BD44E0"/>
    <w:rsid w:val="00BD4814"/>
    <w:rsid w:val="00BD5106"/>
    <w:rsid w:val="00BD7466"/>
    <w:rsid w:val="00BE101E"/>
    <w:rsid w:val="00BE111F"/>
    <w:rsid w:val="00BE21EA"/>
    <w:rsid w:val="00BF0A8E"/>
    <w:rsid w:val="00BF15A3"/>
    <w:rsid w:val="00BF1ED2"/>
    <w:rsid w:val="00BF2C74"/>
    <w:rsid w:val="00BF35A7"/>
    <w:rsid w:val="00BF6388"/>
    <w:rsid w:val="00BF7C7F"/>
    <w:rsid w:val="00C01747"/>
    <w:rsid w:val="00C019AC"/>
    <w:rsid w:val="00C04EF3"/>
    <w:rsid w:val="00C070CB"/>
    <w:rsid w:val="00C11B01"/>
    <w:rsid w:val="00C124E8"/>
    <w:rsid w:val="00C1318B"/>
    <w:rsid w:val="00C143A7"/>
    <w:rsid w:val="00C14907"/>
    <w:rsid w:val="00C22A2A"/>
    <w:rsid w:val="00C24B0B"/>
    <w:rsid w:val="00C25D4E"/>
    <w:rsid w:val="00C265BC"/>
    <w:rsid w:val="00C30C7B"/>
    <w:rsid w:val="00C33FC8"/>
    <w:rsid w:val="00C35A96"/>
    <w:rsid w:val="00C36DD2"/>
    <w:rsid w:val="00C37F85"/>
    <w:rsid w:val="00C40B38"/>
    <w:rsid w:val="00C50CEF"/>
    <w:rsid w:val="00C52AFB"/>
    <w:rsid w:val="00C562F6"/>
    <w:rsid w:val="00C62824"/>
    <w:rsid w:val="00C64FAA"/>
    <w:rsid w:val="00C67A91"/>
    <w:rsid w:val="00C7120E"/>
    <w:rsid w:val="00C74952"/>
    <w:rsid w:val="00C75359"/>
    <w:rsid w:val="00C8040C"/>
    <w:rsid w:val="00C804DA"/>
    <w:rsid w:val="00C83BA7"/>
    <w:rsid w:val="00C918A7"/>
    <w:rsid w:val="00C94ABB"/>
    <w:rsid w:val="00C9669E"/>
    <w:rsid w:val="00C97183"/>
    <w:rsid w:val="00CA05A2"/>
    <w:rsid w:val="00CA09EF"/>
    <w:rsid w:val="00CA3C1B"/>
    <w:rsid w:val="00CA6E35"/>
    <w:rsid w:val="00CB08A0"/>
    <w:rsid w:val="00CC1EF3"/>
    <w:rsid w:val="00CC28B7"/>
    <w:rsid w:val="00CC3680"/>
    <w:rsid w:val="00CC5EE1"/>
    <w:rsid w:val="00CD0B74"/>
    <w:rsid w:val="00CD4683"/>
    <w:rsid w:val="00CD5DDA"/>
    <w:rsid w:val="00CE3635"/>
    <w:rsid w:val="00CF22C7"/>
    <w:rsid w:val="00CF44BE"/>
    <w:rsid w:val="00CF4593"/>
    <w:rsid w:val="00CF49BE"/>
    <w:rsid w:val="00D0251C"/>
    <w:rsid w:val="00D03EAA"/>
    <w:rsid w:val="00D055BA"/>
    <w:rsid w:val="00D10210"/>
    <w:rsid w:val="00D108E3"/>
    <w:rsid w:val="00D10E98"/>
    <w:rsid w:val="00D12F8A"/>
    <w:rsid w:val="00D13CB9"/>
    <w:rsid w:val="00D14978"/>
    <w:rsid w:val="00D167DD"/>
    <w:rsid w:val="00D17876"/>
    <w:rsid w:val="00D203E4"/>
    <w:rsid w:val="00D2076E"/>
    <w:rsid w:val="00D21491"/>
    <w:rsid w:val="00D215A6"/>
    <w:rsid w:val="00D23376"/>
    <w:rsid w:val="00D32808"/>
    <w:rsid w:val="00D3425E"/>
    <w:rsid w:val="00D3644F"/>
    <w:rsid w:val="00D43B22"/>
    <w:rsid w:val="00D43CA3"/>
    <w:rsid w:val="00D441EC"/>
    <w:rsid w:val="00D47E3A"/>
    <w:rsid w:val="00D56F63"/>
    <w:rsid w:val="00D66019"/>
    <w:rsid w:val="00D66DE2"/>
    <w:rsid w:val="00D721A8"/>
    <w:rsid w:val="00D748A6"/>
    <w:rsid w:val="00D7524D"/>
    <w:rsid w:val="00D80138"/>
    <w:rsid w:val="00D80271"/>
    <w:rsid w:val="00D86EAF"/>
    <w:rsid w:val="00D96ACE"/>
    <w:rsid w:val="00D97E56"/>
    <w:rsid w:val="00DA09AF"/>
    <w:rsid w:val="00DA4058"/>
    <w:rsid w:val="00DA4A93"/>
    <w:rsid w:val="00DB3B33"/>
    <w:rsid w:val="00DB4827"/>
    <w:rsid w:val="00DB5178"/>
    <w:rsid w:val="00DB5593"/>
    <w:rsid w:val="00DB56EE"/>
    <w:rsid w:val="00DC1E5A"/>
    <w:rsid w:val="00DC2BF0"/>
    <w:rsid w:val="00DC2DB7"/>
    <w:rsid w:val="00DC3DC8"/>
    <w:rsid w:val="00DC6515"/>
    <w:rsid w:val="00DC7A46"/>
    <w:rsid w:val="00DD1E49"/>
    <w:rsid w:val="00DD31EC"/>
    <w:rsid w:val="00DD3546"/>
    <w:rsid w:val="00DD3C37"/>
    <w:rsid w:val="00DE33F7"/>
    <w:rsid w:val="00DE3B13"/>
    <w:rsid w:val="00DE42D9"/>
    <w:rsid w:val="00DE52CD"/>
    <w:rsid w:val="00DE5D4D"/>
    <w:rsid w:val="00DF07C7"/>
    <w:rsid w:val="00DF2218"/>
    <w:rsid w:val="00DF5712"/>
    <w:rsid w:val="00DF6AD8"/>
    <w:rsid w:val="00E0065D"/>
    <w:rsid w:val="00E01FDF"/>
    <w:rsid w:val="00E02D50"/>
    <w:rsid w:val="00E0311A"/>
    <w:rsid w:val="00E041EE"/>
    <w:rsid w:val="00E0504C"/>
    <w:rsid w:val="00E06ABE"/>
    <w:rsid w:val="00E076EB"/>
    <w:rsid w:val="00E07B93"/>
    <w:rsid w:val="00E103D2"/>
    <w:rsid w:val="00E140E3"/>
    <w:rsid w:val="00E20934"/>
    <w:rsid w:val="00E26360"/>
    <w:rsid w:val="00E26385"/>
    <w:rsid w:val="00E30816"/>
    <w:rsid w:val="00E37324"/>
    <w:rsid w:val="00E43151"/>
    <w:rsid w:val="00E43A0F"/>
    <w:rsid w:val="00E4629C"/>
    <w:rsid w:val="00E4726E"/>
    <w:rsid w:val="00E50DF4"/>
    <w:rsid w:val="00E51DDF"/>
    <w:rsid w:val="00E52707"/>
    <w:rsid w:val="00E5498E"/>
    <w:rsid w:val="00E62A98"/>
    <w:rsid w:val="00E62C8B"/>
    <w:rsid w:val="00E668DC"/>
    <w:rsid w:val="00E71297"/>
    <w:rsid w:val="00E7488F"/>
    <w:rsid w:val="00E8100E"/>
    <w:rsid w:val="00E81A46"/>
    <w:rsid w:val="00E827DB"/>
    <w:rsid w:val="00E8360B"/>
    <w:rsid w:val="00E8410B"/>
    <w:rsid w:val="00E847B2"/>
    <w:rsid w:val="00E84B8D"/>
    <w:rsid w:val="00E9094F"/>
    <w:rsid w:val="00E90F31"/>
    <w:rsid w:val="00E9133B"/>
    <w:rsid w:val="00E95E51"/>
    <w:rsid w:val="00E96B32"/>
    <w:rsid w:val="00EA0A76"/>
    <w:rsid w:val="00EA1DC0"/>
    <w:rsid w:val="00EA2520"/>
    <w:rsid w:val="00EA71F4"/>
    <w:rsid w:val="00EA7CF0"/>
    <w:rsid w:val="00EB01EC"/>
    <w:rsid w:val="00EB04A3"/>
    <w:rsid w:val="00EB2312"/>
    <w:rsid w:val="00EB2D1F"/>
    <w:rsid w:val="00EB301E"/>
    <w:rsid w:val="00EB4C7E"/>
    <w:rsid w:val="00EC1415"/>
    <w:rsid w:val="00EC6E85"/>
    <w:rsid w:val="00EC7220"/>
    <w:rsid w:val="00EC7BCE"/>
    <w:rsid w:val="00ED0B5E"/>
    <w:rsid w:val="00ED2627"/>
    <w:rsid w:val="00ED79B0"/>
    <w:rsid w:val="00EE1531"/>
    <w:rsid w:val="00EE16F7"/>
    <w:rsid w:val="00EE6333"/>
    <w:rsid w:val="00EE7701"/>
    <w:rsid w:val="00EF02A1"/>
    <w:rsid w:val="00EF20FD"/>
    <w:rsid w:val="00EF21CC"/>
    <w:rsid w:val="00EF2546"/>
    <w:rsid w:val="00EF49DC"/>
    <w:rsid w:val="00EF751C"/>
    <w:rsid w:val="00F043B0"/>
    <w:rsid w:val="00F0658B"/>
    <w:rsid w:val="00F1245B"/>
    <w:rsid w:val="00F13205"/>
    <w:rsid w:val="00F14ADB"/>
    <w:rsid w:val="00F15347"/>
    <w:rsid w:val="00F1552C"/>
    <w:rsid w:val="00F159F9"/>
    <w:rsid w:val="00F16EFE"/>
    <w:rsid w:val="00F20A1F"/>
    <w:rsid w:val="00F24802"/>
    <w:rsid w:val="00F24A99"/>
    <w:rsid w:val="00F26E4D"/>
    <w:rsid w:val="00F321C5"/>
    <w:rsid w:val="00F34FD3"/>
    <w:rsid w:val="00F36620"/>
    <w:rsid w:val="00F40141"/>
    <w:rsid w:val="00F41668"/>
    <w:rsid w:val="00F422C9"/>
    <w:rsid w:val="00F429DA"/>
    <w:rsid w:val="00F44157"/>
    <w:rsid w:val="00F506BE"/>
    <w:rsid w:val="00F51EBD"/>
    <w:rsid w:val="00F51ED1"/>
    <w:rsid w:val="00F5377D"/>
    <w:rsid w:val="00F55A35"/>
    <w:rsid w:val="00F57FCD"/>
    <w:rsid w:val="00F60E94"/>
    <w:rsid w:val="00F63F64"/>
    <w:rsid w:val="00F71790"/>
    <w:rsid w:val="00F71A04"/>
    <w:rsid w:val="00F77864"/>
    <w:rsid w:val="00F807FB"/>
    <w:rsid w:val="00F81BB0"/>
    <w:rsid w:val="00F836E4"/>
    <w:rsid w:val="00F84DFA"/>
    <w:rsid w:val="00F865B4"/>
    <w:rsid w:val="00F86E61"/>
    <w:rsid w:val="00F87281"/>
    <w:rsid w:val="00F90ABC"/>
    <w:rsid w:val="00F91C17"/>
    <w:rsid w:val="00F92A16"/>
    <w:rsid w:val="00F9306B"/>
    <w:rsid w:val="00F964CF"/>
    <w:rsid w:val="00F97AFD"/>
    <w:rsid w:val="00FA00B4"/>
    <w:rsid w:val="00FA2839"/>
    <w:rsid w:val="00FA475F"/>
    <w:rsid w:val="00FA59CC"/>
    <w:rsid w:val="00FA65F2"/>
    <w:rsid w:val="00FB1FE2"/>
    <w:rsid w:val="00FB3DB9"/>
    <w:rsid w:val="00FC00DD"/>
    <w:rsid w:val="00FC41DD"/>
    <w:rsid w:val="00FC4A03"/>
    <w:rsid w:val="00FC6F30"/>
    <w:rsid w:val="00FD156A"/>
    <w:rsid w:val="00FD1C96"/>
    <w:rsid w:val="00FD3A36"/>
    <w:rsid w:val="00FD58C7"/>
    <w:rsid w:val="00FD765A"/>
    <w:rsid w:val="00FE0746"/>
    <w:rsid w:val="00FE650A"/>
    <w:rsid w:val="00FF1D21"/>
    <w:rsid w:val="00FF4172"/>
    <w:rsid w:val="00FF5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rsid w:val="00717DAE"/>
    <w:pPr>
      <w:keepNext/>
      <w:jc w:val="center"/>
      <w:outlineLvl w:val="0"/>
    </w:pPr>
    <w:rPr>
      <w:rFonts w:ascii="Courier" w:hAnsi="Courier"/>
      <w:b/>
      <w:szCs w:val="20"/>
    </w:rPr>
  </w:style>
  <w:style w:type="paragraph" w:styleId="Heading2">
    <w:name w:val="heading 2"/>
    <w:basedOn w:val="Normal"/>
    <w:next w:val="Normal"/>
    <w:qFormat/>
    <w:rsid w:val="00717DAE"/>
    <w:pPr>
      <w:keepNext/>
      <w:jc w:val="right"/>
      <w:outlineLvl w:val="1"/>
    </w:pPr>
    <w:rPr>
      <w:rFonts w:ascii="Arial" w:hAnsi="Arial"/>
      <w:b/>
      <w:sz w:val="20"/>
      <w:szCs w:val="20"/>
      <w:u w:val="single"/>
    </w:rPr>
  </w:style>
  <w:style w:type="paragraph" w:styleId="Heading3">
    <w:name w:val="heading 3"/>
    <w:basedOn w:val="Normal"/>
    <w:next w:val="Normal"/>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717DAE"/>
    <w:pPr>
      <w:keepNext/>
      <w:numPr>
        <w:numId w:val="2"/>
      </w:numPr>
      <w:outlineLvl w:val="3"/>
    </w:pPr>
    <w:rPr>
      <w:rFonts w:ascii="Courier New" w:hAnsi="Courier New"/>
      <w:b/>
      <w:szCs w:val="20"/>
    </w:rPr>
  </w:style>
  <w:style w:type="paragraph" w:styleId="Heading5">
    <w:name w:val="heading 5"/>
    <w:basedOn w:val="Normal"/>
    <w:next w:val="Normal"/>
    <w:qFormat/>
    <w:rsid w:val="00717DAE"/>
    <w:pPr>
      <w:keepNext/>
      <w:outlineLvl w:val="4"/>
    </w:pPr>
    <w:rPr>
      <w:b/>
      <w:bCs/>
      <w:sz w:val="18"/>
    </w:rPr>
  </w:style>
  <w:style w:type="paragraph" w:styleId="Heading6">
    <w:name w:val="heading 6"/>
    <w:basedOn w:val="Normal"/>
    <w:next w:val="Normal"/>
    <w:qFormat/>
    <w:rsid w:val="00717DAE"/>
    <w:pPr>
      <w:keepNext/>
      <w:numPr>
        <w:numId w:val="1"/>
      </w:numPr>
      <w:outlineLvl w:val="5"/>
    </w:pPr>
    <w:rPr>
      <w:b/>
      <w:szCs w:val="20"/>
    </w:rPr>
  </w:style>
  <w:style w:type="paragraph" w:styleId="Heading7">
    <w:name w:val="heading 7"/>
    <w:basedOn w:val="Normal"/>
    <w:next w:val="Normal"/>
    <w:qFormat/>
    <w:rsid w:val="00717DAE"/>
    <w:pPr>
      <w:keepNext/>
      <w:jc w:val="center"/>
      <w:outlineLvl w:val="6"/>
    </w:pPr>
    <w:rPr>
      <w:szCs w:val="20"/>
    </w:rPr>
  </w:style>
  <w:style w:type="paragraph" w:styleId="Heading8">
    <w:name w:val="heading 8"/>
    <w:basedOn w:val="Normal"/>
    <w:next w:val="Normal"/>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qFormat/>
    <w:rsid w:val="00717DAE"/>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717DAE"/>
    <w:pPr>
      <w:spacing w:before="100" w:after="100"/>
    </w:pPr>
    <w:rPr>
      <w:rFonts w:eastAsia="Arial Unicode MS"/>
      <w:szCs w:val="20"/>
    </w:rPr>
  </w:style>
  <w:style w:type="paragraph" w:customStyle="1" w:styleId="APP-3A">
    <w:name w:val="APP-3A"/>
    <w:rsid w:val="00717DAE"/>
    <w:rPr>
      <w:rFonts w:ascii="Arial" w:hAnsi="Arial"/>
      <w:b/>
    </w:rPr>
  </w:style>
  <w:style w:type="paragraph" w:customStyle="1" w:styleId="xl33">
    <w:name w:val="xl33"/>
    <w:basedOn w:val="Normal"/>
    <w:rsid w:val="00717DAE"/>
    <w:pPr>
      <w:spacing w:before="100" w:after="100"/>
      <w:jc w:val="center"/>
    </w:pPr>
    <w:rPr>
      <w:rFonts w:ascii="Arial" w:eastAsia="Arial Unicode MS" w:hAnsi="Arial"/>
      <w:b/>
      <w:szCs w:val="20"/>
    </w:rPr>
  </w:style>
  <w:style w:type="paragraph" w:styleId="BodyText">
    <w:name w:val="Body Text"/>
    <w:aliases w:val="Hanging,body text,bt,heading3,NCDOT Body Text,1body,BodText,Body Txt,FL IND"/>
    <w:basedOn w:val="Normal"/>
    <w:link w:val="BodyTextChar"/>
    <w:rsid w:val="00717DAE"/>
    <w:rPr>
      <w:szCs w:val="20"/>
    </w:rPr>
  </w:style>
  <w:style w:type="paragraph" w:customStyle="1" w:styleId="xl27">
    <w:name w:val="xl27"/>
    <w:basedOn w:val="Normal"/>
    <w:rsid w:val="00717DAE"/>
    <w:pPr>
      <w:spacing w:before="100" w:after="100"/>
    </w:pPr>
    <w:rPr>
      <w:rFonts w:ascii="Arial" w:eastAsia="Arial Unicode MS" w:hAnsi="Arial"/>
      <w:b/>
      <w:szCs w:val="20"/>
    </w:rPr>
  </w:style>
  <w:style w:type="paragraph" w:styleId="FootnoteText">
    <w:name w:val="footnote text"/>
    <w:basedOn w:val="Normal"/>
    <w:semiHidden/>
    <w:rsid w:val="00717DAE"/>
    <w:rPr>
      <w:sz w:val="20"/>
      <w:szCs w:val="20"/>
    </w:rPr>
  </w:style>
  <w:style w:type="paragraph" w:customStyle="1" w:styleId="xl34">
    <w:name w:val="xl34"/>
    <w:basedOn w:val="Normal"/>
    <w:rsid w:val="00717DAE"/>
    <w:pPr>
      <w:spacing w:before="100" w:after="100"/>
      <w:jc w:val="center"/>
    </w:pPr>
    <w:rPr>
      <w:rFonts w:eastAsia="Arial Unicode MS"/>
      <w:b/>
      <w:sz w:val="20"/>
      <w:szCs w:val="20"/>
    </w:rPr>
  </w:style>
  <w:style w:type="paragraph" w:styleId="Title">
    <w:name w:val="Title"/>
    <w:basedOn w:val="Normal"/>
    <w:qFormat/>
    <w:rsid w:val="00717DAE"/>
    <w:pPr>
      <w:ind w:left="720"/>
      <w:jc w:val="center"/>
    </w:pPr>
    <w:rPr>
      <w:b/>
      <w:i/>
      <w:szCs w:val="20"/>
    </w:rPr>
  </w:style>
  <w:style w:type="paragraph" w:styleId="BodyText2">
    <w:name w:val="Body Text 2"/>
    <w:basedOn w:val="Normal"/>
    <w:rsid w:val="00717DAE"/>
    <w:rPr>
      <w:sz w:val="20"/>
      <w:szCs w:val="20"/>
    </w:rPr>
  </w:style>
  <w:style w:type="paragraph" w:styleId="Header">
    <w:name w:val="header"/>
    <w:basedOn w:val="Normal"/>
    <w:rsid w:val="00717DAE"/>
    <w:pPr>
      <w:tabs>
        <w:tab w:val="center" w:pos="4320"/>
        <w:tab w:val="right" w:pos="8640"/>
      </w:tabs>
    </w:pPr>
    <w:rPr>
      <w:rFonts w:ascii="CG Times" w:hAnsi="CG Times"/>
      <w:szCs w:val="20"/>
    </w:rPr>
  </w:style>
  <w:style w:type="paragraph" w:customStyle="1" w:styleId="xl24">
    <w:name w:val="xl24"/>
    <w:basedOn w:val="Normal"/>
    <w:rsid w:val="00717DAE"/>
    <w:pPr>
      <w:spacing w:before="100" w:after="100"/>
    </w:pPr>
    <w:rPr>
      <w:rFonts w:eastAsia="Arial Unicode MS"/>
      <w:szCs w:val="20"/>
      <w:u w:val="single"/>
    </w:rPr>
  </w:style>
  <w:style w:type="paragraph" w:styleId="BodyText3">
    <w:name w:val="Body Text 3"/>
    <w:basedOn w:val="Normal"/>
    <w:rsid w:val="00717DAE"/>
    <w:rPr>
      <w:color w:val="000000"/>
      <w:szCs w:val="20"/>
    </w:rPr>
  </w:style>
  <w:style w:type="paragraph" w:customStyle="1" w:styleId="xl22">
    <w:name w:val="xl22"/>
    <w:basedOn w:val="Normal"/>
    <w:rsid w:val="00717DAE"/>
    <w:pPr>
      <w:spacing w:before="100" w:after="100"/>
      <w:jc w:val="center"/>
    </w:pPr>
    <w:rPr>
      <w:rFonts w:eastAsia="Arial Unicode MS"/>
      <w:szCs w:val="20"/>
      <w:u w:val="single"/>
    </w:rPr>
  </w:style>
  <w:style w:type="paragraph" w:styleId="TOC1">
    <w:name w:val="toc 1"/>
    <w:basedOn w:val="Normal"/>
    <w:next w:val="Normal"/>
    <w:autoRedefine/>
    <w:semiHidden/>
    <w:rsid w:val="00717DAE"/>
    <w:pPr>
      <w:jc w:val="right"/>
    </w:pPr>
    <w:rPr>
      <w:szCs w:val="20"/>
    </w:rPr>
  </w:style>
  <w:style w:type="paragraph" w:styleId="TOAHeading">
    <w:name w:val="toa heading"/>
    <w:basedOn w:val="Normal"/>
    <w:next w:val="Normal"/>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717DAE"/>
  </w:style>
  <w:style w:type="paragraph" w:styleId="BodyTextIndent">
    <w:name w:val="Body Text Indent"/>
    <w:basedOn w:val="Normal"/>
    <w:link w:val="BodyTextIndentChar"/>
    <w:rsid w:val="00717DAE"/>
    <w:pPr>
      <w:tabs>
        <w:tab w:val="left" w:leader="dot" w:pos="7920"/>
        <w:tab w:val="right" w:pos="8640"/>
      </w:tabs>
      <w:ind w:left="720"/>
    </w:pPr>
    <w:rPr>
      <w:bCs/>
      <w:i/>
      <w:iCs/>
    </w:rPr>
  </w:style>
  <w:style w:type="paragraph" w:styleId="BalloonText">
    <w:name w:val="Balloon Text"/>
    <w:basedOn w:val="Normal"/>
    <w:semiHidden/>
    <w:rsid w:val="00717DAE"/>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color w:val="0000FF"/>
      <w:u w:val="single"/>
    </w:rPr>
  </w:style>
  <w:style w:type="paragraph" w:styleId="ListParagraph">
    <w:name w:val="List Paragraph"/>
    <w:basedOn w:val="Normal"/>
    <w:uiPriority w:val="34"/>
    <w:qFormat/>
    <w:rsid w:val="00014F8E"/>
    <w:pPr>
      <w:ind w:left="720"/>
    </w:pPr>
  </w:style>
  <w:style w:type="character" w:customStyle="1" w:styleId="FooterChar">
    <w:name w:val="Footer Char"/>
    <w:basedOn w:val="DefaultParagraphFont"/>
    <w:link w:val="Footer"/>
    <w:uiPriority w:val="99"/>
    <w:rsid w:val="00427F7F"/>
    <w:rPr>
      <w:rFonts w:ascii="Courier New" w:hAnsi="Courier New"/>
    </w:rPr>
  </w:style>
  <w:style w:type="character" w:customStyle="1" w:styleId="BodyTextIndentChar">
    <w:name w:val="Body Text Indent Char"/>
    <w:basedOn w:val="DefaultParagraphFont"/>
    <w:link w:val="BodyTextIndent"/>
    <w:rsid w:val="00705837"/>
    <w:rPr>
      <w:bCs/>
      <w:i/>
      <w:iCs/>
      <w:sz w:val="24"/>
      <w:szCs w:val="24"/>
    </w:rPr>
  </w:style>
  <w:style w:type="character" w:styleId="FollowedHyperlink">
    <w:name w:val="FollowedHyperlink"/>
    <w:basedOn w:val="DefaultParagraphFont"/>
    <w:rsid w:val="001363C1"/>
    <w:rPr>
      <w:color w:val="800080"/>
      <w:u w:val="single"/>
    </w:rPr>
  </w:style>
  <w:style w:type="character" w:customStyle="1" w:styleId="BodyTextChar">
    <w:name w:val="Body Text Char"/>
    <w:aliases w:val="Hanging Char,body text Char,bt Char,heading3 Char,NCDOT Body Text Char,1body Char,BodText Char,Body Txt Char,FL IND Char"/>
    <w:basedOn w:val="DefaultParagraphFont"/>
    <w:link w:val="BodyText"/>
    <w:uiPriority w:val="99"/>
    <w:rsid w:val="00BE101E"/>
    <w:rPr>
      <w:sz w:val="24"/>
    </w:rPr>
  </w:style>
  <w:style w:type="paragraph" w:customStyle="1" w:styleId="Style0">
    <w:name w:val="Style0"/>
    <w:rsid w:val="00511AFB"/>
    <w:pPr>
      <w:autoSpaceDE w:val="0"/>
      <w:autoSpaceDN w:val="0"/>
      <w:adjustRightInd w:val="0"/>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5486379">
      <w:bodyDiv w:val="1"/>
      <w:marLeft w:val="0"/>
      <w:marRight w:val="0"/>
      <w:marTop w:val="0"/>
      <w:marBottom w:val="0"/>
      <w:divBdr>
        <w:top w:val="none" w:sz="0" w:space="0" w:color="auto"/>
        <w:left w:val="none" w:sz="0" w:space="0" w:color="auto"/>
        <w:bottom w:val="none" w:sz="0" w:space="0" w:color="auto"/>
        <w:right w:val="none" w:sz="0" w:space="0" w:color="auto"/>
      </w:divBdr>
    </w:div>
    <w:div w:id="719209924">
      <w:bodyDiv w:val="1"/>
      <w:marLeft w:val="0"/>
      <w:marRight w:val="0"/>
      <w:marTop w:val="0"/>
      <w:marBottom w:val="0"/>
      <w:divBdr>
        <w:top w:val="none" w:sz="0" w:space="0" w:color="auto"/>
        <w:left w:val="none" w:sz="0" w:space="0" w:color="auto"/>
        <w:bottom w:val="none" w:sz="0" w:space="0" w:color="auto"/>
        <w:right w:val="none" w:sz="0" w:space="0" w:color="auto"/>
      </w:divBdr>
    </w:div>
    <w:div w:id="1018627245">
      <w:bodyDiv w:val="1"/>
      <w:marLeft w:val="0"/>
      <w:marRight w:val="0"/>
      <w:marTop w:val="0"/>
      <w:marBottom w:val="0"/>
      <w:divBdr>
        <w:top w:val="none" w:sz="0" w:space="0" w:color="auto"/>
        <w:left w:val="none" w:sz="0" w:space="0" w:color="auto"/>
        <w:bottom w:val="none" w:sz="0" w:space="0" w:color="auto"/>
        <w:right w:val="none" w:sz="0" w:space="0" w:color="auto"/>
      </w:divBdr>
    </w:div>
    <w:div w:id="1020816761">
      <w:bodyDiv w:val="1"/>
      <w:marLeft w:val="0"/>
      <w:marRight w:val="0"/>
      <w:marTop w:val="0"/>
      <w:marBottom w:val="0"/>
      <w:divBdr>
        <w:top w:val="none" w:sz="0" w:space="0" w:color="auto"/>
        <w:left w:val="none" w:sz="0" w:space="0" w:color="auto"/>
        <w:bottom w:val="none" w:sz="0" w:space="0" w:color="auto"/>
        <w:right w:val="none" w:sz="0" w:space="0" w:color="auto"/>
      </w:divBdr>
    </w:div>
    <w:div w:id="18383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Office_Excel_97-2003_Worksheet1.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sdoj.gov/jmd/2013justification/" TargetMode="External"/><Relationship Id="rId14" Type="http://schemas.openxmlformats.org/officeDocument/2006/relationships/oleObject" Target="embeddings/Microsoft_Office_Excel_97-2003_Worksheet2.xls"/><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789C-6A10-47C8-BEA3-969ACEAC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15404</CharactersWithSpaces>
  <SharedDoc>false</SharedDoc>
  <HLinks>
    <vt:vector size="18" baseType="variant">
      <vt:variant>
        <vt:i4>2752608</vt:i4>
      </vt:variant>
      <vt:variant>
        <vt:i4>6</vt:i4>
      </vt:variant>
      <vt:variant>
        <vt:i4>0</vt:i4>
      </vt:variant>
      <vt:variant>
        <vt:i4>5</vt:i4>
      </vt:variant>
      <vt:variant>
        <vt:lpwstr>http://www.usdoj.gov/jmd/ep</vt:lpwstr>
      </vt:variant>
      <vt:variant>
        <vt:lpwstr/>
      </vt:variant>
      <vt:variant>
        <vt:i4>8126583</vt:i4>
      </vt:variant>
      <vt:variant>
        <vt:i4>3</vt:i4>
      </vt:variant>
      <vt:variant>
        <vt:i4>0</vt:i4>
      </vt:variant>
      <vt:variant>
        <vt:i4>5</vt:i4>
      </vt:variant>
      <vt:variant>
        <vt:lpwstr>http://www.justice.gov/02organizations/bpp.htm</vt:lpwstr>
      </vt:variant>
      <vt:variant>
        <vt:lpwstr/>
      </vt:variant>
      <vt:variant>
        <vt:i4>2162721</vt:i4>
      </vt:variant>
      <vt:variant>
        <vt:i4>0</vt:i4>
      </vt:variant>
      <vt:variant>
        <vt:i4>0</vt:i4>
      </vt:variant>
      <vt:variant>
        <vt:i4>5</vt:i4>
      </vt:variant>
      <vt:variant>
        <vt:lpwstr>https://max.omb.gov/community/x/woEZIQ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debjones</dc:creator>
  <cp:lastModifiedBy>jhlock</cp:lastModifiedBy>
  <cp:revision>19</cp:revision>
  <cp:lastPrinted>2012-02-07T18:27:00Z</cp:lastPrinted>
  <dcterms:created xsi:type="dcterms:W3CDTF">2012-01-31T16:25:00Z</dcterms:created>
  <dcterms:modified xsi:type="dcterms:W3CDTF">2012-02-07T18:27:00Z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