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Override PartName="/word/footer6.xml" ContentType="application/vnd.openxmlformats-officedocument.wordprocessingml.footer+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E9" w:rsidRDefault="005D79DF" w:rsidP="00C27AA5">
      <w:pPr>
        <w:rPr>
          <w:rFonts w:ascii="Times New Roman Bold" w:hAnsi="Times New Roman Bold"/>
          <w:b/>
          <w:bCs/>
          <w:emboss/>
          <w:color w:val="FFFFFF"/>
          <w:sz w:val="72"/>
          <w:szCs w:val="72"/>
        </w:rPr>
      </w:pPr>
      <w:r>
        <w:rPr>
          <w:b/>
          <w:bCs/>
        </w:rPr>
        <w:t xml:space="preserve"> </w:t>
      </w:r>
      <w:r w:rsidR="00690E0E">
        <w:rPr>
          <w:b/>
          <w:bCs/>
        </w:rPr>
        <w:t>U.S. Department of Justice</w:t>
      </w:r>
      <w:r w:rsidR="004178E9">
        <w:rPr>
          <w:b/>
          <w:bCs/>
        </w:rPr>
        <w:t xml:space="preserve">             </w:t>
      </w:r>
    </w:p>
    <w:p w:rsidR="00B54490" w:rsidRPr="004178E9" w:rsidRDefault="0020092D" w:rsidP="00C27AA5">
      <w:pPr>
        <w:rPr>
          <w:i/>
          <w:iCs/>
          <w:sz w:val="56"/>
          <w:szCs w:val="56"/>
        </w:rPr>
      </w:pPr>
      <w:r>
        <w:rPr>
          <w:bCs/>
          <w:i/>
          <w:szCs w:val="24"/>
        </w:rPr>
        <w:t>Organized Crime Drug Enforcement Task Forces</w:t>
      </w:r>
    </w:p>
    <w:p w:rsidR="00B54490" w:rsidRPr="0020092D" w:rsidRDefault="00B54490" w:rsidP="00C27AA5">
      <w:pPr>
        <w:pBdr>
          <w:bottom w:val="thinThickSmallGap" w:sz="24" w:space="1" w:color="auto"/>
        </w:pBdr>
        <w:rPr>
          <w:b/>
          <w:bCs/>
          <w:i/>
          <w:iCs/>
          <w:sz w:val="16"/>
          <w:szCs w:val="16"/>
        </w:rPr>
      </w:pPr>
    </w:p>
    <w:p w:rsidR="00B54490" w:rsidRPr="00AC2B1C" w:rsidRDefault="00B54490" w:rsidP="00C27AA5">
      <w:pPr>
        <w:rPr>
          <w:i/>
          <w:iCs/>
          <w:sz w:val="56"/>
          <w:szCs w:val="56"/>
        </w:rPr>
      </w:pPr>
      <w:r w:rsidRPr="00AC2B1C">
        <w:rPr>
          <w:b/>
          <w:bCs/>
          <w:i/>
          <w:iCs/>
          <w:sz w:val="56"/>
          <w:szCs w:val="56"/>
        </w:rPr>
        <w:t>FY 201</w:t>
      </w:r>
      <w:r w:rsidR="00951775">
        <w:rPr>
          <w:b/>
          <w:bCs/>
          <w:i/>
          <w:iCs/>
          <w:sz w:val="56"/>
          <w:szCs w:val="56"/>
        </w:rPr>
        <w:t>3</w:t>
      </w:r>
    </w:p>
    <w:p w:rsidR="00B54490" w:rsidRPr="00AC2B1C" w:rsidRDefault="00B54490" w:rsidP="00C27AA5">
      <w:pPr>
        <w:rPr>
          <w:b/>
          <w:i/>
          <w:iCs/>
          <w:sz w:val="56"/>
          <w:szCs w:val="56"/>
        </w:rPr>
      </w:pPr>
      <w:r w:rsidRPr="00AC2B1C">
        <w:rPr>
          <w:b/>
          <w:i/>
          <w:iCs/>
          <w:sz w:val="56"/>
          <w:szCs w:val="56"/>
        </w:rPr>
        <w:t>Interagency Crime and Drug Enforcement</w:t>
      </w:r>
    </w:p>
    <w:p w:rsidR="00B54490" w:rsidRPr="00AC2B1C" w:rsidRDefault="009367B0" w:rsidP="00C27AA5">
      <w:pPr>
        <w:tabs>
          <w:tab w:val="left" w:pos="360"/>
        </w:tabs>
        <w:ind w:left="270" w:hanging="270"/>
        <w:rPr>
          <w:b/>
          <w:i/>
          <w:iCs/>
          <w:sz w:val="56"/>
          <w:szCs w:val="56"/>
        </w:rPr>
      </w:pPr>
      <w:r>
        <w:rPr>
          <w:b/>
          <w:i/>
          <w:iCs/>
          <w:sz w:val="56"/>
          <w:szCs w:val="56"/>
        </w:rPr>
        <w:t>Congressional</w:t>
      </w:r>
      <w:r w:rsidR="007E69E4">
        <w:rPr>
          <w:b/>
          <w:i/>
          <w:iCs/>
          <w:sz w:val="56"/>
          <w:szCs w:val="56"/>
        </w:rPr>
        <w:t xml:space="preserve"> </w:t>
      </w:r>
      <w:r w:rsidR="0085342F">
        <w:rPr>
          <w:b/>
          <w:i/>
          <w:iCs/>
          <w:sz w:val="56"/>
          <w:szCs w:val="56"/>
        </w:rPr>
        <w:t>Budget</w:t>
      </w:r>
      <w:r w:rsidR="00B54490">
        <w:rPr>
          <w:b/>
          <w:i/>
          <w:iCs/>
          <w:sz w:val="56"/>
          <w:szCs w:val="56"/>
        </w:rPr>
        <w:t xml:space="preserve"> Submission</w:t>
      </w:r>
    </w:p>
    <w:p w:rsidR="00B54490" w:rsidRDefault="00B54490" w:rsidP="00C27AA5">
      <w:pPr>
        <w:rPr>
          <w:vanish/>
        </w:rPr>
      </w:pPr>
    </w:p>
    <w:p w:rsidR="00B54490" w:rsidRDefault="00B54490" w:rsidP="00C27AA5">
      <w:pPr>
        <w:rPr>
          <w:vanish/>
        </w:rPr>
      </w:pPr>
    </w:p>
    <w:p w:rsidR="00B54490" w:rsidRDefault="00B54490" w:rsidP="00C27AA5"/>
    <w:p w:rsidR="00B54490" w:rsidRDefault="00B54490" w:rsidP="00C27AA5"/>
    <w:p w:rsidR="00B54490" w:rsidRDefault="00EB5536" w:rsidP="00C27AA5">
      <w:pPr>
        <w:framePr w:w="2820" w:h="2520" w:hRule="exact" w:wrap="auto" w:vAnchor="page" w:hAnchor="page" w:x="7921" w:y="6657"/>
      </w:pPr>
      <w:r>
        <w:rPr>
          <w:noProof/>
        </w:rPr>
        <w:drawing>
          <wp:inline distT="0" distB="0" distL="0" distR="0">
            <wp:extent cx="1733550" cy="1543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r="-6383" b="-1010"/>
                    <a:stretch>
                      <a:fillRect/>
                    </a:stretch>
                  </pic:blipFill>
                  <pic:spPr bwMode="auto">
                    <a:xfrm>
                      <a:off x="0" y="0"/>
                      <a:ext cx="1733550" cy="1543050"/>
                    </a:xfrm>
                    <a:prstGeom prst="rect">
                      <a:avLst/>
                    </a:prstGeom>
                    <a:noFill/>
                    <a:ln w="9525">
                      <a:noFill/>
                      <a:miter lim="800000"/>
                      <a:headEnd/>
                      <a:tailEnd/>
                    </a:ln>
                  </pic:spPr>
                </pic:pic>
              </a:graphicData>
            </a:graphic>
          </wp:inline>
        </w:drawing>
      </w:r>
    </w:p>
    <w:p w:rsidR="00B54490" w:rsidRDefault="00EB5536" w:rsidP="00C27AA5">
      <w:pPr>
        <w:framePr w:w="3120" w:h="2520" w:hRule="exact" w:wrap="auto" w:vAnchor="page" w:hAnchor="page" w:x="4801" w:y="6657"/>
      </w:pPr>
      <w:r>
        <w:rPr>
          <w:noProof/>
        </w:rPr>
        <w:drawing>
          <wp:inline distT="0" distB="0" distL="0" distR="0">
            <wp:extent cx="1962150" cy="1562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r="-5345" b="-587"/>
                    <a:stretch>
                      <a:fillRect/>
                    </a:stretch>
                  </pic:blipFill>
                  <pic:spPr bwMode="auto">
                    <a:xfrm>
                      <a:off x="0" y="0"/>
                      <a:ext cx="1962150" cy="1562100"/>
                    </a:xfrm>
                    <a:prstGeom prst="rect">
                      <a:avLst/>
                    </a:prstGeom>
                    <a:noFill/>
                    <a:ln w="9525">
                      <a:noFill/>
                      <a:miter lim="800000"/>
                      <a:headEnd/>
                      <a:tailEnd/>
                    </a:ln>
                  </pic:spPr>
                </pic:pic>
              </a:graphicData>
            </a:graphic>
          </wp:inline>
        </w:drawing>
      </w:r>
    </w:p>
    <w:p w:rsidR="00B54490" w:rsidRDefault="00EB5536" w:rsidP="00C27AA5">
      <w:r>
        <w:rPr>
          <w:noProof/>
        </w:rPr>
        <w:drawing>
          <wp:anchor distT="0" distB="0" distL="0" distR="0" simplePos="0" relativeHeight="251655680" behindDoc="0" locked="0" layoutInCell="1" allowOverlap="1">
            <wp:simplePos x="0" y="0"/>
            <wp:positionH relativeFrom="margin">
              <wp:posOffset>-457200</wp:posOffset>
            </wp:positionH>
            <wp:positionV relativeFrom="page">
              <wp:posOffset>4069715</wp:posOffset>
            </wp:positionV>
            <wp:extent cx="2775585" cy="197675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0000FF"/>
                        </a:clrFrom>
                        <a:clrTo>
                          <a:srgbClr val="0000FF">
                            <a:alpha val="0"/>
                          </a:srgbClr>
                        </a:clrTo>
                      </a:clrChange>
                    </a:blip>
                    <a:srcRect r="-10548" b="-446"/>
                    <a:stretch>
                      <a:fillRect/>
                    </a:stretch>
                  </pic:blipFill>
                  <pic:spPr bwMode="auto">
                    <a:xfrm>
                      <a:off x="0" y="0"/>
                      <a:ext cx="2775585" cy="1976755"/>
                    </a:xfrm>
                    <a:prstGeom prst="rect">
                      <a:avLst/>
                    </a:prstGeom>
                    <a:noFill/>
                  </pic:spPr>
                </pic:pic>
              </a:graphicData>
            </a:graphic>
          </wp:anchor>
        </w:drawing>
      </w:r>
    </w:p>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Pr>
        <w:pStyle w:val="Heading1"/>
        <w:tabs>
          <w:tab w:val="left" w:leader="dot" w:pos="7920"/>
          <w:tab w:val="right" w:pos="8640"/>
        </w:tabs>
        <w:ind w:left="0" w:firstLine="0"/>
        <w:rPr>
          <w:rFonts w:ascii="Times New Roman" w:hAnsi="Times New Roman"/>
        </w:rPr>
        <w:sectPr w:rsidR="00B54490" w:rsidSect="008B46B1">
          <w:footerReference w:type="even" r:id="rId12"/>
          <w:footerReference w:type="default" r:id="rId13"/>
          <w:footerReference w:type="first" r:id="rId14"/>
          <w:footnotePr>
            <w:numStart w:val="2"/>
          </w:footnotePr>
          <w:pgSz w:w="15840" w:h="12240" w:orient="landscape"/>
          <w:pgMar w:top="1440" w:right="1440" w:bottom="1440" w:left="1440" w:header="720" w:footer="720" w:gutter="0"/>
          <w:pgNumType w:start="1"/>
          <w:cols w:space="720"/>
          <w:titlePg/>
          <w:docGrid w:linePitch="326"/>
        </w:sectPr>
      </w:pPr>
    </w:p>
    <w:p w:rsidR="00B54490" w:rsidRDefault="00B54490" w:rsidP="00C27AA5">
      <w:pPr>
        <w:pStyle w:val="Heading1"/>
        <w:tabs>
          <w:tab w:val="left" w:leader="dot" w:pos="7920"/>
          <w:tab w:val="right" w:pos="8640"/>
        </w:tabs>
        <w:ind w:left="0" w:firstLine="0"/>
        <w:rPr>
          <w:rFonts w:ascii="Times New Roman" w:hAnsi="Times New Roman"/>
        </w:rPr>
      </w:pPr>
    </w:p>
    <w:p w:rsidR="00B54490" w:rsidRDefault="00B54490" w:rsidP="00C27AA5">
      <w:pPr>
        <w:pStyle w:val="Heading1"/>
        <w:tabs>
          <w:tab w:val="left" w:leader="dot" w:pos="7920"/>
          <w:tab w:val="right" w:pos="8640"/>
        </w:tabs>
        <w:ind w:left="0" w:firstLine="0"/>
        <w:rPr>
          <w:rFonts w:ascii="Times New Roman" w:hAnsi="Times New Roman"/>
        </w:rPr>
      </w:pPr>
    </w:p>
    <w:p w:rsidR="00B54490" w:rsidRDefault="00B54490" w:rsidP="00C27AA5">
      <w:pPr>
        <w:pStyle w:val="Heading1"/>
        <w:tabs>
          <w:tab w:val="left" w:leader="dot" w:pos="7920"/>
          <w:tab w:val="right" w:pos="8640"/>
        </w:tabs>
        <w:ind w:left="0" w:firstLine="0"/>
        <w:rPr>
          <w:rFonts w:ascii="Times New Roman" w:hAnsi="Times New Roman"/>
        </w:rPr>
      </w:pPr>
    </w:p>
    <w:p w:rsidR="00B54490" w:rsidRDefault="00B54490" w:rsidP="00C27AA5">
      <w:pPr>
        <w:pStyle w:val="Heading1"/>
        <w:tabs>
          <w:tab w:val="left" w:leader="dot" w:pos="7920"/>
          <w:tab w:val="right" w:pos="8640"/>
        </w:tabs>
        <w:ind w:left="0" w:firstLine="0"/>
        <w:rPr>
          <w:rFonts w:ascii="Times New Roman" w:hAnsi="Times New Roman"/>
        </w:rPr>
      </w:pPr>
    </w:p>
    <w:p w:rsidR="00B54490" w:rsidRDefault="00B54490" w:rsidP="00C27AA5">
      <w:pPr>
        <w:pStyle w:val="Heading1"/>
        <w:tabs>
          <w:tab w:val="left" w:leader="dot" w:pos="7920"/>
          <w:tab w:val="right" w:pos="8640"/>
        </w:tabs>
        <w:ind w:left="0" w:firstLine="0"/>
        <w:rPr>
          <w:rFonts w:ascii="Times New Roman" w:hAnsi="Times New Roman"/>
        </w:rPr>
      </w:pPr>
    </w:p>
    <w:p w:rsidR="00B54490" w:rsidRDefault="00B54490" w:rsidP="00C27AA5">
      <w:pPr>
        <w:pStyle w:val="Heading1"/>
        <w:tabs>
          <w:tab w:val="left" w:leader="dot" w:pos="7920"/>
          <w:tab w:val="right" w:pos="8640"/>
        </w:tabs>
        <w:ind w:left="0" w:firstLine="0"/>
        <w:rPr>
          <w:rFonts w:ascii="Times New Roman" w:hAnsi="Times New Roman"/>
        </w:rPr>
      </w:pPr>
    </w:p>
    <w:p w:rsidR="00B54490" w:rsidRDefault="00B54490" w:rsidP="00C27AA5">
      <w:pPr>
        <w:pStyle w:val="Heading1"/>
        <w:tabs>
          <w:tab w:val="left" w:leader="dot" w:pos="7920"/>
          <w:tab w:val="right" w:pos="8640"/>
        </w:tabs>
        <w:ind w:left="0" w:firstLine="0"/>
        <w:rPr>
          <w:rFonts w:ascii="Times New Roman" w:hAnsi="Times New Roman"/>
        </w:rPr>
      </w:pPr>
    </w:p>
    <w:p w:rsidR="00B54490" w:rsidRDefault="00B54490" w:rsidP="00C27AA5">
      <w:pPr>
        <w:pStyle w:val="Heading1"/>
        <w:tabs>
          <w:tab w:val="left" w:leader="dot" w:pos="7920"/>
          <w:tab w:val="right" w:pos="8640"/>
        </w:tabs>
        <w:ind w:left="0" w:firstLine="0"/>
        <w:rPr>
          <w:rFonts w:ascii="Times New Roman" w:hAnsi="Times New Roman"/>
        </w:rPr>
      </w:pPr>
    </w:p>
    <w:p w:rsidR="00B54490" w:rsidRDefault="00B54490" w:rsidP="00C27AA5">
      <w:pPr>
        <w:pStyle w:val="Heading1"/>
        <w:tabs>
          <w:tab w:val="left" w:leader="dot" w:pos="7920"/>
          <w:tab w:val="right" w:pos="8640"/>
        </w:tabs>
        <w:ind w:left="0" w:firstLine="0"/>
        <w:jc w:val="center"/>
        <w:rPr>
          <w:rFonts w:ascii="Times New Roman" w:hAnsi="Times New Roman"/>
          <w:sz w:val="52"/>
          <w:szCs w:val="52"/>
        </w:rPr>
      </w:pPr>
    </w:p>
    <w:p w:rsidR="00B54490" w:rsidRDefault="00B54490" w:rsidP="00C27AA5">
      <w:pPr>
        <w:pStyle w:val="Heading1"/>
        <w:tabs>
          <w:tab w:val="left" w:leader="dot" w:pos="7920"/>
          <w:tab w:val="right" w:pos="8640"/>
        </w:tabs>
        <w:ind w:left="0" w:firstLine="0"/>
        <w:jc w:val="center"/>
        <w:rPr>
          <w:rFonts w:ascii="Times New Roman" w:hAnsi="Times New Roman"/>
          <w:sz w:val="52"/>
          <w:szCs w:val="52"/>
        </w:rPr>
      </w:pPr>
    </w:p>
    <w:p w:rsidR="00B54490" w:rsidRDefault="00B54490" w:rsidP="00C27AA5">
      <w:pPr>
        <w:pStyle w:val="Heading1"/>
        <w:tabs>
          <w:tab w:val="left" w:leader="dot" w:pos="7920"/>
          <w:tab w:val="right" w:pos="8640"/>
        </w:tabs>
        <w:ind w:left="0" w:firstLine="0"/>
        <w:jc w:val="center"/>
        <w:rPr>
          <w:rFonts w:ascii="Times New Roman" w:hAnsi="Times New Roman"/>
        </w:rPr>
      </w:pPr>
      <w:bookmarkStart w:id="0" w:name="OLE_LINK1"/>
      <w:bookmarkStart w:id="1" w:name="OLE_LINK2"/>
      <w:r w:rsidRPr="002B35A6">
        <w:rPr>
          <w:rFonts w:ascii="Times New Roman" w:hAnsi="Times New Roman"/>
          <w:sz w:val="52"/>
          <w:szCs w:val="52"/>
        </w:rPr>
        <w:t>Intentional</w:t>
      </w:r>
      <w:r>
        <w:rPr>
          <w:rFonts w:ascii="Times New Roman" w:hAnsi="Times New Roman"/>
          <w:sz w:val="52"/>
          <w:szCs w:val="52"/>
        </w:rPr>
        <w:t>ly</w:t>
      </w:r>
      <w:r w:rsidRPr="002B35A6">
        <w:rPr>
          <w:rFonts w:ascii="Times New Roman" w:hAnsi="Times New Roman"/>
          <w:sz w:val="52"/>
          <w:szCs w:val="52"/>
        </w:rPr>
        <w:t xml:space="preserve"> </w:t>
      </w:r>
      <w:r>
        <w:rPr>
          <w:rFonts w:ascii="Times New Roman" w:hAnsi="Times New Roman"/>
          <w:sz w:val="52"/>
          <w:szCs w:val="52"/>
        </w:rPr>
        <w:t>L</w:t>
      </w:r>
      <w:r w:rsidRPr="002B35A6">
        <w:rPr>
          <w:rFonts w:ascii="Times New Roman" w:hAnsi="Times New Roman"/>
          <w:sz w:val="52"/>
          <w:szCs w:val="52"/>
        </w:rPr>
        <w:t>eft Blank</w:t>
      </w:r>
      <w:bookmarkEnd w:id="0"/>
      <w:bookmarkEnd w:id="1"/>
      <w:r w:rsidRPr="002B35A6">
        <w:rPr>
          <w:rFonts w:ascii="Times New Roman" w:hAnsi="Times New Roman"/>
          <w:sz w:val="52"/>
          <w:szCs w:val="52"/>
        </w:rPr>
        <w:br w:type="page"/>
      </w:r>
      <w:r>
        <w:rPr>
          <w:rFonts w:ascii="Times New Roman" w:hAnsi="Times New Roman"/>
        </w:rPr>
        <w:lastRenderedPageBreak/>
        <w:t>Table of Contents</w:t>
      </w:r>
    </w:p>
    <w:p w:rsidR="00B54490" w:rsidRDefault="00B54490" w:rsidP="00C27AA5">
      <w:pPr>
        <w:tabs>
          <w:tab w:val="left" w:leader="dot" w:pos="7920"/>
          <w:tab w:val="right" w:pos="8640"/>
        </w:tabs>
        <w:rPr>
          <w:b/>
        </w:rPr>
      </w:pPr>
    </w:p>
    <w:p w:rsidR="00B54490" w:rsidRDefault="00B54490" w:rsidP="00C27AA5">
      <w:pPr>
        <w:pStyle w:val="xl19"/>
        <w:tabs>
          <w:tab w:val="right" w:pos="8730"/>
        </w:tabs>
        <w:spacing w:before="0" w:after="0"/>
        <w:outlineLvl w:val="0"/>
        <w:rPr>
          <w:bCs/>
        </w:rPr>
      </w:pPr>
      <w:r>
        <w:rPr>
          <w:bCs/>
        </w:rPr>
        <w:t xml:space="preserve">                                                                                                                           Page No.</w:t>
      </w:r>
    </w:p>
    <w:p w:rsidR="00B54490" w:rsidRDefault="00B54490" w:rsidP="00C27AA5">
      <w:pPr>
        <w:pStyle w:val="xl19"/>
        <w:tabs>
          <w:tab w:val="right" w:pos="8730"/>
        </w:tabs>
        <w:spacing w:before="0" w:after="0"/>
        <w:outlineLvl w:val="0"/>
        <w:rPr>
          <w:bCs/>
        </w:rPr>
      </w:pPr>
    </w:p>
    <w:p w:rsidR="00B54490" w:rsidRPr="00B26676" w:rsidRDefault="00B54490" w:rsidP="00C27AA5">
      <w:pPr>
        <w:pStyle w:val="xl19"/>
        <w:tabs>
          <w:tab w:val="right" w:pos="8730"/>
        </w:tabs>
        <w:spacing w:before="0" w:after="0"/>
        <w:outlineLvl w:val="0"/>
        <w:rPr>
          <w:bCs/>
        </w:rPr>
      </w:pPr>
    </w:p>
    <w:p w:rsidR="00B54490" w:rsidRPr="00B26676" w:rsidRDefault="00B54490" w:rsidP="006E0A1E">
      <w:pPr>
        <w:pStyle w:val="xl19"/>
        <w:tabs>
          <w:tab w:val="right" w:leader="dot" w:pos="7920"/>
          <w:tab w:val="right" w:leader="dot" w:pos="8730"/>
        </w:tabs>
        <w:spacing w:before="0" w:after="0"/>
        <w:jc w:val="both"/>
        <w:outlineLvl w:val="0"/>
        <w:rPr>
          <w:b/>
          <w:bCs/>
        </w:rPr>
      </w:pPr>
      <w:r w:rsidRPr="00B26676">
        <w:rPr>
          <w:b/>
          <w:bCs/>
        </w:rPr>
        <w:t>I.    Overview</w:t>
      </w:r>
      <w:r w:rsidRPr="00B26676">
        <w:rPr>
          <w:bCs/>
        </w:rPr>
        <w:t xml:space="preserve">………………………………………………………………................4    </w:t>
      </w:r>
    </w:p>
    <w:p w:rsidR="00B54490" w:rsidRDefault="00B54490" w:rsidP="006E0A1E">
      <w:pPr>
        <w:pStyle w:val="xl19"/>
        <w:tabs>
          <w:tab w:val="right" w:leader="dot" w:pos="7920"/>
          <w:tab w:val="right" w:pos="8640"/>
          <w:tab w:val="right" w:leader="dot" w:pos="8730"/>
        </w:tabs>
        <w:spacing w:before="0" w:after="0"/>
        <w:jc w:val="both"/>
        <w:rPr>
          <w:b/>
        </w:rPr>
      </w:pPr>
    </w:p>
    <w:p w:rsidR="00B54490" w:rsidRPr="0039022C" w:rsidRDefault="00B54490" w:rsidP="006E0A1E">
      <w:pPr>
        <w:pStyle w:val="xl19"/>
        <w:tabs>
          <w:tab w:val="right" w:leader="dot" w:pos="7920"/>
          <w:tab w:val="right" w:leader="dot" w:pos="8730"/>
        </w:tabs>
        <w:spacing w:before="0" w:after="0"/>
        <w:outlineLvl w:val="0"/>
        <w:rPr>
          <w:bCs/>
        </w:rPr>
      </w:pPr>
      <w:r w:rsidRPr="00E0065D">
        <w:rPr>
          <w:b/>
          <w:bCs/>
        </w:rPr>
        <w:t>II</w:t>
      </w:r>
      <w:r>
        <w:rPr>
          <w:b/>
          <w:bCs/>
        </w:rPr>
        <w:t>.   S</w:t>
      </w:r>
      <w:r w:rsidRPr="00E0065D">
        <w:rPr>
          <w:b/>
          <w:bCs/>
        </w:rPr>
        <w:t>ummary of Program Changes</w:t>
      </w:r>
      <w:r w:rsidRPr="0039022C">
        <w:rPr>
          <w:bCs/>
        </w:rPr>
        <w:t>………………………………………………</w:t>
      </w:r>
      <w:r>
        <w:rPr>
          <w:bCs/>
        </w:rPr>
        <w:t>.</w:t>
      </w:r>
      <w:r w:rsidR="00B93E5E">
        <w:rPr>
          <w:bCs/>
        </w:rPr>
        <w:t>.</w:t>
      </w:r>
      <w:r w:rsidRPr="0039022C">
        <w:rPr>
          <w:bCs/>
        </w:rPr>
        <w:t>1</w:t>
      </w:r>
      <w:r w:rsidR="000F2AB0">
        <w:rPr>
          <w:bCs/>
        </w:rPr>
        <w:t>4</w:t>
      </w:r>
    </w:p>
    <w:p w:rsidR="00B54490" w:rsidRPr="00802373" w:rsidRDefault="00B54490" w:rsidP="006E0A1E">
      <w:pPr>
        <w:pStyle w:val="xl19"/>
        <w:tabs>
          <w:tab w:val="right" w:leader="dot" w:pos="7920"/>
          <w:tab w:val="right" w:pos="8640"/>
          <w:tab w:val="right" w:leader="dot" w:pos="8730"/>
        </w:tabs>
        <w:spacing w:before="0" w:after="0"/>
        <w:jc w:val="both"/>
        <w:rPr>
          <w:b/>
        </w:rPr>
      </w:pPr>
    </w:p>
    <w:p w:rsidR="00345907" w:rsidRPr="00802373" w:rsidRDefault="00345907" w:rsidP="006E0A1E">
      <w:pPr>
        <w:pStyle w:val="xl27"/>
        <w:tabs>
          <w:tab w:val="right" w:leader="dot" w:pos="7920"/>
          <w:tab w:val="right" w:pos="8640"/>
          <w:tab w:val="right" w:leader="dot" w:pos="8730"/>
        </w:tabs>
        <w:spacing w:before="0" w:after="0"/>
        <w:jc w:val="both"/>
        <w:rPr>
          <w:rFonts w:ascii="Times New Roman" w:hAnsi="Times New Roman" w:cs="Arial"/>
          <w:szCs w:val="24"/>
        </w:rPr>
      </w:pPr>
      <w:r w:rsidRPr="00802373">
        <w:rPr>
          <w:rFonts w:ascii="Times New Roman" w:hAnsi="Times New Roman" w:cs="Arial"/>
          <w:szCs w:val="24"/>
        </w:rPr>
        <w:t>III. Appropriations Language and Analysis of Appropriations Language</w:t>
      </w:r>
      <w:r w:rsidR="0076405B">
        <w:rPr>
          <w:rFonts w:ascii="Times New Roman" w:hAnsi="Times New Roman" w:cs="Arial"/>
          <w:b w:val="0"/>
          <w:szCs w:val="24"/>
        </w:rPr>
        <w:t>…....</w:t>
      </w:r>
      <w:r w:rsidR="0030188D">
        <w:rPr>
          <w:rFonts w:ascii="Times New Roman" w:hAnsi="Times New Roman" w:cs="Arial"/>
          <w:b w:val="0"/>
          <w:szCs w:val="24"/>
        </w:rPr>
        <w:t>.</w:t>
      </w:r>
      <w:r w:rsidR="00652E05">
        <w:rPr>
          <w:rFonts w:ascii="Times New Roman" w:hAnsi="Times New Roman" w:cs="Arial"/>
          <w:b w:val="0"/>
          <w:szCs w:val="24"/>
        </w:rPr>
        <w:t>..</w:t>
      </w:r>
      <w:r w:rsidR="00224DCC">
        <w:rPr>
          <w:rFonts w:ascii="Times New Roman" w:hAnsi="Times New Roman" w:cs="Arial"/>
          <w:b w:val="0"/>
          <w:szCs w:val="24"/>
        </w:rPr>
        <w:t>16</w:t>
      </w:r>
      <w:r w:rsidRPr="00802373">
        <w:rPr>
          <w:rFonts w:ascii="Times New Roman" w:hAnsi="Times New Roman" w:cs="Arial"/>
          <w:szCs w:val="24"/>
        </w:rPr>
        <w:t xml:space="preserve"> </w:t>
      </w:r>
    </w:p>
    <w:p w:rsidR="007C2F94" w:rsidRDefault="007C2F94" w:rsidP="006E0A1E">
      <w:pPr>
        <w:pStyle w:val="xl27"/>
        <w:tabs>
          <w:tab w:val="right" w:leader="dot" w:pos="7920"/>
          <w:tab w:val="right" w:pos="8640"/>
          <w:tab w:val="right" w:leader="dot" w:pos="8730"/>
        </w:tabs>
        <w:spacing w:before="0" w:after="0"/>
        <w:jc w:val="both"/>
        <w:rPr>
          <w:rFonts w:ascii="Times New Roman" w:hAnsi="Times New Roman" w:cs="Arial"/>
          <w:szCs w:val="24"/>
        </w:rPr>
      </w:pPr>
    </w:p>
    <w:p w:rsidR="00B54490" w:rsidRPr="00B26676" w:rsidRDefault="009C10E7" w:rsidP="006E0A1E">
      <w:pPr>
        <w:pStyle w:val="xl27"/>
        <w:tabs>
          <w:tab w:val="right" w:leader="dot" w:pos="7920"/>
          <w:tab w:val="right" w:pos="8640"/>
          <w:tab w:val="right" w:leader="dot" w:pos="8730"/>
        </w:tabs>
        <w:spacing w:before="0" w:after="0"/>
        <w:jc w:val="both"/>
        <w:rPr>
          <w:rFonts w:ascii="Times New Roman" w:hAnsi="Times New Roman" w:cs="Arial"/>
          <w:b w:val="0"/>
          <w:szCs w:val="24"/>
        </w:rPr>
      </w:pPr>
      <w:r>
        <w:rPr>
          <w:rFonts w:ascii="Times New Roman" w:hAnsi="Times New Roman" w:cs="Arial"/>
          <w:szCs w:val="24"/>
        </w:rPr>
        <w:t>I</w:t>
      </w:r>
      <w:r w:rsidR="00345907">
        <w:rPr>
          <w:rFonts w:ascii="Times New Roman" w:hAnsi="Times New Roman" w:cs="Arial"/>
          <w:szCs w:val="24"/>
        </w:rPr>
        <w:t>V</w:t>
      </w:r>
      <w:proofErr w:type="gramStart"/>
      <w:r w:rsidR="00B54490">
        <w:rPr>
          <w:rFonts w:ascii="Times New Roman" w:hAnsi="Times New Roman" w:cs="Arial"/>
          <w:szCs w:val="24"/>
        </w:rPr>
        <w:t xml:space="preserve">.  </w:t>
      </w:r>
      <w:r w:rsidR="00B54490" w:rsidRPr="00B26676">
        <w:rPr>
          <w:rFonts w:ascii="Times New Roman" w:hAnsi="Times New Roman" w:cs="Arial"/>
          <w:szCs w:val="24"/>
        </w:rPr>
        <w:t>Decision</w:t>
      </w:r>
      <w:proofErr w:type="gramEnd"/>
      <w:r w:rsidR="00B54490" w:rsidRPr="00B26676">
        <w:rPr>
          <w:rFonts w:ascii="Times New Roman" w:hAnsi="Times New Roman" w:cs="Arial"/>
          <w:szCs w:val="24"/>
        </w:rPr>
        <w:t xml:space="preserve"> Unit Justification </w:t>
      </w:r>
      <w:r w:rsidR="00B54490" w:rsidRPr="00B26676">
        <w:rPr>
          <w:rFonts w:ascii="Times New Roman" w:hAnsi="Times New Roman" w:cs="Arial"/>
          <w:b w:val="0"/>
          <w:szCs w:val="24"/>
        </w:rPr>
        <w:t>…………………………………………..…..…...</w:t>
      </w:r>
      <w:r w:rsidR="0030188D">
        <w:rPr>
          <w:rFonts w:ascii="Times New Roman" w:hAnsi="Times New Roman" w:cs="Arial"/>
          <w:b w:val="0"/>
          <w:szCs w:val="24"/>
        </w:rPr>
        <w:t>.</w:t>
      </w:r>
      <w:r w:rsidR="00652E05">
        <w:rPr>
          <w:rFonts w:ascii="Times New Roman" w:hAnsi="Times New Roman" w:cs="Arial"/>
          <w:b w:val="0"/>
          <w:szCs w:val="24"/>
        </w:rPr>
        <w:t>.</w:t>
      </w:r>
      <w:r w:rsidR="00B54490" w:rsidRPr="00B26676">
        <w:rPr>
          <w:rFonts w:ascii="Times New Roman" w:hAnsi="Times New Roman" w:cs="Arial"/>
          <w:b w:val="0"/>
          <w:szCs w:val="24"/>
        </w:rPr>
        <w:t>1</w:t>
      </w:r>
      <w:r w:rsidR="00224DCC">
        <w:rPr>
          <w:rFonts w:ascii="Times New Roman" w:hAnsi="Times New Roman" w:cs="Arial"/>
          <w:b w:val="0"/>
          <w:szCs w:val="24"/>
        </w:rPr>
        <w:t>8</w:t>
      </w:r>
    </w:p>
    <w:p w:rsidR="00B54490" w:rsidRPr="00B26676" w:rsidRDefault="00B54490" w:rsidP="006E0A1E">
      <w:pPr>
        <w:tabs>
          <w:tab w:val="right" w:leader="dot" w:pos="7920"/>
          <w:tab w:val="right" w:pos="8640"/>
          <w:tab w:val="right" w:leader="dot" w:pos="8730"/>
        </w:tabs>
        <w:jc w:val="both"/>
        <w:rPr>
          <w:bCs/>
        </w:rPr>
      </w:pPr>
      <w:r w:rsidRPr="00B26676">
        <w:rPr>
          <w:bCs/>
        </w:rPr>
        <w:t xml:space="preserve">  </w:t>
      </w:r>
    </w:p>
    <w:p w:rsidR="00B54490" w:rsidRPr="00B26676" w:rsidRDefault="00B54490" w:rsidP="006E0A1E">
      <w:pPr>
        <w:numPr>
          <w:ilvl w:val="0"/>
          <w:numId w:val="33"/>
        </w:numPr>
        <w:tabs>
          <w:tab w:val="right" w:leader="dot" w:pos="7920"/>
          <w:tab w:val="right" w:pos="8640"/>
          <w:tab w:val="right" w:leader="dot" w:pos="8730"/>
        </w:tabs>
        <w:jc w:val="both"/>
        <w:rPr>
          <w:bCs/>
        </w:rPr>
      </w:pPr>
      <w:r w:rsidRPr="00B26676">
        <w:rPr>
          <w:bCs/>
        </w:rPr>
        <w:t>Investigatio</w:t>
      </w:r>
      <w:r w:rsidR="00AF4819">
        <w:rPr>
          <w:bCs/>
        </w:rPr>
        <w:t>ns ………………………………………………………………....</w:t>
      </w:r>
      <w:r w:rsidR="00652E05">
        <w:rPr>
          <w:bCs/>
        </w:rPr>
        <w:t>.</w:t>
      </w:r>
      <w:r w:rsidRPr="00B26676">
        <w:rPr>
          <w:bCs/>
        </w:rPr>
        <w:t>1</w:t>
      </w:r>
      <w:r w:rsidR="00224DCC">
        <w:rPr>
          <w:bCs/>
        </w:rPr>
        <w:t>8</w:t>
      </w:r>
    </w:p>
    <w:p w:rsidR="00B54490" w:rsidRPr="00B26676" w:rsidRDefault="00B54490" w:rsidP="006E0A1E">
      <w:pPr>
        <w:tabs>
          <w:tab w:val="right" w:leader="dot" w:pos="7920"/>
          <w:tab w:val="right" w:pos="8640"/>
          <w:tab w:val="right" w:leader="dot" w:pos="8730"/>
        </w:tabs>
        <w:ind w:left="1020"/>
        <w:jc w:val="both"/>
        <w:rPr>
          <w:bCs/>
        </w:rPr>
      </w:pPr>
      <w:proofErr w:type="gramStart"/>
      <w:r w:rsidRPr="00B26676">
        <w:rPr>
          <w:bCs/>
        </w:rPr>
        <w:t>1.Program</w:t>
      </w:r>
      <w:proofErr w:type="gramEnd"/>
      <w:r w:rsidRPr="00B26676">
        <w:rPr>
          <w:bCs/>
        </w:rPr>
        <w:t xml:space="preserve"> Description</w:t>
      </w:r>
    </w:p>
    <w:p w:rsidR="00B54490" w:rsidRPr="00B26676" w:rsidRDefault="00B54490" w:rsidP="006E0A1E">
      <w:pPr>
        <w:tabs>
          <w:tab w:val="right" w:leader="dot" w:pos="7920"/>
          <w:tab w:val="right" w:pos="8640"/>
          <w:tab w:val="right" w:leader="dot" w:pos="8730"/>
        </w:tabs>
        <w:ind w:left="1020"/>
        <w:jc w:val="both"/>
        <w:rPr>
          <w:bCs/>
        </w:rPr>
      </w:pPr>
    </w:p>
    <w:p w:rsidR="007C2F94" w:rsidRDefault="00B54490" w:rsidP="006E0A1E">
      <w:pPr>
        <w:numPr>
          <w:ilvl w:val="0"/>
          <w:numId w:val="33"/>
        </w:numPr>
        <w:tabs>
          <w:tab w:val="right" w:leader="dot" w:pos="7920"/>
          <w:tab w:val="right" w:pos="8640"/>
          <w:tab w:val="right" w:leader="dot" w:pos="8730"/>
        </w:tabs>
        <w:jc w:val="both"/>
        <w:rPr>
          <w:bCs/>
        </w:rPr>
      </w:pPr>
      <w:r w:rsidRPr="00B26676">
        <w:rPr>
          <w:bCs/>
        </w:rPr>
        <w:t>Prosecuti</w:t>
      </w:r>
      <w:r w:rsidR="0076405B">
        <w:rPr>
          <w:bCs/>
        </w:rPr>
        <w:t>ons ……………………………………………………………...…...</w:t>
      </w:r>
      <w:r w:rsidR="00652E05">
        <w:rPr>
          <w:bCs/>
        </w:rPr>
        <w:t>.</w:t>
      </w:r>
      <w:r w:rsidR="00224DCC">
        <w:rPr>
          <w:bCs/>
        </w:rPr>
        <w:t>21</w:t>
      </w:r>
      <w:r w:rsidRPr="00B26676">
        <w:rPr>
          <w:bCs/>
        </w:rPr>
        <w:t xml:space="preserve"> </w:t>
      </w:r>
    </w:p>
    <w:p w:rsidR="007C2F94" w:rsidRPr="007C2F94" w:rsidRDefault="007C2F94" w:rsidP="006E0A1E">
      <w:pPr>
        <w:tabs>
          <w:tab w:val="right" w:leader="dot" w:pos="7920"/>
          <w:tab w:val="right" w:pos="8640"/>
          <w:tab w:val="right" w:leader="dot" w:pos="8730"/>
        </w:tabs>
        <w:jc w:val="both"/>
        <w:rPr>
          <w:bCs/>
        </w:rPr>
      </w:pPr>
      <w:r>
        <w:rPr>
          <w:bCs/>
        </w:rPr>
        <w:t xml:space="preserve">                 </w:t>
      </w:r>
      <w:proofErr w:type="gramStart"/>
      <w:r>
        <w:rPr>
          <w:bCs/>
        </w:rPr>
        <w:t>1.Program</w:t>
      </w:r>
      <w:proofErr w:type="gramEnd"/>
      <w:r>
        <w:rPr>
          <w:bCs/>
        </w:rPr>
        <w:t xml:space="preserve"> Description</w:t>
      </w:r>
    </w:p>
    <w:p w:rsidR="007C2F94" w:rsidRDefault="007C2F94" w:rsidP="006E0A1E">
      <w:pPr>
        <w:tabs>
          <w:tab w:val="right" w:leader="dot" w:pos="7920"/>
          <w:tab w:val="right" w:pos="8640"/>
          <w:tab w:val="right" w:leader="dot" w:pos="8730"/>
        </w:tabs>
        <w:ind w:left="600"/>
        <w:jc w:val="both"/>
        <w:rPr>
          <w:bCs/>
        </w:rPr>
      </w:pPr>
    </w:p>
    <w:p w:rsidR="00B54490" w:rsidRPr="00B26676" w:rsidRDefault="007C2F94" w:rsidP="006E0A1E">
      <w:pPr>
        <w:numPr>
          <w:ilvl w:val="0"/>
          <w:numId w:val="33"/>
        </w:numPr>
        <w:tabs>
          <w:tab w:val="right" w:leader="dot" w:pos="7920"/>
          <w:tab w:val="right" w:pos="8640"/>
          <w:tab w:val="right" w:leader="dot" w:pos="8730"/>
        </w:tabs>
        <w:jc w:val="both"/>
        <w:rPr>
          <w:bCs/>
        </w:rPr>
      </w:pPr>
      <w:r>
        <w:rPr>
          <w:bCs/>
        </w:rPr>
        <w:t>Transnational Organized C</w:t>
      </w:r>
      <w:r w:rsidR="003014C5">
        <w:rPr>
          <w:bCs/>
        </w:rPr>
        <w:t>rime Investigations……………………………</w:t>
      </w:r>
      <w:r w:rsidR="0030188D">
        <w:rPr>
          <w:bCs/>
        </w:rPr>
        <w:t>…</w:t>
      </w:r>
      <w:r w:rsidR="00652E05">
        <w:rPr>
          <w:bCs/>
        </w:rPr>
        <w:t>..</w:t>
      </w:r>
      <w:r w:rsidR="00224DCC">
        <w:rPr>
          <w:bCs/>
        </w:rPr>
        <w:t>23</w:t>
      </w:r>
      <w:r w:rsidR="00B54490" w:rsidRPr="00B26676">
        <w:rPr>
          <w:bCs/>
        </w:rPr>
        <w:t xml:space="preserve"> </w:t>
      </w:r>
    </w:p>
    <w:p w:rsidR="00B54490" w:rsidRPr="00B26676" w:rsidRDefault="00B54490" w:rsidP="006E0A1E">
      <w:pPr>
        <w:tabs>
          <w:tab w:val="right" w:leader="dot" w:pos="7920"/>
          <w:tab w:val="right" w:pos="8640"/>
          <w:tab w:val="right" w:leader="dot" w:pos="8730"/>
        </w:tabs>
        <w:ind w:left="1020"/>
        <w:jc w:val="both"/>
        <w:rPr>
          <w:bCs/>
        </w:rPr>
      </w:pPr>
      <w:proofErr w:type="gramStart"/>
      <w:r w:rsidRPr="00B26676">
        <w:rPr>
          <w:bCs/>
        </w:rPr>
        <w:t>1.Program</w:t>
      </w:r>
      <w:proofErr w:type="gramEnd"/>
      <w:r w:rsidRPr="00B26676">
        <w:rPr>
          <w:bCs/>
        </w:rPr>
        <w:t xml:space="preserve"> Description</w:t>
      </w:r>
    </w:p>
    <w:p w:rsidR="00B54490" w:rsidRPr="00B26676" w:rsidRDefault="00B54490" w:rsidP="006E0A1E">
      <w:pPr>
        <w:tabs>
          <w:tab w:val="right" w:leader="dot" w:pos="7920"/>
          <w:tab w:val="right" w:pos="8640"/>
          <w:tab w:val="right" w:leader="dot" w:pos="8730"/>
        </w:tabs>
        <w:ind w:left="1020"/>
        <w:jc w:val="both"/>
        <w:rPr>
          <w:bCs/>
        </w:rPr>
      </w:pPr>
    </w:p>
    <w:p w:rsidR="00B54490" w:rsidRPr="00B26676" w:rsidRDefault="00B54490" w:rsidP="006E0A1E">
      <w:pPr>
        <w:tabs>
          <w:tab w:val="right" w:leader="dot" w:pos="7920"/>
          <w:tab w:val="right" w:pos="8640"/>
          <w:tab w:val="right" w:leader="dot" w:pos="8730"/>
        </w:tabs>
        <w:jc w:val="both"/>
        <w:rPr>
          <w:bCs/>
        </w:rPr>
      </w:pPr>
      <w:r w:rsidRPr="00B26676">
        <w:rPr>
          <w:bCs/>
        </w:rPr>
        <w:t xml:space="preserve">    </w:t>
      </w:r>
      <w:r w:rsidR="007C2F94">
        <w:rPr>
          <w:bCs/>
        </w:rPr>
        <w:t>D</w:t>
      </w:r>
      <w:r w:rsidRPr="00B26676">
        <w:rPr>
          <w:bCs/>
        </w:rPr>
        <w:t>.  Performance, Resources, and Strategie</w:t>
      </w:r>
      <w:r w:rsidR="00371150">
        <w:rPr>
          <w:bCs/>
        </w:rPr>
        <w:t xml:space="preserve">s </w:t>
      </w:r>
      <w:proofErr w:type="gramStart"/>
      <w:r w:rsidR="00371150">
        <w:rPr>
          <w:bCs/>
        </w:rPr>
        <w:t>……….………………...…............</w:t>
      </w:r>
      <w:r w:rsidR="00652E05">
        <w:rPr>
          <w:bCs/>
        </w:rPr>
        <w:t>....</w:t>
      </w:r>
      <w:proofErr w:type="gramEnd"/>
      <w:r w:rsidR="00224DCC">
        <w:rPr>
          <w:bCs/>
        </w:rPr>
        <w:t>2</w:t>
      </w:r>
      <w:r w:rsidR="00F15368">
        <w:rPr>
          <w:bCs/>
        </w:rPr>
        <w:t>8</w:t>
      </w:r>
    </w:p>
    <w:p w:rsidR="00B54490" w:rsidRDefault="007C2F94" w:rsidP="006E0A1E">
      <w:pPr>
        <w:tabs>
          <w:tab w:val="right" w:leader="dot" w:pos="7920"/>
          <w:tab w:val="right" w:pos="8640"/>
          <w:tab w:val="right" w:leader="dot" w:pos="8730"/>
        </w:tabs>
        <w:jc w:val="both"/>
        <w:rPr>
          <w:bCs/>
        </w:rPr>
      </w:pPr>
      <w:r>
        <w:rPr>
          <w:bCs/>
        </w:rPr>
        <w:t xml:space="preserve">    E</w:t>
      </w:r>
      <w:r w:rsidR="00B54490" w:rsidRPr="00B26676">
        <w:rPr>
          <w:bCs/>
        </w:rPr>
        <w:t>.  Performance Tab</w:t>
      </w:r>
      <w:r w:rsidR="003014C5">
        <w:rPr>
          <w:bCs/>
        </w:rPr>
        <w:t>les ………………………………………………………......</w:t>
      </w:r>
      <w:r w:rsidR="00652E05">
        <w:rPr>
          <w:bCs/>
        </w:rPr>
        <w:t>..</w:t>
      </w:r>
      <w:r w:rsidR="00224DCC">
        <w:rPr>
          <w:bCs/>
        </w:rPr>
        <w:t>3</w:t>
      </w:r>
      <w:r w:rsidR="00F15368">
        <w:rPr>
          <w:bCs/>
        </w:rPr>
        <w:t>6</w:t>
      </w:r>
    </w:p>
    <w:p w:rsidR="000F3581" w:rsidRDefault="000F3581" w:rsidP="006E0A1E">
      <w:pPr>
        <w:tabs>
          <w:tab w:val="right" w:leader="dot" w:pos="7920"/>
          <w:tab w:val="right" w:pos="8640"/>
          <w:tab w:val="right" w:leader="dot" w:pos="8730"/>
        </w:tabs>
        <w:jc w:val="both"/>
        <w:rPr>
          <w:rFonts w:cs="Arial"/>
          <w:szCs w:val="24"/>
        </w:rPr>
      </w:pPr>
    </w:p>
    <w:p w:rsidR="009C10E7" w:rsidRPr="003D312D" w:rsidRDefault="009C10E7" w:rsidP="006E0A1E">
      <w:pPr>
        <w:tabs>
          <w:tab w:val="right" w:leader="dot" w:pos="7920"/>
          <w:tab w:val="left" w:pos="8280"/>
          <w:tab w:val="right" w:pos="8640"/>
          <w:tab w:val="right" w:leader="dot" w:pos="8730"/>
        </w:tabs>
        <w:rPr>
          <w:rFonts w:ascii="Times New Roman Bold" w:hAnsi="Times New Roman Bold"/>
          <w:b/>
          <w:bCs/>
        </w:rPr>
      </w:pPr>
    </w:p>
    <w:p w:rsidR="00EA5996" w:rsidRDefault="009C10E7" w:rsidP="006E0A1E">
      <w:pPr>
        <w:tabs>
          <w:tab w:val="right" w:leader="dot" w:pos="7920"/>
          <w:tab w:val="left" w:pos="8280"/>
          <w:tab w:val="right" w:pos="8640"/>
          <w:tab w:val="right" w:leader="dot" w:pos="8730"/>
        </w:tabs>
        <w:rPr>
          <w:bCs/>
        </w:rPr>
      </w:pPr>
      <w:r>
        <w:rPr>
          <w:b/>
          <w:bCs/>
        </w:rPr>
        <w:t xml:space="preserve">V. </w:t>
      </w:r>
      <w:r w:rsidRPr="00AF7137">
        <w:rPr>
          <w:b/>
          <w:bCs/>
        </w:rPr>
        <w:t xml:space="preserve">Program </w:t>
      </w:r>
      <w:r w:rsidR="00CD15BC">
        <w:rPr>
          <w:b/>
          <w:bCs/>
        </w:rPr>
        <w:t>Increas</w:t>
      </w:r>
      <w:r w:rsidR="00345907">
        <w:rPr>
          <w:b/>
          <w:bCs/>
        </w:rPr>
        <w:t>e</w:t>
      </w:r>
      <w:r w:rsidRPr="00AF7137">
        <w:rPr>
          <w:b/>
          <w:bCs/>
        </w:rPr>
        <w:t>s by Item</w:t>
      </w:r>
      <w:r w:rsidR="00EA5996">
        <w:rPr>
          <w:bCs/>
        </w:rPr>
        <w:tab/>
      </w:r>
      <w:r w:rsidR="003014C5">
        <w:rPr>
          <w:bCs/>
        </w:rPr>
        <w:t>………………</w:t>
      </w:r>
      <w:r w:rsidR="00C81770">
        <w:rPr>
          <w:bCs/>
        </w:rPr>
        <w:t>…</w:t>
      </w:r>
      <w:r w:rsidR="00E71438">
        <w:rPr>
          <w:bCs/>
        </w:rPr>
        <w:t>……</w:t>
      </w:r>
      <w:r w:rsidR="002D1401">
        <w:rPr>
          <w:bCs/>
        </w:rPr>
        <w:t>…</w:t>
      </w:r>
      <w:r w:rsidR="00652E05">
        <w:rPr>
          <w:bCs/>
        </w:rPr>
        <w:t>…………………………...</w:t>
      </w:r>
      <w:r w:rsidR="00371150">
        <w:rPr>
          <w:bCs/>
        </w:rPr>
        <w:t>4</w:t>
      </w:r>
      <w:r w:rsidR="00F15368">
        <w:rPr>
          <w:bCs/>
        </w:rPr>
        <w:t>2</w:t>
      </w:r>
    </w:p>
    <w:p w:rsidR="009C10E7" w:rsidRDefault="009C10E7" w:rsidP="006E0A1E">
      <w:pPr>
        <w:tabs>
          <w:tab w:val="right" w:leader="dot" w:pos="7920"/>
          <w:tab w:val="left" w:pos="8280"/>
          <w:tab w:val="right" w:pos="8640"/>
          <w:tab w:val="right" w:leader="dot" w:pos="8730"/>
        </w:tabs>
        <w:rPr>
          <w:b/>
          <w:bCs/>
        </w:rPr>
      </w:pPr>
    </w:p>
    <w:p w:rsidR="00CD15BC" w:rsidRPr="00EA5996" w:rsidRDefault="00CD15BC" w:rsidP="006E0A1E">
      <w:pPr>
        <w:tabs>
          <w:tab w:val="right" w:leader="dot" w:pos="7920"/>
          <w:tab w:val="right" w:pos="8640"/>
          <w:tab w:val="right" w:leader="dot" w:pos="8730"/>
        </w:tabs>
        <w:rPr>
          <w:bCs/>
        </w:rPr>
      </w:pPr>
      <w:r w:rsidRPr="00CA09EF">
        <w:rPr>
          <w:b/>
          <w:bCs/>
        </w:rPr>
        <w:t>V</w:t>
      </w:r>
      <w:r>
        <w:rPr>
          <w:b/>
          <w:bCs/>
        </w:rPr>
        <w:t xml:space="preserve">I. </w:t>
      </w:r>
      <w:r w:rsidRPr="00CA09EF">
        <w:rPr>
          <w:b/>
          <w:bCs/>
        </w:rPr>
        <w:t>Program Offsets by Item</w:t>
      </w:r>
      <w:r w:rsidR="00EA5996" w:rsidRPr="00EA5996">
        <w:rPr>
          <w:bCs/>
        </w:rPr>
        <w:t>………………</w:t>
      </w:r>
      <w:r w:rsidR="00EA5996">
        <w:rPr>
          <w:bCs/>
        </w:rPr>
        <w:t>………………………………………</w:t>
      </w:r>
      <w:r w:rsidR="00652E05">
        <w:rPr>
          <w:bCs/>
        </w:rPr>
        <w:t>..</w:t>
      </w:r>
      <w:r w:rsidR="007A3042">
        <w:rPr>
          <w:bCs/>
        </w:rPr>
        <w:t>4</w:t>
      </w:r>
      <w:r w:rsidR="00F15368">
        <w:rPr>
          <w:bCs/>
        </w:rPr>
        <w:t>6</w:t>
      </w:r>
    </w:p>
    <w:p w:rsidR="00CD15BC" w:rsidRPr="00AF7137" w:rsidRDefault="00CD15BC" w:rsidP="00F43936">
      <w:pPr>
        <w:tabs>
          <w:tab w:val="left" w:leader="dot" w:pos="7920"/>
          <w:tab w:val="left" w:pos="8280"/>
          <w:tab w:val="right" w:pos="8640"/>
        </w:tabs>
        <w:rPr>
          <w:bCs/>
        </w:rPr>
      </w:pPr>
    </w:p>
    <w:p w:rsidR="00294CC3" w:rsidRDefault="00294CC3" w:rsidP="00C27AA5">
      <w:pPr>
        <w:pStyle w:val="xl27"/>
        <w:tabs>
          <w:tab w:val="left" w:leader="dot" w:pos="7920"/>
          <w:tab w:val="right" w:pos="8640"/>
        </w:tabs>
        <w:spacing w:before="0" w:after="0"/>
        <w:jc w:val="both"/>
        <w:rPr>
          <w:rFonts w:ascii="Times New Roman" w:hAnsi="Times New Roman"/>
          <w:bCs/>
          <w:szCs w:val="24"/>
        </w:rPr>
      </w:pPr>
    </w:p>
    <w:p w:rsidR="00B54490" w:rsidRPr="00B26676" w:rsidRDefault="00AE1F91" w:rsidP="00C27AA5">
      <w:pPr>
        <w:pStyle w:val="xl27"/>
        <w:tabs>
          <w:tab w:val="left" w:leader="dot" w:pos="7920"/>
          <w:tab w:val="right" w:pos="8640"/>
        </w:tabs>
        <w:spacing w:before="0" w:after="0"/>
        <w:jc w:val="both"/>
        <w:rPr>
          <w:rFonts w:ascii="Times New Roman" w:hAnsi="Times New Roman"/>
          <w:bCs/>
          <w:szCs w:val="24"/>
        </w:rPr>
      </w:pPr>
      <w:r>
        <w:rPr>
          <w:rFonts w:ascii="Times New Roman" w:hAnsi="Times New Roman"/>
          <w:bCs/>
          <w:szCs w:val="24"/>
        </w:rPr>
        <w:t>VII</w:t>
      </w:r>
      <w:r w:rsidR="00B54490" w:rsidRPr="00B26676">
        <w:rPr>
          <w:rFonts w:ascii="Times New Roman" w:hAnsi="Times New Roman"/>
          <w:bCs/>
          <w:szCs w:val="24"/>
        </w:rPr>
        <w:t>. Exhibits</w:t>
      </w:r>
    </w:p>
    <w:p w:rsidR="00B54490" w:rsidRPr="00B26676" w:rsidRDefault="00B54490" w:rsidP="00C27AA5">
      <w:pPr>
        <w:tabs>
          <w:tab w:val="left" w:leader="dot" w:pos="7920"/>
          <w:tab w:val="right" w:pos="8640"/>
        </w:tabs>
        <w:outlineLvl w:val="0"/>
        <w:rPr>
          <w:b/>
          <w:bCs/>
        </w:rPr>
      </w:pPr>
    </w:p>
    <w:p w:rsidR="00FD3D66" w:rsidRDefault="00FD3D66" w:rsidP="00FD3D66">
      <w:pPr>
        <w:numPr>
          <w:ilvl w:val="0"/>
          <w:numId w:val="46"/>
        </w:numPr>
        <w:tabs>
          <w:tab w:val="left" w:leader="dot" w:pos="7920"/>
          <w:tab w:val="right" w:pos="8640"/>
        </w:tabs>
        <w:outlineLvl w:val="0"/>
        <w:rPr>
          <w:bCs/>
        </w:rPr>
      </w:pPr>
      <w:r>
        <w:t>Organizational Chart</w:t>
      </w:r>
    </w:p>
    <w:p w:rsidR="00FD3D66" w:rsidRDefault="00FD3D66" w:rsidP="00FD3D66">
      <w:pPr>
        <w:pStyle w:val="xl19"/>
        <w:tabs>
          <w:tab w:val="left" w:leader="dot" w:pos="7920"/>
          <w:tab w:val="right" w:pos="8640"/>
        </w:tabs>
        <w:spacing w:before="0" w:after="0"/>
        <w:ind w:left="360"/>
        <w:rPr>
          <w:bCs/>
        </w:rPr>
      </w:pPr>
      <w:r>
        <w:rPr>
          <w:bCs/>
        </w:rPr>
        <w:t xml:space="preserve">B.  Summary of Requirements </w:t>
      </w:r>
    </w:p>
    <w:p w:rsidR="00FD3D66" w:rsidRDefault="00FD3D66" w:rsidP="00FD3D66">
      <w:pPr>
        <w:tabs>
          <w:tab w:val="left" w:leader="dot" w:pos="7920"/>
          <w:tab w:val="right" w:pos="8640"/>
        </w:tabs>
        <w:ind w:left="360"/>
        <w:rPr>
          <w:bCs/>
        </w:rPr>
      </w:pPr>
      <w:r>
        <w:rPr>
          <w:bCs/>
        </w:rPr>
        <w:t>C.  FY 2013 Program Increases/Offsets by Decision Unit</w:t>
      </w:r>
    </w:p>
    <w:p w:rsidR="00FD3D66" w:rsidRPr="004B775C" w:rsidRDefault="00FD3D66" w:rsidP="00FD3D66">
      <w:pPr>
        <w:numPr>
          <w:ilvl w:val="0"/>
          <w:numId w:val="39"/>
        </w:numPr>
        <w:tabs>
          <w:tab w:val="left" w:leader="dot" w:pos="7920"/>
          <w:tab w:val="right" w:pos="8640"/>
        </w:tabs>
        <w:rPr>
          <w:bCs/>
        </w:rPr>
      </w:pPr>
      <w:r w:rsidRPr="004B775C">
        <w:rPr>
          <w:bCs/>
        </w:rPr>
        <w:t>Resources by DOJ Strategic Goal</w:t>
      </w:r>
      <w:r>
        <w:rPr>
          <w:bCs/>
        </w:rPr>
        <w:t xml:space="preserve"> and Strategic </w:t>
      </w:r>
      <w:r w:rsidRPr="004B775C">
        <w:rPr>
          <w:bCs/>
        </w:rPr>
        <w:t xml:space="preserve">Objective </w:t>
      </w:r>
    </w:p>
    <w:p w:rsidR="00FD3D66" w:rsidRDefault="00FD3D66" w:rsidP="00FD3D66">
      <w:pPr>
        <w:numPr>
          <w:ilvl w:val="0"/>
          <w:numId w:val="39"/>
        </w:numPr>
        <w:tabs>
          <w:tab w:val="left" w:leader="dot" w:pos="7920"/>
          <w:tab w:val="right" w:pos="8640"/>
        </w:tabs>
        <w:rPr>
          <w:bCs/>
        </w:rPr>
      </w:pPr>
      <w:r w:rsidRPr="004B775C">
        <w:rPr>
          <w:bCs/>
        </w:rPr>
        <w:t>Justification for Base Adjustments</w:t>
      </w:r>
    </w:p>
    <w:p w:rsidR="00FD3D66" w:rsidRDefault="00FD3D66" w:rsidP="00FD3D66">
      <w:pPr>
        <w:numPr>
          <w:ilvl w:val="0"/>
          <w:numId w:val="39"/>
        </w:numPr>
        <w:tabs>
          <w:tab w:val="left" w:leader="dot" w:pos="7920"/>
          <w:tab w:val="right" w:pos="8640"/>
        </w:tabs>
        <w:rPr>
          <w:bCs/>
        </w:rPr>
      </w:pPr>
      <w:r>
        <w:rPr>
          <w:bCs/>
        </w:rPr>
        <w:t>Crosswalk of 2011 Availability</w:t>
      </w:r>
    </w:p>
    <w:p w:rsidR="00FD3D66" w:rsidRPr="00D14978" w:rsidRDefault="00FD3D66" w:rsidP="00FD3D66">
      <w:pPr>
        <w:numPr>
          <w:ilvl w:val="0"/>
          <w:numId w:val="39"/>
        </w:numPr>
        <w:tabs>
          <w:tab w:val="left" w:leader="dot" w:pos="7920"/>
          <w:tab w:val="right" w:pos="8640"/>
        </w:tabs>
        <w:rPr>
          <w:bCs/>
          <w:i/>
        </w:rPr>
      </w:pPr>
      <w:r w:rsidRPr="00792186">
        <w:rPr>
          <w:bCs/>
        </w:rPr>
        <w:t>Crosswalk of 201</w:t>
      </w:r>
      <w:r>
        <w:rPr>
          <w:bCs/>
        </w:rPr>
        <w:t>2</w:t>
      </w:r>
      <w:r w:rsidRPr="00792186">
        <w:rPr>
          <w:bCs/>
        </w:rPr>
        <w:t xml:space="preserve"> Availability</w:t>
      </w:r>
      <w:r>
        <w:rPr>
          <w:bCs/>
        </w:rPr>
        <w:t xml:space="preserve"> </w:t>
      </w:r>
    </w:p>
    <w:p w:rsidR="00FD3D66" w:rsidRDefault="00FD3D66" w:rsidP="00FD3D66">
      <w:pPr>
        <w:numPr>
          <w:ilvl w:val="0"/>
          <w:numId w:val="39"/>
        </w:numPr>
        <w:tabs>
          <w:tab w:val="left" w:leader="dot" w:pos="7920"/>
          <w:tab w:val="right" w:pos="8640"/>
        </w:tabs>
        <w:rPr>
          <w:bCs/>
        </w:rPr>
      </w:pPr>
      <w:r>
        <w:rPr>
          <w:bCs/>
        </w:rPr>
        <w:t>Summary of Reimbursable Resources</w:t>
      </w:r>
      <w:r w:rsidR="00C40023">
        <w:rPr>
          <w:bCs/>
        </w:rPr>
        <w:t xml:space="preserve"> (Not applicable)</w:t>
      </w:r>
    </w:p>
    <w:p w:rsidR="00FD3D66" w:rsidRDefault="00FD3D66" w:rsidP="00FD3D66">
      <w:pPr>
        <w:numPr>
          <w:ilvl w:val="0"/>
          <w:numId w:val="39"/>
        </w:numPr>
        <w:tabs>
          <w:tab w:val="left" w:leader="dot" w:pos="7920"/>
          <w:tab w:val="right" w:pos="8640"/>
        </w:tabs>
        <w:rPr>
          <w:bCs/>
        </w:rPr>
      </w:pPr>
      <w:r>
        <w:rPr>
          <w:bCs/>
        </w:rPr>
        <w:t>Detail of Permanent Positions by Category</w:t>
      </w:r>
    </w:p>
    <w:p w:rsidR="00FD3D66" w:rsidRDefault="00FD3D66" w:rsidP="00FD3D66">
      <w:pPr>
        <w:numPr>
          <w:ilvl w:val="0"/>
          <w:numId w:val="39"/>
        </w:numPr>
        <w:tabs>
          <w:tab w:val="left" w:leader="dot" w:pos="7920"/>
          <w:tab w:val="right" w:pos="8640"/>
        </w:tabs>
        <w:rPr>
          <w:bCs/>
        </w:rPr>
      </w:pPr>
      <w:r>
        <w:rPr>
          <w:bCs/>
        </w:rPr>
        <w:t>Financial Analysis of Program Changes</w:t>
      </w:r>
    </w:p>
    <w:p w:rsidR="00FD3D66" w:rsidRDefault="00FD3D66" w:rsidP="00FD3D66">
      <w:pPr>
        <w:numPr>
          <w:ilvl w:val="0"/>
          <w:numId w:val="39"/>
        </w:numPr>
        <w:tabs>
          <w:tab w:val="left" w:leader="dot" w:pos="7920"/>
          <w:tab w:val="right" w:pos="8640"/>
        </w:tabs>
        <w:rPr>
          <w:bCs/>
        </w:rPr>
      </w:pPr>
      <w:r>
        <w:rPr>
          <w:bCs/>
        </w:rPr>
        <w:t>Summary of Requirements by Grade</w:t>
      </w:r>
    </w:p>
    <w:p w:rsidR="00FD3D66" w:rsidRDefault="00FD3D66" w:rsidP="00FD3D66">
      <w:pPr>
        <w:numPr>
          <w:ilvl w:val="0"/>
          <w:numId w:val="39"/>
        </w:numPr>
        <w:tabs>
          <w:tab w:val="left" w:leader="dot" w:pos="7920"/>
          <w:tab w:val="right" w:pos="8640"/>
        </w:tabs>
        <w:rPr>
          <w:bCs/>
        </w:rPr>
      </w:pPr>
      <w:r>
        <w:rPr>
          <w:bCs/>
        </w:rPr>
        <w:t>Summary of Requirements by Object Class</w:t>
      </w:r>
    </w:p>
    <w:p w:rsidR="00FD3D66" w:rsidRDefault="00FD3D66" w:rsidP="00FD3D66">
      <w:pPr>
        <w:numPr>
          <w:ilvl w:val="0"/>
          <w:numId w:val="39"/>
        </w:numPr>
        <w:tabs>
          <w:tab w:val="left" w:leader="dot" w:pos="7920"/>
          <w:tab w:val="right" w:pos="8640"/>
        </w:tabs>
        <w:rPr>
          <w:bCs/>
        </w:rPr>
      </w:pPr>
      <w:r w:rsidRPr="004B775C">
        <w:rPr>
          <w:bCs/>
        </w:rPr>
        <w:t>Status of Congressionally Requested Studies, Reports, and Evaluations</w:t>
      </w:r>
      <w:r>
        <w:rPr>
          <w:bCs/>
        </w:rPr>
        <w:t xml:space="preserve"> </w:t>
      </w:r>
    </w:p>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Default="00B54490" w:rsidP="00C27AA5"/>
    <w:p w:rsidR="00B54490" w:rsidRPr="0038569C" w:rsidRDefault="00B54490" w:rsidP="00C27AA5">
      <w:pPr>
        <w:jc w:val="center"/>
        <w:rPr>
          <w:b/>
          <w:sz w:val="16"/>
          <w:szCs w:val="16"/>
        </w:rPr>
      </w:pPr>
      <w:r w:rsidRPr="00F227C2">
        <w:rPr>
          <w:b/>
          <w:sz w:val="56"/>
          <w:szCs w:val="56"/>
        </w:rPr>
        <w:t xml:space="preserve">Intentionally Left Blank </w:t>
      </w:r>
      <w:r w:rsidRPr="00F227C2">
        <w:rPr>
          <w:b/>
          <w:sz w:val="56"/>
          <w:szCs w:val="56"/>
        </w:rPr>
        <w:br w:type="page"/>
      </w:r>
    </w:p>
    <w:p w:rsidR="00B54490" w:rsidRPr="00BE3210" w:rsidRDefault="00B54490" w:rsidP="00F77B57">
      <w:pPr>
        <w:pStyle w:val="Heading1"/>
        <w:rPr>
          <w:b w:val="0"/>
        </w:rPr>
      </w:pPr>
      <w:r w:rsidRPr="00BE3210">
        <w:rPr>
          <w:b w:val="0"/>
        </w:rPr>
        <w:lastRenderedPageBreak/>
        <w:t>I.</w:t>
      </w:r>
      <w:r w:rsidRPr="00BE3210">
        <w:rPr>
          <w:b w:val="0"/>
        </w:rPr>
        <w:tab/>
        <w:t>OVERVIEW FOR THE ORGANIZED CRIME DRUG ENFORCEMENT TASK FORCE</w:t>
      </w:r>
      <w:r w:rsidR="009E747E">
        <w:rPr>
          <w:b w:val="0"/>
        </w:rPr>
        <w:t>S</w:t>
      </w:r>
      <w:r w:rsidRPr="00BE3210">
        <w:rPr>
          <w:b w:val="0"/>
        </w:rPr>
        <w:t xml:space="preserve"> (OCDETF) PROGRAM</w:t>
      </w:r>
    </w:p>
    <w:p w:rsidR="00B54490" w:rsidRPr="00BE3210" w:rsidRDefault="00B54490" w:rsidP="00F77B57">
      <w:pPr>
        <w:pStyle w:val="Heading2"/>
        <w:numPr>
          <w:ilvl w:val="1"/>
          <w:numId w:val="22"/>
        </w:numPr>
        <w:tabs>
          <w:tab w:val="clear" w:pos="1800"/>
          <w:tab w:val="num" w:pos="720"/>
        </w:tabs>
        <w:ind w:left="720"/>
      </w:pPr>
      <w:r w:rsidRPr="00BE3210">
        <w:t>General Overview</w:t>
      </w:r>
    </w:p>
    <w:p w:rsidR="00B54490" w:rsidRPr="00BE3210" w:rsidRDefault="00B54490" w:rsidP="00F77B57">
      <w:pPr>
        <w:pStyle w:val="Heading3"/>
        <w:numPr>
          <w:ilvl w:val="2"/>
          <w:numId w:val="22"/>
        </w:numPr>
        <w:tabs>
          <w:tab w:val="clear" w:pos="2160"/>
        </w:tabs>
        <w:ind w:left="1440"/>
      </w:pPr>
      <w:r w:rsidRPr="00BE3210">
        <w:t>Budget Summary</w:t>
      </w:r>
    </w:p>
    <w:p w:rsidR="002F6A53" w:rsidRDefault="00B54490" w:rsidP="00A4030B">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pPr>
      <w:r w:rsidRPr="00BE3210">
        <w:t>The Organized Crime Drug Enforcement Task Force</w:t>
      </w:r>
      <w:r w:rsidR="009E747E">
        <w:t>s</w:t>
      </w:r>
      <w:r w:rsidRPr="00BE3210">
        <w:t xml:space="preserve"> (OCDETF)</w:t>
      </w:r>
      <w:r>
        <w:t xml:space="preserve"> Program directly supports</w:t>
      </w:r>
      <w:r w:rsidR="002F6A53">
        <w:t>:</w:t>
      </w:r>
    </w:p>
    <w:p w:rsidR="00324377" w:rsidRDefault="00B54490">
      <w:pPr>
        <w:pStyle w:val="ListParagraph"/>
        <w:widowControl w:val="0"/>
        <w:numPr>
          <w:ilvl w:val="0"/>
          <w:numId w:val="47"/>
        </w:numPr>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szCs w:val="24"/>
        </w:rPr>
      </w:pPr>
      <w:r>
        <w:t>Chapter 5</w:t>
      </w:r>
      <w:r w:rsidRPr="00BE3210">
        <w:t xml:space="preserve"> (Disrup</w:t>
      </w:r>
      <w:r>
        <w:t>t domestic drug trafficking and production</w:t>
      </w:r>
      <w:r w:rsidRPr="00BE3210">
        <w:t xml:space="preserve">) of the </w:t>
      </w:r>
      <w:r w:rsidR="00DF2363">
        <w:t>2011</w:t>
      </w:r>
      <w:r>
        <w:t xml:space="preserve"> </w:t>
      </w:r>
      <w:r w:rsidRPr="00BE3210">
        <w:rPr>
          <w:i/>
        </w:rPr>
        <w:t>President’</w:t>
      </w:r>
      <w:r>
        <w:rPr>
          <w:i/>
        </w:rPr>
        <w:t>s National Drug Control Strategy</w:t>
      </w:r>
      <w:r>
        <w:t>;</w:t>
      </w:r>
      <w:r w:rsidRPr="00BE3210">
        <w:t xml:space="preserve"> </w:t>
      </w:r>
    </w:p>
    <w:p w:rsidR="00324377" w:rsidRDefault="00B54490">
      <w:pPr>
        <w:pStyle w:val="ListParagraph"/>
        <w:widowControl w:val="0"/>
        <w:numPr>
          <w:ilvl w:val="0"/>
          <w:numId w:val="47"/>
        </w:numPr>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szCs w:val="24"/>
        </w:rPr>
      </w:pPr>
      <w:r w:rsidRPr="00BE3210">
        <w:t>Strategic Goal</w:t>
      </w:r>
      <w:r w:rsidR="00165AB6">
        <w:t>s</w:t>
      </w:r>
      <w:r w:rsidRPr="00BE3210">
        <w:t xml:space="preserve"> 2.</w:t>
      </w:r>
      <w:r w:rsidR="00165AB6">
        <w:t>3</w:t>
      </w:r>
      <w:r w:rsidRPr="00BE3210">
        <w:t xml:space="preserve"> (</w:t>
      </w:r>
      <w:r w:rsidR="00165AB6">
        <w:t>Combat</w:t>
      </w:r>
      <w:r w:rsidRPr="00BE3210">
        <w:t xml:space="preserve"> the threat, trafficking, </w:t>
      </w:r>
      <w:r w:rsidR="00165AB6">
        <w:t xml:space="preserve">and </w:t>
      </w:r>
      <w:r w:rsidRPr="00BE3210">
        <w:t>use</w:t>
      </w:r>
      <w:r w:rsidR="00165AB6">
        <w:t xml:space="preserve"> </w:t>
      </w:r>
      <w:r w:rsidRPr="00BE3210">
        <w:t>of illegal drugs</w:t>
      </w:r>
      <w:r w:rsidR="00165AB6">
        <w:t xml:space="preserve"> and the diversion of licit drugs</w:t>
      </w:r>
      <w:r w:rsidRPr="00BE3210">
        <w:t xml:space="preserve">) </w:t>
      </w:r>
      <w:r w:rsidR="00165AB6">
        <w:t xml:space="preserve">and 2.4 (Combat corruption, economic crimes, and international organized crime) </w:t>
      </w:r>
      <w:r w:rsidRPr="00BE3210">
        <w:t xml:space="preserve">of the </w:t>
      </w:r>
      <w:r w:rsidRPr="00BE3210">
        <w:rPr>
          <w:i/>
          <w:iCs/>
        </w:rPr>
        <w:t>Department of Justice’s FY 20</w:t>
      </w:r>
      <w:r w:rsidR="00165AB6">
        <w:rPr>
          <w:i/>
          <w:iCs/>
        </w:rPr>
        <w:t>12</w:t>
      </w:r>
      <w:r w:rsidRPr="00BE3210">
        <w:rPr>
          <w:i/>
          <w:iCs/>
        </w:rPr>
        <w:t xml:space="preserve"> – FY 201</w:t>
      </w:r>
      <w:r w:rsidR="00165AB6">
        <w:rPr>
          <w:i/>
          <w:iCs/>
        </w:rPr>
        <w:t>6</w:t>
      </w:r>
      <w:r w:rsidRPr="00BE3210">
        <w:rPr>
          <w:i/>
          <w:iCs/>
        </w:rPr>
        <w:t xml:space="preserve"> Strategic Plan</w:t>
      </w:r>
      <w:r>
        <w:rPr>
          <w:iCs/>
        </w:rPr>
        <w:t xml:space="preserve">; </w:t>
      </w:r>
    </w:p>
    <w:p w:rsidR="00324377" w:rsidRDefault="00B54490">
      <w:pPr>
        <w:pStyle w:val="ListParagraph"/>
        <w:widowControl w:val="0"/>
        <w:numPr>
          <w:ilvl w:val="0"/>
          <w:numId w:val="47"/>
        </w:numPr>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szCs w:val="24"/>
        </w:rPr>
      </w:pPr>
      <w:r>
        <w:rPr>
          <w:iCs/>
        </w:rPr>
        <w:t>the Strategic Goal</w:t>
      </w:r>
      <w:r w:rsidR="003D384A">
        <w:rPr>
          <w:iCs/>
        </w:rPr>
        <w:t>s</w:t>
      </w:r>
      <w:r>
        <w:rPr>
          <w:iCs/>
        </w:rPr>
        <w:t xml:space="preserve"> and Strategic Objectives of the </w:t>
      </w:r>
      <w:r w:rsidR="00DF2363">
        <w:rPr>
          <w:iCs/>
        </w:rPr>
        <w:t>2011</w:t>
      </w:r>
      <w:r>
        <w:rPr>
          <w:szCs w:val="24"/>
        </w:rPr>
        <w:t xml:space="preserve"> </w:t>
      </w:r>
      <w:r w:rsidRPr="00BE3210">
        <w:rPr>
          <w:i/>
          <w:iCs/>
        </w:rPr>
        <w:t xml:space="preserve">National Southwest Border Counternarcotics Strategy </w:t>
      </w:r>
      <w:r>
        <w:rPr>
          <w:iCs/>
        </w:rPr>
        <w:t>(</w:t>
      </w:r>
      <w:r>
        <w:rPr>
          <w:i/>
          <w:iCs/>
        </w:rPr>
        <w:t>SWB CN Strategy</w:t>
      </w:r>
      <w:r>
        <w:rPr>
          <w:iCs/>
        </w:rPr>
        <w:t>)</w:t>
      </w:r>
      <w:r w:rsidR="003D384A">
        <w:rPr>
          <w:iCs/>
        </w:rPr>
        <w:t xml:space="preserve"> and the 2011 </w:t>
      </w:r>
      <w:r w:rsidR="003D384A">
        <w:rPr>
          <w:i/>
          <w:iCs/>
        </w:rPr>
        <w:t>National Northern Border Counternarcotics Strategy (NB CN Strategy)</w:t>
      </w:r>
      <w:r>
        <w:rPr>
          <w:iCs/>
        </w:rPr>
        <w:t>;</w:t>
      </w:r>
      <w:r w:rsidR="00B946B0">
        <w:rPr>
          <w:iCs/>
        </w:rPr>
        <w:t xml:space="preserve"> </w:t>
      </w:r>
    </w:p>
    <w:p w:rsidR="00324377" w:rsidRDefault="00B946B0">
      <w:pPr>
        <w:pStyle w:val="ListParagraph"/>
        <w:widowControl w:val="0"/>
        <w:numPr>
          <w:ilvl w:val="0"/>
          <w:numId w:val="47"/>
        </w:numPr>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szCs w:val="24"/>
        </w:rPr>
      </w:pPr>
      <w:r>
        <w:rPr>
          <w:iCs/>
        </w:rPr>
        <w:t xml:space="preserve">the July 2011 </w:t>
      </w:r>
      <w:r w:rsidRPr="00B946B0">
        <w:rPr>
          <w:i/>
          <w:iCs/>
        </w:rPr>
        <w:t>White House’s Strategy to Combat Organized Crime</w:t>
      </w:r>
      <w:r>
        <w:rPr>
          <w:iCs/>
        </w:rPr>
        <w:t>;</w:t>
      </w:r>
      <w:r w:rsidRPr="00B946B0">
        <w:rPr>
          <w:iCs/>
        </w:rPr>
        <w:t xml:space="preserve"> </w:t>
      </w:r>
      <w:r w:rsidR="00B54490">
        <w:rPr>
          <w:iCs/>
        </w:rPr>
        <w:t xml:space="preserve">the 2009 </w:t>
      </w:r>
      <w:r>
        <w:rPr>
          <w:iCs/>
        </w:rPr>
        <w:t>Administration</w:t>
      </w:r>
      <w:r w:rsidR="00B54490">
        <w:rPr>
          <w:iCs/>
        </w:rPr>
        <w:t xml:space="preserve"> and Department of Justice’s Southwest Border Strategy;</w:t>
      </w:r>
      <w:r w:rsidR="00B44C25" w:rsidRPr="00B44C25">
        <w:rPr>
          <w:iCs/>
        </w:rPr>
        <w:t xml:space="preserve"> </w:t>
      </w:r>
      <w:r w:rsidR="00B44C25" w:rsidRPr="002F6A53">
        <w:rPr>
          <w:iCs/>
        </w:rPr>
        <w:t>and the</w:t>
      </w:r>
    </w:p>
    <w:p w:rsidR="00324377" w:rsidRDefault="00B54490">
      <w:pPr>
        <w:pStyle w:val="ListParagraph"/>
        <w:widowControl w:val="0"/>
        <w:numPr>
          <w:ilvl w:val="0"/>
          <w:numId w:val="47"/>
        </w:numPr>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szCs w:val="24"/>
        </w:rPr>
      </w:pPr>
      <w:r w:rsidRPr="002F6A53">
        <w:rPr>
          <w:iCs/>
        </w:rPr>
        <w:t>2010 Department of Justice’s Strategy for Combating the Mexican Cartels</w:t>
      </w:r>
      <w:r w:rsidRPr="002F6A53">
        <w:rPr>
          <w:szCs w:val="24"/>
        </w:rPr>
        <w:t xml:space="preserve">.  </w:t>
      </w:r>
    </w:p>
    <w:p w:rsidR="00D2557F" w:rsidRDefault="00D2557F" w:rsidP="00A4030B">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szCs w:val="24"/>
        </w:rPr>
      </w:pPr>
    </w:p>
    <w:p w:rsidR="00D2557F" w:rsidRDefault="00682690" w:rsidP="00D2557F">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bCs/>
        </w:rPr>
      </w:pPr>
      <w:r>
        <w:rPr>
          <w:szCs w:val="24"/>
        </w:rPr>
        <w:t>The FY 2013</w:t>
      </w:r>
      <w:r w:rsidR="00B54490" w:rsidRPr="0020092D">
        <w:rPr>
          <w:szCs w:val="24"/>
        </w:rPr>
        <w:t xml:space="preserve"> OCDETF Program </w:t>
      </w:r>
      <w:r w:rsidR="00BF2BF7">
        <w:rPr>
          <w:szCs w:val="24"/>
        </w:rPr>
        <w:t>Budget</w:t>
      </w:r>
      <w:r>
        <w:rPr>
          <w:szCs w:val="24"/>
        </w:rPr>
        <w:t xml:space="preserve"> </w:t>
      </w:r>
      <w:r w:rsidR="0061481E" w:rsidRPr="0020092D">
        <w:rPr>
          <w:szCs w:val="24"/>
        </w:rPr>
        <w:t>Request</w:t>
      </w:r>
      <w:r w:rsidR="00B54490" w:rsidRPr="0020092D">
        <w:rPr>
          <w:szCs w:val="24"/>
        </w:rPr>
        <w:t xml:space="preserve"> is comprised of </w:t>
      </w:r>
      <w:r w:rsidR="00B961E5">
        <w:rPr>
          <w:szCs w:val="24"/>
        </w:rPr>
        <w:t>3,</w:t>
      </w:r>
      <w:r w:rsidR="002D7740">
        <w:rPr>
          <w:szCs w:val="24"/>
        </w:rPr>
        <w:t>282</w:t>
      </w:r>
      <w:r w:rsidR="005C0D95" w:rsidRPr="00B961E5">
        <w:rPr>
          <w:szCs w:val="24"/>
        </w:rPr>
        <w:t xml:space="preserve"> positions, </w:t>
      </w:r>
      <w:r w:rsidR="00B961E5">
        <w:rPr>
          <w:szCs w:val="24"/>
        </w:rPr>
        <w:t>3,</w:t>
      </w:r>
      <w:r w:rsidR="003509BD">
        <w:rPr>
          <w:szCs w:val="24"/>
        </w:rPr>
        <w:t>228</w:t>
      </w:r>
      <w:r w:rsidR="005C0D95" w:rsidRPr="00B961E5">
        <w:rPr>
          <w:szCs w:val="24"/>
        </w:rPr>
        <w:t xml:space="preserve"> FTE,</w:t>
      </w:r>
      <w:r w:rsidR="00B54490" w:rsidRPr="0020092D">
        <w:rPr>
          <w:szCs w:val="24"/>
        </w:rPr>
        <w:t xml:space="preserve"> and $</w:t>
      </w:r>
      <w:r w:rsidR="0061481E" w:rsidRPr="0020092D">
        <w:rPr>
          <w:szCs w:val="24"/>
        </w:rPr>
        <w:t>5</w:t>
      </w:r>
      <w:r w:rsidR="003509BD">
        <w:rPr>
          <w:szCs w:val="24"/>
        </w:rPr>
        <w:t>24</w:t>
      </w:r>
      <w:r w:rsidR="0061481E" w:rsidRPr="0020092D">
        <w:rPr>
          <w:szCs w:val="24"/>
        </w:rPr>
        <w:t>,</w:t>
      </w:r>
      <w:r w:rsidR="003509BD">
        <w:rPr>
          <w:szCs w:val="24"/>
        </w:rPr>
        <w:t>793</w:t>
      </w:r>
      <w:r w:rsidR="0061481E" w:rsidRPr="0020092D">
        <w:rPr>
          <w:szCs w:val="24"/>
        </w:rPr>
        <w:t>,000</w:t>
      </w:r>
      <w:r w:rsidR="00B54490" w:rsidRPr="0020092D">
        <w:rPr>
          <w:szCs w:val="24"/>
        </w:rPr>
        <w:t xml:space="preserve"> </w:t>
      </w:r>
      <w:r>
        <w:rPr>
          <w:szCs w:val="24"/>
        </w:rPr>
        <w:t xml:space="preserve">in funding </w:t>
      </w:r>
      <w:r w:rsidR="00B54490" w:rsidRPr="0020092D">
        <w:rPr>
          <w:szCs w:val="24"/>
        </w:rPr>
        <w:t>for the Interagency Crime and Drug Enforcement (ICDE) Appropriation</w:t>
      </w:r>
      <w:r w:rsidR="00EF3306">
        <w:rPr>
          <w:szCs w:val="24"/>
        </w:rPr>
        <w:t xml:space="preserve">, of which $3,000,000 will be </w:t>
      </w:r>
      <w:r w:rsidR="003D384A">
        <w:rPr>
          <w:szCs w:val="24"/>
        </w:rPr>
        <w:t>used</w:t>
      </w:r>
      <w:r w:rsidR="00EF3306">
        <w:rPr>
          <w:szCs w:val="24"/>
        </w:rPr>
        <w:t xml:space="preserve"> for investigative costs associated with transnational organiz</w:t>
      </w:r>
      <w:r w:rsidR="00C24E66">
        <w:rPr>
          <w:szCs w:val="24"/>
        </w:rPr>
        <w:t>ed</w:t>
      </w:r>
      <w:r w:rsidR="00EF3306">
        <w:rPr>
          <w:szCs w:val="24"/>
        </w:rPr>
        <w:t xml:space="preserve"> crime</w:t>
      </w:r>
      <w:r w:rsidR="00671492">
        <w:rPr>
          <w:szCs w:val="24"/>
        </w:rPr>
        <w:t xml:space="preserve"> (TOC)</w:t>
      </w:r>
      <w:r w:rsidR="00B54490" w:rsidRPr="0020092D">
        <w:rPr>
          <w:szCs w:val="24"/>
        </w:rPr>
        <w:t xml:space="preserve">.  </w:t>
      </w:r>
      <w:r w:rsidR="00D2557F">
        <w:rPr>
          <w:szCs w:val="24"/>
        </w:rPr>
        <w:t>El</w:t>
      </w:r>
      <w:r w:rsidR="00D2557F" w:rsidRPr="00BE3210">
        <w:rPr>
          <w:bCs/>
        </w:rPr>
        <w:t xml:space="preserve">ectronic copies of the Department of Justice’s Congressional Budget Justifications and Capital Asset Plan and Business Case exhibits can be viewed or downloaded from the Internet using the Internet address: </w:t>
      </w:r>
      <w:hyperlink r:id="rId15" w:history="1">
        <w:r w:rsidR="00D2557F" w:rsidRPr="003E38AE">
          <w:rPr>
            <w:rStyle w:val="Hyperlink"/>
            <w:b/>
          </w:rPr>
          <w:t>http://www.usdoj.gov/jmd/2011justification/</w:t>
        </w:r>
      </w:hyperlink>
      <w:r w:rsidR="00D2557F" w:rsidRPr="00BE3210">
        <w:t>.</w:t>
      </w:r>
      <w:r w:rsidR="00D2557F" w:rsidRPr="00BE3210">
        <w:rPr>
          <w:bCs/>
        </w:rPr>
        <w:t xml:space="preserve">  </w:t>
      </w:r>
    </w:p>
    <w:p w:rsidR="00FB594C" w:rsidRPr="0099426D" w:rsidRDefault="00FB594C" w:rsidP="00FB594C">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b/>
          <w:i/>
          <w:color w:val="FF0000"/>
        </w:rPr>
      </w:pPr>
    </w:p>
    <w:p w:rsidR="00FB594C" w:rsidRPr="00023A74" w:rsidRDefault="00023A74" w:rsidP="00FB594C">
      <w:pPr>
        <w:rPr>
          <w:szCs w:val="24"/>
        </w:rPr>
      </w:pPr>
      <w:r>
        <w:rPr>
          <w:szCs w:val="24"/>
        </w:rPr>
        <w:t>T</w:t>
      </w:r>
      <w:r w:rsidR="00FB594C" w:rsidRPr="006C72F5">
        <w:rPr>
          <w:szCs w:val="24"/>
        </w:rPr>
        <w:t xml:space="preserve">he OCDETF Program </w:t>
      </w:r>
      <w:r>
        <w:rPr>
          <w:szCs w:val="24"/>
        </w:rPr>
        <w:t xml:space="preserve">is </w:t>
      </w:r>
      <w:r w:rsidR="00FB594C" w:rsidRPr="006C72F5">
        <w:rPr>
          <w:szCs w:val="24"/>
        </w:rPr>
        <w:t xml:space="preserve">the centerpiece of the Department’s long-term drug enforcement strategy.  It is the Program that coordinates and channels all elements of federal </w:t>
      </w:r>
      <w:r w:rsidR="00C24E66">
        <w:rPr>
          <w:szCs w:val="24"/>
        </w:rPr>
        <w:t>law enforce</w:t>
      </w:r>
      <w:r w:rsidR="00FB594C" w:rsidRPr="006C72F5">
        <w:rPr>
          <w:szCs w:val="24"/>
        </w:rPr>
        <w:t xml:space="preserve">ment – including </w:t>
      </w:r>
      <w:r w:rsidR="001C16FB">
        <w:rPr>
          <w:szCs w:val="24"/>
        </w:rPr>
        <w:t>the Department of Homeland Security (</w:t>
      </w:r>
      <w:r w:rsidR="00FB594C" w:rsidRPr="006C72F5">
        <w:rPr>
          <w:szCs w:val="24"/>
        </w:rPr>
        <w:t>DHS</w:t>
      </w:r>
      <w:r w:rsidR="001C16FB">
        <w:rPr>
          <w:szCs w:val="24"/>
        </w:rPr>
        <w:t>)</w:t>
      </w:r>
      <w:r w:rsidR="00FB594C" w:rsidRPr="006C72F5">
        <w:rPr>
          <w:szCs w:val="24"/>
        </w:rPr>
        <w:t xml:space="preserve"> and the Department of the Treasury – in its efforts against the largest national and international drug-trafficking and money laundering organizations.  It provides national policy direction and oversight, with accountability and results.  After more than a quarter century of operations, OCDETF continues to be the vehicle to </w:t>
      </w:r>
      <w:r w:rsidR="00C24E66">
        <w:rPr>
          <w:szCs w:val="24"/>
        </w:rPr>
        <w:t>maintain</w:t>
      </w:r>
      <w:r w:rsidR="00FB594C" w:rsidRPr="006C72F5">
        <w:rPr>
          <w:szCs w:val="24"/>
        </w:rPr>
        <w:t xml:space="preserve"> the fight against today’s violent Mexican drug cartels and other emerging threats</w:t>
      </w:r>
      <w:r w:rsidR="00FB594C" w:rsidRPr="009E747E">
        <w:rPr>
          <w:szCs w:val="24"/>
        </w:rPr>
        <w:t>.</w:t>
      </w:r>
      <w:r w:rsidR="006C72F5" w:rsidRPr="009E747E">
        <w:rPr>
          <w:szCs w:val="24"/>
        </w:rPr>
        <w:t xml:space="preserve">  </w:t>
      </w:r>
      <w:r w:rsidR="00C24E66">
        <w:rPr>
          <w:szCs w:val="24"/>
        </w:rPr>
        <w:t xml:space="preserve">In </w:t>
      </w:r>
      <w:r w:rsidR="00AE0095" w:rsidRPr="00593E02">
        <w:rPr>
          <w:szCs w:val="24"/>
        </w:rPr>
        <w:t>FY 2011</w:t>
      </w:r>
      <w:r w:rsidR="00FB594C" w:rsidRPr="00593E02">
        <w:rPr>
          <w:szCs w:val="24"/>
        </w:rPr>
        <w:t>, OCDETF seized approximately $4</w:t>
      </w:r>
      <w:r w:rsidR="00AE0095" w:rsidRPr="00593E02">
        <w:rPr>
          <w:szCs w:val="24"/>
        </w:rPr>
        <w:t>21</w:t>
      </w:r>
      <w:r w:rsidR="00FB594C" w:rsidRPr="00593E02">
        <w:rPr>
          <w:szCs w:val="24"/>
        </w:rPr>
        <w:t xml:space="preserve"> million in cash and property; and forfeitures amounted to $</w:t>
      </w:r>
      <w:r w:rsidR="00AE0095" w:rsidRPr="00593E02">
        <w:rPr>
          <w:szCs w:val="24"/>
        </w:rPr>
        <w:t>559</w:t>
      </w:r>
      <w:r w:rsidR="00FB594C" w:rsidRPr="00593E02">
        <w:rPr>
          <w:szCs w:val="24"/>
        </w:rPr>
        <w:t xml:space="preserve"> million.  </w:t>
      </w:r>
      <w:r w:rsidRPr="00593E02">
        <w:rPr>
          <w:szCs w:val="24"/>
        </w:rPr>
        <w:t>Whereas, t</w:t>
      </w:r>
      <w:r w:rsidR="00FB594C" w:rsidRPr="00593E02">
        <w:rPr>
          <w:szCs w:val="24"/>
        </w:rPr>
        <w:t xml:space="preserve">he Program </w:t>
      </w:r>
      <w:r w:rsidRPr="00593E02">
        <w:rPr>
          <w:szCs w:val="24"/>
        </w:rPr>
        <w:t xml:space="preserve">received </w:t>
      </w:r>
      <w:r w:rsidR="00FB594C" w:rsidRPr="00593E02">
        <w:rPr>
          <w:szCs w:val="24"/>
        </w:rPr>
        <w:t>$</w:t>
      </w:r>
      <w:r w:rsidR="00995FC2" w:rsidRPr="00593E02">
        <w:rPr>
          <w:szCs w:val="24"/>
        </w:rPr>
        <w:t>52</w:t>
      </w:r>
      <w:r w:rsidR="00AE0095" w:rsidRPr="00593E02">
        <w:rPr>
          <w:szCs w:val="24"/>
        </w:rPr>
        <w:t>7.5</w:t>
      </w:r>
      <w:r w:rsidR="00995FC2" w:rsidRPr="00593E02">
        <w:rPr>
          <w:szCs w:val="24"/>
        </w:rPr>
        <w:t xml:space="preserve"> </w:t>
      </w:r>
      <w:r w:rsidR="00FB594C" w:rsidRPr="00593E02">
        <w:rPr>
          <w:szCs w:val="24"/>
        </w:rPr>
        <w:t xml:space="preserve">million </w:t>
      </w:r>
      <w:r w:rsidRPr="00593E02">
        <w:rPr>
          <w:szCs w:val="24"/>
        </w:rPr>
        <w:t xml:space="preserve">in appropriations, it </w:t>
      </w:r>
      <w:r w:rsidR="00FB594C" w:rsidRPr="00593E02">
        <w:rPr>
          <w:szCs w:val="24"/>
        </w:rPr>
        <w:t xml:space="preserve">produced a </w:t>
      </w:r>
      <w:r w:rsidR="00593E02" w:rsidRPr="00593E02">
        <w:rPr>
          <w:szCs w:val="24"/>
        </w:rPr>
        <w:t xml:space="preserve">186 </w:t>
      </w:r>
      <w:r w:rsidR="00FB594C" w:rsidRPr="00593E02">
        <w:rPr>
          <w:szCs w:val="24"/>
        </w:rPr>
        <w:t xml:space="preserve">percent return on investment by collecting </w:t>
      </w:r>
      <w:r w:rsidR="00593E02" w:rsidRPr="00593E02">
        <w:rPr>
          <w:szCs w:val="24"/>
        </w:rPr>
        <w:t>n</w:t>
      </w:r>
      <w:r w:rsidR="00FB594C" w:rsidRPr="00593E02">
        <w:rPr>
          <w:szCs w:val="24"/>
        </w:rPr>
        <w:t>e</w:t>
      </w:r>
      <w:r w:rsidR="00593E02" w:rsidRPr="00593E02">
        <w:rPr>
          <w:szCs w:val="24"/>
        </w:rPr>
        <w:t>a</w:t>
      </w:r>
      <w:r w:rsidR="00FB594C" w:rsidRPr="00593E02">
        <w:rPr>
          <w:szCs w:val="24"/>
        </w:rPr>
        <w:t>r</w:t>
      </w:r>
      <w:r w:rsidR="00593E02" w:rsidRPr="00593E02">
        <w:rPr>
          <w:szCs w:val="24"/>
        </w:rPr>
        <w:t>ly</w:t>
      </w:r>
      <w:r w:rsidR="00FB594C" w:rsidRPr="00593E02">
        <w:rPr>
          <w:szCs w:val="24"/>
        </w:rPr>
        <w:t xml:space="preserve"> $1 billion in forfeitures and seizures.</w:t>
      </w:r>
      <w:r w:rsidR="00FB594C" w:rsidRPr="006C72F5">
        <w:rPr>
          <w:szCs w:val="24"/>
        </w:rPr>
        <w:t xml:space="preserve">   OCDETF’s performance measures ensure that the funds it receives are maximized and used most efficiently</w:t>
      </w:r>
      <w:r w:rsidR="00FB594C" w:rsidRPr="006C72F5">
        <w:rPr>
          <w:bCs/>
          <w:iCs/>
          <w:szCs w:val="24"/>
        </w:rPr>
        <w:t>.</w:t>
      </w:r>
    </w:p>
    <w:p w:rsidR="00F7262C" w:rsidRDefault="00F7262C" w:rsidP="00F7262C"/>
    <w:p w:rsidR="00F7262C" w:rsidRDefault="00F7262C" w:rsidP="00F7262C">
      <w:r w:rsidRPr="00346B48">
        <w:t>The Department</w:t>
      </w:r>
      <w:r>
        <w:t xml:space="preserve"> of Justice</w:t>
      </w:r>
      <w:r w:rsidRPr="00346B48">
        <w:t>’s</w:t>
      </w:r>
      <w:r>
        <w:rPr>
          <w:i/>
        </w:rPr>
        <w:t xml:space="preserve"> </w:t>
      </w:r>
      <w:r w:rsidRPr="005A75D2">
        <w:rPr>
          <w:i/>
        </w:rPr>
        <w:t xml:space="preserve">Law Enforcement Strategy to Combat </w:t>
      </w:r>
      <w:r>
        <w:rPr>
          <w:i/>
        </w:rPr>
        <w:t>Transnational</w:t>
      </w:r>
      <w:r w:rsidRPr="005A75D2">
        <w:rPr>
          <w:i/>
        </w:rPr>
        <w:t xml:space="preserve"> Organized Crime</w:t>
      </w:r>
      <w:r>
        <w:rPr>
          <w:i/>
        </w:rPr>
        <w:t xml:space="preserve"> </w:t>
      </w:r>
      <w:r w:rsidRPr="00C24E66">
        <w:rPr>
          <w:i/>
        </w:rPr>
        <w:t>(TOC Strategy)</w:t>
      </w:r>
      <w:r>
        <w:t>, which the Department of Justice issued under the auspices of the Attorney General’s Organized Crime Council (AGOCC)</w:t>
      </w:r>
      <w:r>
        <w:rPr>
          <w:rStyle w:val="FootnoteReference"/>
        </w:rPr>
        <w:footnoteReference w:id="1"/>
      </w:r>
      <w:r w:rsidR="002B7A4A">
        <w:t xml:space="preserve"> on July 25, </w:t>
      </w:r>
      <w:r>
        <w:t>20</w:t>
      </w:r>
      <w:r w:rsidR="002B7A4A">
        <w:t>11</w:t>
      </w:r>
      <w:r>
        <w:t xml:space="preserve">, </w:t>
      </w:r>
      <w:r w:rsidRPr="00D4632B">
        <w:t xml:space="preserve">represents a major </w:t>
      </w:r>
      <w:r w:rsidRPr="00D4632B">
        <w:lastRenderedPageBreak/>
        <w:t>step forward in our national response to organized crime</w:t>
      </w:r>
      <w:r w:rsidR="008D4DDB">
        <w:t xml:space="preserve"> </w:t>
      </w:r>
      <w:r w:rsidR="00642B1A">
        <w:t>a</w:t>
      </w:r>
      <w:r w:rsidR="008D4DDB">
        <w:t>nd</w:t>
      </w:r>
      <w:r w:rsidR="00642B1A">
        <w:t xml:space="preserve"> </w:t>
      </w:r>
      <w:r w:rsidR="006A6E78">
        <w:t xml:space="preserve">complements the Administration’s </w:t>
      </w:r>
      <w:r w:rsidR="008D4DDB">
        <w:t xml:space="preserve">overall </w:t>
      </w:r>
      <w:r w:rsidR="001F64E0" w:rsidRPr="001F64E0">
        <w:rPr>
          <w:i/>
        </w:rPr>
        <w:t>Strategy to Combat Transnational Organized Crime</w:t>
      </w:r>
      <w:r w:rsidR="006A6E78">
        <w:t xml:space="preserve"> also released on July 25, 2011.  DOJ’s law enforcement TOC strategy </w:t>
      </w:r>
      <w:r w:rsidRPr="00D4632B">
        <w:t xml:space="preserve">responds directly to the </w:t>
      </w:r>
      <w:r w:rsidRPr="0049330C">
        <w:rPr>
          <w:i/>
        </w:rPr>
        <w:t>Transnational</w:t>
      </w:r>
      <w:r>
        <w:rPr>
          <w:i/>
        </w:rPr>
        <w:t xml:space="preserve"> </w:t>
      </w:r>
      <w:r w:rsidRPr="005A75D2">
        <w:rPr>
          <w:i/>
        </w:rPr>
        <w:t>Organized Crime Threat Assessment</w:t>
      </w:r>
      <w:r w:rsidRPr="00D4632B">
        <w:t xml:space="preserve"> completed in October 2007</w:t>
      </w:r>
      <w:r>
        <w:t>.  This threat assessment</w:t>
      </w:r>
      <w:r w:rsidRPr="00D4632B">
        <w:t xml:space="preserve"> established that organized crime can no longer be associated exclusively with traditional, domestic groups, but is now fully </w:t>
      </w:r>
      <w:r>
        <w:t>transnational</w:t>
      </w:r>
      <w:r w:rsidRPr="00D4632B">
        <w:t xml:space="preserve"> in its origin, composition, and scope</w:t>
      </w:r>
      <w:r>
        <w:t xml:space="preserve">.  Transnational organized crime </w:t>
      </w:r>
      <w:r w:rsidRPr="00D4632B">
        <w:t xml:space="preserve">poses unprecedented threats to </w:t>
      </w:r>
      <w:r>
        <w:t>the United States’</w:t>
      </w:r>
      <w:r w:rsidRPr="00D4632B">
        <w:t xml:space="preserve"> national and economic security.  These threats </w:t>
      </w:r>
      <w:r w:rsidR="00C24E66">
        <w:t>include</w:t>
      </w:r>
      <w:r w:rsidRPr="00D4632B">
        <w:t xml:space="preserve"> attempts by organized criminals to</w:t>
      </w:r>
      <w:r>
        <w:t xml:space="preserve"> </w:t>
      </w:r>
      <w:r w:rsidRPr="00D4632B">
        <w:t>exploit our ene</w:t>
      </w:r>
      <w:r>
        <w:t xml:space="preserve">rgy and other strategic sectors; </w:t>
      </w:r>
      <w:r w:rsidRPr="00D4632B">
        <w:t>support ter</w:t>
      </w:r>
      <w:r>
        <w:t xml:space="preserve">rorists and hostile governments; </w:t>
      </w:r>
      <w:r w:rsidRPr="00D4632B">
        <w:t>manipulate our financial, secu</w:t>
      </w:r>
      <w:r>
        <w:t xml:space="preserve">rities, and commodities markets; and </w:t>
      </w:r>
      <w:r w:rsidR="00C24E66">
        <w:t xml:space="preserve">engage </w:t>
      </w:r>
      <w:r w:rsidRPr="00D4632B">
        <w:t>other serious criminal activities.</w:t>
      </w:r>
      <w:r>
        <w:t xml:space="preserve">  </w:t>
      </w:r>
    </w:p>
    <w:p w:rsidR="00FB594C" w:rsidRPr="006C72F5" w:rsidRDefault="00FB594C" w:rsidP="00FB594C"/>
    <w:p w:rsidR="00B368C6" w:rsidRDefault="00B54490" w:rsidP="00B368C6">
      <w:pPr>
        <w:pStyle w:val="ListParagraph"/>
        <w:widowControl w:val="0"/>
        <w:numPr>
          <w:ilvl w:val="2"/>
          <w:numId w:val="22"/>
        </w:numPr>
        <w:tabs>
          <w:tab w:val="clear" w:pos="2160"/>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hanging="1440"/>
        <w:textAlignment w:val="baseline"/>
        <w:rPr>
          <w:b/>
        </w:rPr>
      </w:pPr>
      <w:r w:rsidRPr="006C1F8C">
        <w:rPr>
          <w:b/>
        </w:rPr>
        <w:t>Introduction</w:t>
      </w:r>
    </w:p>
    <w:p w:rsidR="00D2557F" w:rsidRPr="00D2557F" w:rsidRDefault="00D2557F" w:rsidP="00D2557F">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b/>
        </w:rPr>
      </w:pPr>
    </w:p>
    <w:p w:rsidR="00B54490" w:rsidRPr="00BE3210" w:rsidRDefault="00023A74" w:rsidP="00F77B57">
      <w:pPr>
        <w:pStyle w:val="BodyText"/>
      </w:pPr>
      <w:r>
        <w:t xml:space="preserve">The </w:t>
      </w:r>
      <w:r w:rsidR="00B54490" w:rsidRPr="00BE3210">
        <w:t xml:space="preserve">OCDETF Program continues to be the centerpiece of the Justice Department’s intra- and inter-agency drug enforcement strategy, pursuing comprehensive, </w:t>
      </w:r>
      <w:r w:rsidR="00BC19FB">
        <w:t xml:space="preserve">prosecutor-led, </w:t>
      </w:r>
      <w:r w:rsidR="00B54490" w:rsidRPr="00BE3210">
        <w:t xml:space="preserve">multi-agency, </w:t>
      </w:r>
      <w:r w:rsidR="009350B6">
        <w:t xml:space="preserve">intelligence-driven, </w:t>
      </w:r>
      <w:r w:rsidR="00B54490" w:rsidRPr="00BE3210">
        <w:t xml:space="preserve">multi-jurisdictional investigations of major drug trafficking and money laundering organizations that are responsible for the flood of illegal drugs in the United States, and the violence generated by the drug trade.  Consistent with the </w:t>
      </w:r>
      <w:r w:rsidR="00B54490" w:rsidRPr="00BE3210">
        <w:rPr>
          <w:i/>
        </w:rPr>
        <w:t>President’s National Drug Control Strategy</w:t>
      </w:r>
      <w:r w:rsidR="00B54490" w:rsidRPr="00BE3210">
        <w:t xml:space="preserve">, which seeks to “break” the </w:t>
      </w:r>
      <w:r w:rsidR="008D4DDB">
        <w:t>cycle of drug abuse</w:t>
      </w:r>
      <w:r w:rsidR="00B54490" w:rsidRPr="00BE3210">
        <w:t xml:space="preserve"> by making the drug trade more costly and less profitable, OCDETF simultaneously attacks all elements of the most significant drug organizations affecting the United States. These include the international supply sources, their international and domestic transportation organizations, the regional and local distribution networks, and the violent enforcers the traffickers use to protect their lucrative business from their</w:t>
      </w:r>
      <w:r w:rsidR="00B54490">
        <w:t xml:space="preserve"> competitors and from the law.  </w:t>
      </w:r>
      <w:r w:rsidR="00B54490" w:rsidRPr="00BE3210">
        <w:t xml:space="preserve">At the same time, OCDETF attacks the money flow </w:t>
      </w:r>
      <w:r w:rsidR="00B54490">
        <w:t xml:space="preserve">and firearms </w:t>
      </w:r>
      <w:proofErr w:type="gramStart"/>
      <w:r w:rsidR="00B54490">
        <w:t>trafficking</w:t>
      </w:r>
      <w:proofErr w:type="gramEnd"/>
      <w:r w:rsidR="00B54490">
        <w:t xml:space="preserve"> </w:t>
      </w:r>
      <w:r w:rsidR="00B54490" w:rsidRPr="00BE3210">
        <w:t>that support the drug trade – depriving drug traffickers of their criminal proceeds and the resources needed to finance future criminal activity.</w:t>
      </w:r>
      <w:r w:rsidR="00BA191B">
        <w:t xml:space="preserve">  </w:t>
      </w:r>
      <w:r w:rsidR="00755CB7" w:rsidRPr="00ED538D">
        <w:t>Beginning in FY 2010, one hundred percent of OCDETF investigations initiated have an active financial component.</w:t>
      </w:r>
    </w:p>
    <w:p w:rsidR="00B54490" w:rsidRPr="00BE3210" w:rsidRDefault="00B54490" w:rsidP="00F77B57">
      <w:pPr>
        <w:pStyle w:val="BodyText"/>
      </w:pPr>
      <w:r w:rsidRPr="00BE3210">
        <w:t>OCDETF has long recognized that no single law enforcement entity is in a position to disrupt and dismantle sophisticated drug and money laundering organizations alone.  OCDETF combines the resources and expertise of its seven federal agency members ─ the Drug Enforcement Administration (DEA); the Federal Bureau of Investigation (FBI); the Bureau of Alcohol, Tobacco, Firearms and Explosives (ATF); the U.S. Marshals Service (USMS); the Internal Revenue Service (IRS); the U.S. Immigration and Customs Enforcement (ICE); and the U.S. Coast Guard (USCG) ─ in cooperation with the Departmen</w:t>
      </w:r>
      <w:r>
        <w:t xml:space="preserve">t of Justice’s Criminal </w:t>
      </w:r>
      <w:r w:rsidRPr="00BE3210">
        <w:t xml:space="preserve">Division, the 94 U.S. Attorneys’ Offices, and state and local law enforcement, to identify, disrupt, and dismantle the drug trafficking and money laundering organizations most responsible for the </w:t>
      </w:r>
      <w:r w:rsidRPr="00BE3210">
        <w:lastRenderedPageBreak/>
        <w:t xml:space="preserve">Nation’s supply of illegal drugs and the violence the drug trade generates and fuels.  OCDETF works because it effectively leverages the investigative and prosecutorial strengths of each participant to combat drug-related organized crime.  </w:t>
      </w:r>
      <w:r>
        <w:t>The OCDETF Program</w:t>
      </w:r>
      <w:r w:rsidRPr="00BE3210">
        <w:t xml:space="preserve"> promotes intelligence sharing and intelligence-driven enforcement and strives to achieve maximum impact through strategic planning and </w:t>
      </w:r>
      <w:r w:rsidR="009350B6">
        <w:t xml:space="preserve">operational </w:t>
      </w:r>
      <w:r w:rsidRPr="00BE3210">
        <w:t>coordination.</w:t>
      </w:r>
    </w:p>
    <w:p w:rsidR="00B368C6" w:rsidRDefault="00B54490" w:rsidP="00B368C6">
      <w:pPr>
        <w:pStyle w:val="Heading3"/>
        <w:numPr>
          <w:ilvl w:val="0"/>
          <w:numId w:val="0"/>
        </w:numPr>
      </w:pPr>
      <w:r w:rsidRPr="006C1F8C">
        <w:rPr>
          <w:rFonts w:ascii="Times New Roman" w:hAnsi="Times New Roman"/>
          <w:b w:val="0"/>
        </w:rPr>
        <w:t>The OCDETF Program focuses participants on the mission of attacking high-level organizations through coordinated, nationwide investigations.  OCDETF coordinates the annual formulation of the Consolidated Priority Organization Target (CPOT) List</w:t>
      </w:r>
      <w:r w:rsidR="008D4DDB">
        <w:rPr>
          <w:rFonts w:ascii="Times New Roman" w:hAnsi="Times New Roman"/>
          <w:b w:val="0"/>
        </w:rPr>
        <w:t xml:space="preserve"> whereby agencies nominate targets to be included on the list.  Ultimately</w:t>
      </w:r>
      <w:r w:rsidRPr="006C1F8C">
        <w:rPr>
          <w:rFonts w:ascii="Times New Roman" w:hAnsi="Times New Roman"/>
          <w:b w:val="0"/>
        </w:rPr>
        <w:t>, a multi-agency target list of the “command and control” elements of the most prolific international drug trafficking and money laundering organizations</w:t>
      </w:r>
      <w:r w:rsidR="008D4DDB">
        <w:rPr>
          <w:rFonts w:ascii="Times New Roman" w:hAnsi="Times New Roman"/>
          <w:b w:val="0"/>
        </w:rPr>
        <w:t xml:space="preserve"> is identified</w:t>
      </w:r>
      <w:r w:rsidRPr="006C1F8C">
        <w:rPr>
          <w:rFonts w:ascii="Times New Roman" w:hAnsi="Times New Roman"/>
          <w:b w:val="0"/>
        </w:rPr>
        <w:t xml:space="preserve">.  The Program also requires its participants to identify </w:t>
      </w:r>
      <w:r w:rsidR="008D4DDB">
        <w:rPr>
          <w:rFonts w:ascii="Times New Roman" w:hAnsi="Times New Roman"/>
          <w:b w:val="0"/>
        </w:rPr>
        <w:t xml:space="preserve">and nominate </w:t>
      </w:r>
      <w:r w:rsidRPr="006C1F8C">
        <w:rPr>
          <w:rFonts w:ascii="Times New Roman" w:hAnsi="Times New Roman"/>
          <w:b w:val="0"/>
        </w:rPr>
        <w:t>major Regional Priority Organization Targets (RPOTs) as part of the annual Regional Strategic Plan process</w:t>
      </w:r>
      <w:r w:rsidR="008D4DDB">
        <w:rPr>
          <w:rFonts w:ascii="Times New Roman" w:hAnsi="Times New Roman"/>
          <w:b w:val="0"/>
        </w:rPr>
        <w:t xml:space="preserve"> to be included on the RPOT list</w:t>
      </w:r>
      <w:r w:rsidRPr="006C1F8C">
        <w:rPr>
          <w:rFonts w:ascii="Times New Roman" w:hAnsi="Times New Roman"/>
          <w:b w:val="0"/>
        </w:rPr>
        <w:t>.  Program resources are allocated, in part, on the basis of how successfully Program participants focus their efforts on the CPOTs and RPOTs and address the most significant and emerging drug threats.  The nature of the OCDETF Program, including its focus on the highest priority targets both nationally and internationally, ensures that drug enforcement</w:t>
      </w:r>
      <w:r w:rsidRPr="006C1F8C">
        <w:rPr>
          <w:b w:val="0"/>
        </w:rPr>
        <w:t xml:space="preserve"> </w:t>
      </w:r>
      <w:r w:rsidRPr="006C1F8C">
        <w:rPr>
          <w:rFonts w:ascii="Times New Roman" w:hAnsi="Times New Roman"/>
          <w:b w:val="0"/>
        </w:rPr>
        <w:t xml:space="preserve">resources are used for the greatest impact on the U.S. supply of dangerous drugs. </w:t>
      </w:r>
    </w:p>
    <w:p w:rsidR="00671492" w:rsidRPr="00671492" w:rsidRDefault="00671492" w:rsidP="00D66A7C">
      <w:pPr>
        <w:rPr>
          <w:i/>
        </w:rPr>
      </w:pPr>
      <w:r w:rsidRPr="00671492">
        <w:rPr>
          <w:i/>
        </w:rPr>
        <w:t>Transnational Organized Crime</w:t>
      </w:r>
    </w:p>
    <w:p w:rsidR="00671492" w:rsidRDefault="00671492" w:rsidP="00D66A7C"/>
    <w:p w:rsidR="00D66A7C" w:rsidRDefault="00D66A7C" w:rsidP="00D66A7C">
      <w:r>
        <w:t xml:space="preserve">To be successful, the </w:t>
      </w:r>
      <w:r w:rsidRPr="00DF1AA4">
        <w:rPr>
          <w:i/>
        </w:rPr>
        <w:t>TOC</w:t>
      </w:r>
      <w:r>
        <w:t xml:space="preserve"> </w:t>
      </w:r>
      <w:r w:rsidRPr="00DF1AA4">
        <w:rPr>
          <w:i/>
        </w:rPr>
        <w:t>Strategy</w:t>
      </w:r>
      <w:r>
        <w:t xml:space="preserve"> recognized the need for a true multi-agency platform – a merged and </w:t>
      </w:r>
      <w:proofErr w:type="spellStart"/>
      <w:r w:rsidR="00CA2C99">
        <w:t>badgeless</w:t>
      </w:r>
      <w:proofErr w:type="spellEnd"/>
      <w:r>
        <w:t xml:space="preserve"> organization that combine</w:t>
      </w:r>
      <w:r w:rsidR="00CA2C99">
        <w:t>s</w:t>
      </w:r>
      <w:r>
        <w:t xml:space="preserve"> the resources and interests of all critical law enforcement partners.  At the heart of the </w:t>
      </w:r>
      <w:r w:rsidRPr="00DF1AA4">
        <w:rPr>
          <w:i/>
        </w:rPr>
        <w:t>TOC Strategy</w:t>
      </w:r>
      <w:r>
        <w:t xml:space="preserve"> is the recognized </w:t>
      </w:r>
      <w:r w:rsidRPr="003306FA">
        <w:t xml:space="preserve">need to collect, synthesize, and timely disseminate information and intelligence from multiple sources </w:t>
      </w:r>
      <w:r>
        <w:t xml:space="preserve">to </w:t>
      </w:r>
      <w:r w:rsidRPr="003306FA">
        <w:t xml:space="preserve">enable federal law enforcement to prioritize and target the </w:t>
      </w:r>
      <w:r>
        <w:t>T</w:t>
      </w:r>
      <w:r w:rsidRPr="003306FA">
        <w:t xml:space="preserve">OC figures and organizations that pose the greatest threat to the United States, take appropriate enforcement actions, and effectively coordinate investigations and prosecutions involving these threats across jurisdictions. </w:t>
      </w:r>
    </w:p>
    <w:p w:rsidR="00D66A7C" w:rsidRDefault="00D66A7C" w:rsidP="00D66A7C"/>
    <w:p w:rsidR="00D66A7C" w:rsidRPr="001778C8" w:rsidRDefault="00D66A7C" w:rsidP="00D66A7C">
      <w:pPr>
        <w:jc w:val="both"/>
      </w:pPr>
      <w:r w:rsidRPr="001778C8">
        <w:t xml:space="preserve">The AGOCC established </w:t>
      </w:r>
      <w:r w:rsidR="00CA2C99">
        <w:t>the International Organized Crime Intelligence and Operations Center (</w:t>
      </w:r>
      <w:r w:rsidRPr="001778C8">
        <w:t>IOC-2</w:t>
      </w:r>
      <w:r w:rsidR="00CA2C99">
        <w:t>)</w:t>
      </w:r>
      <w:r w:rsidRPr="001778C8">
        <w:t xml:space="preserve"> on May 29, 2009, in partnership with the OCDETF Fusion Center (OFC) and the Special Operations Division of the Drug Enforcement Administration (SOD).  By joining these firmly established organizations, the Department of Justice was able to stand up the IOC-2 and commence operations in a very short timeframe and with minimal additional expense to the Government.  IOC-2 was able to leverage the already existing tools of the OFC and SOD, while simultaneously benefiting those organizations by expanding the scope of their missions, collection, and agency participation.  IOC-2 brought several new federal law enforcement agencies into partnership with the OFC and SOD, and significantly enhanced the scope of contribution of current partners.  For example, ICE, the </w:t>
      </w:r>
      <w:r w:rsidR="00CA2C99">
        <w:t>U.S. Secret Service (</w:t>
      </w:r>
      <w:r w:rsidRPr="001778C8">
        <w:t>USSS</w:t>
      </w:r>
      <w:r w:rsidR="00CA2C99">
        <w:t>)</w:t>
      </w:r>
      <w:r w:rsidRPr="001778C8">
        <w:t>, the Department of State’s Diplomatic Security Service (</w:t>
      </w:r>
      <w:proofErr w:type="spellStart"/>
      <w:r w:rsidRPr="001778C8">
        <w:t>DoS</w:t>
      </w:r>
      <w:proofErr w:type="spellEnd"/>
      <w:r w:rsidRPr="001778C8">
        <w:t>-DS) and the Department of Labor’s Inspector General’s Office (</w:t>
      </w:r>
      <w:proofErr w:type="spellStart"/>
      <w:r w:rsidRPr="001778C8">
        <w:t>DoL</w:t>
      </w:r>
      <w:proofErr w:type="spellEnd"/>
      <w:r w:rsidRPr="001778C8">
        <w:t xml:space="preserve">-IG) all joined the OFC at the time of the creation of IOC-2 and began contributing their investigative data to the OFC’s fused </w:t>
      </w:r>
      <w:proofErr w:type="spellStart"/>
      <w:r w:rsidRPr="001778C8">
        <w:t>datapool</w:t>
      </w:r>
      <w:proofErr w:type="spellEnd"/>
      <w:r w:rsidRPr="001778C8">
        <w:t xml:space="preserve">.  Similarly, the USSS and </w:t>
      </w:r>
      <w:proofErr w:type="spellStart"/>
      <w:r w:rsidR="00CA2C99">
        <w:t>DoS</w:t>
      </w:r>
      <w:proofErr w:type="spellEnd"/>
      <w:r w:rsidR="00CA2C99">
        <w:t>-DS</w:t>
      </w:r>
      <w:r w:rsidRPr="001778C8">
        <w:t xml:space="preserve"> joined SOD at the time of IOC-2’s creation.</w:t>
      </w:r>
    </w:p>
    <w:p w:rsidR="00D66A7C" w:rsidRPr="001778C8" w:rsidRDefault="00D66A7C" w:rsidP="00D66A7C">
      <w:pPr>
        <w:jc w:val="both"/>
      </w:pPr>
    </w:p>
    <w:p w:rsidR="00D66A7C" w:rsidRPr="001778C8" w:rsidRDefault="00D66A7C" w:rsidP="00D66A7C">
      <w:pPr>
        <w:jc w:val="both"/>
      </w:pPr>
      <w:r w:rsidRPr="001778C8">
        <w:rPr>
          <w:iCs/>
        </w:rPr>
        <w:t xml:space="preserve">The IOC-2 Operations Division is co-located at SOD, which is best described as an operations center rather than an intelligence center because its functions go beyond the gathering and processing of intelligence.  SOD provides operational targeting, support, and coordination for </w:t>
      </w:r>
      <w:r w:rsidRPr="001778C8">
        <w:rPr>
          <w:iCs/>
        </w:rPr>
        <w:lastRenderedPageBreak/>
        <w:t xml:space="preserve">long-term, multi-agency investigations.  It </w:t>
      </w:r>
      <w:r w:rsidR="002E26CA">
        <w:rPr>
          <w:iCs/>
        </w:rPr>
        <w:t>disseminates</w:t>
      </w:r>
      <w:r w:rsidRPr="001778C8">
        <w:rPr>
          <w:iCs/>
        </w:rPr>
        <w:t xml:space="preserve"> leads that have been developed from intelligence sources to field investigators and coordinates the resulting investigations.  SOD targets the command and control communications of major drug trafficking and </w:t>
      </w:r>
      <w:proofErr w:type="spellStart"/>
      <w:r w:rsidRPr="001778C8">
        <w:rPr>
          <w:iCs/>
        </w:rPr>
        <w:t>narco</w:t>
      </w:r>
      <w:proofErr w:type="spellEnd"/>
      <w:r w:rsidRPr="001778C8">
        <w:rPr>
          <w:iCs/>
        </w:rPr>
        <w:t>-terrorism organizations</w:t>
      </w:r>
      <w:r w:rsidR="00AD6329">
        <w:rPr>
          <w:iCs/>
        </w:rPr>
        <w:t>, with a s</w:t>
      </w:r>
      <w:r w:rsidRPr="001778C8">
        <w:rPr>
          <w:iCs/>
        </w:rPr>
        <w:t>pecial emphasis placed on those organizations that operate across jurisdictional boundaries on a regional, national, and international level.  The IOC-2 Operations Division operates in the same manner as SOD, but with a focus on TOC groups rather than drug trafficking organizations.</w:t>
      </w:r>
    </w:p>
    <w:p w:rsidR="00D66A7C" w:rsidRPr="00F701F4" w:rsidRDefault="00D66A7C" w:rsidP="00D66A7C">
      <w:pPr>
        <w:rPr>
          <w:iCs/>
          <w:highlight w:val="yellow"/>
        </w:rPr>
      </w:pPr>
    </w:p>
    <w:p w:rsidR="00B368C6" w:rsidRDefault="00D66A7C" w:rsidP="00B368C6">
      <w:r w:rsidRPr="001778C8">
        <w:rPr>
          <w:iCs/>
        </w:rPr>
        <w:t xml:space="preserve">The IOC-2 Intelligence Division is co-located at the OFC, which is the comprehensive data center containing IOC, drug and related financial data from DEA, ICE, ATF, FBI, IRS, USSS, </w:t>
      </w:r>
      <w:proofErr w:type="spellStart"/>
      <w:r w:rsidRPr="001778C8">
        <w:rPr>
          <w:iCs/>
        </w:rPr>
        <w:t>DoS</w:t>
      </w:r>
      <w:proofErr w:type="spellEnd"/>
      <w:r w:rsidRPr="001778C8">
        <w:rPr>
          <w:iCs/>
        </w:rPr>
        <w:t xml:space="preserve">-DS, </w:t>
      </w:r>
      <w:proofErr w:type="spellStart"/>
      <w:r w:rsidRPr="001778C8">
        <w:rPr>
          <w:iCs/>
        </w:rPr>
        <w:t>DoL</w:t>
      </w:r>
      <w:proofErr w:type="spellEnd"/>
      <w:r w:rsidRPr="001778C8">
        <w:rPr>
          <w:iCs/>
        </w:rPr>
        <w:t xml:space="preserve">-IG, the USMS, the U.S. Coast Guard, </w:t>
      </w:r>
      <w:r w:rsidR="001C16FB">
        <w:rPr>
          <w:iCs/>
        </w:rPr>
        <w:t>the National Drug Intelligence Center (</w:t>
      </w:r>
      <w:r w:rsidRPr="001778C8">
        <w:rPr>
          <w:iCs/>
        </w:rPr>
        <w:t>NDIC</w:t>
      </w:r>
      <w:r w:rsidR="001C16FB">
        <w:rPr>
          <w:iCs/>
        </w:rPr>
        <w:t>)</w:t>
      </w:r>
      <w:r w:rsidRPr="001778C8">
        <w:rPr>
          <w:iCs/>
        </w:rPr>
        <w:t xml:space="preserve">, </w:t>
      </w:r>
      <w:r w:rsidR="001C16FB">
        <w:rPr>
          <w:iCs/>
        </w:rPr>
        <w:t>the El Paso Intelligence Center (</w:t>
      </w:r>
      <w:r w:rsidRPr="001778C8">
        <w:rPr>
          <w:iCs/>
        </w:rPr>
        <w:t>EPIC</w:t>
      </w:r>
      <w:r w:rsidR="001C16FB">
        <w:rPr>
          <w:iCs/>
        </w:rPr>
        <w:t>)</w:t>
      </w:r>
      <w:r w:rsidRPr="001778C8">
        <w:rPr>
          <w:iCs/>
        </w:rPr>
        <w:t>, the Financial Crimes Enforcement Network (</w:t>
      </w:r>
      <w:proofErr w:type="spellStart"/>
      <w:r w:rsidRPr="001778C8">
        <w:rPr>
          <w:iCs/>
        </w:rPr>
        <w:t>FinCEN</w:t>
      </w:r>
      <w:proofErr w:type="spellEnd"/>
      <w:r w:rsidRPr="001778C8">
        <w:rPr>
          <w:iCs/>
        </w:rPr>
        <w:t>), the Department of State’s Bureau of Consular Affairs, and other key players in the international drug enforcement world.  The IOC-2 Intelligence Division, through its access to OFC tools, provides critical law enforcement intelligence support for long-term and large-scale investigations, complementing the mission of SOD by providing non-communications intelligence at an operations level.  The OFC conducts cross-agency and cross-jurisdictional integration and analysis of IOC and drug related data to create comprehensive pictures of targeted organizations through its fused database, Compass.  Using the protocols established by SOD, the OFC passes actionable leads to field investigative units.</w:t>
      </w:r>
      <w:r w:rsidRPr="00F85733">
        <w:rPr>
          <w:iCs/>
        </w:rPr>
        <w:t xml:space="preserve">  </w:t>
      </w:r>
    </w:p>
    <w:p w:rsidR="00B368C6" w:rsidRDefault="00B368C6" w:rsidP="00B368C6">
      <w:pPr>
        <w:pStyle w:val="Heading3"/>
        <w:numPr>
          <w:ilvl w:val="0"/>
          <w:numId w:val="0"/>
        </w:numPr>
        <w:spacing w:after="0"/>
        <w:ind w:firstLine="720"/>
      </w:pPr>
    </w:p>
    <w:p w:rsidR="00B368C6" w:rsidRDefault="00B54490" w:rsidP="00B368C6">
      <w:pPr>
        <w:pStyle w:val="Heading3"/>
        <w:numPr>
          <w:ilvl w:val="0"/>
          <w:numId w:val="0"/>
        </w:numPr>
        <w:spacing w:after="0"/>
        <w:ind w:firstLine="720"/>
      </w:pPr>
      <w:r w:rsidRPr="00BE3210">
        <w:t>3.</w:t>
      </w:r>
      <w:r w:rsidRPr="00BE3210">
        <w:tab/>
        <w:t>Issues, Outcomes and Strategies</w:t>
      </w:r>
    </w:p>
    <w:p w:rsidR="002E26CA" w:rsidRDefault="002E26CA" w:rsidP="004000CA">
      <w:pPr>
        <w:rPr>
          <w:szCs w:val="24"/>
        </w:rPr>
      </w:pPr>
    </w:p>
    <w:p w:rsidR="004000CA" w:rsidRPr="004000CA" w:rsidRDefault="00F5465E" w:rsidP="004000CA">
      <w:pPr>
        <w:rPr>
          <w:szCs w:val="24"/>
        </w:rPr>
      </w:pPr>
      <w:r>
        <w:rPr>
          <w:szCs w:val="24"/>
        </w:rPr>
        <w:t xml:space="preserve">The requested funds will enable </w:t>
      </w:r>
      <w:r w:rsidR="004000CA" w:rsidRPr="004000CA">
        <w:rPr>
          <w:szCs w:val="24"/>
        </w:rPr>
        <w:t xml:space="preserve">the OCDETF Program </w:t>
      </w:r>
      <w:r w:rsidR="00FB3DF3">
        <w:rPr>
          <w:szCs w:val="24"/>
        </w:rPr>
        <w:t>to</w:t>
      </w:r>
      <w:r w:rsidR="004000CA" w:rsidRPr="004000CA">
        <w:rPr>
          <w:szCs w:val="24"/>
        </w:rPr>
        <w:t xml:space="preserve"> maintain its current level of service and performance.  </w:t>
      </w:r>
    </w:p>
    <w:p w:rsidR="004000CA" w:rsidRDefault="004000CA" w:rsidP="005974E1"/>
    <w:p w:rsidR="00ED538D" w:rsidRDefault="00B54490" w:rsidP="00F77B57">
      <w:pPr>
        <w:pStyle w:val="BodyText"/>
      </w:pPr>
      <w:r w:rsidRPr="00BE3210">
        <w:t>Since FY 2002, OCDETF’s budget requests have proposed a series of enhancements aimed at strategically reducing the nation’s drug supply and maximizing the Program’s performance.  OCDETF continually seeks to balance increased investigative resources with appropriate prosecutor</w:t>
      </w:r>
      <w:r>
        <w:t xml:space="preserve">ial resources.  </w:t>
      </w:r>
      <w:r w:rsidRPr="00643CAC">
        <w:t>Specifically, OCDETF focus</w:t>
      </w:r>
      <w:r w:rsidR="00F5465E">
        <w:t>es</w:t>
      </w:r>
      <w:r w:rsidRPr="00643CAC">
        <w:t xml:space="preserve"> on ensuring that the OCDETF member agencies will continue to develop intelligence-driven strategies and initiatives that identify entire drug trafficking networks, including their financial infrastructure and the channels through which they obtain their weapons, and launch coordinated efforts designed to disrupt and dismantle every component of those networks worldwide.</w:t>
      </w:r>
    </w:p>
    <w:p w:rsidR="00B54490" w:rsidRPr="00BE3210" w:rsidRDefault="00B54490" w:rsidP="00F77B57">
      <w:pPr>
        <w:pStyle w:val="BodyText"/>
        <w:rPr>
          <w:b/>
          <w:u w:val="single"/>
        </w:rPr>
      </w:pPr>
      <w:r w:rsidRPr="00BE3210">
        <w:rPr>
          <w:b/>
          <w:u w:val="single"/>
        </w:rPr>
        <w:t xml:space="preserve">Department of Justice Strategic Goal 2: Prevent Crime, </w:t>
      </w:r>
      <w:r w:rsidR="00600738">
        <w:rPr>
          <w:b/>
          <w:u w:val="single"/>
        </w:rPr>
        <w:t>Protect the Rights of the American People, and Enforce Federal Law</w:t>
      </w:r>
    </w:p>
    <w:p w:rsidR="00B54490" w:rsidRPr="00BE3210" w:rsidRDefault="00810CCB" w:rsidP="00F77B57">
      <w:pPr>
        <w:pStyle w:val="BodyText"/>
      </w:pPr>
      <w:r>
        <w:t xml:space="preserve">OCDETF’s request is in </w:t>
      </w:r>
      <w:r w:rsidR="00B54490" w:rsidRPr="00BE3210">
        <w:t xml:space="preserve">direct support </w:t>
      </w:r>
      <w:r>
        <w:t xml:space="preserve">of </w:t>
      </w:r>
      <w:r w:rsidR="00B54490" w:rsidRPr="00BE3210">
        <w:t>the Department of Justice’s Strategic Objective 2.</w:t>
      </w:r>
      <w:r w:rsidR="00600738">
        <w:t>3</w:t>
      </w:r>
      <w:r w:rsidR="00B54490" w:rsidRPr="00BE3210">
        <w:t>:  “</w:t>
      </w:r>
      <w:r w:rsidR="00600738">
        <w:t>Combat</w:t>
      </w:r>
      <w:r w:rsidR="00600738" w:rsidRPr="00BE3210">
        <w:t xml:space="preserve"> the threat, trafficking, </w:t>
      </w:r>
      <w:r w:rsidR="00600738">
        <w:t xml:space="preserve">and </w:t>
      </w:r>
      <w:r w:rsidR="00600738" w:rsidRPr="00BE3210">
        <w:t>use</w:t>
      </w:r>
      <w:r w:rsidR="00600738">
        <w:t xml:space="preserve"> </w:t>
      </w:r>
      <w:r w:rsidR="00600738" w:rsidRPr="00BE3210">
        <w:t>of illegal drugs</w:t>
      </w:r>
      <w:r w:rsidR="00600738">
        <w:t xml:space="preserve"> and the diversion of licit drugs</w:t>
      </w:r>
      <w:r w:rsidR="00B54490" w:rsidRPr="00BE3210">
        <w:t xml:space="preserve">.”  Providing drug enforcement resources to the OCDETF Program ensures that those resources will be focused on the highest priority drug trafficking and money laundering targets, while leveraging the expertise and existing resources of OCDETF’s member agencies from the Departments of Justice, Homeland Security, and Treasury. The disruption and dismantlement of drug trafficking networks operating regionally, nationally, and internationally is a critical component of the supply reduction effort. </w:t>
      </w:r>
    </w:p>
    <w:p w:rsidR="00B54490" w:rsidRPr="002468F0" w:rsidRDefault="00B54490" w:rsidP="00F77B57">
      <w:pPr>
        <w:pStyle w:val="BodyText"/>
        <w:rPr>
          <w:b/>
          <w:u w:val="single"/>
        </w:rPr>
      </w:pPr>
      <w:r>
        <w:rPr>
          <w:b/>
          <w:u w:val="single"/>
        </w:rPr>
        <w:lastRenderedPageBreak/>
        <w:t>President’s National Drug Control Strategy Chapter 5:  Disrupt Domestic Drug Trafficking and Production</w:t>
      </w:r>
    </w:p>
    <w:p w:rsidR="00B54490" w:rsidRDefault="008738C2" w:rsidP="00F77B57">
      <w:pPr>
        <w:pStyle w:val="BodyText"/>
      </w:pPr>
      <w:r>
        <w:t>In addition, OCDETF’s FY 2013</w:t>
      </w:r>
      <w:r w:rsidR="00B54490" w:rsidRPr="00BE3210">
        <w:t xml:space="preserve"> </w:t>
      </w:r>
      <w:r w:rsidR="00810CCB">
        <w:t xml:space="preserve">budget request </w:t>
      </w:r>
      <w:r w:rsidR="00B54490" w:rsidRPr="00BE3210">
        <w:t xml:space="preserve">directly supports </w:t>
      </w:r>
      <w:r w:rsidR="00B54490">
        <w:t>Chapter 5</w:t>
      </w:r>
      <w:r w:rsidR="00B54490" w:rsidRPr="00BE3210">
        <w:t xml:space="preserve"> of the</w:t>
      </w:r>
      <w:r w:rsidR="00B54490">
        <w:t xml:space="preserve"> </w:t>
      </w:r>
      <w:r w:rsidR="001C16FB">
        <w:t>2011</w:t>
      </w:r>
      <w:r w:rsidR="00B54490" w:rsidRPr="00BE3210">
        <w:t xml:space="preserve"> </w:t>
      </w:r>
      <w:r w:rsidR="00B54490" w:rsidRPr="00BE3210">
        <w:rPr>
          <w:i/>
        </w:rPr>
        <w:t>President’s National Drug Control Strategy</w:t>
      </w:r>
      <w:r w:rsidR="00B54490" w:rsidRPr="00BE3210">
        <w:t>: “Disrup</w:t>
      </w:r>
      <w:r w:rsidR="00B54490">
        <w:t>t Domestic Drug Trafficking and Production</w:t>
      </w:r>
      <w:r w:rsidR="00B54490" w:rsidRPr="00BE3210">
        <w:t xml:space="preserve">,” by providing resources to attack the CPOTs and “Gatekeeper” organizations responsible for drug smuggling, money laundering, violence, murder, and corruption across the Southwest Border.  OCDETF continues to focus on </w:t>
      </w:r>
      <w:r w:rsidR="00AD6329">
        <w:t>denying drug traffickers their profits by utilizing</w:t>
      </w:r>
      <w:r w:rsidR="00B54490" w:rsidRPr="00BE3210">
        <w:t xml:space="preserve"> intelligence-driven counter-drug operations through the OCDETF Fusion Center and the </w:t>
      </w:r>
      <w:r w:rsidR="001C16FB">
        <w:t>eleven</w:t>
      </w:r>
      <w:r w:rsidR="00B54490" w:rsidRPr="00BE3210">
        <w:t xml:space="preserve"> OCDETF Co-Located Strike Forces</w:t>
      </w:r>
      <w:r w:rsidR="00AD6329">
        <w:t>:</w:t>
      </w:r>
      <w:r w:rsidR="00B54490" w:rsidRPr="00BE3210">
        <w:t xml:space="preserve"> </w:t>
      </w:r>
    </w:p>
    <w:p w:rsidR="00324377" w:rsidRDefault="00B54490">
      <w:pPr>
        <w:pStyle w:val="BodyText"/>
        <w:numPr>
          <w:ilvl w:val="0"/>
          <w:numId w:val="48"/>
        </w:numPr>
        <w:spacing w:after="0"/>
      </w:pPr>
      <w:r w:rsidRPr="00BE3210">
        <w:t xml:space="preserve">Tampa (Panama Express), </w:t>
      </w:r>
    </w:p>
    <w:p w:rsidR="00324377" w:rsidRDefault="00B54490">
      <w:pPr>
        <w:pStyle w:val="BodyText"/>
        <w:numPr>
          <w:ilvl w:val="0"/>
          <w:numId w:val="48"/>
        </w:numPr>
        <w:spacing w:after="0"/>
      </w:pPr>
      <w:r w:rsidRPr="00BE3210">
        <w:rPr>
          <w:szCs w:val="24"/>
        </w:rPr>
        <w:t xml:space="preserve">Puerto Rico (Caribbean Corridor Initiative), </w:t>
      </w:r>
    </w:p>
    <w:p w:rsidR="00324377" w:rsidRDefault="00B54490">
      <w:pPr>
        <w:pStyle w:val="BodyText"/>
        <w:numPr>
          <w:ilvl w:val="0"/>
          <w:numId w:val="48"/>
        </w:numPr>
        <w:spacing w:after="0"/>
      </w:pPr>
      <w:r w:rsidRPr="00BE3210">
        <w:rPr>
          <w:szCs w:val="24"/>
        </w:rPr>
        <w:t xml:space="preserve">San Diego (Major Mexican Trafficking Task Force), </w:t>
      </w:r>
    </w:p>
    <w:p w:rsidR="00324377" w:rsidRDefault="00BC19FB">
      <w:pPr>
        <w:pStyle w:val="BodyText"/>
        <w:numPr>
          <w:ilvl w:val="0"/>
          <w:numId w:val="48"/>
        </w:numPr>
        <w:spacing w:after="0"/>
      </w:pPr>
      <w:r>
        <w:rPr>
          <w:szCs w:val="24"/>
        </w:rPr>
        <w:t>Arizona (including Phoenix and Tucson)</w:t>
      </w:r>
      <w:r w:rsidR="00B54490" w:rsidRPr="00BE3210">
        <w:rPr>
          <w:szCs w:val="24"/>
        </w:rPr>
        <w:t xml:space="preserve">, </w:t>
      </w:r>
    </w:p>
    <w:p w:rsidR="00324377" w:rsidRDefault="00B54490">
      <w:pPr>
        <w:pStyle w:val="BodyText"/>
        <w:numPr>
          <w:ilvl w:val="0"/>
          <w:numId w:val="48"/>
        </w:numPr>
        <w:spacing w:after="0"/>
      </w:pPr>
      <w:r w:rsidRPr="00BE3210">
        <w:rPr>
          <w:szCs w:val="24"/>
        </w:rPr>
        <w:t>E</w:t>
      </w:r>
      <w:r w:rsidRPr="002F6A53">
        <w:rPr>
          <w:szCs w:val="24"/>
        </w:rPr>
        <w:t xml:space="preserve">l Paso, </w:t>
      </w:r>
    </w:p>
    <w:p w:rsidR="00324377" w:rsidRDefault="00BC19FB">
      <w:pPr>
        <w:pStyle w:val="BodyText"/>
        <w:numPr>
          <w:ilvl w:val="0"/>
          <w:numId w:val="48"/>
        </w:numPr>
        <w:spacing w:after="0"/>
      </w:pPr>
      <w:r w:rsidRPr="002F6A53">
        <w:rPr>
          <w:szCs w:val="24"/>
        </w:rPr>
        <w:t>South Texas (including Houston, Laredo, McAllen, and San Antonio)</w:t>
      </w:r>
      <w:r w:rsidR="00B54490" w:rsidRPr="002F6A53">
        <w:rPr>
          <w:szCs w:val="24"/>
        </w:rPr>
        <w:t xml:space="preserve">, </w:t>
      </w:r>
    </w:p>
    <w:p w:rsidR="00324377" w:rsidRDefault="00B54490">
      <w:pPr>
        <w:pStyle w:val="BodyText"/>
        <w:numPr>
          <w:ilvl w:val="0"/>
          <w:numId w:val="48"/>
        </w:numPr>
        <w:spacing w:after="0"/>
      </w:pPr>
      <w:r w:rsidRPr="002F6A53">
        <w:rPr>
          <w:szCs w:val="24"/>
        </w:rPr>
        <w:t xml:space="preserve">New York, Boston, </w:t>
      </w:r>
    </w:p>
    <w:p w:rsidR="00324377" w:rsidRDefault="00B54490">
      <w:pPr>
        <w:pStyle w:val="BodyText"/>
        <w:numPr>
          <w:ilvl w:val="0"/>
          <w:numId w:val="48"/>
        </w:numPr>
        <w:spacing w:after="0"/>
      </w:pPr>
      <w:r w:rsidRPr="002F6A53">
        <w:rPr>
          <w:szCs w:val="24"/>
        </w:rPr>
        <w:t xml:space="preserve">Atlanta (the David G. Wilhelm OCDETF Strike Force), </w:t>
      </w:r>
    </w:p>
    <w:p w:rsidR="00324377" w:rsidRDefault="001C16FB">
      <w:pPr>
        <w:pStyle w:val="BodyText"/>
        <w:numPr>
          <w:ilvl w:val="0"/>
          <w:numId w:val="48"/>
        </w:numPr>
        <w:spacing w:after="0"/>
      </w:pPr>
      <w:r w:rsidRPr="002F6A53">
        <w:rPr>
          <w:szCs w:val="24"/>
        </w:rPr>
        <w:t xml:space="preserve">Chicago, and </w:t>
      </w:r>
    </w:p>
    <w:p w:rsidR="00324377" w:rsidRDefault="001C16FB">
      <w:pPr>
        <w:pStyle w:val="BodyText"/>
        <w:numPr>
          <w:ilvl w:val="0"/>
          <w:numId w:val="48"/>
        </w:numPr>
        <w:spacing w:after="0"/>
      </w:pPr>
      <w:r w:rsidRPr="002F6A53">
        <w:rPr>
          <w:szCs w:val="24"/>
        </w:rPr>
        <w:t>Denver</w:t>
      </w:r>
      <w:r w:rsidR="00B54490" w:rsidRPr="00BE3210">
        <w:t xml:space="preserve">  </w:t>
      </w:r>
    </w:p>
    <w:p w:rsidR="00324377" w:rsidRDefault="00324377">
      <w:pPr>
        <w:pStyle w:val="BodyText"/>
        <w:spacing w:after="0"/>
        <w:ind w:left="720"/>
      </w:pPr>
    </w:p>
    <w:p w:rsidR="00324377" w:rsidRDefault="001C16FB">
      <w:pPr>
        <w:pStyle w:val="BodyText"/>
        <w:spacing w:after="0"/>
      </w:pPr>
      <w:r>
        <w:rPr>
          <w:b/>
          <w:u w:val="single"/>
        </w:rPr>
        <w:t>2011</w:t>
      </w:r>
      <w:r w:rsidR="00B54490">
        <w:rPr>
          <w:b/>
          <w:u w:val="single"/>
        </w:rPr>
        <w:t xml:space="preserve"> National Southwest Border Counternarcotics Strategy</w:t>
      </w:r>
      <w:r w:rsidR="00F01052">
        <w:rPr>
          <w:b/>
          <w:u w:val="single"/>
        </w:rPr>
        <w:t xml:space="preserve"> and 2011 National Northern Border Counternarcotics Strategy</w:t>
      </w:r>
      <w:r w:rsidR="00B54490">
        <w:rPr>
          <w:b/>
          <w:u w:val="single"/>
        </w:rPr>
        <w:t>, Strategic Goal</w:t>
      </w:r>
      <w:r w:rsidR="00F01052">
        <w:rPr>
          <w:b/>
          <w:u w:val="single"/>
        </w:rPr>
        <w:t>s</w:t>
      </w:r>
      <w:r w:rsidR="00B54490">
        <w:rPr>
          <w:b/>
          <w:u w:val="single"/>
        </w:rPr>
        <w:t xml:space="preserve">:  Substantially Reduce the Flow of Illicit Drugs, Drug Proceeds, and Associated Instruments of Violence across the Southwest </w:t>
      </w:r>
      <w:r w:rsidR="00F01052">
        <w:rPr>
          <w:b/>
          <w:u w:val="single"/>
        </w:rPr>
        <w:t xml:space="preserve">and Northern </w:t>
      </w:r>
      <w:r w:rsidR="00B54490">
        <w:rPr>
          <w:b/>
          <w:u w:val="single"/>
        </w:rPr>
        <w:t>Border</w:t>
      </w:r>
      <w:r w:rsidR="00F01052">
        <w:rPr>
          <w:b/>
          <w:u w:val="single"/>
        </w:rPr>
        <w:t>s</w:t>
      </w:r>
      <w:r w:rsidR="00B54490">
        <w:rPr>
          <w:b/>
          <w:u w:val="single"/>
        </w:rPr>
        <w:t xml:space="preserve"> </w:t>
      </w:r>
    </w:p>
    <w:p w:rsidR="002F6A53" w:rsidRDefault="008738C2" w:rsidP="00F77B57">
      <w:pPr>
        <w:pStyle w:val="BodyText"/>
      </w:pPr>
      <w:r>
        <w:t>OCDETF’s FY 2013</w:t>
      </w:r>
      <w:r w:rsidR="00B54490">
        <w:rPr>
          <w:color w:val="FF0000"/>
        </w:rPr>
        <w:t xml:space="preserve"> </w:t>
      </w:r>
      <w:r w:rsidR="00810CCB" w:rsidRPr="00ED538D">
        <w:t>budget request</w:t>
      </w:r>
      <w:r w:rsidR="00810CCB">
        <w:rPr>
          <w:color w:val="FF0000"/>
        </w:rPr>
        <w:t xml:space="preserve"> </w:t>
      </w:r>
      <w:r w:rsidR="00B54490">
        <w:t xml:space="preserve">also directly supports the </w:t>
      </w:r>
      <w:r w:rsidR="00F01052">
        <w:t xml:space="preserve">Strategic Goals of the </w:t>
      </w:r>
      <w:r w:rsidR="001C16FB">
        <w:t>2011</w:t>
      </w:r>
      <w:r w:rsidR="00B54490" w:rsidRPr="00D1443E">
        <w:t xml:space="preserve"> </w:t>
      </w:r>
      <w:r w:rsidR="007038E4">
        <w:rPr>
          <w:i/>
        </w:rPr>
        <w:t>Southwest Border</w:t>
      </w:r>
      <w:r w:rsidR="00B54490" w:rsidRPr="00D1443E">
        <w:rPr>
          <w:i/>
        </w:rPr>
        <w:t xml:space="preserve"> </w:t>
      </w:r>
      <w:r w:rsidR="007038E4">
        <w:rPr>
          <w:i/>
        </w:rPr>
        <w:t>Counternarcotics</w:t>
      </w:r>
      <w:r w:rsidR="007038E4" w:rsidRPr="00D1443E">
        <w:rPr>
          <w:i/>
        </w:rPr>
        <w:t xml:space="preserve"> </w:t>
      </w:r>
      <w:r w:rsidR="00B54490" w:rsidRPr="00D1443E">
        <w:rPr>
          <w:i/>
        </w:rPr>
        <w:t>Strateg</w:t>
      </w:r>
      <w:r w:rsidR="00ED538D">
        <w:rPr>
          <w:i/>
        </w:rPr>
        <w:t>y</w:t>
      </w:r>
      <w:r w:rsidR="00B54490" w:rsidRPr="00D1443E">
        <w:t xml:space="preserve"> </w:t>
      </w:r>
      <w:r w:rsidR="00F01052">
        <w:t xml:space="preserve">and the 2011 </w:t>
      </w:r>
      <w:r w:rsidR="007038E4">
        <w:rPr>
          <w:i/>
        </w:rPr>
        <w:t>Northern Border</w:t>
      </w:r>
      <w:r w:rsidR="00F01052">
        <w:rPr>
          <w:i/>
        </w:rPr>
        <w:t xml:space="preserve"> </w:t>
      </w:r>
      <w:r w:rsidR="007038E4">
        <w:rPr>
          <w:i/>
        </w:rPr>
        <w:t>Counternarcotics</w:t>
      </w:r>
      <w:r w:rsidR="00F01052">
        <w:rPr>
          <w:i/>
        </w:rPr>
        <w:t xml:space="preserve"> Strategy, </w:t>
      </w:r>
      <w:r w:rsidR="00B54490" w:rsidRPr="00D1443E">
        <w:t xml:space="preserve">which </w:t>
      </w:r>
      <w:r w:rsidR="00F01052">
        <w:t>are</w:t>
      </w:r>
      <w:r w:rsidR="00B54490" w:rsidRPr="00D1443E">
        <w:t xml:space="preserve"> to </w:t>
      </w:r>
      <w:r w:rsidR="00F01052">
        <w:t>s</w:t>
      </w:r>
      <w:r w:rsidR="00B54490" w:rsidRPr="00D1443E">
        <w:t>ubstantially reduce the flow of illicit drugs, dru</w:t>
      </w:r>
      <w:r w:rsidR="00B54490">
        <w:t xml:space="preserve">g proceeds, and associated instruments of violence across the Southwest </w:t>
      </w:r>
      <w:r w:rsidR="00F01052">
        <w:t xml:space="preserve">and Northern </w:t>
      </w:r>
      <w:r w:rsidR="00B54490">
        <w:t>Border</w:t>
      </w:r>
      <w:r w:rsidR="00F01052">
        <w:t>s</w:t>
      </w:r>
      <w:r w:rsidR="00B54490">
        <w:t>.  OCDETF’s focus is designed to enable its member agencies to achieve the Strategic Objectives of</w:t>
      </w:r>
      <w:r w:rsidR="00F01052">
        <w:t xml:space="preserve"> the two Strategies</w:t>
      </w:r>
      <w:r w:rsidR="002F6A53">
        <w:t>.  These objectives are to</w:t>
      </w:r>
      <w:r w:rsidR="00B54490">
        <w:t xml:space="preserve">:  </w:t>
      </w:r>
    </w:p>
    <w:p w:rsidR="00324377" w:rsidRDefault="00B54490">
      <w:pPr>
        <w:pStyle w:val="BodyText"/>
        <w:numPr>
          <w:ilvl w:val="6"/>
          <w:numId w:val="49"/>
        </w:numPr>
        <w:spacing w:after="0"/>
        <w:ind w:left="720"/>
      </w:pPr>
      <w:r>
        <w:t xml:space="preserve">enhance intelligence </w:t>
      </w:r>
      <w:r w:rsidR="00F01052" w:rsidRPr="00B859A2">
        <w:rPr>
          <w:color w:val="000000"/>
        </w:rPr>
        <w:t xml:space="preserve">and information sharing capabilities and processes </w:t>
      </w:r>
      <w:r>
        <w:t xml:space="preserve">associated with the Southwest </w:t>
      </w:r>
      <w:r w:rsidR="00F01052">
        <w:t xml:space="preserve">and Northern </w:t>
      </w:r>
      <w:r>
        <w:t>Border</w:t>
      </w:r>
      <w:r w:rsidR="00F01052">
        <w:t>s</w:t>
      </w:r>
      <w:r>
        <w:t xml:space="preserve">; </w:t>
      </w:r>
    </w:p>
    <w:p w:rsidR="00324377" w:rsidRDefault="00B54490">
      <w:pPr>
        <w:pStyle w:val="BodyText"/>
        <w:numPr>
          <w:ilvl w:val="6"/>
          <w:numId w:val="49"/>
        </w:numPr>
        <w:spacing w:after="0"/>
        <w:ind w:left="720"/>
      </w:pPr>
      <w:r>
        <w:t>interdict drugs, drug proceeds, and associated instruments of violence, in the air</w:t>
      </w:r>
      <w:r w:rsidR="00F01052">
        <w:t xml:space="preserve"> </w:t>
      </w:r>
      <w:r w:rsidR="00F01052" w:rsidRPr="00B859A2">
        <w:rPr>
          <w:color w:val="000000"/>
        </w:rPr>
        <w:t>and maritime domains</w:t>
      </w:r>
      <w:r>
        <w:t>, at the ports of entry, and between the ports of entry along the</w:t>
      </w:r>
      <w:r w:rsidR="002C0824">
        <w:t xml:space="preserve"> </w:t>
      </w:r>
      <w:r w:rsidR="00F01052">
        <w:t>borders</w:t>
      </w:r>
      <w:r>
        <w:t xml:space="preserve">; </w:t>
      </w:r>
    </w:p>
    <w:p w:rsidR="00324377" w:rsidRDefault="00B54490">
      <w:pPr>
        <w:pStyle w:val="BodyText"/>
        <w:numPr>
          <w:ilvl w:val="6"/>
          <w:numId w:val="49"/>
        </w:numPr>
        <w:spacing w:after="0"/>
        <w:ind w:left="720"/>
      </w:pPr>
      <w:r>
        <w:t xml:space="preserve">ensure the prosecution of all significant drug trafficking, money laundering, bulk currency, and weapons trafficking/smuggling cases; </w:t>
      </w:r>
    </w:p>
    <w:p w:rsidR="00324377" w:rsidRDefault="00B54490">
      <w:pPr>
        <w:pStyle w:val="BodyText"/>
        <w:numPr>
          <w:ilvl w:val="6"/>
          <w:numId w:val="49"/>
        </w:numPr>
        <w:spacing w:after="0"/>
        <w:ind w:left="720"/>
      </w:pPr>
      <w:r>
        <w:t>disrupt and dismantle drug trafficking organizations</w:t>
      </w:r>
      <w:r w:rsidR="00F01052">
        <w:t xml:space="preserve"> operating along the borders</w:t>
      </w:r>
      <w:r>
        <w:t xml:space="preserve">; </w:t>
      </w:r>
    </w:p>
    <w:p w:rsidR="00324377" w:rsidRDefault="00B54490">
      <w:pPr>
        <w:pStyle w:val="BodyText"/>
        <w:numPr>
          <w:ilvl w:val="6"/>
          <w:numId w:val="49"/>
        </w:numPr>
        <w:spacing w:after="0"/>
        <w:ind w:left="720"/>
      </w:pPr>
      <w:r>
        <w:t xml:space="preserve">enhance counterdrug technologies for drug detection and interdiction along the </w:t>
      </w:r>
      <w:r w:rsidR="00F01052">
        <w:t>borders</w:t>
      </w:r>
      <w:r>
        <w:t xml:space="preserve">;  </w:t>
      </w:r>
    </w:p>
    <w:p w:rsidR="00324377" w:rsidRDefault="00B54490">
      <w:pPr>
        <w:pStyle w:val="BodyText"/>
        <w:numPr>
          <w:ilvl w:val="6"/>
          <w:numId w:val="49"/>
        </w:numPr>
        <w:spacing w:after="0"/>
        <w:ind w:left="720"/>
      </w:pPr>
      <w:r>
        <w:t>enhance U.S. – Mexico cooperation regarding joint counterdrug efforts</w:t>
      </w:r>
      <w:r w:rsidR="00F01052">
        <w:t xml:space="preserve"> along the Southwest Border; and </w:t>
      </w:r>
    </w:p>
    <w:p w:rsidR="00324377" w:rsidRDefault="00F01052">
      <w:pPr>
        <w:pStyle w:val="BodyText"/>
        <w:numPr>
          <w:ilvl w:val="6"/>
          <w:numId w:val="49"/>
        </w:numPr>
        <w:spacing w:after="0"/>
        <w:ind w:left="720"/>
      </w:pPr>
      <w:proofErr w:type="gramStart"/>
      <w:r>
        <w:rPr>
          <w:color w:val="000000"/>
        </w:rPr>
        <w:t>e</w:t>
      </w:r>
      <w:r w:rsidRPr="00B859A2">
        <w:rPr>
          <w:color w:val="000000"/>
        </w:rPr>
        <w:t>nhance</w:t>
      </w:r>
      <w:proofErr w:type="gramEnd"/>
      <w:r w:rsidRPr="00B859A2">
        <w:rPr>
          <w:color w:val="000000"/>
        </w:rPr>
        <w:t xml:space="preserve"> counterdrug efforts and cooperation with tribal governments along the Northern </w:t>
      </w:r>
      <w:r>
        <w:rPr>
          <w:color w:val="000000"/>
        </w:rPr>
        <w:t>B</w:t>
      </w:r>
      <w:r w:rsidRPr="00B859A2">
        <w:rPr>
          <w:color w:val="000000"/>
        </w:rPr>
        <w:t>order</w:t>
      </w:r>
      <w:r w:rsidR="00B54490">
        <w:t>.</w:t>
      </w:r>
    </w:p>
    <w:p w:rsidR="00324377" w:rsidRDefault="00324377">
      <w:pPr>
        <w:pStyle w:val="BodyText"/>
        <w:spacing w:after="0"/>
        <w:ind w:left="720"/>
      </w:pPr>
    </w:p>
    <w:p w:rsidR="00B54490" w:rsidRDefault="00B54490" w:rsidP="00ED1B53">
      <w:r>
        <w:rPr>
          <w:b/>
          <w:u w:val="single"/>
        </w:rPr>
        <w:lastRenderedPageBreak/>
        <w:t>2009 and 2010 Southwest Border Strategy and Strategy for Combating Mexican Drug Cartels</w:t>
      </w:r>
    </w:p>
    <w:p w:rsidR="00ED1B53" w:rsidRDefault="00ED1B53" w:rsidP="00ED1B53">
      <w:pPr>
        <w:pStyle w:val="BodyText"/>
        <w:spacing w:after="0"/>
      </w:pPr>
    </w:p>
    <w:p w:rsidR="002F6A53" w:rsidRDefault="00B54490" w:rsidP="00ED1B53">
      <w:pPr>
        <w:pStyle w:val="BodyText"/>
        <w:spacing w:after="0"/>
      </w:pPr>
      <w:r>
        <w:t>Finally, OCDETF’s FY 201</w:t>
      </w:r>
      <w:r w:rsidR="00D57086">
        <w:t>3</w:t>
      </w:r>
      <w:r>
        <w:t xml:space="preserve"> </w:t>
      </w:r>
      <w:r w:rsidR="000A4FAF">
        <w:t xml:space="preserve">budget request </w:t>
      </w:r>
      <w:r>
        <w:t xml:space="preserve">directly supports, and is squarely aligned with President Obama’s and Attorney General Holder’s announced </w:t>
      </w:r>
      <w:r w:rsidRPr="00D1443E">
        <w:t>2009 Southwest Border Strategy</w:t>
      </w:r>
      <w:r>
        <w:t>, as well as the 2010 Department of Justice Strategy for Combating the Mexican Cartels.  The specific goals of the two Strategies are to systematically degrade the power of the Mexican drug cartels, while simultaneously improving the capacity of the Mexican law enforcement institutions to confront the cartels domestically.  The desired outcomes of the Strategies are to</w:t>
      </w:r>
      <w:r w:rsidR="002F6A53">
        <w:t>:</w:t>
      </w:r>
    </w:p>
    <w:p w:rsidR="00324377" w:rsidRDefault="00B54490">
      <w:pPr>
        <w:pStyle w:val="BodyText"/>
        <w:numPr>
          <w:ilvl w:val="6"/>
          <w:numId w:val="50"/>
        </w:numPr>
        <w:spacing w:after="0"/>
        <w:ind w:left="720"/>
      </w:pPr>
      <w:r>
        <w:t xml:space="preserve">increase the security of U.S. citizens along the Southwest Border and throughout the country; </w:t>
      </w:r>
    </w:p>
    <w:p w:rsidR="00324377" w:rsidRDefault="00B54490">
      <w:pPr>
        <w:pStyle w:val="BodyText"/>
        <w:numPr>
          <w:ilvl w:val="6"/>
          <w:numId w:val="50"/>
        </w:numPr>
        <w:spacing w:after="0"/>
        <w:ind w:left="720"/>
      </w:pPr>
      <w:r>
        <w:t xml:space="preserve">reduce the flow of contraband, primarily drugs, entering the United States; and </w:t>
      </w:r>
    </w:p>
    <w:p w:rsidR="00324377" w:rsidRDefault="00B54490">
      <w:pPr>
        <w:pStyle w:val="BodyText"/>
        <w:numPr>
          <w:ilvl w:val="6"/>
          <w:numId w:val="50"/>
        </w:numPr>
        <w:spacing w:after="0"/>
        <w:ind w:left="720"/>
      </w:pPr>
      <w:proofErr w:type="gramStart"/>
      <w:r>
        <w:t>reduce</w:t>
      </w:r>
      <w:proofErr w:type="gramEnd"/>
      <w:r>
        <w:t xml:space="preserve"> the flow of weapons and illegal cash into Mexico.  </w:t>
      </w:r>
    </w:p>
    <w:p w:rsidR="00324377" w:rsidRDefault="00324377">
      <w:pPr>
        <w:pStyle w:val="BodyText"/>
        <w:spacing w:after="0"/>
        <w:ind w:left="5040"/>
      </w:pPr>
    </w:p>
    <w:p w:rsidR="00B54490" w:rsidRPr="00551EE3" w:rsidRDefault="00B54490" w:rsidP="00ED1B53">
      <w:pPr>
        <w:pStyle w:val="BodyText"/>
        <w:spacing w:after="0"/>
      </w:pPr>
      <w:r>
        <w:t xml:space="preserve">The specific law enforcement strategy to be pursued to achieve those desired outcomes is to continue to foster coordinated, nationwide investigations and prosecutions that inflict maximum damage on the cartels by incapacitating, through incarceration, large segments of the leadership cadres of the cartels, along with as many subordinate cartel members and facilitators as possible, while simultaneously destroying the financial infrastructure of the cartels through seizure and forfeiture of cartel assets.  </w:t>
      </w:r>
      <w:r w:rsidR="000A4FAF">
        <w:t>B</w:t>
      </w:r>
      <w:r>
        <w:t xml:space="preserve">oth </w:t>
      </w:r>
      <w:r w:rsidR="000A4FAF">
        <w:t xml:space="preserve">of </w:t>
      </w:r>
      <w:r>
        <w:t>the Department’s Strategies specifically embrace the OCDETF model to achieve their comprehensive, proactive goals.</w:t>
      </w:r>
    </w:p>
    <w:p w:rsidR="00ED1B53" w:rsidRDefault="00ED1B53" w:rsidP="00F77B57">
      <w:pPr>
        <w:pStyle w:val="Heading3"/>
        <w:numPr>
          <w:ilvl w:val="0"/>
          <w:numId w:val="0"/>
        </w:numPr>
        <w:ind w:left="720"/>
      </w:pPr>
    </w:p>
    <w:p w:rsidR="00B54490" w:rsidRPr="00BE3210" w:rsidRDefault="00B54490" w:rsidP="00F77B57">
      <w:pPr>
        <w:pStyle w:val="Heading3"/>
        <w:numPr>
          <w:ilvl w:val="0"/>
          <w:numId w:val="0"/>
        </w:numPr>
        <w:ind w:left="720"/>
      </w:pPr>
      <w:r w:rsidRPr="00BE3210">
        <w:t>4.</w:t>
      </w:r>
      <w:r w:rsidRPr="00BE3210">
        <w:tab/>
        <w:t>OCDETF Program Costs</w:t>
      </w:r>
      <w:r w:rsidR="00671492">
        <w:t xml:space="preserve"> </w:t>
      </w:r>
    </w:p>
    <w:p w:rsidR="00B54490" w:rsidRPr="00BE3210" w:rsidRDefault="00B54490" w:rsidP="00F77B57">
      <w:pPr>
        <w:pStyle w:val="BodyText"/>
      </w:pPr>
      <w:r w:rsidRPr="00BE3210">
        <w:t xml:space="preserve">OCDETF’s </w:t>
      </w:r>
      <w:r w:rsidR="000A4FAF">
        <w:t xml:space="preserve">budget </w:t>
      </w:r>
      <w:r w:rsidRPr="00BE3210">
        <w:t>request includes funding to reimburse participating OCDETF agencies from the Department of Justice.  Funding for OCDETF participation by non-Justice agencies is sought in the budget requests of their respective Departments.</w:t>
      </w:r>
    </w:p>
    <w:p w:rsidR="00B54490" w:rsidRPr="00BE3210" w:rsidRDefault="00B54490" w:rsidP="00F77B57">
      <w:pPr>
        <w:pStyle w:val="BodyText"/>
      </w:pPr>
      <w:r w:rsidRPr="00BE3210">
        <w:t xml:space="preserve">The Decision Units </w:t>
      </w:r>
      <w:r w:rsidR="00F5465E">
        <w:t xml:space="preserve">are structured to </w:t>
      </w:r>
      <w:r w:rsidRPr="00BE3210">
        <w:t xml:space="preserve">reflect Investigations and Prosecutions.  The administrative program support provided by the OCDETF Executive Office is pro-rated between those two Decision Units, based upon the percentage of total appropriated ICDE Program funding attributable to the member agencies within each Decision Unit.  </w:t>
      </w:r>
      <w:r w:rsidR="003F7EE8">
        <w:t>OCDETF would like to add a third decision unit to separate out its focus on Transnational Organized Crime and the IOC-2.</w:t>
      </w:r>
    </w:p>
    <w:p w:rsidR="00B54490" w:rsidRPr="00BE3210" w:rsidRDefault="00B54490" w:rsidP="00F77B57">
      <w:pPr>
        <w:pStyle w:val="BodyText"/>
      </w:pPr>
      <w:r w:rsidRPr="00BE3210">
        <w:rPr>
          <w:u w:val="single"/>
        </w:rPr>
        <w:t>Investigations Decision Unit</w:t>
      </w:r>
      <w:r w:rsidRPr="00BE3210">
        <w:t xml:space="preserve"> – This decision unit includes the resources that support investigative activities of the following participating agencies: ATF, DEA, FBI, and USMS.  Also included are the resources that support the intelligence activities of OCDETF’s member agencies and the OCDETF Fusion Center.  Investigative activities by ICE, USCG, and IRS in support of the OCDETF Program are funded out of the direct appropriations of their respective Departments – </w:t>
      </w:r>
      <w:r>
        <w:t>DHS</w:t>
      </w:r>
      <w:r w:rsidRPr="00BE3210">
        <w:t xml:space="preserve"> for ICE and USCG and Treasury for IRS.    </w:t>
      </w:r>
    </w:p>
    <w:p w:rsidR="00B54490" w:rsidRPr="00BE3210" w:rsidRDefault="00B54490" w:rsidP="00F77B57">
      <w:pPr>
        <w:pStyle w:val="BodyText"/>
      </w:pPr>
      <w:r w:rsidRPr="00BE3210">
        <w:t>Investigative expenses include: Purchase of Evidence/Payment for Information (PE/PI), mission-related travel, training, operational funding, supplies, electronic surveillance costs, and other equipment costs.  Intelligence expenses include: basic and advanced training, software, workstations, desktop and laptop computers, other equipment costs, and mission-related travel.</w:t>
      </w:r>
    </w:p>
    <w:p w:rsidR="00B54490" w:rsidRPr="00BE3210" w:rsidRDefault="00B54490" w:rsidP="00F77B57">
      <w:pPr>
        <w:pStyle w:val="BodyText"/>
      </w:pPr>
      <w:r w:rsidRPr="00BE3210">
        <w:rPr>
          <w:u w:val="single"/>
        </w:rPr>
        <w:lastRenderedPageBreak/>
        <w:t>Prosecutions Decision Unit</w:t>
      </w:r>
      <w:r w:rsidRPr="00BE3210">
        <w:t xml:space="preserve"> – This decision unit includes the reimbursable prosecution resources situated at the 94 U.S. Attorneys’ Offices around the country (executed through the Executive Office for U.S. Attorneys (EOUSA)) and at the Criminal </w:t>
      </w:r>
      <w:r>
        <w:t>Division</w:t>
      </w:r>
      <w:r w:rsidRPr="00BE3210">
        <w:t xml:space="preserve"> of the Department of Justice</w:t>
      </w:r>
      <w:r>
        <w:t xml:space="preserve"> (executed through attorneys in the Criminal Division and the OCDETF Executive Office)</w:t>
      </w:r>
      <w:r w:rsidRPr="00BE3210">
        <w:t>.</w:t>
      </w:r>
    </w:p>
    <w:p w:rsidR="00B54490" w:rsidRDefault="00B54490" w:rsidP="00F77B57">
      <w:pPr>
        <w:pStyle w:val="BodyText"/>
      </w:pPr>
      <w:r w:rsidRPr="00BE3210">
        <w:t xml:space="preserve">Prosecution-related expenses include: case-related travel; training; printing and reproduction of court documents and court instruments; filing and recording fees; reporting and transcripts for deposition, grand jury, and court proceedings; litigation support; litigation graphics; fees for the reproduction of financial records; stenographic/interpreter services; </w:t>
      </w:r>
      <w:r>
        <w:t>translation expenses for securing foreign evidence and extradition; s</w:t>
      </w:r>
      <w:r w:rsidRPr="00BE3210">
        <w:t xml:space="preserve">upplies and materials; and </w:t>
      </w:r>
      <w:r>
        <w:t>Automated Data Processing (ADP)</w:t>
      </w:r>
      <w:r w:rsidRPr="00BE3210">
        <w:t xml:space="preserve"> and other equipment.</w:t>
      </w:r>
    </w:p>
    <w:p w:rsidR="00B368C6" w:rsidRDefault="00756D85" w:rsidP="00B368C6">
      <w:pPr>
        <w:pStyle w:val="BodyText"/>
      </w:pPr>
      <w:r w:rsidRPr="00756D85">
        <w:rPr>
          <w:u w:val="single"/>
        </w:rPr>
        <w:t>Transnational Organized Crime Investigations</w:t>
      </w:r>
      <w:r>
        <w:t>-This decision unit includes the resources that support the investigative activities related to Transnational Organized Crime</w:t>
      </w:r>
      <w:r w:rsidR="003F7EE8">
        <w:t>, including IOC-2</w:t>
      </w:r>
      <w:r>
        <w:t>.  The IOC</w:t>
      </w:r>
      <w:r w:rsidR="006A0EC9">
        <w:t>-</w:t>
      </w:r>
      <w:r>
        <w:t>2 Operations and Intelligence divisions are the vehi</w:t>
      </w:r>
      <w:r w:rsidR="00DE375F">
        <w:t xml:space="preserve">cles </w:t>
      </w:r>
      <w:r w:rsidR="00AA4F97">
        <w:t xml:space="preserve">used </w:t>
      </w:r>
      <w:r w:rsidR="00DE375F">
        <w:t xml:space="preserve">to address TOC.  </w:t>
      </w:r>
      <w:r w:rsidR="00DE375F" w:rsidRPr="00A90A93">
        <w:rPr>
          <w:szCs w:val="24"/>
        </w:rPr>
        <w:t>T</w:t>
      </w:r>
      <w:r w:rsidR="00DE375F" w:rsidRPr="00A90A93">
        <w:t xml:space="preserve">he operational costs related to investigating and prosecuting </w:t>
      </w:r>
      <w:r w:rsidR="006A0EC9">
        <w:t>T</w:t>
      </w:r>
      <w:r w:rsidR="00DE375F" w:rsidRPr="00A90A93">
        <w:t xml:space="preserve">OC cases include such items as domestic and overseas travel and temporary duty assignments, wiretaps, translation services, expert witness fees, </w:t>
      </w:r>
      <w:r w:rsidR="006A0EC9">
        <w:t xml:space="preserve">and </w:t>
      </w:r>
      <w:r w:rsidR="00DE375F" w:rsidRPr="00A90A93">
        <w:t>the establishment and support of regional IOC</w:t>
      </w:r>
      <w:r w:rsidR="00DE375F">
        <w:t>-2</w:t>
      </w:r>
      <w:r w:rsidR="00DE375F" w:rsidRPr="00A90A93">
        <w:t xml:space="preserve"> task forces</w:t>
      </w:r>
      <w:r w:rsidR="00DE375F">
        <w:t>.</w:t>
      </w:r>
    </w:p>
    <w:p w:rsidR="00B54490" w:rsidRPr="00BE3210" w:rsidRDefault="00B54490" w:rsidP="00F77B57">
      <w:pPr>
        <w:pStyle w:val="Heading3"/>
        <w:numPr>
          <w:ilvl w:val="0"/>
          <w:numId w:val="0"/>
        </w:numPr>
        <w:ind w:left="1440" w:hanging="720"/>
      </w:pPr>
      <w:r w:rsidRPr="00BE3210">
        <w:t>5.</w:t>
      </w:r>
      <w:r w:rsidRPr="00BE3210">
        <w:tab/>
        <w:t>OCDETF Performance Challenges</w:t>
      </w:r>
    </w:p>
    <w:p w:rsidR="00B54490" w:rsidRPr="00BE3210" w:rsidRDefault="00B54490" w:rsidP="00F77B57">
      <w:pPr>
        <w:pStyle w:val="BodyText2"/>
        <w:ind w:firstLine="0"/>
      </w:pPr>
      <w:r w:rsidRPr="00BE3210">
        <w:t>The following are examples of some of the most significant performance challenges that OCDETF must confront.</w:t>
      </w:r>
    </w:p>
    <w:p w:rsidR="00B54490" w:rsidRPr="00BE3210" w:rsidRDefault="00B54490" w:rsidP="00F77B57">
      <w:pPr>
        <w:pStyle w:val="BodyText"/>
      </w:pPr>
      <w:r w:rsidRPr="00BE3210">
        <w:rPr>
          <w:b/>
          <w:bCs/>
          <w:i/>
          <w:iCs/>
          <w:u w:val="single"/>
        </w:rPr>
        <w:t>External</w:t>
      </w:r>
      <w:r w:rsidRPr="00BE3210">
        <w:rPr>
          <w:b/>
          <w:bCs/>
          <w:u w:val="single"/>
        </w:rPr>
        <w:t xml:space="preserve"> </w:t>
      </w:r>
      <w:r w:rsidRPr="00BE3210">
        <w:rPr>
          <w:b/>
          <w:bCs/>
          <w:i/>
          <w:iCs/>
          <w:u w:val="single"/>
        </w:rPr>
        <w:t>Challenges:</w:t>
      </w:r>
      <w:r w:rsidRPr="00BE3210">
        <w:rPr>
          <w:i/>
          <w:iCs/>
        </w:rPr>
        <w:t xml:space="preserve">  </w:t>
      </w:r>
    </w:p>
    <w:p w:rsidR="00B54490" w:rsidRPr="00BE3210" w:rsidRDefault="00B54490" w:rsidP="00F77B57">
      <w:pPr>
        <w:pStyle w:val="ListBullet"/>
      </w:pPr>
      <w:r w:rsidRPr="00BE3210">
        <w:rPr>
          <w:b/>
          <w:bCs/>
        </w:rPr>
        <w:t>National Priorities</w:t>
      </w:r>
      <w:r w:rsidRPr="00BE3210">
        <w:t xml:space="preserve">: </w:t>
      </w:r>
      <w:r w:rsidR="003F7EE8">
        <w:t xml:space="preserve">National emergencies have </w:t>
      </w:r>
      <w:r>
        <w:t>caused some of the OCDETF member agencies to divert resources to responding to individual instances of criminal activity that are the result of the larger problem</w:t>
      </w:r>
      <w:r w:rsidR="003F7EE8">
        <w:t>.</w:t>
      </w:r>
    </w:p>
    <w:p w:rsidR="00B54490" w:rsidRPr="00BE3210" w:rsidRDefault="00B54490" w:rsidP="00F77B57">
      <w:pPr>
        <w:pStyle w:val="ListBullet"/>
      </w:pPr>
      <w:r w:rsidRPr="00BE3210">
        <w:rPr>
          <w:b/>
          <w:bCs/>
        </w:rPr>
        <w:t>Local Government</w:t>
      </w:r>
      <w:r w:rsidRPr="00BE3210">
        <w:t xml:space="preserve">:  State and local law enforcement </w:t>
      </w:r>
      <w:r>
        <w:t xml:space="preserve">agencies </w:t>
      </w:r>
      <w:r w:rsidRPr="00BE3210">
        <w:t>participate in approximately 90 percent of OCDETF investigations nationwide.  Changes in the fiscal posture or policies of state and local governments can have dramatic effects on the capacity of state and local</w:t>
      </w:r>
      <w:r>
        <w:t xml:space="preserve"> agencies</w:t>
      </w:r>
      <w:r w:rsidRPr="00BE3210">
        <w:t xml:space="preserve"> to remain effective law enforcement partners.  In addition, many state and local law enforcement officers serve as reservists and are called away for military duty.  </w:t>
      </w:r>
    </w:p>
    <w:p w:rsidR="00756D85" w:rsidRDefault="00B54490" w:rsidP="00F77B57">
      <w:pPr>
        <w:pStyle w:val="ListBullet"/>
      </w:pPr>
      <w:r w:rsidRPr="00BE3210">
        <w:rPr>
          <w:b/>
          <w:bCs/>
        </w:rPr>
        <w:t xml:space="preserve">Globalization: </w:t>
      </w:r>
      <w:r w:rsidRPr="00BE3210">
        <w:t xml:space="preserve"> Issues of criminal justice increasingly transcend national boundaries, requiring the cooperation of foreign governments and involving treaty obligations and other foreign policy concerns.  The nature of the relationships between the U.S. and particular foreign governments can dramatically impact law enforcement’s ability to conduct operations against international sources of supply, to freeze and seize foreign assets, to apprehend fugitives in foreign countries, and to extradite defendants to stand trial in the U.S.  </w:t>
      </w:r>
    </w:p>
    <w:p w:rsidR="00B54490" w:rsidRPr="00BE3210" w:rsidRDefault="00B54490" w:rsidP="00F77B57">
      <w:pPr>
        <w:pStyle w:val="ListBullet"/>
      </w:pPr>
      <w:r w:rsidRPr="00BE3210">
        <w:rPr>
          <w:b/>
          <w:bCs/>
        </w:rPr>
        <w:t>Technology:</w:t>
      </w:r>
      <w:r w:rsidRPr="00BE3210">
        <w:t xml:space="preserve"> </w:t>
      </w:r>
      <w:r w:rsidR="0083334A">
        <w:t>Criminals are increasingly taking advantage of a</w:t>
      </w:r>
      <w:r w:rsidRPr="00BE3210">
        <w:t xml:space="preserve">dvances in telecommunications and </w:t>
      </w:r>
      <w:r w:rsidR="0083334A">
        <w:t xml:space="preserve">the </w:t>
      </w:r>
      <w:r w:rsidRPr="00BE3210">
        <w:t>widespread use of the Internet</w:t>
      </w:r>
      <w:r w:rsidR="0083334A">
        <w:t xml:space="preserve">, resulting in the creation of </w:t>
      </w:r>
      <w:r w:rsidRPr="00BE3210">
        <w:t xml:space="preserve">new classes of crimes, and new challenges for law enforcement.  These </w:t>
      </w:r>
      <w:r w:rsidRPr="00BE3210">
        <w:lastRenderedPageBreak/>
        <w:t xml:space="preserve">technologies enable drug traffickers and money launderers to conduct their unlawful activities in ways that impede the effective use of traditional physical and electronic surveillance techniques, which otherwise are the most powerful means to infiltrate the highest levels of these organizations.  Use of the Internet also makes it more difficult for law enforcement to identify the base of operations of certain criminal organizations.  </w:t>
      </w:r>
    </w:p>
    <w:p w:rsidR="00B54490" w:rsidRPr="00BE3210" w:rsidRDefault="00B54490" w:rsidP="00F77B57">
      <w:pPr>
        <w:pStyle w:val="BodyText"/>
      </w:pPr>
      <w:r w:rsidRPr="00BE3210">
        <w:rPr>
          <w:b/>
          <w:bCs/>
          <w:i/>
          <w:iCs/>
          <w:u w:val="single"/>
        </w:rPr>
        <w:t>Internal Challenges:</w:t>
      </w:r>
      <w:r w:rsidRPr="00BE3210">
        <w:t xml:space="preserve">  </w:t>
      </w:r>
    </w:p>
    <w:p w:rsidR="00972B33" w:rsidRDefault="00B54490" w:rsidP="00F77B57">
      <w:pPr>
        <w:pStyle w:val="ListBullet"/>
      </w:pPr>
      <w:r w:rsidRPr="00BE3210">
        <w:rPr>
          <w:b/>
        </w:rPr>
        <w:t xml:space="preserve">Resources:  </w:t>
      </w:r>
      <w:r w:rsidRPr="00BE3210">
        <w:t>The OCDETF Program continues to review its resource</w:t>
      </w:r>
      <w:r w:rsidR="001F5E02">
        <w:t xml:space="preserve"> allocations</w:t>
      </w:r>
      <w:r w:rsidRPr="00BE3210">
        <w:t xml:space="preserve"> to determine the </w:t>
      </w:r>
      <w:r w:rsidR="00AA4F97">
        <w:t>optimum</w:t>
      </w:r>
      <w:r w:rsidRPr="00BE3210">
        <w:t xml:space="preserve"> balance of personnel costs and operational costs that will maximize the performance of the Program.</w:t>
      </w:r>
    </w:p>
    <w:p w:rsidR="00B54490" w:rsidRPr="00BE3210" w:rsidRDefault="00972B33" w:rsidP="00F77B57">
      <w:pPr>
        <w:pStyle w:val="ListBullet"/>
      </w:pPr>
      <w:r w:rsidRPr="00BE3210">
        <w:rPr>
          <w:b/>
          <w:bCs/>
        </w:rPr>
        <w:t xml:space="preserve"> </w:t>
      </w:r>
      <w:r w:rsidR="00B54490" w:rsidRPr="00BE3210">
        <w:rPr>
          <w:b/>
          <w:bCs/>
        </w:rPr>
        <w:t xml:space="preserve">Competing Agency Priorities:  </w:t>
      </w:r>
      <w:r w:rsidR="00B54490">
        <w:t>OCDETF is a P</w:t>
      </w:r>
      <w:r w:rsidR="00B54490" w:rsidRPr="00BE3210">
        <w:t xml:space="preserve">rogram comprised of multiple federal agencies from three separate Executive Branch </w:t>
      </w:r>
      <w:r w:rsidR="00B54490">
        <w:t>D</w:t>
      </w:r>
      <w:r w:rsidR="00B54490" w:rsidRPr="00BE3210">
        <w:t xml:space="preserve">epartments. Each </w:t>
      </w:r>
      <w:r w:rsidR="00B54490">
        <w:t>D</w:t>
      </w:r>
      <w:r w:rsidR="00B54490" w:rsidRPr="00BE3210">
        <w:t>epartment and member agency has mandated its own priorities for carrying out its part of the fight against illegal drugs.  OCDETF member agencies may decide to fund their drug enforcement operations with monies from their direct appropriations, which they use at their own discretion, rather than to use OCDETF-allocated funds that they are accountable to OCDETF for using in support of the consolidated, multi-agency OCDETF mission. OCDETF must unite those agencies behind one single mission and ensure accountability for Program performance in an environment of competing philosophies and funding priorities in three different departments.  This task is particula</w:t>
      </w:r>
      <w:r w:rsidR="00B54490">
        <w:t>rly challenging with n</w:t>
      </w:r>
      <w:r w:rsidR="00B54490" w:rsidRPr="00BE3210">
        <w:t>on-Justice agencies.  In order to encourage these agencies to continue their participation in the Program</w:t>
      </w:r>
      <w:r w:rsidR="00B54490">
        <w:t xml:space="preserve"> now that they are no longer funded through the DOJ OCDETF appropriation</w:t>
      </w:r>
      <w:r w:rsidR="00B54490" w:rsidRPr="00BE3210">
        <w:t xml:space="preserve">, OCDETF relies on its proven track record of success, along with the agencies’ historical commitment to the OCDETF mission and approach. </w:t>
      </w:r>
    </w:p>
    <w:p w:rsidR="00B54490" w:rsidRPr="00BE3210" w:rsidRDefault="00B54490" w:rsidP="00F77B57">
      <w:pPr>
        <w:pStyle w:val="ListBullet"/>
      </w:pPr>
      <w:r w:rsidRPr="00BE3210">
        <w:rPr>
          <w:b/>
          <w:bCs/>
        </w:rPr>
        <w:t>Performance Measurement</w:t>
      </w:r>
      <w:r w:rsidRPr="00BE3210">
        <w:t xml:space="preserve">: </w:t>
      </w:r>
      <w:r w:rsidR="00193126" w:rsidRPr="00193126">
        <w:t xml:space="preserve">While Program results are not easily measurable, particularly over the span of a single year, it is possible to discern some measures of success. </w:t>
      </w:r>
      <w:r w:rsidRPr="00BE3210">
        <w:t xml:space="preserve">Measuring Program success is complicated by the fact that drug supply reduction is a reflection of a number of factors, including drug seizures, eradication efforts, precursor chemical interdictions, cash and asset seizures, increased border/transportation security, international military operations, social and political forces, climatic changes and even natural disasters.  </w:t>
      </w:r>
    </w:p>
    <w:p w:rsidR="00B54490" w:rsidRPr="00BE3210" w:rsidRDefault="00B54490" w:rsidP="00F77B57">
      <w:pPr>
        <w:pStyle w:val="ListBullet"/>
        <w:rPr>
          <w:b/>
        </w:rPr>
      </w:pPr>
      <w:r w:rsidRPr="00BE3210">
        <w:rPr>
          <w:b/>
          <w:bCs/>
        </w:rPr>
        <w:t>Balance of Direct and OCDETF-Funded Resources</w:t>
      </w:r>
      <w:r w:rsidRPr="00BE3210">
        <w:t xml:space="preserve">:  Experienced OCDETF attorneys and agents are necessary to investigate and prosecute large-scale, sophisticated drug enterprises operating nationally and internationally.  However, many OCDETF investigations against major supply organizations originate as non-OCDETF drug investigations targeting smaller drug networks and violent drug offenders.  Thus, both direct-funded and OCDETF-funded resources are essential for effective drug supply reduction, and appropriate staffing levels must be maintained in each category.  </w:t>
      </w:r>
    </w:p>
    <w:p w:rsidR="00B54490" w:rsidRPr="00B04E47" w:rsidRDefault="00B54490" w:rsidP="00F77B57">
      <w:pPr>
        <w:pStyle w:val="ListBullet"/>
        <w:sectPr w:rsidR="00B54490" w:rsidRPr="00B04E47" w:rsidSect="008B46B1">
          <w:footnotePr>
            <w:numStart w:val="2"/>
          </w:footnotePr>
          <w:pgSz w:w="12240" w:h="15840"/>
          <w:pgMar w:top="1440" w:right="1440" w:bottom="1440" w:left="1440" w:header="720" w:footer="720" w:gutter="0"/>
          <w:pgNumType w:start="1"/>
          <w:cols w:space="720"/>
          <w:docGrid w:linePitch="326"/>
        </w:sectPr>
      </w:pPr>
      <w:r w:rsidRPr="00BE3210">
        <w:rPr>
          <w:b/>
          <w:bCs/>
        </w:rPr>
        <w:t xml:space="preserve">Data Collection:  </w:t>
      </w:r>
      <w:r w:rsidRPr="00BE3210">
        <w:t xml:space="preserve">Processes for case tracking, time reporting, and overtime tracking vary from agency to agency and from region to region, resulting in inconsistencies in data </w:t>
      </w:r>
      <w:r w:rsidRPr="00BE3210">
        <w:lastRenderedPageBreak/>
        <w:t xml:space="preserve">and difficulties in monitoring compliance with OCDETF policies, procedures, and guidelines.  The different processes can also complicate efforts to develop and monitor standard performance measures.  </w:t>
      </w:r>
      <w:r w:rsidR="00193126">
        <w:t xml:space="preserve">However, </w:t>
      </w:r>
      <w:r w:rsidRPr="00BE3210">
        <w:t xml:space="preserve">OCDETF </w:t>
      </w:r>
      <w:r w:rsidR="000D3181">
        <w:t>resolves</w:t>
      </w:r>
      <w:r w:rsidRPr="00BE3210">
        <w:t xml:space="preserve"> these inconsistencies and complications</w:t>
      </w:r>
      <w:r w:rsidR="000D3181">
        <w:t xml:space="preserve"> as they occur</w:t>
      </w:r>
      <w:r w:rsidRPr="00BE3210">
        <w:t xml:space="preserve"> by conducting regular reviews with its member agencies</w:t>
      </w:r>
      <w:r w:rsidR="000D3181">
        <w:t xml:space="preserve">, </w:t>
      </w:r>
      <w:r w:rsidRPr="00BE3210">
        <w:t>address</w:t>
      </w:r>
      <w:r w:rsidR="000D3181">
        <w:t>ing</w:t>
      </w:r>
      <w:r w:rsidRPr="00BE3210">
        <w:t xml:space="preserve"> these data issues and implement</w:t>
      </w:r>
      <w:r w:rsidR="000D3181">
        <w:t>ing</w:t>
      </w:r>
      <w:r w:rsidRPr="00BE3210">
        <w:t xml:space="preserve"> corrective measures.  </w:t>
      </w:r>
    </w:p>
    <w:p w:rsidR="007B21AA" w:rsidRDefault="007B21AA" w:rsidP="007B21AA">
      <w:pPr>
        <w:pStyle w:val="BodyText"/>
        <w:rPr>
          <w:rFonts w:cs="Arial"/>
          <w:b/>
          <w:bCs/>
        </w:rPr>
      </w:pPr>
    </w:p>
    <w:p w:rsidR="005E7A96" w:rsidRDefault="005E7A96" w:rsidP="00FE3440">
      <w:pPr>
        <w:pStyle w:val="BodyText"/>
        <w:jc w:val="center"/>
        <w:rPr>
          <w:b/>
          <w:sz w:val="56"/>
          <w:szCs w:val="56"/>
        </w:rPr>
      </w:pPr>
    </w:p>
    <w:p w:rsidR="005E7A96" w:rsidRDefault="0057768B" w:rsidP="00FE3440">
      <w:pPr>
        <w:pStyle w:val="BodyText"/>
        <w:jc w:val="center"/>
        <w:rPr>
          <w:b/>
          <w:sz w:val="56"/>
          <w:szCs w:val="56"/>
        </w:rPr>
      </w:pPr>
      <w:r>
        <w:rPr>
          <w:b/>
          <w:sz w:val="56"/>
          <w:szCs w:val="56"/>
        </w:rPr>
        <w:t>Intentionally Left Blank</w:t>
      </w:r>
    </w:p>
    <w:p w:rsidR="005E7A96" w:rsidRDefault="005E7A96" w:rsidP="00FE3440">
      <w:pPr>
        <w:pStyle w:val="BodyText"/>
        <w:jc w:val="center"/>
        <w:rPr>
          <w:b/>
          <w:sz w:val="56"/>
          <w:szCs w:val="56"/>
        </w:rPr>
      </w:pPr>
    </w:p>
    <w:p w:rsidR="005E7A96" w:rsidRDefault="005E7A96" w:rsidP="00FE3440">
      <w:pPr>
        <w:pStyle w:val="BodyText"/>
        <w:jc w:val="center"/>
        <w:rPr>
          <w:b/>
          <w:sz w:val="56"/>
          <w:szCs w:val="56"/>
        </w:rPr>
      </w:pPr>
    </w:p>
    <w:p w:rsidR="005E7A96" w:rsidRDefault="005E7A96" w:rsidP="00FE3440">
      <w:pPr>
        <w:pStyle w:val="BodyText"/>
        <w:jc w:val="center"/>
        <w:rPr>
          <w:b/>
          <w:sz w:val="56"/>
          <w:szCs w:val="56"/>
        </w:rPr>
      </w:pPr>
    </w:p>
    <w:p w:rsidR="005E7A96" w:rsidRDefault="005E7A96" w:rsidP="00FE3440">
      <w:pPr>
        <w:pStyle w:val="BodyText"/>
        <w:jc w:val="center"/>
        <w:rPr>
          <w:b/>
          <w:sz w:val="56"/>
          <w:szCs w:val="56"/>
        </w:rPr>
      </w:pPr>
    </w:p>
    <w:p w:rsidR="005E7A96" w:rsidRDefault="005E7A96" w:rsidP="00FE3440">
      <w:pPr>
        <w:pStyle w:val="BodyText"/>
        <w:jc w:val="center"/>
        <w:rPr>
          <w:b/>
          <w:sz w:val="56"/>
          <w:szCs w:val="56"/>
        </w:rPr>
      </w:pPr>
    </w:p>
    <w:p w:rsidR="005E7A96" w:rsidRDefault="005E7A96" w:rsidP="00FE3440">
      <w:pPr>
        <w:pStyle w:val="BodyText"/>
        <w:jc w:val="center"/>
        <w:rPr>
          <w:b/>
          <w:sz w:val="56"/>
          <w:szCs w:val="56"/>
        </w:rPr>
      </w:pPr>
    </w:p>
    <w:p w:rsidR="005E7A96" w:rsidRDefault="005E7A96" w:rsidP="00FE3440">
      <w:pPr>
        <w:pStyle w:val="BodyText"/>
        <w:jc w:val="center"/>
        <w:rPr>
          <w:b/>
          <w:sz w:val="56"/>
          <w:szCs w:val="56"/>
        </w:rPr>
      </w:pPr>
    </w:p>
    <w:p w:rsidR="005E7A96" w:rsidRDefault="005E7A96" w:rsidP="00FE3440">
      <w:pPr>
        <w:pStyle w:val="BodyText"/>
        <w:jc w:val="center"/>
        <w:rPr>
          <w:b/>
          <w:sz w:val="56"/>
          <w:szCs w:val="56"/>
        </w:rPr>
      </w:pPr>
    </w:p>
    <w:p w:rsidR="000F2AB0" w:rsidRDefault="000F2AB0" w:rsidP="00FE3440">
      <w:pPr>
        <w:pStyle w:val="BodyText"/>
        <w:jc w:val="center"/>
        <w:rPr>
          <w:b/>
          <w:sz w:val="56"/>
          <w:szCs w:val="56"/>
        </w:rPr>
      </w:pPr>
    </w:p>
    <w:p w:rsidR="000F2AB0" w:rsidRDefault="000F2AB0" w:rsidP="00FE3440">
      <w:pPr>
        <w:pStyle w:val="BodyText"/>
        <w:jc w:val="center"/>
        <w:rPr>
          <w:b/>
          <w:sz w:val="56"/>
          <w:szCs w:val="56"/>
        </w:rPr>
      </w:pPr>
    </w:p>
    <w:p w:rsidR="000F2AB0" w:rsidRDefault="000F2AB0" w:rsidP="00FE3440">
      <w:pPr>
        <w:pStyle w:val="BodyText"/>
        <w:jc w:val="center"/>
        <w:rPr>
          <w:b/>
          <w:sz w:val="56"/>
          <w:szCs w:val="56"/>
        </w:rPr>
      </w:pPr>
    </w:p>
    <w:p w:rsidR="000F2AB0" w:rsidRDefault="000F2AB0" w:rsidP="00FE3440">
      <w:pPr>
        <w:pStyle w:val="BodyText"/>
        <w:jc w:val="center"/>
        <w:rPr>
          <w:b/>
          <w:sz w:val="56"/>
          <w:szCs w:val="56"/>
        </w:rPr>
      </w:pPr>
    </w:p>
    <w:p w:rsidR="000F2AB0" w:rsidRPr="000F3581" w:rsidRDefault="000F2AB0" w:rsidP="000F2AB0">
      <w:pPr>
        <w:pStyle w:val="ListParagraph"/>
        <w:numPr>
          <w:ilvl w:val="0"/>
          <w:numId w:val="22"/>
        </w:numPr>
        <w:rPr>
          <w:rFonts w:cs="Arial"/>
          <w:b/>
          <w:bCs/>
        </w:rPr>
      </w:pPr>
      <w:r w:rsidRPr="000F3581">
        <w:rPr>
          <w:rFonts w:cs="Arial"/>
          <w:b/>
          <w:bCs/>
          <w:sz w:val="28"/>
          <w:szCs w:val="28"/>
        </w:rPr>
        <w:lastRenderedPageBreak/>
        <w:t xml:space="preserve">Summary of Program </w:t>
      </w:r>
      <w:r>
        <w:rPr>
          <w:rFonts w:cs="Arial"/>
          <w:b/>
          <w:bCs/>
          <w:sz w:val="28"/>
          <w:szCs w:val="28"/>
        </w:rPr>
        <w:t>Changes</w:t>
      </w:r>
    </w:p>
    <w:p w:rsidR="000F2AB0" w:rsidRDefault="000F2AB0" w:rsidP="000F2AB0">
      <w:pPr>
        <w:pStyle w:val="BodyText"/>
        <w:spacing w:after="0"/>
        <w:ind w:left="720"/>
        <w:jc w:val="center"/>
        <w:rPr>
          <w:rFonts w:cs="Arial"/>
          <w:b/>
          <w:bCs/>
          <w:iC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1"/>
        <w:gridCol w:w="4647"/>
        <w:gridCol w:w="720"/>
        <w:gridCol w:w="720"/>
        <w:gridCol w:w="1080"/>
        <w:gridCol w:w="712"/>
      </w:tblGrid>
      <w:tr w:rsidR="002C2B31" w:rsidRPr="000E2AEC" w:rsidTr="002C2B31">
        <w:trPr>
          <w:cantSplit/>
        </w:trPr>
        <w:tc>
          <w:tcPr>
            <w:tcW w:w="1761" w:type="dxa"/>
            <w:vMerge w:val="restart"/>
            <w:shd w:val="clear" w:color="auto" w:fill="E6E6E6"/>
          </w:tcPr>
          <w:p w:rsidR="002C2B31" w:rsidRPr="000E2AEC" w:rsidRDefault="002C2B31" w:rsidP="002C2B31">
            <w:pPr>
              <w:pStyle w:val="BodyText"/>
              <w:jc w:val="center"/>
              <w:rPr>
                <w:b/>
                <w:bCs/>
                <w:szCs w:val="24"/>
              </w:rPr>
            </w:pPr>
          </w:p>
          <w:p w:rsidR="002C2B31" w:rsidRPr="000E2AEC" w:rsidRDefault="002C2B31" w:rsidP="002C2B31">
            <w:pPr>
              <w:pStyle w:val="BodyText"/>
              <w:jc w:val="center"/>
              <w:rPr>
                <w:b/>
                <w:bCs/>
                <w:szCs w:val="24"/>
              </w:rPr>
            </w:pPr>
            <w:r w:rsidRPr="000E2AEC">
              <w:rPr>
                <w:b/>
                <w:bCs/>
                <w:szCs w:val="24"/>
              </w:rPr>
              <w:t>Item Name</w:t>
            </w:r>
          </w:p>
        </w:tc>
        <w:tc>
          <w:tcPr>
            <w:tcW w:w="7167" w:type="dxa"/>
            <w:gridSpan w:val="4"/>
            <w:shd w:val="clear" w:color="auto" w:fill="E6E6E6"/>
          </w:tcPr>
          <w:p w:rsidR="002C2B31" w:rsidRPr="000E2AEC" w:rsidRDefault="002C2B31" w:rsidP="002C2B31">
            <w:pPr>
              <w:pStyle w:val="BodyText"/>
              <w:jc w:val="center"/>
              <w:rPr>
                <w:b/>
                <w:bCs/>
                <w:szCs w:val="24"/>
              </w:rPr>
            </w:pPr>
          </w:p>
          <w:p w:rsidR="002C2B31" w:rsidRPr="000E2AEC" w:rsidRDefault="002C2B31" w:rsidP="002C2B31">
            <w:pPr>
              <w:pStyle w:val="BodyText"/>
              <w:jc w:val="center"/>
              <w:rPr>
                <w:b/>
                <w:bCs/>
                <w:szCs w:val="24"/>
              </w:rPr>
            </w:pPr>
            <w:r w:rsidRPr="000E2AEC">
              <w:rPr>
                <w:b/>
                <w:bCs/>
                <w:szCs w:val="24"/>
              </w:rPr>
              <w:t>Description</w:t>
            </w:r>
          </w:p>
        </w:tc>
        <w:tc>
          <w:tcPr>
            <w:tcW w:w="712" w:type="dxa"/>
            <w:vMerge w:val="restart"/>
            <w:shd w:val="clear" w:color="auto" w:fill="E6E6E6"/>
          </w:tcPr>
          <w:p w:rsidR="002C2B31" w:rsidRPr="000E2AEC" w:rsidRDefault="002C2B31" w:rsidP="002C2B31">
            <w:pPr>
              <w:pStyle w:val="BodyText"/>
              <w:jc w:val="center"/>
              <w:rPr>
                <w:b/>
                <w:bCs/>
                <w:szCs w:val="24"/>
              </w:rPr>
            </w:pPr>
          </w:p>
          <w:p w:rsidR="002C2B31" w:rsidRPr="000E2AEC" w:rsidRDefault="002C2B31" w:rsidP="002C2B31">
            <w:pPr>
              <w:pStyle w:val="BodyText"/>
              <w:jc w:val="center"/>
              <w:rPr>
                <w:b/>
                <w:bCs/>
                <w:szCs w:val="24"/>
              </w:rPr>
            </w:pPr>
            <w:r w:rsidRPr="000E2AEC">
              <w:rPr>
                <w:b/>
                <w:bCs/>
                <w:szCs w:val="24"/>
              </w:rPr>
              <w:t>Page</w:t>
            </w:r>
          </w:p>
        </w:tc>
      </w:tr>
      <w:tr w:rsidR="002C2B31" w:rsidRPr="000E2AEC" w:rsidTr="002C2B31">
        <w:trPr>
          <w:cantSplit/>
        </w:trPr>
        <w:tc>
          <w:tcPr>
            <w:tcW w:w="1761" w:type="dxa"/>
            <w:vMerge/>
          </w:tcPr>
          <w:p w:rsidR="002C2B31" w:rsidRPr="000E2AEC" w:rsidRDefault="002C2B31" w:rsidP="002C2B31">
            <w:pPr>
              <w:pStyle w:val="BodyText"/>
              <w:jc w:val="center"/>
              <w:rPr>
                <w:b/>
                <w:bCs/>
                <w:szCs w:val="24"/>
              </w:rPr>
            </w:pPr>
          </w:p>
        </w:tc>
        <w:tc>
          <w:tcPr>
            <w:tcW w:w="4647" w:type="dxa"/>
          </w:tcPr>
          <w:p w:rsidR="002C2B31" w:rsidRPr="000E2AEC" w:rsidRDefault="002C2B31" w:rsidP="002C2B31">
            <w:pPr>
              <w:pStyle w:val="BodyText"/>
              <w:jc w:val="center"/>
              <w:rPr>
                <w:b/>
                <w:bCs/>
                <w:szCs w:val="24"/>
              </w:rPr>
            </w:pPr>
          </w:p>
        </w:tc>
        <w:tc>
          <w:tcPr>
            <w:tcW w:w="720" w:type="dxa"/>
            <w:shd w:val="clear" w:color="auto" w:fill="F3F3F3"/>
          </w:tcPr>
          <w:p w:rsidR="002C2B31" w:rsidRPr="000E2AEC" w:rsidRDefault="002C2B31" w:rsidP="002C2B31">
            <w:pPr>
              <w:pStyle w:val="BodyText"/>
              <w:jc w:val="center"/>
              <w:rPr>
                <w:b/>
                <w:bCs/>
                <w:szCs w:val="24"/>
              </w:rPr>
            </w:pPr>
          </w:p>
          <w:p w:rsidR="002C2B31" w:rsidRPr="000E2AEC" w:rsidRDefault="002C2B31" w:rsidP="002C2B31">
            <w:pPr>
              <w:pStyle w:val="BodyText"/>
              <w:jc w:val="center"/>
              <w:rPr>
                <w:b/>
                <w:bCs/>
                <w:szCs w:val="24"/>
              </w:rPr>
            </w:pPr>
            <w:r w:rsidRPr="000E2AEC">
              <w:rPr>
                <w:b/>
                <w:bCs/>
                <w:szCs w:val="24"/>
              </w:rPr>
              <w:t>Pos.</w:t>
            </w:r>
          </w:p>
        </w:tc>
        <w:tc>
          <w:tcPr>
            <w:tcW w:w="720" w:type="dxa"/>
            <w:shd w:val="clear" w:color="auto" w:fill="F3F3F3"/>
          </w:tcPr>
          <w:p w:rsidR="002C2B31" w:rsidRPr="000E2AEC" w:rsidRDefault="002C2B31" w:rsidP="002C2B31">
            <w:pPr>
              <w:pStyle w:val="BodyText"/>
              <w:jc w:val="center"/>
              <w:rPr>
                <w:b/>
                <w:bCs/>
                <w:szCs w:val="24"/>
              </w:rPr>
            </w:pPr>
          </w:p>
          <w:p w:rsidR="002C2B31" w:rsidRPr="000E2AEC" w:rsidRDefault="002C2B31" w:rsidP="002C2B31">
            <w:pPr>
              <w:pStyle w:val="BodyText"/>
              <w:jc w:val="center"/>
              <w:rPr>
                <w:b/>
                <w:bCs/>
                <w:szCs w:val="24"/>
              </w:rPr>
            </w:pPr>
            <w:r w:rsidRPr="000E2AEC">
              <w:rPr>
                <w:b/>
                <w:bCs/>
                <w:szCs w:val="24"/>
              </w:rPr>
              <w:t>FTE</w:t>
            </w:r>
          </w:p>
        </w:tc>
        <w:tc>
          <w:tcPr>
            <w:tcW w:w="1080" w:type="dxa"/>
            <w:shd w:val="clear" w:color="auto" w:fill="F3F3F3"/>
          </w:tcPr>
          <w:p w:rsidR="002C2B31" w:rsidRPr="000E2AEC" w:rsidRDefault="002C2B31" w:rsidP="002C2B31">
            <w:pPr>
              <w:pStyle w:val="BodyText"/>
              <w:jc w:val="center"/>
              <w:rPr>
                <w:b/>
                <w:bCs/>
                <w:szCs w:val="24"/>
              </w:rPr>
            </w:pPr>
            <w:r w:rsidRPr="000E2AEC">
              <w:rPr>
                <w:b/>
                <w:bCs/>
                <w:szCs w:val="24"/>
              </w:rPr>
              <w:t>Dollars ($000)</w:t>
            </w:r>
          </w:p>
        </w:tc>
        <w:tc>
          <w:tcPr>
            <w:tcW w:w="712" w:type="dxa"/>
            <w:vMerge/>
          </w:tcPr>
          <w:p w:rsidR="002C2B31" w:rsidRPr="000E2AEC" w:rsidRDefault="002C2B31" w:rsidP="002C2B31">
            <w:pPr>
              <w:pStyle w:val="BodyText"/>
              <w:jc w:val="center"/>
              <w:rPr>
                <w:b/>
                <w:bCs/>
                <w:szCs w:val="24"/>
              </w:rPr>
            </w:pPr>
          </w:p>
        </w:tc>
      </w:tr>
      <w:tr w:rsidR="002C2B31" w:rsidRPr="000E2AEC" w:rsidTr="002C2B31">
        <w:tc>
          <w:tcPr>
            <w:tcW w:w="1761" w:type="dxa"/>
          </w:tcPr>
          <w:p w:rsidR="002C2B31" w:rsidRPr="004D2BD1" w:rsidRDefault="002C2B31" w:rsidP="002C2B31">
            <w:pPr>
              <w:pStyle w:val="BodyText"/>
              <w:rPr>
                <w:rFonts w:ascii="Arial" w:hAnsi="Arial" w:cs="Arial"/>
                <w:b/>
                <w:bCs/>
                <w:sz w:val="20"/>
              </w:rPr>
            </w:pPr>
            <w:r>
              <w:rPr>
                <w:rFonts w:ascii="Arial" w:hAnsi="Arial" w:cs="Arial"/>
                <w:b/>
                <w:bCs/>
                <w:sz w:val="20"/>
              </w:rPr>
              <w:t xml:space="preserve">Transnational Organized Crime </w:t>
            </w:r>
          </w:p>
        </w:tc>
        <w:tc>
          <w:tcPr>
            <w:tcW w:w="4647" w:type="dxa"/>
          </w:tcPr>
          <w:p w:rsidR="002C2B31" w:rsidRPr="004D2BD1" w:rsidRDefault="002C2B31" w:rsidP="002C2B31">
            <w:pPr>
              <w:pStyle w:val="BodyText"/>
              <w:spacing w:after="0"/>
              <w:rPr>
                <w:rFonts w:ascii="Arial" w:hAnsi="Arial" w:cs="Arial"/>
                <w:bCs/>
                <w:sz w:val="20"/>
              </w:rPr>
            </w:pPr>
            <w:r>
              <w:rPr>
                <w:rFonts w:ascii="Arial" w:hAnsi="Arial" w:cs="Arial"/>
                <w:sz w:val="18"/>
                <w:szCs w:val="18"/>
              </w:rPr>
              <w:t>Funding and one staff position to support operational expenses in pursuit of DOJ's Transnational Organized Crime activities.</w:t>
            </w:r>
          </w:p>
        </w:tc>
        <w:tc>
          <w:tcPr>
            <w:tcW w:w="720" w:type="dxa"/>
            <w:vAlign w:val="bottom"/>
          </w:tcPr>
          <w:p w:rsidR="002C2B31" w:rsidRPr="008D3B52" w:rsidRDefault="002C2B31" w:rsidP="002C2B31">
            <w:pPr>
              <w:pStyle w:val="BodyText"/>
              <w:spacing w:after="0"/>
              <w:jc w:val="center"/>
              <w:rPr>
                <w:b/>
                <w:bCs/>
                <w:sz w:val="20"/>
              </w:rPr>
            </w:pPr>
            <w:r>
              <w:rPr>
                <w:b/>
                <w:bCs/>
                <w:sz w:val="20"/>
              </w:rPr>
              <w:t>1</w:t>
            </w:r>
          </w:p>
        </w:tc>
        <w:tc>
          <w:tcPr>
            <w:tcW w:w="720" w:type="dxa"/>
            <w:vAlign w:val="bottom"/>
          </w:tcPr>
          <w:p w:rsidR="002C2B31" w:rsidRPr="008D3B52" w:rsidRDefault="002C2B31" w:rsidP="002C2B31">
            <w:pPr>
              <w:pStyle w:val="BodyText"/>
              <w:spacing w:after="0"/>
              <w:jc w:val="center"/>
              <w:rPr>
                <w:b/>
                <w:bCs/>
                <w:sz w:val="20"/>
              </w:rPr>
            </w:pPr>
            <w:r>
              <w:rPr>
                <w:b/>
                <w:bCs/>
                <w:sz w:val="20"/>
              </w:rPr>
              <w:t>1</w:t>
            </w:r>
          </w:p>
        </w:tc>
        <w:tc>
          <w:tcPr>
            <w:tcW w:w="1080" w:type="dxa"/>
            <w:vAlign w:val="bottom"/>
          </w:tcPr>
          <w:p w:rsidR="002C2B31" w:rsidRPr="008D3B52" w:rsidRDefault="002C2B31" w:rsidP="002C2B31">
            <w:pPr>
              <w:pStyle w:val="BodyText"/>
              <w:spacing w:after="0"/>
              <w:jc w:val="center"/>
              <w:rPr>
                <w:b/>
                <w:bCs/>
                <w:sz w:val="20"/>
              </w:rPr>
            </w:pPr>
            <w:r>
              <w:rPr>
                <w:b/>
                <w:bCs/>
                <w:sz w:val="20"/>
              </w:rPr>
              <w:t>3,000</w:t>
            </w:r>
          </w:p>
        </w:tc>
        <w:tc>
          <w:tcPr>
            <w:tcW w:w="712" w:type="dxa"/>
            <w:vAlign w:val="bottom"/>
          </w:tcPr>
          <w:p w:rsidR="002C2B31" w:rsidRPr="004D2BD1" w:rsidRDefault="002C2B31" w:rsidP="00AD4141">
            <w:pPr>
              <w:pStyle w:val="BodyText"/>
              <w:spacing w:after="0"/>
              <w:jc w:val="center"/>
              <w:rPr>
                <w:b/>
                <w:bCs/>
                <w:sz w:val="20"/>
              </w:rPr>
            </w:pPr>
            <w:r>
              <w:rPr>
                <w:b/>
                <w:bCs/>
                <w:sz w:val="20"/>
              </w:rPr>
              <w:t>4</w:t>
            </w:r>
            <w:r w:rsidR="00AD4141">
              <w:rPr>
                <w:b/>
                <w:bCs/>
                <w:sz w:val="20"/>
              </w:rPr>
              <w:t>2</w:t>
            </w:r>
            <w:r>
              <w:rPr>
                <w:b/>
                <w:bCs/>
                <w:sz w:val="20"/>
              </w:rPr>
              <w:t xml:space="preserve">  </w:t>
            </w:r>
          </w:p>
        </w:tc>
      </w:tr>
      <w:tr w:rsidR="002C2B31" w:rsidRPr="000E2AEC" w:rsidTr="00126499">
        <w:trPr>
          <w:trHeight w:val="683"/>
        </w:trPr>
        <w:tc>
          <w:tcPr>
            <w:tcW w:w="1761" w:type="dxa"/>
          </w:tcPr>
          <w:p w:rsidR="002C2B31" w:rsidRPr="00E5054F" w:rsidRDefault="00126499" w:rsidP="002C2B31">
            <w:pPr>
              <w:pStyle w:val="BodyText"/>
              <w:rPr>
                <w:rFonts w:ascii="Arial" w:hAnsi="Arial" w:cs="Arial"/>
                <w:b/>
                <w:bCs/>
                <w:sz w:val="20"/>
              </w:rPr>
            </w:pPr>
            <w:r w:rsidRPr="00E5054F">
              <w:rPr>
                <w:rFonts w:ascii="Arial" w:hAnsi="Arial" w:cs="Arial"/>
                <w:b/>
                <w:bCs/>
                <w:sz w:val="20"/>
              </w:rPr>
              <w:t>Information Technology Offset</w:t>
            </w:r>
          </w:p>
        </w:tc>
        <w:tc>
          <w:tcPr>
            <w:tcW w:w="4647" w:type="dxa"/>
          </w:tcPr>
          <w:p w:rsidR="002C2B31" w:rsidRPr="00956EEB" w:rsidRDefault="00126499" w:rsidP="002C2B31">
            <w:pPr>
              <w:pStyle w:val="BodyText"/>
              <w:rPr>
                <w:rFonts w:ascii="Arial" w:hAnsi="Arial" w:cs="Arial"/>
                <w:bCs/>
                <w:sz w:val="18"/>
                <w:szCs w:val="18"/>
              </w:rPr>
            </w:pPr>
            <w:r>
              <w:rPr>
                <w:rFonts w:ascii="Arial" w:hAnsi="Arial" w:cs="Arial"/>
                <w:bCs/>
                <w:sz w:val="18"/>
                <w:szCs w:val="18"/>
              </w:rPr>
              <w:t>Information technology efficiencies</w:t>
            </w:r>
            <w:r w:rsidRPr="00E5054F">
              <w:rPr>
                <w:rFonts w:ascii="Arial" w:hAnsi="Arial" w:cs="Arial"/>
                <w:bCs/>
                <w:sz w:val="18"/>
                <w:szCs w:val="18"/>
              </w:rPr>
              <w:t xml:space="preserve"> </w:t>
            </w:r>
            <w:r>
              <w:rPr>
                <w:rFonts w:ascii="Arial" w:hAnsi="Arial" w:cs="Arial"/>
                <w:bCs/>
                <w:sz w:val="18"/>
                <w:szCs w:val="18"/>
              </w:rPr>
              <w:t>will achieve savings.</w:t>
            </w:r>
          </w:p>
        </w:tc>
        <w:tc>
          <w:tcPr>
            <w:tcW w:w="720" w:type="dxa"/>
            <w:vAlign w:val="bottom"/>
          </w:tcPr>
          <w:p w:rsidR="002C2B31" w:rsidRPr="002C2B31" w:rsidRDefault="00126499" w:rsidP="00126499">
            <w:pPr>
              <w:pStyle w:val="BodyText"/>
              <w:jc w:val="center"/>
              <w:rPr>
                <w:b/>
                <w:bCs/>
                <w:sz w:val="20"/>
              </w:rPr>
            </w:pPr>
            <w:r w:rsidRPr="002C2B31">
              <w:rPr>
                <w:b/>
                <w:bCs/>
                <w:sz w:val="20"/>
              </w:rPr>
              <w:t>0</w:t>
            </w:r>
          </w:p>
        </w:tc>
        <w:tc>
          <w:tcPr>
            <w:tcW w:w="720" w:type="dxa"/>
            <w:vAlign w:val="bottom"/>
          </w:tcPr>
          <w:p w:rsidR="002C2B31" w:rsidRPr="002C2B31" w:rsidRDefault="00126499" w:rsidP="00126499">
            <w:pPr>
              <w:pStyle w:val="BodyText"/>
              <w:jc w:val="center"/>
              <w:rPr>
                <w:b/>
                <w:bCs/>
                <w:sz w:val="20"/>
              </w:rPr>
            </w:pPr>
            <w:r w:rsidRPr="002C2B31">
              <w:rPr>
                <w:b/>
                <w:bCs/>
                <w:sz w:val="20"/>
              </w:rPr>
              <w:t>0</w:t>
            </w:r>
          </w:p>
        </w:tc>
        <w:tc>
          <w:tcPr>
            <w:tcW w:w="1080" w:type="dxa"/>
            <w:vAlign w:val="bottom"/>
          </w:tcPr>
          <w:p w:rsidR="002C2B31" w:rsidRPr="002C2B31" w:rsidRDefault="00126499" w:rsidP="00126499">
            <w:pPr>
              <w:pStyle w:val="BodyText"/>
              <w:jc w:val="center"/>
              <w:rPr>
                <w:b/>
                <w:bCs/>
                <w:sz w:val="20"/>
              </w:rPr>
            </w:pPr>
            <w:r>
              <w:rPr>
                <w:b/>
                <w:bCs/>
                <w:sz w:val="20"/>
              </w:rPr>
              <w:t>(</w:t>
            </w:r>
            <w:r w:rsidRPr="002C2B31">
              <w:rPr>
                <w:b/>
                <w:bCs/>
                <w:sz w:val="20"/>
              </w:rPr>
              <w:t>299</w:t>
            </w:r>
            <w:r>
              <w:rPr>
                <w:b/>
                <w:bCs/>
                <w:sz w:val="20"/>
              </w:rPr>
              <w:t>)</w:t>
            </w:r>
          </w:p>
        </w:tc>
        <w:tc>
          <w:tcPr>
            <w:tcW w:w="712" w:type="dxa"/>
            <w:vAlign w:val="bottom"/>
          </w:tcPr>
          <w:p w:rsidR="002C2B31" w:rsidRPr="00126499" w:rsidRDefault="00126499" w:rsidP="00F15368">
            <w:pPr>
              <w:pStyle w:val="BodyText"/>
              <w:jc w:val="center"/>
              <w:rPr>
                <w:b/>
                <w:bCs/>
                <w:sz w:val="20"/>
              </w:rPr>
            </w:pPr>
            <w:r w:rsidRPr="00126499">
              <w:rPr>
                <w:b/>
                <w:bCs/>
                <w:sz w:val="20"/>
              </w:rPr>
              <w:t>4</w:t>
            </w:r>
            <w:r w:rsidR="00F15368">
              <w:rPr>
                <w:b/>
                <w:bCs/>
                <w:sz w:val="20"/>
              </w:rPr>
              <w:t>6</w:t>
            </w:r>
          </w:p>
        </w:tc>
      </w:tr>
      <w:tr w:rsidR="002C2B31" w:rsidRPr="000E2AEC" w:rsidTr="00126499">
        <w:tc>
          <w:tcPr>
            <w:tcW w:w="1761" w:type="dxa"/>
          </w:tcPr>
          <w:p w:rsidR="002C2B31" w:rsidRPr="00E5054F" w:rsidRDefault="00126499" w:rsidP="002C2B31">
            <w:pPr>
              <w:pStyle w:val="BodyText"/>
              <w:rPr>
                <w:rFonts w:ascii="Arial" w:hAnsi="Arial" w:cs="Arial"/>
                <w:b/>
                <w:bCs/>
                <w:sz w:val="20"/>
              </w:rPr>
            </w:pPr>
            <w:r w:rsidRPr="00E5054F">
              <w:rPr>
                <w:rFonts w:ascii="Arial" w:hAnsi="Arial" w:cs="Arial"/>
                <w:b/>
                <w:bCs/>
                <w:sz w:val="20"/>
              </w:rPr>
              <w:t>Investigative Offset</w:t>
            </w:r>
          </w:p>
        </w:tc>
        <w:tc>
          <w:tcPr>
            <w:tcW w:w="4647" w:type="dxa"/>
          </w:tcPr>
          <w:p w:rsidR="002C2B31" w:rsidRPr="00E5054F" w:rsidRDefault="00126499" w:rsidP="00126499">
            <w:pPr>
              <w:pStyle w:val="BodyText"/>
              <w:rPr>
                <w:rFonts w:ascii="Arial" w:hAnsi="Arial" w:cs="Arial"/>
                <w:bCs/>
                <w:sz w:val="18"/>
                <w:szCs w:val="18"/>
              </w:rPr>
            </w:pPr>
            <w:r>
              <w:rPr>
                <w:rFonts w:ascii="Arial" w:hAnsi="Arial" w:cs="Arial"/>
                <w:bCs/>
                <w:sz w:val="18"/>
                <w:szCs w:val="18"/>
              </w:rPr>
              <w:t>Funding</w:t>
            </w:r>
            <w:r w:rsidR="00F5534B">
              <w:rPr>
                <w:rFonts w:ascii="Arial" w:hAnsi="Arial" w:cs="Arial"/>
                <w:bCs/>
                <w:sz w:val="18"/>
                <w:szCs w:val="18"/>
              </w:rPr>
              <w:t xml:space="preserve">, </w:t>
            </w:r>
            <w:r>
              <w:rPr>
                <w:rFonts w:ascii="Arial" w:hAnsi="Arial" w:cs="Arial"/>
                <w:bCs/>
                <w:sz w:val="18"/>
                <w:szCs w:val="18"/>
              </w:rPr>
              <w:t>49 agent positions</w:t>
            </w:r>
            <w:r w:rsidR="00F5534B">
              <w:rPr>
                <w:rFonts w:ascii="Arial" w:hAnsi="Arial" w:cs="Arial"/>
                <w:bCs/>
                <w:sz w:val="18"/>
                <w:szCs w:val="18"/>
              </w:rPr>
              <w:t>, and one support position</w:t>
            </w:r>
            <w:r>
              <w:rPr>
                <w:rFonts w:ascii="Arial" w:hAnsi="Arial" w:cs="Arial"/>
                <w:bCs/>
                <w:sz w:val="18"/>
                <w:szCs w:val="18"/>
              </w:rPr>
              <w:t xml:space="preserve"> will be collectively reduced from the investigative </w:t>
            </w:r>
            <w:r w:rsidR="00F5534B">
              <w:rPr>
                <w:rFonts w:ascii="Arial" w:hAnsi="Arial" w:cs="Arial"/>
                <w:bCs/>
                <w:sz w:val="18"/>
                <w:szCs w:val="18"/>
              </w:rPr>
              <w:t xml:space="preserve">and prosecutorial </w:t>
            </w:r>
            <w:r>
              <w:rPr>
                <w:rFonts w:ascii="Arial" w:hAnsi="Arial" w:cs="Arial"/>
                <w:bCs/>
                <w:sz w:val="18"/>
                <w:szCs w:val="18"/>
              </w:rPr>
              <w:t>component agencies.</w:t>
            </w:r>
          </w:p>
        </w:tc>
        <w:tc>
          <w:tcPr>
            <w:tcW w:w="720" w:type="dxa"/>
            <w:vAlign w:val="bottom"/>
          </w:tcPr>
          <w:p w:rsidR="002C2B31" w:rsidRPr="002C2B31" w:rsidRDefault="00126499" w:rsidP="00F5534B">
            <w:pPr>
              <w:pStyle w:val="BodyText"/>
              <w:jc w:val="center"/>
              <w:rPr>
                <w:b/>
                <w:bCs/>
                <w:sz w:val="20"/>
              </w:rPr>
            </w:pPr>
            <w:r w:rsidRPr="002C2B31">
              <w:rPr>
                <w:b/>
                <w:bCs/>
                <w:sz w:val="20"/>
              </w:rPr>
              <w:t>(</w:t>
            </w:r>
            <w:r w:rsidR="00F5534B">
              <w:rPr>
                <w:b/>
                <w:bCs/>
                <w:sz w:val="20"/>
              </w:rPr>
              <w:t>50</w:t>
            </w:r>
            <w:r w:rsidRPr="002C2B31">
              <w:rPr>
                <w:b/>
                <w:bCs/>
                <w:sz w:val="20"/>
              </w:rPr>
              <w:t>)</w:t>
            </w:r>
          </w:p>
        </w:tc>
        <w:tc>
          <w:tcPr>
            <w:tcW w:w="720" w:type="dxa"/>
            <w:vAlign w:val="bottom"/>
          </w:tcPr>
          <w:p w:rsidR="002C2B31" w:rsidRPr="002C2B31" w:rsidRDefault="00126499" w:rsidP="00F5534B">
            <w:pPr>
              <w:pStyle w:val="BodyText"/>
              <w:jc w:val="center"/>
              <w:rPr>
                <w:b/>
                <w:bCs/>
                <w:sz w:val="20"/>
              </w:rPr>
            </w:pPr>
            <w:r w:rsidRPr="002C2B31">
              <w:rPr>
                <w:b/>
                <w:bCs/>
                <w:sz w:val="20"/>
              </w:rPr>
              <w:t>(</w:t>
            </w:r>
            <w:r w:rsidR="00F5534B">
              <w:rPr>
                <w:b/>
                <w:bCs/>
                <w:sz w:val="20"/>
              </w:rPr>
              <w:t>50</w:t>
            </w:r>
            <w:r w:rsidRPr="002C2B31">
              <w:rPr>
                <w:b/>
                <w:bCs/>
                <w:sz w:val="20"/>
              </w:rPr>
              <w:t>)</w:t>
            </w:r>
          </w:p>
        </w:tc>
        <w:tc>
          <w:tcPr>
            <w:tcW w:w="1080" w:type="dxa"/>
            <w:vAlign w:val="bottom"/>
          </w:tcPr>
          <w:p w:rsidR="002C2B31" w:rsidRPr="002C2B31" w:rsidRDefault="00126499" w:rsidP="00126499">
            <w:pPr>
              <w:pStyle w:val="BodyText"/>
              <w:jc w:val="center"/>
              <w:rPr>
                <w:b/>
                <w:bCs/>
                <w:sz w:val="20"/>
              </w:rPr>
            </w:pPr>
            <w:r>
              <w:rPr>
                <w:b/>
                <w:bCs/>
                <w:sz w:val="20"/>
              </w:rPr>
              <w:t>(</w:t>
            </w:r>
            <w:r w:rsidRPr="002C2B31">
              <w:rPr>
                <w:b/>
                <w:bCs/>
                <w:sz w:val="20"/>
              </w:rPr>
              <w:t>12,500</w:t>
            </w:r>
            <w:r>
              <w:rPr>
                <w:b/>
                <w:bCs/>
                <w:sz w:val="20"/>
              </w:rPr>
              <w:t>)</w:t>
            </w:r>
          </w:p>
        </w:tc>
        <w:tc>
          <w:tcPr>
            <w:tcW w:w="712" w:type="dxa"/>
            <w:vAlign w:val="bottom"/>
          </w:tcPr>
          <w:p w:rsidR="002C2B31" w:rsidRPr="00126499" w:rsidRDefault="00126499" w:rsidP="00126499">
            <w:pPr>
              <w:pStyle w:val="BodyText"/>
              <w:jc w:val="center"/>
              <w:rPr>
                <w:b/>
                <w:bCs/>
                <w:sz w:val="20"/>
              </w:rPr>
            </w:pPr>
            <w:r w:rsidRPr="00126499">
              <w:rPr>
                <w:b/>
                <w:bCs/>
                <w:sz w:val="20"/>
              </w:rPr>
              <w:t>4</w:t>
            </w:r>
            <w:r w:rsidR="00F15368">
              <w:rPr>
                <w:b/>
                <w:bCs/>
                <w:sz w:val="20"/>
              </w:rPr>
              <w:t>7</w:t>
            </w:r>
          </w:p>
        </w:tc>
      </w:tr>
    </w:tbl>
    <w:p w:rsidR="005E7A96" w:rsidRDefault="005E7A96"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A411F3" w:rsidRDefault="00A411F3" w:rsidP="00FE3440">
      <w:pPr>
        <w:pStyle w:val="BodyText"/>
        <w:jc w:val="center"/>
        <w:rPr>
          <w:b/>
          <w:sz w:val="56"/>
          <w:szCs w:val="56"/>
        </w:rPr>
      </w:pPr>
    </w:p>
    <w:p w:rsidR="00FE3440" w:rsidRDefault="00FE3440" w:rsidP="00FE3440">
      <w:pPr>
        <w:pStyle w:val="BodyText"/>
        <w:jc w:val="center"/>
        <w:rPr>
          <w:rFonts w:cs="Arial"/>
          <w:b/>
          <w:bCs/>
        </w:rPr>
      </w:pPr>
      <w:r w:rsidRPr="004D2BD1">
        <w:rPr>
          <w:b/>
          <w:sz w:val="56"/>
          <w:szCs w:val="56"/>
        </w:rPr>
        <w:t>Intentionally Left Blank</w:t>
      </w:r>
    </w:p>
    <w:p w:rsidR="009D123C" w:rsidRDefault="009D123C">
      <w:pPr>
        <w:rPr>
          <w:rFonts w:cs="Arial"/>
          <w:b/>
          <w:bCs/>
        </w:rPr>
      </w:pPr>
      <w:r>
        <w:rPr>
          <w:rFonts w:cs="Arial"/>
          <w:b/>
          <w:bCs/>
        </w:rPr>
        <w:br w:type="page"/>
      </w:r>
    </w:p>
    <w:p w:rsidR="009D123C" w:rsidRPr="00BE3210" w:rsidRDefault="009D123C" w:rsidP="009D123C">
      <w:pPr>
        <w:rPr>
          <w:rFonts w:cs="Arial"/>
          <w:b/>
          <w:bCs/>
        </w:rPr>
      </w:pPr>
      <w:r w:rsidRPr="00BE3210">
        <w:rPr>
          <w:b/>
          <w:bCs/>
          <w:szCs w:val="24"/>
        </w:rPr>
        <w:lastRenderedPageBreak/>
        <w:t>I</w:t>
      </w:r>
      <w:r w:rsidR="009F5430">
        <w:rPr>
          <w:b/>
          <w:bCs/>
          <w:szCs w:val="24"/>
        </w:rPr>
        <w:t>II</w:t>
      </w:r>
      <w:r w:rsidRPr="00BE3210">
        <w:rPr>
          <w:b/>
          <w:bCs/>
          <w:szCs w:val="24"/>
        </w:rPr>
        <w:t>. Appropriations Language and Analysis of Appropriations Language</w:t>
      </w:r>
    </w:p>
    <w:p w:rsidR="009D123C" w:rsidRPr="00BE3210" w:rsidRDefault="009D123C" w:rsidP="009D123C">
      <w:pPr>
        <w:rPr>
          <w:b/>
          <w:bCs/>
          <w:szCs w:val="24"/>
        </w:rPr>
      </w:pPr>
    </w:p>
    <w:p w:rsidR="009D123C" w:rsidRPr="00BE3210" w:rsidRDefault="009D123C" w:rsidP="009D123C">
      <w:pPr>
        <w:rPr>
          <w:szCs w:val="24"/>
        </w:rPr>
      </w:pPr>
      <w:r w:rsidRPr="00BE3210">
        <w:rPr>
          <w:b/>
          <w:bCs/>
          <w:szCs w:val="24"/>
        </w:rPr>
        <w:t>Appropriations Language</w:t>
      </w:r>
    </w:p>
    <w:p w:rsidR="009D123C" w:rsidRPr="00BE3210" w:rsidRDefault="009D123C" w:rsidP="009D123C">
      <w:pPr>
        <w:rPr>
          <w:szCs w:val="24"/>
        </w:rPr>
      </w:pPr>
    </w:p>
    <w:p w:rsidR="009D123C" w:rsidRPr="00BE3210" w:rsidRDefault="009D123C" w:rsidP="009D123C">
      <w:pPr>
        <w:rPr>
          <w:bCs/>
          <w:szCs w:val="24"/>
        </w:rPr>
      </w:pPr>
    </w:p>
    <w:p w:rsidR="009D123C" w:rsidRPr="00BE3210" w:rsidRDefault="009D123C" w:rsidP="009D123C">
      <w:pPr>
        <w:jc w:val="center"/>
        <w:rPr>
          <w:b/>
          <w:bCs/>
          <w:szCs w:val="24"/>
        </w:rPr>
      </w:pPr>
      <w:r w:rsidRPr="00BE3210">
        <w:rPr>
          <w:b/>
          <w:bCs/>
          <w:szCs w:val="24"/>
        </w:rPr>
        <w:t>INTERAGENCY CRIME ENFORCEMENT</w:t>
      </w:r>
    </w:p>
    <w:p w:rsidR="009D123C" w:rsidRDefault="009D123C" w:rsidP="009D123C">
      <w:pPr>
        <w:autoSpaceDE w:val="0"/>
        <w:autoSpaceDN w:val="0"/>
        <w:adjustRightInd w:val="0"/>
        <w:rPr>
          <w:i/>
          <w:iCs/>
          <w:szCs w:val="24"/>
        </w:rPr>
      </w:pPr>
    </w:p>
    <w:p w:rsidR="003509BD" w:rsidRDefault="003509BD" w:rsidP="00DE375F">
      <w:pPr>
        <w:autoSpaceDE w:val="0"/>
        <w:autoSpaceDN w:val="0"/>
        <w:adjustRightInd w:val="0"/>
      </w:pPr>
      <w:r w:rsidRPr="003509BD">
        <w:cr/>
        <w:t xml:space="preserve">For necessary expenses for the identification, investigation, and prosecution of individuals associated with the most significant  drug trafficking, and affiliated money laundering organizations not otherwise provided for, to include inter-governmental agreements with State and local law enforcement agencies engaged in the investigation and prosecution of individuals involved in organized crime drug trafficking, </w:t>
      </w:r>
      <w:r w:rsidR="001F5E02">
        <w:t xml:space="preserve">[$527,512,000] </w:t>
      </w:r>
      <w:r w:rsidR="001F64E0" w:rsidRPr="001F64E0">
        <w:rPr>
          <w:i/>
          <w:u w:val="single"/>
        </w:rPr>
        <w:t>$524,793,000,</w:t>
      </w:r>
      <w:r w:rsidRPr="003509BD">
        <w:t xml:space="preserve"> of which $50,000,000 shall remain available until expended: Provided, That any amounts obligated from appropriations under this heading may be used under authorities available to the organizations reimbursed from this appropriation.</w:t>
      </w:r>
    </w:p>
    <w:p w:rsidR="003509BD" w:rsidRDefault="003509BD" w:rsidP="00696500">
      <w:pPr>
        <w:rPr>
          <w:b/>
        </w:rPr>
      </w:pPr>
    </w:p>
    <w:p w:rsidR="00DE375F" w:rsidRPr="001F5E02" w:rsidRDefault="001F64E0" w:rsidP="00DE375F">
      <w:pPr>
        <w:autoSpaceDE w:val="0"/>
        <w:autoSpaceDN w:val="0"/>
        <w:adjustRightInd w:val="0"/>
        <w:rPr>
          <w:b/>
          <w:iCs/>
          <w:szCs w:val="24"/>
        </w:rPr>
      </w:pPr>
      <w:r w:rsidRPr="001F64E0">
        <w:rPr>
          <w:b/>
          <w:iCs/>
          <w:szCs w:val="24"/>
        </w:rPr>
        <w:t>Analysis of Appropriations Language:</w:t>
      </w:r>
    </w:p>
    <w:p w:rsidR="001F5E02" w:rsidRDefault="001F5E02" w:rsidP="00DE375F">
      <w:pPr>
        <w:autoSpaceDE w:val="0"/>
        <w:autoSpaceDN w:val="0"/>
        <w:adjustRightInd w:val="0"/>
        <w:rPr>
          <w:iCs/>
          <w:szCs w:val="24"/>
        </w:rPr>
      </w:pPr>
    </w:p>
    <w:p w:rsidR="00DE375F" w:rsidRPr="001F5E02" w:rsidRDefault="001F5E02" w:rsidP="00DE375F">
      <w:pPr>
        <w:autoSpaceDE w:val="0"/>
        <w:autoSpaceDN w:val="0"/>
        <w:adjustRightInd w:val="0"/>
      </w:pPr>
      <w:r>
        <w:rPr>
          <w:iCs/>
          <w:szCs w:val="24"/>
        </w:rPr>
        <w:t>No s</w:t>
      </w:r>
      <w:r w:rsidR="00B44C25">
        <w:rPr>
          <w:iCs/>
          <w:szCs w:val="24"/>
        </w:rPr>
        <w:t>ubs</w:t>
      </w:r>
      <w:r>
        <w:rPr>
          <w:iCs/>
          <w:szCs w:val="24"/>
        </w:rPr>
        <w:t>t</w:t>
      </w:r>
      <w:r w:rsidR="00B44C25">
        <w:rPr>
          <w:iCs/>
          <w:szCs w:val="24"/>
        </w:rPr>
        <w:t>antive</w:t>
      </w:r>
      <w:r>
        <w:rPr>
          <w:iCs/>
          <w:szCs w:val="24"/>
        </w:rPr>
        <w:t xml:space="preserve"> changes</w:t>
      </w:r>
      <w:r w:rsidR="00B44C25">
        <w:rPr>
          <w:iCs/>
          <w:szCs w:val="24"/>
        </w:rPr>
        <w:t xml:space="preserve"> are proposed to the appropriation language</w:t>
      </w:r>
      <w:r>
        <w:rPr>
          <w:iCs/>
          <w:szCs w:val="24"/>
        </w:rPr>
        <w:t>.</w:t>
      </w:r>
    </w:p>
    <w:p w:rsidR="009D123C" w:rsidRPr="003404F6" w:rsidRDefault="009D123C" w:rsidP="009D123C">
      <w:pPr>
        <w:rPr>
          <w:szCs w:val="24"/>
        </w:rPr>
      </w:pPr>
    </w:p>
    <w:p w:rsidR="009D123C" w:rsidRPr="004D2BD1" w:rsidRDefault="009D123C" w:rsidP="009D123C"/>
    <w:p w:rsidR="00224DCC" w:rsidRDefault="00224DCC" w:rsidP="00193126">
      <w:pPr>
        <w:pStyle w:val="BodyText"/>
        <w:jc w:val="center"/>
        <w:rPr>
          <w:rFonts w:cs="Arial"/>
          <w:b/>
          <w:bCs/>
        </w:rPr>
      </w:pPr>
    </w:p>
    <w:p w:rsidR="00224DCC" w:rsidRDefault="00224DCC" w:rsidP="00224DCC">
      <w:pPr>
        <w:pStyle w:val="BodyText"/>
        <w:jc w:val="center"/>
        <w:rPr>
          <w:b/>
          <w:sz w:val="56"/>
          <w:szCs w:val="56"/>
        </w:rPr>
      </w:pPr>
    </w:p>
    <w:p w:rsidR="00CB5BAC" w:rsidRDefault="00CB5BAC">
      <w:pPr>
        <w:rPr>
          <w:b/>
          <w:sz w:val="56"/>
          <w:szCs w:val="56"/>
        </w:rPr>
      </w:pPr>
      <w:r>
        <w:rPr>
          <w:b/>
          <w:sz w:val="56"/>
          <w:szCs w:val="56"/>
        </w:rPr>
        <w:br w:type="page"/>
      </w:r>
    </w:p>
    <w:p w:rsidR="00224DCC" w:rsidRDefault="00224DCC" w:rsidP="00224DCC">
      <w:pPr>
        <w:pStyle w:val="BodyText"/>
        <w:jc w:val="center"/>
        <w:rPr>
          <w:b/>
          <w:sz w:val="56"/>
          <w:szCs w:val="56"/>
        </w:rPr>
      </w:pPr>
    </w:p>
    <w:p w:rsidR="00224DCC" w:rsidRDefault="00224DCC" w:rsidP="00224DCC">
      <w:pPr>
        <w:pStyle w:val="BodyText"/>
        <w:jc w:val="center"/>
        <w:rPr>
          <w:rFonts w:cs="Arial"/>
          <w:b/>
          <w:bCs/>
        </w:rPr>
      </w:pPr>
      <w:r w:rsidRPr="004D2BD1">
        <w:rPr>
          <w:b/>
          <w:sz w:val="56"/>
          <w:szCs w:val="56"/>
        </w:rPr>
        <w:t>Intentionally Left Blank</w:t>
      </w:r>
    </w:p>
    <w:p w:rsidR="00224DCC" w:rsidRDefault="00224DCC">
      <w:pPr>
        <w:rPr>
          <w:rFonts w:cs="Arial"/>
          <w:b/>
          <w:bCs/>
        </w:rPr>
      </w:pPr>
      <w:r>
        <w:rPr>
          <w:rFonts w:cs="Arial"/>
          <w:b/>
          <w:bCs/>
        </w:rPr>
        <w:br w:type="page"/>
      </w:r>
    </w:p>
    <w:p w:rsidR="00B54490" w:rsidRPr="007B21AA" w:rsidRDefault="00B54490" w:rsidP="001510DE">
      <w:pPr>
        <w:pStyle w:val="BodyText"/>
        <w:jc w:val="center"/>
        <w:rPr>
          <w:rFonts w:cs="Arial"/>
          <w:b/>
          <w:bCs/>
          <w:i/>
          <w:shadow/>
        </w:rPr>
      </w:pPr>
      <w:r>
        <w:rPr>
          <w:rFonts w:cs="Arial"/>
          <w:b/>
          <w:bCs/>
        </w:rPr>
        <w:lastRenderedPageBreak/>
        <w:t>I</w:t>
      </w:r>
      <w:r w:rsidR="009F5430">
        <w:rPr>
          <w:rFonts w:cs="Arial"/>
          <w:b/>
          <w:bCs/>
        </w:rPr>
        <w:t>V</w:t>
      </w:r>
      <w:r w:rsidRPr="004D2BD1">
        <w:rPr>
          <w:rFonts w:cs="Arial"/>
          <w:b/>
          <w:bCs/>
        </w:rPr>
        <w:t xml:space="preserve">. Decision Unit </w:t>
      </w:r>
      <w:r w:rsidRPr="007B21AA">
        <w:rPr>
          <w:rFonts w:cs="Arial"/>
          <w:b/>
          <w:bCs/>
        </w:rPr>
        <w:t>Justification</w:t>
      </w:r>
    </w:p>
    <w:p w:rsidR="00ED538D" w:rsidRDefault="00B54490">
      <w:pPr>
        <w:pStyle w:val="Heading3"/>
        <w:numPr>
          <w:ilvl w:val="1"/>
          <w:numId w:val="22"/>
        </w:numPr>
        <w:rPr>
          <w:rFonts w:cs="Arial"/>
          <w:b w:val="0"/>
          <w:bCs/>
          <w:iCs/>
        </w:rPr>
      </w:pPr>
      <w:r w:rsidRPr="007B21AA">
        <w:rPr>
          <w:rFonts w:cs="Arial"/>
          <w:b w:val="0"/>
          <w:bCs/>
        </w:rPr>
        <w:t>Investigations</w:t>
      </w:r>
      <w:r w:rsidRPr="007B21AA">
        <w:rPr>
          <w:rFonts w:cs="Arial"/>
          <w:b w:val="0"/>
          <w:bCs/>
          <w:i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7"/>
        <w:gridCol w:w="1581"/>
        <w:gridCol w:w="1197"/>
        <w:gridCol w:w="2061"/>
      </w:tblGrid>
      <w:tr w:rsidR="00963220" w:rsidRPr="007B21AA" w:rsidTr="00592A2E">
        <w:tc>
          <w:tcPr>
            <w:tcW w:w="4737" w:type="dxa"/>
          </w:tcPr>
          <w:p w:rsidR="00963220" w:rsidRPr="007B21AA" w:rsidRDefault="00963220" w:rsidP="00592A2E">
            <w:pPr>
              <w:rPr>
                <w:bCs/>
                <w:iCs/>
                <w:szCs w:val="24"/>
              </w:rPr>
            </w:pPr>
            <w:r w:rsidRPr="007B21AA">
              <w:rPr>
                <w:bCs/>
                <w:szCs w:val="24"/>
              </w:rPr>
              <w:t>Investigations TOTAL</w:t>
            </w:r>
          </w:p>
        </w:tc>
        <w:tc>
          <w:tcPr>
            <w:tcW w:w="1581" w:type="dxa"/>
            <w:vAlign w:val="center"/>
          </w:tcPr>
          <w:p w:rsidR="00963220" w:rsidRPr="007B21AA" w:rsidRDefault="00963220" w:rsidP="00592A2E">
            <w:pPr>
              <w:jc w:val="center"/>
              <w:rPr>
                <w:bCs/>
                <w:szCs w:val="24"/>
              </w:rPr>
            </w:pPr>
            <w:r w:rsidRPr="007B21AA">
              <w:rPr>
                <w:bCs/>
                <w:szCs w:val="24"/>
              </w:rPr>
              <w:t>Perm. Pos.</w:t>
            </w:r>
          </w:p>
        </w:tc>
        <w:tc>
          <w:tcPr>
            <w:tcW w:w="1197" w:type="dxa"/>
            <w:vAlign w:val="center"/>
          </w:tcPr>
          <w:p w:rsidR="00963220" w:rsidRPr="007B21AA" w:rsidRDefault="00963220" w:rsidP="00592A2E">
            <w:pPr>
              <w:jc w:val="center"/>
              <w:rPr>
                <w:bCs/>
                <w:szCs w:val="24"/>
              </w:rPr>
            </w:pPr>
            <w:r w:rsidRPr="007B21AA">
              <w:rPr>
                <w:bCs/>
                <w:szCs w:val="24"/>
              </w:rPr>
              <w:t>FTE</w:t>
            </w:r>
          </w:p>
        </w:tc>
        <w:tc>
          <w:tcPr>
            <w:tcW w:w="2061" w:type="dxa"/>
            <w:vAlign w:val="center"/>
          </w:tcPr>
          <w:p w:rsidR="00963220" w:rsidRPr="007B21AA" w:rsidRDefault="00963220" w:rsidP="00592A2E">
            <w:pPr>
              <w:jc w:val="center"/>
              <w:rPr>
                <w:bCs/>
                <w:szCs w:val="24"/>
              </w:rPr>
            </w:pPr>
            <w:r w:rsidRPr="007B21AA">
              <w:rPr>
                <w:bCs/>
                <w:szCs w:val="24"/>
              </w:rPr>
              <w:t>Dollars $(000)</w:t>
            </w:r>
          </w:p>
        </w:tc>
      </w:tr>
      <w:tr w:rsidR="00963220" w:rsidRPr="007B21AA" w:rsidTr="00592A2E">
        <w:tc>
          <w:tcPr>
            <w:tcW w:w="4737" w:type="dxa"/>
          </w:tcPr>
          <w:p w:rsidR="00963220" w:rsidRPr="007B21AA" w:rsidRDefault="00963220" w:rsidP="00404809">
            <w:pPr>
              <w:rPr>
                <w:szCs w:val="24"/>
              </w:rPr>
            </w:pPr>
            <w:r w:rsidRPr="007B21AA">
              <w:rPr>
                <w:bCs/>
                <w:szCs w:val="24"/>
              </w:rPr>
              <w:t>201</w:t>
            </w:r>
            <w:r w:rsidR="00404809">
              <w:rPr>
                <w:bCs/>
                <w:szCs w:val="24"/>
              </w:rPr>
              <w:t>1</w:t>
            </w:r>
            <w:r w:rsidRPr="007B21AA">
              <w:rPr>
                <w:bCs/>
                <w:szCs w:val="24"/>
              </w:rPr>
              <w:t xml:space="preserve"> Enacted with Rescissions</w:t>
            </w:r>
          </w:p>
        </w:tc>
        <w:tc>
          <w:tcPr>
            <w:tcW w:w="1581" w:type="dxa"/>
            <w:vAlign w:val="center"/>
          </w:tcPr>
          <w:p w:rsidR="00963220" w:rsidRPr="007B21AA" w:rsidRDefault="00963220" w:rsidP="00592A2E">
            <w:pPr>
              <w:jc w:val="right"/>
              <w:rPr>
                <w:szCs w:val="24"/>
              </w:rPr>
            </w:pPr>
            <w:r w:rsidRPr="007B21AA">
              <w:rPr>
                <w:szCs w:val="24"/>
              </w:rPr>
              <w:t>2,280</w:t>
            </w:r>
          </w:p>
        </w:tc>
        <w:tc>
          <w:tcPr>
            <w:tcW w:w="1197" w:type="dxa"/>
            <w:vAlign w:val="center"/>
          </w:tcPr>
          <w:p w:rsidR="00963220" w:rsidRPr="007B21AA" w:rsidRDefault="00963220" w:rsidP="00592A2E">
            <w:pPr>
              <w:jc w:val="right"/>
              <w:rPr>
                <w:szCs w:val="24"/>
              </w:rPr>
            </w:pPr>
            <w:r w:rsidRPr="007B21AA">
              <w:rPr>
                <w:szCs w:val="24"/>
              </w:rPr>
              <w:t>2,278</w:t>
            </w:r>
          </w:p>
        </w:tc>
        <w:tc>
          <w:tcPr>
            <w:tcW w:w="2061" w:type="dxa"/>
            <w:vAlign w:val="center"/>
          </w:tcPr>
          <w:p w:rsidR="00963220" w:rsidRPr="007B21AA" w:rsidRDefault="00802373" w:rsidP="00E56D72">
            <w:pPr>
              <w:jc w:val="right"/>
              <w:rPr>
                <w:szCs w:val="24"/>
              </w:rPr>
            </w:pPr>
            <w:r>
              <w:rPr>
                <w:szCs w:val="24"/>
              </w:rPr>
              <w:t>$</w:t>
            </w:r>
            <w:r w:rsidR="00963220" w:rsidRPr="007B21AA">
              <w:rPr>
                <w:szCs w:val="24"/>
              </w:rPr>
              <w:t>3</w:t>
            </w:r>
            <w:r w:rsidR="00963220">
              <w:rPr>
                <w:szCs w:val="24"/>
              </w:rPr>
              <w:t>7</w:t>
            </w:r>
            <w:r w:rsidR="00E56D72">
              <w:rPr>
                <w:szCs w:val="24"/>
              </w:rPr>
              <w:t>8</w:t>
            </w:r>
            <w:r w:rsidR="00963220">
              <w:rPr>
                <w:szCs w:val="24"/>
              </w:rPr>
              <w:t>,</w:t>
            </w:r>
            <w:r w:rsidR="00E56D72">
              <w:rPr>
                <w:szCs w:val="24"/>
              </w:rPr>
              <w:t>783</w:t>
            </w:r>
          </w:p>
        </w:tc>
      </w:tr>
      <w:tr w:rsidR="00963220" w:rsidRPr="007B21AA" w:rsidTr="00592A2E">
        <w:tc>
          <w:tcPr>
            <w:tcW w:w="4737" w:type="dxa"/>
          </w:tcPr>
          <w:p w:rsidR="00963220" w:rsidRPr="007B21AA" w:rsidRDefault="00404809" w:rsidP="00592A2E">
            <w:pPr>
              <w:rPr>
                <w:bCs/>
                <w:szCs w:val="24"/>
              </w:rPr>
            </w:pPr>
            <w:r>
              <w:rPr>
                <w:bCs/>
                <w:szCs w:val="24"/>
              </w:rPr>
              <w:t xml:space="preserve">   2011</w:t>
            </w:r>
            <w:r w:rsidR="00963220" w:rsidRPr="007B21AA">
              <w:rPr>
                <w:bCs/>
                <w:szCs w:val="24"/>
              </w:rPr>
              <w:t xml:space="preserve"> Supplemental</w:t>
            </w:r>
          </w:p>
        </w:tc>
        <w:tc>
          <w:tcPr>
            <w:tcW w:w="1581" w:type="dxa"/>
            <w:vAlign w:val="center"/>
          </w:tcPr>
          <w:p w:rsidR="00963220" w:rsidRPr="007B21AA" w:rsidRDefault="00963220" w:rsidP="00592A2E">
            <w:pPr>
              <w:jc w:val="right"/>
              <w:rPr>
                <w:szCs w:val="24"/>
              </w:rPr>
            </w:pPr>
            <w:r>
              <w:rPr>
                <w:szCs w:val="24"/>
              </w:rPr>
              <w:t>0</w:t>
            </w:r>
          </w:p>
        </w:tc>
        <w:tc>
          <w:tcPr>
            <w:tcW w:w="1197" w:type="dxa"/>
            <w:vAlign w:val="center"/>
          </w:tcPr>
          <w:p w:rsidR="00963220" w:rsidRPr="007B21AA" w:rsidRDefault="00963220" w:rsidP="00592A2E">
            <w:pPr>
              <w:jc w:val="right"/>
              <w:rPr>
                <w:szCs w:val="24"/>
              </w:rPr>
            </w:pPr>
            <w:r>
              <w:rPr>
                <w:szCs w:val="24"/>
              </w:rPr>
              <w:t>0</w:t>
            </w:r>
          </w:p>
        </w:tc>
        <w:tc>
          <w:tcPr>
            <w:tcW w:w="2061" w:type="dxa"/>
            <w:vAlign w:val="center"/>
          </w:tcPr>
          <w:p w:rsidR="00963220" w:rsidRPr="00DE190F" w:rsidRDefault="00404809" w:rsidP="00592A2E">
            <w:pPr>
              <w:jc w:val="right"/>
              <w:rPr>
                <w:szCs w:val="24"/>
              </w:rPr>
            </w:pPr>
            <w:r>
              <w:rPr>
                <w:szCs w:val="24"/>
              </w:rPr>
              <w:t>0</w:t>
            </w:r>
          </w:p>
        </w:tc>
      </w:tr>
      <w:tr w:rsidR="00963220" w:rsidRPr="007B21AA" w:rsidTr="00592A2E">
        <w:tc>
          <w:tcPr>
            <w:tcW w:w="4737" w:type="dxa"/>
          </w:tcPr>
          <w:p w:rsidR="00963220" w:rsidRPr="007B21AA" w:rsidRDefault="00404809" w:rsidP="00592A2E">
            <w:pPr>
              <w:rPr>
                <w:bCs/>
                <w:szCs w:val="24"/>
              </w:rPr>
            </w:pPr>
            <w:r>
              <w:rPr>
                <w:bCs/>
                <w:szCs w:val="24"/>
              </w:rPr>
              <w:t>2011</w:t>
            </w:r>
            <w:r w:rsidR="00963220" w:rsidRPr="007B21AA">
              <w:rPr>
                <w:bCs/>
                <w:szCs w:val="24"/>
              </w:rPr>
              <w:t xml:space="preserve"> Enacted w/Rescissions &amp; Supplementals</w:t>
            </w:r>
          </w:p>
        </w:tc>
        <w:tc>
          <w:tcPr>
            <w:tcW w:w="1581" w:type="dxa"/>
            <w:vAlign w:val="center"/>
          </w:tcPr>
          <w:p w:rsidR="00963220" w:rsidRPr="007B21AA" w:rsidRDefault="00963220" w:rsidP="00592A2E">
            <w:pPr>
              <w:jc w:val="right"/>
              <w:rPr>
                <w:szCs w:val="24"/>
              </w:rPr>
            </w:pPr>
            <w:r w:rsidRPr="007B21AA">
              <w:rPr>
                <w:szCs w:val="24"/>
              </w:rPr>
              <w:t>2,2</w:t>
            </w:r>
            <w:r>
              <w:rPr>
                <w:szCs w:val="24"/>
              </w:rPr>
              <w:t>80</w:t>
            </w:r>
          </w:p>
        </w:tc>
        <w:tc>
          <w:tcPr>
            <w:tcW w:w="1197" w:type="dxa"/>
            <w:vAlign w:val="center"/>
          </w:tcPr>
          <w:p w:rsidR="00963220" w:rsidRPr="007B21AA" w:rsidRDefault="00963220" w:rsidP="00592A2E">
            <w:pPr>
              <w:jc w:val="right"/>
              <w:rPr>
                <w:szCs w:val="24"/>
              </w:rPr>
            </w:pPr>
            <w:r w:rsidRPr="007B21AA">
              <w:rPr>
                <w:szCs w:val="24"/>
              </w:rPr>
              <w:t>2,2</w:t>
            </w:r>
            <w:r>
              <w:rPr>
                <w:szCs w:val="24"/>
              </w:rPr>
              <w:t>78</w:t>
            </w:r>
          </w:p>
        </w:tc>
        <w:tc>
          <w:tcPr>
            <w:tcW w:w="2061" w:type="dxa"/>
            <w:vAlign w:val="center"/>
          </w:tcPr>
          <w:p w:rsidR="00963220" w:rsidRPr="00DE190F" w:rsidRDefault="00755CB7" w:rsidP="00E56D72">
            <w:pPr>
              <w:jc w:val="right"/>
              <w:rPr>
                <w:szCs w:val="24"/>
              </w:rPr>
            </w:pPr>
            <w:r w:rsidRPr="00755CB7">
              <w:rPr>
                <w:szCs w:val="24"/>
              </w:rPr>
              <w:t>3</w:t>
            </w:r>
            <w:r w:rsidR="00404809">
              <w:rPr>
                <w:szCs w:val="24"/>
              </w:rPr>
              <w:t>7</w:t>
            </w:r>
            <w:r w:rsidR="00E56D72">
              <w:rPr>
                <w:szCs w:val="24"/>
              </w:rPr>
              <w:t>8</w:t>
            </w:r>
            <w:r w:rsidRPr="00755CB7">
              <w:rPr>
                <w:szCs w:val="24"/>
              </w:rPr>
              <w:t>,</w:t>
            </w:r>
            <w:r w:rsidR="00E56D72">
              <w:rPr>
                <w:szCs w:val="24"/>
              </w:rPr>
              <w:t>783</w:t>
            </w:r>
          </w:p>
        </w:tc>
      </w:tr>
      <w:tr w:rsidR="00963220" w:rsidRPr="007B21AA" w:rsidTr="00592A2E">
        <w:tc>
          <w:tcPr>
            <w:tcW w:w="4737" w:type="dxa"/>
          </w:tcPr>
          <w:p w:rsidR="00963220" w:rsidRPr="007B21AA" w:rsidRDefault="00963220" w:rsidP="003509BD">
            <w:pPr>
              <w:rPr>
                <w:bCs/>
                <w:szCs w:val="24"/>
              </w:rPr>
            </w:pPr>
            <w:r w:rsidRPr="007B21AA">
              <w:rPr>
                <w:bCs/>
                <w:szCs w:val="24"/>
              </w:rPr>
              <w:t>201</w:t>
            </w:r>
            <w:r w:rsidR="00404809">
              <w:rPr>
                <w:bCs/>
                <w:szCs w:val="24"/>
              </w:rPr>
              <w:t>2</w:t>
            </w:r>
            <w:r w:rsidRPr="007B21AA">
              <w:rPr>
                <w:bCs/>
                <w:szCs w:val="24"/>
              </w:rPr>
              <w:t xml:space="preserve"> </w:t>
            </w:r>
            <w:r w:rsidR="003509BD">
              <w:rPr>
                <w:bCs/>
                <w:szCs w:val="24"/>
              </w:rPr>
              <w:t>Enacted</w:t>
            </w:r>
          </w:p>
        </w:tc>
        <w:tc>
          <w:tcPr>
            <w:tcW w:w="1581" w:type="dxa"/>
            <w:vAlign w:val="center"/>
          </w:tcPr>
          <w:p w:rsidR="00963220" w:rsidRPr="007B21AA" w:rsidRDefault="00B74E40" w:rsidP="00CB5BAC">
            <w:pPr>
              <w:jc w:val="right"/>
              <w:rPr>
                <w:szCs w:val="24"/>
              </w:rPr>
            </w:pPr>
            <w:r>
              <w:rPr>
                <w:szCs w:val="24"/>
              </w:rPr>
              <w:t>2,280</w:t>
            </w:r>
          </w:p>
        </w:tc>
        <w:tc>
          <w:tcPr>
            <w:tcW w:w="1197" w:type="dxa"/>
            <w:vAlign w:val="center"/>
          </w:tcPr>
          <w:p w:rsidR="00963220" w:rsidRPr="007B21AA" w:rsidRDefault="005E2F9D" w:rsidP="00766284">
            <w:pPr>
              <w:jc w:val="right"/>
              <w:rPr>
                <w:szCs w:val="24"/>
              </w:rPr>
            </w:pPr>
            <w:r>
              <w:rPr>
                <w:szCs w:val="24"/>
              </w:rPr>
              <w:t>2,</w:t>
            </w:r>
            <w:r w:rsidR="00766284">
              <w:rPr>
                <w:szCs w:val="24"/>
              </w:rPr>
              <w:t>278</w:t>
            </w:r>
          </w:p>
        </w:tc>
        <w:tc>
          <w:tcPr>
            <w:tcW w:w="2061" w:type="dxa"/>
            <w:vAlign w:val="center"/>
          </w:tcPr>
          <w:p w:rsidR="00963220" w:rsidRPr="007B21AA" w:rsidRDefault="00B421C9" w:rsidP="00977302">
            <w:pPr>
              <w:jc w:val="right"/>
              <w:rPr>
                <w:szCs w:val="24"/>
              </w:rPr>
            </w:pPr>
            <w:r>
              <w:rPr>
                <w:szCs w:val="24"/>
              </w:rPr>
              <w:t>37</w:t>
            </w:r>
            <w:r w:rsidR="00E56D72">
              <w:rPr>
                <w:szCs w:val="24"/>
              </w:rPr>
              <w:t>8,</w:t>
            </w:r>
            <w:r w:rsidR="00977302">
              <w:rPr>
                <w:szCs w:val="24"/>
              </w:rPr>
              <w:t>447</w:t>
            </w:r>
          </w:p>
        </w:tc>
      </w:tr>
      <w:tr w:rsidR="00963220" w:rsidRPr="007B21AA" w:rsidTr="00592A2E">
        <w:tc>
          <w:tcPr>
            <w:tcW w:w="4737" w:type="dxa"/>
          </w:tcPr>
          <w:p w:rsidR="00963220" w:rsidRPr="007B21AA" w:rsidRDefault="00963220" w:rsidP="00592A2E">
            <w:pPr>
              <w:rPr>
                <w:szCs w:val="24"/>
              </w:rPr>
            </w:pPr>
            <w:r w:rsidRPr="007B21AA">
              <w:rPr>
                <w:bCs/>
                <w:szCs w:val="24"/>
              </w:rPr>
              <w:t xml:space="preserve">Adjustments to Base and Technical Adjustments </w:t>
            </w:r>
          </w:p>
        </w:tc>
        <w:tc>
          <w:tcPr>
            <w:tcW w:w="1581" w:type="dxa"/>
            <w:vAlign w:val="center"/>
          </w:tcPr>
          <w:p w:rsidR="00963220" w:rsidRPr="007B21AA" w:rsidRDefault="00963220" w:rsidP="00592A2E">
            <w:pPr>
              <w:jc w:val="right"/>
              <w:rPr>
                <w:szCs w:val="24"/>
              </w:rPr>
            </w:pPr>
            <w:r w:rsidRPr="007B21AA">
              <w:rPr>
                <w:szCs w:val="24"/>
              </w:rPr>
              <w:t>0</w:t>
            </w:r>
          </w:p>
        </w:tc>
        <w:tc>
          <w:tcPr>
            <w:tcW w:w="1197" w:type="dxa"/>
            <w:vAlign w:val="center"/>
          </w:tcPr>
          <w:p w:rsidR="00963220" w:rsidRPr="007B21AA" w:rsidRDefault="00963220" w:rsidP="00592A2E">
            <w:pPr>
              <w:jc w:val="right"/>
              <w:rPr>
                <w:szCs w:val="24"/>
              </w:rPr>
            </w:pPr>
            <w:r w:rsidRPr="007B21AA">
              <w:rPr>
                <w:szCs w:val="24"/>
              </w:rPr>
              <w:t>0</w:t>
            </w:r>
          </w:p>
        </w:tc>
        <w:tc>
          <w:tcPr>
            <w:tcW w:w="2061" w:type="dxa"/>
            <w:vAlign w:val="center"/>
          </w:tcPr>
          <w:p w:rsidR="009F2D5F" w:rsidRPr="007B21AA" w:rsidRDefault="003469F7" w:rsidP="00392C2F">
            <w:pPr>
              <w:jc w:val="right"/>
              <w:rPr>
                <w:szCs w:val="24"/>
              </w:rPr>
            </w:pPr>
            <w:r>
              <w:rPr>
                <w:szCs w:val="24"/>
              </w:rPr>
              <w:t>4,</w:t>
            </w:r>
            <w:r w:rsidR="00392C2F">
              <w:rPr>
                <w:szCs w:val="24"/>
              </w:rPr>
              <w:t>898</w:t>
            </w:r>
          </w:p>
        </w:tc>
      </w:tr>
      <w:tr w:rsidR="00963220" w:rsidRPr="007B21AA" w:rsidTr="00345907">
        <w:tc>
          <w:tcPr>
            <w:tcW w:w="4737" w:type="dxa"/>
            <w:tcBorders>
              <w:bottom w:val="single" w:sz="4" w:space="0" w:color="auto"/>
            </w:tcBorders>
          </w:tcPr>
          <w:p w:rsidR="00963220" w:rsidRPr="007B21AA" w:rsidRDefault="00963220" w:rsidP="00404809">
            <w:pPr>
              <w:tabs>
                <w:tab w:val="right" w:pos="4752"/>
              </w:tabs>
              <w:rPr>
                <w:szCs w:val="24"/>
              </w:rPr>
            </w:pPr>
            <w:r w:rsidRPr="007B21AA">
              <w:rPr>
                <w:bCs/>
                <w:szCs w:val="24"/>
              </w:rPr>
              <w:t>201</w:t>
            </w:r>
            <w:r w:rsidR="00404809">
              <w:rPr>
                <w:bCs/>
                <w:szCs w:val="24"/>
              </w:rPr>
              <w:t>3</w:t>
            </w:r>
            <w:r w:rsidRPr="007B21AA">
              <w:rPr>
                <w:bCs/>
                <w:szCs w:val="24"/>
              </w:rPr>
              <w:t xml:space="preserve"> Current Services</w:t>
            </w:r>
            <w:r w:rsidRPr="007B21AA">
              <w:rPr>
                <w:bCs/>
                <w:szCs w:val="24"/>
              </w:rPr>
              <w:tab/>
            </w:r>
          </w:p>
        </w:tc>
        <w:tc>
          <w:tcPr>
            <w:tcW w:w="1581" w:type="dxa"/>
            <w:tcBorders>
              <w:bottom w:val="single" w:sz="4" w:space="0" w:color="auto"/>
            </w:tcBorders>
            <w:vAlign w:val="center"/>
          </w:tcPr>
          <w:p w:rsidR="00963220" w:rsidRPr="007B21AA" w:rsidRDefault="00B74E40" w:rsidP="00CB5BAC">
            <w:pPr>
              <w:jc w:val="right"/>
              <w:rPr>
                <w:szCs w:val="24"/>
              </w:rPr>
            </w:pPr>
            <w:r>
              <w:rPr>
                <w:szCs w:val="24"/>
              </w:rPr>
              <w:t>2,280</w:t>
            </w:r>
          </w:p>
        </w:tc>
        <w:tc>
          <w:tcPr>
            <w:tcW w:w="1197" w:type="dxa"/>
            <w:tcBorders>
              <w:bottom w:val="single" w:sz="4" w:space="0" w:color="auto"/>
            </w:tcBorders>
            <w:vAlign w:val="center"/>
          </w:tcPr>
          <w:p w:rsidR="00963220" w:rsidRPr="007B21AA" w:rsidRDefault="00766284" w:rsidP="005E2F9D">
            <w:pPr>
              <w:jc w:val="right"/>
              <w:rPr>
                <w:szCs w:val="24"/>
              </w:rPr>
            </w:pPr>
            <w:r>
              <w:rPr>
                <w:szCs w:val="24"/>
              </w:rPr>
              <w:t>2,278</w:t>
            </w:r>
          </w:p>
        </w:tc>
        <w:tc>
          <w:tcPr>
            <w:tcW w:w="2061" w:type="dxa"/>
            <w:tcBorders>
              <w:bottom w:val="single" w:sz="4" w:space="0" w:color="auto"/>
            </w:tcBorders>
            <w:vAlign w:val="center"/>
          </w:tcPr>
          <w:p w:rsidR="00963220" w:rsidRPr="007B21AA" w:rsidRDefault="00963220" w:rsidP="009367B0">
            <w:pPr>
              <w:jc w:val="right"/>
              <w:rPr>
                <w:szCs w:val="24"/>
              </w:rPr>
            </w:pPr>
            <w:r w:rsidRPr="007B21AA">
              <w:rPr>
                <w:szCs w:val="24"/>
              </w:rPr>
              <w:t>3</w:t>
            </w:r>
            <w:r w:rsidR="003469F7">
              <w:rPr>
                <w:szCs w:val="24"/>
              </w:rPr>
              <w:t>83</w:t>
            </w:r>
            <w:r w:rsidR="00B421C9">
              <w:rPr>
                <w:szCs w:val="24"/>
              </w:rPr>
              <w:t>,</w:t>
            </w:r>
            <w:r w:rsidR="009367B0">
              <w:rPr>
                <w:szCs w:val="24"/>
              </w:rPr>
              <w:t>345</w:t>
            </w:r>
          </w:p>
        </w:tc>
      </w:tr>
      <w:tr w:rsidR="005C5AB1" w:rsidRPr="007B21AA" w:rsidTr="00345907">
        <w:tc>
          <w:tcPr>
            <w:tcW w:w="4737" w:type="dxa"/>
            <w:tcBorders>
              <w:bottom w:val="single" w:sz="4" w:space="0" w:color="auto"/>
            </w:tcBorders>
          </w:tcPr>
          <w:p w:rsidR="005C5AB1" w:rsidRPr="007B21AA" w:rsidRDefault="005C5AB1" w:rsidP="00404809">
            <w:pPr>
              <w:tabs>
                <w:tab w:val="right" w:pos="4752"/>
              </w:tabs>
              <w:rPr>
                <w:bCs/>
                <w:szCs w:val="24"/>
              </w:rPr>
            </w:pPr>
            <w:r>
              <w:rPr>
                <w:bCs/>
                <w:szCs w:val="24"/>
              </w:rPr>
              <w:t>2013</w:t>
            </w:r>
            <w:r w:rsidR="00BA7A76">
              <w:rPr>
                <w:bCs/>
                <w:szCs w:val="24"/>
              </w:rPr>
              <w:t xml:space="preserve"> Program Offsets</w:t>
            </w:r>
          </w:p>
        </w:tc>
        <w:tc>
          <w:tcPr>
            <w:tcW w:w="1581" w:type="dxa"/>
            <w:tcBorders>
              <w:bottom w:val="single" w:sz="4" w:space="0" w:color="auto"/>
            </w:tcBorders>
            <w:vAlign w:val="center"/>
          </w:tcPr>
          <w:p w:rsidR="005C5AB1" w:rsidRPr="007B21AA" w:rsidRDefault="00BA7A76" w:rsidP="00766284">
            <w:pPr>
              <w:jc w:val="right"/>
              <w:rPr>
                <w:szCs w:val="24"/>
              </w:rPr>
            </w:pPr>
            <w:r>
              <w:rPr>
                <w:szCs w:val="24"/>
              </w:rPr>
              <w:t>(49)</w:t>
            </w:r>
          </w:p>
        </w:tc>
        <w:tc>
          <w:tcPr>
            <w:tcW w:w="1197" w:type="dxa"/>
            <w:tcBorders>
              <w:bottom w:val="single" w:sz="4" w:space="0" w:color="auto"/>
            </w:tcBorders>
            <w:vAlign w:val="center"/>
          </w:tcPr>
          <w:p w:rsidR="005C5AB1" w:rsidRDefault="00BA7A76" w:rsidP="005E2F9D">
            <w:pPr>
              <w:jc w:val="right"/>
              <w:rPr>
                <w:szCs w:val="24"/>
              </w:rPr>
            </w:pPr>
            <w:r>
              <w:rPr>
                <w:szCs w:val="24"/>
              </w:rPr>
              <w:t>(49)</w:t>
            </w:r>
          </w:p>
        </w:tc>
        <w:tc>
          <w:tcPr>
            <w:tcW w:w="2061" w:type="dxa"/>
            <w:tcBorders>
              <w:bottom w:val="single" w:sz="4" w:space="0" w:color="auto"/>
            </w:tcBorders>
            <w:vAlign w:val="center"/>
          </w:tcPr>
          <w:p w:rsidR="005C5AB1" w:rsidRPr="007B21AA" w:rsidRDefault="00BA7A76" w:rsidP="009367B0">
            <w:pPr>
              <w:jc w:val="right"/>
              <w:rPr>
                <w:szCs w:val="24"/>
              </w:rPr>
            </w:pPr>
            <w:r>
              <w:rPr>
                <w:szCs w:val="24"/>
              </w:rPr>
              <w:t>(12,743)</w:t>
            </w:r>
          </w:p>
        </w:tc>
      </w:tr>
      <w:tr w:rsidR="00963220" w:rsidRPr="007B21AA" w:rsidTr="00345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37" w:type="dxa"/>
            <w:tcBorders>
              <w:top w:val="single" w:sz="4" w:space="0" w:color="auto"/>
              <w:left w:val="single" w:sz="4" w:space="0" w:color="auto"/>
              <w:bottom w:val="single" w:sz="4" w:space="0" w:color="auto"/>
              <w:right w:val="single" w:sz="4" w:space="0" w:color="auto"/>
            </w:tcBorders>
          </w:tcPr>
          <w:p w:rsidR="00963220" w:rsidRPr="007B21AA" w:rsidRDefault="00963220" w:rsidP="00404809">
            <w:pPr>
              <w:rPr>
                <w:szCs w:val="24"/>
              </w:rPr>
            </w:pPr>
            <w:r w:rsidRPr="007B21AA">
              <w:rPr>
                <w:bCs/>
                <w:szCs w:val="24"/>
              </w:rPr>
              <w:t>201</w:t>
            </w:r>
            <w:r w:rsidR="00404809">
              <w:rPr>
                <w:bCs/>
                <w:szCs w:val="24"/>
              </w:rPr>
              <w:t>3</w:t>
            </w:r>
            <w:r w:rsidRPr="007B21AA">
              <w:rPr>
                <w:bCs/>
                <w:szCs w:val="24"/>
              </w:rPr>
              <w:t xml:space="preserve"> Request</w:t>
            </w:r>
          </w:p>
        </w:tc>
        <w:tc>
          <w:tcPr>
            <w:tcW w:w="1581" w:type="dxa"/>
            <w:tcBorders>
              <w:top w:val="single" w:sz="4" w:space="0" w:color="auto"/>
              <w:left w:val="single" w:sz="4" w:space="0" w:color="auto"/>
              <w:bottom w:val="single" w:sz="4" w:space="0" w:color="auto"/>
              <w:right w:val="single" w:sz="4" w:space="0" w:color="auto"/>
            </w:tcBorders>
          </w:tcPr>
          <w:p w:rsidR="00963220" w:rsidRPr="007B21AA" w:rsidRDefault="00B74E40" w:rsidP="00B74E40">
            <w:pPr>
              <w:jc w:val="right"/>
              <w:rPr>
                <w:szCs w:val="24"/>
              </w:rPr>
            </w:pPr>
            <w:r>
              <w:rPr>
                <w:szCs w:val="24"/>
              </w:rPr>
              <w:t>2,231</w:t>
            </w:r>
          </w:p>
        </w:tc>
        <w:tc>
          <w:tcPr>
            <w:tcW w:w="1197" w:type="dxa"/>
            <w:tcBorders>
              <w:top w:val="single" w:sz="4" w:space="0" w:color="auto"/>
              <w:left w:val="single" w:sz="4" w:space="0" w:color="auto"/>
              <w:bottom w:val="single" w:sz="4" w:space="0" w:color="auto"/>
              <w:right w:val="single" w:sz="4" w:space="0" w:color="auto"/>
            </w:tcBorders>
          </w:tcPr>
          <w:p w:rsidR="00963220" w:rsidRPr="007B21AA" w:rsidRDefault="00963220" w:rsidP="009367B0">
            <w:pPr>
              <w:jc w:val="right"/>
              <w:rPr>
                <w:szCs w:val="24"/>
              </w:rPr>
            </w:pPr>
            <w:r w:rsidRPr="007B21AA">
              <w:rPr>
                <w:szCs w:val="24"/>
              </w:rPr>
              <w:t>2,</w:t>
            </w:r>
            <w:r w:rsidR="00766284" w:rsidRPr="007B21AA">
              <w:rPr>
                <w:szCs w:val="24"/>
              </w:rPr>
              <w:t>2</w:t>
            </w:r>
            <w:r w:rsidR="009367B0">
              <w:rPr>
                <w:szCs w:val="24"/>
              </w:rPr>
              <w:t>29</w:t>
            </w:r>
          </w:p>
        </w:tc>
        <w:tc>
          <w:tcPr>
            <w:tcW w:w="2061" w:type="dxa"/>
            <w:tcBorders>
              <w:top w:val="single" w:sz="4" w:space="0" w:color="auto"/>
              <w:left w:val="single" w:sz="4" w:space="0" w:color="auto"/>
              <w:bottom w:val="single" w:sz="4" w:space="0" w:color="auto"/>
              <w:right w:val="single" w:sz="4" w:space="0" w:color="auto"/>
            </w:tcBorders>
          </w:tcPr>
          <w:p w:rsidR="00963220" w:rsidRPr="007B21AA" w:rsidRDefault="00963220" w:rsidP="003469F7">
            <w:pPr>
              <w:jc w:val="right"/>
              <w:rPr>
                <w:szCs w:val="24"/>
              </w:rPr>
            </w:pPr>
            <w:r w:rsidRPr="007B21AA">
              <w:rPr>
                <w:szCs w:val="24"/>
              </w:rPr>
              <w:t>3</w:t>
            </w:r>
            <w:r w:rsidR="003469F7">
              <w:rPr>
                <w:szCs w:val="24"/>
              </w:rPr>
              <w:t>70</w:t>
            </w:r>
            <w:r w:rsidR="00B421C9">
              <w:rPr>
                <w:szCs w:val="24"/>
              </w:rPr>
              <w:t>,</w:t>
            </w:r>
            <w:r w:rsidR="003469F7">
              <w:rPr>
                <w:szCs w:val="24"/>
              </w:rPr>
              <w:t>602</w:t>
            </w:r>
          </w:p>
        </w:tc>
      </w:tr>
      <w:tr w:rsidR="00963220" w:rsidRPr="007B21AA" w:rsidTr="00345907">
        <w:tc>
          <w:tcPr>
            <w:tcW w:w="4737" w:type="dxa"/>
            <w:tcBorders>
              <w:top w:val="single" w:sz="4" w:space="0" w:color="auto"/>
            </w:tcBorders>
            <w:shd w:val="clear" w:color="auto" w:fill="C0C0C0"/>
          </w:tcPr>
          <w:p w:rsidR="00963220" w:rsidRPr="007B21AA" w:rsidRDefault="00963220" w:rsidP="007C38FA">
            <w:pPr>
              <w:rPr>
                <w:bCs/>
                <w:szCs w:val="24"/>
              </w:rPr>
            </w:pPr>
            <w:r w:rsidRPr="007B21AA">
              <w:rPr>
                <w:bCs/>
                <w:szCs w:val="24"/>
              </w:rPr>
              <w:t>Total Change 201</w:t>
            </w:r>
            <w:r w:rsidR="007C38FA">
              <w:rPr>
                <w:bCs/>
                <w:szCs w:val="24"/>
              </w:rPr>
              <w:t>2</w:t>
            </w:r>
            <w:r w:rsidRPr="007B21AA">
              <w:rPr>
                <w:bCs/>
                <w:szCs w:val="24"/>
              </w:rPr>
              <w:t>-201</w:t>
            </w:r>
            <w:r w:rsidR="007C38FA">
              <w:rPr>
                <w:bCs/>
                <w:szCs w:val="24"/>
              </w:rPr>
              <w:t>3</w:t>
            </w:r>
          </w:p>
        </w:tc>
        <w:tc>
          <w:tcPr>
            <w:tcW w:w="1581" w:type="dxa"/>
            <w:tcBorders>
              <w:top w:val="single" w:sz="4" w:space="0" w:color="auto"/>
            </w:tcBorders>
            <w:shd w:val="clear" w:color="auto" w:fill="C0C0C0"/>
            <w:vAlign w:val="center"/>
          </w:tcPr>
          <w:p w:rsidR="00963220" w:rsidRPr="007B21AA" w:rsidRDefault="00E5054F" w:rsidP="00592A2E">
            <w:pPr>
              <w:jc w:val="right"/>
              <w:rPr>
                <w:szCs w:val="24"/>
              </w:rPr>
            </w:pPr>
            <w:r>
              <w:rPr>
                <w:szCs w:val="24"/>
              </w:rPr>
              <w:t>(</w:t>
            </w:r>
            <w:r w:rsidR="009367B0">
              <w:rPr>
                <w:szCs w:val="24"/>
              </w:rPr>
              <w:t>49</w:t>
            </w:r>
            <w:r>
              <w:rPr>
                <w:szCs w:val="24"/>
              </w:rPr>
              <w:t>)</w:t>
            </w:r>
          </w:p>
        </w:tc>
        <w:tc>
          <w:tcPr>
            <w:tcW w:w="1197" w:type="dxa"/>
            <w:tcBorders>
              <w:top w:val="single" w:sz="4" w:space="0" w:color="auto"/>
            </w:tcBorders>
            <w:shd w:val="clear" w:color="auto" w:fill="C0C0C0"/>
            <w:vAlign w:val="center"/>
          </w:tcPr>
          <w:p w:rsidR="00963220" w:rsidRPr="007B21AA" w:rsidRDefault="00E5054F" w:rsidP="00592A2E">
            <w:pPr>
              <w:jc w:val="right"/>
              <w:rPr>
                <w:szCs w:val="24"/>
              </w:rPr>
            </w:pPr>
            <w:r>
              <w:rPr>
                <w:szCs w:val="24"/>
              </w:rPr>
              <w:t>(</w:t>
            </w:r>
            <w:r w:rsidR="009367B0">
              <w:rPr>
                <w:szCs w:val="24"/>
              </w:rPr>
              <w:t>49</w:t>
            </w:r>
            <w:r>
              <w:rPr>
                <w:szCs w:val="24"/>
              </w:rPr>
              <w:t>)</w:t>
            </w:r>
          </w:p>
        </w:tc>
        <w:tc>
          <w:tcPr>
            <w:tcW w:w="2061" w:type="dxa"/>
            <w:tcBorders>
              <w:top w:val="single" w:sz="4" w:space="0" w:color="auto"/>
            </w:tcBorders>
            <w:shd w:val="clear" w:color="auto" w:fill="C0C0C0"/>
            <w:vAlign w:val="center"/>
          </w:tcPr>
          <w:p w:rsidR="00963220" w:rsidRPr="007B21AA" w:rsidRDefault="00E5054F" w:rsidP="009367B0">
            <w:pPr>
              <w:jc w:val="right"/>
              <w:rPr>
                <w:szCs w:val="24"/>
              </w:rPr>
            </w:pPr>
            <w:r>
              <w:rPr>
                <w:szCs w:val="24"/>
              </w:rPr>
              <w:t>(</w:t>
            </w:r>
            <w:r w:rsidR="009367B0">
              <w:rPr>
                <w:szCs w:val="24"/>
              </w:rPr>
              <w:t>7</w:t>
            </w:r>
            <w:r w:rsidR="00E56D72">
              <w:rPr>
                <w:szCs w:val="24"/>
              </w:rPr>
              <w:t>,</w:t>
            </w:r>
            <w:r w:rsidR="009367B0">
              <w:rPr>
                <w:szCs w:val="24"/>
              </w:rPr>
              <w:t>845</w:t>
            </w:r>
            <w:r>
              <w:rPr>
                <w:szCs w:val="24"/>
              </w:rPr>
              <w:t>)</w:t>
            </w:r>
          </w:p>
        </w:tc>
      </w:tr>
    </w:tbl>
    <w:p w:rsidR="00324377" w:rsidRDefault="00324377">
      <w:pPr>
        <w:pStyle w:val="Heading3"/>
        <w:numPr>
          <w:ilvl w:val="0"/>
          <w:numId w:val="0"/>
        </w:numPr>
        <w:ind w:left="1440" w:hanging="720"/>
        <w:rPr>
          <w:shadow/>
        </w:rPr>
      </w:pPr>
    </w:p>
    <w:p w:rsidR="00B54490" w:rsidRPr="0068689F" w:rsidRDefault="00B54490" w:rsidP="0054056E">
      <w:pPr>
        <w:pStyle w:val="Heading3"/>
        <w:numPr>
          <w:ilvl w:val="0"/>
          <w:numId w:val="44"/>
        </w:numPr>
        <w:rPr>
          <w:shadow/>
        </w:rPr>
      </w:pPr>
      <w:r w:rsidRPr="0068689F">
        <w:rPr>
          <w:shadow/>
        </w:rPr>
        <w:t>Program Description</w:t>
      </w:r>
    </w:p>
    <w:p w:rsidR="00B54490" w:rsidRPr="007B21AA" w:rsidRDefault="00B54490" w:rsidP="00F77B57">
      <w:pPr>
        <w:pStyle w:val="BodyText"/>
      </w:pPr>
      <w:r w:rsidRPr="007B21AA">
        <w:t>The FY 201</w:t>
      </w:r>
      <w:r w:rsidR="00084C4B">
        <w:t>3</w:t>
      </w:r>
      <w:r w:rsidRPr="007B21AA">
        <w:t xml:space="preserve"> request for the </w:t>
      </w:r>
      <w:r w:rsidR="00E5015E">
        <w:t xml:space="preserve">Investigations Activity is </w:t>
      </w:r>
      <w:r w:rsidR="00B74E40">
        <w:t xml:space="preserve">2,231 </w:t>
      </w:r>
      <w:r w:rsidRPr="007B21AA">
        <w:t>reimbursable positions, 2,</w:t>
      </w:r>
      <w:r w:rsidR="00447E3D" w:rsidRPr="007B21AA">
        <w:t>2</w:t>
      </w:r>
      <w:r w:rsidR="009367B0">
        <w:t>29</w:t>
      </w:r>
      <w:r w:rsidR="00447E3D">
        <w:t xml:space="preserve"> </w:t>
      </w:r>
      <w:r w:rsidRPr="007B21AA">
        <w:t>work-years, and $</w:t>
      </w:r>
      <w:r w:rsidR="00BB3DB9" w:rsidRPr="007B21AA">
        <w:t>3</w:t>
      </w:r>
      <w:r w:rsidR="009367B0">
        <w:t>70</w:t>
      </w:r>
      <w:r w:rsidR="00BB3DB9" w:rsidRPr="007B21AA">
        <w:t>,</w:t>
      </w:r>
      <w:r w:rsidR="009367B0">
        <w:t>60</w:t>
      </w:r>
      <w:r w:rsidR="00E56D72">
        <w:t>2</w:t>
      </w:r>
      <w:r w:rsidRPr="007B21AA">
        <w:t xml:space="preserve">,000.  </w:t>
      </w:r>
    </w:p>
    <w:p w:rsidR="00B54490" w:rsidRDefault="00B54490" w:rsidP="00F77B57">
      <w:pPr>
        <w:pStyle w:val="BodyText"/>
      </w:pPr>
      <w:r>
        <w:t xml:space="preserve">OCDETF investigations cannot be conducted without </w:t>
      </w:r>
      <w:r w:rsidR="00F17821">
        <w:t xml:space="preserve">the </w:t>
      </w:r>
      <w:r>
        <w:t xml:space="preserve">cooperation </w:t>
      </w:r>
      <w:r w:rsidR="00F17821">
        <w:t xml:space="preserve">of </w:t>
      </w:r>
      <w:r>
        <w:t>OCDETF’s various member agencies.  OCDETF investigations require a mix of skills, experience, and enforcement jurisdiction, which no single agency possesses.  The Program’s strength is its ability to draw upon the combined skills, expertise, and techniques of each participating agency, both within, and outside of, the Department of Justice (the non-Justice agencies are funded by their own Departments).  The OCDETF law enforcement agencies, which provide investigative and intelligence efforts on OCDETF cases are identified below:</w:t>
      </w:r>
    </w:p>
    <w:p w:rsidR="00B54490" w:rsidRPr="004D2BD1" w:rsidRDefault="00B54490" w:rsidP="00F77B57">
      <w:pPr>
        <w:pStyle w:val="BodyText"/>
      </w:pPr>
      <w:r w:rsidRPr="004D2BD1">
        <w:rPr>
          <w:b/>
          <w:u w:val="single"/>
        </w:rPr>
        <w:t>Bureau of Alcohol, Tobacco, Firearms and Explosives (ATF)</w:t>
      </w:r>
      <w:r w:rsidRPr="004D2BD1">
        <w:t xml:space="preserve"> agents focus on major drug traffickers who also have violated laws related to the illegal trafficking and misuse of firearms and explosives.  A significant portion of today’s violent crime is directly associated with the distribution of drugs by sophisticated organizations.  Firearms often serve as a form of payment for drugs and, together with explosives and arson, are used as tools by drug organizations for purposes of intimidation, enforcement and retaliation against their own members, rival organizations, </w:t>
      </w:r>
      <w:r>
        <w:t xml:space="preserve">law enforcement, </w:t>
      </w:r>
      <w:r w:rsidRPr="004D2BD1">
        <w:t>or the community in general.  Thus, ATF’s jurisdiction and expertise make it a well-suited partner in the fight against illegal drugs.</w:t>
      </w:r>
    </w:p>
    <w:p w:rsidR="00B54490" w:rsidRPr="004D2BD1" w:rsidRDefault="00B54490" w:rsidP="00F77B57">
      <w:pPr>
        <w:pStyle w:val="BodyText"/>
      </w:pPr>
      <w:r w:rsidRPr="004D2BD1">
        <w:rPr>
          <w:b/>
          <w:u w:val="single"/>
        </w:rPr>
        <w:t>Drug Enforcement Administration (DEA)</w:t>
      </w:r>
      <w:r w:rsidRPr="004D2BD1">
        <w:t xml:space="preserve"> is the agency most actively involved in the OCDETF Program with an average participation rate in investigations that has continually exceeded 80 percent.  DEA is the only federal agency in OCDETF that has drug enforcement as its sole </w:t>
      </w:r>
      <w:r w:rsidR="00F17821">
        <w:t>mission.</w:t>
      </w:r>
      <w:r w:rsidRPr="004D2BD1">
        <w:t xml:space="preserve">  The agency’s vast experience in this field, its knowledge of international drug rings, its relationship with foreign law enforcement entities, and its working relationships with State and local authorities all have made DEA essential to the OCDETF Program.</w:t>
      </w:r>
    </w:p>
    <w:p w:rsidR="00B54490" w:rsidRPr="004D2BD1" w:rsidRDefault="00B54490" w:rsidP="00F77B57">
      <w:pPr>
        <w:pStyle w:val="BodyText"/>
      </w:pPr>
      <w:r w:rsidRPr="004D2BD1">
        <w:rPr>
          <w:b/>
          <w:u w:val="single"/>
        </w:rPr>
        <w:lastRenderedPageBreak/>
        <w:t>Federal Bureau of Investigation (FBI)</w:t>
      </w:r>
      <w:r w:rsidRPr="004D2BD1">
        <w:t xml:space="preserve"> brings to OCDETF its extensive expertise in the investigation of traditional organized crime, public corruption and white collar/financial crimes.  The FBI uses its skills to gather and analyze intelligence data and undertake sophisticated electronic surveillance.  </w:t>
      </w:r>
      <w:r w:rsidR="00F17821">
        <w:t>Although t</w:t>
      </w:r>
      <w:r w:rsidRPr="004D2BD1">
        <w:t xml:space="preserve">he FBI reorganized its direct drug resources following the events of </w:t>
      </w:r>
      <w:r w:rsidR="00193126">
        <w:t>9/11</w:t>
      </w:r>
      <w:r w:rsidRPr="004D2BD1">
        <w:t>,</w:t>
      </w:r>
      <w:r w:rsidRPr="004D2BD1">
        <w:rPr>
          <w:vertAlign w:val="superscript"/>
        </w:rPr>
        <w:t xml:space="preserve"> </w:t>
      </w:r>
      <w:r w:rsidR="00F17821">
        <w:t>i</w:t>
      </w:r>
      <w:r w:rsidRPr="004D2BD1">
        <w:t xml:space="preserve">t remains committed to the OCDETF Program and to the goal of targeting major drug trafficking organizations and their financial infrastructure. </w:t>
      </w:r>
    </w:p>
    <w:p w:rsidR="00B54490" w:rsidRPr="004D2BD1" w:rsidRDefault="00B54490" w:rsidP="00F77B57">
      <w:pPr>
        <w:pStyle w:val="BodyText"/>
      </w:pPr>
      <w:r w:rsidRPr="004D2BD1">
        <w:rPr>
          <w:b/>
          <w:u w:val="single"/>
        </w:rPr>
        <w:t>Internal Revenue Service-Criminal Investigation (IRS</w:t>
      </w:r>
      <w:r w:rsidRPr="004D2BD1">
        <w:rPr>
          <w:u w:val="single"/>
        </w:rPr>
        <w:t>)</w:t>
      </w:r>
      <w:r w:rsidRPr="004D2BD1">
        <w:t xml:space="preserve"> agents work to dismantle and disrupt major drug-related money laundering organizations by applying their unique financial </w:t>
      </w:r>
      <w:r w:rsidR="00604939">
        <w:t>forensic</w:t>
      </w:r>
      <w:r w:rsidR="00604939" w:rsidRPr="004D2BD1">
        <w:t xml:space="preserve"> </w:t>
      </w:r>
      <w:r w:rsidRPr="004D2BD1">
        <w:t>skills to investigate all aspects of the organizations</w:t>
      </w:r>
      <w:r>
        <w:t>’</w:t>
      </w:r>
      <w:r w:rsidRPr="004D2BD1">
        <w:t xml:space="preserve"> illegal activities.  The IRS uses the tax code, money laundering statutes, and asset seizure/forfeiture laws to thoroughly investigate the financial operations of targeted organizations.  Given the OCDETF Program’s concentration on identifying and destroying the financial systems that support the drug trade, and on seizing the assets and profits of major criminal organizations, IRS is a vital participant in the Program.  </w:t>
      </w:r>
    </w:p>
    <w:p w:rsidR="00B54490" w:rsidRDefault="00B54490" w:rsidP="00F77B57">
      <w:pPr>
        <w:pStyle w:val="NormalWeb"/>
      </w:pPr>
      <w:r>
        <w:rPr>
          <w:b/>
          <w:u w:val="single"/>
        </w:rPr>
        <w:t>U.S.</w:t>
      </w:r>
      <w:r w:rsidRPr="00983FE6">
        <w:rPr>
          <w:b/>
          <w:u w:val="single"/>
        </w:rPr>
        <w:t xml:space="preserve"> Immigration and Customs Enforcement (ICE)</w:t>
      </w:r>
      <w:r>
        <w:t xml:space="preserve"> </w:t>
      </w:r>
      <w:r w:rsidRPr="001766C1">
        <w:t xml:space="preserve">agents contribute valuable financial and drug investigative expertise and intelligence to the OCDETF Program as a direct result of the agency’s responsibility for identifying and dismantling vulnerabilities </w:t>
      </w:r>
      <w:r>
        <w:t xml:space="preserve">affecting </w:t>
      </w:r>
      <w:r w:rsidRPr="001766C1">
        <w:t xml:space="preserve">the </w:t>
      </w:r>
      <w:r>
        <w:t>N</w:t>
      </w:r>
      <w:r w:rsidRPr="001766C1">
        <w:t>ation’s border.</w:t>
      </w:r>
      <w:r>
        <w:t xml:space="preserve"> </w:t>
      </w:r>
      <w:r w:rsidRPr="001766C1">
        <w:t xml:space="preserve"> The vast majority of drugs sold in this country are not produced domestically; the drugs themselves, or their essential precursor chemicals, are smuggled across one of</w:t>
      </w:r>
      <w:r>
        <w:t xml:space="preserve"> our borders and transported for distribution throughout the country</w:t>
      </w:r>
      <w:r w:rsidRPr="001766C1">
        <w:t>.</w:t>
      </w:r>
      <w:r>
        <w:t xml:space="preserve"> </w:t>
      </w:r>
      <w:r w:rsidRPr="001766C1">
        <w:t xml:space="preserve"> ICE agents have a wide array of Customs and Immigration authorities at their disposal to support the Program, whether it be targeting high-risk vessels, containers, vehicles</w:t>
      </w:r>
      <w:r>
        <w:t>,</w:t>
      </w:r>
      <w:r w:rsidRPr="001766C1">
        <w:t xml:space="preserve"> or persons for inspection</w:t>
      </w:r>
      <w:r>
        <w:t>,</w:t>
      </w:r>
      <w:r w:rsidRPr="001766C1">
        <w:t xml:space="preserve"> or </w:t>
      </w:r>
      <w:r>
        <w:t xml:space="preserve">using </w:t>
      </w:r>
      <w:r w:rsidRPr="001766C1">
        <w:t>their immigration expertise to ensure the arrest and prosecution of significant alien targets.</w:t>
      </w:r>
      <w:r>
        <w:t xml:space="preserve"> In addition, ICE personnel are an invaluable asset in regional, national, and international money laundering investigations due to their financial investigative expertise.</w:t>
      </w:r>
    </w:p>
    <w:p w:rsidR="00A8140E" w:rsidRDefault="00B54490" w:rsidP="00F77B57">
      <w:pPr>
        <w:pStyle w:val="BodyText"/>
      </w:pPr>
      <w:r w:rsidRPr="00983FE6">
        <w:rPr>
          <w:b/>
          <w:u w:val="single"/>
        </w:rPr>
        <w:t>United States Coast Guard (USCG</w:t>
      </w:r>
      <w:r w:rsidRPr="00983FE6">
        <w:rPr>
          <w:b/>
        </w:rPr>
        <w:t>)</w:t>
      </w:r>
      <w:r>
        <w:t xml:space="preserve"> is primarily focused on drug interdiction and has found itself in a unique position to support the work of OCDETF.  </w:t>
      </w:r>
      <w:r w:rsidR="00BA2F16">
        <w:t>Although OCDETF does not fund USG</w:t>
      </w:r>
      <w:r w:rsidR="009E747E">
        <w:t>G</w:t>
      </w:r>
      <w:r w:rsidR="00BA2F16">
        <w:t xml:space="preserve"> positions, t</w:t>
      </w:r>
      <w:r>
        <w:t xml:space="preserve">he USCG is the maritime expert for </w:t>
      </w:r>
      <w:r w:rsidR="00BA2F16">
        <w:t>the Program</w:t>
      </w:r>
      <w:r>
        <w:t xml:space="preserve">, particularly in the coastal OCDETF </w:t>
      </w:r>
      <w:r w:rsidR="00BA2F16">
        <w:t>r</w:t>
      </w:r>
      <w:r>
        <w:t xml:space="preserve">egions, and provides valuable intelligence and guidance on cases with maritime connections.  USCG personnel also serve as liaisons with the military services and the National Narcotics Border Interdiction System.  </w:t>
      </w:r>
    </w:p>
    <w:p w:rsidR="00F7262C" w:rsidRDefault="00B54490" w:rsidP="00F77B57">
      <w:pPr>
        <w:pStyle w:val="BodyText"/>
      </w:pPr>
      <w:r w:rsidRPr="00983FE6">
        <w:rPr>
          <w:b/>
          <w:u w:val="single"/>
        </w:rPr>
        <w:t>United States Marshals Service (USMS)</w:t>
      </w:r>
      <w:r>
        <w:t xml:space="preserve"> is the </w:t>
      </w:r>
      <w:r w:rsidR="00AF0C43">
        <w:t xml:space="preserve">agency </w:t>
      </w:r>
      <w:r>
        <w:t xml:space="preserve">responsible for the apprehension of OCDETF fugitives.  Fugitives are typically repeat offenders who flee apprehension and continue their criminal enterprises elsewhere.  </w:t>
      </w:r>
    </w:p>
    <w:p w:rsidR="00B54490" w:rsidRDefault="00B54490" w:rsidP="00F77B57">
      <w:pPr>
        <w:pStyle w:val="BodyText"/>
      </w:pPr>
      <w:r>
        <w:t xml:space="preserve">The USMS also has responsibility for the pre-seizure investigation of assets in complex cases.  The USMS has entered into a formal commitment with the U.S. Attorneys’ Offices to ensure that all </w:t>
      </w:r>
      <w:r w:rsidR="00AF0C43">
        <w:t xml:space="preserve">major drug trafficking </w:t>
      </w:r>
      <w:r>
        <w:t>cases involving real property, ongoing businesses, out-of-district assets, and anything that is perishable will receive a detailed and timely pre-seizure planning investigation by the USMS.</w:t>
      </w:r>
    </w:p>
    <w:p w:rsidR="00B54490" w:rsidRPr="00016CA1" w:rsidRDefault="00B54490" w:rsidP="00F77B57">
      <w:pPr>
        <w:pStyle w:val="BodyText"/>
      </w:pPr>
      <w:r>
        <w:t>Other investigative and intelligence resources that support the OCDETF Program are identified below:</w:t>
      </w:r>
    </w:p>
    <w:p w:rsidR="00B54490" w:rsidRDefault="00B54490" w:rsidP="00F77B57">
      <w:pPr>
        <w:pStyle w:val="BodyText"/>
      </w:pPr>
      <w:r w:rsidRPr="00983FE6">
        <w:rPr>
          <w:b/>
          <w:u w:val="single"/>
        </w:rPr>
        <w:lastRenderedPageBreak/>
        <w:t>OCDETF Fusion Center (OFC)</w:t>
      </w:r>
      <w:r w:rsidRPr="00983FE6">
        <w:rPr>
          <w:b/>
        </w:rPr>
        <w:t>,</w:t>
      </w:r>
      <w:r w:rsidRPr="00214034">
        <w:t xml:space="preserve"> the cornerstone of OCDETF’s intelligence effo</w:t>
      </w:r>
      <w:r>
        <w:t>r</w:t>
      </w:r>
      <w:r w:rsidRPr="00214034">
        <w:t>ts, is funded through the ICDE account and overseen by the OCDETF Director</w:t>
      </w:r>
      <w:r>
        <w:t>.  The OFC commenced operations during FY 2006 and has significantly enhanced</w:t>
      </w:r>
      <w:r w:rsidRPr="00214034">
        <w:t xml:space="preserve"> OCDETF’s overall capacity to engage in intelligence-driven law enforcement, an essential component of the OCDETF Program.  The OFC is a comprehensive data center containing all drug and related financial intelligence information from </w:t>
      </w:r>
      <w:r>
        <w:t>all seven</w:t>
      </w:r>
      <w:r w:rsidRPr="00214034">
        <w:t xml:space="preserve"> OCDETF-member investigative agencies, and the Financial Crimes Enforcement Network, as well as relevant data from </w:t>
      </w:r>
      <w:r>
        <w:t xml:space="preserve">many </w:t>
      </w:r>
      <w:r w:rsidRPr="00214034">
        <w:t xml:space="preserve">other agencies.  The OFC is designed to conduct cross-agency integration and analysis of </w:t>
      </w:r>
      <w:r>
        <w:t xml:space="preserve">the </w:t>
      </w:r>
      <w:r w:rsidRPr="00214034">
        <w:t xml:space="preserve">data, to create comprehensive intelligence pictures of targeted organizations, including those identified as Consolidated Priority Organization Targets (CPOTs) and Regional Priority Organization Targets (RPOTs), and to pass actionable leads through the multi-agency Special Operations Division (SOD) to OCDETF participants in the field, including </w:t>
      </w:r>
      <w:r>
        <w:t>the OCDETF Co-located Strike</w:t>
      </w:r>
      <w:r w:rsidRPr="00214034">
        <w:t xml:space="preserve"> Forces.  These leads ultimately result in the development of better-coordinated, more comprehensive, multi-jurisdictional OCDETF investigations of the most significant drug trafficking and money laundering networks.</w:t>
      </w:r>
    </w:p>
    <w:p w:rsidR="00642B1A" w:rsidRDefault="00B54490" w:rsidP="00F77B57">
      <w:pPr>
        <w:pStyle w:val="BodyText"/>
        <w:rPr>
          <w:szCs w:val="24"/>
        </w:rPr>
      </w:pPr>
      <w:r w:rsidRPr="00983FE6">
        <w:rPr>
          <w:b/>
          <w:szCs w:val="24"/>
          <w:u w:val="single"/>
        </w:rPr>
        <w:t xml:space="preserve">OCDETF </w:t>
      </w:r>
      <w:r>
        <w:rPr>
          <w:b/>
          <w:szCs w:val="24"/>
          <w:u w:val="single"/>
        </w:rPr>
        <w:t>Co-located Strike Forces</w:t>
      </w:r>
      <w:r w:rsidRPr="00983FE6">
        <w:rPr>
          <w:b/>
          <w:szCs w:val="24"/>
        </w:rPr>
        <w:t xml:space="preserve"> </w:t>
      </w:r>
      <w:r w:rsidRPr="00777149">
        <w:rPr>
          <w:szCs w:val="24"/>
        </w:rPr>
        <w:t>have been established in</w:t>
      </w:r>
      <w:r w:rsidR="00642B1A">
        <w:rPr>
          <w:szCs w:val="24"/>
        </w:rPr>
        <w:t>:</w:t>
      </w:r>
      <w:r w:rsidRPr="00777149">
        <w:rPr>
          <w:szCs w:val="24"/>
        </w:rPr>
        <w:t xml:space="preserve"> </w:t>
      </w:r>
    </w:p>
    <w:p w:rsidR="00324377" w:rsidRDefault="00B54490">
      <w:pPr>
        <w:pStyle w:val="BodyText"/>
        <w:numPr>
          <w:ilvl w:val="0"/>
          <w:numId w:val="51"/>
        </w:numPr>
        <w:spacing w:after="0"/>
        <w:ind w:left="990" w:hanging="540"/>
        <w:rPr>
          <w:szCs w:val="24"/>
        </w:rPr>
      </w:pPr>
      <w:r w:rsidRPr="00777149">
        <w:rPr>
          <w:szCs w:val="24"/>
        </w:rPr>
        <w:t xml:space="preserve">New York, </w:t>
      </w:r>
    </w:p>
    <w:p w:rsidR="00324377" w:rsidRDefault="009350B6">
      <w:pPr>
        <w:pStyle w:val="BodyText"/>
        <w:numPr>
          <w:ilvl w:val="0"/>
          <w:numId w:val="51"/>
        </w:numPr>
        <w:spacing w:after="0"/>
        <w:ind w:left="990" w:hanging="540"/>
        <w:rPr>
          <w:szCs w:val="24"/>
        </w:rPr>
      </w:pPr>
      <w:r>
        <w:rPr>
          <w:szCs w:val="24"/>
        </w:rPr>
        <w:t>South Texas (including Houston, Laredo, McAllen and San Antonio),</w:t>
      </w:r>
      <w:r w:rsidR="00B54490" w:rsidRPr="00777149">
        <w:rPr>
          <w:szCs w:val="24"/>
        </w:rPr>
        <w:t xml:space="preserve"> </w:t>
      </w:r>
    </w:p>
    <w:p w:rsidR="00324377" w:rsidRDefault="00B54490">
      <w:pPr>
        <w:pStyle w:val="BodyText"/>
        <w:numPr>
          <w:ilvl w:val="0"/>
          <w:numId w:val="51"/>
        </w:numPr>
        <w:spacing w:after="0"/>
        <w:ind w:left="990" w:hanging="540"/>
        <w:rPr>
          <w:szCs w:val="24"/>
        </w:rPr>
      </w:pPr>
      <w:r w:rsidRPr="00777149">
        <w:rPr>
          <w:szCs w:val="24"/>
        </w:rPr>
        <w:t xml:space="preserve">Boston, </w:t>
      </w:r>
    </w:p>
    <w:p w:rsidR="00324377" w:rsidRDefault="00B54490">
      <w:pPr>
        <w:pStyle w:val="BodyText"/>
        <w:numPr>
          <w:ilvl w:val="0"/>
          <w:numId w:val="51"/>
        </w:numPr>
        <w:spacing w:after="0"/>
        <w:ind w:left="990" w:hanging="540"/>
        <w:rPr>
          <w:szCs w:val="24"/>
        </w:rPr>
      </w:pPr>
      <w:r w:rsidRPr="00777149">
        <w:rPr>
          <w:szCs w:val="24"/>
        </w:rPr>
        <w:t>Atlanta</w:t>
      </w:r>
      <w:r>
        <w:rPr>
          <w:szCs w:val="24"/>
        </w:rPr>
        <w:t xml:space="preserve"> (David G. Wilhelm OCDETF Strike Force),</w:t>
      </w:r>
      <w:r w:rsidRPr="00777149">
        <w:rPr>
          <w:szCs w:val="24"/>
        </w:rPr>
        <w:t xml:space="preserve"> </w:t>
      </w:r>
    </w:p>
    <w:p w:rsidR="00324377" w:rsidRDefault="00B54490">
      <w:pPr>
        <w:pStyle w:val="BodyText"/>
        <w:numPr>
          <w:ilvl w:val="0"/>
          <w:numId w:val="51"/>
        </w:numPr>
        <w:spacing w:after="0"/>
        <w:ind w:left="990" w:hanging="540"/>
        <w:rPr>
          <w:szCs w:val="24"/>
        </w:rPr>
      </w:pPr>
      <w:r w:rsidRPr="00777149">
        <w:rPr>
          <w:szCs w:val="24"/>
        </w:rPr>
        <w:t xml:space="preserve">Tampa (Panama Express), </w:t>
      </w:r>
    </w:p>
    <w:p w:rsidR="00324377" w:rsidRDefault="00B54490">
      <w:pPr>
        <w:pStyle w:val="BodyText"/>
        <w:numPr>
          <w:ilvl w:val="0"/>
          <w:numId w:val="51"/>
        </w:numPr>
        <w:spacing w:after="0"/>
        <w:ind w:left="990" w:hanging="540"/>
        <w:rPr>
          <w:szCs w:val="24"/>
        </w:rPr>
      </w:pPr>
      <w:r w:rsidRPr="00777149">
        <w:rPr>
          <w:szCs w:val="24"/>
        </w:rPr>
        <w:t xml:space="preserve">Puerto Rico (Caribbean Corridor Initiative), </w:t>
      </w:r>
    </w:p>
    <w:p w:rsidR="00324377" w:rsidRDefault="00B54490">
      <w:pPr>
        <w:pStyle w:val="BodyText"/>
        <w:numPr>
          <w:ilvl w:val="0"/>
          <w:numId w:val="51"/>
        </w:numPr>
        <w:spacing w:after="0"/>
        <w:ind w:left="990" w:hanging="540"/>
        <w:rPr>
          <w:szCs w:val="24"/>
        </w:rPr>
      </w:pPr>
      <w:r w:rsidRPr="00777149">
        <w:rPr>
          <w:szCs w:val="24"/>
        </w:rPr>
        <w:t>San Diego (Major Mexican Trafficking Task Force)</w:t>
      </w:r>
      <w:r>
        <w:rPr>
          <w:szCs w:val="24"/>
        </w:rPr>
        <w:t xml:space="preserve">, </w:t>
      </w:r>
    </w:p>
    <w:p w:rsidR="00324377" w:rsidRDefault="009350B6">
      <w:pPr>
        <w:pStyle w:val="BodyText"/>
        <w:numPr>
          <w:ilvl w:val="0"/>
          <w:numId w:val="51"/>
        </w:numPr>
        <w:spacing w:after="0"/>
        <w:ind w:left="990" w:hanging="540"/>
        <w:rPr>
          <w:szCs w:val="24"/>
        </w:rPr>
      </w:pPr>
      <w:r>
        <w:rPr>
          <w:szCs w:val="24"/>
        </w:rPr>
        <w:t xml:space="preserve">Arizona (including </w:t>
      </w:r>
      <w:r w:rsidR="00B54490">
        <w:rPr>
          <w:szCs w:val="24"/>
        </w:rPr>
        <w:t>Phoenix</w:t>
      </w:r>
      <w:r>
        <w:rPr>
          <w:szCs w:val="24"/>
        </w:rPr>
        <w:t xml:space="preserve"> and Tucson)</w:t>
      </w:r>
      <w:r w:rsidR="00B54490">
        <w:rPr>
          <w:szCs w:val="24"/>
        </w:rPr>
        <w:t xml:space="preserve">, </w:t>
      </w:r>
    </w:p>
    <w:p w:rsidR="00324377" w:rsidRDefault="00B54490">
      <w:pPr>
        <w:pStyle w:val="BodyText"/>
        <w:numPr>
          <w:ilvl w:val="0"/>
          <w:numId w:val="51"/>
        </w:numPr>
        <w:spacing w:after="0"/>
        <w:ind w:left="990" w:hanging="540"/>
        <w:rPr>
          <w:szCs w:val="24"/>
        </w:rPr>
      </w:pPr>
      <w:r>
        <w:rPr>
          <w:szCs w:val="24"/>
        </w:rPr>
        <w:t>El Paso</w:t>
      </w:r>
      <w:r w:rsidR="002C0824">
        <w:rPr>
          <w:szCs w:val="24"/>
        </w:rPr>
        <w:t xml:space="preserve"> (including New Mexico), </w:t>
      </w:r>
    </w:p>
    <w:p w:rsidR="00324377" w:rsidRDefault="002C0824">
      <w:pPr>
        <w:pStyle w:val="BodyText"/>
        <w:numPr>
          <w:ilvl w:val="0"/>
          <w:numId w:val="51"/>
        </w:numPr>
        <w:spacing w:after="0"/>
        <w:ind w:left="990" w:hanging="540"/>
        <w:rPr>
          <w:szCs w:val="24"/>
        </w:rPr>
      </w:pPr>
      <w:r>
        <w:rPr>
          <w:szCs w:val="24"/>
        </w:rPr>
        <w:t xml:space="preserve">Chicago, and </w:t>
      </w:r>
    </w:p>
    <w:p w:rsidR="00324377" w:rsidRDefault="002C0824">
      <w:pPr>
        <w:pStyle w:val="BodyText"/>
        <w:numPr>
          <w:ilvl w:val="0"/>
          <w:numId w:val="51"/>
        </w:numPr>
        <w:spacing w:after="0"/>
        <w:ind w:left="990" w:hanging="540"/>
        <w:rPr>
          <w:b/>
        </w:rPr>
      </w:pPr>
      <w:r>
        <w:rPr>
          <w:szCs w:val="24"/>
        </w:rPr>
        <w:t>Denver</w:t>
      </w:r>
      <w:r w:rsidR="00B54490" w:rsidRPr="00777149">
        <w:rPr>
          <w:szCs w:val="24"/>
        </w:rPr>
        <w:t xml:space="preserve">. </w:t>
      </w:r>
    </w:p>
    <w:p w:rsidR="00324377" w:rsidRDefault="00324377">
      <w:pPr>
        <w:pStyle w:val="BodyText"/>
        <w:spacing w:after="0"/>
        <w:ind w:left="990"/>
        <w:rPr>
          <w:b/>
        </w:rPr>
      </w:pPr>
    </w:p>
    <w:p w:rsidR="00324377" w:rsidRDefault="00B54490">
      <w:pPr>
        <w:pStyle w:val="BodyText"/>
        <w:spacing w:after="0"/>
        <w:rPr>
          <w:b/>
        </w:rPr>
      </w:pPr>
      <w:r w:rsidRPr="00777149">
        <w:rPr>
          <w:szCs w:val="24"/>
        </w:rPr>
        <w:t xml:space="preserve">These </w:t>
      </w:r>
      <w:r>
        <w:rPr>
          <w:szCs w:val="24"/>
        </w:rPr>
        <w:t>C</w:t>
      </w:r>
      <w:r w:rsidRPr="00777149">
        <w:rPr>
          <w:szCs w:val="24"/>
        </w:rPr>
        <w:t xml:space="preserve">o-located </w:t>
      </w:r>
      <w:r>
        <w:rPr>
          <w:szCs w:val="24"/>
        </w:rPr>
        <w:t>Strike</w:t>
      </w:r>
      <w:r w:rsidRPr="00777149">
        <w:rPr>
          <w:szCs w:val="24"/>
        </w:rPr>
        <w:t xml:space="preserve"> </w:t>
      </w:r>
      <w:r>
        <w:rPr>
          <w:szCs w:val="24"/>
        </w:rPr>
        <w:t>F</w:t>
      </w:r>
      <w:r w:rsidRPr="00777149">
        <w:rPr>
          <w:szCs w:val="24"/>
        </w:rPr>
        <w:t xml:space="preserve">orces </w:t>
      </w:r>
      <w:r w:rsidR="009350B6">
        <w:rPr>
          <w:szCs w:val="24"/>
        </w:rPr>
        <w:t xml:space="preserve">are prosecutor-led and intelligence-driven, and </w:t>
      </w:r>
      <w:r w:rsidRPr="00777149">
        <w:rPr>
          <w:szCs w:val="24"/>
        </w:rPr>
        <w:t xml:space="preserve">are designed to serve a dual purpose:  they aggressively target the highest-level </w:t>
      </w:r>
      <w:r>
        <w:rPr>
          <w:szCs w:val="24"/>
        </w:rPr>
        <w:t xml:space="preserve">drug </w:t>
      </w:r>
      <w:r w:rsidRPr="00777149">
        <w:rPr>
          <w:szCs w:val="24"/>
        </w:rPr>
        <w:t>trafficking organizations</w:t>
      </w:r>
      <w:r>
        <w:rPr>
          <w:szCs w:val="24"/>
        </w:rPr>
        <w:t>,</w:t>
      </w:r>
      <w:r w:rsidRPr="00777149">
        <w:rPr>
          <w:szCs w:val="24"/>
        </w:rPr>
        <w:t xml:space="preserve"> and they also function as a central point of contact for OCDETF agents and </w:t>
      </w:r>
      <w:proofErr w:type="gramStart"/>
      <w:r w:rsidRPr="00777149">
        <w:rPr>
          <w:szCs w:val="24"/>
        </w:rPr>
        <w:t>prosecutors</w:t>
      </w:r>
      <w:proofErr w:type="gramEnd"/>
      <w:r w:rsidRPr="00777149">
        <w:rPr>
          <w:szCs w:val="24"/>
        </w:rPr>
        <w:t xml:space="preserve"> nationwide, gathering intelligence and disseminating investigative leads throughout the neighboring areas.  These task forces also respond to leads generated by the</w:t>
      </w:r>
      <w:r>
        <w:rPr>
          <w:szCs w:val="24"/>
        </w:rPr>
        <w:t xml:space="preserve"> OFC</w:t>
      </w:r>
      <w:r w:rsidRPr="00777149">
        <w:rPr>
          <w:szCs w:val="24"/>
        </w:rPr>
        <w:t xml:space="preserve">.  The OCDETF </w:t>
      </w:r>
      <w:r>
        <w:rPr>
          <w:szCs w:val="24"/>
        </w:rPr>
        <w:t>C</w:t>
      </w:r>
      <w:r w:rsidRPr="00777149">
        <w:rPr>
          <w:szCs w:val="24"/>
        </w:rPr>
        <w:t xml:space="preserve">o-located </w:t>
      </w:r>
      <w:r>
        <w:rPr>
          <w:szCs w:val="24"/>
        </w:rPr>
        <w:t>Strike F</w:t>
      </w:r>
      <w:r w:rsidRPr="00777149">
        <w:rPr>
          <w:szCs w:val="24"/>
        </w:rPr>
        <w:t>orces bring a synergy to drug trafficking investigations by literally combining, side-by-side, the resources and expertise of all of OCDETF</w:t>
      </w:r>
      <w:r w:rsidR="003D6875">
        <w:rPr>
          <w:szCs w:val="24"/>
        </w:rPr>
        <w:t>’</w:t>
      </w:r>
      <w:r w:rsidRPr="00777149">
        <w:rPr>
          <w:szCs w:val="24"/>
        </w:rPr>
        <w:t>s participating investigative agen</w:t>
      </w:r>
      <w:r>
        <w:rPr>
          <w:szCs w:val="24"/>
        </w:rPr>
        <w:t>cies,</w:t>
      </w:r>
      <w:r w:rsidRPr="00777149">
        <w:rPr>
          <w:szCs w:val="24"/>
        </w:rPr>
        <w:t xml:space="preserve"> including </w:t>
      </w:r>
      <w:r>
        <w:rPr>
          <w:szCs w:val="24"/>
        </w:rPr>
        <w:t>s</w:t>
      </w:r>
      <w:r w:rsidRPr="00777149">
        <w:rPr>
          <w:szCs w:val="24"/>
        </w:rPr>
        <w:t xml:space="preserve">tate and </w:t>
      </w:r>
      <w:r>
        <w:rPr>
          <w:szCs w:val="24"/>
        </w:rPr>
        <w:t>l</w:t>
      </w:r>
      <w:r w:rsidRPr="00777149">
        <w:rPr>
          <w:szCs w:val="24"/>
        </w:rPr>
        <w:t xml:space="preserve">ocal law enforcement officers and prosecutors.  By coordinating their efforts, the participants in these </w:t>
      </w:r>
      <w:r>
        <w:rPr>
          <w:szCs w:val="24"/>
        </w:rPr>
        <w:t>C</w:t>
      </w:r>
      <w:r w:rsidRPr="00777149">
        <w:rPr>
          <w:szCs w:val="24"/>
        </w:rPr>
        <w:t xml:space="preserve">o-located </w:t>
      </w:r>
      <w:r>
        <w:rPr>
          <w:szCs w:val="24"/>
        </w:rPr>
        <w:t>Strike</w:t>
      </w:r>
      <w:r w:rsidRPr="00777149">
        <w:rPr>
          <w:szCs w:val="24"/>
        </w:rPr>
        <w:t xml:space="preserve"> </w:t>
      </w:r>
      <w:r>
        <w:rPr>
          <w:szCs w:val="24"/>
        </w:rPr>
        <w:t>F</w:t>
      </w:r>
      <w:r w:rsidRPr="00777149">
        <w:rPr>
          <w:szCs w:val="24"/>
        </w:rPr>
        <w:t>orces eliminate superfluous effort</w:t>
      </w:r>
      <w:r>
        <w:rPr>
          <w:szCs w:val="24"/>
        </w:rPr>
        <w:t>,</w:t>
      </w:r>
      <w:r w:rsidRPr="00777149">
        <w:rPr>
          <w:szCs w:val="24"/>
        </w:rPr>
        <w:t xml:space="preserve"> save valuable resources</w:t>
      </w:r>
      <w:r>
        <w:rPr>
          <w:szCs w:val="24"/>
        </w:rPr>
        <w:t>, and produce some of the largest and most successful cases against national and international level drug trafficking organizations.</w:t>
      </w:r>
    </w:p>
    <w:p w:rsidR="005C5CE0" w:rsidRDefault="005C5CE0" w:rsidP="00900A6C">
      <w:pPr>
        <w:pStyle w:val="BodyText"/>
        <w:rPr>
          <w:b/>
          <w:u w:val="single"/>
        </w:rPr>
      </w:pPr>
    </w:p>
    <w:p w:rsidR="00900A6C" w:rsidRDefault="00B54490" w:rsidP="00900A6C">
      <w:pPr>
        <w:pStyle w:val="BodyText"/>
      </w:pPr>
      <w:r w:rsidRPr="00983FE6">
        <w:rPr>
          <w:b/>
          <w:u w:val="single"/>
        </w:rPr>
        <w:t xml:space="preserve">State and </w:t>
      </w:r>
      <w:r>
        <w:rPr>
          <w:b/>
          <w:u w:val="single"/>
        </w:rPr>
        <w:t>L</w:t>
      </w:r>
      <w:r w:rsidRPr="00983FE6">
        <w:rPr>
          <w:b/>
          <w:u w:val="single"/>
        </w:rPr>
        <w:t>ocal law enforcement</w:t>
      </w:r>
      <w:r>
        <w:t xml:space="preserve"> agencies participate in approximately </w:t>
      </w:r>
      <w:r w:rsidRPr="00140D4A">
        <w:t>90 percent</w:t>
      </w:r>
      <w:r>
        <w:t xml:space="preserve"> of all OCDETF investigations.  State and local participation significantly expands OCDETF’s available resource base and broadens the choice of </w:t>
      </w:r>
      <w:r w:rsidR="00C40023">
        <w:t xml:space="preserve">venue for prosecution.  </w:t>
      </w:r>
      <w:proofErr w:type="gramStart"/>
      <w:r w:rsidR="00C40023">
        <w:t>Annually</w:t>
      </w:r>
      <w:r>
        <w:t xml:space="preserve">, </w:t>
      </w:r>
      <w:r w:rsidR="003B0C59">
        <w:t>more than</w:t>
      </w:r>
      <w:r w:rsidRPr="001D55AF">
        <w:t xml:space="preserve"> </w:t>
      </w:r>
      <w:r w:rsidRPr="00FF4823">
        <w:lastRenderedPageBreak/>
        <w:t>700</w:t>
      </w:r>
      <w:r>
        <w:t xml:space="preserve"> </w:t>
      </w:r>
      <w:r w:rsidR="003B0C59">
        <w:t>S</w:t>
      </w:r>
      <w:r>
        <w:t>tate and local</w:t>
      </w:r>
      <w:r w:rsidR="003B0C59">
        <w:t xml:space="preserve"> </w:t>
      </w:r>
      <w:r>
        <w:t>departments nationwide</w:t>
      </w:r>
      <w:r w:rsidR="003B0C59">
        <w:t xml:space="preserve"> assist</w:t>
      </w:r>
      <w:r w:rsidR="00C40023">
        <w:t xml:space="preserve"> in the investigation of OCDETF </w:t>
      </w:r>
      <w:r w:rsidR="003B0C59">
        <w:t>cases</w:t>
      </w:r>
      <w:r>
        <w:t>.</w:t>
      </w:r>
      <w:proofErr w:type="gramEnd"/>
      <w:r>
        <w:t xml:space="preserve">  Currently, OCDETF reimburses State and local agencies for their overtime, travel, and per diem expenses with funds allocated by the Department of Justice Assets Forfeiture Fund</w:t>
      </w:r>
      <w:r w:rsidR="00755CB7" w:rsidRPr="00606A25">
        <w:t>.</w:t>
      </w:r>
      <w:r w:rsidR="00900A6C" w:rsidRPr="00606A25">
        <w:t xml:space="preserve"> </w:t>
      </w:r>
      <w:r w:rsidR="00606A25">
        <w:t xml:space="preserve"> </w:t>
      </w:r>
      <w:r w:rsidR="00900A6C" w:rsidRPr="00A773B4">
        <w:t>In FY 2010, OCDETF reimbursed State and local agencies $23</w:t>
      </w:r>
      <w:r w:rsidR="00606A25" w:rsidRPr="00A773B4">
        <w:t>.2</w:t>
      </w:r>
      <w:r w:rsidR="00900A6C" w:rsidRPr="00A773B4">
        <w:t xml:space="preserve"> million for their participation in OCDETF investigations and cases.</w:t>
      </w:r>
    </w:p>
    <w:p w:rsidR="00E8237B" w:rsidRDefault="00E8237B">
      <w:pPr>
        <w:rPr>
          <w:rFonts w:cs="Arial"/>
          <w:b/>
          <w:bCs/>
        </w:rPr>
      </w:pPr>
      <w:r>
        <w:rPr>
          <w:rFonts w:cs="Arial"/>
          <w:b/>
          <w:bCs/>
        </w:rPr>
        <w:br w:type="page"/>
      </w:r>
    </w:p>
    <w:p w:rsidR="00ED538D" w:rsidRDefault="00B54490">
      <w:pPr>
        <w:pStyle w:val="BodyText"/>
        <w:numPr>
          <w:ilvl w:val="1"/>
          <w:numId w:val="22"/>
        </w:numPr>
        <w:rPr>
          <w:rFonts w:cs="Arial"/>
          <w:b/>
          <w:bCs/>
          <w:i/>
          <w:iCs/>
        </w:rPr>
      </w:pPr>
      <w:r w:rsidRPr="004D2BD1">
        <w:rPr>
          <w:rFonts w:cs="Arial"/>
          <w:b/>
          <w:bCs/>
        </w:rPr>
        <w:lastRenderedPageBreak/>
        <w:t>Prosecutions</w:t>
      </w:r>
      <w:r w:rsidRPr="004D2BD1">
        <w:rPr>
          <w:rFonts w:cs="Arial"/>
          <w:b/>
          <w:bCs/>
          <w:i/>
          <w:i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500"/>
        <w:gridCol w:w="1020"/>
        <w:gridCol w:w="2088"/>
      </w:tblGrid>
      <w:tr w:rsidR="00237C08" w:rsidRPr="0068689F" w:rsidTr="00592A2E">
        <w:tc>
          <w:tcPr>
            <w:tcW w:w="4968" w:type="dxa"/>
          </w:tcPr>
          <w:p w:rsidR="00237C08" w:rsidRPr="006C4D12" w:rsidRDefault="00237C08" w:rsidP="00592A2E">
            <w:r w:rsidRPr="006C4D12">
              <w:t>Prosecutions TOTAL</w:t>
            </w:r>
          </w:p>
        </w:tc>
        <w:tc>
          <w:tcPr>
            <w:tcW w:w="1500" w:type="dxa"/>
            <w:vAlign w:val="center"/>
          </w:tcPr>
          <w:p w:rsidR="00237C08" w:rsidRPr="007B21AA" w:rsidRDefault="00237C08" w:rsidP="00592A2E">
            <w:r w:rsidRPr="007B21AA">
              <w:t>Perm. Pos.</w:t>
            </w:r>
          </w:p>
        </w:tc>
        <w:tc>
          <w:tcPr>
            <w:tcW w:w="1020" w:type="dxa"/>
            <w:vAlign w:val="center"/>
          </w:tcPr>
          <w:p w:rsidR="00237C08" w:rsidRPr="007B21AA" w:rsidRDefault="00237C08" w:rsidP="00592A2E">
            <w:r w:rsidRPr="007B21AA">
              <w:t>FTE</w:t>
            </w:r>
          </w:p>
        </w:tc>
        <w:tc>
          <w:tcPr>
            <w:tcW w:w="2088" w:type="dxa"/>
            <w:vAlign w:val="center"/>
          </w:tcPr>
          <w:p w:rsidR="00237C08" w:rsidRPr="007B21AA" w:rsidRDefault="00237C08" w:rsidP="00592A2E">
            <w:r w:rsidRPr="007B21AA">
              <w:t>Dollars $(000)</w:t>
            </w:r>
          </w:p>
        </w:tc>
      </w:tr>
      <w:tr w:rsidR="00237C08" w:rsidRPr="007B21AA" w:rsidTr="00592A2E">
        <w:tc>
          <w:tcPr>
            <w:tcW w:w="4968" w:type="dxa"/>
          </w:tcPr>
          <w:p w:rsidR="00237C08" w:rsidRPr="006C4D12" w:rsidRDefault="008B1876" w:rsidP="00592A2E">
            <w:r>
              <w:t>2011</w:t>
            </w:r>
            <w:r w:rsidR="00237C08" w:rsidRPr="006C4D12">
              <w:t xml:space="preserve"> Enacted with Rescissions</w:t>
            </w:r>
          </w:p>
        </w:tc>
        <w:tc>
          <w:tcPr>
            <w:tcW w:w="1500" w:type="dxa"/>
            <w:vAlign w:val="center"/>
          </w:tcPr>
          <w:p w:rsidR="00237C08" w:rsidRPr="007B21AA" w:rsidRDefault="00237C08" w:rsidP="00592A2E">
            <w:pPr>
              <w:jc w:val="right"/>
            </w:pPr>
            <w:r w:rsidRPr="007B21AA">
              <w:t>1,</w:t>
            </w:r>
            <w:r>
              <w:t>051</w:t>
            </w:r>
          </w:p>
        </w:tc>
        <w:tc>
          <w:tcPr>
            <w:tcW w:w="1020" w:type="dxa"/>
            <w:vAlign w:val="center"/>
          </w:tcPr>
          <w:p w:rsidR="00237C08" w:rsidRPr="007B21AA" w:rsidRDefault="00237C08" w:rsidP="00592A2E">
            <w:pPr>
              <w:jc w:val="right"/>
            </w:pPr>
            <w:r>
              <w:t>999</w:t>
            </w:r>
          </w:p>
        </w:tc>
        <w:tc>
          <w:tcPr>
            <w:tcW w:w="2088" w:type="dxa"/>
            <w:vAlign w:val="center"/>
          </w:tcPr>
          <w:p w:rsidR="00237C08" w:rsidRPr="007B21AA" w:rsidRDefault="00802373" w:rsidP="00E56D72">
            <w:pPr>
              <w:jc w:val="right"/>
            </w:pPr>
            <w:r>
              <w:t>$</w:t>
            </w:r>
            <w:r w:rsidR="008B1876">
              <w:t>1</w:t>
            </w:r>
            <w:r w:rsidR="00E56D72">
              <w:t>48</w:t>
            </w:r>
            <w:r w:rsidR="008B1876">
              <w:t>,</w:t>
            </w:r>
            <w:r w:rsidR="00E56D72">
              <w:t>729</w:t>
            </w:r>
          </w:p>
        </w:tc>
      </w:tr>
      <w:tr w:rsidR="00237C08" w:rsidRPr="0068689F" w:rsidTr="00592A2E">
        <w:tc>
          <w:tcPr>
            <w:tcW w:w="4968" w:type="dxa"/>
          </w:tcPr>
          <w:p w:rsidR="00237C08" w:rsidRPr="006C4D12" w:rsidRDefault="00237C08" w:rsidP="008B1876">
            <w:r w:rsidRPr="006C4D12">
              <w:t xml:space="preserve">   201</w:t>
            </w:r>
            <w:r w:rsidR="008B1876">
              <w:t>1</w:t>
            </w:r>
            <w:r w:rsidRPr="006C4D12">
              <w:t xml:space="preserve"> Supplemental</w:t>
            </w:r>
          </w:p>
        </w:tc>
        <w:tc>
          <w:tcPr>
            <w:tcW w:w="1500" w:type="dxa"/>
            <w:vAlign w:val="center"/>
          </w:tcPr>
          <w:p w:rsidR="00237C08" w:rsidRPr="00237C08" w:rsidRDefault="00CA3320" w:rsidP="00592A2E">
            <w:pPr>
              <w:jc w:val="right"/>
            </w:pPr>
            <w:r>
              <w:t>0</w:t>
            </w:r>
          </w:p>
        </w:tc>
        <w:tc>
          <w:tcPr>
            <w:tcW w:w="1020" w:type="dxa"/>
            <w:vAlign w:val="center"/>
          </w:tcPr>
          <w:p w:rsidR="00237C08" w:rsidRPr="00237C08" w:rsidRDefault="00CA3320" w:rsidP="00592A2E">
            <w:pPr>
              <w:jc w:val="right"/>
            </w:pPr>
            <w:r>
              <w:t>0</w:t>
            </w:r>
          </w:p>
        </w:tc>
        <w:tc>
          <w:tcPr>
            <w:tcW w:w="2088" w:type="dxa"/>
            <w:vAlign w:val="center"/>
          </w:tcPr>
          <w:p w:rsidR="00237C08" w:rsidRPr="00237C08" w:rsidRDefault="008B1876" w:rsidP="00592A2E">
            <w:pPr>
              <w:jc w:val="right"/>
            </w:pPr>
            <w:r>
              <w:t>0</w:t>
            </w:r>
          </w:p>
        </w:tc>
      </w:tr>
      <w:tr w:rsidR="00237C08" w:rsidRPr="0068689F" w:rsidTr="00592A2E">
        <w:tc>
          <w:tcPr>
            <w:tcW w:w="4968" w:type="dxa"/>
          </w:tcPr>
          <w:p w:rsidR="00237C08" w:rsidRPr="006C4D12" w:rsidRDefault="008B1876" w:rsidP="00592A2E">
            <w:r>
              <w:t>2011</w:t>
            </w:r>
            <w:r w:rsidR="00237C08" w:rsidRPr="006C4D12">
              <w:t xml:space="preserve"> Enacted w/Rescissions &amp; Supplementals</w:t>
            </w:r>
          </w:p>
        </w:tc>
        <w:tc>
          <w:tcPr>
            <w:tcW w:w="1500" w:type="dxa"/>
            <w:vAlign w:val="center"/>
          </w:tcPr>
          <w:p w:rsidR="00237C08" w:rsidRPr="007B21AA" w:rsidRDefault="00237C08" w:rsidP="00592A2E">
            <w:pPr>
              <w:jc w:val="right"/>
            </w:pPr>
            <w:r>
              <w:t>1,</w:t>
            </w:r>
            <w:r w:rsidR="00CA3320">
              <w:t>051</w:t>
            </w:r>
          </w:p>
        </w:tc>
        <w:tc>
          <w:tcPr>
            <w:tcW w:w="1020" w:type="dxa"/>
            <w:vAlign w:val="center"/>
          </w:tcPr>
          <w:p w:rsidR="00237C08" w:rsidRPr="007B21AA" w:rsidRDefault="00CA3320" w:rsidP="00592A2E">
            <w:pPr>
              <w:jc w:val="right"/>
            </w:pPr>
            <w:r>
              <w:t>999</w:t>
            </w:r>
          </w:p>
        </w:tc>
        <w:tc>
          <w:tcPr>
            <w:tcW w:w="2088" w:type="dxa"/>
            <w:vAlign w:val="center"/>
          </w:tcPr>
          <w:p w:rsidR="00237C08" w:rsidRPr="007B21AA" w:rsidRDefault="008B1876" w:rsidP="008B1876">
            <w:pPr>
              <w:jc w:val="right"/>
            </w:pPr>
            <w:r>
              <w:t>1</w:t>
            </w:r>
            <w:r w:rsidR="00E56D72">
              <w:t>48,729</w:t>
            </w:r>
          </w:p>
        </w:tc>
      </w:tr>
      <w:tr w:rsidR="00237C08" w:rsidRPr="0068689F" w:rsidTr="00592A2E">
        <w:tc>
          <w:tcPr>
            <w:tcW w:w="4968" w:type="dxa"/>
          </w:tcPr>
          <w:p w:rsidR="00237C08" w:rsidRPr="006C4D12" w:rsidRDefault="008B1876" w:rsidP="00592A2E">
            <w:r>
              <w:t xml:space="preserve">2012 </w:t>
            </w:r>
            <w:r w:rsidR="000829A5">
              <w:t xml:space="preserve">Enacted </w:t>
            </w:r>
          </w:p>
        </w:tc>
        <w:tc>
          <w:tcPr>
            <w:tcW w:w="1500" w:type="dxa"/>
            <w:vAlign w:val="center"/>
          </w:tcPr>
          <w:p w:rsidR="00237C08" w:rsidRPr="007B21AA" w:rsidRDefault="00237C08" w:rsidP="00447E3D">
            <w:pPr>
              <w:jc w:val="right"/>
            </w:pPr>
            <w:r w:rsidRPr="007B21AA">
              <w:t>1,</w:t>
            </w:r>
            <w:r w:rsidR="00447E3D">
              <w:t>051</w:t>
            </w:r>
          </w:p>
        </w:tc>
        <w:tc>
          <w:tcPr>
            <w:tcW w:w="1020" w:type="dxa"/>
            <w:vAlign w:val="center"/>
          </w:tcPr>
          <w:p w:rsidR="00237C08" w:rsidRPr="007B21AA" w:rsidRDefault="00447E3D" w:rsidP="0008636A">
            <w:pPr>
              <w:jc w:val="right"/>
            </w:pPr>
            <w:r>
              <w:t>999</w:t>
            </w:r>
          </w:p>
        </w:tc>
        <w:tc>
          <w:tcPr>
            <w:tcW w:w="2088" w:type="dxa"/>
            <w:vAlign w:val="center"/>
          </w:tcPr>
          <w:p w:rsidR="00237C08" w:rsidRPr="007B21AA" w:rsidRDefault="008B1876" w:rsidP="005E2F9D">
            <w:pPr>
              <w:jc w:val="right"/>
            </w:pPr>
            <w:r>
              <w:t>1</w:t>
            </w:r>
            <w:r w:rsidR="00E56D72">
              <w:t>4</w:t>
            </w:r>
            <w:r w:rsidR="005E2F9D">
              <w:t>9</w:t>
            </w:r>
            <w:r w:rsidR="00E56D72">
              <w:t>,</w:t>
            </w:r>
            <w:r w:rsidR="005E2F9D">
              <w:t>065</w:t>
            </w:r>
          </w:p>
        </w:tc>
      </w:tr>
      <w:tr w:rsidR="00237C08" w:rsidRPr="0068689F" w:rsidTr="00592A2E">
        <w:tc>
          <w:tcPr>
            <w:tcW w:w="4968" w:type="dxa"/>
          </w:tcPr>
          <w:p w:rsidR="00237C08" w:rsidRPr="006C4D12" w:rsidRDefault="00237C08" w:rsidP="00592A2E">
            <w:r w:rsidRPr="006C4D12">
              <w:t xml:space="preserve">Adjustments to Base </w:t>
            </w:r>
            <w:r w:rsidR="008B1876">
              <w:t>and Technical Adjustments</w:t>
            </w:r>
          </w:p>
        </w:tc>
        <w:tc>
          <w:tcPr>
            <w:tcW w:w="1500" w:type="dxa"/>
            <w:vAlign w:val="center"/>
          </w:tcPr>
          <w:p w:rsidR="00237C08" w:rsidRPr="007B21AA" w:rsidRDefault="00BC20B2" w:rsidP="00592A2E">
            <w:pPr>
              <w:jc w:val="right"/>
            </w:pPr>
            <w:r>
              <w:t>(1)</w:t>
            </w:r>
          </w:p>
        </w:tc>
        <w:tc>
          <w:tcPr>
            <w:tcW w:w="1020" w:type="dxa"/>
            <w:vAlign w:val="center"/>
          </w:tcPr>
          <w:p w:rsidR="00237C08" w:rsidRPr="007B21AA" w:rsidRDefault="00BC20B2" w:rsidP="00592A2E">
            <w:pPr>
              <w:jc w:val="right"/>
            </w:pPr>
            <w:r>
              <w:t>(1)</w:t>
            </w:r>
          </w:p>
        </w:tc>
        <w:tc>
          <w:tcPr>
            <w:tcW w:w="2088" w:type="dxa"/>
            <w:vAlign w:val="center"/>
          </w:tcPr>
          <w:p w:rsidR="00237C08" w:rsidRPr="007B21AA" w:rsidRDefault="00392C2F" w:rsidP="00392C2F">
            <w:pPr>
              <w:jc w:val="right"/>
            </w:pPr>
            <w:r>
              <w:t>2</w:t>
            </w:r>
            <w:r w:rsidR="0008636A">
              <w:t>,</w:t>
            </w:r>
            <w:r>
              <w:t>182</w:t>
            </w:r>
          </w:p>
        </w:tc>
      </w:tr>
      <w:tr w:rsidR="00237C08" w:rsidRPr="0068689F" w:rsidTr="00592A2E">
        <w:tc>
          <w:tcPr>
            <w:tcW w:w="4968" w:type="dxa"/>
          </w:tcPr>
          <w:p w:rsidR="00237C08" w:rsidRPr="006C4D12" w:rsidRDefault="008B1876" w:rsidP="00592A2E">
            <w:r>
              <w:t>2013</w:t>
            </w:r>
            <w:r w:rsidR="00237C08" w:rsidRPr="006C4D12">
              <w:t xml:space="preserve"> Current Services</w:t>
            </w:r>
          </w:p>
        </w:tc>
        <w:tc>
          <w:tcPr>
            <w:tcW w:w="1500" w:type="dxa"/>
            <w:vAlign w:val="center"/>
          </w:tcPr>
          <w:p w:rsidR="00237C08" w:rsidRPr="007B21AA" w:rsidRDefault="00237C08" w:rsidP="00392C2F">
            <w:pPr>
              <w:jc w:val="right"/>
            </w:pPr>
            <w:r w:rsidRPr="007B21AA">
              <w:t>1,</w:t>
            </w:r>
            <w:r w:rsidR="00447E3D">
              <w:t>0</w:t>
            </w:r>
            <w:r w:rsidR="00392C2F">
              <w:t>5</w:t>
            </w:r>
            <w:r w:rsidR="00581A79">
              <w:t>0</w:t>
            </w:r>
          </w:p>
        </w:tc>
        <w:tc>
          <w:tcPr>
            <w:tcW w:w="1020" w:type="dxa"/>
            <w:vAlign w:val="center"/>
          </w:tcPr>
          <w:p w:rsidR="00237C08" w:rsidRPr="007B21AA" w:rsidRDefault="00392C2F" w:rsidP="00447E3D">
            <w:pPr>
              <w:jc w:val="right"/>
            </w:pPr>
            <w:r>
              <w:t>99</w:t>
            </w:r>
            <w:r w:rsidR="00581A79">
              <w:t>8</w:t>
            </w:r>
          </w:p>
        </w:tc>
        <w:tc>
          <w:tcPr>
            <w:tcW w:w="2088" w:type="dxa"/>
            <w:vAlign w:val="center"/>
          </w:tcPr>
          <w:p w:rsidR="00237C08" w:rsidRPr="007B21AA" w:rsidRDefault="008B1876" w:rsidP="00392C2F">
            <w:pPr>
              <w:jc w:val="right"/>
            </w:pPr>
            <w:r>
              <w:t>1</w:t>
            </w:r>
            <w:r w:rsidR="005E2F9D">
              <w:t>5</w:t>
            </w:r>
            <w:r w:rsidR="00392C2F">
              <w:t>1</w:t>
            </w:r>
            <w:r w:rsidR="00237C08">
              <w:t>,</w:t>
            </w:r>
            <w:r w:rsidR="00392C2F">
              <w:t>247</w:t>
            </w:r>
          </w:p>
        </w:tc>
      </w:tr>
      <w:tr w:rsidR="00237C08" w:rsidRPr="0068689F" w:rsidTr="00592A2E">
        <w:tc>
          <w:tcPr>
            <w:tcW w:w="4968" w:type="dxa"/>
          </w:tcPr>
          <w:tbl>
            <w:tblPr>
              <w:tblW w:w="0" w:type="auto"/>
              <w:tblLook w:val="0000"/>
            </w:tblPr>
            <w:tblGrid>
              <w:gridCol w:w="2545"/>
              <w:gridCol w:w="722"/>
              <w:gridCol w:w="534"/>
              <w:gridCol w:w="951"/>
            </w:tblGrid>
            <w:tr w:rsidR="00237C08" w:rsidRPr="006C4D12" w:rsidTr="00592A2E">
              <w:tc>
                <w:tcPr>
                  <w:tcW w:w="4968" w:type="dxa"/>
                </w:tcPr>
                <w:p w:rsidR="00237C08" w:rsidRPr="006C4D12" w:rsidRDefault="008B1876" w:rsidP="00592A2E">
                  <w:r>
                    <w:t>2013</w:t>
                  </w:r>
                  <w:r w:rsidR="00237C08" w:rsidRPr="006C4D12">
                    <w:t xml:space="preserve"> Request</w:t>
                  </w:r>
                </w:p>
              </w:tc>
              <w:tc>
                <w:tcPr>
                  <w:tcW w:w="1500" w:type="dxa"/>
                </w:tcPr>
                <w:p w:rsidR="00237C08" w:rsidRPr="006C4D12" w:rsidRDefault="00237C08" w:rsidP="00592A2E"/>
              </w:tc>
              <w:tc>
                <w:tcPr>
                  <w:tcW w:w="1020" w:type="dxa"/>
                </w:tcPr>
                <w:p w:rsidR="00237C08" w:rsidRPr="006C4D12" w:rsidRDefault="00237C08" w:rsidP="00592A2E"/>
              </w:tc>
              <w:tc>
                <w:tcPr>
                  <w:tcW w:w="2088" w:type="dxa"/>
                </w:tcPr>
                <w:p w:rsidR="00237C08" w:rsidRPr="006C4D12" w:rsidRDefault="00237C08" w:rsidP="00592A2E"/>
              </w:tc>
            </w:tr>
          </w:tbl>
          <w:p w:rsidR="00237C08" w:rsidRPr="006C4D12" w:rsidRDefault="00237C08" w:rsidP="00592A2E"/>
        </w:tc>
        <w:tc>
          <w:tcPr>
            <w:tcW w:w="1500" w:type="dxa"/>
          </w:tcPr>
          <w:p w:rsidR="00237C08" w:rsidRPr="007B21AA" w:rsidRDefault="00237C08" w:rsidP="00392C2F">
            <w:pPr>
              <w:jc w:val="right"/>
            </w:pPr>
            <w:r w:rsidRPr="007B21AA">
              <w:t>1,</w:t>
            </w:r>
            <w:r w:rsidR="00447E3D">
              <w:t>0</w:t>
            </w:r>
            <w:r w:rsidR="00392C2F">
              <w:t>5</w:t>
            </w:r>
            <w:r w:rsidR="00581A79">
              <w:t>0</w:t>
            </w:r>
          </w:p>
        </w:tc>
        <w:tc>
          <w:tcPr>
            <w:tcW w:w="1020" w:type="dxa"/>
          </w:tcPr>
          <w:p w:rsidR="00237C08" w:rsidRPr="007B21AA" w:rsidRDefault="00392C2F" w:rsidP="00447E3D">
            <w:pPr>
              <w:jc w:val="right"/>
            </w:pPr>
            <w:r>
              <w:t>99</w:t>
            </w:r>
            <w:r w:rsidR="00581A79">
              <w:t>8</w:t>
            </w:r>
          </w:p>
        </w:tc>
        <w:tc>
          <w:tcPr>
            <w:tcW w:w="2088" w:type="dxa"/>
          </w:tcPr>
          <w:p w:rsidR="00237C08" w:rsidRPr="007B21AA" w:rsidRDefault="00237C08" w:rsidP="00392C2F">
            <w:pPr>
              <w:jc w:val="right"/>
            </w:pPr>
            <w:r w:rsidRPr="007B21AA">
              <w:t>1</w:t>
            </w:r>
            <w:r w:rsidR="005E2F9D">
              <w:t>5</w:t>
            </w:r>
            <w:r w:rsidR="00392C2F">
              <w:t>1</w:t>
            </w:r>
            <w:r w:rsidR="001D4A90">
              <w:t>,19</w:t>
            </w:r>
            <w:r w:rsidR="00392C2F">
              <w:t>1</w:t>
            </w:r>
          </w:p>
        </w:tc>
      </w:tr>
      <w:tr w:rsidR="00237C08" w:rsidRPr="0068689F" w:rsidTr="00592A2E">
        <w:tc>
          <w:tcPr>
            <w:tcW w:w="4968" w:type="dxa"/>
            <w:shd w:val="clear" w:color="auto" w:fill="C0C0C0"/>
          </w:tcPr>
          <w:p w:rsidR="00237C08" w:rsidRPr="006C4D12" w:rsidRDefault="00237C08" w:rsidP="008B1876">
            <w:r w:rsidRPr="006C4D12">
              <w:t>Total Change 201</w:t>
            </w:r>
            <w:r w:rsidR="008B1876">
              <w:t>2</w:t>
            </w:r>
            <w:r w:rsidRPr="006C4D12">
              <w:t>-201</w:t>
            </w:r>
            <w:r w:rsidR="008B1876">
              <w:t>3</w:t>
            </w:r>
          </w:p>
        </w:tc>
        <w:tc>
          <w:tcPr>
            <w:tcW w:w="1500" w:type="dxa"/>
            <w:shd w:val="clear" w:color="auto" w:fill="C0C0C0"/>
            <w:vAlign w:val="center"/>
          </w:tcPr>
          <w:p w:rsidR="00237C08" w:rsidRPr="007B21AA" w:rsidRDefault="003A1019" w:rsidP="00592A2E">
            <w:pPr>
              <w:jc w:val="right"/>
            </w:pPr>
            <w:r>
              <w:t>(</w:t>
            </w:r>
            <w:r w:rsidR="005C5AB1">
              <w:t xml:space="preserve"> </w:t>
            </w:r>
            <w:r w:rsidR="00581A79">
              <w:t>1</w:t>
            </w:r>
            <w:r>
              <w:t>)</w:t>
            </w:r>
          </w:p>
        </w:tc>
        <w:tc>
          <w:tcPr>
            <w:tcW w:w="1020" w:type="dxa"/>
            <w:shd w:val="clear" w:color="auto" w:fill="C0C0C0"/>
            <w:vAlign w:val="center"/>
          </w:tcPr>
          <w:p w:rsidR="00237C08" w:rsidRPr="007B21AA" w:rsidRDefault="003A1019" w:rsidP="00592A2E">
            <w:pPr>
              <w:jc w:val="right"/>
            </w:pPr>
            <w:r>
              <w:t>(</w:t>
            </w:r>
            <w:r w:rsidR="00581A79">
              <w:t>1</w:t>
            </w:r>
            <w:r>
              <w:t>)</w:t>
            </w:r>
          </w:p>
        </w:tc>
        <w:tc>
          <w:tcPr>
            <w:tcW w:w="2088" w:type="dxa"/>
            <w:shd w:val="clear" w:color="auto" w:fill="C0C0C0"/>
            <w:vAlign w:val="center"/>
          </w:tcPr>
          <w:p w:rsidR="00237C08" w:rsidRPr="007B21AA" w:rsidRDefault="00581A79" w:rsidP="00581A79">
            <w:pPr>
              <w:jc w:val="right"/>
            </w:pPr>
            <w:r>
              <w:t>2</w:t>
            </w:r>
            <w:r w:rsidR="006031F3">
              <w:t>,</w:t>
            </w:r>
            <w:r>
              <w:t>126</w:t>
            </w:r>
          </w:p>
        </w:tc>
      </w:tr>
    </w:tbl>
    <w:p w:rsidR="00ED538D" w:rsidRDefault="00ED538D">
      <w:pPr>
        <w:pStyle w:val="Heading3"/>
        <w:numPr>
          <w:ilvl w:val="0"/>
          <w:numId w:val="0"/>
        </w:numPr>
        <w:ind w:left="1440" w:hanging="720"/>
        <w:rPr>
          <w:bCs/>
          <w:i/>
          <w:shadow/>
        </w:rPr>
      </w:pPr>
    </w:p>
    <w:p w:rsidR="00B54490" w:rsidRPr="0068689F" w:rsidRDefault="00B54490" w:rsidP="00F77B57">
      <w:pPr>
        <w:pStyle w:val="Heading3"/>
        <w:numPr>
          <w:ilvl w:val="0"/>
          <w:numId w:val="0"/>
        </w:numPr>
        <w:ind w:left="720" w:firstLine="720"/>
        <w:rPr>
          <w:shadow/>
        </w:rPr>
      </w:pPr>
      <w:r w:rsidRPr="0068689F">
        <w:rPr>
          <w:b w:val="0"/>
          <w:bCs/>
          <w:shadow/>
        </w:rPr>
        <w:t>1.</w:t>
      </w:r>
      <w:r w:rsidRPr="0068689F">
        <w:rPr>
          <w:b w:val="0"/>
          <w:bCs/>
          <w:shadow/>
        </w:rPr>
        <w:tab/>
      </w:r>
      <w:r w:rsidR="00D36F05" w:rsidRPr="00D36F05">
        <w:t>Program Description</w:t>
      </w:r>
    </w:p>
    <w:p w:rsidR="00B54490" w:rsidRDefault="00084C4B" w:rsidP="00F77B57">
      <w:pPr>
        <w:pStyle w:val="BodyText"/>
      </w:pPr>
      <w:r>
        <w:t>The FY 2013</w:t>
      </w:r>
      <w:r w:rsidR="00B54490" w:rsidRPr="007B21AA">
        <w:t xml:space="preserve"> request for the Prosecution Activity is 1,</w:t>
      </w:r>
      <w:r w:rsidR="00447E3D">
        <w:t>0</w:t>
      </w:r>
      <w:r w:rsidR="00392C2F">
        <w:t>5</w:t>
      </w:r>
      <w:r w:rsidR="00581A79">
        <w:t>0</w:t>
      </w:r>
      <w:r w:rsidR="00447E3D" w:rsidRPr="007B21AA">
        <w:t xml:space="preserve"> </w:t>
      </w:r>
      <w:r w:rsidR="00B54490" w:rsidRPr="007B21AA">
        <w:t xml:space="preserve">positions, </w:t>
      </w:r>
      <w:r w:rsidR="00392C2F">
        <w:t>99</w:t>
      </w:r>
      <w:r w:rsidR="00581A79">
        <w:t>8</w:t>
      </w:r>
      <w:r w:rsidR="00447E3D">
        <w:t xml:space="preserve"> </w:t>
      </w:r>
      <w:r w:rsidR="00B54490" w:rsidRPr="007B21AA">
        <w:t>work years, and</w:t>
      </w:r>
      <w:r w:rsidR="00A64BBF">
        <w:t xml:space="preserve"> </w:t>
      </w:r>
      <w:r w:rsidR="00B54490" w:rsidRPr="007B21AA">
        <w:t>$</w:t>
      </w:r>
      <w:r w:rsidR="003F28DD">
        <w:t>1</w:t>
      </w:r>
      <w:r w:rsidR="006031F3">
        <w:t>5</w:t>
      </w:r>
      <w:r w:rsidR="00392C2F">
        <w:t>1</w:t>
      </w:r>
      <w:r w:rsidR="003F28DD">
        <w:t>,</w:t>
      </w:r>
      <w:r w:rsidR="00392C2F">
        <w:t>1</w:t>
      </w:r>
      <w:r w:rsidR="00686418">
        <w:t>9</w:t>
      </w:r>
      <w:r w:rsidR="00392C2F">
        <w:t>1</w:t>
      </w:r>
      <w:r w:rsidR="00237C08">
        <w:t>,000</w:t>
      </w:r>
      <w:r w:rsidR="00B54490" w:rsidRPr="007B21AA">
        <w:t>.</w:t>
      </w:r>
      <w:r w:rsidR="00B54490" w:rsidRPr="005D51C5">
        <w:t xml:space="preserve">  The agencies which provide investigative support and prosecutorial efforts on OCDETF cases are identified below:</w:t>
      </w:r>
      <w:r w:rsidR="00B54490">
        <w:t xml:space="preserve"> </w:t>
      </w:r>
    </w:p>
    <w:p w:rsidR="00B54490" w:rsidRDefault="00B54490" w:rsidP="00F77B57">
      <w:pPr>
        <w:pStyle w:val="BodyText"/>
      </w:pPr>
      <w:r w:rsidRPr="00DA792D">
        <w:rPr>
          <w:b/>
          <w:u w:val="single"/>
        </w:rPr>
        <w:t>The United States Attorneys’ Offices</w:t>
      </w:r>
      <w:r>
        <w:t xml:space="preserve"> are </w:t>
      </w:r>
      <w:proofErr w:type="gramStart"/>
      <w:r>
        <w:t>key</w:t>
      </w:r>
      <w:proofErr w:type="gramEnd"/>
      <w:r>
        <w:t xml:space="preserve"> to nearly every successful OCDETF investigation and prosecution.  </w:t>
      </w:r>
      <w:r w:rsidR="009350B6">
        <w:t xml:space="preserve">This is because the OCDETF model is the formulation of prosecutor-led, multi-agency task forces to conduct intelligence-driven, </w:t>
      </w:r>
      <w:r w:rsidR="002C0824">
        <w:t>multi</w:t>
      </w:r>
      <w:r w:rsidR="009350B6">
        <w:t xml:space="preserve">-jurisdiction investigations.  </w:t>
      </w:r>
      <w:r>
        <w:t xml:space="preserve">OCDETF prosecutors participate in the development of the investigative strategy and provide the necessary legal services and counsel that investigators require.  Attorney involvement early in the investigation ensures that prosecutions are well-prepared, comprehensively charged, and expertly handled.  While OCDETF attorneys </w:t>
      </w:r>
      <w:r w:rsidR="00A64BBF">
        <w:t>ma</w:t>
      </w:r>
      <w:r>
        <w:t xml:space="preserve">y carry a smaller caseload than </w:t>
      </w:r>
      <w:r w:rsidR="00A64BBF">
        <w:t xml:space="preserve">some of </w:t>
      </w:r>
      <w:r>
        <w:t>their non-OCDETF counterparts, the cases typically are more complex and longer term.</w:t>
      </w:r>
    </w:p>
    <w:p w:rsidR="00B54490" w:rsidRDefault="00B54490" w:rsidP="00F77B57">
      <w:pPr>
        <w:pStyle w:val="BodyText"/>
        <w:rPr>
          <w:b/>
          <w:u w:val="single"/>
        </w:rPr>
      </w:pPr>
      <w:r>
        <w:rPr>
          <w:b/>
          <w:u w:val="single"/>
        </w:rPr>
        <w:t>Criminal Division Programs</w:t>
      </w:r>
    </w:p>
    <w:p w:rsidR="00B54490" w:rsidRDefault="00B54490" w:rsidP="00F77B57">
      <w:pPr>
        <w:pStyle w:val="BodyText"/>
      </w:pPr>
      <w:r>
        <w:rPr>
          <w:b/>
        </w:rPr>
        <w:t xml:space="preserve">The </w:t>
      </w:r>
      <w:r w:rsidRPr="000F61F8">
        <w:rPr>
          <w:b/>
        </w:rPr>
        <w:t>Office of Enforcement Operations (OEO)</w:t>
      </w:r>
      <w:r w:rsidRPr="00DA792D">
        <w:rPr>
          <w:b/>
        </w:rPr>
        <w:t xml:space="preserve"> </w:t>
      </w:r>
      <w:r>
        <w:t xml:space="preserve">offers direct operational support to U.S. Attorneys’ Offices by reviewing all applications for electronic surveillance and by providing guidance to agents and prosecutors on the development of such applications.  Prompt, thorough processing of time-sensitive Title III applications is crucial to the success of OCDETF’s coordinated, nationwide investigations, of which </w:t>
      </w:r>
      <w:r w:rsidRPr="0017163E">
        <w:t xml:space="preserve">approximately </w:t>
      </w:r>
      <w:r>
        <w:t>44 percent</w:t>
      </w:r>
      <w:r w:rsidRPr="0017163E">
        <w:t xml:space="preserve"> use wiretaps.</w:t>
      </w:r>
    </w:p>
    <w:p w:rsidR="009E747E" w:rsidRDefault="00B54490" w:rsidP="00F77B57">
      <w:pPr>
        <w:pStyle w:val="BodyText"/>
      </w:pPr>
      <w:r w:rsidRPr="000F61F8">
        <w:rPr>
          <w:b/>
        </w:rPr>
        <w:t>Narcotic and Dangerous Drug Section (NDDS)</w:t>
      </w:r>
      <w:r>
        <w:t xml:space="preserve"> attorneys also provide assistance to and/or participate directly in OCDETF prosecutions.  In March 2007, OCDETF re-issued its Program Guidelines to </w:t>
      </w:r>
      <w:r>
        <w:rPr>
          <w:szCs w:val="24"/>
        </w:rPr>
        <w:t>allow the Criminal Division to designate cases that it is prosecuting, specifically international investigations, as OCDETF cases.  Prior to this revision, an OCDETF investigation had to be initiated through a U.S. Attorney</w:t>
      </w:r>
      <w:r w:rsidR="009C7BA5">
        <w:rPr>
          <w:szCs w:val="24"/>
        </w:rPr>
        <w:t>’</w:t>
      </w:r>
      <w:r>
        <w:rPr>
          <w:szCs w:val="24"/>
        </w:rPr>
        <w:t xml:space="preserve">s Office.  </w:t>
      </w:r>
      <w:r>
        <w:t xml:space="preserve">With the increasing complexity and scope of OCDETF cases, Criminal Division attorneys are </w:t>
      </w:r>
      <w:r w:rsidR="009350B6">
        <w:t xml:space="preserve">sometimes </w:t>
      </w:r>
      <w:r>
        <w:t xml:space="preserve">called upon to provide expert advice to U.S. Attorneys’ Offices in OCDETF cases.  NDDS attorneys </w:t>
      </w:r>
      <w:r w:rsidR="009C7BA5">
        <w:t xml:space="preserve">also assist in </w:t>
      </w:r>
      <w:r>
        <w:t>supporting and coordinating nationwide investigations t</w:t>
      </w:r>
      <w:r w:rsidR="00AB1AB2">
        <w:t xml:space="preserve">hrough their work with SOD.  </w:t>
      </w:r>
    </w:p>
    <w:p w:rsidR="00B54490" w:rsidRDefault="00B54490" w:rsidP="00F77B57">
      <w:pPr>
        <w:pStyle w:val="BodyText"/>
      </w:pPr>
      <w:r>
        <w:rPr>
          <w:rFonts w:ascii="Times New Roman Bold" w:hAnsi="Times New Roman Bold"/>
          <w:b/>
        </w:rPr>
        <w:t>A</w:t>
      </w:r>
      <w:r w:rsidRPr="000F61F8">
        <w:rPr>
          <w:rFonts w:ascii="Times New Roman Bold" w:hAnsi="Times New Roman Bold"/>
          <w:b/>
        </w:rPr>
        <w:t>sset Forfeiture and Money Laundering Section (AFMLS)</w:t>
      </w:r>
      <w:r>
        <w:rPr>
          <w:b/>
        </w:rPr>
        <w:t xml:space="preserve"> </w:t>
      </w:r>
      <w:r>
        <w:t xml:space="preserve">attorneys provide critical guidance to the field for the development of financial investigations, which are required in every </w:t>
      </w:r>
      <w:r>
        <w:lastRenderedPageBreak/>
        <w:t xml:space="preserve">OCDETF case.  AFMLS attorneys are skilled in the application of money laundering and other financial statutes to specific types of sophisticated criminal activity, and they are particularly knowledgeable about the means to identify, freeze, seize, and repatriate assets from foreign jurisdictions.  In addition, AFMLS </w:t>
      </w:r>
      <w:r w:rsidR="009E747E">
        <w:t xml:space="preserve">partners with OCDETF to </w:t>
      </w:r>
      <w:r>
        <w:t>administer OCDETF’s nationwide financial training program</w:t>
      </w:r>
      <w:r w:rsidRPr="008925A0">
        <w:t xml:space="preserve">.  </w:t>
      </w:r>
      <w:r w:rsidRPr="001D55AF">
        <w:t xml:space="preserve">Since FY 2004, AFMLS </w:t>
      </w:r>
      <w:r w:rsidR="009E747E">
        <w:t xml:space="preserve">and OCDETF </w:t>
      </w:r>
      <w:r w:rsidRPr="001D55AF">
        <w:t xml:space="preserve">personnel have conducted </w:t>
      </w:r>
      <w:r>
        <w:t>more than 6</w:t>
      </w:r>
      <w:r w:rsidR="009E747E">
        <w:t>5</w:t>
      </w:r>
      <w:r>
        <w:t xml:space="preserve"> </w:t>
      </w:r>
      <w:r w:rsidRPr="001D55AF">
        <w:t xml:space="preserve">training conferences in cities </w:t>
      </w:r>
      <w:r>
        <w:t>across the country</w:t>
      </w:r>
      <w:r w:rsidRPr="001D55AF">
        <w:t xml:space="preserve">, training </w:t>
      </w:r>
      <w:r>
        <w:t xml:space="preserve">more </w:t>
      </w:r>
      <w:r w:rsidR="009E747E">
        <w:t xml:space="preserve">than </w:t>
      </w:r>
      <w:r>
        <w:t>6</w:t>
      </w:r>
      <w:r w:rsidR="009E747E">
        <w:t>,0</w:t>
      </w:r>
      <w:r>
        <w:t>00</w:t>
      </w:r>
      <w:r w:rsidRPr="001D55AF">
        <w:t xml:space="preserve"> agents, analysts</w:t>
      </w:r>
      <w:r>
        <w:t>,</w:t>
      </w:r>
      <w:r w:rsidRPr="001D55AF">
        <w:t xml:space="preserve"> and prosecutors </w:t>
      </w:r>
      <w:r>
        <w:t xml:space="preserve">from 20 federal and 40 state and local participating agencies </w:t>
      </w:r>
      <w:r w:rsidRPr="001D55AF">
        <w:t xml:space="preserve">on financial investigative techniques.  </w:t>
      </w:r>
      <w:r w:rsidR="00AB1AB2">
        <w:t xml:space="preserve">In addition, AFMLS is also supporting </w:t>
      </w:r>
      <w:r w:rsidR="00DA2048">
        <w:t>a</w:t>
      </w:r>
      <w:r w:rsidR="00AB1AB2">
        <w:t xml:space="preserve"> Mexican Cartel initiative.</w:t>
      </w:r>
    </w:p>
    <w:p w:rsidR="00B54490" w:rsidRDefault="00B54490" w:rsidP="00F77B57">
      <w:pPr>
        <w:pStyle w:val="BodyText"/>
      </w:pPr>
      <w:r w:rsidRPr="000F61F8">
        <w:rPr>
          <w:b/>
        </w:rPr>
        <w:t>The Criminal Division’s Office of International Affairs (OIA)</w:t>
      </w:r>
      <w:r>
        <w:t xml:space="preserve"> has become increasingly involved in OCDETF investigations. With OCDETF’s particular focus on targeting and dismantling international “command and control” organizations and other international sources of supply, OIA is called upon with greater frequency to handle requests under Mutual Legal Assistance Treaties, provisional arrest warrants, and extraditions arising out of OCDETF investigations.  </w:t>
      </w:r>
    </w:p>
    <w:p w:rsidR="00AC4958" w:rsidRDefault="00AC4958">
      <w:pPr>
        <w:rPr>
          <w:rFonts w:ascii="Times New Roman Bold" w:hAnsi="Times New Roman Bold"/>
          <w:b/>
        </w:rPr>
      </w:pPr>
      <w:r>
        <w:rPr>
          <w:rFonts w:ascii="Times New Roman Bold" w:hAnsi="Times New Roman Bold"/>
          <w:b/>
        </w:rPr>
        <w:br w:type="page"/>
      </w:r>
    </w:p>
    <w:p w:rsidR="001D18ED" w:rsidRPr="00AC4958" w:rsidRDefault="00AC4958" w:rsidP="00AC4958">
      <w:pPr>
        <w:pStyle w:val="ListParagraph"/>
        <w:numPr>
          <w:ilvl w:val="1"/>
          <w:numId w:val="22"/>
        </w:numPr>
        <w:rPr>
          <w:rFonts w:ascii="Times New Roman Bold" w:hAnsi="Times New Roman Bold"/>
          <w:b/>
        </w:rPr>
      </w:pPr>
      <w:r>
        <w:rPr>
          <w:rFonts w:ascii="Times New Roman Bold" w:hAnsi="Times New Roman Bold"/>
          <w:b/>
        </w:rPr>
        <w:lastRenderedPageBreak/>
        <w:t>Transnational Organized Crime (TOC) Investigations</w:t>
      </w:r>
    </w:p>
    <w:p w:rsidR="00AC4958" w:rsidRDefault="00AC4958">
      <w:pPr>
        <w:rPr>
          <w:rFonts w:ascii="Times New Roman Bold" w:hAnsi="Times New Roman Bol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7"/>
        <w:gridCol w:w="1581"/>
        <w:gridCol w:w="1197"/>
        <w:gridCol w:w="2061"/>
      </w:tblGrid>
      <w:tr w:rsidR="00AC4958" w:rsidRPr="007B21AA" w:rsidTr="00AC4958">
        <w:tc>
          <w:tcPr>
            <w:tcW w:w="4737" w:type="dxa"/>
          </w:tcPr>
          <w:p w:rsidR="00AC4958" w:rsidRPr="007B21AA" w:rsidRDefault="00AC4958" w:rsidP="00AC4958">
            <w:pPr>
              <w:rPr>
                <w:bCs/>
                <w:iCs/>
                <w:szCs w:val="24"/>
              </w:rPr>
            </w:pPr>
            <w:r w:rsidRPr="007B21AA">
              <w:rPr>
                <w:bCs/>
                <w:szCs w:val="24"/>
              </w:rPr>
              <w:t>Investigations TOTAL</w:t>
            </w:r>
          </w:p>
        </w:tc>
        <w:tc>
          <w:tcPr>
            <w:tcW w:w="1581" w:type="dxa"/>
            <w:vAlign w:val="center"/>
          </w:tcPr>
          <w:p w:rsidR="00AC4958" w:rsidRPr="007B21AA" w:rsidRDefault="00AC4958" w:rsidP="00AC4958">
            <w:pPr>
              <w:jc w:val="center"/>
              <w:rPr>
                <w:bCs/>
                <w:szCs w:val="24"/>
              </w:rPr>
            </w:pPr>
            <w:r w:rsidRPr="007B21AA">
              <w:rPr>
                <w:bCs/>
                <w:szCs w:val="24"/>
              </w:rPr>
              <w:t>Perm. Pos.</w:t>
            </w:r>
          </w:p>
        </w:tc>
        <w:tc>
          <w:tcPr>
            <w:tcW w:w="1197" w:type="dxa"/>
            <w:vAlign w:val="center"/>
          </w:tcPr>
          <w:p w:rsidR="00AC4958" w:rsidRPr="007B21AA" w:rsidRDefault="00AC4958" w:rsidP="00AC4958">
            <w:pPr>
              <w:jc w:val="center"/>
              <w:rPr>
                <w:bCs/>
                <w:szCs w:val="24"/>
              </w:rPr>
            </w:pPr>
            <w:r w:rsidRPr="007B21AA">
              <w:rPr>
                <w:bCs/>
                <w:szCs w:val="24"/>
              </w:rPr>
              <w:t>FTE</w:t>
            </w:r>
          </w:p>
        </w:tc>
        <w:tc>
          <w:tcPr>
            <w:tcW w:w="2061" w:type="dxa"/>
            <w:vAlign w:val="center"/>
          </w:tcPr>
          <w:p w:rsidR="00AC4958" w:rsidRPr="007B21AA" w:rsidRDefault="00AC4958" w:rsidP="00AC4958">
            <w:pPr>
              <w:jc w:val="center"/>
              <w:rPr>
                <w:bCs/>
                <w:szCs w:val="24"/>
              </w:rPr>
            </w:pPr>
            <w:r w:rsidRPr="007B21AA">
              <w:rPr>
                <w:bCs/>
                <w:szCs w:val="24"/>
              </w:rPr>
              <w:t>Dollars $(000)</w:t>
            </w:r>
          </w:p>
        </w:tc>
      </w:tr>
      <w:tr w:rsidR="00AC4958" w:rsidRPr="007B21AA" w:rsidTr="00AC4958">
        <w:tc>
          <w:tcPr>
            <w:tcW w:w="4737" w:type="dxa"/>
          </w:tcPr>
          <w:p w:rsidR="00AC4958" w:rsidRPr="007B21AA" w:rsidRDefault="00AC4958" w:rsidP="00AC4958">
            <w:pPr>
              <w:rPr>
                <w:szCs w:val="24"/>
              </w:rPr>
            </w:pPr>
            <w:r w:rsidRPr="007B21AA">
              <w:rPr>
                <w:bCs/>
                <w:szCs w:val="24"/>
              </w:rPr>
              <w:t>201</w:t>
            </w:r>
            <w:r>
              <w:rPr>
                <w:bCs/>
                <w:szCs w:val="24"/>
              </w:rPr>
              <w:t>1</w:t>
            </w:r>
            <w:r w:rsidRPr="007B21AA">
              <w:rPr>
                <w:bCs/>
                <w:szCs w:val="24"/>
              </w:rPr>
              <w:t xml:space="preserve"> Enacted with Rescissions</w:t>
            </w:r>
          </w:p>
        </w:tc>
        <w:tc>
          <w:tcPr>
            <w:tcW w:w="1581" w:type="dxa"/>
            <w:vAlign w:val="center"/>
          </w:tcPr>
          <w:p w:rsidR="00AC4958" w:rsidRPr="007B21AA" w:rsidRDefault="00AC4958" w:rsidP="00AC4958">
            <w:pPr>
              <w:jc w:val="right"/>
              <w:rPr>
                <w:szCs w:val="24"/>
              </w:rPr>
            </w:pPr>
            <w:r>
              <w:rPr>
                <w:szCs w:val="24"/>
              </w:rPr>
              <w:t>0</w:t>
            </w:r>
          </w:p>
        </w:tc>
        <w:tc>
          <w:tcPr>
            <w:tcW w:w="1197" w:type="dxa"/>
            <w:vAlign w:val="center"/>
          </w:tcPr>
          <w:p w:rsidR="00AC4958" w:rsidRPr="007B21AA" w:rsidRDefault="00AC4958" w:rsidP="00AC4958">
            <w:pPr>
              <w:jc w:val="right"/>
              <w:rPr>
                <w:szCs w:val="24"/>
              </w:rPr>
            </w:pPr>
            <w:r>
              <w:rPr>
                <w:szCs w:val="24"/>
              </w:rPr>
              <w:t>0</w:t>
            </w:r>
          </w:p>
        </w:tc>
        <w:tc>
          <w:tcPr>
            <w:tcW w:w="2061" w:type="dxa"/>
            <w:vAlign w:val="center"/>
          </w:tcPr>
          <w:p w:rsidR="00AC4958" w:rsidRPr="007B21AA" w:rsidRDefault="00AC4958" w:rsidP="00AC4958">
            <w:pPr>
              <w:jc w:val="right"/>
              <w:rPr>
                <w:szCs w:val="24"/>
              </w:rPr>
            </w:pPr>
            <w:r>
              <w:rPr>
                <w:szCs w:val="24"/>
              </w:rPr>
              <w:t>0</w:t>
            </w:r>
          </w:p>
        </w:tc>
      </w:tr>
      <w:tr w:rsidR="00AC4958" w:rsidRPr="00DE190F" w:rsidTr="00AC4958">
        <w:tc>
          <w:tcPr>
            <w:tcW w:w="4737" w:type="dxa"/>
          </w:tcPr>
          <w:p w:rsidR="00AC4958" w:rsidRPr="007B21AA" w:rsidRDefault="00AC4958" w:rsidP="00AC4958">
            <w:pPr>
              <w:rPr>
                <w:bCs/>
                <w:szCs w:val="24"/>
              </w:rPr>
            </w:pPr>
            <w:r>
              <w:rPr>
                <w:bCs/>
                <w:szCs w:val="24"/>
              </w:rPr>
              <w:t xml:space="preserve">   2011</w:t>
            </w:r>
            <w:r w:rsidRPr="007B21AA">
              <w:rPr>
                <w:bCs/>
                <w:szCs w:val="24"/>
              </w:rPr>
              <w:t xml:space="preserve"> Supplemental</w:t>
            </w:r>
          </w:p>
        </w:tc>
        <w:tc>
          <w:tcPr>
            <w:tcW w:w="1581" w:type="dxa"/>
            <w:vAlign w:val="center"/>
          </w:tcPr>
          <w:p w:rsidR="00AC4958" w:rsidRPr="007B21AA" w:rsidRDefault="00AC4958" w:rsidP="00AC4958">
            <w:pPr>
              <w:jc w:val="right"/>
              <w:rPr>
                <w:szCs w:val="24"/>
              </w:rPr>
            </w:pPr>
            <w:r>
              <w:rPr>
                <w:szCs w:val="24"/>
              </w:rPr>
              <w:t>0</w:t>
            </w:r>
          </w:p>
        </w:tc>
        <w:tc>
          <w:tcPr>
            <w:tcW w:w="1197" w:type="dxa"/>
            <w:vAlign w:val="center"/>
          </w:tcPr>
          <w:p w:rsidR="00AC4958" w:rsidRPr="007B21AA" w:rsidRDefault="00AC4958" w:rsidP="00AC4958">
            <w:pPr>
              <w:jc w:val="right"/>
              <w:rPr>
                <w:szCs w:val="24"/>
              </w:rPr>
            </w:pPr>
            <w:r>
              <w:rPr>
                <w:szCs w:val="24"/>
              </w:rPr>
              <w:t>0</w:t>
            </w:r>
          </w:p>
        </w:tc>
        <w:tc>
          <w:tcPr>
            <w:tcW w:w="2061" w:type="dxa"/>
            <w:vAlign w:val="center"/>
          </w:tcPr>
          <w:p w:rsidR="00AC4958" w:rsidRPr="00DE190F" w:rsidRDefault="00AC4958" w:rsidP="00AC4958">
            <w:pPr>
              <w:jc w:val="right"/>
              <w:rPr>
                <w:szCs w:val="24"/>
              </w:rPr>
            </w:pPr>
            <w:r>
              <w:rPr>
                <w:szCs w:val="24"/>
              </w:rPr>
              <w:t>0</w:t>
            </w:r>
          </w:p>
        </w:tc>
      </w:tr>
      <w:tr w:rsidR="00AC4958" w:rsidRPr="00DE190F" w:rsidTr="00AC4958">
        <w:tc>
          <w:tcPr>
            <w:tcW w:w="4737" w:type="dxa"/>
          </w:tcPr>
          <w:p w:rsidR="00AC4958" w:rsidRPr="007B21AA" w:rsidRDefault="00AC4958" w:rsidP="00AC4958">
            <w:pPr>
              <w:rPr>
                <w:bCs/>
                <w:szCs w:val="24"/>
              </w:rPr>
            </w:pPr>
            <w:r>
              <w:rPr>
                <w:bCs/>
                <w:szCs w:val="24"/>
              </w:rPr>
              <w:t>2011</w:t>
            </w:r>
            <w:r w:rsidRPr="007B21AA">
              <w:rPr>
                <w:bCs/>
                <w:szCs w:val="24"/>
              </w:rPr>
              <w:t xml:space="preserve"> Enacted w/Rescissions &amp; Supplementals</w:t>
            </w:r>
          </w:p>
        </w:tc>
        <w:tc>
          <w:tcPr>
            <w:tcW w:w="1581" w:type="dxa"/>
            <w:vAlign w:val="center"/>
          </w:tcPr>
          <w:p w:rsidR="00AC4958" w:rsidRPr="007B21AA" w:rsidRDefault="00AC4958" w:rsidP="00AC4958">
            <w:pPr>
              <w:jc w:val="right"/>
              <w:rPr>
                <w:szCs w:val="24"/>
              </w:rPr>
            </w:pPr>
            <w:r>
              <w:rPr>
                <w:szCs w:val="24"/>
              </w:rPr>
              <w:t>0</w:t>
            </w:r>
          </w:p>
        </w:tc>
        <w:tc>
          <w:tcPr>
            <w:tcW w:w="1197" w:type="dxa"/>
            <w:vAlign w:val="center"/>
          </w:tcPr>
          <w:p w:rsidR="00AC4958" w:rsidRPr="007B21AA" w:rsidRDefault="00AC4958" w:rsidP="00AC4958">
            <w:pPr>
              <w:jc w:val="right"/>
              <w:rPr>
                <w:szCs w:val="24"/>
              </w:rPr>
            </w:pPr>
            <w:r>
              <w:rPr>
                <w:szCs w:val="24"/>
              </w:rPr>
              <w:t>0</w:t>
            </w:r>
          </w:p>
        </w:tc>
        <w:tc>
          <w:tcPr>
            <w:tcW w:w="2061" w:type="dxa"/>
            <w:vAlign w:val="center"/>
          </w:tcPr>
          <w:p w:rsidR="00AC4958" w:rsidRPr="00DE190F" w:rsidRDefault="00AC4958" w:rsidP="00AC4958">
            <w:pPr>
              <w:jc w:val="right"/>
              <w:rPr>
                <w:szCs w:val="24"/>
              </w:rPr>
            </w:pPr>
            <w:r>
              <w:rPr>
                <w:szCs w:val="24"/>
              </w:rPr>
              <w:t>0</w:t>
            </w:r>
          </w:p>
        </w:tc>
      </w:tr>
      <w:tr w:rsidR="00AC4958" w:rsidRPr="007B21AA" w:rsidTr="00AC4958">
        <w:tc>
          <w:tcPr>
            <w:tcW w:w="4737" w:type="dxa"/>
          </w:tcPr>
          <w:p w:rsidR="00AC4958" w:rsidRPr="007B21AA" w:rsidRDefault="00AC4958" w:rsidP="00E87F10">
            <w:pPr>
              <w:rPr>
                <w:bCs/>
                <w:szCs w:val="24"/>
              </w:rPr>
            </w:pPr>
            <w:r w:rsidRPr="007B21AA">
              <w:rPr>
                <w:bCs/>
                <w:szCs w:val="24"/>
              </w:rPr>
              <w:t>201</w:t>
            </w:r>
            <w:r>
              <w:rPr>
                <w:bCs/>
                <w:szCs w:val="24"/>
              </w:rPr>
              <w:t>2</w:t>
            </w:r>
            <w:r w:rsidR="00E87F10">
              <w:rPr>
                <w:bCs/>
                <w:szCs w:val="24"/>
              </w:rPr>
              <w:t xml:space="preserve"> Enacted</w:t>
            </w:r>
            <w:r>
              <w:rPr>
                <w:bCs/>
                <w:szCs w:val="24"/>
              </w:rPr>
              <w:t xml:space="preserve"> </w:t>
            </w:r>
          </w:p>
        </w:tc>
        <w:tc>
          <w:tcPr>
            <w:tcW w:w="1581" w:type="dxa"/>
            <w:vAlign w:val="center"/>
          </w:tcPr>
          <w:p w:rsidR="00AC4958" w:rsidRPr="007B21AA" w:rsidRDefault="00AC4958" w:rsidP="00AC4958">
            <w:pPr>
              <w:jc w:val="right"/>
              <w:rPr>
                <w:szCs w:val="24"/>
              </w:rPr>
            </w:pPr>
            <w:r>
              <w:rPr>
                <w:szCs w:val="24"/>
              </w:rPr>
              <w:t>0</w:t>
            </w:r>
          </w:p>
        </w:tc>
        <w:tc>
          <w:tcPr>
            <w:tcW w:w="1197" w:type="dxa"/>
            <w:vAlign w:val="center"/>
          </w:tcPr>
          <w:p w:rsidR="00AC4958" w:rsidRPr="007B21AA" w:rsidRDefault="00AC4958" w:rsidP="00AC4958">
            <w:pPr>
              <w:jc w:val="right"/>
              <w:rPr>
                <w:szCs w:val="24"/>
              </w:rPr>
            </w:pPr>
            <w:r>
              <w:rPr>
                <w:szCs w:val="24"/>
              </w:rPr>
              <w:t>0</w:t>
            </w:r>
          </w:p>
        </w:tc>
        <w:tc>
          <w:tcPr>
            <w:tcW w:w="2061" w:type="dxa"/>
            <w:vAlign w:val="center"/>
          </w:tcPr>
          <w:p w:rsidR="00AC4958" w:rsidRPr="007B21AA" w:rsidRDefault="00AC4958" w:rsidP="00AC4958">
            <w:pPr>
              <w:jc w:val="right"/>
              <w:rPr>
                <w:szCs w:val="24"/>
              </w:rPr>
            </w:pPr>
            <w:r>
              <w:rPr>
                <w:szCs w:val="24"/>
              </w:rPr>
              <w:t>0</w:t>
            </w:r>
          </w:p>
        </w:tc>
      </w:tr>
      <w:tr w:rsidR="00AC4958" w:rsidRPr="007B21AA" w:rsidTr="00AC4958">
        <w:tc>
          <w:tcPr>
            <w:tcW w:w="4737" w:type="dxa"/>
          </w:tcPr>
          <w:p w:rsidR="00AC4958" w:rsidRPr="007B21AA" w:rsidRDefault="00AC4958" w:rsidP="00AC4958">
            <w:pPr>
              <w:rPr>
                <w:szCs w:val="24"/>
              </w:rPr>
            </w:pPr>
            <w:r w:rsidRPr="007B21AA">
              <w:rPr>
                <w:bCs/>
                <w:szCs w:val="24"/>
              </w:rPr>
              <w:t xml:space="preserve">Adjustments to Base and Technical Adjustments </w:t>
            </w:r>
          </w:p>
        </w:tc>
        <w:tc>
          <w:tcPr>
            <w:tcW w:w="1581" w:type="dxa"/>
            <w:vAlign w:val="center"/>
          </w:tcPr>
          <w:p w:rsidR="00AC4958" w:rsidRPr="007B21AA" w:rsidRDefault="00AC4958" w:rsidP="00AC4958">
            <w:pPr>
              <w:jc w:val="right"/>
              <w:rPr>
                <w:szCs w:val="24"/>
              </w:rPr>
            </w:pPr>
            <w:r w:rsidRPr="007B21AA">
              <w:rPr>
                <w:szCs w:val="24"/>
              </w:rPr>
              <w:t>0</w:t>
            </w:r>
          </w:p>
        </w:tc>
        <w:tc>
          <w:tcPr>
            <w:tcW w:w="1197" w:type="dxa"/>
            <w:vAlign w:val="center"/>
          </w:tcPr>
          <w:p w:rsidR="00AC4958" w:rsidRPr="007B21AA" w:rsidRDefault="00AC4958" w:rsidP="00AC4958">
            <w:pPr>
              <w:jc w:val="right"/>
              <w:rPr>
                <w:szCs w:val="24"/>
              </w:rPr>
            </w:pPr>
            <w:r w:rsidRPr="007B21AA">
              <w:rPr>
                <w:szCs w:val="24"/>
              </w:rPr>
              <w:t>0</w:t>
            </w:r>
          </w:p>
        </w:tc>
        <w:tc>
          <w:tcPr>
            <w:tcW w:w="2061" w:type="dxa"/>
            <w:vAlign w:val="center"/>
          </w:tcPr>
          <w:p w:rsidR="00AC4958" w:rsidRPr="007B21AA" w:rsidRDefault="00AC4958" w:rsidP="00AC4958">
            <w:pPr>
              <w:jc w:val="right"/>
              <w:rPr>
                <w:szCs w:val="24"/>
              </w:rPr>
            </w:pPr>
            <w:r>
              <w:rPr>
                <w:szCs w:val="24"/>
              </w:rPr>
              <w:t>0</w:t>
            </w:r>
          </w:p>
        </w:tc>
      </w:tr>
      <w:tr w:rsidR="00AC4958" w:rsidRPr="007B21AA" w:rsidTr="00AC4958">
        <w:tc>
          <w:tcPr>
            <w:tcW w:w="4737" w:type="dxa"/>
            <w:tcBorders>
              <w:bottom w:val="single" w:sz="4" w:space="0" w:color="auto"/>
            </w:tcBorders>
          </w:tcPr>
          <w:p w:rsidR="00AC4958" w:rsidRPr="007B21AA" w:rsidRDefault="00AC4958" w:rsidP="00AC4958">
            <w:pPr>
              <w:tabs>
                <w:tab w:val="right" w:pos="4752"/>
              </w:tabs>
              <w:rPr>
                <w:szCs w:val="24"/>
              </w:rPr>
            </w:pPr>
            <w:r w:rsidRPr="007B21AA">
              <w:rPr>
                <w:bCs/>
                <w:szCs w:val="24"/>
              </w:rPr>
              <w:t>201</w:t>
            </w:r>
            <w:r>
              <w:rPr>
                <w:bCs/>
                <w:szCs w:val="24"/>
              </w:rPr>
              <w:t>3</w:t>
            </w:r>
            <w:r w:rsidRPr="007B21AA">
              <w:rPr>
                <w:bCs/>
                <w:szCs w:val="24"/>
              </w:rPr>
              <w:t xml:space="preserve"> Current Services</w:t>
            </w:r>
            <w:r w:rsidRPr="007B21AA">
              <w:rPr>
                <w:bCs/>
                <w:szCs w:val="24"/>
              </w:rPr>
              <w:tab/>
            </w:r>
          </w:p>
        </w:tc>
        <w:tc>
          <w:tcPr>
            <w:tcW w:w="1581" w:type="dxa"/>
            <w:tcBorders>
              <w:bottom w:val="single" w:sz="4" w:space="0" w:color="auto"/>
            </w:tcBorders>
            <w:vAlign w:val="center"/>
          </w:tcPr>
          <w:p w:rsidR="00AC4958" w:rsidRPr="007B21AA" w:rsidRDefault="00AC4958" w:rsidP="00AC4958">
            <w:pPr>
              <w:jc w:val="right"/>
              <w:rPr>
                <w:szCs w:val="24"/>
              </w:rPr>
            </w:pPr>
            <w:r>
              <w:rPr>
                <w:szCs w:val="24"/>
              </w:rPr>
              <w:t>0</w:t>
            </w:r>
          </w:p>
        </w:tc>
        <w:tc>
          <w:tcPr>
            <w:tcW w:w="1197" w:type="dxa"/>
            <w:tcBorders>
              <w:bottom w:val="single" w:sz="4" w:space="0" w:color="auto"/>
            </w:tcBorders>
            <w:vAlign w:val="center"/>
          </w:tcPr>
          <w:p w:rsidR="00AC4958" w:rsidRPr="007B21AA" w:rsidRDefault="00AC4958" w:rsidP="00AC4958">
            <w:pPr>
              <w:jc w:val="right"/>
              <w:rPr>
                <w:szCs w:val="24"/>
              </w:rPr>
            </w:pPr>
            <w:r>
              <w:rPr>
                <w:szCs w:val="24"/>
              </w:rPr>
              <w:t>0</w:t>
            </w:r>
          </w:p>
        </w:tc>
        <w:tc>
          <w:tcPr>
            <w:tcW w:w="2061" w:type="dxa"/>
            <w:tcBorders>
              <w:bottom w:val="single" w:sz="4" w:space="0" w:color="auto"/>
            </w:tcBorders>
            <w:vAlign w:val="center"/>
          </w:tcPr>
          <w:p w:rsidR="00AC4958" w:rsidRPr="007B21AA" w:rsidRDefault="00AC4958" w:rsidP="00AC4958">
            <w:pPr>
              <w:jc w:val="right"/>
              <w:rPr>
                <w:szCs w:val="24"/>
              </w:rPr>
            </w:pPr>
            <w:r>
              <w:rPr>
                <w:szCs w:val="24"/>
              </w:rPr>
              <w:t>0</w:t>
            </w:r>
          </w:p>
        </w:tc>
      </w:tr>
      <w:tr w:rsidR="00AC4958" w:rsidRPr="007B21AA" w:rsidTr="00AC4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37" w:type="dxa"/>
            <w:tcBorders>
              <w:top w:val="single" w:sz="4" w:space="0" w:color="auto"/>
              <w:left w:val="single" w:sz="4" w:space="0" w:color="auto"/>
              <w:bottom w:val="single" w:sz="4" w:space="0" w:color="auto"/>
              <w:right w:val="single" w:sz="4" w:space="0" w:color="auto"/>
            </w:tcBorders>
          </w:tcPr>
          <w:p w:rsidR="00AC4958" w:rsidRPr="007B21AA" w:rsidRDefault="00AC4958" w:rsidP="00AC4958">
            <w:pPr>
              <w:rPr>
                <w:szCs w:val="24"/>
              </w:rPr>
            </w:pPr>
            <w:r w:rsidRPr="007B21AA">
              <w:rPr>
                <w:bCs/>
                <w:szCs w:val="24"/>
              </w:rPr>
              <w:t>201</w:t>
            </w:r>
            <w:r>
              <w:rPr>
                <w:bCs/>
                <w:szCs w:val="24"/>
              </w:rPr>
              <w:t>3</w:t>
            </w:r>
            <w:r w:rsidRPr="007B21AA">
              <w:rPr>
                <w:bCs/>
                <w:szCs w:val="24"/>
              </w:rPr>
              <w:t xml:space="preserve"> Request</w:t>
            </w:r>
          </w:p>
        </w:tc>
        <w:tc>
          <w:tcPr>
            <w:tcW w:w="1581" w:type="dxa"/>
            <w:tcBorders>
              <w:top w:val="single" w:sz="4" w:space="0" w:color="auto"/>
              <w:left w:val="single" w:sz="4" w:space="0" w:color="auto"/>
              <w:bottom w:val="single" w:sz="4" w:space="0" w:color="auto"/>
              <w:right w:val="single" w:sz="4" w:space="0" w:color="auto"/>
            </w:tcBorders>
          </w:tcPr>
          <w:p w:rsidR="00AC4958" w:rsidRPr="007B21AA" w:rsidRDefault="00AC4958" w:rsidP="00AC4958">
            <w:pPr>
              <w:jc w:val="right"/>
              <w:rPr>
                <w:szCs w:val="24"/>
              </w:rPr>
            </w:pPr>
            <w:r>
              <w:rPr>
                <w:szCs w:val="24"/>
              </w:rPr>
              <w:t>1</w:t>
            </w:r>
          </w:p>
        </w:tc>
        <w:tc>
          <w:tcPr>
            <w:tcW w:w="1197" w:type="dxa"/>
            <w:tcBorders>
              <w:top w:val="single" w:sz="4" w:space="0" w:color="auto"/>
              <w:left w:val="single" w:sz="4" w:space="0" w:color="auto"/>
              <w:bottom w:val="single" w:sz="4" w:space="0" w:color="auto"/>
              <w:right w:val="single" w:sz="4" w:space="0" w:color="auto"/>
            </w:tcBorders>
          </w:tcPr>
          <w:p w:rsidR="00AC4958" w:rsidRPr="007B21AA" w:rsidRDefault="00AC4958" w:rsidP="00AC4958">
            <w:pPr>
              <w:jc w:val="right"/>
              <w:rPr>
                <w:szCs w:val="24"/>
              </w:rPr>
            </w:pPr>
            <w:r>
              <w:rPr>
                <w:szCs w:val="24"/>
              </w:rPr>
              <w:t>1</w:t>
            </w:r>
          </w:p>
        </w:tc>
        <w:tc>
          <w:tcPr>
            <w:tcW w:w="2061" w:type="dxa"/>
            <w:tcBorders>
              <w:top w:val="single" w:sz="4" w:space="0" w:color="auto"/>
              <w:left w:val="single" w:sz="4" w:space="0" w:color="auto"/>
              <w:bottom w:val="single" w:sz="4" w:space="0" w:color="auto"/>
              <w:right w:val="single" w:sz="4" w:space="0" w:color="auto"/>
            </w:tcBorders>
          </w:tcPr>
          <w:p w:rsidR="00AC4958" w:rsidRPr="007B21AA" w:rsidRDefault="00AC4958" w:rsidP="00AC4958">
            <w:pPr>
              <w:jc w:val="right"/>
              <w:rPr>
                <w:szCs w:val="24"/>
              </w:rPr>
            </w:pPr>
            <w:r>
              <w:rPr>
                <w:szCs w:val="24"/>
              </w:rPr>
              <w:t>$3,000</w:t>
            </w:r>
          </w:p>
        </w:tc>
      </w:tr>
      <w:tr w:rsidR="00AC4958" w:rsidRPr="007B21AA" w:rsidTr="00AC4958">
        <w:tc>
          <w:tcPr>
            <w:tcW w:w="4737" w:type="dxa"/>
            <w:tcBorders>
              <w:top w:val="single" w:sz="4" w:space="0" w:color="auto"/>
            </w:tcBorders>
            <w:shd w:val="clear" w:color="auto" w:fill="C0C0C0"/>
          </w:tcPr>
          <w:p w:rsidR="00AC4958" w:rsidRPr="007B21AA" w:rsidRDefault="00AC4958" w:rsidP="00AC4958">
            <w:pPr>
              <w:rPr>
                <w:bCs/>
                <w:szCs w:val="24"/>
              </w:rPr>
            </w:pPr>
            <w:r w:rsidRPr="007B21AA">
              <w:rPr>
                <w:bCs/>
                <w:szCs w:val="24"/>
              </w:rPr>
              <w:t>Total Change 201</w:t>
            </w:r>
            <w:r>
              <w:rPr>
                <w:bCs/>
                <w:szCs w:val="24"/>
              </w:rPr>
              <w:t>2</w:t>
            </w:r>
            <w:r w:rsidRPr="007B21AA">
              <w:rPr>
                <w:bCs/>
                <w:szCs w:val="24"/>
              </w:rPr>
              <w:t>-201</w:t>
            </w:r>
            <w:r>
              <w:rPr>
                <w:bCs/>
                <w:szCs w:val="24"/>
              </w:rPr>
              <w:t>3</w:t>
            </w:r>
          </w:p>
        </w:tc>
        <w:tc>
          <w:tcPr>
            <w:tcW w:w="1581" w:type="dxa"/>
            <w:tcBorders>
              <w:top w:val="single" w:sz="4" w:space="0" w:color="auto"/>
            </w:tcBorders>
            <w:shd w:val="clear" w:color="auto" w:fill="C0C0C0"/>
            <w:vAlign w:val="center"/>
          </w:tcPr>
          <w:p w:rsidR="00AC4958" w:rsidRPr="007B21AA" w:rsidRDefault="00A05E99" w:rsidP="00AC4958">
            <w:pPr>
              <w:jc w:val="right"/>
              <w:rPr>
                <w:szCs w:val="24"/>
              </w:rPr>
            </w:pPr>
            <w:r>
              <w:rPr>
                <w:szCs w:val="24"/>
              </w:rPr>
              <w:t>1</w:t>
            </w:r>
          </w:p>
        </w:tc>
        <w:tc>
          <w:tcPr>
            <w:tcW w:w="1197" w:type="dxa"/>
            <w:tcBorders>
              <w:top w:val="single" w:sz="4" w:space="0" w:color="auto"/>
            </w:tcBorders>
            <w:shd w:val="clear" w:color="auto" w:fill="C0C0C0"/>
            <w:vAlign w:val="center"/>
          </w:tcPr>
          <w:p w:rsidR="00AC4958" w:rsidRPr="007B21AA" w:rsidRDefault="00A05E99" w:rsidP="00AC4958">
            <w:pPr>
              <w:jc w:val="right"/>
              <w:rPr>
                <w:szCs w:val="24"/>
              </w:rPr>
            </w:pPr>
            <w:r>
              <w:rPr>
                <w:szCs w:val="24"/>
              </w:rPr>
              <w:t>1</w:t>
            </w:r>
          </w:p>
        </w:tc>
        <w:tc>
          <w:tcPr>
            <w:tcW w:w="2061" w:type="dxa"/>
            <w:tcBorders>
              <w:top w:val="single" w:sz="4" w:space="0" w:color="auto"/>
            </w:tcBorders>
            <w:shd w:val="clear" w:color="auto" w:fill="C0C0C0"/>
            <w:vAlign w:val="center"/>
          </w:tcPr>
          <w:p w:rsidR="00AC4958" w:rsidRPr="007B21AA" w:rsidRDefault="00AC4958" w:rsidP="00AC4958">
            <w:pPr>
              <w:jc w:val="right"/>
              <w:rPr>
                <w:szCs w:val="24"/>
              </w:rPr>
            </w:pPr>
            <w:r>
              <w:rPr>
                <w:szCs w:val="24"/>
              </w:rPr>
              <w:t>3,000</w:t>
            </w:r>
          </w:p>
        </w:tc>
      </w:tr>
    </w:tbl>
    <w:p w:rsidR="009D6E58" w:rsidRDefault="009D6E58" w:rsidP="00DD7C5C">
      <w:pPr>
        <w:pStyle w:val="Heading3"/>
        <w:numPr>
          <w:ilvl w:val="0"/>
          <w:numId w:val="0"/>
        </w:numPr>
      </w:pPr>
    </w:p>
    <w:p w:rsidR="00AC4958" w:rsidRPr="0068689F" w:rsidRDefault="00AC4958" w:rsidP="00AC4958">
      <w:pPr>
        <w:pStyle w:val="Heading3"/>
        <w:numPr>
          <w:ilvl w:val="0"/>
          <w:numId w:val="0"/>
        </w:numPr>
        <w:ind w:left="720" w:firstLine="720"/>
        <w:rPr>
          <w:shadow/>
        </w:rPr>
      </w:pPr>
      <w:r w:rsidRPr="0068689F">
        <w:rPr>
          <w:b w:val="0"/>
          <w:bCs/>
          <w:shadow/>
        </w:rPr>
        <w:t>1.</w:t>
      </w:r>
      <w:r w:rsidRPr="0068689F">
        <w:rPr>
          <w:b w:val="0"/>
          <w:bCs/>
          <w:shadow/>
        </w:rPr>
        <w:tab/>
      </w:r>
      <w:r w:rsidRPr="00D36F05">
        <w:t>Program Description</w:t>
      </w:r>
    </w:p>
    <w:p w:rsidR="009D6E58" w:rsidRPr="00AC4958" w:rsidRDefault="00AC4958" w:rsidP="00AC4958">
      <w:pPr>
        <w:pStyle w:val="Heading3"/>
        <w:numPr>
          <w:ilvl w:val="0"/>
          <w:numId w:val="0"/>
        </w:numPr>
      </w:pPr>
      <w:r w:rsidRPr="00AC4958">
        <w:rPr>
          <w:b w:val="0"/>
        </w:rPr>
        <w:t>The FY 2013</w:t>
      </w:r>
      <w:r w:rsidRPr="00AC4958">
        <w:t xml:space="preserve"> request for the Transnational Organized Crime (TOC) Investigations Acti</w:t>
      </w:r>
      <w:r w:rsidR="009914CC">
        <w:t>vity is 1 position, 1 work year</w:t>
      </w:r>
      <w:r w:rsidRPr="00AC4958">
        <w:t>, and</w:t>
      </w:r>
      <w:r>
        <w:t xml:space="preserve"> </w:t>
      </w:r>
      <w:r w:rsidRPr="00AC4958">
        <w:t>$</w:t>
      </w:r>
      <w:r>
        <w:t>3</w:t>
      </w:r>
      <w:r w:rsidRPr="00AC4958">
        <w:t>,0</w:t>
      </w:r>
      <w:r w:rsidRPr="00AC4958">
        <w:rPr>
          <w:b w:val="0"/>
        </w:rPr>
        <w:t>00</w:t>
      </w:r>
      <w:r>
        <w:rPr>
          <w:b w:val="0"/>
        </w:rPr>
        <w:t>,000</w:t>
      </w:r>
      <w:r w:rsidRPr="00AC4958">
        <w:t>.</w:t>
      </w:r>
    </w:p>
    <w:p w:rsidR="00A17366" w:rsidRDefault="00A17366" w:rsidP="00A17366">
      <w:pPr>
        <w:pStyle w:val="Default"/>
      </w:pPr>
      <w:r>
        <w:t xml:space="preserve">The IOC-2 is the centerpiece of the TOC Program, and acts as the lens through which the multiple agencies that participate in the AGOCC focus their law enforcement activities against priority TOC targets.  The role of the IOC-2 is to marshal the resources and information of nine U.S. law enforcement agencies, as well as federal prosecutors, to combat those transnational organized crime groups posing the greatest threat to the United States, </w:t>
      </w:r>
      <w:r w:rsidRPr="00973DB0">
        <w:t xml:space="preserve">including but not limited to those criminal </w:t>
      </w:r>
      <w:r>
        <w:t>or</w:t>
      </w:r>
      <w:r w:rsidRPr="00973DB0">
        <w:t>ganizations named to the Top International Criminal Organizations Target (TICOT) List.  To achieve this mission, IOC-2 leverage</w:t>
      </w:r>
      <w:r>
        <w:t>s</w:t>
      </w:r>
      <w:r w:rsidRPr="00973DB0">
        <w:t xml:space="preserve"> the </w:t>
      </w:r>
      <w:r>
        <w:t xml:space="preserve">existing </w:t>
      </w:r>
      <w:r w:rsidRPr="00973DB0">
        <w:t xml:space="preserve">resources of </w:t>
      </w:r>
      <w:r>
        <w:t xml:space="preserve">the </w:t>
      </w:r>
      <w:r w:rsidRPr="00973DB0">
        <w:t>S</w:t>
      </w:r>
      <w:r>
        <w:t xml:space="preserve">pecial </w:t>
      </w:r>
      <w:r w:rsidRPr="00973DB0">
        <w:t>O</w:t>
      </w:r>
      <w:r>
        <w:t xml:space="preserve">perations </w:t>
      </w:r>
      <w:r w:rsidRPr="00973DB0">
        <w:t>D</w:t>
      </w:r>
      <w:r>
        <w:t>ivision of DEA</w:t>
      </w:r>
      <w:r w:rsidRPr="00973DB0">
        <w:t xml:space="preserve"> and </w:t>
      </w:r>
      <w:r>
        <w:t xml:space="preserve">the OCDETF Fusion Center </w:t>
      </w:r>
      <w:r w:rsidRPr="00973DB0">
        <w:t xml:space="preserve">to: (1) gather, store, and analyze all-source information and intelligence related to international organized crime; (2) disseminate such information and intelligence to support law enforcement operations, investigations, prosecutions, and forfeiture proceedings; and (3) coordinate multi-jurisdictional and multi-agency law enforcement operations, investigations, prosecutions, and forfeiture proceedings.  </w:t>
      </w:r>
    </w:p>
    <w:p w:rsidR="00A17366" w:rsidRDefault="00A17366" w:rsidP="00A17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p w:rsidR="00A17366" w:rsidRDefault="00A17366" w:rsidP="00A17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t xml:space="preserve">The IOC-2 allows partner agencies to join together in a task force setting, combine data, and produce actionable leads for investigators and prosecutors working nationwide to combat international organized crime, and to coordinate the resulting multi-jurisdictional investigations and prosecutions.  </w:t>
      </w:r>
    </w:p>
    <w:p w:rsidR="0015565B" w:rsidRDefault="0015565B" w:rsidP="00A17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p w:rsidR="00A17366" w:rsidRDefault="00A17366" w:rsidP="00A17366">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pPr>
      <w:r>
        <w:t xml:space="preserve">Although IOC-2 was established in May 2009 </w:t>
      </w:r>
      <w:r w:rsidR="00814D2A">
        <w:t>p</w:t>
      </w:r>
      <w:r>
        <w:t>reliminary o</w:t>
      </w:r>
      <w:r w:rsidRPr="00834111">
        <w:t xml:space="preserve">perations </w:t>
      </w:r>
      <w:r>
        <w:t>at IOC-2 began in February 2009</w:t>
      </w:r>
      <w:r w:rsidR="00814D2A">
        <w:t xml:space="preserve">.  </w:t>
      </w:r>
      <w:r>
        <w:t xml:space="preserve"> </w:t>
      </w:r>
      <w:r w:rsidR="00814D2A">
        <w:t xml:space="preserve">IOC-2 was stood up </w:t>
      </w:r>
      <w:r>
        <w:t xml:space="preserve">using staff obtained by shifting existing resources within the participating agencies.  Operations will continue in this manner </w:t>
      </w:r>
      <w:r w:rsidRPr="00834111">
        <w:t>through FY</w:t>
      </w:r>
      <w:r w:rsidR="00A571F9">
        <w:t xml:space="preserve"> </w:t>
      </w:r>
      <w:r w:rsidRPr="00834111">
        <w:t>201</w:t>
      </w:r>
      <w:r>
        <w:t xml:space="preserve">2 with management making best efforts </w:t>
      </w:r>
      <w:r w:rsidR="00814D2A">
        <w:t>until appropriations become available in FY 2013.</w:t>
      </w:r>
      <w:r>
        <w:t xml:space="preserve">  </w:t>
      </w:r>
    </w:p>
    <w:p w:rsidR="00A17366" w:rsidRDefault="00A17366" w:rsidP="00A17366">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pPr>
    </w:p>
    <w:p w:rsidR="00A17366" w:rsidRDefault="00814D2A" w:rsidP="00A17366">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pPr>
      <w:r>
        <w:t>T</w:t>
      </w:r>
      <w:r w:rsidR="00A17366">
        <w:t>he domestic and international response to the creation of IOC-2 has been impressive.  From the moment of its inception, IOC-2 began creating and disseminating to its member agencies important intelligence products that have led to successes in criminal investigations and prosecutions across the country.  Additionally, IOC-2 has become regularly involved in de-</w:t>
      </w:r>
      <w:r w:rsidR="00A17366">
        <w:lastRenderedPageBreak/>
        <w:t>confliction and case coordination and has hosted several case coordination and threat mapping meetings that brought together agents and prosecutors from law enforcement agencies across the United States and abroad.  IOC-2 has spear-headed several significant operations targeting TICOT targets, and has successfully encouraged its member agencies to merge their investigative efforts in a way that was not previously happening.</w:t>
      </w:r>
    </w:p>
    <w:p w:rsidR="0030188D" w:rsidRDefault="00A17366" w:rsidP="007A3042">
      <w:pPr>
        <w:pStyle w:val="BodyText"/>
        <w:jc w:val="center"/>
        <w:rPr>
          <w:u w:val="single"/>
        </w:rPr>
      </w:pPr>
      <w:r>
        <w:rPr>
          <w:u w:val="single"/>
        </w:rPr>
        <w:br w:type="page"/>
      </w:r>
    </w:p>
    <w:p w:rsidR="0030188D" w:rsidRDefault="0030188D">
      <w:pPr>
        <w:rPr>
          <w:u w:val="single"/>
        </w:rPr>
      </w:pPr>
      <w:r>
        <w:rPr>
          <w:u w:val="single"/>
        </w:rPr>
        <w:lastRenderedPageBreak/>
        <w:br w:type="page"/>
      </w:r>
    </w:p>
    <w:p w:rsidR="0030188D" w:rsidRDefault="0030188D" w:rsidP="007A3042">
      <w:pPr>
        <w:pStyle w:val="BodyText"/>
        <w:jc w:val="center"/>
        <w:rPr>
          <w:u w:val="single"/>
        </w:rPr>
      </w:pPr>
    </w:p>
    <w:p w:rsidR="0030188D" w:rsidRDefault="0030188D" w:rsidP="007A3042">
      <w:pPr>
        <w:pStyle w:val="BodyText"/>
        <w:jc w:val="center"/>
        <w:rPr>
          <w:u w:val="single"/>
        </w:rPr>
      </w:pPr>
    </w:p>
    <w:p w:rsidR="007A3042" w:rsidRDefault="007A3042" w:rsidP="007A3042">
      <w:pPr>
        <w:pStyle w:val="BodyText"/>
        <w:jc w:val="center"/>
        <w:rPr>
          <w:b/>
          <w:sz w:val="56"/>
          <w:szCs w:val="56"/>
        </w:rPr>
      </w:pPr>
      <w:r w:rsidRPr="007A3042">
        <w:rPr>
          <w:b/>
          <w:sz w:val="48"/>
          <w:szCs w:val="48"/>
        </w:rPr>
        <w:t>Int</w:t>
      </w:r>
      <w:r>
        <w:rPr>
          <w:b/>
          <w:sz w:val="48"/>
          <w:szCs w:val="48"/>
        </w:rPr>
        <w:t>entionally Left Blank</w:t>
      </w:r>
      <w:r>
        <w:rPr>
          <w:u w:val="single"/>
        </w:rPr>
        <w:br w:type="page"/>
      </w:r>
    </w:p>
    <w:p w:rsidR="002C0C35" w:rsidRDefault="002C0C35" w:rsidP="002C0C35">
      <w:pPr>
        <w:pStyle w:val="Heading3"/>
        <w:numPr>
          <w:ilvl w:val="0"/>
          <w:numId w:val="0"/>
        </w:numPr>
      </w:pPr>
      <w:r>
        <w:lastRenderedPageBreak/>
        <w:t xml:space="preserve">D. </w:t>
      </w:r>
      <w:r>
        <w:tab/>
        <w:t>PERFORMANCE, RESOURCES, AND STRATEGIES</w:t>
      </w:r>
    </w:p>
    <w:p w:rsidR="002C0C35" w:rsidRDefault="002C0C35" w:rsidP="002C0C35">
      <w:pPr>
        <w:pStyle w:val="Heading4"/>
        <w:numPr>
          <w:ilvl w:val="0"/>
          <w:numId w:val="0"/>
        </w:numPr>
      </w:pPr>
      <w:r>
        <w:rPr>
          <w:b w:val="0"/>
        </w:rPr>
        <w:t>1.</w:t>
      </w:r>
      <w:r>
        <w:rPr>
          <w:b w:val="0"/>
        </w:rPr>
        <w:tab/>
        <w:t>Performance Plan and Report for Outcomes</w:t>
      </w:r>
    </w:p>
    <w:p w:rsidR="002C0C35" w:rsidRPr="00185574" w:rsidRDefault="002C0C35" w:rsidP="002C0C35">
      <w:pPr>
        <w:pStyle w:val="BodyText"/>
      </w:pPr>
      <w:r>
        <w:t xml:space="preserve">The goal of the Department of Justice’s Drug Strategy is to reduce the illegal drug supply in the U.S. by </w:t>
      </w:r>
      <w:r w:rsidRPr="00185574">
        <w:t>disrupting and dismantling the most significant drug trafficking organizations and their related money laundering operations.  The OCDETF Program, with its multi-agency partnerships and its focus on coordinated, multi-jurisdictional investigations against entire drug networks, is the driving force behind the supply reduction strategy.</w:t>
      </w:r>
    </w:p>
    <w:p w:rsidR="002C0C35" w:rsidRPr="00185574" w:rsidRDefault="002C0C35" w:rsidP="002C0C35">
      <w:pPr>
        <w:pStyle w:val="TitleLeft"/>
      </w:pPr>
      <w:r w:rsidRPr="00185574">
        <w:t>OCDETF Performance Indicators</w:t>
      </w:r>
    </w:p>
    <w:p w:rsidR="002C0C35" w:rsidRPr="00185574" w:rsidRDefault="002C0C35" w:rsidP="002C0C35">
      <w:pPr>
        <w:pStyle w:val="BodyText"/>
      </w:pPr>
      <w:r w:rsidRPr="00185574">
        <w:t>OCDETF continues to vigorously pursue the goals laid out in the Department’s Drug Strategy by targeting major drug trafficking organizations in their entirety.  OCDETF also remains committed to maintaining accountability for its resources, and the results of that commitment are evident in the following key performance areas:</w:t>
      </w:r>
    </w:p>
    <w:p w:rsidR="002C0C35" w:rsidRPr="00185574" w:rsidRDefault="002C0C35" w:rsidP="002C0C35">
      <w:pPr>
        <w:pStyle w:val="BodyText"/>
        <w:rPr>
          <w:szCs w:val="24"/>
          <w:u w:val="single"/>
        </w:rPr>
      </w:pPr>
      <w:r w:rsidRPr="00185574">
        <w:rPr>
          <w:szCs w:val="24"/>
          <w:u w:val="single"/>
        </w:rPr>
        <w:t xml:space="preserve">Significant New Investigations </w:t>
      </w:r>
    </w:p>
    <w:p w:rsidR="002C0C35" w:rsidRPr="00CA6E81" w:rsidRDefault="002C0C35" w:rsidP="002C0C35">
      <w:pPr>
        <w:pStyle w:val="BodyText2"/>
        <w:ind w:firstLine="0"/>
        <w:rPr>
          <w:szCs w:val="24"/>
        </w:rPr>
      </w:pPr>
      <w:r w:rsidRPr="00CA6E81">
        <w:rPr>
          <w:szCs w:val="24"/>
        </w:rPr>
        <w:t xml:space="preserve">The OCDETF Program Guidelines require that OCDETF participants focus Program resources on coordinated, nationwide investigations of major drug trafficking and money laundering organizations.  During FY 2010 and FY 2011, OCDETF continued its efforts to expand investigations to attack all levels of the supply chain regionally, nationally and internationally.  OCDETF participants initiated </w:t>
      </w:r>
      <w:r w:rsidR="00987A78">
        <w:rPr>
          <w:szCs w:val="24"/>
        </w:rPr>
        <w:t>1</w:t>
      </w:r>
      <w:r w:rsidRPr="00CA6E81">
        <w:rPr>
          <w:szCs w:val="24"/>
        </w:rPr>
        <w:t>,2</w:t>
      </w:r>
      <w:r w:rsidR="009F26B2">
        <w:rPr>
          <w:szCs w:val="24"/>
        </w:rPr>
        <w:t>42</w:t>
      </w:r>
      <w:r w:rsidRPr="00CA6E81">
        <w:rPr>
          <w:szCs w:val="24"/>
        </w:rPr>
        <w:t xml:space="preserve"> investigations in FY 201</w:t>
      </w:r>
      <w:r w:rsidR="00CA6E81" w:rsidRPr="00CA6E81">
        <w:rPr>
          <w:szCs w:val="24"/>
        </w:rPr>
        <w:t>1</w:t>
      </w:r>
      <w:r w:rsidRPr="00CA6E81">
        <w:rPr>
          <w:szCs w:val="24"/>
        </w:rPr>
        <w:t xml:space="preserve">, a 4 percent increase over the number of new investigations initiated in FY 2010.  This is the highest number initiated in a fiscal year since the refocusing of the OCDETF Program in FY 2002. Furthermore OCDETF currently has an active caseload of more than 5,100 cases, a 5 percent increase over the FY 2010 active caseload.   The number of </w:t>
      </w:r>
      <w:r w:rsidR="009F26B2">
        <w:rPr>
          <w:szCs w:val="24"/>
        </w:rPr>
        <w:t>new</w:t>
      </w:r>
      <w:r w:rsidR="00B44C25">
        <w:rPr>
          <w:szCs w:val="24"/>
        </w:rPr>
        <w:t xml:space="preserve"> cases has </w:t>
      </w:r>
      <w:r w:rsidRPr="00CA6E81">
        <w:rPr>
          <w:szCs w:val="24"/>
        </w:rPr>
        <w:t>increased since the refocusing of the OCDETF Program</w:t>
      </w:r>
      <w:r w:rsidR="00916D3C">
        <w:rPr>
          <w:szCs w:val="24"/>
        </w:rPr>
        <w:t xml:space="preserve">, from </w:t>
      </w:r>
      <w:r w:rsidR="009F26B2">
        <w:rPr>
          <w:szCs w:val="24"/>
        </w:rPr>
        <w:t xml:space="preserve">704 </w:t>
      </w:r>
      <w:r w:rsidR="00916D3C">
        <w:rPr>
          <w:szCs w:val="24"/>
        </w:rPr>
        <w:t>in 200</w:t>
      </w:r>
      <w:r w:rsidR="009F26B2">
        <w:rPr>
          <w:szCs w:val="24"/>
        </w:rPr>
        <w:t>3</w:t>
      </w:r>
      <w:r w:rsidR="00916D3C">
        <w:rPr>
          <w:szCs w:val="24"/>
        </w:rPr>
        <w:t xml:space="preserve"> to </w:t>
      </w:r>
      <w:r w:rsidR="009220F3">
        <w:rPr>
          <w:szCs w:val="24"/>
        </w:rPr>
        <w:t>1,242</w:t>
      </w:r>
      <w:r w:rsidR="00916D3C">
        <w:rPr>
          <w:szCs w:val="24"/>
        </w:rPr>
        <w:t xml:space="preserve"> in 2011</w:t>
      </w:r>
      <w:r w:rsidR="00BC20B2">
        <w:rPr>
          <w:szCs w:val="24"/>
        </w:rPr>
        <w:t>, an increase of 76 percent.</w:t>
      </w:r>
    </w:p>
    <w:p w:rsidR="002C0C35" w:rsidRPr="00CA6E81" w:rsidRDefault="002C0C35" w:rsidP="002C0C35">
      <w:pPr>
        <w:pStyle w:val="BodyText2"/>
        <w:ind w:firstLine="0"/>
        <w:rPr>
          <w:bCs/>
          <w:szCs w:val="24"/>
        </w:rPr>
      </w:pPr>
      <w:r w:rsidRPr="00CA6E81">
        <w:rPr>
          <w:szCs w:val="24"/>
        </w:rPr>
        <w:t xml:space="preserve">OCDETF district and regional coordination </w:t>
      </w:r>
      <w:proofErr w:type="gramStart"/>
      <w:r w:rsidRPr="00CA6E81">
        <w:rPr>
          <w:szCs w:val="24"/>
        </w:rPr>
        <w:t>groups</w:t>
      </w:r>
      <w:proofErr w:type="gramEnd"/>
      <w:r w:rsidRPr="00CA6E81">
        <w:rPr>
          <w:szCs w:val="24"/>
        </w:rPr>
        <w:t xml:space="preserve"> work to ensure that only those investigations that meet the standards established for OCDETF cases are approved and that the quality of these new investigations clearly reflect OCDETF’s commitment to pursue the most significant drug trafficking and money laundering organizations.  </w:t>
      </w:r>
      <w:r w:rsidRPr="00CA6E81">
        <w:rPr>
          <w:bCs/>
          <w:szCs w:val="24"/>
        </w:rPr>
        <w:t>The investigations are broad in scope and employ c</w:t>
      </w:r>
      <w:r w:rsidR="00987A78">
        <w:rPr>
          <w:bCs/>
          <w:szCs w:val="24"/>
        </w:rPr>
        <w:t>omplex investigative techniques,</w:t>
      </w:r>
      <w:r w:rsidRPr="00CA6E81">
        <w:rPr>
          <w:bCs/>
          <w:szCs w:val="24"/>
        </w:rPr>
        <w:t xml:space="preserve"> including financial investigative techniques, and an increasing percentage of cases target international “command and control” organizations.</w:t>
      </w:r>
    </w:p>
    <w:p w:rsidR="002C0C35" w:rsidRPr="00CA6E81" w:rsidRDefault="002C0C35" w:rsidP="002C0C35">
      <w:pPr>
        <w:pStyle w:val="BodyText2"/>
        <w:ind w:firstLine="0"/>
        <w:rPr>
          <w:szCs w:val="24"/>
        </w:rPr>
      </w:pPr>
      <w:r w:rsidRPr="00CA6E81">
        <w:rPr>
          <w:szCs w:val="24"/>
        </w:rPr>
        <w:t xml:space="preserve">Most of the organizations targeted by OCDETF investigations are poly-drug, meaning that they manufacture or distribute more than one type of illegal drug.  In recent years, the principal drugs involved in OCDETF investigations have been cocaine, marijuana, heroin, and methamphetamine.  However, the threat posed by the diversion and abuse of controlled prescription drugs is increasing, largely aided by rapidly increasing distribution of the most addictive drugs, such as prescription pain relievers.  </w:t>
      </w:r>
      <w:r w:rsidR="00A43104">
        <w:rPr>
          <w:szCs w:val="24"/>
        </w:rPr>
        <w:t xml:space="preserve"> Approximately 627 investigations or 12% of OCDETF’s active caseload involve</w:t>
      </w:r>
      <w:r w:rsidR="00BC20B2">
        <w:rPr>
          <w:szCs w:val="24"/>
        </w:rPr>
        <w:t>s</w:t>
      </w:r>
      <w:r w:rsidR="00A43104">
        <w:rPr>
          <w:szCs w:val="24"/>
        </w:rPr>
        <w:t xml:space="preserve"> diversion and abuse of controlled prescription drugs. </w:t>
      </w:r>
      <w:r w:rsidRPr="00CA6E81">
        <w:rPr>
          <w:szCs w:val="24"/>
        </w:rPr>
        <w:t>OCDETF investigators and prosecutors are rising to the challenge of combating this threat.</w:t>
      </w:r>
    </w:p>
    <w:p w:rsidR="002C0C35" w:rsidRPr="00CA6E81" w:rsidRDefault="002C0C35" w:rsidP="002C0C35">
      <w:pPr>
        <w:pStyle w:val="TitleLeft"/>
        <w:rPr>
          <w:b w:val="0"/>
          <w:bCs/>
          <w:szCs w:val="24"/>
        </w:rPr>
      </w:pPr>
      <w:r w:rsidRPr="00CA6E81">
        <w:rPr>
          <w:b w:val="0"/>
          <w:bCs/>
          <w:szCs w:val="24"/>
        </w:rPr>
        <w:lastRenderedPageBreak/>
        <w:t>Investigations against Consolidated Priority Organization Targets (CPOTs) and Regional Priority Organization Targets (RPOTs)</w:t>
      </w:r>
    </w:p>
    <w:p w:rsidR="002C0C35" w:rsidRPr="00CA6E81" w:rsidRDefault="002C0C35" w:rsidP="002C0C35">
      <w:pPr>
        <w:pStyle w:val="BodyText"/>
        <w:rPr>
          <w:szCs w:val="24"/>
        </w:rPr>
      </w:pPr>
      <w:r w:rsidRPr="00CA6E81">
        <w:rPr>
          <w:noProof/>
          <w:szCs w:val="24"/>
        </w:rPr>
        <w:t>The</w:t>
      </w:r>
      <w:r w:rsidRPr="00CA6E81">
        <w:rPr>
          <w:szCs w:val="24"/>
        </w:rPr>
        <w:t xml:space="preserve"> goal of every OCDETF case is to continually work up and across the supply chain to make connections among related organizations nationwide.  In particular, OCDETF participants strive to identify links to regional priority targets, whose drug trafficking activities have a significant impact on the particular drug threats facing each of the OCDETF Regions, and, ultimately, to one of the international “command and control” networks identified as a CPOT.</w:t>
      </w:r>
    </w:p>
    <w:p w:rsidR="002C0C35" w:rsidRPr="00CA6E81" w:rsidRDefault="00DD5D0B" w:rsidP="002C0C35">
      <w:pPr>
        <w:framePr w:w="4471" w:h="3637" w:hSpace="180" w:wrap="around" w:vAnchor="text" w:hAnchor="page" w:x="6421" w:y="1"/>
        <w:pBdr>
          <w:top w:val="single" w:sz="6" w:space="1" w:color="auto"/>
          <w:left w:val="single" w:sz="6" w:space="1" w:color="auto"/>
          <w:bottom w:val="single" w:sz="6" w:space="1" w:color="auto"/>
          <w:right w:val="single" w:sz="6" w:space="1" w:color="auto"/>
        </w:pBdr>
        <w:rPr>
          <w:szCs w:val="24"/>
        </w:rPr>
      </w:pPr>
      <w:r>
        <w:rPr>
          <w:noProof/>
          <w:szCs w:val="24"/>
        </w:rPr>
        <w:pict>
          <v:group id="_x0000_s1104" editas="canvas" style="position:absolute;margin-left:-1.5pt;margin-top:-.6pt;width:231.45pt;height:185.6pt;z-index:251666944" coordorigin="6345,3588" coordsize="4629,37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6345;top:3588;width:4629;height:3712" o:preferrelative="f">
              <v:fill o:detectmouseclick="t"/>
              <v:path o:extrusionok="t" o:connecttype="none"/>
              <o:lock v:ext="edit" text="t"/>
            </v:shape>
            <v:shape id="_x0000_s1106" style="position:absolute;left:7065;top:4965;width:1365;height:973" coordsize="1365,973" path="m,405l45,375,75,345r45,-30l150,300r45,-30l240,240r45,-15l330,210r45,-30l420,165r60,-15l525,120r45,-15l630,90,675,75,735,60r60,l840,45,900,30r60,l1020,15r60,l1140,r45,l1245,r60,l1365,r,973l,405xe" fillcolor="#960">
              <v:path arrowok="t"/>
            </v:shape>
            <v:shape id="_x0000_s1107" style="position:absolute;left:6855;top:5370;width:1575;height:568" coordsize="1575,568" path="m,209l30,179r,-15l60,134,90,104,105,89,135,59,165,29,180,15,210,,1575,568,,209xe" fillcolor="#c30">
              <v:path arrowok="t"/>
            </v:shape>
            <v:shape id="_x0000_s1108" style="position:absolute;left:6750;top:5938;width:105;height:734" coordsize="105,734" path="m105,345l90,315,75,285,60,270,45,225,30,195,15,165r,-15l15,120,,75,,45,,30,,,,389r,30l,434r,30l15,509r,30l15,554r15,30l45,614r15,45l75,674r15,30l105,734r,-389xe" fillcolor="#804d33">
              <v:path arrowok="t"/>
            </v:shape>
            <v:shape id="_x0000_s1109" style="position:absolute;left:6750;top:5579;width:1680;height:704" coordsize="1680,704" path="m105,704l90,674,75,644,60,614,45,569,30,539,15,509r,-30l,434,,404,,374,,344,,299,,270,15,240r,-30l30,165,45,135,60,105,75,75,90,45,105,,1680,359,105,704xe" fillcolor="#f96">
              <v:path arrowok="t"/>
            </v:shape>
            <v:shape id="_x0000_s1110" style="position:absolute;left:6659;top:5564;width:3271;height:1362" coordsize="3271,1362" path="m3271,r,30l3256,60r,45l3256,135r-15,30l3226,195r-15,30l3196,270r-15,30l3166,330r-15,30l3121,389r-30,30l3076,434r-15,30l3031,494r-30,30l2956,554r-30,30l2896,614r-45,15l2821,659r-45,30l2731,704r-45,30l2641,749r-45,30l2551,794r-45,15l2446,824r-45,29l2341,868r-45,15l2236,898r-45,l2131,913r-60,15l2011,943r-45,l1905,958r-30,l1815,958r-60,l1695,973r-60,l1575,973r-60,l1455,973r-60,-15l1350,958r-60,l1230,943r-60,l1110,928r-60,l1005,913,945,898,885,883,840,868,780,853,735,839,690,824,630,809,585,779,540,764,495,749,450,719,435,704,390,689,345,659,300,629,270,614,225,584,195,554,165,524,135,494,105,464,75,434,45,404,30,375,,345,,734r30,30l45,794r30,30l105,853r30,30l165,913r30,30l225,973r45,30l300,1018r45,30l390,1078r45,15l450,1108r45,30l540,1153r45,15l630,1198r60,15l735,1228r45,15l840,1258r45,15l945,1288r60,15l1050,1317r60,l1170,1332r60,l1290,1347r60,l1395,1347r60,15l1515,1362r60,l1635,1362r60,l1755,1347r60,l1875,1347r30,l1966,1332r45,l2071,1317r60,-14l2191,1288r45,l2296,1273r45,-15l2401,1243r45,-30l2506,1198r45,-15l2596,1168r45,-30l2686,1123r45,-30l2776,1078r45,-30l2851,1018r45,-15l2926,973r30,-30l3001,913r30,-30l3061,853r15,-29l3091,809r30,-30l3151,749r15,-30l3181,689r15,-30l3211,614r15,-30l3241,554r15,-30l3256,494r,-45l3271,419r,-30l3271,xe" fillcolor="#7e702a">
              <v:path arrowok="t"/>
            </v:shape>
            <v:shape id="_x0000_s1111" style="position:absolute;left:6750;top:4955;width:3180;height:1946" coordsize="3271,1946" path="m1575,r60,l1695,r60,l1815,r60,15l1935,15r46,15l2041,30r60,15l2161,60r45,l2266,75r60,15l2371,105r60,15l2476,150r45,15l2566,180r60,30l2671,225r45,15l2731,255r45,30l2821,300r30,30l2896,360r30,30l2956,405r45,29l3031,464r30,30l3076,524r30,30l3136,584r15,30l3181,659r15,30l3211,719r15,30l3241,779r,45l3256,854r,30l3271,913r,45l3271,988r,30l3256,1048r,45l3241,1123r,30l3226,1183r-15,45l3196,1258r-15,30l3151,1318r-15,30l3106,1377r-30,30l3061,1437r-30,30l3001,1497r-45,30l2941,1542r-30,30l2866,1602r-30,15l2791,1647r-45,30l2716,1692r-45,30l2626,1737r-60,15l2521,1782r-45,15l2431,1812r-60,14l2326,1841r-60,15l2206,1871r-45,15l2101,1901r-60,l1981,1916r-46,l1875,1931r-60,l1755,1931r-60,15l1635,1946r-60,l1515,1946r-60,l1395,1931r-45,l1290,1931r-60,-15l1170,1916r-60,-15l1050,1901r-45,-15l945,1871r-60,-15l840,1841r-60,-15l765,1826r-60,-29l660,1782r-45,-15l570,1752r-60,-30l465,1707r-30,-30l390,1662r-45,-30l300,1602r-30,-15l225,1557r-30,-30l165,1497r-30,-30l105,1437,75,1407,45,1377,30,1348,,1318,1575,973,1575,xe" fillcolor="#fbdf53">
              <v:path arrowok="t"/>
            </v:shape>
            <v:rect id="_x0000_s1112" style="position:absolute;left:7905;top:5325;width:481;height:276;mso-wrap-style:none" filled="f" stroked="f">
              <v:textbox style="mso-next-textbox:#_x0000_s1112;mso-fit-shape-to-text:t" inset="0,0,0,0">
                <w:txbxContent>
                  <w:p w:rsidR="00C40023" w:rsidRDefault="00C40023" w:rsidP="002C0C35">
                    <w:r>
                      <w:rPr>
                        <w:rFonts w:ascii="Arial" w:hAnsi="Arial" w:cs="Arial"/>
                        <w:b/>
                        <w:bCs/>
                        <w:color w:val="000000"/>
                      </w:rPr>
                      <w:t>15%</w:t>
                    </w:r>
                  </w:p>
                </w:txbxContent>
              </v:textbox>
            </v:rect>
            <v:rect id="_x0000_s1113" style="position:absolute;left:7035;top:5399;width:347;height:276;mso-wrap-style:none" filled="f" stroked="f">
              <v:textbox style="mso-next-textbox:#_x0000_s1113;mso-fit-shape-to-text:t" inset="0,0,0,0">
                <w:txbxContent>
                  <w:p w:rsidR="00C40023" w:rsidRDefault="00C40023" w:rsidP="002C0C35">
                    <w:r>
                      <w:rPr>
                        <w:rFonts w:ascii="Arial" w:hAnsi="Arial" w:cs="Arial"/>
                        <w:b/>
                        <w:bCs/>
                        <w:color w:val="000000"/>
                      </w:rPr>
                      <w:t>4%</w:t>
                    </w:r>
                  </w:p>
                </w:txbxContent>
              </v:textbox>
            </v:rect>
            <v:rect id="_x0000_s1114" style="position:absolute;left:8911;top:5714;width:481;height:276;mso-wrap-style:none" filled="f" stroked="f">
              <v:textbox style="mso-next-textbox:#_x0000_s1114;mso-fit-shape-to-text:t" inset="0,0,0,0">
                <w:txbxContent>
                  <w:p w:rsidR="00C40023" w:rsidRDefault="00C40023" w:rsidP="002C0C35">
                    <w:r>
                      <w:rPr>
                        <w:rFonts w:ascii="Arial" w:hAnsi="Arial" w:cs="Arial"/>
                        <w:b/>
                        <w:bCs/>
                        <w:color w:val="000000"/>
                      </w:rPr>
                      <w:t>69%</w:t>
                    </w:r>
                  </w:p>
                </w:txbxContent>
              </v:textbox>
            </v:rect>
            <v:rect id="_x0000_s1115" style="position:absolute;left:7110;top:5834;width:481;height:276;mso-wrap-style:none" filled="f" stroked="f">
              <v:textbox style="mso-next-textbox:#_x0000_s1115;mso-fit-shape-to-text:t" inset="0,0,0,0">
                <w:txbxContent>
                  <w:p w:rsidR="00C40023" w:rsidRDefault="00C40023" w:rsidP="002C0C35">
                    <w:r>
                      <w:rPr>
                        <w:rFonts w:ascii="Arial" w:hAnsi="Arial" w:cs="Arial"/>
                        <w:b/>
                        <w:bCs/>
                        <w:color w:val="000000"/>
                      </w:rPr>
                      <w:t>12%</w:t>
                    </w:r>
                  </w:p>
                </w:txbxContent>
              </v:textbox>
            </v:rect>
            <v:group id="_x0000_s1116" style="position:absolute;left:6612;top:3905;width:4048;height:3214" coordorigin="6747,4021" coordsize="4048,3214">
              <v:shape id="_x0000_s1117" style="position:absolute;left:7103;top:5304;width:1334;height:974" coordsize="1334,974" path="m1334,584l,,,389,1334,974r,-390xe" fillcolor="#4d3300" strokeweight=".4pt">
                <v:path arrowok="t"/>
              </v:shape>
              <v:shape id="_x0000_s1118" style="position:absolute;left:7103;top:4938;width:1334;height:950" coordsize="1334,950" path="m,366l17,349r16,-8l58,325r17,-8l99,301r17,-8l133,276r24,-8l182,252r17,-8l224,236r25,-16l265,211r,l290,203r25,-16l340,179r25,-8l390,163r24,-8l439,147r25,-9l489,122r25,-8l539,114r25,-8l588,98r34,-8l646,82r25,-8l696,65r33,l754,57r25,-8l812,49r25,-8l870,33r25,l920,25r33,l953,25r25,-8l1011,17r25,l1069,9r25,l1127,9,1152,r33,l1218,r25,l1276,r25,l1334,r,950l,366xe" fillcolor="#960" strokeweight=".4pt">
                <v:path arrowok="t"/>
              </v:shape>
              <v:shape id="_x0000_s1119" style="position:absolute;left:6871;top:5531;width:1566;height:747" coordsize="1566,747" path="m1566,357l,,,390,1566,747r,-390xe" fillcolor="#661a00" strokeweight=".4pt">
                <v:path arrowok="t"/>
              </v:shape>
              <v:shape id="_x0000_s1120" style="position:absolute;left:6871;top:5304;width:1566;height:584" coordsize="1566,584" path="m,227l8,211r9,-17l33,186r8,-16l41,170,58,154,75,138r8,-17l99,105r17,-8l133,81,149,65r17,-8l166,57,182,40,199,24r16,-8l232,,1566,584,,227xe" fillcolor="#c30" strokeweight=".4pt">
                <v:path arrowok="t"/>
              </v:shape>
              <v:shape id="_x0000_s1121" style="position:absolute;left:6747;top:5888;width:107;height:730" coordsize="107,730" path="m107,341l99,325r-8,-8l83,300,74,284,66,268,58,252,49,235,41,219,33,203,25,187r,-17l16,154r,-16l8,122r,-16l8,81,,65,,49,,33,,16,,,,390r,16l,422r,16l,455r8,16l8,495r,16l16,528r,16l25,560r,16l33,593r8,16l49,625r9,16l66,657r8,17l83,690r8,16l99,714r8,16l107,341xe" fillcolor="#804d33" strokeweight=".4pt">
                <v:path arrowok="t"/>
              </v:shape>
              <v:shape id="_x0000_s1122" style="position:absolute;left:6863;top:5888;width:1574;height:730" coordsize="1574,730" path="m1574,l,341,,730,1574,390,1574,xe" fillcolor="#804d33" strokeweight=".4pt">
                <v:path arrowok="t"/>
              </v:shape>
              <v:shape id="_x0000_s1123" style="position:absolute;left:6747;top:5531;width:1690;height:698" coordsize="1690,698" path="m107,698l99,682r-8,-8l83,657,74,641,66,625,58,609,49,592,41,576,33,560,25,544r,-17l25,527,16,511r,-16l8,479r,-16l8,438,,422,,406,,390,,373,,357,,341,,325,,308,,292,8,276r,-16l8,243r8,-16l16,211r9,-16l25,178r,l33,162r8,-16l49,130r9,-16l66,97,74,81,83,65,91,49,99,32r8,-16l124,,1690,357,107,698xe" fillcolor="#f96" strokeweight=".4pt">
                <v:path arrowok="t"/>
              </v:shape>
              <v:shape id="_x0000_s1124" style="position:absolute;left:6854;top:5888;width:3274;height:1347" coordsize="3274,1347" path="m3274,r,16l3274,33r-8,16l3266,65r,16l3266,106r-9,16l3257,138r-8,16l3249,170r-8,17l3233,203r,16l3224,235r-8,17l3208,268r-9,16l3191,300r-8,17l3166,325r-8,16l3150,357r-9,16l3125,390r-8,16l3100,422r-8,16l3075,446r-16,17l3042,479r-8,16l3017,511r-16,8l2984,536r-17,16l2951,560r-17,16l2918,593r-25,8l2876,617r-16,8l2835,641r-17,8l2793,666r-16,8l2752,690r-17,8l2710,714r-16,8l2669,730r-25,17l2619,755r-16,8l2578,771r-25,8l2528,795r-25,9l2478,812r-24,8l2429,828r-25,8l2379,844r-33,8l2321,860r-25,8l2271,877r-33,l2213,885r-25,8l2163,901r-33,l2105,909r-33,8l2047,917r-24,8l1989,925r-24,8l1931,933r-24,9l1873,942r-24,l1815,950r-24,l1757,950r-24,l1699,950r-33,8l1641,958r-33,l1583,958r-33,l1525,958r-33,l1467,950r-33,l1401,950r-25,l1343,950r-25,-8l1285,942r-25,l1227,933r-25,l1169,925r-25,l1119,917r-33,l1061,909r-33,-8l1003,901r-25,-8l945,885r-25,-8l895,877r-24,-9l837,860r-24,-8l788,844r-25,-8l738,828r-25,-8l688,812r-25,-8l639,795,614,779r-25,-8l564,763r-25,-8l514,747,498,730r-25,-8l448,714,431,698r-25,-8l382,674r-17,-8l348,649r-24,-8l307,625r-25,-8l266,601r-17,-8l232,576,216,560r-17,-8l183,536,166,519r-16,-8l133,495,116,479,100,463,92,446,75,438,58,422,50,406,34,390,25,373,17,357,,341,,730r17,17l25,763r9,16l50,795r8,17l75,828r17,8l100,852r16,16l133,885r17,16l166,909r17,16l199,942r17,8l232,966r17,16l266,990r16,16l307,1015r17,16l348,1039r17,16l382,1063r24,16l431,1088r17,16l473,1112r25,8l514,1136r25,8l564,1153r25,8l614,1169r25,16l663,1193r25,8l713,1209r25,8l763,1226r25,8l813,1242r24,8l871,1258r24,8l920,1266r25,8l978,1282r25,9l1028,1291r33,8l1086,1307r33,l1144,1315r25,l1202,1323r25,l1260,1331r25,l1318,1331r25,8l1376,1339r25,l1434,1339r33,l1492,1347r33,l1550,1347r33,l1608,1347r33,l1666,1347r33,-8l1733,1339r24,l1791,1339r24,l1849,1331r24,l1907,1331r24,-8l1965,1323r24,-8l2023,1315r24,-8l2072,1307r33,-8l2130,1291r33,l2188,1282r25,-8l2238,1266r33,l2296,1258r25,-8l2346,1242r33,-8l2404,1226r25,-9l2454,1209r24,-8l2503,1193r25,-8l2553,1169r25,-8l2603,1153r16,-9l2644,1136r25,-16l2694,1112r16,-8l2735,1088r17,-9l2777,1063r16,-8l2818,1039r17,-8l2860,1015r16,-9l2893,990r25,-8l2934,966r17,-16l2967,942r17,-17l3001,909r16,-8l3034,885r8,-17l3059,852r16,-16l3092,828r8,-16l3117,795r8,-16l3141,763r9,-16l3158,730r8,-16l3183,706r8,-16l3199,674r9,-17l3216,641r8,-16l3233,609r,-16l3241,576r8,-16l3249,544r8,-16l3257,511r9,-16l3266,471r,-16l3266,438r8,-16l3274,406r,-16l3274,xe" fillcolor="#7e702a" strokeweight=".4pt">
                <v:path arrowok="t"/>
              </v:shape>
              <v:shape id="_x0000_s1125" style="position:absolute;left:6854;top:4938;width:3274;height:1908" coordsize="3274,1908" path="m1583,r25,l1641,r25,l1699,r34,l1757,r34,9l1815,9r34,l1873,17r34,l1931,17r34,8l1989,25r34,8l2047,33r25,8l2105,49r25,l2163,57r25,8l2213,65r25,9l2271,82r25,8l2321,98r25,8l2379,114r25,l2429,122r25,16l2478,147r25,8l2528,163r25,8l2578,179r25,8l2619,203r25,8l2669,220r25,16l2710,244r25,8l2752,268r25,8l2793,293r25,8l2835,317r25,8l2876,341r17,8l2918,366r16,16l2951,390r16,16l2984,423r17,8l3017,447r17,16l3042,471r17,16l3075,504r17,16l3100,536r17,16l3125,560r16,17l3150,593r8,16l3166,625r17,17l3191,658r8,16l3208,690r8,17l3224,723r9,16l3233,755r8,16l3249,788r,16l3257,820r,16l3266,853r,16l3266,885r,16l3274,918r,16l3274,950r,16l3274,983r-8,16l3266,1015r,16l3266,1056r-9,16l3257,1088r-8,16l3249,1120r-8,17l3233,1153r,16l3224,1185r-8,17l3208,1218r-9,16l3191,1250r-8,17l3166,1275r-8,16l3150,1307r-9,16l3125,1340r-8,16l3100,1372r-8,16l3075,1396r-16,17l3042,1429r-8,16l3017,1461r-16,8l2984,1486r-17,16l2951,1510r-17,16l2918,1543r-25,8l2876,1567r-16,8l2835,1591r-17,8l2793,1616r-16,8l2752,1640r-17,8l2710,1664r-16,8l2669,1680r-25,17l2619,1705r-16,8l2578,1721r-25,8l2528,1745r-25,9l2478,1762r-24,8l2429,1778r-25,8l2379,1794r-33,8l2321,1810r-25,8l2271,1827r-33,l2213,1835r-25,8l2163,1851r-33,l2105,1859r-33,8l2047,1867r-24,8l1989,1875r-24,8l1931,1883r-24,9l1873,1892r-24,l1815,1900r-24,l1757,1900r-24,l1699,1900r-33,8l1641,1908r-33,l1583,1908r-33,l1525,1908r-33,l1467,1900r-33,l1401,1900r-25,l1343,1900r-25,-8l1285,1892r-25,l1227,1883r-25,l1169,1875r-25,l1119,1867r-33,l1061,1859r-33,-8l1003,1851r-25,-8l945,1835r-25,-8l895,1827r-24,-9l837,1810r-24,-8l788,1794r-25,-8l738,1778r-25,-8l688,1762r-25,-8l639,1745r-25,-16l589,1721r-25,-8l539,1705r-25,-8l498,1680r-25,-8l448,1664r-17,-16l406,1640r-24,-16l365,1616r-17,-17l324,1591r-17,-16l282,1567r-16,-16l249,1543r-17,-17l216,1510r-17,-8l183,1486r-17,-17l150,1461r-17,-16l116,1429r-16,-16l92,1396r-17,-8l58,1372r-8,-16l34,1340r-9,-17l17,1307,,1291,1583,950,1583,xe" fillcolor="#fbdf53" strokeweight=".4pt">
                <v:path arrowok="t"/>
              </v:shape>
              <v:rect id="_x0000_s1126" style="position:absolute;left:7451;top:4021;width:2054;height:276;mso-wrap-style:none" filled="f" stroked="f">
                <v:textbox style="mso-next-textbox:#_x0000_s1126;mso-fit-shape-to-text:t" inset="0,0,0,0">
                  <w:txbxContent>
                    <w:p w:rsidR="00C40023" w:rsidRDefault="00C40023" w:rsidP="002C0C35">
                      <w:r>
                        <w:rPr>
                          <w:rFonts w:ascii="Arial" w:hAnsi="Arial" w:cs="Arial"/>
                          <w:b/>
                          <w:bCs/>
                          <w:color w:val="000000"/>
                          <w:szCs w:val="24"/>
                        </w:rPr>
                        <w:t>National Numbers</w:t>
                      </w:r>
                    </w:p>
                  </w:txbxContent>
                </v:textbox>
              </v:rect>
              <v:rect id="_x0000_s1127" style="position:absolute;left:7111;top:5799;width:681;height:276;mso-wrap-style:none" filled="f" stroked="f">
                <v:textbox style="mso-next-textbox:#_x0000_s1127;mso-fit-shape-to-text:t" inset="0,0,0,0">
                  <w:txbxContent>
                    <w:p w:rsidR="00C40023" w:rsidRDefault="00C40023" w:rsidP="002C0C35">
                      <w:r>
                        <w:rPr>
                          <w:rFonts w:ascii="Arial" w:hAnsi="Arial" w:cs="Arial"/>
                          <w:b/>
                          <w:bCs/>
                          <w:color w:val="000000"/>
                        </w:rPr>
                        <w:t>12.4%</w:t>
                      </w:r>
                    </w:p>
                  </w:txbxContent>
                </v:textbox>
              </v:rect>
              <v:rect id="_x0000_s1128" style="position:absolute;left:8918;top:5677;width:681;height:276;mso-wrap-style:none" filled="f" stroked="f">
                <v:textbox style="mso-next-textbox:#_x0000_s1128;mso-fit-shape-to-text:t" inset="0,0,0,0">
                  <w:txbxContent>
                    <w:p w:rsidR="00C40023" w:rsidRDefault="00C40023" w:rsidP="002C0C35">
                      <w:r>
                        <w:rPr>
                          <w:rFonts w:ascii="Arial" w:hAnsi="Arial" w:cs="Arial"/>
                          <w:b/>
                          <w:bCs/>
                          <w:color w:val="000000"/>
                        </w:rPr>
                        <w:t>70.3%</w:t>
                      </w:r>
                    </w:p>
                  </w:txbxContent>
                </v:textbox>
              </v:rect>
              <v:rect id="_x0000_s1129" style="position:absolute;left:7078;top:5361;width:548;height:276;mso-wrap-style:none" filled="f" stroked="f">
                <v:textbox style="mso-next-textbox:#_x0000_s1129;mso-fit-shape-to-text:t" inset="0,0,0,0">
                  <w:txbxContent>
                    <w:p w:rsidR="00C40023" w:rsidRDefault="00C40023" w:rsidP="002C0C35">
                      <w:r>
                        <w:rPr>
                          <w:rFonts w:ascii="Arial" w:hAnsi="Arial" w:cs="Arial"/>
                          <w:b/>
                          <w:bCs/>
                          <w:color w:val="000000"/>
                        </w:rPr>
                        <w:t>4.9%</w:t>
                      </w:r>
                    </w:p>
                  </w:txbxContent>
                </v:textbox>
              </v:rect>
              <v:rect id="_x0000_s1130" style="position:absolute;left:7907;top:5279;width:681;height:276;mso-wrap-style:none" filled="f" stroked="f">
                <v:textbox style="mso-next-textbox:#_x0000_s1130;mso-fit-shape-to-text:t" inset="0,0,0,0">
                  <w:txbxContent>
                    <w:p w:rsidR="00C40023" w:rsidRDefault="00C40023" w:rsidP="002C0C35">
                      <w:r>
                        <w:rPr>
                          <w:rFonts w:ascii="Arial" w:hAnsi="Arial" w:cs="Arial"/>
                          <w:b/>
                          <w:bCs/>
                          <w:color w:val="000000"/>
                        </w:rPr>
                        <w:t>12.4%</w:t>
                      </w:r>
                    </w:p>
                  </w:txbxContent>
                </v:textbox>
              </v:rect>
              <v:rect id="_x0000_s1131" style="position:absolute;left:8959;top:4378;width:67;height:65" fillcolor="#fbdf53" strokeweight=".4pt"/>
              <v:rect id="_x0000_s1132" style="position:absolute;left:9067;top:4339;width:1728;height:138;mso-wrap-style:none" filled="f" stroked="f">
                <v:textbox style="mso-next-textbox:#_x0000_s1132;mso-fit-shape-to-text:t" inset="0,0,0,0">
                  <w:txbxContent>
                    <w:p w:rsidR="00C40023" w:rsidRDefault="00C40023" w:rsidP="002C0C35">
                      <w:r>
                        <w:rPr>
                          <w:rFonts w:ascii="Arial" w:hAnsi="Arial" w:cs="Arial"/>
                          <w:b/>
                          <w:bCs/>
                          <w:color w:val="000000"/>
                          <w:sz w:val="12"/>
                          <w:szCs w:val="12"/>
                        </w:rPr>
                        <w:t>Unlinked Investigations (3612)</w:t>
                      </w:r>
                    </w:p>
                  </w:txbxContent>
                </v:textbox>
              </v:rect>
              <v:rect id="_x0000_s1133" style="position:absolute;left:8959;top:4533;width:67;height:65" fillcolor="#f96" strokeweight=".4pt"/>
              <v:rect id="_x0000_s1134" style="position:absolute;left:9067;top:4493;width:1067;height:138;mso-wrap-style:none" filled="f" stroked="f">
                <v:textbox style="mso-next-textbox:#_x0000_s1134;mso-fit-shape-to-text:t" inset="0,0,0,0">
                  <w:txbxContent>
                    <w:p w:rsidR="00C40023" w:rsidRDefault="00C40023" w:rsidP="002C0C35">
                      <w:r>
                        <w:rPr>
                          <w:rFonts w:ascii="Arial" w:hAnsi="Arial" w:cs="Arial"/>
                          <w:b/>
                          <w:bCs/>
                          <w:color w:val="000000"/>
                          <w:sz w:val="12"/>
                          <w:szCs w:val="12"/>
                        </w:rPr>
                        <w:t>CPOT Linked (634)</w:t>
                      </w:r>
                    </w:p>
                  </w:txbxContent>
                </v:textbox>
              </v:rect>
              <v:rect id="_x0000_s1135" style="position:absolute;left:8959;top:4695;width:67;height:65" fillcolor="#c30" strokeweight=".4pt"/>
              <v:rect id="_x0000_s1136" style="position:absolute;left:9067;top:4655;width:1681;height:138;mso-wrap-style:none" filled="f" stroked="f">
                <v:textbox style="mso-next-textbox:#_x0000_s1136;mso-fit-shape-to-text:t" inset="0,0,0,0">
                  <w:txbxContent>
                    <w:p w:rsidR="00C40023" w:rsidRDefault="00C40023" w:rsidP="002C0C35">
                      <w:r>
                        <w:rPr>
                          <w:rFonts w:ascii="Arial" w:hAnsi="Arial" w:cs="Arial"/>
                          <w:b/>
                          <w:bCs/>
                          <w:color w:val="000000"/>
                          <w:sz w:val="12"/>
                          <w:szCs w:val="12"/>
                        </w:rPr>
                        <w:t>CPOT and RPOT Linked (250)</w:t>
                      </w:r>
                    </w:p>
                  </w:txbxContent>
                </v:textbox>
              </v:rect>
              <v:rect id="_x0000_s1137" style="position:absolute;left:8959;top:4849;width:67;height:65" fillcolor="#960" strokeweight=".4pt"/>
              <v:rect id="_x0000_s1138" style="position:absolute;left:9067;top:4809;width:1067;height:138;mso-wrap-style:none" filled="f" stroked="f">
                <v:textbox style="mso-next-textbox:#_x0000_s1138;mso-fit-shape-to-text:t" inset="0,0,0,0">
                  <w:txbxContent>
                    <w:p w:rsidR="00C40023" w:rsidRDefault="00C40023" w:rsidP="002C0C35">
                      <w:r>
                        <w:rPr>
                          <w:rFonts w:ascii="Arial" w:hAnsi="Arial" w:cs="Arial"/>
                          <w:b/>
                          <w:bCs/>
                          <w:color w:val="000000"/>
                          <w:sz w:val="12"/>
                          <w:szCs w:val="12"/>
                        </w:rPr>
                        <w:t>RPOT Linked (637)</w:t>
                      </w:r>
                    </w:p>
                  </w:txbxContent>
                </v:textbox>
              </v:rect>
            </v:group>
          </v:group>
        </w:pict>
      </w:r>
    </w:p>
    <w:p w:rsidR="002C0C35" w:rsidRPr="00CA6E81" w:rsidRDefault="002C0C35" w:rsidP="002C0C35">
      <w:pPr>
        <w:pStyle w:val="BodyText"/>
        <w:rPr>
          <w:b/>
          <w:i/>
          <w:szCs w:val="24"/>
        </w:rPr>
      </w:pPr>
      <w:r w:rsidRPr="00CA6E81">
        <w:rPr>
          <w:szCs w:val="24"/>
        </w:rPr>
        <w:t xml:space="preserve">OCDETF’s commitment to pursuing priority targets is evident from the steady increase in the percentage of cases linked to these targets.  </w:t>
      </w:r>
      <w:r w:rsidR="00AE0095" w:rsidRPr="00CA6E81">
        <w:rPr>
          <w:szCs w:val="24"/>
        </w:rPr>
        <w:t xml:space="preserve"> Currently, 1</w:t>
      </w:r>
      <w:r w:rsidRPr="00CA6E81">
        <w:rPr>
          <w:szCs w:val="24"/>
        </w:rPr>
        <w:t xml:space="preserve">2.4 percent of OCDETF’s active investigations ─ or 634 cases ─ </w:t>
      </w:r>
      <w:r w:rsidR="00987A78">
        <w:rPr>
          <w:szCs w:val="24"/>
        </w:rPr>
        <w:t>have validated links</w:t>
      </w:r>
      <w:r w:rsidR="00AE0095" w:rsidRPr="00CA6E81">
        <w:rPr>
          <w:szCs w:val="24"/>
        </w:rPr>
        <w:t xml:space="preserve"> to a CPOT, and </w:t>
      </w:r>
      <w:r w:rsidR="00C26566" w:rsidRPr="00CA6E81">
        <w:rPr>
          <w:szCs w:val="24"/>
        </w:rPr>
        <w:t xml:space="preserve">12.4 percent ─ or </w:t>
      </w:r>
      <w:r w:rsidRPr="00CA6E81">
        <w:rPr>
          <w:szCs w:val="24"/>
        </w:rPr>
        <w:t>637 cases ─ are linked to RPOTs. An additional 4.9 percent</w:t>
      </w:r>
      <w:r w:rsidR="00AE0095" w:rsidRPr="00CA6E81">
        <w:rPr>
          <w:szCs w:val="24"/>
        </w:rPr>
        <w:t xml:space="preserve"> of active investigations ─ or </w:t>
      </w:r>
      <w:r w:rsidRPr="00CA6E81">
        <w:rPr>
          <w:szCs w:val="24"/>
        </w:rPr>
        <w:t>250 cases ─ are linked to both CPOTs and RPOTs, so a total of 17</w:t>
      </w:r>
      <w:r w:rsidR="0031312C">
        <w:rPr>
          <w:szCs w:val="24"/>
        </w:rPr>
        <w:t>.3</w:t>
      </w:r>
      <w:r w:rsidRPr="00CA6E81">
        <w:rPr>
          <w:szCs w:val="24"/>
        </w:rPr>
        <w:t xml:space="preserve"> pe</w:t>
      </w:r>
      <w:r w:rsidR="00AE0095" w:rsidRPr="00CA6E81">
        <w:rPr>
          <w:szCs w:val="24"/>
        </w:rPr>
        <w:t xml:space="preserve">rcent of active investigations </w:t>
      </w:r>
      <w:r w:rsidRPr="00CA6E81">
        <w:rPr>
          <w:szCs w:val="24"/>
        </w:rPr>
        <w:t>are linked to CPOTs.     It is significant to note that since the end of FY 2010, OCDETF’s CPOT linked case inventory has increased to a total of 884 investigations, a 14</w:t>
      </w:r>
      <w:r w:rsidR="00987A78">
        <w:rPr>
          <w:szCs w:val="24"/>
        </w:rPr>
        <w:t xml:space="preserve"> percent</w:t>
      </w:r>
      <w:r w:rsidRPr="00CA6E81">
        <w:rPr>
          <w:szCs w:val="24"/>
        </w:rPr>
        <w:t xml:space="preserve"> increase.  Currently, 47</w:t>
      </w:r>
      <w:r w:rsidR="00987A78">
        <w:rPr>
          <w:szCs w:val="24"/>
        </w:rPr>
        <w:t xml:space="preserve"> percent</w:t>
      </w:r>
      <w:r w:rsidRPr="00CA6E81">
        <w:rPr>
          <w:szCs w:val="24"/>
        </w:rPr>
        <w:t xml:space="preserve"> of the active CPOT-linked investigations are out of the Southwest Region.</w:t>
      </w:r>
    </w:p>
    <w:p w:rsidR="002C0C35" w:rsidRPr="00CA6E81" w:rsidRDefault="002C0C35" w:rsidP="002C0C35">
      <w:pPr>
        <w:numPr>
          <w:ilvl w:val="12"/>
          <w:numId w:val="0"/>
        </w:numPr>
        <w:tabs>
          <w:tab w:val="left" w:pos="0"/>
          <w:tab w:val="left" w:pos="720"/>
          <w:tab w:val="left" w:pos="1440"/>
          <w:tab w:val="left" w:pos="2161"/>
          <w:tab w:val="left" w:pos="2883"/>
          <w:tab w:val="left" w:pos="3604"/>
          <w:tab w:val="left" w:pos="4326"/>
          <w:tab w:val="left" w:pos="5046"/>
          <w:tab w:val="left" w:pos="5767"/>
          <w:tab w:val="left" w:pos="6489"/>
          <w:tab w:val="left" w:pos="7210"/>
          <w:tab w:val="left" w:pos="7916"/>
          <w:tab w:val="left" w:pos="8652"/>
          <w:tab w:val="left" w:pos="9373"/>
        </w:tabs>
        <w:rPr>
          <w:szCs w:val="24"/>
        </w:rPr>
      </w:pPr>
      <w:r w:rsidRPr="00CA6E81">
        <w:rPr>
          <w:szCs w:val="24"/>
        </w:rPr>
        <w:t>OCDETF data also demonstrates that OCDETF participants are pursuing these investigations to successful conclusions</w:t>
      </w:r>
      <w:r w:rsidRPr="00CA6E81">
        <w:rPr>
          <w:b/>
          <w:i/>
          <w:szCs w:val="24"/>
        </w:rPr>
        <w:t xml:space="preserve">.  </w:t>
      </w:r>
      <w:r w:rsidRPr="00CA6E81">
        <w:rPr>
          <w:szCs w:val="24"/>
        </w:rPr>
        <w:t>Between 2003 and 2011, OCDETF agencies dismantled 49 CPOT organizations and severely disrupted the operations of another 29.  In addition, during FY 2003 through FY 2011, OCDETF disrupted or dismantled a total of 2,1</w:t>
      </w:r>
      <w:r w:rsidR="00A132FD">
        <w:rPr>
          <w:szCs w:val="24"/>
        </w:rPr>
        <w:t>15</w:t>
      </w:r>
      <w:r w:rsidRPr="00CA6E81">
        <w:rPr>
          <w:szCs w:val="24"/>
        </w:rPr>
        <w:t xml:space="preserve"> CPOT-linked organizations -- organizations working with or otherwise associated with a CPOT.   OCDETF achieved unprecedented results during FY 2011 in dismantling and disrupting CPOT-linked drug trafficking organizations. OCDETF dismantled 1</w:t>
      </w:r>
      <w:r w:rsidR="00A132FD">
        <w:rPr>
          <w:szCs w:val="24"/>
        </w:rPr>
        <w:t>30</w:t>
      </w:r>
      <w:r w:rsidRPr="00CA6E81">
        <w:rPr>
          <w:szCs w:val="24"/>
        </w:rPr>
        <w:t xml:space="preserve"> CPOT-linked organizations in FY 2011, exceeding its target by 2</w:t>
      </w:r>
      <w:r w:rsidR="00A132FD">
        <w:rPr>
          <w:szCs w:val="24"/>
        </w:rPr>
        <w:t>5</w:t>
      </w:r>
      <w:r w:rsidR="00987A78">
        <w:rPr>
          <w:szCs w:val="24"/>
        </w:rPr>
        <w:t xml:space="preserve"> percent</w:t>
      </w:r>
      <w:r w:rsidRPr="00CA6E81">
        <w:rPr>
          <w:szCs w:val="24"/>
        </w:rPr>
        <w:t>.  This is a</w:t>
      </w:r>
      <w:r w:rsidR="00A132FD">
        <w:rPr>
          <w:szCs w:val="24"/>
        </w:rPr>
        <w:t>n</w:t>
      </w:r>
      <w:r w:rsidRPr="00CA6E81">
        <w:rPr>
          <w:szCs w:val="24"/>
        </w:rPr>
        <w:t xml:space="preserve"> </w:t>
      </w:r>
      <w:r w:rsidR="00A132FD">
        <w:rPr>
          <w:szCs w:val="24"/>
        </w:rPr>
        <w:t>8</w:t>
      </w:r>
      <w:r w:rsidR="00987A78">
        <w:rPr>
          <w:szCs w:val="24"/>
        </w:rPr>
        <w:t xml:space="preserve"> percent</w:t>
      </w:r>
      <w:r w:rsidRPr="00CA6E81">
        <w:rPr>
          <w:szCs w:val="24"/>
        </w:rPr>
        <w:t xml:space="preserve"> increase over the 120 dismantled in FY 2010.  OCDETF disrupted </w:t>
      </w:r>
      <w:r w:rsidR="00A132FD">
        <w:rPr>
          <w:szCs w:val="24"/>
        </w:rPr>
        <w:t>230</w:t>
      </w:r>
      <w:r w:rsidRPr="00CA6E81">
        <w:rPr>
          <w:szCs w:val="24"/>
        </w:rPr>
        <w:t xml:space="preserve"> CPOT-linked organizations in FY 2011, exceeding its target by 2</w:t>
      </w:r>
      <w:r w:rsidR="00A132FD">
        <w:rPr>
          <w:szCs w:val="24"/>
        </w:rPr>
        <w:t>4</w:t>
      </w:r>
      <w:r w:rsidR="00987A78">
        <w:rPr>
          <w:szCs w:val="24"/>
        </w:rPr>
        <w:t xml:space="preserve"> percent</w:t>
      </w:r>
      <w:r w:rsidRPr="00CA6E81">
        <w:rPr>
          <w:szCs w:val="24"/>
        </w:rPr>
        <w:t xml:space="preserve">.  This is a </w:t>
      </w:r>
      <w:r w:rsidR="00A132FD">
        <w:rPr>
          <w:szCs w:val="24"/>
        </w:rPr>
        <w:t>7</w:t>
      </w:r>
      <w:r w:rsidR="00987A78">
        <w:rPr>
          <w:szCs w:val="24"/>
        </w:rPr>
        <w:t xml:space="preserve"> percent</w:t>
      </w:r>
      <w:r w:rsidRPr="00CA6E81">
        <w:rPr>
          <w:szCs w:val="24"/>
        </w:rPr>
        <w:t xml:space="preserve"> increase over the 214 reported in FY 2010 and a </w:t>
      </w:r>
      <w:r w:rsidR="00A132FD">
        <w:rPr>
          <w:szCs w:val="24"/>
        </w:rPr>
        <w:t>42</w:t>
      </w:r>
      <w:r w:rsidR="00987A78">
        <w:rPr>
          <w:szCs w:val="24"/>
        </w:rPr>
        <w:t xml:space="preserve"> percent</w:t>
      </w:r>
      <w:r w:rsidRPr="00CA6E81">
        <w:rPr>
          <w:szCs w:val="24"/>
        </w:rPr>
        <w:t xml:space="preserve"> increase over the 162 reported in FY 2009.   </w:t>
      </w:r>
    </w:p>
    <w:p w:rsidR="002C0C35" w:rsidRPr="00CA6E81" w:rsidRDefault="002C0C35" w:rsidP="002C0C35">
      <w:pPr>
        <w:numPr>
          <w:ilvl w:val="12"/>
          <w:numId w:val="0"/>
        </w:numPr>
        <w:tabs>
          <w:tab w:val="left" w:pos="0"/>
          <w:tab w:val="left" w:pos="720"/>
          <w:tab w:val="left" w:pos="1440"/>
          <w:tab w:val="left" w:pos="2161"/>
          <w:tab w:val="left" w:pos="2883"/>
          <w:tab w:val="left" w:pos="3604"/>
          <w:tab w:val="left" w:pos="4326"/>
          <w:tab w:val="left" w:pos="5046"/>
          <w:tab w:val="left" w:pos="5767"/>
          <w:tab w:val="left" w:pos="6489"/>
          <w:tab w:val="left" w:pos="7210"/>
          <w:tab w:val="left" w:pos="7916"/>
          <w:tab w:val="left" w:pos="8652"/>
          <w:tab w:val="left" w:pos="9373"/>
        </w:tabs>
        <w:ind w:left="720"/>
        <w:rPr>
          <w:szCs w:val="24"/>
        </w:rPr>
      </w:pPr>
    </w:p>
    <w:p w:rsidR="002C0C35" w:rsidRPr="00CA6E81" w:rsidRDefault="00BC20B2" w:rsidP="002C0C35">
      <w:pPr>
        <w:numPr>
          <w:ilvl w:val="12"/>
          <w:numId w:val="0"/>
        </w:numPr>
        <w:tabs>
          <w:tab w:val="left" w:pos="0"/>
          <w:tab w:val="left" w:pos="720"/>
          <w:tab w:val="left" w:pos="1440"/>
          <w:tab w:val="left" w:pos="2161"/>
          <w:tab w:val="left" w:pos="2883"/>
          <w:tab w:val="left" w:pos="3604"/>
          <w:tab w:val="left" w:pos="4326"/>
          <w:tab w:val="left" w:pos="5046"/>
          <w:tab w:val="left" w:pos="5767"/>
          <w:tab w:val="left" w:pos="6489"/>
          <w:tab w:val="left" w:pos="7210"/>
          <w:tab w:val="left" w:pos="7916"/>
          <w:tab w:val="left" w:pos="8652"/>
          <w:tab w:val="left" w:pos="9373"/>
        </w:tabs>
        <w:rPr>
          <w:szCs w:val="24"/>
        </w:rPr>
      </w:pPr>
      <w:r>
        <w:rPr>
          <w:szCs w:val="24"/>
        </w:rPr>
        <w:t xml:space="preserve">In FY 2011 </w:t>
      </w:r>
      <w:r w:rsidR="002C0C35" w:rsidRPr="00CA6E81">
        <w:rPr>
          <w:szCs w:val="24"/>
        </w:rPr>
        <w:t>OCDETF</w:t>
      </w:r>
      <w:r>
        <w:rPr>
          <w:szCs w:val="24"/>
        </w:rPr>
        <w:t xml:space="preserve"> </w:t>
      </w:r>
      <w:r w:rsidR="00E37F0B">
        <w:rPr>
          <w:szCs w:val="24"/>
        </w:rPr>
        <w:t xml:space="preserve">achieved </w:t>
      </w:r>
      <w:r w:rsidR="002C0C35" w:rsidRPr="00CA6E81">
        <w:rPr>
          <w:szCs w:val="24"/>
        </w:rPr>
        <w:t>unprecedented successes dismantling or disrupting 3</w:t>
      </w:r>
      <w:r w:rsidR="00A132FD">
        <w:rPr>
          <w:szCs w:val="24"/>
        </w:rPr>
        <w:t>60</w:t>
      </w:r>
      <w:r w:rsidR="002C0C35" w:rsidRPr="00CA6E81">
        <w:rPr>
          <w:szCs w:val="24"/>
        </w:rPr>
        <w:t xml:space="preserve"> CPOT-linked drug trafficking organizations, </w:t>
      </w:r>
      <w:r w:rsidR="00E37F0B">
        <w:rPr>
          <w:szCs w:val="24"/>
        </w:rPr>
        <w:t xml:space="preserve">an </w:t>
      </w:r>
      <w:r w:rsidR="002C0C35" w:rsidRPr="00CA6E81">
        <w:rPr>
          <w:szCs w:val="24"/>
        </w:rPr>
        <w:t>a</w:t>
      </w:r>
      <w:r w:rsidR="00A132FD">
        <w:rPr>
          <w:szCs w:val="24"/>
        </w:rPr>
        <w:t>lmost 8</w:t>
      </w:r>
      <w:r w:rsidR="00987A78">
        <w:rPr>
          <w:szCs w:val="24"/>
        </w:rPr>
        <w:t xml:space="preserve"> percent</w:t>
      </w:r>
      <w:r w:rsidR="002C0C35" w:rsidRPr="00CA6E81">
        <w:rPr>
          <w:szCs w:val="24"/>
        </w:rPr>
        <w:t xml:space="preserve"> increase over the 334 dismantled or disrupted in FY 2010</w:t>
      </w:r>
      <w:r w:rsidR="00E37F0B">
        <w:rPr>
          <w:szCs w:val="24"/>
        </w:rPr>
        <w:t>.</w:t>
      </w:r>
      <w:r w:rsidR="002C0C35" w:rsidRPr="00CA6E81">
        <w:rPr>
          <w:szCs w:val="24"/>
        </w:rPr>
        <w:t xml:space="preserve"> </w:t>
      </w:r>
      <w:r w:rsidR="00E37F0B">
        <w:rPr>
          <w:szCs w:val="24"/>
        </w:rPr>
        <w:t>In addition,</w:t>
      </w:r>
      <w:r w:rsidR="002C0C35" w:rsidRPr="00CA6E81">
        <w:rPr>
          <w:szCs w:val="24"/>
        </w:rPr>
        <w:t xml:space="preserve"> the significant enforcement actions of OCDETF agencies against CPOTs themselves have resulted in keeping multi-ton quantities of illegal drugs such as cocaine, heroin, marijuana and methamphetamine from ever entering the United States.</w:t>
      </w:r>
      <w:r w:rsidR="00AE0095" w:rsidRPr="00CA6E81">
        <w:rPr>
          <w:szCs w:val="24"/>
        </w:rPr>
        <w:t xml:space="preserve"> </w:t>
      </w:r>
      <w:r w:rsidR="002C0C35" w:rsidRPr="00CA6E81">
        <w:rPr>
          <w:szCs w:val="24"/>
        </w:rPr>
        <w:t xml:space="preserve">OCDETF continues to be vigilant in auditing the quality of its data collection in this important performance area.  OCDETF ensures that a thorough review of all cases reported to be linked to CPOTs is conducted to determine the validity of each link, and has implemented controls to ensure that all links are properly supported.  </w:t>
      </w:r>
    </w:p>
    <w:p w:rsidR="002C0C35" w:rsidRPr="00CA6E81" w:rsidRDefault="002C0C35" w:rsidP="002C0C35">
      <w:pPr>
        <w:numPr>
          <w:ilvl w:val="12"/>
          <w:numId w:val="0"/>
        </w:numPr>
        <w:tabs>
          <w:tab w:val="left" w:pos="0"/>
          <w:tab w:val="left" w:pos="720"/>
          <w:tab w:val="left" w:pos="1440"/>
          <w:tab w:val="left" w:pos="2161"/>
          <w:tab w:val="left" w:pos="2883"/>
          <w:tab w:val="left" w:pos="3604"/>
          <w:tab w:val="left" w:pos="4326"/>
          <w:tab w:val="left" w:pos="5046"/>
          <w:tab w:val="left" w:pos="5767"/>
          <w:tab w:val="left" w:pos="6489"/>
          <w:tab w:val="left" w:pos="7210"/>
          <w:tab w:val="left" w:pos="7916"/>
          <w:tab w:val="left" w:pos="8652"/>
          <w:tab w:val="left" w:pos="9373"/>
        </w:tabs>
        <w:rPr>
          <w:szCs w:val="24"/>
        </w:rPr>
      </w:pPr>
    </w:p>
    <w:p w:rsidR="002C0C35" w:rsidRPr="00185574" w:rsidRDefault="002C0C35" w:rsidP="002C0C35">
      <w:pPr>
        <w:framePr w:w="4471" w:h="3637" w:hSpace="180" w:wrap="around" w:vAnchor="text" w:hAnchor="page" w:x="6541" w:y="331"/>
        <w:pBdr>
          <w:top w:val="single" w:sz="6" w:space="1" w:color="auto"/>
          <w:left w:val="single" w:sz="6" w:space="1" w:color="auto"/>
          <w:bottom w:val="single" w:sz="6" w:space="1" w:color="auto"/>
          <w:right w:val="single" w:sz="6" w:space="1" w:color="auto"/>
        </w:pBdr>
      </w:pPr>
    </w:p>
    <w:p w:rsidR="002C0C35" w:rsidRPr="00185574" w:rsidRDefault="00324377" w:rsidP="002C0C35">
      <w:pPr>
        <w:pStyle w:val="TitleLeft"/>
        <w:rPr>
          <w:b w:val="0"/>
          <w:bCs/>
        </w:rPr>
      </w:pPr>
      <w:r>
        <w:rPr>
          <w:noProof/>
        </w:rPr>
        <w:drawing>
          <wp:anchor distT="201168" distB="46482" distL="144780" distR="425196" simplePos="0" relativeHeight="251667968" behindDoc="0" locked="0" layoutInCell="1" allowOverlap="1">
            <wp:simplePos x="0" y="0"/>
            <wp:positionH relativeFrom="column">
              <wp:posOffset>3230880</wp:posOffset>
            </wp:positionH>
            <wp:positionV relativeFrom="paragraph">
              <wp:posOffset>315595</wp:posOffset>
            </wp:positionV>
            <wp:extent cx="2675890" cy="2072640"/>
            <wp:effectExtent l="0" t="0" r="0" b="635"/>
            <wp:wrapNone/>
            <wp:docPr id="7"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C0C35" w:rsidRPr="00185574">
        <w:rPr>
          <w:b w:val="0"/>
          <w:bCs/>
        </w:rPr>
        <w:t>Success in Financial Investigations</w:t>
      </w:r>
    </w:p>
    <w:p w:rsidR="002C0C35" w:rsidRPr="00185574" w:rsidRDefault="002C0C35" w:rsidP="002C0C35">
      <w:pPr>
        <w:pStyle w:val="BodyText"/>
      </w:pPr>
      <w:r w:rsidRPr="00185574">
        <w:t xml:space="preserve">In order to have a significant impact on the financial systems that support the drug trade, OCDETF must be steadfast in charging and convicting those who conduct or facilitate illicit financial activity, and in seizing and forfeiting their assets.  </w:t>
      </w:r>
    </w:p>
    <w:p w:rsidR="002C0C35" w:rsidRPr="00185574" w:rsidRDefault="003B2D25" w:rsidP="002C0C35">
      <w:pPr>
        <w:pStyle w:val="BodyText"/>
      </w:pPr>
      <w:r>
        <w:t>B</w:t>
      </w:r>
      <w:r w:rsidR="002C0C35" w:rsidRPr="00185574">
        <w:t xml:space="preserve">eginning </w:t>
      </w:r>
      <w:r>
        <w:t>in</w:t>
      </w:r>
      <w:r w:rsidR="002C0C35" w:rsidRPr="00185574">
        <w:t xml:space="preserve"> </w:t>
      </w:r>
      <w:r w:rsidR="002C0C35">
        <w:t>2010</w:t>
      </w:r>
      <w:r w:rsidR="002C0C35" w:rsidRPr="00185574">
        <w:t xml:space="preserve">, </w:t>
      </w:r>
      <w:r w:rsidR="002C0C35">
        <w:t xml:space="preserve">one hundred percent of OCDETF investigations initiated in FY 2010 or later have an active financial component. Additionally over 99 percent of OCDETF’s more than 5,100 active cases have an active financial investigation. These figures represent an all-time high and demonstrate that OCDETF participants are complying with OCDETF mandates that they must pursue financial investigations as an integral part of each drug investigation.  </w:t>
      </w:r>
    </w:p>
    <w:p w:rsidR="002C0C35" w:rsidRPr="00CE505B" w:rsidRDefault="002C0C35" w:rsidP="002C0C35">
      <w:pPr>
        <w:pStyle w:val="BodyText"/>
        <w:rPr>
          <w:b/>
          <w:i/>
        </w:rPr>
      </w:pPr>
      <w:r w:rsidRPr="00185574">
        <w:t xml:space="preserve">As a result of this focus, OCDETF is increasingly successful in seizing and forfeiting drug-related assets.  A significant percentage of investigations are resulting in the seizure of assets and in charges calling for the forfeiture of assets and proceeds.  </w:t>
      </w:r>
      <w:r w:rsidRPr="00DE375F">
        <w:t xml:space="preserve">The percentage of OCDETF investigations resulting in assets forfeited or restrained increased from 66 percent in FY 2003 to </w:t>
      </w:r>
      <w:r>
        <w:t>80</w:t>
      </w:r>
      <w:r w:rsidRPr="00DE375F">
        <w:t xml:space="preserve"> percent in FY </w:t>
      </w:r>
      <w:r>
        <w:t>2011</w:t>
      </w:r>
      <w:r w:rsidRPr="00DE375F">
        <w:t xml:space="preserve">. </w:t>
      </w:r>
      <w:r w:rsidR="00CA6E81">
        <w:t xml:space="preserve"> </w:t>
      </w:r>
      <w:r w:rsidRPr="00DE375F">
        <w:t xml:space="preserve">Furthermore, </w:t>
      </w:r>
      <w:r>
        <w:t>39</w:t>
      </w:r>
      <w:r w:rsidR="00CA6E81">
        <w:t xml:space="preserve"> </w:t>
      </w:r>
      <w:r w:rsidRPr="00DE375F">
        <w:t xml:space="preserve">percent of indictments contained forfeiture counts in FY </w:t>
      </w:r>
      <w:r>
        <w:t>2011</w:t>
      </w:r>
      <w:r w:rsidRPr="00DE375F">
        <w:t xml:space="preserve">, an increase from </w:t>
      </w:r>
      <w:r>
        <w:t>35</w:t>
      </w:r>
      <w:r w:rsidRPr="00DE375F">
        <w:t xml:space="preserve"> percent in FY </w:t>
      </w:r>
      <w:r>
        <w:t>2010</w:t>
      </w:r>
      <w:r w:rsidRPr="00DE375F">
        <w:t xml:space="preserve"> and </w:t>
      </w:r>
      <w:r>
        <w:t>more than</w:t>
      </w:r>
      <w:r w:rsidRPr="00DE375F">
        <w:t xml:space="preserve"> double the 18 percent of indictments returned in FY 2003.  </w:t>
      </w:r>
      <w:r w:rsidR="006E1BC4">
        <w:t xml:space="preserve">At the end of </w:t>
      </w:r>
      <w:r w:rsidRPr="00DE375F">
        <w:t xml:space="preserve">FY </w:t>
      </w:r>
      <w:r>
        <w:t>20</w:t>
      </w:r>
      <w:r w:rsidR="006E1BC4">
        <w:t>11</w:t>
      </w:r>
      <w:r w:rsidRPr="00DE375F">
        <w:t>, OCDETF seized approximately $</w:t>
      </w:r>
      <w:r w:rsidR="006E1BC4">
        <w:t>421</w:t>
      </w:r>
      <w:r w:rsidRPr="00DE375F">
        <w:t xml:space="preserve"> million in cash and property; and forfeitures amounted to $</w:t>
      </w:r>
      <w:r>
        <w:t>5</w:t>
      </w:r>
      <w:r w:rsidR="006E1BC4">
        <w:t>60</w:t>
      </w:r>
      <w:r w:rsidRPr="00DE375F">
        <w:t xml:space="preserve"> million.</w:t>
      </w:r>
      <w:r>
        <w:t xml:space="preserve"> </w:t>
      </w:r>
      <w:r w:rsidRPr="00DE375F">
        <w:t xml:space="preserve"> During the last</w:t>
      </w:r>
      <w:r>
        <w:t xml:space="preserve"> four</w:t>
      </w:r>
      <w:r w:rsidRPr="00DE375F">
        <w:t xml:space="preserve"> fiscal years, FY 2008 – FY </w:t>
      </w:r>
      <w:r>
        <w:t>2011</w:t>
      </w:r>
      <w:r w:rsidRPr="00DE375F">
        <w:t xml:space="preserve">, the OCDETF Program has been responsible for the seizure of </w:t>
      </w:r>
      <w:r>
        <w:t>almost</w:t>
      </w:r>
      <w:r w:rsidRPr="00DE375F">
        <w:t xml:space="preserve"> $</w:t>
      </w:r>
      <w:r>
        <w:t>2</w:t>
      </w:r>
      <w:r w:rsidRPr="00DE375F">
        <w:t xml:space="preserve"> billion dollars and the forfeiture of </w:t>
      </w:r>
      <w:r>
        <w:t>almost</w:t>
      </w:r>
      <w:r w:rsidRPr="00DE375F">
        <w:t xml:space="preserve"> $</w:t>
      </w:r>
      <w:r>
        <w:t>3</w:t>
      </w:r>
      <w:r w:rsidRPr="00DE375F">
        <w:t xml:space="preserve"> billion. OCDETF’s forfeitures in the Department of Justice Consolidated Asset Tracking System (CATS) totaled over $</w:t>
      </w:r>
      <w:r>
        <w:t>5</w:t>
      </w:r>
      <w:r w:rsidRPr="00DE375F">
        <w:t xml:space="preserve"> billion from FY 2003 through FY 201</w:t>
      </w:r>
      <w:r>
        <w:t>1</w:t>
      </w:r>
      <w:r w:rsidRPr="00DE375F">
        <w:t xml:space="preserve">, or </w:t>
      </w:r>
      <w:r>
        <w:t>35</w:t>
      </w:r>
      <w:r w:rsidRPr="00DE375F">
        <w:t xml:space="preserve"> percent of the total cash and property forfeitures reported in all of CATS.</w:t>
      </w:r>
    </w:p>
    <w:p w:rsidR="002C0C35" w:rsidRPr="00185574" w:rsidRDefault="00324377" w:rsidP="002C0C35">
      <w:pPr>
        <w:framePr w:w="4200" w:h="3568" w:hSpace="187" w:wrap="around" w:vAnchor="text" w:hAnchor="page" w:x="6549" w:y="136"/>
        <w:pBdr>
          <w:top w:val="single" w:sz="6" w:space="1" w:color="auto"/>
          <w:left w:val="single" w:sz="6" w:space="1" w:color="auto"/>
          <w:bottom w:val="single" w:sz="6" w:space="1" w:color="auto"/>
          <w:right w:val="single" w:sz="6" w:space="1" w:color="auto"/>
        </w:pBdr>
      </w:pPr>
      <w:r>
        <w:rPr>
          <w:noProof/>
        </w:rPr>
        <w:drawing>
          <wp:anchor distT="60960" distB="53340" distL="144780" distR="553212" simplePos="0" relativeHeight="251668992" behindDoc="0" locked="0" layoutInCell="1" allowOverlap="1">
            <wp:simplePos x="0" y="0"/>
            <wp:positionH relativeFrom="column">
              <wp:posOffset>63500</wp:posOffset>
            </wp:positionH>
            <wp:positionV relativeFrom="paragraph">
              <wp:posOffset>139700</wp:posOffset>
            </wp:positionV>
            <wp:extent cx="2273935" cy="1981200"/>
            <wp:effectExtent l="0" t="0" r="0" b="0"/>
            <wp:wrapNone/>
            <wp:docPr id="9" name="Object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C0C35" w:rsidRDefault="002C0C35" w:rsidP="002C0C35">
      <w:pPr>
        <w:autoSpaceDE w:val="0"/>
        <w:autoSpaceDN w:val="0"/>
        <w:adjustRightInd w:val="0"/>
        <w:rPr>
          <w:bCs/>
        </w:rPr>
      </w:pPr>
      <w:r w:rsidRPr="00185574">
        <w:t xml:space="preserve">In FY </w:t>
      </w:r>
      <w:r>
        <w:t xml:space="preserve">2011, more than </w:t>
      </w:r>
      <w:r w:rsidR="00E732BF">
        <w:t>12</w:t>
      </w:r>
      <w:r w:rsidRPr="00185574">
        <w:t xml:space="preserve"> percent of all OCDETF defendants were charged with financial violations. </w:t>
      </w:r>
      <w:r>
        <w:t>This is a 33</w:t>
      </w:r>
      <w:r w:rsidR="00987A78">
        <w:t xml:space="preserve"> percent</w:t>
      </w:r>
      <w:r>
        <w:t xml:space="preserve"> increase over the percentage charged at the end of FY 2010. This clearly illustrates OCDETF’s increased commitment of targeting the financial aspects of drug organizations.  </w:t>
      </w:r>
      <w:r w:rsidRPr="00185574">
        <w:t>Similarly, investigations that resulted in defendants convicted of financial violations</w:t>
      </w:r>
      <w:r>
        <w:t xml:space="preserve"> </w:t>
      </w:r>
      <w:proofErr w:type="gramStart"/>
      <w:r>
        <w:t>is</w:t>
      </w:r>
      <w:proofErr w:type="gramEnd"/>
      <w:r>
        <w:t xml:space="preserve"> at 27 percent in FY 2011, an increase from 24</w:t>
      </w:r>
      <w:r w:rsidR="00987A78">
        <w:t xml:space="preserve"> percent </w:t>
      </w:r>
      <w:r>
        <w:t>at the end of FY 2010.</w:t>
      </w:r>
      <w:r w:rsidRPr="00185574">
        <w:t xml:space="preserve">  </w:t>
      </w:r>
      <w:r>
        <w:rPr>
          <w:bCs/>
        </w:rPr>
        <w:t>Also, 9</w:t>
      </w:r>
      <w:r w:rsidR="00987A78">
        <w:rPr>
          <w:bCs/>
        </w:rPr>
        <w:t xml:space="preserve"> percent </w:t>
      </w:r>
      <w:r>
        <w:rPr>
          <w:bCs/>
        </w:rPr>
        <w:t>of OCDETF’s new FY 2011 investigation initiations targeted a primary money laundering organization, an increase from 6</w:t>
      </w:r>
      <w:r w:rsidR="00987A78">
        <w:rPr>
          <w:bCs/>
        </w:rPr>
        <w:t xml:space="preserve"> percent </w:t>
      </w:r>
      <w:r>
        <w:rPr>
          <w:bCs/>
        </w:rPr>
        <w:t>in FY 2010.</w:t>
      </w:r>
    </w:p>
    <w:p w:rsidR="00987A78" w:rsidRPr="00185574" w:rsidRDefault="00987A78" w:rsidP="002C0C35">
      <w:pPr>
        <w:autoSpaceDE w:val="0"/>
        <w:autoSpaceDN w:val="0"/>
        <w:adjustRightInd w:val="0"/>
        <w:rPr>
          <w:b/>
          <w:bCs/>
        </w:rPr>
      </w:pPr>
    </w:p>
    <w:p w:rsidR="002C0C35" w:rsidRPr="00946A50" w:rsidRDefault="002C0C35" w:rsidP="002C0C35">
      <w:pPr>
        <w:autoSpaceDE w:val="0"/>
        <w:autoSpaceDN w:val="0"/>
        <w:adjustRightInd w:val="0"/>
        <w:rPr>
          <w:b/>
          <w:i/>
          <w:szCs w:val="24"/>
        </w:rPr>
      </w:pPr>
      <w:r w:rsidRPr="00185574">
        <w:rPr>
          <w:szCs w:val="24"/>
        </w:rPr>
        <w:lastRenderedPageBreak/>
        <w:t xml:space="preserve">Although OCDETF has had many successes in the financial arena, there is still a long way to go.  Despite increasing numbers, participating agencies have only seized or forfeited a fraction of the estimated illicit narcotics proceeds that attract traffickers to the drug trade in the first place.  </w:t>
      </w:r>
      <w:r>
        <w:rPr>
          <w:szCs w:val="24"/>
        </w:rPr>
        <w:t>OCDETF has taken a number of steps to assist its field components in improving Program performance in the financial arena.  First, as noted above, OCDETF continues to partner with AFMLS to provide financial training for agents, analysts, and prosecutors.  Second, in FY 2007</w:t>
      </w:r>
      <w:r w:rsidRPr="00185574">
        <w:rPr>
          <w:szCs w:val="24"/>
        </w:rPr>
        <w:t xml:space="preserve"> OCDETF began addressing a lack of financial investigators by establishing the Financial Investigator Contractors (FIC) Program.  The FIC Program consists of a squad of three </w:t>
      </w:r>
      <w:r>
        <w:rPr>
          <w:szCs w:val="24"/>
        </w:rPr>
        <w:t>or</w:t>
      </w:r>
      <w:r w:rsidRPr="00185574">
        <w:rPr>
          <w:szCs w:val="24"/>
        </w:rPr>
        <w:t xml:space="preserve"> four FICs in each of the nine OCDETF </w:t>
      </w:r>
      <w:r>
        <w:rPr>
          <w:szCs w:val="24"/>
        </w:rPr>
        <w:t>r</w:t>
      </w:r>
      <w:r w:rsidRPr="00185574">
        <w:rPr>
          <w:szCs w:val="24"/>
        </w:rPr>
        <w:t>egions, with two teams assigned to the Southwest Region, for a total of ten squads. These investigators are assigned to DEA's Financial Investigation Teams (FITs) and are available to support OCDETF investigations in need of financial expertise and support.  This Program is being funded from the DOJ Asset</w:t>
      </w:r>
      <w:r>
        <w:rPr>
          <w:szCs w:val="24"/>
        </w:rPr>
        <w:t>s</w:t>
      </w:r>
      <w:r w:rsidRPr="00185574">
        <w:rPr>
          <w:szCs w:val="24"/>
        </w:rPr>
        <w:t xml:space="preserve"> Forfeiture Fund (AFF</w:t>
      </w:r>
      <w:r w:rsidRPr="00606A25">
        <w:rPr>
          <w:szCs w:val="24"/>
        </w:rPr>
        <w:t>).  AFF funds provided to support this program in FY 201</w:t>
      </w:r>
      <w:r w:rsidR="00C303EF">
        <w:rPr>
          <w:szCs w:val="24"/>
        </w:rPr>
        <w:t>1</w:t>
      </w:r>
      <w:r w:rsidRPr="00606A25">
        <w:rPr>
          <w:szCs w:val="24"/>
        </w:rPr>
        <w:t xml:space="preserve"> were $</w:t>
      </w:r>
      <w:r w:rsidR="00C303EF">
        <w:rPr>
          <w:szCs w:val="24"/>
        </w:rPr>
        <w:t>8.3</w:t>
      </w:r>
      <w:r w:rsidRPr="00606A25">
        <w:rPr>
          <w:szCs w:val="24"/>
        </w:rPr>
        <w:t xml:space="preserve"> million</w:t>
      </w:r>
      <w:r>
        <w:rPr>
          <w:szCs w:val="24"/>
        </w:rPr>
        <w:t>.</w:t>
      </w:r>
      <w:r w:rsidRPr="00606A25">
        <w:rPr>
          <w:szCs w:val="24"/>
        </w:rPr>
        <w:t xml:space="preserve"> </w:t>
      </w:r>
      <w:r>
        <w:rPr>
          <w:szCs w:val="24"/>
        </w:rPr>
        <w:t xml:space="preserve"> </w:t>
      </w:r>
      <w:r w:rsidRPr="00606A25">
        <w:rPr>
          <w:szCs w:val="24"/>
        </w:rPr>
        <w:t xml:space="preserve">In addition, OCDETF </w:t>
      </w:r>
      <w:r>
        <w:rPr>
          <w:szCs w:val="24"/>
        </w:rPr>
        <w:t xml:space="preserve">has used a combination of appropriated funds and AFF funds to provide </w:t>
      </w:r>
      <w:r w:rsidR="00C303EF">
        <w:rPr>
          <w:szCs w:val="24"/>
        </w:rPr>
        <w:t>36</w:t>
      </w:r>
      <w:r>
        <w:rPr>
          <w:szCs w:val="24"/>
        </w:rPr>
        <w:t xml:space="preserve"> full time financial analysts and auditors to U.S. Attorney Offices who have demonstrated a need for such positions and has funded additional financial analyst contractors at each of the OCDETF Co-Located Strike Forces.  OCDETF has also funded the deployment of NDIC Document and Media Exploitation teams to each of its Southwest Border Strike Forces.  These teams of experienced intelligence analysts review voluminous case files and evidentiary materials to develop investigative leads and identify and trace potentially forfeitable assets.</w:t>
      </w:r>
      <w:r w:rsidRPr="00142FA1">
        <w:rPr>
          <w:szCs w:val="24"/>
        </w:rPr>
        <w:t xml:space="preserve">  Finally, the financial section of the OFC generates leads that enable </w:t>
      </w:r>
      <w:r w:rsidR="00987A78">
        <w:rPr>
          <w:szCs w:val="24"/>
        </w:rPr>
        <w:t>P</w:t>
      </w:r>
      <w:r w:rsidRPr="00142FA1">
        <w:rPr>
          <w:szCs w:val="24"/>
        </w:rPr>
        <w:t>rogram participants to make even greater headway against the financial components of sophisticated trafficking organizations.</w:t>
      </w:r>
      <w:r w:rsidRPr="00946A50">
        <w:rPr>
          <w:b/>
          <w:i/>
          <w:szCs w:val="24"/>
        </w:rPr>
        <w:t xml:space="preserve"> </w:t>
      </w:r>
    </w:p>
    <w:p w:rsidR="002C0C35" w:rsidRPr="00946A50" w:rsidRDefault="002C0C35" w:rsidP="002C0C35">
      <w:pPr>
        <w:autoSpaceDE w:val="0"/>
        <w:autoSpaceDN w:val="0"/>
        <w:adjustRightInd w:val="0"/>
        <w:rPr>
          <w:b/>
          <w:i/>
        </w:rPr>
      </w:pPr>
    </w:p>
    <w:p w:rsidR="002C0C35" w:rsidRPr="00185574" w:rsidRDefault="002C0C35" w:rsidP="002C0C35">
      <w:pPr>
        <w:pStyle w:val="BodyText"/>
        <w:rPr>
          <w:bCs/>
          <w:u w:val="single"/>
        </w:rPr>
      </w:pPr>
      <w:r w:rsidRPr="00185574">
        <w:rPr>
          <w:bCs/>
          <w:u w:val="single"/>
        </w:rPr>
        <w:t>Targeting Leadership-Level Defendants</w:t>
      </w:r>
    </w:p>
    <w:p w:rsidR="002C0C35" w:rsidRDefault="002C0C35" w:rsidP="002C0C35">
      <w:pPr>
        <w:rPr>
          <w:bCs/>
        </w:rPr>
      </w:pPr>
      <w:r w:rsidRPr="00185574">
        <w:rPr>
          <w:bCs/>
        </w:rPr>
        <w:t>OCDETF continues to focus on the targeting of leadership-level defendants in its investigat</w:t>
      </w:r>
      <w:r>
        <w:rPr>
          <w:bCs/>
        </w:rPr>
        <w:t>ions.  At the end of FY 2011, 27 percent of prospective defendants targeted in new OCDETF investigations were</w:t>
      </w:r>
      <w:r w:rsidRPr="00185574">
        <w:rPr>
          <w:bCs/>
        </w:rPr>
        <w:t xml:space="preserve"> leaders of their organizations. </w:t>
      </w:r>
      <w:r>
        <w:rPr>
          <w:bCs/>
        </w:rPr>
        <w:t xml:space="preserve"> Furthermore</w:t>
      </w:r>
      <w:r w:rsidRPr="00142FA1">
        <w:rPr>
          <w:bCs/>
        </w:rPr>
        <w:t xml:space="preserve">, by the end of FY </w:t>
      </w:r>
      <w:r>
        <w:rPr>
          <w:bCs/>
        </w:rPr>
        <w:t>2011</w:t>
      </w:r>
      <w:r w:rsidRPr="00142FA1">
        <w:rPr>
          <w:bCs/>
        </w:rPr>
        <w:t xml:space="preserve">, </w:t>
      </w:r>
      <w:r>
        <w:rPr>
          <w:bCs/>
        </w:rPr>
        <w:t>81</w:t>
      </w:r>
      <w:r w:rsidRPr="00142FA1">
        <w:rPr>
          <w:bCs/>
        </w:rPr>
        <w:t xml:space="preserve"> percent of OCDETF investigations resulted in the conviction of a leader</w:t>
      </w:r>
      <w:r>
        <w:rPr>
          <w:bCs/>
        </w:rPr>
        <w:t xml:space="preserve"> b</w:t>
      </w:r>
      <w:r w:rsidRPr="00185574">
        <w:rPr>
          <w:bCs/>
        </w:rPr>
        <w:t xml:space="preserve">y focusing on leadership-level targets, OCDETF is more likely to have a lasting impact against significant organizations and their operations. </w:t>
      </w:r>
    </w:p>
    <w:p w:rsidR="002C0C35" w:rsidRPr="00185574" w:rsidRDefault="002C0C35" w:rsidP="002C0C35">
      <w:pPr>
        <w:rPr>
          <w:bCs/>
        </w:rPr>
      </w:pPr>
    </w:p>
    <w:p w:rsidR="002C0C35" w:rsidRPr="00185574" w:rsidRDefault="002C0C35" w:rsidP="002C0C35">
      <w:pPr>
        <w:pStyle w:val="TitleLeft"/>
        <w:rPr>
          <w:b w:val="0"/>
          <w:bCs/>
        </w:rPr>
      </w:pPr>
      <w:r>
        <w:rPr>
          <w:b w:val="0"/>
          <w:bCs/>
        </w:rPr>
        <w:t xml:space="preserve">Multi-jurisdictional </w:t>
      </w:r>
      <w:r w:rsidRPr="00185574">
        <w:rPr>
          <w:b w:val="0"/>
          <w:bCs/>
        </w:rPr>
        <w:t>Scope of OCDETF Investigations</w:t>
      </w:r>
    </w:p>
    <w:p w:rsidR="002C0C35" w:rsidRPr="00185574" w:rsidRDefault="002C0C35" w:rsidP="002C0C35">
      <w:pPr>
        <w:pStyle w:val="BodyText"/>
      </w:pPr>
      <w:r w:rsidRPr="00185574">
        <w:t>One of the primary goals of the OCDETF Program is the development of multi-jurisdictional investigations that simultaneously target and attack the geographically-dispersed components of major trafficking networks.  It is only by attacking these networks in their entirety that OCDETF can make a lasting impact on drug trafficking activity and drug supply.</w:t>
      </w:r>
    </w:p>
    <w:p w:rsidR="002C0C35" w:rsidRDefault="002C0C35" w:rsidP="002C0C35">
      <w:r>
        <w:t>Currently 92 percent of all</w:t>
      </w:r>
      <w:r>
        <w:rPr>
          <w:szCs w:val="24"/>
        </w:rPr>
        <w:t xml:space="preserve"> active OCDETF investigations are multi-jurisdictional --</w:t>
      </w:r>
      <w:r>
        <w:t xml:space="preserve"> that is, the investigations are multi-district, multi-state, multi-regional or international in scope.  This significant percentage clearly demonstrates OCDETF’s focus on targeting major organizations operating outside district boundaries with far reaching connections. Additionally, forty percent of OCDETF’s investigations are international in scope, those investigations where there is active participation by, and coordination with, a foreign government. </w:t>
      </w:r>
    </w:p>
    <w:p w:rsidR="002C0C35" w:rsidRDefault="002C0C35" w:rsidP="002C0C35">
      <w:pPr>
        <w:rPr>
          <w:szCs w:val="24"/>
          <w:u w:val="single"/>
        </w:rPr>
      </w:pPr>
    </w:p>
    <w:p w:rsidR="00F36CE4" w:rsidRDefault="00652E05" w:rsidP="002C0C35">
      <w:pPr>
        <w:pStyle w:val="BodyText"/>
        <w:rPr>
          <w:szCs w:val="24"/>
          <w:u w:val="single"/>
        </w:rPr>
      </w:pPr>
      <w:r>
        <w:rPr>
          <w:szCs w:val="24"/>
          <w:u w:val="single"/>
        </w:rPr>
        <w:t xml:space="preserve"> </w:t>
      </w:r>
    </w:p>
    <w:p w:rsidR="002C0C35" w:rsidRPr="00185574" w:rsidRDefault="002C0C35" w:rsidP="002C0C35">
      <w:pPr>
        <w:pStyle w:val="BodyText"/>
        <w:rPr>
          <w:szCs w:val="24"/>
          <w:u w:val="single"/>
        </w:rPr>
      </w:pPr>
      <w:r w:rsidRPr="00185574">
        <w:rPr>
          <w:szCs w:val="24"/>
          <w:u w:val="single"/>
        </w:rPr>
        <w:lastRenderedPageBreak/>
        <w:t>Emphasizing Nationwide Coordination of OCDETF Investigations</w:t>
      </w:r>
    </w:p>
    <w:p w:rsidR="002C0C35" w:rsidRPr="00185574" w:rsidRDefault="002C0C35" w:rsidP="002C0C35">
      <w:r>
        <w:t>M</w:t>
      </w:r>
      <w:r w:rsidRPr="00185574">
        <w:t xml:space="preserve">any of the nationally-coordinated investigations handled by SOD </w:t>
      </w:r>
      <w:r>
        <w:t xml:space="preserve">are </w:t>
      </w:r>
      <w:r w:rsidRPr="00185574">
        <w:t xml:space="preserve">OCDETF investigations.  SOD operations exemplify the best efforts to simultaneously attack all related components of sophisticated drug trafficking and money laundering networks, thereby more effectively disrupting their illegal activities.  For this reason, OCDETF strives to increase nationwide coordination of, and SOD participation in, OCDETF cases. </w:t>
      </w:r>
      <w:r>
        <w:t xml:space="preserve"> Currently 42</w:t>
      </w:r>
      <w:r w:rsidRPr="00424181">
        <w:t xml:space="preserve"> percent of OCDETF’s active investigative case load involve</w:t>
      </w:r>
      <w:r w:rsidR="00560EFA">
        <w:t>s</w:t>
      </w:r>
      <w:r w:rsidRPr="00424181">
        <w:t xml:space="preserve"> SOD coordination.</w:t>
      </w:r>
      <w:r>
        <w:t xml:space="preserve"> This percentage has increased an additional 2 percent since FY 2011. </w:t>
      </w:r>
      <w:r w:rsidRPr="00185574">
        <w:t xml:space="preserve">By acting upon the leads generated by the OFC, and feeding information through SOD, OCDETF expects to steadily increase the percentage of SOD-coordinated investigations. </w:t>
      </w:r>
    </w:p>
    <w:p w:rsidR="002C0C35" w:rsidRPr="00185574" w:rsidRDefault="002C0C35" w:rsidP="002C0C35">
      <w:pPr>
        <w:rPr>
          <w:u w:val="single"/>
        </w:rPr>
      </w:pPr>
    </w:p>
    <w:p w:rsidR="002C0C35" w:rsidRPr="00185574" w:rsidRDefault="002C0C35" w:rsidP="002C0C35">
      <w:pPr>
        <w:rPr>
          <w:u w:val="single"/>
        </w:rPr>
      </w:pPr>
      <w:r w:rsidRPr="00185574">
        <w:rPr>
          <w:u w:val="single"/>
        </w:rPr>
        <w:t>OCDETF Co-located Strike Forces</w:t>
      </w:r>
    </w:p>
    <w:p w:rsidR="002C0C35" w:rsidRPr="00185574" w:rsidRDefault="002C0C35" w:rsidP="002C0C35">
      <w:pPr>
        <w:rPr>
          <w:u w:val="single"/>
        </w:rPr>
      </w:pPr>
    </w:p>
    <w:p w:rsidR="002C0C35" w:rsidRPr="00F4101B" w:rsidRDefault="002C0C35" w:rsidP="002C0C35">
      <w:pPr>
        <w:rPr>
          <w:b/>
          <w:i/>
        </w:rPr>
      </w:pPr>
      <w:r w:rsidRPr="00185574">
        <w:t>OCDETF believes that the greatest opportunity for success in achieving Program goals is through the OCDETF Co-located Strike Forces.</w:t>
      </w:r>
      <w:r w:rsidRPr="00185574">
        <w:rPr>
          <w:vertAlign w:val="superscript"/>
        </w:rPr>
        <w:t xml:space="preserve">  </w:t>
      </w:r>
      <w:r>
        <w:t>These Co-located Strike Forces best exemplify the effectiveness of the prosecutor-led, multi-agency task forces model in the attack on organized criminal groups.  For example, currently the OCDETF Strike Forces are involved in 38 percent of OCDETF’s active CPOT-linked cases, which is more than double OCDETF’s national average of 17 percent.  Similarly, 79 percent of OCDETF Strike Force active cases involve complex investigative techniques, as compared to the national average of 76 percent</w:t>
      </w:r>
      <w:r w:rsidR="00560EFA">
        <w:t>,</w:t>
      </w:r>
      <w:r w:rsidR="006E1BC4">
        <w:t xml:space="preserve"> a</w:t>
      </w:r>
      <w:r>
        <w:t>nd 12</w:t>
      </w:r>
      <w:r w:rsidR="006E1BC4">
        <w:t xml:space="preserve"> </w:t>
      </w:r>
      <w:r>
        <w:t>percent of OCDETF Strike Force active cases target primary money laundering organizations, which is also higher than the national average.</w:t>
      </w:r>
    </w:p>
    <w:p w:rsidR="002C0C35" w:rsidRDefault="002C0C35" w:rsidP="002C0C35"/>
    <w:p w:rsidR="002C0C35" w:rsidRPr="00185574" w:rsidRDefault="002C0C35" w:rsidP="002C0C35">
      <w:pPr>
        <w:pStyle w:val="Heading4"/>
        <w:numPr>
          <w:ilvl w:val="0"/>
          <w:numId w:val="28"/>
        </w:numPr>
        <w:rPr>
          <w:bCs/>
        </w:rPr>
      </w:pPr>
      <w:r w:rsidRPr="00185574">
        <w:t xml:space="preserve">Strategies to Accomplish Outcomes/FY </w:t>
      </w:r>
      <w:r>
        <w:t>2013</w:t>
      </w:r>
      <w:r w:rsidRPr="00185574">
        <w:t xml:space="preserve"> Budget Request Relationship to Strategies</w:t>
      </w:r>
    </w:p>
    <w:p w:rsidR="002C0C35" w:rsidRPr="00185574" w:rsidRDefault="002C0C35" w:rsidP="002C0C35">
      <w:pPr>
        <w:pStyle w:val="TitleLeft"/>
        <w:rPr>
          <w:b w:val="0"/>
          <w:bCs/>
        </w:rPr>
      </w:pPr>
      <w:r w:rsidRPr="00185574">
        <w:rPr>
          <w:b w:val="0"/>
          <w:bCs/>
        </w:rPr>
        <w:t>Enhancing OCDETF’s Coordinated Pursuit of Entire Organizations</w:t>
      </w:r>
    </w:p>
    <w:p w:rsidR="002C0C35" w:rsidRPr="00185574" w:rsidRDefault="002C0C35" w:rsidP="002C0C35">
      <w:r w:rsidRPr="00185574">
        <w:t xml:space="preserve">In order to </w:t>
      </w:r>
      <w:r>
        <w:t>maintain</w:t>
      </w:r>
      <w:r w:rsidRPr="00185574">
        <w:t xml:space="preserve"> the OCDETF Program’s ability to reduce the drug supply and thereby reduce the availability of </w:t>
      </w:r>
      <w:r w:rsidR="00560EFA">
        <w:t xml:space="preserve">illegal </w:t>
      </w:r>
      <w:r w:rsidRPr="00185574">
        <w:t xml:space="preserve">drugs to our citizens, OCDETF has focused its resources on coordinated, nationwide investigations targeting the entire infrastructure of major drug trafficking organizations.  These organizations are extremely complex.  Their members traffic in narcotics, launder illicit proceeds, arm themselves with and traffic in firearms, continue their criminal activities as fugitives, and participate in terrorist activities.  The FY </w:t>
      </w:r>
      <w:r>
        <w:t>2013</w:t>
      </w:r>
      <w:r w:rsidRPr="00185574">
        <w:t xml:space="preserve"> request provides resources to </w:t>
      </w:r>
      <w:r>
        <w:t>maintain</w:t>
      </w:r>
      <w:r w:rsidRPr="00185574">
        <w:t xml:space="preserve"> OCDETF’s impact against these significant organizations.  In order to truly disrupt and dismantle these criminal enterprises in their entirety, it is critical that OCDETF pursue these organizations at each and every level.  This is precisely why the OCDETF Program was established – to combine the resources and expertise of its member agencies, and to exploit their unique investigative capabilities and authorities to achieve the greatest impact from drug law enforcement efforts. Attacking these high-level organizations in their entirety requires the active and coordinated participation of all the OCDETF member agencies, with sufficient resources to support all phases of OCDETF investigations.  It also requires that OCDETF member agencies think strategically about ways in which law enforcement may effectively exploit the vulnerabilities of these organizations.  </w:t>
      </w:r>
      <w:r>
        <w:t>The OCDETF model for formation of prosecutor-led, multi-agency task forces conducting coordinated intelligence-driven investigations and prosecutions is the most effective platform from which to attack organized criminal groups.</w:t>
      </w:r>
    </w:p>
    <w:p w:rsidR="002C0C35" w:rsidRPr="00185574" w:rsidRDefault="002C0C35" w:rsidP="002C0C35">
      <w:pPr>
        <w:rPr>
          <w:szCs w:val="24"/>
        </w:rPr>
      </w:pPr>
      <w:r w:rsidRPr="00185574">
        <w:rPr>
          <w:szCs w:val="24"/>
          <w:u w:val="single"/>
        </w:rPr>
        <w:lastRenderedPageBreak/>
        <w:t>Focusing on Intelligence-driven, Strategic Enforcement</w:t>
      </w:r>
    </w:p>
    <w:p w:rsidR="002C0C35" w:rsidRPr="00185574" w:rsidRDefault="002C0C35" w:rsidP="002C0C35">
      <w:pPr>
        <w:rPr>
          <w:szCs w:val="24"/>
        </w:rPr>
      </w:pPr>
    </w:p>
    <w:p w:rsidR="002C0C35" w:rsidRPr="00185574" w:rsidRDefault="002C0C35" w:rsidP="002C0C35">
      <w:pPr>
        <w:rPr>
          <w:szCs w:val="24"/>
        </w:rPr>
      </w:pPr>
      <w:r w:rsidRPr="00185574">
        <w:rPr>
          <w:szCs w:val="24"/>
          <w:lang w:val="en-CA"/>
        </w:rPr>
        <w:t>OCDETF is determined</w:t>
      </w:r>
      <w:r w:rsidRPr="00185574">
        <w:rPr>
          <w:szCs w:val="24"/>
        </w:rPr>
        <w:t xml:space="preserve"> to attack the infrastructure of major drug trafficking organizations at their most vulnerable points.  The most effective method for accomplishing this is through carefully planned and comprehensive strategic initiatives pursued by the OCDETF </w:t>
      </w:r>
      <w:r>
        <w:rPr>
          <w:szCs w:val="24"/>
        </w:rPr>
        <w:t>r</w:t>
      </w:r>
      <w:r w:rsidRPr="00185574">
        <w:rPr>
          <w:szCs w:val="24"/>
        </w:rPr>
        <w:t xml:space="preserve">egions and the Co-located Strike Forces.  </w:t>
      </w:r>
    </w:p>
    <w:p w:rsidR="002C0C35" w:rsidRPr="00185574" w:rsidRDefault="002C0C35" w:rsidP="002C0C35">
      <w:pPr>
        <w:rPr>
          <w:szCs w:val="24"/>
        </w:rPr>
      </w:pPr>
    </w:p>
    <w:p w:rsidR="002C0C35" w:rsidRPr="00185574" w:rsidRDefault="002C0C35" w:rsidP="002C0C35">
      <w:pPr>
        <w:rPr>
          <w:szCs w:val="24"/>
        </w:rPr>
      </w:pPr>
      <w:r w:rsidRPr="00185574">
        <w:rPr>
          <w:szCs w:val="24"/>
        </w:rPr>
        <w:t xml:space="preserve">OCDETF focuses on enhancing the capacity of its participants to undertake intelligence-driven, strategic enforcement initiatives.  The OFC was established to integrate and analyze drug investigative data and related financial data with the goal of providing law enforcement with the complete intelligence picture of the major international and domestic trafficking organizations.  Leads generated from the OFC direct law enforcement efforts, especially those resources located at the OCDETF Co-located Strike Forces, against those organizations and their related components nationwide.  Such activities are conducted in a manner that will most effectively disrupt the operations of the major trafficking organizations and will result in their ultimate destruction.  The </w:t>
      </w:r>
      <w:r>
        <w:rPr>
          <w:szCs w:val="24"/>
        </w:rPr>
        <w:t>eleven</w:t>
      </w:r>
      <w:r w:rsidRPr="00185574">
        <w:rPr>
          <w:szCs w:val="24"/>
        </w:rPr>
        <w:t xml:space="preserve"> Co-located Strike Forces</w:t>
      </w:r>
      <w:r>
        <w:rPr>
          <w:szCs w:val="24"/>
        </w:rPr>
        <w:t>, as well as the Special Operations Division (SOD),</w:t>
      </w:r>
      <w:r w:rsidRPr="00185574">
        <w:rPr>
          <w:szCs w:val="24"/>
        </w:rPr>
        <w:t xml:space="preserve"> are in unique positions to take advantage of OFC leads. </w:t>
      </w:r>
    </w:p>
    <w:p w:rsidR="002C0C35" w:rsidRPr="00185574" w:rsidRDefault="002C0C35" w:rsidP="002C0C35">
      <w:pPr>
        <w:rPr>
          <w:szCs w:val="24"/>
        </w:rPr>
      </w:pPr>
    </w:p>
    <w:p w:rsidR="002C0C35" w:rsidRPr="00185574" w:rsidRDefault="002C0C35" w:rsidP="002C0C35">
      <w:pPr>
        <w:pStyle w:val="TitleLeft"/>
        <w:rPr>
          <w:b w:val="0"/>
          <w:bCs/>
        </w:rPr>
      </w:pPr>
      <w:r w:rsidRPr="00185574">
        <w:rPr>
          <w:b w:val="0"/>
          <w:bCs/>
        </w:rPr>
        <w:t>Using the CPOT and RPOT Lists</w:t>
      </w:r>
    </w:p>
    <w:p w:rsidR="002C0C35" w:rsidRPr="00185574" w:rsidRDefault="002C0C35" w:rsidP="002C0C35">
      <w:pPr>
        <w:pStyle w:val="BodyText"/>
      </w:pPr>
      <w:r w:rsidRPr="00185574">
        <w:t xml:space="preserve">The </w:t>
      </w:r>
      <w:r>
        <w:t xml:space="preserve">Attorney General’s </w:t>
      </w:r>
      <w:r w:rsidRPr="00185574">
        <w:t>CPOT List identifies international “command and control” drug traffickers and money launderers</w:t>
      </w:r>
      <w:r>
        <w:t xml:space="preserve"> and is compiled through an inter-agency process</w:t>
      </w:r>
      <w:r w:rsidRPr="00185574">
        <w:t xml:space="preserve">.  The FY </w:t>
      </w:r>
      <w:r>
        <w:t>2012</w:t>
      </w:r>
      <w:r w:rsidRPr="00185574">
        <w:t xml:space="preserve"> CPOT list contains 6</w:t>
      </w:r>
      <w:r>
        <w:t>9</w:t>
      </w:r>
      <w:r w:rsidRPr="00185574">
        <w:t xml:space="preserve"> targets, who are the leaders of the most significant drug trafficking organizations around the world.  The RPOT Lists identify those organizations whose drug trafficking and money laundering activities have a significant impact in a particular OCDETF Region.  The CPOT and RPOT Lists are important management tools for the OCDETF Program.  These lists enable the OCDETF Regions and districts to focus enforcement efforts on specific targets that are believed to be primarily responsible for the national and regional drug supply, and to coordinate related nationwide investigations against the CPOT and RPOT organizations.  It is through the disruption and dismantlement of these major drug trafficking and money laundering organizations that OCDETF will have its greatest impact on the overall drug supply.     </w:t>
      </w:r>
    </w:p>
    <w:p w:rsidR="002C0C35" w:rsidRPr="00185574" w:rsidRDefault="002C0C35" w:rsidP="002C0C35">
      <w:pPr>
        <w:pStyle w:val="TitleLeft"/>
        <w:rPr>
          <w:b w:val="0"/>
          <w:bCs/>
        </w:rPr>
      </w:pPr>
      <w:r w:rsidRPr="00185574">
        <w:rPr>
          <w:b w:val="0"/>
          <w:bCs/>
        </w:rPr>
        <w:t>Permanently Disabling Drug Organizations through Fugitive Apprehension</w:t>
      </w:r>
    </w:p>
    <w:p w:rsidR="002C0C35" w:rsidRPr="00185574" w:rsidRDefault="002C0C35" w:rsidP="002C0C35">
      <w:pPr>
        <w:pStyle w:val="BodyText"/>
      </w:pPr>
      <w:r w:rsidRPr="00185574">
        <w:t xml:space="preserve">Simply indicting high-level drug traffickers and money launderers is not enough to ensure the success of the OCDETF Program.  In order to permanently disable drug trafficking enterprises, organization members must be brought to justice, and their illegally-obtained assets must be seized and forfeited; otherwise, these traffickers continue to operate their illegal enterprises indefinitely.    </w:t>
      </w:r>
    </w:p>
    <w:p w:rsidR="002C0C35" w:rsidRPr="00185574" w:rsidRDefault="002C0C35" w:rsidP="002C0C35">
      <w:pPr>
        <w:pStyle w:val="BodyText"/>
      </w:pPr>
      <w:r w:rsidRPr="00185574">
        <w:t xml:space="preserve">OCDETF defendants and fugitives are highly mobile, and they typically have extensive resources and an extended network of associates to assist them in avoiding arrest.  Consequently, the longer they remain at large, the more difficult they become to apprehend and prosecute.   </w:t>
      </w:r>
    </w:p>
    <w:p w:rsidR="002C0C35" w:rsidRPr="00185574" w:rsidRDefault="002C0C35" w:rsidP="002C0C35">
      <w:pPr>
        <w:pStyle w:val="BodyText"/>
      </w:pPr>
      <w:r w:rsidRPr="00185574">
        <w:rPr>
          <w:u w:val="single"/>
        </w:rPr>
        <w:t>Reducing Southwest Border Violence by Targeting Drug Trafficking Organizations that Engage in Illegal Firearms Trafficking and Their Suppliers</w:t>
      </w:r>
      <w:r w:rsidRPr="00185574">
        <w:t xml:space="preserve"> </w:t>
      </w:r>
    </w:p>
    <w:p w:rsidR="002C0C35" w:rsidRPr="00185574" w:rsidRDefault="002C0C35" w:rsidP="002C0C35">
      <w:pPr>
        <w:pStyle w:val="BodyText"/>
      </w:pPr>
      <w:r>
        <w:lastRenderedPageBreak/>
        <w:t>A</w:t>
      </w:r>
      <w:r w:rsidRPr="00185574">
        <w:t xml:space="preserve">rrests of high-level Mexican drug traffickers have resulted in a significant increase in violence </w:t>
      </w:r>
      <w:r>
        <w:t xml:space="preserve">on the Mexican side of </w:t>
      </w:r>
      <w:r w:rsidRPr="00185574">
        <w:t xml:space="preserve">the Southwest Border, as rival drug trafficking organizations engage in turf wars with each other while simultaneously challenging the Mexican police and military for control of their territory.  These battles are fueled by firearms smuggled across the border from the U.S.  Through the OCDETF Southwest Region’s Gatekeeper Initiative, the OCDETF Program is identifying and attacking the organizations that purchase and supply illegal firearms to these drug traffickers.  Targeting the Gatekeepers is critical, because in addition to controlling the flow of drugs and illicit proceeds across the Southwest Border, Gatekeepers often control the purchase, shipment, and distribution of firearms to drug trafficking organizations.  Incorporating ATF’s authority and expertise improves the ability of OCDETF member agencies to identify </w:t>
      </w:r>
      <w:r>
        <w:t xml:space="preserve">and attack all elements of the firearm supply chain from source point to acquisition by the major </w:t>
      </w:r>
      <w:r w:rsidRPr="00185574">
        <w:t>Mexican drug traffickers</w:t>
      </w:r>
      <w:r>
        <w:t>.</w:t>
      </w:r>
    </w:p>
    <w:p w:rsidR="002C0C35" w:rsidRPr="00185574" w:rsidRDefault="002C0C35" w:rsidP="002C0C35">
      <w:pPr>
        <w:pStyle w:val="TitleLeft"/>
        <w:rPr>
          <w:b w:val="0"/>
          <w:bCs/>
        </w:rPr>
      </w:pPr>
      <w:r w:rsidRPr="00185574">
        <w:rPr>
          <w:b w:val="0"/>
          <w:bCs/>
        </w:rPr>
        <w:t>Increasing OCDETF Performance and Accountability</w:t>
      </w:r>
    </w:p>
    <w:p w:rsidR="002C0C35" w:rsidRPr="00185574" w:rsidRDefault="002C0C35" w:rsidP="002C0C35">
      <w:pPr>
        <w:pStyle w:val="BodyText"/>
      </w:pPr>
      <w:r w:rsidRPr="00185574">
        <w:t xml:space="preserve">OCDETF is committed to holding its participants accountable for achieving the overall mission and goals of the Program ─ that is, </w:t>
      </w:r>
      <w:r w:rsidR="009F26B2">
        <w:t>disrupti</w:t>
      </w:r>
      <w:r w:rsidR="009F26B2" w:rsidRPr="00185574">
        <w:t>n</w:t>
      </w:r>
      <w:r w:rsidR="009F26B2">
        <w:t>g and dismantling</w:t>
      </w:r>
      <w:r w:rsidR="009F26B2" w:rsidRPr="00185574">
        <w:t xml:space="preserve"> significant drug and money laundering organizations </w:t>
      </w:r>
      <w:r w:rsidR="009F26B2">
        <w:t xml:space="preserve">in order to assist in </w:t>
      </w:r>
      <w:r w:rsidRPr="00185574">
        <w:t>reducing the Nation’s drug supply .  Since May 2003, the OCDETF Executive Office has distributed comprehensive quarterly and monthly performance indicator reports to all U.S. Attorneys, OCDETF Lead Task Force Attorneys, and agency managers.  These reports have become an essential management tool for field Program managers.  The reports track key OCDETF performance indicator data and reporting compliance rates for each judicial district.  The OCDETF Director uses this information to conduct annual district and agency performance reviews, to identify staffing deficits</w:t>
      </w:r>
      <w:r>
        <w:t>, reallocate existing resources</w:t>
      </w:r>
      <w:r w:rsidRPr="00185574">
        <w:t xml:space="preserve"> and allocate new resources, and to identify areas for program improvement.  </w:t>
      </w:r>
    </w:p>
    <w:p w:rsidR="002C0C35" w:rsidRPr="00185574" w:rsidRDefault="002C0C35" w:rsidP="002C0C35">
      <w:pPr>
        <w:pStyle w:val="BodyText"/>
      </w:pPr>
      <w:r w:rsidRPr="00185574">
        <w:t xml:space="preserve">These performance indicator reports also drive OCDETF’s budget requests and enable OCDETF to more effectively tie resource requests to Program accomplishments. </w:t>
      </w:r>
    </w:p>
    <w:p w:rsidR="00A17366" w:rsidRDefault="00A17366" w:rsidP="00A17366">
      <w:pPr>
        <w:rPr>
          <w:u w:val="single"/>
        </w:rPr>
      </w:pPr>
    </w:p>
    <w:p w:rsidR="002C0C35" w:rsidRDefault="002C0C35" w:rsidP="00A17366">
      <w:pPr>
        <w:rPr>
          <w:u w:val="single"/>
        </w:rPr>
      </w:pPr>
    </w:p>
    <w:p w:rsidR="00C26566" w:rsidRDefault="00C26566">
      <w:pPr>
        <w:rPr>
          <w:i/>
          <w:iCs/>
        </w:rPr>
      </w:pPr>
      <w:r>
        <w:rPr>
          <w:i/>
          <w:iCs/>
        </w:rPr>
        <w:br w:type="page"/>
      </w:r>
    </w:p>
    <w:p w:rsidR="00FE3440" w:rsidRDefault="00FE3440">
      <w:pPr>
        <w:rPr>
          <w:i/>
          <w:iCs/>
        </w:rPr>
      </w:pPr>
    </w:p>
    <w:p w:rsidR="00FE3440" w:rsidRDefault="00FE3440" w:rsidP="00C27AA5">
      <w:pPr>
        <w:ind w:left="-360"/>
        <w:jc w:val="center"/>
        <w:rPr>
          <w:i/>
          <w:iCs/>
        </w:rPr>
      </w:pPr>
    </w:p>
    <w:p w:rsidR="00FE3440" w:rsidRDefault="00FE3440" w:rsidP="00FE3440">
      <w:pPr>
        <w:pStyle w:val="BodyText"/>
        <w:jc w:val="center"/>
        <w:rPr>
          <w:rFonts w:cs="Arial"/>
          <w:b/>
          <w:bCs/>
        </w:rPr>
      </w:pPr>
      <w:r w:rsidRPr="004D2BD1">
        <w:rPr>
          <w:b/>
          <w:sz w:val="56"/>
          <w:szCs w:val="56"/>
        </w:rPr>
        <w:t>Intentionally Left Blank</w:t>
      </w:r>
    </w:p>
    <w:p w:rsidR="00FE3440" w:rsidRDefault="00FE3440">
      <w:pPr>
        <w:rPr>
          <w:i/>
          <w:iCs/>
        </w:rPr>
      </w:pPr>
    </w:p>
    <w:p w:rsidR="00B54490" w:rsidRPr="00FE3440" w:rsidRDefault="00B54490" w:rsidP="00FE3440">
      <w:pPr>
        <w:ind w:left="-360"/>
        <w:rPr>
          <w:b/>
          <w:iCs/>
          <w:sz w:val="36"/>
          <w:szCs w:val="36"/>
        </w:rPr>
        <w:sectPr w:rsidR="00B54490" w:rsidRPr="00FE3440" w:rsidSect="008B46B1">
          <w:footerReference w:type="even" r:id="rId18"/>
          <w:footerReference w:type="default" r:id="rId19"/>
          <w:footerReference w:type="first" r:id="rId20"/>
          <w:pgSz w:w="12240" w:h="15840" w:code="1"/>
          <w:pgMar w:top="1440" w:right="1440" w:bottom="1440" w:left="1440" w:header="720" w:footer="720" w:gutter="0"/>
          <w:cols w:space="720"/>
          <w:rtlGutter/>
          <w:docGrid w:linePitch="326"/>
        </w:sectPr>
      </w:pPr>
    </w:p>
    <w:bookmarkStart w:id="2" w:name="_MON_1389434499"/>
    <w:bookmarkStart w:id="3" w:name="_MON_1389434548"/>
    <w:bookmarkStart w:id="4" w:name="_MON_1389434636"/>
    <w:bookmarkEnd w:id="2"/>
    <w:bookmarkEnd w:id="3"/>
    <w:bookmarkEnd w:id="4"/>
    <w:p w:rsidR="00472B78" w:rsidRPr="00991449" w:rsidRDefault="00AE0943" w:rsidP="00472B78">
      <w:pPr>
        <w:ind w:left="-360"/>
        <w:jc w:val="center"/>
        <w:rPr>
          <w:i/>
          <w:iCs/>
          <w:highlight w:val="yellow"/>
        </w:rPr>
        <w:sectPr w:rsidR="00472B78" w:rsidRPr="00991449" w:rsidSect="00472B78">
          <w:pgSz w:w="15840" w:h="12240" w:orient="landscape" w:code="1"/>
          <w:pgMar w:top="288" w:right="720" w:bottom="1152" w:left="720" w:header="720" w:footer="720" w:gutter="0"/>
          <w:cols w:space="720"/>
          <w:docGrid w:linePitch="326"/>
        </w:sectPr>
      </w:pPr>
      <w:r w:rsidRPr="00B974C1">
        <w:rPr>
          <w:i/>
          <w:iCs/>
        </w:rPr>
        <w:object w:dxaOrig="12048" w:dyaOrig="10040">
          <v:shape id="_x0000_i1025" type="#_x0000_t75" style="width:677.25pt;height:469.5pt" o:ole="">
            <v:imagedata r:id="rId21" o:title=""/>
          </v:shape>
          <o:OLEObject Type="Embed" ProgID="Excel.Sheet.8" ShapeID="_x0000_i1025" DrawAspect="Content" ObjectID="_1390279856" r:id="rId22"/>
        </w:object>
      </w:r>
      <w:r w:rsidR="00F96CC5" w:rsidRPr="00D1539A">
        <w:rPr>
          <w:i/>
          <w:iCs/>
        </w:rPr>
        <w:object w:dxaOrig="12013" w:dyaOrig="9416">
          <v:shape id="_x0000_i1026" type="#_x0000_t75" style="width:635.25pt;height:384pt" o:ole="">
            <v:imagedata r:id="rId23" o:title=""/>
          </v:shape>
          <o:OLEObject Type="Embed" ProgID="Excel.Sheet.8" ShapeID="_x0000_i1026" DrawAspect="Content" ObjectID="_1390279857" r:id="rId24"/>
        </w:object>
      </w:r>
    </w:p>
    <w:p w:rsidR="00DC7356" w:rsidRDefault="00DC7356" w:rsidP="00F77B57">
      <w:pPr>
        <w:rPr>
          <w:sz w:val="16"/>
          <w:szCs w:val="16"/>
        </w:rPr>
      </w:pPr>
    </w:p>
    <w:p w:rsidR="00DC7356" w:rsidRDefault="00DC7356" w:rsidP="00F77B57">
      <w:pPr>
        <w:rPr>
          <w:sz w:val="16"/>
          <w:szCs w:val="16"/>
        </w:rPr>
      </w:pPr>
    </w:p>
    <w:p w:rsidR="00472B78" w:rsidRDefault="00D9597D" w:rsidP="00F77B57">
      <w:pPr>
        <w:rPr>
          <w:sz w:val="16"/>
          <w:szCs w:val="16"/>
        </w:rPr>
      </w:pPr>
      <w:r w:rsidRPr="00CB37A7">
        <w:rPr>
          <w:sz w:val="16"/>
          <w:szCs w:val="16"/>
        </w:rPr>
        <w:object w:dxaOrig="13336" w:dyaOrig="4596">
          <v:shape id="_x0000_i1027" type="#_x0000_t75" style="width:684pt;height:210.75pt" o:ole="">
            <v:imagedata r:id="rId25" o:title=""/>
          </v:shape>
          <o:OLEObject Type="Embed" ProgID="Excel.Sheet.8" ShapeID="_x0000_i1027" DrawAspect="Content" ObjectID="_1390279858" r:id="rId26"/>
        </w:object>
      </w:r>
    </w:p>
    <w:p w:rsidR="00B54490" w:rsidRPr="001929D6" w:rsidRDefault="00B54490" w:rsidP="00F77B57">
      <w:pPr>
        <w:rPr>
          <w:b/>
          <w:sz w:val="16"/>
          <w:szCs w:val="16"/>
        </w:rPr>
      </w:pPr>
      <w:r w:rsidRPr="001929D6">
        <w:rPr>
          <w:b/>
          <w:sz w:val="16"/>
          <w:szCs w:val="16"/>
        </w:rPr>
        <w:t>Data Valuation and Verification Issues</w:t>
      </w:r>
    </w:p>
    <w:p w:rsidR="00B54490" w:rsidRPr="001929D6" w:rsidRDefault="00B54490" w:rsidP="00F77B57">
      <w:pPr>
        <w:rPr>
          <w:sz w:val="8"/>
          <w:szCs w:val="8"/>
        </w:rPr>
      </w:pPr>
    </w:p>
    <w:p w:rsidR="00B54490" w:rsidRPr="001929D6" w:rsidRDefault="00B54490" w:rsidP="00F77B57">
      <w:pPr>
        <w:rPr>
          <w:b/>
          <w:sz w:val="16"/>
          <w:szCs w:val="16"/>
        </w:rPr>
      </w:pPr>
      <w:r w:rsidRPr="001929D6">
        <w:rPr>
          <w:b/>
          <w:sz w:val="16"/>
          <w:szCs w:val="16"/>
        </w:rPr>
        <w:t xml:space="preserve">Data Collection: </w:t>
      </w:r>
    </w:p>
    <w:p w:rsidR="00B54490" w:rsidRPr="001929D6" w:rsidRDefault="00B54490" w:rsidP="00F77B57">
      <w:pPr>
        <w:rPr>
          <w:sz w:val="8"/>
          <w:szCs w:val="8"/>
        </w:rPr>
      </w:pPr>
    </w:p>
    <w:p w:rsidR="00B54490" w:rsidRPr="001929D6" w:rsidRDefault="00B54490" w:rsidP="00F77B57">
      <w:pPr>
        <w:rPr>
          <w:sz w:val="16"/>
          <w:szCs w:val="16"/>
        </w:rPr>
      </w:pPr>
      <w:r w:rsidRPr="001929D6">
        <w:rPr>
          <w:sz w:val="16"/>
          <w:szCs w:val="16"/>
        </w:rPr>
        <w:t>The OCDETF Program currently collects/collates data from OCDETF agents and attorneys working on investigations within each district through the use of five OCDETF forms: (1) the Investigation Initiation Form, which is used to provide information as a basis to obtain approval for each investigation; (2) the Indictment/Information Form, which is used to record each indictment returned in OCDETF cases; (3) the Disposition and Sentencing Report, which is used to record all charges in OCDETF cases and to record final resolution of those charges; (4) the OCDETF Interim Report, which is to be filed every six months while an OCDETF case is open and active, and which is used to update the status of the investigation and all case information; (5) and the OCDETF Final Report, which provides information at the end of a case and is used to measure both the extent to which a targeted organization was disrupted or dismantled and the overall impact of the investigation.  All report information is input into the OCDETF Management Information System (MIS)</w:t>
      </w:r>
    </w:p>
    <w:p w:rsidR="00B54490" w:rsidRPr="001929D6" w:rsidRDefault="00B54490" w:rsidP="00F77B57">
      <w:pPr>
        <w:rPr>
          <w:sz w:val="8"/>
          <w:szCs w:val="8"/>
        </w:rPr>
      </w:pPr>
    </w:p>
    <w:p w:rsidR="00B54490" w:rsidRPr="001929D6" w:rsidRDefault="00B54490" w:rsidP="00F77B57">
      <w:pPr>
        <w:rPr>
          <w:b/>
          <w:sz w:val="16"/>
          <w:szCs w:val="16"/>
        </w:rPr>
      </w:pPr>
      <w:r w:rsidRPr="001929D6">
        <w:rPr>
          <w:b/>
          <w:sz w:val="16"/>
          <w:szCs w:val="16"/>
        </w:rPr>
        <w:t>Data Validation:</w:t>
      </w:r>
    </w:p>
    <w:p w:rsidR="00B54490" w:rsidRPr="001929D6" w:rsidRDefault="00B54490" w:rsidP="00F77B57">
      <w:pPr>
        <w:rPr>
          <w:sz w:val="8"/>
          <w:szCs w:val="8"/>
        </w:rPr>
      </w:pPr>
    </w:p>
    <w:p w:rsidR="00B54490" w:rsidRPr="001929D6" w:rsidRDefault="00B54490" w:rsidP="00F77B57">
      <w:pPr>
        <w:rPr>
          <w:sz w:val="16"/>
          <w:szCs w:val="16"/>
        </w:rPr>
      </w:pPr>
      <w:r w:rsidRPr="001929D6">
        <w:rPr>
          <w:sz w:val="16"/>
          <w:szCs w:val="16"/>
        </w:rPr>
        <w:t>Data submitted on OCDETF forms and reports is verified by the OCDETF District Coordination Group, the OCDETF Regional Coordination Group, and the OCDETF Executive Office.</w:t>
      </w:r>
    </w:p>
    <w:p w:rsidR="00B54490" w:rsidRPr="001929D6" w:rsidRDefault="00B54490" w:rsidP="00F77B57">
      <w:pPr>
        <w:rPr>
          <w:sz w:val="16"/>
          <w:szCs w:val="16"/>
        </w:rPr>
      </w:pPr>
      <w:r>
        <w:rPr>
          <w:sz w:val="16"/>
          <w:szCs w:val="16"/>
        </w:rPr>
        <w:t>D</w:t>
      </w:r>
      <w:r w:rsidRPr="001929D6">
        <w:rPr>
          <w:sz w:val="16"/>
          <w:szCs w:val="16"/>
        </w:rPr>
        <w:t>ata is reviewed periodically, monthly and annually to ensure that data is accurate and reliable.  Additional data reviews are conducted as necessary on an ongoing basis.  Examples include the CPOT validation project, which confirm</w:t>
      </w:r>
      <w:r w:rsidR="00BA592F">
        <w:rPr>
          <w:sz w:val="16"/>
          <w:szCs w:val="16"/>
        </w:rPr>
        <w:t>s</w:t>
      </w:r>
      <w:r w:rsidRPr="001929D6">
        <w:rPr>
          <w:sz w:val="16"/>
          <w:szCs w:val="16"/>
        </w:rPr>
        <w:t xml:space="preserve"> all justifications for claiming a CPOT-link, and the review of primary money laundering organization data to ensure that p</w:t>
      </w:r>
      <w:r w:rsidR="00BA592F">
        <w:rPr>
          <w:sz w:val="16"/>
          <w:szCs w:val="16"/>
        </w:rPr>
        <w:t>roper criteria are f</w:t>
      </w:r>
      <w:r w:rsidRPr="001929D6">
        <w:rPr>
          <w:sz w:val="16"/>
          <w:szCs w:val="16"/>
        </w:rPr>
        <w:t>ollowed when identifying primary money laundering organizations.</w:t>
      </w:r>
    </w:p>
    <w:p w:rsidR="00B54490" w:rsidRDefault="00B54490" w:rsidP="00F77B57">
      <w:r w:rsidRPr="001929D6">
        <w:rPr>
          <w:sz w:val="16"/>
          <w:szCs w:val="16"/>
        </w:rPr>
        <w:t>OCDETF cross-checks its data with data collected by other entities, including: the Executive Office for United States Attorneys which collects data on indictments, convictions and sentences; the Consolidated Asset Tracking System (CATS), which captures data on seized and forfeited assets, and DEA's PTARRS database, which contains information regarding DEA's CPOT-linked and RPOT-</w:t>
      </w:r>
    </w:p>
    <w:p w:rsidR="00283FF7" w:rsidRPr="001929D6" w:rsidRDefault="00283FF7" w:rsidP="00283FF7">
      <w:pPr>
        <w:rPr>
          <w:sz w:val="16"/>
          <w:szCs w:val="16"/>
        </w:rPr>
      </w:pPr>
      <w:proofErr w:type="gramStart"/>
      <w:r w:rsidRPr="001929D6">
        <w:rPr>
          <w:sz w:val="16"/>
          <w:szCs w:val="16"/>
        </w:rPr>
        <w:t>linked</w:t>
      </w:r>
      <w:proofErr w:type="gramEnd"/>
      <w:r w:rsidRPr="001929D6">
        <w:rPr>
          <w:sz w:val="16"/>
          <w:szCs w:val="16"/>
        </w:rPr>
        <w:t xml:space="preserve"> organizations and investigations.</w:t>
      </w:r>
    </w:p>
    <w:p w:rsidR="00283FF7" w:rsidRPr="00991449" w:rsidRDefault="00283FF7" w:rsidP="00283FF7">
      <w:pPr>
        <w:rPr>
          <w:sz w:val="16"/>
          <w:highlight w:val="yellow"/>
        </w:rPr>
      </w:pPr>
    </w:p>
    <w:p w:rsidR="00B54490" w:rsidRDefault="00B54490" w:rsidP="00F77B57"/>
    <w:p w:rsidR="00B54490" w:rsidRDefault="00B54490" w:rsidP="00F77B57"/>
    <w:p w:rsidR="00B54490" w:rsidRDefault="00B54490" w:rsidP="00F77B57"/>
    <w:p w:rsidR="00B54490" w:rsidRDefault="00B54490" w:rsidP="00F77B57"/>
    <w:p w:rsidR="00B54490" w:rsidRDefault="00B54490" w:rsidP="00F77B57"/>
    <w:p w:rsidR="001627EB" w:rsidRDefault="001627EB" w:rsidP="00F77B57"/>
    <w:tbl>
      <w:tblPr>
        <w:tblpPr w:leftFromText="180" w:rightFromText="180" w:vertAnchor="text" w:horzAnchor="margin" w:tblpXSpec="center" w:tblpY="1"/>
        <w:tblW w:w="5117" w:type="pct"/>
        <w:tblLayout w:type="fixed"/>
        <w:tblLook w:val="0000"/>
      </w:tblPr>
      <w:tblGrid>
        <w:gridCol w:w="1539"/>
        <w:gridCol w:w="407"/>
        <w:gridCol w:w="1394"/>
        <w:gridCol w:w="97"/>
        <w:gridCol w:w="488"/>
        <w:gridCol w:w="591"/>
        <w:gridCol w:w="383"/>
        <w:gridCol w:w="545"/>
        <w:gridCol w:w="324"/>
        <w:gridCol w:w="663"/>
        <w:gridCol w:w="232"/>
        <w:gridCol w:w="841"/>
        <w:gridCol w:w="62"/>
        <w:gridCol w:w="903"/>
        <w:gridCol w:w="100"/>
        <w:gridCol w:w="801"/>
        <w:gridCol w:w="267"/>
        <w:gridCol w:w="785"/>
        <w:gridCol w:w="151"/>
        <w:gridCol w:w="154"/>
        <w:gridCol w:w="701"/>
        <w:gridCol w:w="54"/>
        <w:gridCol w:w="235"/>
        <w:gridCol w:w="734"/>
        <w:gridCol w:w="62"/>
        <w:gridCol w:w="971"/>
      </w:tblGrid>
      <w:tr w:rsidR="00B151F7" w:rsidRPr="00F95FEE" w:rsidTr="00A773B4">
        <w:trPr>
          <w:gridBefore w:val="2"/>
          <w:gridAfter w:val="23"/>
          <w:wBefore w:w="722" w:type="pct"/>
          <w:wAfter w:w="3761" w:type="pct"/>
          <w:trHeight w:val="206"/>
        </w:trPr>
        <w:tc>
          <w:tcPr>
            <w:tcW w:w="517" w:type="pct"/>
            <w:shd w:val="clear" w:color="auto" w:fill="auto"/>
            <w:vAlign w:val="bottom"/>
          </w:tcPr>
          <w:p w:rsidR="00B151F7" w:rsidRPr="00F95FEE" w:rsidRDefault="00B151F7" w:rsidP="00472B78">
            <w:pPr>
              <w:rPr>
                <w:rFonts w:ascii="Arial" w:hAnsi="Arial" w:cs="Arial"/>
                <w:sz w:val="16"/>
                <w:szCs w:val="16"/>
              </w:rPr>
            </w:pPr>
          </w:p>
        </w:tc>
      </w:tr>
      <w:tr w:rsidR="00B151F7" w:rsidRPr="00F95FEE" w:rsidTr="00A773B4">
        <w:trPr>
          <w:gridBefore w:val="2"/>
          <w:gridAfter w:val="23"/>
          <w:wBefore w:w="722" w:type="pct"/>
          <w:wAfter w:w="3761" w:type="pct"/>
          <w:trHeight w:val="130"/>
        </w:trPr>
        <w:tc>
          <w:tcPr>
            <w:tcW w:w="517" w:type="pct"/>
            <w:shd w:val="clear" w:color="auto" w:fill="auto"/>
            <w:vAlign w:val="bottom"/>
          </w:tcPr>
          <w:p w:rsidR="00B151F7" w:rsidRPr="00F95FEE" w:rsidRDefault="00B151F7" w:rsidP="00472B78">
            <w:pPr>
              <w:rPr>
                <w:rFonts w:ascii="Arial" w:hAnsi="Arial" w:cs="Arial"/>
                <w:sz w:val="16"/>
                <w:szCs w:val="16"/>
              </w:rPr>
            </w:pPr>
          </w:p>
        </w:tc>
      </w:tr>
      <w:tr w:rsidR="00B151F7" w:rsidRPr="00F95FEE" w:rsidTr="00A773B4">
        <w:trPr>
          <w:gridBefore w:val="2"/>
          <w:gridAfter w:val="23"/>
          <w:wBefore w:w="722" w:type="pct"/>
          <w:wAfter w:w="3761" w:type="pct"/>
          <w:trHeight w:val="70"/>
        </w:trPr>
        <w:tc>
          <w:tcPr>
            <w:tcW w:w="517" w:type="pct"/>
            <w:shd w:val="clear" w:color="auto" w:fill="auto"/>
            <w:vAlign w:val="bottom"/>
          </w:tcPr>
          <w:p w:rsidR="00B151F7" w:rsidRDefault="00B151F7" w:rsidP="00472B78">
            <w:pPr>
              <w:rPr>
                <w:rFonts w:ascii="Arial" w:hAnsi="Arial" w:cs="Arial"/>
                <w:sz w:val="16"/>
                <w:szCs w:val="16"/>
              </w:rPr>
            </w:pPr>
          </w:p>
          <w:p w:rsidR="00C456A3" w:rsidRDefault="00C456A3" w:rsidP="00472B78">
            <w:pPr>
              <w:rPr>
                <w:rFonts w:ascii="Arial" w:hAnsi="Arial" w:cs="Arial"/>
                <w:sz w:val="16"/>
                <w:szCs w:val="16"/>
              </w:rPr>
            </w:pPr>
          </w:p>
          <w:p w:rsidR="00C456A3" w:rsidRPr="00F95FEE" w:rsidRDefault="00C456A3" w:rsidP="00472B78">
            <w:pPr>
              <w:rPr>
                <w:rFonts w:ascii="Arial" w:hAnsi="Arial" w:cs="Arial"/>
                <w:sz w:val="16"/>
                <w:szCs w:val="16"/>
              </w:rPr>
            </w:pPr>
          </w:p>
        </w:tc>
      </w:tr>
      <w:tr w:rsidR="00B151F7" w:rsidRPr="00F95FEE" w:rsidTr="001C65D2">
        <w:trPr>
          <w:gridAfter w:val="23"/>
          <w:wAfter w:w="3761" w:type="pct"/>
          <w:trHeight w:val="70"/>
        </w:trPr>
        <w:tc>
          <w:tcPr>
            <w:tcW w:w="722" w:type="pct"/>
            <w:gridSpan w:val="2"/>
            <w:shd w:val="clear" w:color="auto" w:fill="auto"/>
            <w:vAlign w:val="bottom"/>
          </w:tcPr>
          <w:p w:rsidR="00B151F7" w:rsidRPr="00F95FEE" w:rsidRDefault="00B151F7" w:rsidP="00472B78">
            <w:pPr>
              <w:jc w:val="center"/>
              <w:rPr>
                <w:rFonts w:ascii="Arial" w:hAnsi="Arial" w:cs="Arial"/>
                <w:b/>
                <w:bCs/>
                <w:sz w:val="16"/>
                <w:szCs w:val="16"/>
              </w:rPr>
            </w:pPr>
          </w:p>
        </w:tc>
        <w:tc>
          <w:tcPr>
            <w:tcW w:w="517" w:type="pct"/>
            <w:shd w:val="clear" w:color="auto" w:fill="auto"/>
            <w:vAlign w:val="bottom"/>
          </w:tcPr>
          <w:p w:rsidR="00B151F7" w:rsidRPr="00F95FEE" w:rsidRDefault="00B151F7" w:rsidP="00472B78">
            <w:pPr>
              <w:rPr>
                <w:rFonts w:ascii="Arial" w:hAnsi="Arial" w:cs="Arial"/>
                <w:sz w:val="16"/>
                <w:szCs w:val="16"/>
              </w:rPr>
            </w:pPr>
          </w:p>
        </w:tc>
      </w:tr>
      <w:tr w:rsidR="00B151F7" w:rsidRPr="00F95FEE" w:rsidTr="00A773B4">
        <w:trPr>
          <w:trHeight w:val="75"/>
        </w:trPr>
        <w:tc>
          <w:tcPr>
            <w:tcW w:w="571" w:type="pct"/>
            <w:tcBorders>
              <w:top w:val="single" w:sz="8" w:space="0" w:color="auto"/>
              <w:left w:val="single" w:sz="8" w:space="0" w:color="auto"/>
              <w:bottom w:val="single" w:sz="8" w:space="0" w:color="auto"/>
              <w:right w:val="single" w:sz="8" w:space="0" w:color="000000"/>
            </w:tcBorders>
          </w:tcPr>
          <w:p w:rsidR="00B151F7" w:rsidRPr="00F95FEE" w:rsidRDefault="00B151F7" w:rsidP="00703D5A">
            <w:pPr>
              <w:jc w:val="center"/>
              <w:rPr>
                <w:rFonts w:ascii="Arial" w:hAnsi="Arial" w:cs="Arial"/>
                <w:b/>
                <w:bCs/>
                <w:sz w:val="20"/>
              </w:rPr>
            </w:pPr>
          </w:p>
        </w:tc>
        <w:tc>
          <w:tcPr>
            <w:tcW w:w="4429" w:type="pct"/>
            <w:gridSpan w:val="25"/>
            <w:tcBorders>
              <w:top w:val="single" w:sz="4" w:space="0" w:color="auto"/>
              <w:left w:val="single" w:sz="8" w:space="0" w:color="auto"/>
              <w:bottom w:val="single" w:sz="8" w:space="0" w:color="auto"/>
              <w:right w:val="single" w:sz="8" w:space="0" w:color="000000"/>
            </w:tcBorders>
            <w:shd w:val="clear" w:color="auto" w:fill="auto"/>
            <w:vAlign w:val="bottom"/>
          </w:tcPr>
          <w:p w:rsidR="00B151F7" w:rsidRPr="00F95FEE" w:rsidRDefault="00B151F7" w:rsidP="00703D5A">
            <w:pPr>
              <w:ind w:right="1177"/>
              <w:jc w:val="center"/>
              <w:rPr>
                <w:rFonts w:ascii="Arial" w:hAnsi="Arial" w:cs="Arial"/>
                <w:b/>
                <w:bCs/>
                <w:sz w:val="20"/>
              </w:rPr>
            </w:pPr>
            <w:r w:rsidRPr="00F95FEE">
              <w:rPr>
                <w:rFonts w:ascii="Arial" w:hAnsi="Arial" w:cs="Arial"/>
                <w:b/>
                <w:bCs/>
                <w:sz w:val="20"/>
              </w:rPr>
              <w:t>MEASURE TABLE</w:t>
            </w:r>
          </w:p>
        </w:tc>
      </w:tr>
      <w:tr w:rsidR="00B151F7" w:rsidRPr="00F95FEE" w:rsidTr="00A773B4">
        <w:trPr>
          <w:trHeight w:val="79"/>
        </w:trPr>
        <w:tc>
          <w:tcPr>
            <w:tcW w:w="571" w:type="pct"/>
            <w:tcBorders>
              <w:top w:val="single" w:sz="8" w:space="0" w:color="auto"/>
              <w:left w:val="single" w:sz="8" w:space="0" w:color="auto"/>
              <w:bottom w:val="single" w:sz="8" w:space="0" w:color="auto"/>
              <w:right w:val="single" w:sz="8" w:space="0" w:color="000000"/>
            </w:tcBorders>
          </w:tcPr>
          <w:p w:rsidR="00B151F7" w:rsidRPr="00F95FEE" w:rsidRDefault="00B151F7" w:rsidP="00703D5A">
            <w:pPr>
              <w:rPr>
                <w:rFonts w:ascii="Arial" w:hAnsi="Arial" w:cs="Arial"/>
                <w:b/>
                <w:bCs/>
                <w:sz w:val="20"/>
              </w:rPr>
            </w:pPr>
          </w:p>
        </w:tc>
        <w:tc>
          <w:tcPr>
            <w:tcW w:w="4429" w:type="pct"/>
            <w:gridSpan w:val="25"/>
            <w:tcBorders>
              <w:top w:val="single" w:sz="8" w:space="0" w:color="auto"/>
              <w:left w:val="single" w:sz="8" w:space="0" w:color="auto"/>
              <w:bottom w:val="single" w:sz="8" w:space="0" w:color="auto"/>
              <w:right w:val="single" w:sz="8" w:space="0" w:color="000000"/>
            </w:tcBorders>
            <w:shd w:val="clear" w:color="auto" w:fill="auto"/>
            <w:vAlign w:val="bottom"/>
          </w:tcPr>
          <w:p w:rsidR="00B151F7" w:rsidRPr="00F95FEE" w:rsidRDefault="00B151F7" w:rsidP="00703D5A">
            <w:pPr>
              <w:ind w:right="1177"/>
              <w:rPr>
                <w:rFonts w:ascii="Arial" w:hAnsi="Arial" w:cs="Arial"/>
                <w:b/>
                <w:bCs/>
                <w:sz w:val="20"/>
              </w:rPr>
            </w:pPr>
            <w:r w:rsidRPr="00F95FEE">
              <w:rPr>
                <w:rFonts w:ascii="Arial" w:hAnsi="Arial" w:cs="Arial"/>
                <w:b/>
                <w:bCs/>
                <w:sz w:val="20"/>
              </w:rPr>
              <w:t>Appropriation: Interagency Crime and Drug Enforcement</w:t>
            </w:r>
          </w:p>
        </w:tc>
      </w:tr>
      <w:tr w:rsidR="00B151F7" w:rsidRPr="00F95FEE" w:rsidTr="00A773B4">
        <w:trPr>
          <w:trHeight w:val="75"/>
        </w:trPr>
        <w:tc>
          <w:tcPr>
            <w:tcW w:w="571" w:type="pct"/>
            <w:tcBorders>
              <w:top w:val="single" w:sz="8" w:space="0" w:color="auto"/>
              <w:left w:val="single" w:sz="8" w:space="0" w:color="auto"/>
              <w:bottom w:val="single" w:sz="8" w:space="0" w:color="auto"/>
              <w:right w:val="single" w:sz="8" w:space="0" w:color="000000"/>
            </w:tcBorders>
          </w:tcPr>
          <w:p w:rsidR="00B151F7" w:rsidRPr="00F95FEE" w:rsidRDefault="00B151F7" w:rsidP="00703D5A">
            <w:pPr>
              <w:rPr>
                <w:rFonts w:ascii="Arial" w:hAnsi="Arial" w:cs="Arial"/>
                <w:b/>
                <w:bCs/>
                <w:sz w:val="20"/>
              </w:rPr>
            </w:pPr>
          </w:p>
        </w:tc>
        <w:tc>
          <w:tcPr>
            <w:tcW w:w="4429" w:type="pct"/>
            <w:gridSpan w:val="25"/>
            <w:tcBorders>
              <w:top w:val="single" w:sz="8" w:space="0" w:color="auto"/>
              <w:left w:val="single" w:sz="8" w:space="0" w:color="auto"/>
              <w:bottom w:val="single" w:sz="8" w:space="0" w:color="auto"/>
              <w:right w:val="single" w:sz="8" w:space="0" w:color="000000"/>
            </w:tcBorders>
            <w:shd w:val="clear" w:color="auto" w:fill="auto"/>
            <w:vAlign w:val="bottom"/>
          </w:tcPr>
          <w:p w:rsidR="00B151F7" w:rsidRPr="00F95FEE" w:rsidRDefault="00B151F7" w:rsidP="00703D5A">
            <w:pPr>
              <w:ind w:right="1177"/>
              <w:rPr>
                <w:rFonts w:ascii="Arial" w:hAnsi="Arial" w:cs="Arial"/>
                <w:b/>
                <w:bCs/>
                <w:sz w:val="20"/>
              </w:rPr>
            </w:pPr>
            <w:r w:rsidRPr="00F95FEE">
              <w:rPr>
                <w:rFonts w:ascii="Arial" w:hAnsi="Arial" w:cs="Arial"/>
                <w:b/>
                <w:bCs/>
                <w:sz w:val="20"/>
              </w:rPr>
              <w:t>Decision Unit Program: Organized Crime and Drug Enforcement Task Forces (OCDETF)</w:t>
            </w:r>
          </w:p>
        </w:tc>
      </w:tr>
      <w:tr w:rsidR="00B151F7" w:rsidRPr="00F95FEE" w:rsidTr="00A773B4">
        <w:trPr>
          <w:trHeight w:val="75"/>
        </w:trPr>
        <w:tc>
          <w:tcPr>
            <w:tcW w:w="571" w:type="pct"/>
            <w:tcBorders>
              <w:top w:val="single" w:sz="8" w:space="0" w:color="auto"/>
              <w:left w:val="single" w:sz="8" w:space="0" w:color="auto"/>
              <w:bottom w:val="single" w:sz="8" w:space="0" w:color="auto"/>
              <w:right w:val="single" w:sz="8" w:space="0" w:color="000000"/>
            </w:tcBorders>
          </w:tcPr>
          <w:p w:rsidR="00B151F7" w:rsidRPr="00F95FEE" w:rsidRDefault="00B151F7" w:rsidP="00703D5A">
            <w:pPr>
              <w:rPr>
                <w:rFonts w:ascii="Arial" w:hAnsi="Arial" w:cs="Arial"/>
                <w:b/>
                <w:bCs/>
                <w:sz w:val="20"/>
              </w:rPr>
            </w:pPr>
          </w:p>
        </w:tc>
        <w:tc>
          <w:tcPr>
            <w:tcW w:w="4429" w:type="pct"/>
            <w:gridSpan w:val="25"/>
            <w:tcBorders>
              <w:top w:val="single" w:sz="8" w:space="0" w:color="auto"/>
              <w:left w:val="single" w:sz="8" w:space="0" w:color="auto"/>
              <w:right w:val="single" w:sz="8" w:space="0" w:color="000000"/>
            </w:tcBorders>
            <w:shd w:val="clear" w:color="auto" w:fill="auto"/>
            <w:vAlign w:val="bottom"/>
          </w:tcPr>
          <w:p w:rsidR="00B151F7" w:rsidRPr="00F95FEE" w:rsidRDefault="00B151F7" w:rsidP="00703D5A">
            <w:pPr>
              <w:ind w:right="1177"/>
              <w:rPr>
                <w:rFonts w:ascii="Arial" w:hAnsi="Arial" w:cs="Arial"/>
                <w:b/>
                <w:bCs/>
                <w:sz w:val="20"/>
              </w:rPr>
            </w:pPr>
            <w:r w:rsidRPr="00F95FEE">
              <w:rPr>
                <w:rFonts w:ascii="Arial" w:hAnsi="Arial" w:cs="Arial"/>
                <w:b/>
                <w:bCs/>
                <w:sz w:val="20"/>
              </w:rPr>
              <w:t xml:space="preserve">Decision PERFORMANCE Unit: Investigations </w:t>
            </w:r>
          </w:p>
        </w:tc>
      </w:tr>
      <w:tr w:rsidR="00B151F7" w:rsidRPr="00F95FEE" w:rsidTr="00750D43">
        <w:trPr>
          <w:trHeight w:val="92"/>
        </w:trPr>
        <w:tc>
          <w:tcPr>
            <w:tcW w:w="1456"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Performance Report and Performance Plan Targets</w:t>
            </w:r>
          </w:p>
        </w:tc>
        <w:tc>
          <w:tcPr>
            <w:tcW w:w="361" w:type="pct"/>
            <w:gridSpan w:val="2"/>
            <w:tcBorders>
              <w:top w:val="single" w:sz="4" w:space="0" w:color="auto"/>
              <w:left w:val="nil"/>
              <w:bottom w:val="single" w:sz="8" w:space="0" w:color="auto"/>
              <w:right w:val="nil"/>
            </w:tcBorders>
            <w:shd w:val="clear" w:color="auto" w:fill="auto"/>
            <w:noWrap/>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200</w:t>
            </w:r>
            <w:r>
              <w:rPr>
                <w:rFonts w:ascii="Arial" w:hAnsi="Arial" w:cs="Arial"/>
                <w:b/>
                <w:bCs/>
                <w:sz w:val="16"/>
                <w:szCs w:val="16"/>
              </w:rPr>
              <w:t>5</w:t>
            </w:r>
          </w:p>
        </w:tc>
        <w:tc>
          <w:tcPr>
            <w:tcW w:w="322" w:type="pct"/>
            <w:gridSpan w:val="2"/>
            <w:tcBorders>
              <w:top w:val="single" w:sz="4" w:space="0" w:color="auto"/>
              <w:left w:val="single" w:sz="8" w:space="0" w:color="auto"/>
              <w:bottom w:val="single" w:sz="8" w:space="0" w:color="auto"/>
              <w:right w:val="nil"/>
            </w:tcBorders>
            <w:shd w:val="clear" w:color="auto" w:fill="auto"/>
            <w:noWrap/>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200</w:t>
            </w:r>
            <w:r>
              <w:rPr>
                <w:rFonts w:ascii="Arial" w:hAnsi="Arial" w:cs="Arial"/>
                <w:b/>
                <w:bCs/>
                <w:sz w:val="16"/>
                <w:szCs w:val="16"/>
              </w:rPr>
              <w:t>6</w:t>
            </w:r>
          </w:p>
        </w:tc>
        <w:tc>
          <w:tcPr>
            <w:tcW w:w="332" w:type="pct"/>
            <w:gridSpan w:val="2"/>
            <w:tcBorders>
              <w:top w:val="single" w:sz="4" w:space="0" w:color="auto"/>
              <w:left w:val="single" w:sz="8"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200</w:t>
            </w:r>
            <w:r>
              <w:rPr>
                <w:rFonts w:ascii="Arial" w:hAnsi="Arial" w:cs="Arial"/>
                <w:b/>
                <w:bCs/>
                <w:sz w:val="16"/>
                <w:szCs w:val="16"/>
              </w:rPr>
              <w:t>7</w:t>
            </w:r>
          </w:p>
        </w:tc>
        <w:tc>
          <w:tcPr>
            <w:tcW w:w="335" w:type="pct"/>
            <w:gridSpan w:val="2"/>
            <w:tcBorders>
              <w:top w:val="single" w:sz="4" w:space="0" w:color="auto"/>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200</w:t>
            </w:r>
            <w:r>
              <w:rPr>
                <w:rFonts w:ascii="Arial" w:hAnsi="Arial" w:cs="Arial"/>
                <w:b/>
                <w:bCs/>
                <w:sz w:val="16"/>
                <w:szCs w:val="16"/>
              </w:rPr>
              <w:t>8</w:t>
            </w:r>
          </w:p>
        </w:tc>
        <w:tc>
          <w:tcPr>
            <w:tcW w:w="335" w:type="pct"/>
            <w:tcBorders>
              <w:top w:val="single" w:sz="4" w:space="0" w:color="auto"/>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200</w:t>
            </w:r>
            <w:r>
              <w:rPr>
                <w:rFonts w:ascii="Arial" w:hAnsi="Arial" w:cs="Arial"/>
                <w:b/>
                <w:bCs/>
                <w:sz w:val="16"/>
                <w:szCs w:val="16"/>
              </w:rPr>
              <w:t>9</w:t>
            </w:r>
          </w:p>
        </w:tc>
        <w:tc>
          <w:tcPr>
            <w:tcW w:w="334" w:type="pct"/>
            <w:gridSpan w:val="2"/>
            <w:tcBorders>
              <w:top w:val="single" w:sz="4" w:space="0" w:color="auto"/>
              <w:left w:val="nil"/>
              <w:bottom w:val="single" w:sz="8" w:space="0" w:color="auto"/>
              <w:right w:val="nil"/>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w:t>
            </w:r>
            <w:r>
              <w:rPr>
                <w:rFonts w:ascii="Arial" w:hAnsi="Arial" w:cs="Arial"/>
                <w:b/>
                <w:bCs/>
                <w:sz w:val="16"/>
                <w:szCs w:val="16"/>
              </w:rPr>
              <w:t>10</w:t>
            </w:r>
          </w:p>
        </w:tc>
        <w:tc>
          <w:tcPr>
            <w:tcW w:w="763" w:type="pct"/>
            <w:gridSpan w:val="5"/>
            <w:tcBorders>
              <w:top w:val="single" w:sz="4" w:space="0" w:color="auto"/>
              <w:left w:val="single" w:sz="8" w:space="0" w:color="auto"/>
              <w:bottom w:val="single" w:sz="4" w:space="0" w:color="auto"/>
              <w:right w:val="single" w:sz="8" w:space="0" w:color="000000"/>
            </w:tcBorders>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201</w:t>
            </w:r>
            <w:r>
              <w:rPr>
                <w:rFonts w:ascii="Arial" w:hAnsi="Arial" w:cs="Arial"/>
                <w:b/>
                <w:bCs/>
                <w:sz w:val="16"/>
                <w:szCs w:val="16"/>
              </w:rPr>
              <w:t>1</w:t>
            </w:r>
          </w:p>
        </w:tc>
        <w:tc>
          <w:tcPr>
            <w:tcW w:w="379" w:type="pct"/>
            <w:gridSpan w:val="3"/>
            <w:tcBorders>
              <w:top w:val="single" w:sz="4" w:space="0" w:color="auto"/>
              <w:left w:val="single" w:sz="8" w:space="0" w:color="auto"/>
              <w:bottom w:val="single" w:sz="8" w:space="0" w:color="auto"/>
              <w:right w:val="single" w:sz="8" w:space="0" w:color="000000"/>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201</w:t>
            </w:r>
            <w:r>
              <w:rPr>
                <w:rFonts w:ascii="Arial" w:hAnsi="Arial" w:cs="Arial"/>
                <w:b/>
                <w:bCs/>
                <w:sz w:val="16"/>
                <w:szCs w:val="16"/>
              </w:rPr>
              <w:t>2</w:t>
            </w:r>
          </w:p>
        </w:tc>
        <w:tc>
          <w:tcPr>
            <w:tcW w:w="383" w:type="pct"/>
            <w:gridSpan w:val="2"/>
            <w:tcBorders>
              <w:top w:val="single" w:sz="4" w:space="0" w:color="auto"/>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Pr>
                <w:rFonts w:ascii="Arial" w:hAnsi="Arial" w:cs="Arial"/>
                <w:b/>
                <w:bCs/>
                <w:sz w:val="16"/>
                <w:szCs w:val="16"/>
              </w:rPr>
              <w:t>FY 2013</w:t>
            </w:r>
          </w:p>
        </w:tc>
      </w:tr>
      <w:tr w:rsidR="00B151F7" w:rsidRPr="00F95FEE" w:rsidTr="00750D43">
        <w:trPr>
          <w:trHeight w:val="158"/>
        </w:trPr>
        <w:tc>
          <w:tcPr>
            <w:tcW w:w="1456" w:type="pct"/>
            <w:gridSpan w:val="5"/>
            <w:vMerge/>
            <w:tcBorders>
              <w:top w:val="single" w:sz="8" w:space="0" w:color="auto"/>
              <w:left w:val="single" w:sz="8" w:space="0" w:color="auto"/>
              <w:bottom w:val="single" w:sz="8" w:space="0" w:color="000000"/>
              <w:right w:val="single" w:sz="8" w:space="0" w:color="000000"/>
            </w:tcBorders>
            <w:vAlign w:val="center"/>
          </w:tcPr>
          <w:p w:rsidR="00B151F7" w:rsidRPr="00F95FEE" w:rsidRDefault="00B151F7" w:rsidP="00703D5A">
            <w:pPr>
              <w:rPr>
                <w:rFonts w:ascii="Arial" w:hAnsi="Arial" w:cs="Arial"/>
                <w:b/>
                <w:bCs/>
                <w:sz w:val="16"/>
                <w:szCs w:val="16"/>
              </w:rPr>
            </w:pPr>
          </w:p>
        </w:tc>
        <w:tc>
          <w:tcPr>
            <w:tcW w:w="361" w:type="pct"/>
            <w:gridSpan w:val="2"/>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22" w:type="pct"/>
            <w:gridSpan w:val="2"/>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32" w:type="pct"/>
            <w:gridSpan w:val="2"/>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35" w:type="pct"/>
            <w:gridSpan w:val="2"/>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35" w:type="pct"/>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34" w:type="pct"/>
            <w:gridSpan w:val="2"/>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90" w:type="pct"/>
            <w:gridSpan w:val="2"/>
            <w:tcBorders>
              <w:top w:val="nil"/>
              <w:left w:val="nil"/>
              <w:bottom w:val="single" w:sz="8" w:space="0" w:color="auto"/>
              <w:right w:val="single" w:sz="4" w:space="0" w:color="auto"/>
            </w:tcBorders>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Target</w:t>
            </w:r>
          </w:p>
        </w:tc>
        <w:tc>
          <w:tcPr>
            <w:tcW w:w="373" w:type="pct"/>
            <w:gridSpan w:val="3"/>
            <w:tcBorders>
              <w:top w:val="nil"/>
              <w:left w:val="single" w:sz="4" w:space="0" w:color="auto"/>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79" w:type="pct"/>
            <w:gridSpan w:val="3"/>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Target </w:t>
            </w:r>
          </w:p>
        </w:tc>
        <w:tc>
          <w:tcPr>
            <w:tcW w:w="383"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Target</w:t>
            </w:r>
          </w:p>
        </w:tc>
      </w:tr>
      <w:tr w:rsidR="00B151F7" w:rsidRPr="00F95FEE" w:rsidTr="001C65D2">
        <w:trPr>
          <w:trHeight w:val="130"/>
        </w:trPr>
        <w:tc>
          <w:tcPr>
            <w:tcW w:w="571" w:type="pct"/>
            <w:tcBorders>
              <w:top w:val="nil"/>
              <w:left w:val="single" w:sz="8" w:space="0" w:color="auto"/>
              <w:bottom w:val="single" w:sz="8" w:space="0" w:color="auto"/>
              <w:right w:val="nil"/>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Performance Measure</w:t>
            </w:r>
          </w:p>
        </w:tc>
        <w:tc>
          <w:tcPr>
            <w:tcW w:w="885" w:type="pct"/>
            <w:gridSpan w:val="4"/>
            <w:tcBorders>
              <w:top w:val="nil"/>
              <w:left w:val="single" w:sz="8" w:space="0" w:color="auto"/>
              <w:bottom w:val="single" w:sz="8" w:space="0" w:color="auto"/>
              <w:right w:val="nil"/>
            </w:tcBorders>
            <w:shd w:val="clear" w:color="auto" w:fill="auto"/>
            <w:vAlign w:val="bottom"/>
          </w:tcPr>
          <w:p w:rsidR="00B151F7" w:rsidRPr="00F95FEE" w:rsidRDefault="00B151F7" w:rsidP="00703D5A">
            <w:pPr>
              <w:rPr>
                <w:rFonts w:ascii="Arial" w:hAnsi="Arial" w:cs="Arial"/>
                <w:sz w:val="16"/>
                <w:szCs w:val="16"/>
              </w:rPr>
            </w:pPr>
            <w:r w:rsidRPr="00F95FEE">
              <w:rPr>
                <w:rFonts w:ascii="Arial" w:hAnsi="Arial" w:cs="Arial"/>
                <w:sz w:val="16"/>
                <w:szCs w:val="16"/>
              </w:rPr>
              <w:t>Percent of active OCDETF investigations linked to CPOT</w:t>
            </w:r>
          </w:p>
        </w:tc>
        <w:tc>
          <w:tcPr>
            <w:tcW w:w="361" w:type="pct"/>
            <w:gridSpan w:val="2"/>
            <w:tcBorders>
              <w:top w:val="nil"/>
              <w:left w:val="single" w:sz="8"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N/A</w:t>
            </w:r>
          </w:p>
        </w:tc>
        <w:tc>
          <w:tcPr>
            <w:tcW w:w="322"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18%</w:t>
            </w:r>
          </w:p>
        </w:tc>
        <w:tc>
          <w:tcPr>
            <w:tcW w:w="332"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14%</w:t>
            </w:r>
          </w:p>
        </w:tc>
        <w:tc>
          <w:tcPr>
            <w:tcW w:w="335"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14%</w:t>
            </w:r>
          </w:p>
        </w:tc>
        <w:tc>
          <w:tcPr>
            <w:tcW w:w="335" w:type="pct"/>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16</w:t>
            </w:r>
            <w:r w:rsidRPr="00F95FEE">
              <w:rPr>
                <w:rFonts w:ascii="Arial" w:hAnsi="Arial" w:cs="Arial"/>
                <w:sz w:val="16"/>
                <w:szCs w:val="16"/>
              </w:rPr>
              <w:t>%</w:t>
            </w:r>
          </w:p>
        </w:tc>
        <w:tc>
          <w:tcPr>
            <w:tcW w:w="334"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w:t>
            </w:r>
            <w:r>
              <w:rPr>
                <w:rFonts w:ascii="Arial" w:hAnsi="Arial" w:cs="Arial"/>
                <w:sz w:val="16"/>
                <w:szCs w:val="16"/>
              </w:rPr>
              <w:t>6</w:t>
            </w:r>
            <w:r w:rsidRPr="00F95FEE">
              <w:rPr>
                <w:rFonts w:ascii="Arial" w:hAnsi="Arial" w:cs="Arial"/>
                <w:sz w:val="16"/>
                <w:szCs w:val="16"/>
              </w:rPr>
              <w:t>%</w:t>
            </w:r>
          </w:p>
        </w:tc>
        <w:tc>
          <w:tcPr>
            <w:tcW w:w="390" w:type="pct"/>
            <w:gridSpan w:val="2"/>
            <w:tcBorders>
              <w:top w:val="nil"/>
              <w:left w:val="nil"/>
              <w:bottom w:val="single" w:sz="8" w:space="0" w:color="auto"/>
              <w:right w:val="single" w:sz="4" w:space="0" w:color="auto"/>
            </w:tcBorders>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16%</w:t>
            </w:r>
          </w:p>
        </w:tc>
        <w:tc>
          <w:tcPr>
            <w:tcW w:w="373" w:type="pct"/>
            <w:gridSpan w:val="3"/>
            <w:tcBorders>
              <w:top w:val="nil"/>
              <w:left w:val="single" w:sz="4" w:space="0" w:color="auto"/>
              <w:bottom w:val="single" w:sz="8" w:space="0" w:color="auto"/>
              <w:right w:val="single" w:sz="8" w:space="0" w:color="auto"/>
            </w:tcBorders>
            <w:shd w:val="clear" w:color="auto" w:fill="auto"/>
            <w:noWrap/>
            <w:vAlign w:val="bottom"/>
          </w:tcPr>
          <w:p w:rsidR="00B151F7" w:rsidRPr="00F95FEE" w:rsidRDefault="00721810" w:rsidP="00703D5A">
            <w:pPr>
              <w:jc w:val="center"/>
              <w:rPr>
                <w:rFonts w:ascii="Arial" w:hAnsi="Arial" w:cs="Arial"/>
                <w:sz w:val="16"/>
                <w:szCs w:val="16"/>
              </w:rPr>
            </w:pPr>
            <w:r>
              <w:rPr>
                <w:rFonts w:ascii="Arial" w:hAnsi="Arial" w:cs="Arial"/>
                <w:sz w:val="16"/>
                <w:szCs w:val="16"/>
              </w:rPr>
              <w:t>17</w:t>
            </w:r>
            <w:r w:rsidR="00B151F7" w:rsidRPr="00F95FEE">
              <w:rPr>
                <w:rFonts w:ascii="Arial" w:hAnsi="Arial" w:cs="Arial"/>
                <w:sz w:val="16"/>
                <w:szCs w:val="16"/>
              </w:rPr>
              <w:t>%</w:t>
            </w:r>
          </w:p>
        </w:tc>
        <w:tc>
          <w:tcPr>
            <w:tcW w:w="379" w:type="pct"/>
            <w:gridSpan w:val="3"/>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16%</w:t>
            </w:r>
          </w:p>
        </w:tc>
        <w:tc>
          <w:tcPr>
            <w:tcW w:w="383"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16%</w:t>
            </w:r>
          </w:p>
        </w:tc>
      </w:tr>
      <w:tr w:rsidR="00B151F7" w:rsidRPr="00F95FEE" w:rsidTr="001C65D2">
        <w:trPr>
          <w:trHeight w:val="130"/>
        </w:trPr>
        <w:tc>
          <w:tcPr>
            <w:tcW w:w="571" w:type="pct"/>
            <w:tcBorders>
              <w:top w:val="nil"/>
              <w:left w:val="single" w:sz="8" w:space="0" w:color="auto"/>
              <w:bottom w:val="single" w:sz="8" w:space="0" w:color="auto"/>
              <w:right w:val="nil"/>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Performance Measure</w:t>
            </w:r>
          </w:p>
        </w:tc>
        <w:tc>
          <w:tcPr>
            <w:tcW w:w="885" w:type="pct"/>
            <w:gridSpan w:val="4"/>
            <w:tcBorders>
              <w:top w:val="nil"/>
              <w:left w:val="single" w:sz="8" w:space="0" w:color="auto"/>
              <w:bottom w:val="single" w:sz="8" w:space="0" w:color="auto"/>
              <w:right w:val="nil"/>
            </w:tcBorders>
            <w:shd w:val="clear" w:color="auto" w:fill="auto"/>
            <w:vAlign w:val="bottom"/>
          </w:tcPr>
          <w:p w:rsidR="00B151F7" w:rsidRPr="00F95FEE" w:rsidRDefault="00B151F7" w:rsidP="00703D5A">
            <w:pPr>
              <w:rPr>
                <w:rFonts w:ascii="Arial" w:hAnsi="Arial" w:cs="Arial"/>
                <w:sz w:val="16"/>
                <w:szCs w:val="16"/>
              </w:rPr>
            </w:pPr>
            <w:r w:rsidRPr="00F95FEE">
              <w:rPr>
                <w:rFonts w:ascii="Arial" w:hAnsi="Arial" w:cs="Arial"/>
                <w:sz w:val="16"/>
                <w:szCs w:val="16"/>
              </w:rPr>
              <w:t>Percent of active OCDETF investigations linked to RPOT</w:t>
            </w:r>
          </w:p>
        </w:tc>
        <w:tc>
          <w:tcPr>
            <w:tcW w:w="361" w:type="pct"/>
            <w:gridSpan w:val="2"/>
            <w:tcBorders>
              <w:top w:val="nil"/>
              <w:left w:val="single" w:sz="8"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N/A</w:t>
            </w:r>
          </w:p>
        </w:tc>
        <w:tc>
          <w:tcPr>
            <w:tcW w:w="322"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19%</w:t>
            </w:r>
          </w:p>
        </w:tc>
        <w:tc>
          <w:tcPr>
            <w:tcW w:w="332"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19%</w:t>
            </w:r>
          </w:p>
        </w:tc>
        <w:tc>
          <w:tcPr>
            <w:tcW w:w="335"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21%</w:t>
            </w:r>
          </w:p>
        </w:tc>
        <w:tc>
          <w:tcPr>
            <w:tcW w:w="335" w:type="pct"/>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19</w:t>
            </w:r>
            <w:r w:rsidRPr="00F95FEE">
              <w:rPr>
                <w:rFonts w:ascii="Arial" w:hAnsi="Arial" w:cs="Arial"/>
                <w:sz w:val="16"/>
                <w:szCs w:val="16"/>
              </w:rPr>
              <w:t>%</w:t>
            </w:r>
          </w:p>
        </w:tc>
        <w:tc>
          <w:tcPr>
            <w:tcW w:w="334"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18</w:t>
            </w:r>
            <w:r w:rsidRPr="00F95FEE">
              <w:rPr>
                <w:rFonts w:ascii="Arial" w:hAnsi="Arial" w:cs="Arial"/>
                <w:sz w:val="16"/>
                <w:szCs w:val="16"/>
              </w:rPr>
              <w:t>%</w:t>
            </w:r>
          </w:p>
        </w:tc>
        <w:tc>
          <w:tcPr>
            <w:tcW w:w="390" w:type="pct"/>
            <w:gridSpan w:val="2"/>
            <w:tcBorders>
              <w:top w:val="nil"/>
              <w:left w:val="nil"/>
              <w:bottom w:val="single" w:sz="8" w:space="0" w:color="auto"/>
              <w:right w:val="single" w:sz="4" w:space="0" w:color="auto"/>
            </w:tcBorders>
            <w:vAlign w:val="bottom"/>
          </w:tcPr>
          <w:p w:rsidR="00B151F7" w:rsidRPr="00F95FEE" w:rsidRDefault="00B151F7" w:rsidP="00703D5A">
            <w:pPr>
              <w:jc w:val="center"/>
              <w:rPr>
                <w:rFonts w:ascii="Arial" w:hAnsi="Arial" w:cs="Arial"/>
                <w:sz w:val="16"/>
                <w:szCs w:val="16"/>
              </w:rPr>
            </w:pPr>
            <w:r>
              <w:rPr>
                <w:rFonts w:ascii="Arial" w:hAnsi="Arial" w:cs="Arial"/>
                <w:sz w:val="16"/>
                <w:szCs w:val="16"/>
              </w:rPr>
              <w:t>18</w:t>
            </w:r>
            <w:r w:rsidRPr="00F95FEE">
              <w:rPr>
                <w:rFonts w:ascii="Arial" w:hAnsi="Arial" w:cs="Arial"/>
                <w:sz w:val="16"/>
                <w:szCs w:val="16"/>
              </w:rPr>
              <w:t>%</w:t>
            </w:r>
          </w:p>
        </w:tc>
        <w:tc>
          <w:tcPr>
            <w:tcW w:w="373" w:type="pct"/>
            <w:gridSpan w:val="3"/>
            <w:tcBorders>
              <w:top w:val="nil"/>
              <w:left w:val="single" w:sz="4" w:space="0" w:color="auto"/>
              <w:bottom w:val="single" w:sz="8" w:space="0" w:color="auto"/>
              <w:right w:val="single" w:sz="8" w:space="0" w:color="auto"/>
            </w:tcBorders>
            <w:shd w:val="clear" w:color="auto" w:fill="auto"/>
            <w:noWrap/>
            <w:vAlign w:val="bottom"/>
          </w:tcPr>
          <w:p w:rsidR="00B151F7" w:rsidRPr="00F95FEE" w:rsidRDefault="00B151F7" w:rsidP="00F96CC5">
            <w:pPr>
              <w:jc w:val="center"/>
              <w:rPr>
                <w:rFonts w:ascii="Arial" w:hAnsi="Arial" w:cs="Arial"/>
                <w:sz w:val="16"/>
                <w:szCs w:val="16"/>
              </w:rPr>
            </w:pPr>
            <w:r>
              <w:rPr>
                <w:rFonts w:ascii="Arial" w:hAnsi="Arial" w:cs="Arial"/>
                <w:sz w:val="16"/>
                <w:szCs w:val="16"/>
              </w:rPr>
              <w:t>1</w:t>
            </w:r>
            <w:r w:rsidR="00F96CC5">
              <w:rPr>
                <w:rFonts w:ascii="Arial" w:hAnsi="Arial" w:cs="Arial"/>
                <w:sz w:val="16"/>
                <w:szCs w:val="16"/>
              </w:rPr>
              <w:t>7</w:t>
            </w:r>
            <w:r w:rsidRPr="00F95FEE">
              <w:rPr>
                <w:rFonts w:ascii="Arial" w:hAnsi="Arial" w:cs="Arial"/>
                <w:sz w:val="16"/>
                <w:szCs w:val="16"/>
              </w:rPr>
              <w:t>%</w:t>
            </w:r>
          </w:p>
        </w:tc>
        <w:tc>
          <w:tcPr>
            <w:tcW w:w="379" w:type="pct"/>
            <w:gridSpan w:val="3"/>
            <w:tcBorders>
              <w:top w:val="nil"/>
              <w:left w:val="nil"/>
              <w:bottom w:val="single" w:sz="8" w:space="0" w:color="auto"/>
              <w:right w:val="single" w:sz="8" w:space="0" w:color="auto"/>
            </w:tcBorders>
            <w:shd w:val="clear" w:color="auto" w:fill="auto"/>
            <w:noWrap/>
            <w:vAlign w:val="bottom"/>
          </w:tcPr>
          <w:p w:rsidR="00B151F7" w:rsidRPr="00F95FEE" w:rsidRDefault="00721810" w:rsidP="00703D5A">
            <w:pPr>
              <w:jc w:val="center"/>
              <w:rPr>
                <w:rFonts w:ascii="Arial" w:hAnsi="Arial" w:cs="Arial"/>
                <w:sz w:val="16"/>
                <w:szCs w:val="16"/>
              </w:rPr>
            </w:pPr>
            <w:r>
              <w:rPr>
                <w:rFonts w:ascii="Arial" w:hAnsi="Arial" w:cs="Arial"/>
                <w:sz w:val="16"/>
                <w:szCs w:val="16"/>
              </w:rPr>
              <w:t>17</w:t>
            </w:r>
            <w:r w:rsidR="00B151F7" w:rsidRPr="00F95FEE">
              <w:rPr>
                <w:rFonts w:ascii="Arial" w:hAnsi="Arial" w:cs="Arial"/>
                <w:sz w:val="16"/>
                <w:szCs w:val="16"/>
              </w:rPr>
              <w:t>%</w:t>
            </w:r>
          </w:p>
        </w:tc>
        <w:tc>
          <w:tcPr>
            <w:tcW w:w="383"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21810">
            <w:pPr>
              <w:jc w:val="center"/>
              <w:rPr>
                <w:rFonts w:ascii="Arial" w:hAnsi="Arial" w:cs="Arial"/>
                <w:sz w:val="16"/>
                <w:szCs w:val="16"/>
              </w:rPr>
            </w:pPr>
            <w:r>
              <w:rPr>
                <w:rFonts w:ascii="Arial" w:hAnsi="Arial" w:cs="Arial"/>
                <w:sz w:val="16"/>
                <w:szCs w:val="16"/>
              </w:rPr>
              <w:t>1</w:t>
            </w:r>
            <w:r w:rsidR="00721810">
              <w:rPr>
                <w:rFonts w:ascii="Arial" w:hAnsi="Arial" w:cs="Arial"/>
                <w:sz w:val="16"/>
                <w:szCs w:val="16"/>
              </w:rPr>
              <w:t>7</w:t>
            </w:r>
            <w:r w:rsidRPr="00F95FEE">
              <w:rPr>
                <w:rFonts w:ascii="Arial" w:hAnsi="Arial" w:cs="Arial"/>
                <w:sz w:val="16"/>
                <w:szCs w:val="16"/>
              </w:rPr>
              <w:t>%</w:t>
            </w:r>
          </w:p>
        </w:tc>
      </w:tr>
      <w:tr w:rsidR="00B151F7" w:rsidRPr="00F95FEE" w:rsidTr="001C65D2">
        <w:trPr>
          <w:trHeight w:val="130"/>
        </w:trPr>
        <w:tc>
          <w:tcPr>
            <w:tcW w:w="571" w:type="pct"/>
            <w:tcBorders>
              <w:top w:val="nil"/>
              <w:left w:val="single" w:sz="8" w:space="0" w:color="auto"/>
              <w:bottom w:val="single" w:sz="8" w:space="0" w:color="auto"/>
              <w:right w:val="nil"/>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Performance Measure</w:t>
            </w:r>
          </w:p>
        </w:tc>
        <w:tc>
          <w:tcPr>
            <w:tcW w:w="885" w:type="pct"/>
            <w:gridSpan w:val="4"/>
            <w:tcBorders>
              <w:top w:val="nil"/>
              <w:left w:val="single" w:sz="8" w:space="0" w:color="auto"/>
              <w:bottom w:val="single" w:sz="8" w:space="0" w:color="auto"/>
              <w:right w:val="nil"/>
            </w:tcBorders>
            <w:shd w:val="clear" w:color="auto" w:fill="auto"/>
            <w:vAlign w:val="bottom"/>
          </w:tcPr>
          <w:p w:rsidR="00B151F7" w:rsidRPr="00F95FEE" w:rsidRDefault="00B151F7" w:rsidP="00703D5A">
            <w:pPr>
              <w:rPr>
                <w:rFonts w:ascii="Arial" w:hAnsi="Arial" w:cs="Arial"/>
                <w:sz w:val="16"/>
                <w:szCs w:val="16"/>
              </w:rPr>
            </w:pPr>
            <w:r w:rsidRPr="00F95FEE">
              <w:rPr>
                <w:rFonts w:ascii="Arial" w:hAnsi="Arial" w:cs="Arial"/>
                <w:sz w:val="16"/>
                <w:szCs w:val="16"/>
              </w:rPr>
              <w:t xml:space="preserve">Percent of active investigations involving SOD/Fusion Center Coordination </w:t>
            </w:r>
          </w:p>
        </w:tc>
        <w:tc>
          <w:tcPr>
            <w:tcW w:w="361" w:type="pct"/>
            <w:gridSpan w:val="2"/>
            <w:tcBorders>
              <w:top w:val="nil"/>
              <w:left w:val="single" w:sz="8"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N/A</w:t>
            </w:r>
          </w:p>
        </w:tc>
        <w:tc>
          <w:tcPr>
            <w:tcW w:w="322"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29%</w:t>
            </w:r>
          </w:p>
        </w:tc>
        <w:tc>
          <w:tcPr>
            <w:tcW w:w="332"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32%</w:t>
            </w:r>
          </w:p>
        </w:tc>
        <w:tc>
          <w:tcPr>
            <w:tcW w:w="335"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35%</w:t>
            </w:r>
          </w:p>
        </w:tc>
        <w:tc>
          <w:tcPr>
            <w:tcW w:w="335" w:type="pct"/>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37</w:t>
            </w:r>
            <w:r w:rsidRPr="00F95FEE">
              <w:rPr>
                <w:rFonts w:ascii="Arial" w:hAnsi="Arial" w:cs="Arial"/>
                <w:sz w:val="16"/>
                <w:szCs w:val="16"/>
              </w:rPr>
              <w:t>%</w:t>
            </w:r>
          </w:p>
        </w:tc>
        <w:tc>
          <w:tcPr>
            <w:tcW w:w="334"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40</w:t>
            </w:r>
            <w:r w:rsidRPr="00F95FEE">
              <w:rPr>
                <w:rFonts w:ascii="Arial" w:hAnsi="Arial" w:cs="Arial"/>
                <w:sz w:val="16"/>
                <w:szCs w:val="16"/>
              </w:rPr>
              <w:t>%</w:t>
            </w:r>
          </w:p>
        </w:tc>
        <w:tc>
          <w:tcPr>
            <w:tcW w:w="390" w:type="pct"/>
            <w:gridSpan w:val="2"/>
            <w:tcBorders>
              <w:top w:val="nil"/>
              <w:left w:val="nil"/>
              <w:bottom w:val="single" w:sz="8" w:space="0" w:color="auto"/>
              <w:right w:val="single" w:sz="4" w:space="0" w:color="auto"/>
            </w:tcBorders>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3</w:t>
            </w:r>
            <w:r>
              <w:rPr>
                <w:rFonts w:ascii="Arial" w:hAnsi="Arial" w:cs="Arial"/>
                <w:sz w:val="16"/>
                <w:szCs w:val="16"/>
              </w:rPr>
              <w:t>4</w:t>
            </w:r>
            <w:r w:rsidRPr="00F95FEE">
              <w:rPr>
                <w:rFonts w:ascii="Arial" w:hAnsi="Arial" w:cs="Arial"/>
                <w:sz w:val="16"/>
                <w:szCs w:val="16"/>
              </w:rPr>
              <w:t>%</w:t>
            </w:r>
          </w:p>
        </w:tc>
        <w:tc>
          <w:tcPr>
            <w:tcW w:w="373" w:type="pct"/>
            <w:gridSpan w:val="3"/>
            <w:tcBorders>
              <w:top w:val="nil"/>
              <w:left w:val="single" w:sz="4"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4</w:t>
            </w:r>
            <w:r w:rsidR="00721810">
              <w:rPr>
                <w:rFonts w:ascii="Arial" w:hAnsi="Arial" w:cs="Arial"/>
                <w:sz w:val="16"/>
                <w:szCs w:val="16"/>
              </w:rPr>
              <w:t>1</w:t>
            </w:r>
            <w:r w:rsidRPr="00F95FEE">
              <w:rPr>
                <w:rFonts w:ascii="Arial" w:hAnsi="Arial" w:cs="Arial"/>
                <w:sz w:val="16"/>
                <w:szCs w:val="16"/>
              </w:rPr>
              <w:t>%</w:t>
            </w:r>
          </w:p>
        </w:tc>
        <w:tc>
          <w:tcPr>
            <w:tcW w:w="379" w:type="pct"/>
            <w:gridSpan w:val="3"/>
            <w:tcBorders>
              <w:top w:val="nil"/>
              <w:left w:val="nil"/>
              <w:bottom w:val="single" w:sz="8" w:space="0" w:color="auto"/>
              <w:right w:val="single" w:sz="8" w:space="0" w:color="auto"/>
            </w:tcBorders>
            <w:shd w:val="clear" w:color="auto" w:fill="auto"/>
            <w:noWrap/>
            <w:vAlign w:val="bottom"/>
          </w:tcPr>
          <w:p w:rsidR="00B151F7" w:rsidRPr="00F95FEE" w:rsidRDefault="00B151F7" w:rsidP="00D9597D">
            <w:pPr>
              <w:jc w:val="center"/>
              <w:rPr>
                <w:rFonts w:ascii="Arial" w:hAnsi="Arial" w:cs="Arial"/>
                <w:sz w:val="16"/>
                <w:szCs w:val="16"/>
              </w:rPr>
            </w:pPr>
            <w:r w:rsidRPr="00F95FEE">
              <w:rPr>
                <w:rFonts w:ascii="Arial" w:hAnsi="Arial" w:cs="Arial"/>
                <w:sz w:val="16"/>
                <w:szCs w:val="16"/>
              </w:rPr>
              <w:t>3</w:t>
            </w:r>
            <w:r w:rsidR="00D9597D">
              <w:rPr>
                <w:rFonts w:ascii="Arial" w:hAnsi="Arial" w:cs="Arial"/>
                <w:sz w:val="16"/>
                <w:szCs w:val="16"/>
              </w:rPr>
              <w:t>4</w:t>
            </w:r>
            <w:r w:rsidRPr="00F95FEE">
              <w:rPr>
                <w:rFonts w:ascii="Arial" w:hAnsi="Arial" w:cs="Arial"/>
                <w:sz w:val="16"/>
                <w:szCs w:val="16"/>
              </w:rPr>
              <w:t>%</w:t>
            </w:r>
          </w:p>
        </w:tc>
        <w:tc>
          <w:tcPr>
            <w:tcW w:w="383"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D9597D">
            <w:pPr>
              <w:jc w:val="center"/>
              <w:rPr>
                <w:rFonts w:ascii="Arial" w:hAnsi="Arial" w:cs="Arial"/>
                <w:sz w:val="16"/>
                <w:szCs w:val="16"/>
              </w:rPr>
            </w:pPr>
            <w:r w:rsidRPr="00F95FEE">
              <w:rPr>
                <w:rFonts w:ascii="Arial" w:hAnsi="Arial" w:cs="Arial"/>
                <w:sz w:val="16"/>
                <w:szCs w:val="16"/>
              </w:rPr>
              <w:t>3</w:t>
            </w:r>
            <w:r w:rsidR="00D9597D">
              <w:rPr>
                <w:rFonts w:ascii="Arial" w:hAnsi="Arial" w:cs="Arial"/>
                <w:sz w:val="16"/>
                <w:szCs w:val="16"/>
              </w:rPr>
              <w:t>4</w:t>
            </w:r>
            <w:r w:rsidRPr="00F95FEE">
              <w:rPr>
                <w:rFonts w:ascii="Arial" w:hAnsi="Arial" w:cs="Arial"/>
                <w:sz w:val="16"/>
                <w:szCs w:val="16"/>
              </w:rPr>
              <w:t>%</w:t>
            </w:r>
          </w:p>
        </w:tc>
      </w:tr>
      <w:tr w:rsidR="00B151F7" w:rsidRPr="00F95FEE" w:rsidTr="001C65D2">
        <w:trPr>
          <w:trHeight w:val="130"/>
        </w:trPr>
        <w:tc>
          <w:tcPr>
            <w:tcW w:w="571" w:type="pct"/>
            <w:tcBorders>
              <w:top w:val="nil"/>
              <w:left w:val="single" w:sz="8" w:space="0" w:color="auto"/>
              <w:bottom w:val="single" w:sz="8" w:space="0" w:color="auto"/>
              <w:right w:val="nil"/>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Performance Measure</w:t>
            </w:r>
          </w:p>
        </w:tc>
        <w:tc>
          <w:tcPr>
            <w:tcW w:w="885" w:type="pct"/>
            <w:gridSpan w:val="4"/>
            <w:tcBorders>
              <w:top w:val="nil"/>
              <w:left w:val="single" w:sz="8" w:space="0" w:color="auto"/>
              <w:bottom w:val="single" w:sz="8" w:space="0" w:color="auto"/>
              <w:right w:val="nil"/>
            </w:tcBorders>
            <w:shd w:val="clear" w:color="auto" w:fill="auto"/>
            <w:vAlign w:val="bottom"/>
          </w:tcPr>
          <w:p w:rsidR="00B151F7" w:rsidRPr="00F95FEE" w:rsidRDefault="00B151F7" w:rsidP="00703D5A">
            <w:pPr>
              <w:rPr>
                <w:rFonts w:ascii="Arial" w:hAnsi="Arial" w:cs="Arial"/>
                <w:sz w:val="16"/>
                <w:szCs w:val="16"/>
              </w:rPr>
            </w:pPr>
            <w:r w:rsidRPr="00F95FEE">
              <w:rPr>
                <w:rFonts w:ascii="Arial" w:hAnsi="Arial" w:cs="Arial"/>
                <w:sz w:val="16"/>
                <w:szCs w:val="16"/>
              </w:rPr>
              <w:t>Percent of active investigations targeting primary drug money laundering organizations</w:t>
            </w:r>
          </w:p>
        </w:tc>
        <w:tc>
          <w:tcPr>
            <w:tcW w:w="361" w:type="pct"/>
            <w:gridSpan w:val="2"/>
            <w:tcBorders>
              <w:top w:val="nil"/>
              <w:left w:val="single" w:sz="8"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N/A</w:t>
            </w:r>
          </w:p>
        </w:tc>
        <w:tc>
          <w:tcPr>
            <w:tcW w:w="322"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13%</w:t>
            </w:r>
          </w:p>
        </w:tc>
        <w:tc>
          <w:tcPr>
            <w:tcW w:w="332"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10%</w:t>
            </w:r>
          </w:p>
        </w:tc>
        <w:tc>
          <w:tcPr>
            <w:tcW w:w="335"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9%</w:t>
            </w:r>
          </w:p>
        </w:tc>
        <w:tc>
          <w:tcPr>
            <w:tcW w:w="335" w:type="pct"/>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8%</w:t>
            </w:r>
          </w:p>
        </w:tc>
        <w:tc>
          <w:tcPr>
            <w:tcW w:w="334"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N/A</w:t>
            </w:r>
          </w:p>
        </w:tc>
        <w:tc>
          <w:tcPr>
            <w:tcW w:w="390" w:type="pct"/>
            <w:gridSpan w:val="2"/>
            <w:tcBorders>
              <w:top w:val="nil"/>
              <w:left w:val="nil"/>
              <w:bottom w:val="single" w:sz="8" w:space="0" w:color="auto"/>
              <w:right w:val="single" w:sz="4" w:space="0" w:color="auto"/>
            </w:tcBorders>
            <w:vAlign w:val="bottom"/>
          </w:tcPr>
          <w:p w:rsidR="00B151F7" w:rsidRPr="00F95FEE" w:rsidRDefault="00B151F7" w:rsidP="00703D5A">
            <w:pPr>
              <w:jc w:val="center"/>
              <w:rPr>
                <w:rFonts w:ascii="Arial" w:hAnsi="Arial" w:cs="Arial"/>
                <w:sz w:val="16"/>
                <w:szCs w:val="16"/>
              </w:rPr>
            </w:pPr>
            <w:r>
              <w:rPr>
                <w:rFonts w:ascii="Arial" w:hAnsi="Arial" w:cs="Arial"/>
                <w:sz w:val="16"/>
                <w:szCs w:val="16"/>
              </w:rPr>
              <w:t>N/A</w:t>
            </w:r>
          </w:p>
        </w:tc>
        <w:tc>
          <w:tcPr>
            <w:tcW w:w="373" w:type="pct"/>
            <w:gridSpan w:val="3"/>
            <w:tcBorders>
              <w:top w:val="nil"/>
              <w:left w:val="single" w:sz="4"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N/A</w:t>
            </w:r>
          </w:p>
        </w:tc>
        <w:tc>
          <w:tcPr>
            <w:tcW w:w="379" w:type="pct"/>
            <w:gridSpan w:val="3"/>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N/A</w:t>
            </w:r>
          </w:p>
        </w:tc>
        <w:tc>
          <w:tcPr>
            <w:tcW w:w="383"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N/A</w:t>
            </w:r>
          </w:p>
        </w:tc>
      </w:tr>
      <w:tr w:rsidR="00B151F7" w:rsidRPr="00F95FEE" w:rsidTr="001C65D2">
        <w:trPr>
          <w:trHeight w:val="130"/>
        </w:trPr>
        <w:tc>
          <w:tcPr>
            <w:tcW w:w="571" w:type="pct"/>
            <w:tcBorders>
              <w:top w:val="nil"/>
              <w:left w:val="single" w:sz="8" w:space="0" w:color="auto"/>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Performance Measure </w:t>
            </w:r>
          </w:p>
        </w:tc>
        <w:tc>
          <w:tcPr>
            <w:tcW w:w="885" w:type="pct"/>
            <w:gridSpan w:val="4"/>
            <w:tcBorders>
              <w:top w:val="nil"/>
              <w:left w:val="nil"/>
              <w:bottom w:val="single" w:sz="8" w:space="0" w:color="auto"/>
              <w:right w:val="single" w:sz="8" w:space="0" w:color="auto"/>
            </w:tcBorders>
            <w:shd w:val="clear" w:color="auto" w:fill="auto"/>
            <w:vAlign w:val="bottom"/>
          </w:tcPr>
          <w:p w:rsidR="00B151F7" w:rsidRPr="00F95FEE" w:rsidRDefault="00B151F7" w:rsidP="00703D5A">
            <w:pPr>
              <w:rPr>
                <w:rFonts w:ascii="Arial" w:hAnsi="Arial" w:cs="Arial"/>
                <w:sz w:val="16"/>
                <w:szCs w:val="16"/>
              </w:rPr>
            </w:pPr>
            <w:r w:rsidRPr="00F95FEE">
              <w:rPr>
                <w:rFonts w:ascii="Arial" w:hAnsi="Arial" w:cs="Arial"/>
                <w:sz w:val="16"/>
                <w:szCs w:val="16"/>
              </w:rPr>
              <w:t xml:space="preserve">Percent of active investigations utilizing complex investigative techniques </w:t>
            </w:r>
          </w:p>
        </w:tc>
        <w:tc>
          <w:tcPr>
            <w:tcW w:w="361"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N/A</w:t>
            </w:r>
          </w:p>
        </w:tc>
        <w:tc>
          <w:tcPr>
            <w:tcW w:w="322"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70%</w:t>
            </w:r>
          </w:p>
        </w:tc>
        <w:tc>
          <w:tcPr>
            <w:tcW w:w="332"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71%</w:t>
            </w:r>
          </w:p>
        </w:tc>
        <w:tc>
          <w:tcPr>
            <w:tcW w:w="335"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76%</w:t>
            </w:r>
          </w:p>
        </w:tc>
        <w:tc>
          <w:tcPr>
            <w:tcW w:w="335" w:type="pct"/>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76%</w:t>
            </w:r>
          </w:p>
        </w:tc>
        <w:tc>
          <w:tcPr>
            <w:tcW w:w="334"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76</w:t>
            </w:r>
            <w:r w:rsidRPr="00F95FEE">
              <w:rPr>
                <w:rFonts w:ascii="Arial" w:hAnsi="Arial" w:cs="Arial"/>
                <w:sz w:val="16"/>
                <w:szCs w:val="16"/>
              </w:rPr>
              <w:t>%</w:t>
            </w:r>
          </w:p>
        </w:tc>
        <w:tc>
          <w:tcPr>
            <w:tcW w:w="390" w:type="pct"/>
            <w:gridSpan w:val="2"/>
            <w:tcBorders>
              <w:top w:val="nil"/>
              <w:left w:val="nil"/>
              <w:bottom w:val="single" w:sz="8" w:space="0" w:color="auto"/>
              <w:right w:val="single" w:sz="4" w:space="0" w:color="auto"/>
            </w:tcBorders>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w:t>
            </w:r>
            <w:r>
              <w:rPr>
                <w:rFonts w:ascii="Arial" w:hAnsi="Arial" w:cs="Arial"/>
                <w:sz w:val="16"/>
                <w:szCs w:val="16"/>
              </w:rPr>
              <w:t>2</w:t>
            </w:r>
            <w:r w:rsidRPr="00F95FEE">
              <w:rPr>
                <w:rFonts w:ascii="Arial" w:hAnsi="Arial" w:cs="Arial"/>
                <w:sz w:val="16"/>
                <w:szCs w:val="16"/>
              </w:rPr>
              <w:t>%</w:t>
            </w:r>
          </w:p>
        </w:tc>
        <w:tc>
          <w:tcPr>
            <w:tcW w:w="373" w:type="pct"/>
            <w:gridSpan w:val="3"/>
            <w:tcBorders>
              <w:top w:val="nil"/>
              <w:left w:val="single" w:sz="4"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w:t>
            </w:r>
            <w:r w:rsidR="00721810">
              <w:rPr>
                <w:rFonts w:ascii="Arial" w:hAnsi="Arial" w:cs="Arial"/>
                <w:sz w:val="16"/>
                <w:szCs w:val="16"/>
              </w:rPr>
              <w:t>5</w:t>
            </w:r>
            <w:r w:rsidRPr="00F95FEE">
              <w:rPr>
                <w:rFonts w:ascii="Arial" w:hAnsi="Arial" w:cs="Arial"/>
                <w:sz w:val="16"/>
                <w:szCs w:val="16"/>
              </w:rPr>
              <w:t>%</w:t>
            </w:r>
          </w:p>
        </w:tc>
        <w:tc>
          <w:tcPr>
            <w:tcW w:w="379" w:type="pct"/>
            <w:gridSpan w:val="3"/>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w:t>
            </w:r>
            <w:r>
              <w:rPr>
                <w:rFonts w:ascii="Arial" w:hAnsi="Arial" w:cs="Arial"/>
                <w:sz w:val="16"/>
                <w:szCs w:val="16"/>
              </w:rPr>
              <w:t>2</w:t>
            </w:r>
            <w:r w:rsidRPr="00F95FEE">
              <w:rPr>
                <w:rFonts w:ascii="Arial" w:hAnsi="Arial" w:cs="Arial"/>
                <w:sz w:val="16"/>
                <w:szCs w:val="16"/>
              </w:rPr>
              <w:t>%</w:t>
            </w:r>
          </w:p>
        </w:tc>
        <w:tc>
          <w:tcPr>
            <w:tcW w:w="383"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w:t>
            </w:r>
            <w:r>
              <w:rPr>
                <w:rFonts w:ascii="Arial" w:hAnsi="Arial" w:cs="Arial"/>
                <w:sz w:val="16"/>
                <w:szCs w:val="16"/>
              </w:rPr>
              <w:t>2</w:t>
            </w:r>
            <w:r w:rsidRPr="00F95FEE">
              <w:rPr>
                <w:rFonts w:ascii="Arial" w:hAnsi="Arial" w:cs="Arial"/>
                <w:sz w:val="16"/>
                <w:szCs w:val="16"/>
              </w:rPr>
              <w:t>%</w:t>
            </w:r>
          </w:p>
        </w:tc>
      </w:tr>
      <w:tr w:rsidR="00B151F7" w:rsidRPr="00F95FEE" w:rsidTr="00750D43">
        <w:trPr>
          <w:trHeight w:val="250"/>
        </w:trPr>
        <w:tc>
          <w:tcPr>
            <w:tcW w:w="571" w:type="pct"/>
            <w:tcBorders>
              <w:top w:val="single" w:sz="8" w:space="0" w:color="auto"/>
              <w:left w:val="single" w:sz="8" w:space="0" w:color="auto"/>
              <w:bottom w:val="single" w:sz="8" w:space="0" w:color="auto"/>
              <w:right w:val="nil"/>
            </w:tcBorders>
          </w:tcPr>
          <w:p w:rsidR="00B151F7" w:rsidRPr="00F95FEE" w:rsidRDefault="00B151F7" w:rsidP="00703D5A">
            <w:pPr>
              <w:rPr>
                <w:rFonts w:ascii="Arial" w:hAnsi="Arial" w:cs="Arial"/>
                <w:b/>
                <w:bCs/>
                <w:sz w:val="20"/>
              </w:rPr>
            </w:pPr>
          </w:p>
        </w:tc>
        <w:tc>
          <w:tcPr>
            <w:tcW w:w="4429" w:type="pct"/>
            <w:gridSpan w:val="25"/>
            <w:tcBorders>
              <w:top w:val="single" w:sz="8" w:space="0" w:color="auto"/>
              <w:left w:val="single" w:sz="8" w:space="0" w:color="auto"/>
              <w:bottom w:val="single" w:sz="8" w:space="0" w:color="auto"/>
              <w:right w:val="nil"/>
            </w:tcBorders>
            <w:shd w:val="clear" w:color="auto" w:fill="auto"/>
            <w:vAlign w:val="bottom"/>
          </w:tcPr>
          <w:p w:rsidR="00B151F7" w:rsidRPr="00F95FEE" w:rsidRDefault="00B151F7" w:rsidP="00703D5A">
            <w:pPr>
              <w:rPr>
                <w:rFonts w:ascii="Arial" w:hAnsi="Arial" w:cs="Arial"/>
                <w:b/>
                <w:bCs/>
                <w:sz w:val="20"/>
              </w:rPr>
            </w:pPr>
            <w:r w:rsidRPr="00F95FEE">
              <w:rPr>
                <w:rFonts w:ascii="Arial" w:hAnsi="Arial" w:cs="Arial"/>
                <w:b/>
                <w:bCs/>
                <w:sz w:val="20"/>
              </w:rPr>
              <w:t xml:space="preserve">Decision Unit: Prosecutions </w:t>
            </w:r>
          </w:p>
        </w:tc>
      </w:tr>
      <w:tr w:rsidR="00B151F7" w:rsidRPr="00F95FEE" w:rsidTr="00750D43">
        <w:trPr>
          <w:trHeight w:val="92"/>
        </w:trPr>
        <w:tc>
          <w:tcPr>
            <w:tcW w:w="127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Performance Report and Performance Plan Targets</w:t>
            </w:r>
          </w:p>
        </w:tc>
        <w:tc>
          <w:tcPr>
            <w:tcW w:w="400" w:type="pct"/>
            <w:gridSpan w:val="2"/>
            <w:tcBorders>
              <w:top w:val="nil"/>
              <w:left w:val="nil"/>
              <w:bottom w:val="single" w:sz="8" w:space="0" w:color="auto"/>
              <w:right w:val="nil"/>
            </w:tcBorders>
            <w:shd w:val="clear" w:color="auto" w:fill="auto"/>
            <w:noWrap/>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200</w:t>
            </w:r>
            <w:r>
              <w:rPr>
                <w:rFonts w:ascii="Arial" w:hAnsi="Arial" w:cs="Arial"/>
                <w:b/>
                <w:bCs/>
                <w:sz w:val="16"/>
                <w:szCs w:val="16"/>
              </w:rPr>
              <w:t>5</w:t>
            </w:r>
          </w:p>
        </w:tc>
        <w:tc>
          <w:tcPr>
            <w:tcW w:w="344" w:type="pct"/>
            <w:gridSpan w:val="2"/>
            <w:tcBorders>
              <w:top w:val="nil"/>
              <w:left w:val="single" w:sz="8" w:space="0" w:color="auto"/>
              <w:bottom w:val="single" w:sz="8" w:space="0" w:color="auto"/>
              <w:right w:val="nil"/>
            </w:tcBorders>
            <w:shd w:val="clear" w:color="auto" w:fill="auto"/>
            <w:noWrap/>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200</w:t>
            </w:r>
            <w:r>
              <w:rPr>
                <w:rFonts w:ascii="Arial" w:hAnsi="Arial" w:cs="Arial"/>
                <w:b/>
                <w:bCs/>
                <w:sz w:val="16"/>
                <w:szCs w:val="16"/>
              </w:rPr>
              <w:t>6</w:t>
            </w:r>
          </w:p>
        </w:tc>
        <w:tc>
          <w:tcPr>
            <w:tcW w:w="366" w:type="pct"/>
            <w:gridSpan w:val="2"/>
            <w:tcBorders>
              <w:top w:val="nil"/>
              <w:left w:val="single" w:sz="8"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200</w:t>
            </w:r>
            <w:r>
              <w:rPr>
                <w:rFonts w:ascii="Arial" w:hAnsi="Arial" w:cs="Arial"/>
                <w:b/>
                <w:bCs/>
                <w:sz w:val="16"/>
                <w:szCs w:val="16"/>
              </w:rPr>
              <w:t>7</w:t>
            </w:r>
          </w:p>
        </w:tc>
        <w:tc>
          <w:tcPr>
            <w:tcW w:w="398" w:type="pct"/>
            <w:gridSpan w:val="2"/>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200</w:t>
            </w:r>
            <w:r>
              <w:rPr>
                <w:rFonts w:ascii="Arial" w:hAnsi="Arial" w:cs="Arial"/>
                <w:b/>
                <w:bCs/>
                <w:sz w:val="16"/>
                <w:szCs w:val="16"/>
              </w:rPr>
              <w:t>8</w:t>
            </w:r>
          </w:p>
        </w:tc>
        <w:tc>
          <w:tcPr>
            <w:tcW w:w="395" w:type="pct"/>
            <w:gridSpan w:val="3"/>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200</w:t>
            </w:r>
            <w:r>
              <w:rPr>
                <w:rFonts w:ascii="Arial" w:hAnsi="Arial" w:cs="Arial"/>
                <w:b/>
                <w:bCs/>
                <w:sz w:val="16"/>
                <w:szCs w:val="16"/>
              </w:rPr>
              <w:t>9</w:t>
            </w:r>
          </w:p>
        </w:tc>
        <w:tc>
          <w:tcPr>
            <w:tcW w:w="396" w:type="pct"/>
            <w:gridSpan w:val="2"/>
            <w:tcBorders>
              <w:top w:val="nil"/>
              <w:left w:val="nil"/>
              <w:bottom w:val="single" w:sz="8" w:space="0" w:color="auto"/>
              <w:right w:val="single" w:sz="4" w:space="0" w:color="auto"/>
            </w:tcBorders>
            <w:vAlign w:val="bottom"/>
          </w:tcPr>
          <w:p w:rsidR="00B151F7" w:rsidRPr="00F95FEE" w:rsidRDefault="00B151F7" w:rsidP="00703D5A">
            <w:pPr>
              <w:ind w:left="-197"/>
              <w:jc w:val="center"/>
              <w:rPr>
                <w:rFonts w:ascii="Arial" w:hAnsi="Arial" w:cs="Arial"/>
                <w:b/>
                <w:bCs/>
                <w:sz w:val="16"/>
                <w:szCs w:val="16"/>
              </w:rPr>
            </w:pPr>
            <w:r w:rsidRPr="00F95FEE">
              <w:rPr>
                <w:rFonts w:ascii="Arial" w:hAnsi="Arial" w:cs="Arial"/>
                <w:b/>
                <w:bCs/>
                <w:sz w:val="16"/>
                <w:szCs w:val="16"/>
              </w:rPr>
              <w:t>FY 20</w:t>
            </w:r>
            <w:r>
              <w:rPr>
                <w:rFonts w:ascii="Arial" w:hAnsi="Arial" w:cs="Arial"/>
                <w:b/>
                <w:bCs/>
                <w:sz w:val="16"/>
                <w:szCs w:val="16"/>
              </w:rPr>
              <w:t>10</w:t>
            </w:r>
          </w:p>
        </w:tc>
        <w:tc>
          <w:tcPr>
            <w:tcW w:w="771" w:type="pct"/>
            <w:gridSpan w:val="6"/>
            <w:tcBorders>
              <w:top w:val="nil"/>
              <w:left w:val="single" w:sz="4" w:space="0" w:color="auto"/>
              <w:bottom w:val="single" w:sz="8" w:space="0" w:color="auto"/>
              <w:right w:val="single" w:sz="8" w:space="0" w:color="000000"/>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201</w:t>
            </w:r>
            <w:r>
              <w:rPr>
                <w:rFonts w:ascii="Arial" w:hAnsi="Arial" w:cs="Arial"/>
                <w:b/>
                <w:bCs/>
                <w:sz w:val="16"/>
                <w:szCs w:val="16"/>
              </w:rPr>
              <w:t>1</w:t>
            </w:r>
          </w:p>
        </w:tc>
        <w:tc>
          <w:tcPr>
            <w:tcW w:w="295" w:type="pct"/>
            <w:gridSpan w:val="2"/>
            <w:tcBorders>
              <w:top w:val="single" w:sz="8" w:space="0" w:color="auto"/>
              <w:left w:val="single" w:sz="8" w:space="0" w:color="auto"/>
              <w:bottom w:val="single" w:sz="8" w:space="0" w:color="auto"/>
              <w:right w:val="single" w:sz="8" w:space="0" w:color="000000"/>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FY 201</w:t>
            </w:r>
            <w:r>
              <w:rPr>
                <w:rFonts w:ascii="Arial" w:hAnsi="Arial" w:cs="Arial"/>
                <w:b/>
                <w:bCs/>
                <w:sz w:val="16"/>
                <w:szCs w:val="16"/>
              </w:rPr>
              <w:t>2</w:t>
            </w:r>
          </w:p>
        </w:tc>
        <w:tc>
          <w:tcPr>
            <w:tcW w:w="360" w:type="pct"/>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Pr>
                <w:rFonts w:ascii="Arial" w:hAnsi="Arial" w:cs="Arial"/>
                <w:b/>
                <w:bCs/>
                <w:sz w:val="16"/>
                <w:szCs w:val="16"/>
              </w:rPr>
              <w:t>FY 2013</w:t>
            </w:r>
          </w:p>
        </w:tc>
      </w:tr>
      <w:tr w:rsidR="00B151F7" w:rsidRPr="00F95FEE" w:rsidTr="00750D43">
        <w:trPr>
          <w:trHeight w:val="193"/>
        </w:trPr>
        <w:tc>
          <w:tcPr>
            <w:tcW w:w="1275" w:type="pct"/>
            <w:gridSpan w:val="4"/>
            <w:vMerge/>
            <w:tcBorders>
              <w:top w:val="single" w:sz="8" w:space="0" w:color="auto"/>
              <w:left w:val="single" w:sz="8" w:space="0" w:color="auto"/>
              <w:bottom w:val="single" w:sz="8" w:space="0" w:color="000000"/>
              <w:right w:val="single" w:sz="8" w:space="0" w:color="000000"/>
            </w:tcBorders>
            <w:vAlign w:val="center"/>
          </w:tcPr>
          <w:p w:rsidR="00B151F7" w:rsidRPr="00F95FEE" w:rsidRDefault="00B151F7" w:rsidP="00703D5A">
            <w:pPr>
              <w:rPr>
                <w:rFonts w:ascii="Arial" w:hAnsi="Arial" w:cs="Arial"/>
                <w:b/>
                <w:bCs/>
                <w:sz w:val="16"/>
                <w:szCs w:val="16"/>
              </w:rPr>
            </w:pPr>
          </w:p>
        </w:tc>
        <w:tc>
          <w:tcPr>
            <w:tcW w:w="400" w:type="pct"/>
            <w:gridSpan w:val="2"/>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44" w:type="pct"/>
            <w:gridSpan w:val="2"/>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66" w:type="pct"/>
            <w:gridSpan w:val="2"/>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98" w:type="pct"/>
            <w:gridSpan w:val="2"/>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95" w:type="pct"/>
            <w:gridSpan w:val="3"/>
            <w:tcBorders>
              <w:top w:val="nil"/>
              <w:left w:val="nil"/>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396" w:type="pct"/>
            <w:gridSpan w:val="2"/>
            <w:tcBorders>
              <w:top w:val="nil"/>
              <w:left w:val="nil"/>
              <w:bottom w:val="single" w:sz="8" w:space="0" w:color="auto"/>
              <w:right w:val="single" w:sz="4" w:space="0" w:color="auto"/>
            </w:tcBorders>
            <w:vAlign w:val="bottom"/>
          </w:tcPr>
          <w:p w:rsidR="00B151F7" w:rsidRPr="00F95FEE" w:rsidRDefault="00B151F7" w:rsidP="00703D5A">
            <w:pPr>
              <w:ind w:left="-197"/>
              <w:jc w:val="center"/>
              <w:rPr>
                <w:rFonts w:ascii="Arial" w:hAnsi="Arial" w:cs="Arial"/>
                <w:b/>
                <w:bCs/>
                <w:sz w:val="16"/>
                <w:szCs w:val="16"/>
              </w:rPr>
            </w:pPr>
            <w:r w:rsidRPr="00F95FEE">
              <w:rPr>
                <w:rFonts w:ascii="Arial" w:hAnsi="Arial" w:cs="Arial"/>
                <w:b/>
                <w:bCs/>
                <w:sz w:val="16"/>
                <w:szCs w:val="16"/>
              </w:rPr>
              <w:t xml:space="preserve">Actual </w:t>
            </w:r>
          </w:p>
        </w:tc>
        <w:tc>
          <w:tcPr>
            <w:tcW w:w="404" w:type="pct"/>
            <w:gridSpan w:val="3"/>
            <w:tcBorders>
              <w:top w:val="nil"/>
              <w:left w:val="single" w:sz="4" w:space="0" w:color="auto"/>
              <w:bottom w:val="single" w:sz="8" w:space="0" w:color="auto"/>
              <w:right w:val="single" w:sz="8"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Target</w:t>
            </w:r>
          </w:p>
        </w:tc>
        <w:tc>
          <w:tcPr>
            <w:tcW w:w="367" w:type="pct"/>
            <w:gridSpan w:val="3"/>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Actual  </w:t>
            </w:r>
          </w:p>
        </w:tc>
        <w:tc>
          <w:tcPr>
            <w:tcW w:w="295" w:type="pct"/>
            <w:gridSpan w:val="2"/>
            <w:tcBorders>
              <w:top w:val="nil"/>
              <w:left w:val="nil"/>
              <w:bottom w:val="single" w:sz="8" w:space="0" w:color="auto"/>
              <w:right w:val="single" w:sz="8" w:space="0" w:color="auto"/>
            </w:tcBorders>
            <w:shd w:val="clear" w:color="auto" w:fill="auto"/>
          </w:tcPr>
          <w:p w:rsidR="00B151F7" w:rsidRDefault="00B151F7" w:rsidP="00703D5A">
            <w:pPr>
              <w:jc w:val="center"/>
            </w:pPr>
            <w:r w:rsidRPr="00C853DB">
              <w:rPr>
                <w:rFonts w:ascii="Arial" w:hAnsi="Arial" w:cs="Arial"/>
                <w:b/>
                <w:bCs/>
                <w:sz w:val="16"/>
                <w:szCs w:val="16"/>
              </w:rPr>
              <w:t>Target</w:t>
            </w:r>
          </w:p>
        </w:tc>
        <w:tc>
          <w:tcPr>
            <w:tcW w:w="360" w:type="pct"/>
            <w:tcBorders>
              <w:top w:val="nil"/>
              <w:left w:val="nil"/>
              <w:bottom w:val="single" w:sz="8" w:space="0" w:color="auto"/>
              <w:right w:val="single" w:sz="8" w:space="0" w:color="auto"/>
            </w:tcBorders>
            <w:shd w:val="clear" w:color="auto" w:fill="auto"/>
            <w:noWrap/>
          </w:tcPr>
          <w:p w:rsidR="00B151F7" w:rsidRDefault="00B151F7" w:rsidP="00703D5A">
            <w:pPr>
              <w:jc w:val="center"/>
            </w:pPr>
            <w:r w:rsidRPr="00C853DB">
              <w:rPr>
                <w:rFonts w:ascii="Arial" w:hAnsi="Arial" w:cs="Arial"/>
                <w:b/>
                <w:bCs/>
                <w:sz w:val="16"/>
                <w:szCs w:val="16"/>
              </w:rPr>
              <w:t>Target</w:t>
            </w:r>
          </w:p>
        </w:tc>
      </w:tr>
      <w:tr w:rsidR="00A773B4" w:rsidRPr="00F95FEE" w:rsidTr="00750D43">
        <w:trPr>
          <w:trHeight w:val="130"/>
        </w:trPr>
        <w:tc>
          <w:tcPr>
            <w:tcW w:w="571" w:type="pct"/>
            <w:tcBorders>
              <w:top w:val="nil"/>
              <w:left w:val="single" w:sz="8" w:space="0" w:color="auto"/>
              <w:bottom w:val="single" w:sz="8" w:space="0" w:color="auto"/>
              <w:right w:val="nil"/>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Performance Measure</w:t>
            </w:r>
          </w:p>
        </w:tc>
        <w:tc>
          <w:tcPr>
            <w:tcW w:w="704" w:type="pct"/>
            <w:gridSpan w:val="3"/>
            <w:tcBorders>
              <w:top w:val="nil"/>
              <w:left w:val="single" w:sz="8" w:space="0" w:color="auto"/>
              <w:bottom w:val="single" w:sz="8" w:space="0" w:color="auto"/>
              <w:right w:val="nil"/>
            </w:tcBorders>
            <w:shd w:val="clear" w:color="auto" w:fill="auto"/>
            <w:vAlign w:val="bottom"/>
          </w:tcPr>
          <w:p w:rsidR="00B151F7" w:rsidRPr="00F95FEE" w:rsidRDefault="00B151F7" w:rsidP="00703D5A">
            <w:pPr>
              <w:rPr>
                <w:rFonts w:ascii="Arial" w:hAnsi="Arial" w:cs="Arial"/>
                <w:sz w:val="16"/>
                <w:szCs w:val="16"/>
              </w:rPr>
            </w:pPr>
            <w:r w:rsidRPr="00F95FEE">
              <w:rPr>
                <w:rFonts w:ascii="Arial" w:hAnsi="Arial" w:cs="Arial"/>
                <w:sz w:val="16"/>
                <w:szCs w:val="16"/>
              </w:rPr>
              <w:t>Number of OCDETF Defendants Indicted/Convicted</w:t>
            </w:r>
          </w:p>
        </w:tc>
        <w:tc>
          <w:tcPr>
            <w:tcW w:w="400" w:type="pct"/>
            <w:gridSpan w:val="2"/>
            <w:tcBorders>
              <w:top w:val="nil"/>
              <w:left w:val="single" w:sz="8"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8,160/5,539</w:t>
            </w:r>
          </w:p>
        </w:tc>
        <w:tc>
          <w:tcPr>
            <w:tcW w:w="344"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8,623/</w:t>
            </w:r>
            <w:r w:rsidR="00750D43">
              <w:rPr>
                <w:rFonts w:ascii="Arial" w:hAnsi="Arial" w:cs="Arial"/>
                <w:sz w:val="16"/>
                <w:szCs w:val="16"/>
              </w:rPr>
              <w:t xml:space="preserve"> </w:t>
            </w:r>
            <w:r w:rsidRPr="00F95FEE">
              <w:rPr>
                <w:rFonts w:ascii="Arial" w:hAnsi="Arial" w:cs="Arial"/>
                <w:sz w:val="16"/>
                <w:szCs w:val="16"/>
              </w:rPr>
              <w:t>6,566</w:t>
            </w:r>
          </w:p>
        </w:tc>
        <w:tc>
          <w:tcPr>
            <w:tcW w:w="366"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9,130/</w:t>
            </w:r>
            <w:r w:rsidR="00750D43">
              <w:rPr>
                <w:rFonts w:ascii="Arial" w:hAnsi="Arial" w:cs="Arial"/>
                <w:sz w:val="16"/>
                <w:szCs w:val="16"/>
              </w:rPr>
              <w:t xml:space="preserve"> </w:t>
            </w:r>
            <w:r w:rsidRPr="00F95FEE">
              <w:rPr>
                <w:rFonts w:ascii="Arial" w:hAnsi="Arial" w:cs="Arial"/>
                <w:sz w:val="16"/>
                <w:szCs w:val="16"/>
              </w:rPr>
              <w:t>7,424</w:t>
            </w:r>
          </w:p>
        </w:tc>
        <w:tc>
          <w:tcPr>
            <w:tcW w:w="398"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9,556/7,716</w:t>
            </w:r>
          </w:p>
        </w:tc>
        <w:tc>
          <w:tcPr>
            <w:tcW w:w="395" w:type="pct"/>
            <w:gridSpan w:val="3"/>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10,501/</w:t>
            </w:r>
            <w:r w:rsidR="00750D43">
              <w:rPr>
                <w:rFonts w:ascii="Arial" w:hAnsi="Arial" w:cs="Arial"/>
                <w:sz w:val="16"/>
                <w:szCs w:val="16"/>
              </w:rPr>
              <w:t xml:space="preserve"> </w:t>
            </w:r>
            <w:r>
              <w:rPr>
                <w:rFonts w:ascii="Arial" w:hAnsi="Arial" w:cs="Arial"/>
                <w:sz w:val="16"/>
                <w:szCs w:val="16"/>
              </w:rPr>
              <w:t>8,880</w:t>
            </w:r>
          </w:p>
        </w:tc>
        <w:tc>
          <w:tcPr>
            <w:tcW w:w="396" w:type="pct"/>
            <w:gridSpan w:val="2"/>
            <w:tcBorders>
              <w:top w:val="nil"/>
              <w:left w:val="nil"/>
              <w:bottom w:val="single" w:sz="8" w:space="0" w:color="auto"/>
              <w:right w:val="single" w:sz="4" w:space="0" w:color="auto"/>
            </w:tcBorders>
            <w:vAlign w:val="bottom"/>
          </w:tcPr>
          <w:p w:rsidR="00B151F7" w:rsidRPr="00F95FEE" w:rsidRDefault="00B151F7" w:rsidP="00703D5A">
            <w:pPr>
              <w:jc w:val="center"/>
              <w:rPr>
                <w:rFonts w:ascii="Arial" w:hAnsi="Arial" w:cs="Arial"/>
                <w:sz w:val="16"/>
                <w:szCs w:val="16"/>
              </w:rPr>
            </w:pPr>
            <w:r>
              <w:rPr>
                <w:rFonts w:ascii="Arial" w:hAnsi="Arial" w:cs="Arial"/>
                <w:sz w:val="16"/>
                <w:szCs w:val="16"/>
              </w:rPr>
              <w:t>10,888/</w:t>
            </w:r>
            <w:r w:rsidR="00750D43">
              <w:rPr>
                <w:rFonts w:ascii="Arial" w:hAnsi="Arial" w:cs="Arial"/>
                <w:sz w:val="16"/>
                <w:szCs w:val="16"/>
              </w:rPr>
              <w:t xml:space="preserve"> </w:t>
            </w:r>
            <w:r>
              <w:rPr>
                <w:rFonts w:ascii="Arial" w:hAnsi="Arial" w:cs="Arial"/>
                <w:sz w:val="16"/>
                <w:szCs w:val="16"/>
              </w:rPr>
              <w:t>8972</w:t>
            </w:r>
          </w:p>
        </w:tc>
        <w:tc>
          <w:tcPr>
            <w:tcW w:w="404" w:type="pct"/>
            <w:gridSpan w:val="3"/>
            <w:tcBorders>
              <w:top w:val="nil"/>
              <w:left w:val="single" w:sz="4"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9,296</w:t>
            </w:r>
            <w:r w:rsidRPr="00F95FEE">
              <w:rPr>
                <w:rFonts w:ascii="Arial" w:hAnsi="Arial" w:cs="Arial"/>
                <w:sz w:val="16"/>
                <w:szCs w:val="16"/>
              </w:rPr>
              <w:t>/ 7,</w:t>
            </w:r>
            <w:r>
              <w:rPr>
                <w:rFonts w:ascii="Arial" w:hAnsi="Arial" w:cs="Arial"/>
                <w:sz w:val="16"/>
                <w:szCs w:val="16"/>
              </w:rPr>
              <w:t>505</w:t>
            </w:r>
          </w:p>
        </w:tc>
        <w:tc>
          <w:tcPr>
            <w:tcW w:w="367" w:type="pct"/>
            <w:gridSpan w:val="3"/>
            <w:tcBorders>
              <w:top w:val="nil"/>
              <w:left w:val="nil"/>
              <w:bottom w:val="single" w:sz="8" w:space="0" w:color="auto"/>
              <w:right w:val="single" w:sz="8" w:space="0" w:color="auto"/>
            </w:tcBorders>
            <w:shd w:val="clear" w:color="auto" w:fill="auto"/>
            <w:noWrap/>
            <w:vAlign w:val="bottom"/>
          </w:tcPr>
          <w:p w:rsidR="00B151F7" w:rsidRPr="00F95FEE" w:rsidRDefault="00721810" w:rsidP="00703D5A">
            <w:pPr>
              <w:jc w:val="center"/>
              <w:rPr>
                <w:rFonts w:ascii="Arial" w:hAnsi="Arial" w:cs="Arial"/>
                <w:sz w:val="16"/>
                <w:szCs w:val="16"/>
              </w:rPr>
            </w:pPr>
            <w:r>
              <w:rPr>
                <w:rFonts w:ascii="Arial" w:hAnsi="Arial" w:cs="Arial"/>
                <w:sz w:val="16"/>
                <w:szCs w:val="16"/>
              </w:rPr>
              <w:t>13,038</w:t>
            </w:r>
            <w:r w:rsidR="00B151F7" w:rsidRPr="00F95FEE">
              <w:rPr>
                <w:rFonts w:ascii="Arial" w:hAnsi="Arial" w:cs="Arial"/>
                <w:sz w:val="16"/>
                <w:szCs w:val="16"/>
              </w:rPr>
              <w:t xml:space="preserve">/ </w:t>
            </w:r>
            <w:r>
              <w:rPr>
                <w:rFonts w:ascii="Arial" w:hAnsi="Arial" w:cs="Arial"/>
                <w:sz w:val="16"/>
                <w:szCs w:val="16"/>
              </w:rPr>
              <w:t>9,443</w:t>
            </w:r>
          </w:p>
        </w:tc>
        <w:tc>
          <w:tcPr>
            <w:tcW w:w="295"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9,296</w:t>
            </w:r>
            <w:r w:rsidRPr="00F95FEE">
              <w:rPr>
                <w:rFonts w:ascii="Arial" w:hAnsi="Arial" w:cs="Arial"/>
                <w:sz w:val="16"/>
                <w:szCs w:val="16"/>
              </w:rPr>
              <w:t>/ 7,</w:t>
            </w:r>
            <w:r>
              <w:rPr>
                <w:rFonts w:ascii="Arial" w:hAnsi="Arial" w:cs="Arial"/>
                <w:sz w:val="16"/>
                <w:szCs w:val="16"/>
              </w:rPr>
              <w:t>505</w:t>
            </w:r>
          </w:p>
        </w:tc>
        <w:tc>
          <w:tcPr>
            <w:tcW w:w="360" w:type="pct"/>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9,296</w:t>
            </w:r>
            <w:r w:rsidRPr="00F95FEE">
              <w:rPr>
                <w:rFonts w:ascii="Arial" w:hAnsi="Arial" w:cs="Arial"/>
                <w:sz w:val="16"/>
                <w:szCs w:val="16"/>
              </w:rPr>
              <w:t>/ 7,</w:t>
            </w:r>
            <w:r>
              <w:rPr>
                <w:rFonts w:ascii="Arial" w:hAnsi="Arial" w:cs="Arial"/>
                <w:sz w:val="16"/>
                <w:szCs w:val="16"/>
              </w:rPr>
              <w:t>505</w:t>
            </w:r>
          </w:p>
        </w:tc>
      </w:tr>
      <w:tr w:rsidR="00A773B4" w:rsidRPr="00F95FEE" w:rsidTr="00750D43">
        <w:trPr>
          <w:trHeight w:val="75"/>
        </w:trPr>
        <w:tc>
          <w:tcPr>
            <w:tcW w:w="571" w:type="pct"/>
            <w:tcBorders>
              <w:top w:val="nil"/>
              <w:left w:val="single" w:sz="8" w:space="0" w:color="auto"/>
              <w:bottom w:val="single" w:sz="8" w:space="0" w:color="auto"/>
              <w:right w:val="nil"/>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w:t>
            </w:r>
          </w:p>
        </w:tc>
        <w:tc>
          <w:tcPr>
            <w:tcW w:w="704" w:type="pct"/>
            <w:gridSpan w:val="3"/>
            <w:tcBorders>
              <w:top w:val="nil"/>
              <w:left w:val="single" w:sz="8" w:space="0" w:color="auto"/>
              <w:bottom w:val="single" w:sz="8" w:space="0" w:color="auto"/>
              <w:right w:val="nil"/>
            </w:tcBorders>
            <w:shd w:val="clear" w:color="auto" w:fill="auto"/>
            <w:vAlign w:val="bottom"/>
          </w:tcPr>
          <w:p w:rsidR="00B151F7" w:rsidRPr="00F95FEE" w:rsidRDefault="00B151F7" w:rsidP="00703D5A">
            <w:pPr>
              <w:rPr>
                <w:rFonts w:ascii="Arial" w:hAnsi="Arial" w:cs="Arial"/>
                <w:sz w:val="16"/>
                <w:szCs w:val="16"/>
              </w:rPr>
            </w:pPr>
            <w:r w:rsidRPr="00F95FEE">
              <w:rPr>
                <w:rFonts w:ascii="Arial" w:hAnsi="Arial" w:cs="Arial"/>
                <w:sz w:val="16"/>
                <w:szCs w:val="16"/>
              </w:rPr>
              <w:t xml:space="preserve">1. Number  and percent of convicted defendants linked to CPOT </w:t>
            </w:r>
          </w:p>
        </w:tc>
        <w:tc>
          <w:tcPr>
            <w:tcW w:w="400" w:type="pct"/>
            <w:gridSpan w:val="2"/>
            <w:tcBorders>
              <w:top w:val="nil"/>
              <w:left w:val="single" w:sz="8"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345/6%</w:t>
            </w:r>
          </w:p>
        </w:tc>
        <w:tc>
          <w:tcPr>
            <w:tcW w:w="344"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351/5%</w:t>
            </w:r>
          </w:p>
        </w:tc>
        <w:tc>
          <w:tcPr>
            <w:tcW w:w="366"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388/5%</w:t>
            </w:r>
          </w:p>
        </w:tc>
        <w:tc>
          <w:tcPr>
            <w:tcW w:w="398"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332/4%</w:t>
            </w:r>
          </w:p>
        </w:tc>
        <w:tc>
          <w:tcPr>
            <w:tcW w:w="395" w:type="pct"/>
            <w:gridSpan w:val="3"/>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335/4</w:t>
            </w:r>
            <w:r w:rsidRPr="00F95FEE">
              <w:rPr>
                <w:rFonts w:ascii="Arial" w:hAnsi="Arial" w:cs="Arial"/>
                <w:sz w:val="16"/>
                <w:szCs w:val="16"/>
              </w:rPr>
              <w:t>%</w:t>
            </w:r>
          </w:p>
        </w:tc>
        <w:tc>
          <w:tcPr>
            <w:tcW w:w="396" w:type="pct"/>
            <w:gridSpan w:val="2"/>
            <w:tcBorders>
              <w:top w:val="nil"/>
              <w:left w:val="nil"/>
              <w:bottom w:val="single" w:sz="8" w:space="0" w:color="auto"/>
              <w:right w:val="single" w:sz="4" w:space="0" w:color="auto"/>
            </w:tcBorders>
            <w:vAlign w:val="bottom"/>
          </w:tcPr>
          <w:p w:rsidR="00B151F7" w:rsidRPr="00F95FEE" w:rsidRDefault="00B151F7" w:rsidP="00703D5A">
            <w:pPr>
              <w:jc w:val="center"/>
              <w:rPr>
                <w:rFonts w:ascii="Arial" w:hAnsi="Arial" w:cs="Arial"/>
                <w:sz w:val="16"/>
                <w:szCs w:val="16"/>
              </w:rPr>
            </w:pPr>
            <w:r>
              <w:rPr>
                <w:rFonts w:ascii="Arial" w:hAnsi="Arial" w:cs="Arial"/>
                <w:sz w:val="16"/>
                <w:szCs w:val="16"/>
              </w:rPr>
              <w:t>425</w:t>
            </w:r>
            <w:r w:rsidRPr="00F95FEE">
              <w:rPr>
                <w:rFonts w:ascii="Arial" w:hAnsi="Arial" w:cs="Arial"/>
                <w:sz w:val="16"/>
                <w:szCs w:val="16"/>
              </w:rPr>
              <w:t>/</w:t>
            </w:r>
            <w:r>
              <w:rPr>
                <w:rFonts w:ascii="Arial" w:hAnsi="Arial" w:cs="Arial"/>
                <w:sz w:val="16"/>
                <w:szCs w:val="16"/>
              </w:rPr>
              <w:t>5</w:t>
            </w:r>
            <w:r w:rsidRPr="00F95FEE">
              <w:rPr>
                <w:rFonts w:ascii="Arial" w:hAnsi="Arial" w:cs="Arial"/>
                <w:sz w:val="16"/>
                <w:szCs w:val="16"/>
              </w:rPr>
              <w:t>%</w:t>
            </w:r>
          </w:p>
        </w:tc>
        <w:tc>
          <w:tcPr>
            <w:tcW w:w="404" w:type="pct"/>
            <w:gridSpan w:val="3"/>
            <w:tcBorders>
              <w:top w:val="nil"/>
              <w:left w:val="single" w:sz="4" w:space="0" w:color="auto"/>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3</w:t>
            </w:r>
            <w:r>
              <w:rPr>
                <w:rFonts w:ascii="Arial" w:hAnsi="Arial" w:cs="Arial"/>
                <w:sz w:val="16"/>
                <w:szCs w:val="16"/>
              </w:rPr>
              <w:t>03</w:t>
            </w:r>
            <w:r w:rsidRPr="00F95FEE">
              <w:rPr>
                <w:rFonts w:ascii="Arial" w:hAnsi="Arial" w:cs="Arial"/>
                <w:sz w:val="16"/>
                <w:szCs w:val="16"/>
              </w:rPr>
              <w:t>/4%</w:t>
            </w:r>
          </w:p>
        </w:tc>
        <w:tc>
          <w:tcPr>
            <w:tcW w:w="367" w:type="pct"/>
            <w:gridSpan w:val="3"/>
            <w:tcBorders>
              <w:top w:val="nil"/>
              <w:left w:val="nil"/>
              <w:bottom w:val="single" w:sz="8" w:space="0" w:color="auto"/>
              <w:right w:val="single" w:sz="8" w:space="0" w:color="auto"/>
            </w:tcBorders>
            <w:shd w:val="clear" w:color="auto" w:fill="auto"/>
            <w:noWrap/>
            <w:vAlign w:val="bottom"/>
          </w:tcPr>
          <w:p w:rsidR="00B151F7" w:rsidRPr="00F95FEE" w:rsidRDefault="00721810" w:rsidP="00721810">
            <w:pPr>
              <w:rPr>
                <w:rFonts w:ascii="Arial" w:hAnsi="Arial" w:cs="Arial"/>
                <w:sz w:val="16"/>
                <w:szCs w:val="16"/>
              </w:rPr>
            </w:pPr>
            <w:r>
              <w:rPr>
                <w:rFonts w:ascii="Arial" w:hAnsi="Arial" w:cs="Arial"/>
                <w:sz w:val="16"/>
                <w:szCs w:val="16"/>
              </w:rPr>
              <w:t>48</w:t>
            </w:r>
            <w:r w:rsidR="00B151F7">
              <w:rPr>
                <w:rFonts w:ascii="Arial" w:hAnsi="Arial" w:cs="Arial"/>
                <w:sz w:val="16"/>
                <w:szCs w:val="16"/>
              </w:rPr>
              <w:t>3</w:t>
            </w:r>
            <w:r>
              <w:rPr>
                <w:rFonts w:ascii="Arial" w:hAnsi="Arial" w:cs="Arial"/>
                <w:sz w:val="16"/>
                <w:szCs w:val="16"/>
              </w:rPr>
              <w:t>/5</w:t>
            </w:r>
            <w:r w:rsidR="00B151F7" w:rsidRPr="00F95FEE">
              <w:rPr>
                <w:rFonts w:ascii="Arial" w:hAnsi="Arial" w:cs="Arial"/>
                <w:sz w:val="16"/>
                <w:szCs w:val="16"/>
              </w:rPr>
              <w:t>%</w:t>
            </w:r>
          </w:p>
        </w:tc>
        <w:tc>
          <w:tcPr>
            <w:tcW w:w="295" w:type="pct"/>
            <w:gridSpan w:val="2"/>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3</w:t>
            </w:r>
            <w:r>
              <w:rPr>
                <w:rFonts w:ascii="Arial" w:hAnsi="Arial" w:cs="Arial"/>
                <w:sz w:val="16"/>
                <w:szCs w:val="16"/>
              </w:rPr>
              <w:t>03</w:t>
            </w:r>
            <w:r w:rsidRPr="00F95FEE">
              <w:rPr>
                <w:rFonts w:ascii="Arial" w:hAnsi="Arial" w:cs="Arial"/>
                <w:sz w:val="16"/>
                <w:szCs w:val="16"/>
              </w:rPr>
              <w:t>/4%</w:t>
            </w:r>
          </w:p>
        </w:tc>
        <w:tc>
          <w:tcPr>
            <w:tcW w:w="360" w:type="pct"/>
            <w:tcBorders>
              <w:top w:val="nil"/>
              <w:left w:val="nil"/>
              <w:bottom w:val="single" w:sz="8"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3</w:t>
            </w:r>
            <w:r>
              <w:rPr>
                <w:rFonts w:ascii="Arial" w:hAnsi="Arial" w:cs="Arial"/>
                <w:sz w:val="16"/>
                <w:szCs w:val="16"/>
              </w:rPr>
              <w:t>03</w:t>
            </w:r>
            <w:r w:rsidRPr="00F95FEE">
              <w:rPr>
                <w:rFonts w:ascii="Arial" w:hAnsi="Arial" w:cs="Arial"/>
                <w:sz w:val="16"/>
                <w:szCs w:val="16"/>
              </w:rPr>
              <w:t>/4%</w:t>
            </w:r>
          </w:p>
        </w:tc>
      </w:tr>
      <w:tr w:rsidR="00A773B4" w:rsidRPr="00F95FEE" w:rsidTr="00750D43">
        <w:trPr>
          <w:trHeight w:val="75"/>
        </w:trPr>
        <w:tc>
          <w:tcPr>
            <w:tcW w:w="571" w:type="pct"/>
            <w:tcBorders>
              <w:top w:val="nil"/>
              <w:left w:val="single" w:sz="8" w:space="0" w:color="auto"/>
              <w:bottom w:val="single" w:sz="4" w:space="0" w:color="auto"/>
              <w:right w:val="nil"/>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w:t>
            </w:r>
          </w:p>
        </w:tc>
        <w:tc>
          <w:tcPr>
            <w:tcW w:w="704" w:type="pct"/>
            <w:gridSpan w:val="3"/>
            <w:tcBorders>
              <w:top w:val="nil"/>
              <w:left w:val="single" w:sz="8" w:space="0" w:color="auto"/>
              <w:bottom w:val="single" w:sz="4" w:space="0" w:color="auto"/>
              <w:right w:val="nil"/>
            </w:tcBorders>
            <w:shd w:val="clear" w:color="auto" w:fill="auto"/>
            <w:vAlign w:val="bottom"/>
          </w:tcPr>
          <w:p w:rsidR="00B151F7" w:rsidRPr="00F95FEE" w:rsidRDefault="00B151F7" w:rsidP="00703D5A">
            <w:pPr>
              <w:rPr>
                <w:rFonts w:ascii="Arial" w:hAnsi="Arial" w:cs="Arial"/>
                <w:sz w:val="16"/>
                <w:szCs w:val="16"/>
              </w:rPr>
            </w:pPr>
            <w:r w:rsidRPr="00F95FEE">
              <w:rPr>
                <w:rFonts w:ascii="Arial" w:hAnsi="Arial" w:cs="Arial"/>
                <w:sz w:val="16"/>
                <w:szCs w:val="16"/>
              </w:rPr>
              <w:t xml:space="preserve">2. Number and percent of convicted defendants linked to RPOT </w:t>
            </w:r>
            <w:r w:rsidR="00750D43">
              <w:rPr>
                <w:rFonts w:ascii="Arial" w:hAnsi="Arial" w:cs="Arial"/>
                <w:sz w:val="16"/>
                <w:szCs w:val="16"/>
              </w:rPr>
              <w:t>2/</w:t>
            </w:r>
          </w:p>
        </w:tc>
        <w:tc>
          <w:tcPr>
            <w:tcW w:w="400" w:type="pct"/>
            <w:gridSpan w:val="2"/>
            <w:tcBorders>
              <w:top w:val="nil"/>
              <w:left w:val="single" w:sz="8" w:space="0" w:color="auto"/>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758/14%</w:t>
            </w:r>
          </w:p>
        </w:tc>
        <w:tc>
          <w:tcPr>
            <w:tcW w:w="344" w:type="pct"/>
            <w:gridSpan w:val="2"/>
            <w:tcBorders>
              <w:top w:val="nil"/>
              <w:left w:val="nil"/>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1,009/</w:t>
            </w:r>
            <w:r w:rsidR="00750D43">
              <w:rPr>
                <w:rFonts w:ascii="Arial" w:hAnsi="Arial" w:cs="Arial"/>
                <w:sz w:val="16"/>
                <w:szCs w:val="16"/>
              </w:rPr>
              <w:t xml:space="preserve"> </w:t>
            </w:r>
            <w:r w:rsidRPr="00F95FEE">
              <w:rPr>
                <w:rFonts w:ascii="Arial" w:hAnsi="Arial" w:cs="Arial"/>
                <w:sz w:val="16"/>
                <w:szCs w:val="16"/>
              </w:rPr>
              <w:t>15%</w:t>
            </w:r>
          </w:p>
        </w:tc>
        <w:tc>
          <w:tcPr>
            <w:tcW w:w="366" w:type="pct"/>
            <w:gridSpan w:val="2"/>
            <w:tcBorders>
              <w:top w:val="nil"/>
              <w:left w:val="nil"/>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953/13%</w:t>
            </w:r>
          </w:p>
        </w:tc>
        <w:tc>
          <w:tcPr>
            <w:tcW w:w="398" w:type="pct"/>
            <w:gridSpan w:val="2"/>
            <w:tcBorders>
              <w:top w:val="nil"/>
              <w:left w:val="nil"/>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1,065/14%</w:t>
            </w:r>
          </w:p>
        </w:tc>
        <w:tc>
          <w:tcPr>
            <w:tcW w:w="395" w:type="pct"/>
            <w:gridSpan w:val="3"/>
            <w:tcBorders>
              <w:top w:val="nil"/>
              <w:left w:val="nil"/>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693/8</w:t>
            </w:r>
            <w:r w:rsidRPr="00F95FEE">
              <w:rPr>
                <w:rFonts w:ascii="Arial" w:hAnsi="Arial" w:cs="Arial"/>
                <w:sz w:val="16"/>
                <w:szCs w:val="16"/>
              </w:rPr>
              <w:t>%</w:t>
            </w:r>
          </w:p>
        </w:tc>
        <w:tc>
          <w:tcPr>
            <w:tcW w:w="396" w:type="pct"/>
            <w:gridSpan w:val="2"/>
            <w:tcBorders>
              <w:top w:val="nil"/>
              <w:left w:val="nil"/>
              <w:bottom w:val="single" w:sz="4" w:space="0" w:color="auto"/>
              <w:right w:val="single" w:sz="4" w:space="0" w:color="auto"/>
            </w:tcBorders>
            <w:vAlign w:val="bottom"/>
          </w:tcPr>
          <w:p w:rsidR="00B151F7" w:rsidRPr="00F95FEE" w:rsidRDefault="00B151F7" w:rsidP="00703D5A">
            <w:pPr>
              <w:jc w:val="center"/>
              <w:rPr>
                <w:rFonts w:ascii="Arial" w:hAnsi="Arial" w:cs="Arial"/>
                <w:sz w:val="16"/>
                <w:szCs w:val="16"/>
              </w:rPr>
            </w:pPr>
            <w:r>
              <w:rPr>
                <w:rFonts w:ascii="Arial" w:hAnsi="Arial" w:cs="Arial"/>
                <w:sz w:val="16"/>
                <w:szCs w:val="16"/>
              </w:rPr>
              <w:t>575/6</w:t>
            </w:r>
            <w:r w:rsidRPr="00F95FEE">
              <w:rPr>
                <w:rFonts w:ascii="Arial" w:hAnsi="Arial" w:cs="Arial"/>
                <w:sz w:val="16"/>
                <w:szCs w:val="16"/>
              </w:rPr>
              <w:t>%</w:t>
            </w:r>
          </w:p>
        </w:tc>
        <w:tc>
          <w:tcPr>
            <w:tcW w:w="404" w:type="pct"/>
            <w:gridSpan w:val="3"/>
            <w:tcBorders>
              <w:top w:val="nil"/>
              <w:left w:val="single" w:sz="4" w:space="0" w:color="auto"/>
              <w:bottom w:val="single" w:sz="4" w:space="0" w:color="auto"/>
              <w:right w:val="single" w:sz="8" w:space="0" w:color="auto"/>
            </w:tcBorders>
            <w:shd w:val="clear" w:color="auto" w:fill="auto"/>
            <w:noWrap/>
            <w:vAlign w:val="bottom"/>
          </w:tcPr>
          <w:p w:rsidR="00B151F7" w:rsidRPr="00F95FEE" w:rsidRDefault="00B151F7" w:rsidP="00703D5A">
            <w:pPr>
              <w:rPr>
                <w:rFonts w:ascii="Arial" w:hAnsi="Arial" w:cs="Arial"/>
                <w:sz w:val="16"/>
                <w:szCs w:val="16"/>
              </w:rPr>
            </w:pPr>
            <w:r>
              <w:rPr>
                <w:rFonts w:ascii="Arial" w:hAnsi="Arial" w:cs="Arial"/>
                <w:sz w:val="16"/>
                <w:szCs w:val="16"/>
              </w:rPr>
              <w:t xml:space="preserve">     675</w:t>
            </w:r>
            <w:r w:rsidRPr="00F95FEE">
              <w:rPr>
                <w:rFonts w:ascii="Arial" w:hAnsi="Arial" w:cs="Arial"/>
                <w:sz w:val="16"/>
                <w:szCs w:val="16"/>
              </w:rPr>
              <w:t>/</w:t>
            </w:r>
            <w:r>
              <w:rPr>
                <w:rFonts w:ascii="Arial" w:hAnsi="Arial" w:cs="Arial"/>
                <w:sz w:val="16"/>
                <w:szCs w:val="16"/>
              </w:rPr>
              <w:t>9</w:t>
            </w:r>
            <w:r w:rsidRPr="00F95FEE">
              <w:rPr>
                <w:rFonts w:ascii="Arial" w:hAnsi="Arial" w:cs="Arial"/>
                <w:sz w:val="16"/>
                <w:szCs w:val="16"/>
              </w:rPr>
              <w:t>%</w:t>
            </w:r>
          </w:p>
        </w:tc>
        <w:tc>
          <w:tcPr>
            <w:tcW w:w="367" w:type="pct"/>
            <w:gridSpan w:val="3"/>
            <w:tcBorders>
              <w:top w:val="nil"/>
              <w:left w:val="nil"/>
              <w:bottom w:val="single" w:sz="4" w:space="0" w:color="auto"/>
              <w:right w:val="single" w:sz="8" w:space="0" w:color="auto"/>
            </w:tcBorders>
            <w:shd w:val="clear" w:color="auto" w:fill="auto"/>
            <w:noWrap/>
            <w:vAlign w:val="bottom"/>
          </w:tcPr>
          <w:p w:rsidR="00B151F7" w:rsidRPr="00F95FEE" w:rsidRDefault="00721810" w:rsidP="00721810">
            <w:pPr>
              <w:rPr>
                <w:rFonts w:ascii="Arial" w:hAnsi="Arial" w:cs="Arial"/>
                <w:sz w:val="16"/>
                <w:szCs w:val="16"/>
              </w:rPr>
            </w:pPr>
            <w:r>
              <w:rPr>
                <w:rFonts w:ascii="Arial" w:hAnsi="Arial" w:cs="Arial"/>
                <w:sz w:val="16"/>
                <w:szCs w:val="16"/>
              </w:rPr>
              <w:t xml:space="preserve">     570</w:t>
            </w:r>
            <w:r w:rsidR="00B151F7" w:rsidRPr="00F95FEE">
              <w:rPr>
                <w:rFonts w:ascii="Arial" w:hAnsi="Arial" w:cs="Arial"/>
                <w:sz w:val="16"/>
                <w:szCs w:val="16"/>
              </w:rPr>
              <w:t>/</w:t>
            </w:r>
            <w:r>
              <w:rPr>
                <w:rFonts w:ascii="Arial" w:hAnsi="Arial" w:cs="Arial"/>
                <w:sz w:val="16"/>
                <w:szCs w:val="16"/>
              </w:rPr>
              <w:t>6</w:t>
            </w:r>
            <w:r w:rsidR="00B151F7" w:rsidRPr="00F95FEE">
              <w:rPr>
                <w:rFonts w:ascii="Arial" w:hAnsi="Arial" w:cs="Arial"/>
                <w:sz w:val="16"/>
                <w:szCs w:val="16"/>
              </w:rPr>
              <w:t>%</w:t>
            </w:r>
          </w:p>
        </w:tc>
        <w:tc>
          <w:tcPr>
            <w:tcW w:w="295" w:type="pct"/>
            <w:gridSpan w:val="2"/>
            <w:tcBorders>
              <w:top w:val="nil"/>
              <w:left w:val="nil"/>
              <w:bottom w:val="single" w:sz="4" w:space="0" w:color="auto"/>
              <w:right w:val="single" w:sz="8" w:space="0" w:color="auto"/>
            </w:tcBorders>
            <w:shd w:val="clear" w:color="auto" w:fill="auto"/>
            <w:noWrap/>
            <w:vAlign w:val="bottom"/>
          </w:tcPr>
          <w:p w:rsidR="00B151F7" w:rsidRPr="00F95FEE" w:rsidRDefault="00721810" w:rsidP="00721810">
            <w:pPr>
              <w:rPr>
                <w:rFonts w:ascii="Arial" w:hAnsi="Arial" w:cs="Arial"/>
                <w:sz w:val="16"/>
                <w:szCs w:val="16"/>
              </w:rPr>
            </w:pPr>
            <w:r>
              <w:rPr>
                <w:rFonts w:ascii="Arial" w:hAnsi="Arial" w:cs="Arial"/>
                <w:sz w:val="16"/>
                <w:szCs w:val="16"/>
              </w:rPr>
              <w:t>570</w:t>
            </w:r>
            <w:r w:rsidR="00B151F7" w:rsidRPr="00F95FEE">
              <w:rPr>
                <w:rFonts w:ascii="Arial" w:hAnsi="Arial" w:cs="Arial"/>
                <w:sz w:val="16"/>
                <w:szCs w:val="16"/>
              </w:rPr>
              <w:t>/</w:t>
            </w:r>
            <w:r>
              <w:rPr>
                <w:rFonts w:ascii="Arial" w:hAnsi="Arial" w:cs="Arial"/>
                <w:sz w:val="16"/>
                <w:szCs w:val="16"/>
              </w:rPr>
              <w:t>6</w:t>
            </w:r>
            <w:r w:rsidR="00B151F7" w:rsidRPr="00F95FEE">
              <w:rPr>
                <w:rFonts w:ascii="Arial" w:hAnsi="Arial" w:cs="Arial"/>
                <w:sz w:val="16"/>
                <w:szCs w:val="16"/>
              </w:rPr>
              <w:t>%</w:t>
            </w:r>
          </w:p>
        </w:tc>
        <w:tc>
          <w:tcPr>
            <w:tcW w:w="360" w:type="pct"/>
            <w:tcBorders>
              <w:top w:val="nil"/>
              <w:left w:val="nil"/>
              <w:bottom w:val="single" w:sz="4" w:space="0" w:color="auto"/>
              <w:right w:val="single" w:sz="8" w:space="0" w:color="auto"/>
            </w:tcBorders>
            <w:shd w:val="clear" w:color="auto" w:fill="auto"/>
            <w:noWrap/>
            <w:vAlign w:val="bottom"/>
          </w:tcPr>
          <w:p w:rsidR="00B151F7" w:rsidRPr="00F95FEE" w:rsidRDefault="00B151F7" w:rsidP="00721810">
            <w:pPr>
              <w:rPr>
                <w:rFonts w:ascii="Arial" w:hAnsi="Arial" w:cs="Arial"/>
                <w:sz w:val="16"/>
                <w:szCs w:val="16"/>
              </w:rPr>
            </w:pPr>
            <w:r>
              <w:rPr>
                <w:rFonts w:ascii="Arial" w:hAnsi="Arial" w:cs="Arial"/>
                <w:sz w:val="16"/>
                <w:szCs w:val="16"/>
              </w:rPr>
              <w:t xml:space="preserve">     </w:t>
            </w:r>
            <w:r w:rsidR="00721810">
              <w:rPr>
                <w:rFonts w:ascii="Arial" w:hAnsi="Arial" w:cs="Arial"/>
                <w:sz w:val="16"/>
                <w:szCs w:val="16"/>
              </w:rPr>
              <w:t>570</w:t>
            </w:r>
            <w:r w:rsidRPr="00F95FEE">
              <w:rPr>
                <w:rFonts w:ascii="Arial" w:hAnsi="Arial" w:cs="Arial"/>
                <w:sz w:val="16"/>
                <w:szCs w:val="16"/>
              </w:rPr>
              <w:t>/</w:t>
            </w:r>
            <w:r w:rsidR="00721810">
              <w:rPr>
                <w:rFonts w:ascii="Arial" w:hAnsi="Arial" w:cs="Arial"/>
                <w:sz w:val="16"/>
                <w:szCs w:val="16"/>
              </w:rPr>
              <w:t>6</w:t>
            </w:r>
            <w:r w:rsidRPr="00F95FEE">
              <w:rPr>
                <w:rFonts w:ascii="Arial" w:hAnsi="Arial" w:cs="Arial"/>
                <w:sz w:val="16"/>
                <w:szCs w:val="16"/>
              </w:rPr>
              <w:t>%</w:t>
            </w:r>
          </w:p>
        </w:tc>
      </w:tr>
      <w:tr w:rsidR="00A773B4" w:rsidRPr="00F95FEE" w:rsidTr="00750D43">
        <w:trPr>
          <w:trHeight w:val="130"/>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rPr>
                <w:szCs w:val="24"/>
              </w:rPr>
            </w:pPr>
          </w:p>
          <w:p w:rsidR="00B151F7" w:rsidRPr="00F95FEE" w:rsidRDefault="00B151F7" w:rsidP="00703D5A">
            <w:pPr>
              <w:rPr>
                <w:szCs w:val="24"/>
              </w:rPr>
            </w:pPr>
            <w:r w:rsidRPr="00F95FEE">
              <w:rPr>
                <w:rFonts w:ascii="Arial" w:hAnsi="Arial" w:cs="Arial"/>
                <w:b/>
                <w:bCs/>
                <w:sz w:val="16"/>
                <w:szCs w:val="16"/>
              </w:rPr>
              <w:t>Performance Measure</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151F7" w:rsidRPr="00F95FEE" w:rsidRDefault="00B151F7" w:rsidP="00703D5A">
            <w:pPr>
              <w:rPr>
                <w:rFonts w:ascii="Arial" w:hAnsi="Arial" w:cs="Arial"/>
                <w:sz w:val="16"/>
                <w:szCs w:val="16"/>
              </w:rPr>
            </w:pPr>
            <w:r w:rsidRPr="00F95FEE">
              <w:rPr>
                <w:rFonts w:ascii="Arial" w:hAnsi="Arial" w:cs="Arial"/>
                <w:sz w:val="16"/>
                <w:szCs w:val="16"/>
              </w:rPr>
              <w:t xml:space="preserve">Percent of OCDETF investigations resulting in the conviction of a leader </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 N/A </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73%</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75%</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79%</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77</w:t>
            </w:r>
            <w:r w:rsidRPr="00F95FEE">
              <w:rPr>
                <w:rFonts w:ascii="Arial" w:hAnsi="Arial" w:cs="Arial"/>
                <w:sz w:val="16"/>
                <w:szCs w:val="16"/>
              </w:rPr>
              <w:t>%</w:t>
            </w:r>
          </w:p>
        </w:tc>
        <w:tc>
          <w:tcPr>
            <w:tcW w:w="396" w:type="pct"/>
            <w:gridSpan w:val="2"/>
            <w:tcBorders>
              <w:top w:val="single" w:sz="4" w:space="0" w:color="auto"/>
              <w:left w:val="single" w:sz="4" w:space="0" w:color="auto"/>
              <w:bottom w:val="single" w:sz="4" w:space="0" w:color="auto"/>
              <w:right w:val="single" w:sz="4" w:space="0" w:color="auto"/>
            </w:tcBorders>
            <w:vAlign w:val="bottom"/>
          </w:tcPr>
          <w:p w:rsidR="00B151F7" w:rsidRPr="00F95FEE" w:rsidRDefault="00B151F7" w:rsidP="00703D5A">
            <w:pPr>
              <w:jc w:val="center"/>
              <w:rPr>
                <w:rFonts w:ascii="Arial" w:hAnsi="Arial" w:cs="Arial"/>
                <w:sz w:val="16"/>
                <w:szCs w:val="16"/>
              </w:rPr>
            </w:pPr>
            <w:r>
              <w:rPr>
                <w:rFonts w:ascii="Arial" w:hAnsi="Arial" w:cs="Arial"/>
                <w:sz w:val="16"/>
                <w:szCs w:val="16"/>
              </w:rPr>
              <w:t>80</w:t>
            </w:r>
            <w:r w:rsidRPr="00F95FEE">
              <w:rPr>
                <w:rFonts w:ascii="Arial" w:hAnsi="Arial" w:cs="Arial"/>
                <w:sz w:val="16"/>
                <w:szCs w:val="16"/>
              </w:rPr>
              <w:t>%</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w:t>
            </w:r>
            <w:r>
              <w:rPr>
                <w:rFonts w:ascii="Arial" w:hAnsi="Arial" w:cs="Arial"/>
                <w:sz w:val="16"/>
                <w:szCs w:val="16"/>
              </w:rPr>
              <w:t>6</w:t>
            </w:r>
            <w:r w:rsidRPr="00F95FEE">
              <w:rPr>
                <w:rFonts w:ascii="Arial" w:hAnsi="Arial" w:cs="Arial"/>
                <w:sz w:val="16"/>
                <w:szCs w:val="16"/>
              </w:rPr>
              <w:t>%</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w:t>
            </w:r>
            <w:r>
              <w:rPr>
                <w:rFonts w:ascii="Arial" w:hAnsi="Arial" w:cs="Arial"/>
                <w:sz w:val="16"/>
                <w:szCs w:val="16"/>
              </w:rPr>
              <w:t>6</w:t>
            </w:r>
            <w:r w:rsidRPr="00F95FEE">
              <w:rPr>
                <w:rFonts w:ascii="Arial" w:hAnsi="Arial" w:cs="Arial"/>
                <w:sz w:val="16"/>
                <w:szCs w:val="16"/>
              </w:rPr>
              <w:t>%</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w:t>
            </w:r>
            <w:r>
              <w:rPr>
                <w:rFonts w:ascii="Arial" w:hAnsi="Arial" w:cs="Arial"/>
                <w:sz w:val="16"/>
                <w:szCs w:val="16"/>
              </w:rPr>
              <w:t>6</w:t>
            </w:r>
            <w:r w:rsidRPr="00F95FEE">
              <w:rPr>
                <w:rFonts w:ascii="Arial" w:hAnsi="Arial" w:cs="Arial"/>
                <w:sz w:val="16"/>
                <w:szCs w:val="16"/>
              </w:rPr>
              <w:t>%</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7</w:t>
            </w:r>
            <w:r>
              <w:rPr>
                <w:rFonts w:ascii="Arial" w:hAnsi="Arial" w:cs="Arial"/>
                <w:sz w:val="16"/>
                <w:szCs w:val="16"/>
              </w:rPr>
              <w:t>6</w:t>
            </w:r>
            <w:r w:rsidRPr="00F95FEE">
              <w:rPr>
                <w:rFonts w:ascii="Arial" w:hAnsi="Arial" w:cs="Arial"/>
                <w:sz w:val="16"/>
                <w:szCs w:val="16"/>
              </w:rPr>
              <w:t>%</w:t>
            </w:r>
          </w:p>
        </w:tc>
      </w:tr>
      <w:tr w:rsidR="00A773B4" w:rsidRPr="00F95FEE" w:rsidTr="00750D43">
        <w:trPr>
          <w:trHeight w:val="130"/>
        </w:trPr>
        <w:tc>
          <w:tcPr>
            <w:tcW w:w="571" w:type="pct"/>
            <w:tcBorders>
              <w:top w:val="single" w:sz="4" w:space="0" w:color="auto"/>
              <w:left w:val="single" w:sz="8" w:space="0" w:color="auto"/>
              <w:bottom w:val="single" w:sz="4" w:space="0" w:color="auto"/>
              <w:right w:val="nil"/>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t xml:space="preserve">Performance </w:t>
            </w:r>
            <w:r w:rsidRPr="00F95FEE">
              <w:rPr>
                <w:rFonts w:ascii="Arial" w:hAnsi="Arial" w:cs="Arial"/>
                <w:b/>
                <w:bCs/>
                <w:sz w:val="16"/>
                <w:szCs w:val="16"/>
              </w:rPr>
              <w:lastRenderedPageBreak/>
              <w:t xml:space="preserve">Measure </w:t>
            </w:r>
          </w:p>
        </w:tc>
        <w:tc>
          <w:tcPr>
            <w:tcW w:w="704" w:type="pct"/>
            <w:gridSpan w:val="3"/>
            <w:tcBorders>
              <w:top w:val="single" w:sz="4" w:space="0" w:color="auto"/>
              <w:left w:val="single" w:sz="8" w:space="0" w:color="auto"/>
              <w:bottom w:val="single" w:sz="4" w:space="0" w:color="auto"/>
              <w:right w:val="nil"/>
            </w:tcBorders>
            <w:shd w:val="clear" w:color="auto" w:fill="auto"/>
            <w:vAlign w:val="bottom"/>
          </w:tcPr>
          <w:p w:rsidR="00B151F7" w:rsidRPr="00F95FEE" w:rsidRDefault="00B151F7" w:rsidP="00703D5A">
            <w:pPr>
              <w:rPr>
                <w:rFonts w:ascii="Arial" w:hAnsi="Arial" w:cs="Arial"/>
                <w:sz w:val="16"/>
                <w:szCs w:val="16"/>
              </w:rPr>
            </w:pPr>
            <w:r w:rsidRPr="00F95FEE">
              <w:rPr>
                <w:rFonts w:ascii="Arial" w:hAnsi="Arial" w:cs="Arial"/>
                <w:sz w:val="16"/>
                <w:szCs w:val="16"/>
              </w:rPr>
              <w:lastRenderedPageBreak/>
              <w:t xml:space="preserve">Percent of OCDETF </w:t>
            </w:r>
            <w:r w:rsidRPr="00F95FEE">
              <w:rPr>
                <w:rFonts w:ascii="Arial" w:hAnsi="Arial" w:cs="Arial"/>
                <w:sz w:val="16"/>
                <w:szCs w:val="16"/>
              </w:rPr>
              <w:lastRenderedPageBreak/>
              <w:t xml:space="preserve">investigations resulting in financial convictions </w:t>
            </w:r>
          </w:p>
        </w:tc>
        <w:tc>
          <w:tcPr>
            <w:tcW w:w="400" w:type="pct"/>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lastRenderedPageBreak/>
              <w:t> N/A </w:t>
            </w:r>
          </w:p>
        </w:tc>
        <w:tc>
          <w:tcPr>
            <w:tcW w:w="344" w:type="pct"/>
            <w:gridSpan w:val="2"/>
            <w:tcBorders>
              <w:top w:val="single" w:sz="4" w:space="0" w:color="auto"/>
              <w:left w:val="nil"/>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20%</w:t>
            </w:r>
          </w:p>
        </w:tc>
        <w:tc>
          <w:tcPr>
            <w:tcW w:w="366" w:type="pct"/>
            <w:gridSpan w:val="2"/>
            <w:tcBorders>
              <w:top w:val="single" w:sz="4" w:space="0" w:color="auto"/>
              <w:left w:val="nil"/>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25%</w:t>
            </w:r>
          </w:p>
        </w:tc>
        <w:tc>
          <w:tcPr>
            <w:tcW w:w="398" w:type="pct"/>
            <w:gridSpan w:val="2"/>
            <w:tcBorders>
              <w:top w:val="single" w:sz="4" w:space="0" w:color="auto"/>
              <w:left w:val="nil"/>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27%</w:t>
            </w:r>
          </w:p>
        </w:tc>
        <w:tc>
          <w:tcPr>
            <w:tcW w:w="395" w:type="pct"/>
            <w:gridSpan w:val="3"/>
            <w:tcBorders>
              <w:top w:val="single" w:sz="4" w:space="0" w:color="auto"/>
              <w:left w:val="nil"/>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23</w:t>
            </w:r>
            <w:r w:rsidRPr="00F95FEE">
              <w:rPr>
                <w:rFonts w:ascii="Arial" w:hAnsi="Arial" w:cs="Arial"/>
                <w:sz w:val="16"/>
                <w:szCs w:val="16"/>
              </w:rPr>
              <w:t>%</w:t>
            </w:r>
          </w:p>
        </w:tc>
        <w:tc>
          <w:tcPr>
            <w:tcW w:w="396" w:type="pct"/>
            <w:gridSpan w:val="2"/>
            <w:tcBorders>
              <w:top w:val="single" w:sz="4" w:space="0" w:color="auto"/>
              <w:left w:val="nil"/>
              <w:bottom w:val="single" w:sz="4" w:space="0" w:color="auto"/>
              <w:right w:val="single" w:sz="4" w:space="0" w:color="auto"/>
            </w:tcBorders>
            <w:vAlign w:val="bottom"/>
          </w:tcPr>
          <w:p w:rsidR="00B151F7" w:rsidRPr="00F95FEE" w:rsidRDefault="00B151F7" w:rsidP="00703D5A">
            <w:pPr>
              <w:jc w:val="center"/>
              <w:rPr>
                <w:rFonts w:ascii="Arial" w:hAnsi="Arial" w:cs="Arial"/>
                <w:sz w:val="16"/>
                <w:szCs w:val="16"/>
              </w:rPr>
            </w:pPr>
            <w:r>
              <w:rPr>
                <w:rFonts w:ascii="Arial" w:hAnsi="Arial" w:cs="Arial"/>
                <w:sz w:val="16"/>
                <w:szCs w:val="16"/>
              </w:rPr>
              <w:t>24</w:t>
            </w:r>
            <w:r w:rsidRPr="00F95FEE">
              <w:rPr>
                <w:rFonts w:ascii="Arial" w:hAnsi="Arial" w:cs="Arial"/>
                <w:sz w:val="16"/>
                <w:szCs w:val="16"/>
              </w:rPr>
              <w:t>%</w:t>
            </w:r>
          </w:p>
        </w:tc>
        <w:tc>
          <w:tcPr>
            <w:tcW w:w="404" w:type="pct"/>
            <w:gridSpan w:val="3"/>
            <w:tcBorders>
              <w:top w:val="single" w:sz="4" w:space="0" w:color="auto"/>
              <w:left w:val="single" w:sz="4" w:space="0" w:color="auto"/>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2</w:t>
            </w:r>
            <w:r>
              <w:rPr>
                <w:rFonts w:ascii="Arial" w:hAnsi="Arial" w:cs="Arial"/>
                <w:sz w:val="16"/>
                <w:szCs w:val="16"/>
              </w:rPr>
              <w:t>5</w:t>
            </w:r>
            <w:r w:rsidRPr="00F95FEE">
              <w:rPr>
                <w:rFonts w:ascii="Arial" w:hAnsi="Arial" w:cs="Arial"/>
                <w:sz w:val="16"/>
                <w:szCs w:val="16"/>
              </w:rPr>
              <w:t>%</w:t>
            </w:r>
          </w:p>
        </w:tc>
        <w:tc>
          <w:tcPr>
            <w:tcW w:w="367" w:type="pct"/>
            <w:gridSpan w:val="3"/>
            <w:tcBorders>
              <w:top w:val="single" w:sz="4" w:space="0" w:color="auto"/>
              <w:left w:val="nil"/>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2</w:t>
            </w:r>
            <w:r w:rsidR="00721810">
              <w:rPr>
                <w:rFonts w:ascii="Arial" w:hAnsi="Arial" w:cs="Arial"/>
                <w:sz w:val="16"/>
                <w:szCs w:val="16"/>
              </w:rPr>
              <w:t>7</w:t>
            </w:r>
            <w:r w:rsidRPr="00F95FEE">
              <w:rPr>
                <w:rFonts w:ascii="Arial" w:hAnsi="Arial" w:cs="Arial"/>
                <w:sz w:val="16"/>
                <w:szCs w:val="16"/>
              </w:rPr>
              <w:t>%</w:t>
            </w:r>
          </w:p>
        </w:tc>
        <w:tc>
          <w:tcPr>
            <w:tcW w:w="295" w:type="pct"/>
            <w:gridSpan w:val="2"/>
            <w:tcBorders>
              <w:top w:val="single" w:sz="4" w:space="0" w:color="auto"/>
              <w:left w:val="nil"/>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2</w:t>
            </w:r>
            <w:r>
              <w:rPr>
                <w:rFonts w:ascii="Arial" w:hAnsi="Arial" w:cs="Arial"/>
                <w:sz w:val="16"/>
                <w:szCs w:val="16"/>
              </w:rPr>
              <w:t>5</w:t>
            </w:r>
            <w:r w:rsidRPr="00F95FEE">
              <w:rPr>
                <w:rFonts w:ascii="Arial" w:hAnsi="Arial" w:cs="Arial"/>
                <w:sz w:val="16"/>
                <w:szCs w:val="16"/>
              </w:rPr>
              <w:t>%</w:t>
            </w:r>
          </w:p>
        </w:tc>
        <w:tc>
          <w:tcPr>
            <w:tcW w:w="360" w:type="pct"/>
            <w:tcBorders>
              <w:top w:val="single" w:sz="4" w:space="0" w:color="auto"/>
              <w:left w:val="nil"/>
              <w:bottom w:val="single" w:sz="4" w:space="0" w:color="auto"/>
              <w:right w:val="single" w:sz="8"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2</w:t>
            </w:r>
            <w:r>
              <w:rPr>
                <w:rFonts w:ascii="Arial" w:hAnsi="Arial" w:cs="Arial"/>
                <w:sz w:val="16"/>
                <w:szCs w:val="16"/>
              </w:rPr>
              <w:t>5</w:t>
            </w:r>
            <w:r w:rsidRPr="00F95FEE">
              <w:rPr>
                <w:rFonts w:ascii="Arial" w:hAnsi="Arial" w:cs="Arial"/>
                <w:sz w:val="16"/>
                <w:szCs w:val="16"/>
              </w:rPr>
              <w:t>%</w:t>
            </w:r>
          </w:p>
        </w:tc>
      </w:tr>
      <w:tr w:rsidR="00A773B4" w:rsidRPr="00F95FEE" w:rsidTr="00750D43">
        <w:trPr>
          <w:trHeight w:val="920"/>
        </w:trPr>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B151F7" w:rsidRPr="00F95FEE" w:rsidRDefault="00B151F7" w:rsidP="00703D5A">
            <w:pPr>
              <w:jc w:val="center"/>
              <w:rPr>
                <w:rFonts w:ascii="Arial" w:hAnsi="Arial" w:cs="Arial"/>
                <w:b/>
                <w:bCs/>
                <w:sz w:val="16"/>
                <w:szCs w:val="16"/>
              </w:rPr>
            </w:pPr>
            <w:r w:rsidRPr="00F95FEE">
              <w:rPr>
                <w:rFonts w:ascii="Arial" w:hAnsi="Arial" w:cs="Arial"/>
                <w:b/>
                <w:bCs/>
                <w:sz w:val="16"/>
                <w:szCs w:val="16"/>
              </w:rPr>
              <w:lastRenderedPageBreak/>
              <w:t xml:space="preserve">Performance Measure </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151F7" w:rsidRPr="00F95FEE" w:rsidRDefault="00B151F7" w:rsidP="00703D5A">
            <w:pPr>
              <w:rPr>
                <w:rFonts w:ascii="Arial" w:hAnsi="Arial" w:cs="Arial"/>
                <w:sz w:val="16"/>
                <w:szCs w:val="16"/>
              </w:rPr>
            </w:pPr>
            <w:r w:rsidRPr="00F95FEE">
              <w:rPr>
                <w:rFonts w:ascii="Arial" w:hAnsi="Arial" w:cs="Arial"/>
                <w:sz w:val="16"/>
                <w:szCs w:val="16"/>
              </w:rPr>
              <w:t xml:space="preserve">Percent of OCDETF investigations resulting in assets forfeited or restrained </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 N/A </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85%</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83%</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74</w:t>
            </w:r>
            <w:r w:rsidRPr="00F95FEE">
              <w:rPr>
                <w:rFonts w:ascii="Arial" w:hAnsi="Arial" w:cs="Arial"/>
                <w:sz w:val="16"/>
                <w:szCs w:val="16"/>
              </w:rPr>
              <w:t>%</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Pr>
                <w:rFonts w:ascii="Arial" w:hAnsi="Arial" w:cs="Arial"/>
                <w:sz w:val="16"/>
                <w:szCs w:val="16"/>
              </w:rPr>
              <w:t>74</w:t>
            </w:r>
            <w:r w:rsidRPr="00F95FEE">
              <w:rPr>
                <w:rFonts w:ascii="Arial" w:hAnsi="Arial" w:cs="Arial"/>
                <w:sz w:val="16"/>
                <w:szCs w:val="16"/>
              </w:rPr>
              <w:t>%</w:t>
            </w:r>
          </w:p>
        </w:tc>
        <w:tc>
          <w:tcPr>
            <w:tcW w:w="396" w:type="pct"/>
            <w:gridSpan w:val="2"/>
            <w:tcBorders>
              <w:top w:val="single" w:sz="4" w:space="0" w:color="auto"/>
              <w:left w:val="single" w:sz="4" w:space="0" w:color="auto"/>
              <w:bottom w:val="single" w:sz="4" w:space="0" w:color="auto"/>
              <w:right w:val="single" w:sz="4" w:space="0" w:color="auto"/>
            </w:tcBorders>
            <w:vAlign w:val="bottom"/>
          </w:tcPr>
          <w:p w:rsidR="00B151F7" w:rsidRPr="00F95FEE" w:rsidRDefault="00B151F7" w:rsidP="00703D5A">
            <w:pPr>
              <w:jc w:val="center"/>
              <w:rPr>
                <w:rFonts w:ascii="Arial" w:hAnsi="Arial" w:cs="Arial"/>
                <w:sz w:val="16"/>
                <w:szCs w:val="16"/>
              </w:rPr>
            </w:pPr>
            <w:r>
              <w:rPr>
                <w:rFonts w:ascii="Arial" w:hAnsi="Arial" w:cs="Arial"/>
                <w:sz w:val="16"/>
                <w:szCs w:val="16"/>
              </w:rPr>
              <w:t>81</w:t>
            </w:r>
            <w:r w:rsidRPr="00F95FEE">
              <w:rPr>
                <w:rFonts w:ascii="Arial" w:hAnsi="Arial" w:cs="Arial"/>
                <w:sz w:val="16"/>
                <w:szCs w:val="16"/>
              </w:rPr>
              <w:t>%</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80%</w:t>
            </w:r>
          </w:p>
        </w:tc>
        <w:tc>
          <w:tcPr>
            <w:tcW w:w="3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80%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80%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F95FEE" w:rsidRDefault="00B151F7" w:rsidP="00703D5A">
            <w:pPr>
              <w:jc w:val="center"/>
              <w:rPr>
                <w:rFonts w:ascii="Arial" w:hAnsi="Arial" w:cs="Arial"/>
                <w:sz w:val="16"/>
                <w:szCs w:val="16"/>
              </w:rPr>
            </w:pPr>
            <w:r w:rsidRPr="00F95FEE">
              <w:rPr>
                <w:rFonts w:ascii="Arial" w:hAnsi="Arial" w:cs="Arial"/>
                <w:sz w:val="16"/>
                <w:szCs w:val="16"/>
              </w:rPr>
              <w:t>80%</w:t>
            </w:r>
          </w:p>
        </w:tc>
      </w:tr>
      <w:tr w:rsidR="00B151F7" w:rsidRPr="00F95FEE" w:rsidTr="00750D43">
        <w:trPr>
          <w:trHeight w:val="92"/>
        </w:trPr>
        <w:tc>
          <w:tcPr>
            <w:tcW w:w="1275" w:type="pct"/>
            <w:gridSpan w:val="4"/>
            <w:tcBorders>
              <w:top w:val="single" w:sz="4" w:space="0" w:color="auto"/>
            </w:tcBorders>
            <w:shd w:val="clear" w:color="auto" w:fill="auto"/>
            <w:vAlign w:val="bottom"/>
          </w:tcPr>
          <w:p w:rsidR="00B151F7" w:rsidRPr="00F95FEE" w:rsidRDefault="00B151F7" w:rsidP="00703D5A">
            <w:pPr>
              <w:jc w:val="center"/>
              <w:rPr>
                <w:rFonts w:ascii="Arial" w:hAnsi="Arial" w:cs="Arial"/>
                <w:b/>
                <w:bCs/>
                <w:sz w:val="16"/>
                <w:szCs w:val="16"/>
              </w:rPr>
            </w:pPr>
          </w:p>
        </w:tc>
        <w:tc>
          <w:tcPr>
            <w:tcW w:w="400" w:type="pct"/>
            <w:gridSpan w:val="2"/>
            <w:tcBorders>
              <w:top w:val="single" w:sz="4"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p>
        </w:tc>
        <w:tc>
          <w:tcPr>
            <w:tcW w:w="344" w:type="pct"/>
            <w:gridSpan w:val="2"/>
            <w:tcBorders>
              <w:top w:val="single" w:sz="4"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p>
        </w:tc>
        <w:tc>
          <w:tcPr>
            <w:tcW w:w="366" w:type="pct"/>
            <w:gridSpan w:val="2"/>
            <w:tcBorders>
              <w:top w:val="single" w:sz="4"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p>
        </w:tc>
        <w:tc>
          <w:tcPr>
            <w:tcW w:w="398" w:type="pct"/>
            <w:gridSpan w:val="2"/>
            <w:tcBorders>
              <w:top w:val="single" w:sz="4" w:space="0" w:color="auto"/>
            </w:tcBorders>
            <w:shd w:val="clear" w:color="auto" w:fill="auto"/>
            <w:vAlign w:val="bottom"/>
          </w:tcPr>
          <w:p w:rsidR="00B151F7" w:rsidRPr="00F95FEE" w:rsidRDefault="00B151F7" w:rsidP="00703D5A">
            <w:pPr>
              <w:jc w:val="center"/>
              <w:rPr>
                <w:rFonts w:ascii="Arial" w:hAnsi="Arial" w:cs="Arial"/>
                <w:b/>
                <w:bCs/>
                <w:sz w:val="16"/>
                <w:szCs w:val="16"/>
              </w:rPr>
            </w:pPr>
          </w:p>
        </w:tc>
        <w:tc>
          <w:tcPr>
            <w:tcW w:w="395" w:type="pct"/>
            <w:gridSpan w:val="3"/>
            <w:tcBorders>
              <w:top w:val="single" w:sz="4"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p>
        </w:tc>
        <w:tc>
          <w:tcPr>
            <w:tcW w:w="396" w:type="pct"/>
            <w:gridSpan w:val="2"/>
            <w:tcBorders>
              <w:top w:val="single" w:sz="4" w:space="0" w:color="auto"/>
            </w:tcBorders>
            <w:vAlign w:val="bottom"/>
          </w:tcPr>
          <w:p w:rsidR="00B151F7" w:rsidRPr="00F95FEE" w:rsidRDefault="00B151F7" w:rsidP="00703D5A">
            <w:pPr>
              <w:jc w:val="center"/>
              <w:rPr>
                <w:rFonts w:ascii="Arial" w:hAnsi="Arial" w:cs="Arial"/>
                <w:b/>
                <w:bCs/>
                <w:sz w:val="16"/>
                <w:szCs w:val="16"/>
              </w:rPr>
            </w:pPr>
          </w:p>
        </w:tc>
        <w:tc>
          <w:tcPr>
            <w:tcW w:w="404" w:type="pct"/>
            <w:gridSpan w:val="3"/>
            <w:tcBorders>
              <w:top w:val="single" w:sz="4" w:space="0" w:color="auto"/>
            </w:tcBorders>
            <w:shd w:val="clear" w:color="auto" w:fill="auto"/>
            <w:vAlign w:val="bottom"/>
          </w:tcPr>
          <w:p w:rsidR="00B151F7" w:rsidRPr="00F95FEE" w:rsidRDefault="00B151F7" w:rsidP="00703D5A">
            <w:pPr>
              <w:jc w:val="center"/>
              <w:rPr>
                <w:rFonts w:ascii="Arial" w:hAnsi="Arial" w:cs="Arial"/>
                <w:b/>
                <w:bCs/>
                <w:sz w:val="16"/>
                <w:szCs w:val="16"/>
              </w:rPr>
            </w:pPr>
          </w:p>
        </w:tc>
        <w:tc>
          <w:tcPr>
            <w:tcW w:w="662" w:type="pct"/>
            <w:gridSpan w:val="5"/>
            <w:tcBorders>
              <w:top w:val="single" w:sz="4"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p>
        </w:tc>
        <w:tc>
          <w:tcPr>
            <w:tcW w:w="360" w:type="pct"/>
            <w:tcBorders>
              <w:top w:val="single" w:sz="4" w:space="0" w:color="auto"/>
            </w:tcBorders>
            <w:shd w:val="clear" w:color="auto" w:fill="auto"/>
            <w:vAlign w:val="bottom"/>
          </w:tcPr>
          <w:p w:rsidR="00B151F7" w:rsidRPr="00F95FEE" w:rsidRDefault="00B151F7" w:rsidP="00703D5A">
            <w:pPr>
              <w:jc w:val="center"/>
              <w:rPr>
                <w:rFonts w:ascii="Arial" w:hAnsi="Arial" w:cs="Arial"/>
                <w:b/>
                <w:bCs/>
                <w:sz w:val="16"/>
                <w:szCs w:val="16"/>
              </w:rPr>
            </w:pPr>
          </w:p>
        </w:tc>
      </w:tr>
      <w:tr w:rsidR="00B151F7" w:rsidRPr="00F95FEE" w:rsidTr="00750D43">
        <w:trPr>
          <w:trHeight w:val="92"/>
        </w:trPr>
        <w:tc>
          <w:tcPr>
            <w:tcW w:w="1275" w:type="pct"/>
            <w:gridSpan w:val="4"/>
            <w:shd w:val="clear" w:color="auto" w:fill="auto"/>
            <w:vAlign w:val="bottom"/>
          </w:tcPr>
          <w:p w:rsidR="00B151F7" w:rsidRPr="00F95FEE" w:rsidRDefault="00B151F7" w:rsidP="00703D5A">
            <w:pPr>
              <w:jc w:val="center"/>
              <w:rPr>
                <w:rFonts w:ascii="Arial" w:hAnsi="Arial" w:cs="Arial"/>
                <w:b/>
                <w:bCs/>
                <w:sz w:val="16"/>
                <w:szCs w:val="16"/>
              </w:rPr>
            </w:pPr>
          </w:p>
        </w:tc>
        <w:tc>
          <w:tcPr>
            <w:tcW w:w="400" w:type="pct"/>
            <w:gridSpan w:val="2"/>
            <w:shd w:val="clear" w:color="auto" w:fill="auto"/>
            <w:noWrap/>
            <w:vAlign w:val="bottom"/>
          </w:tcPr>
          <w:p w:rsidR="00B151F7" w:rsidRPr="00F95FEE" w:rsidRDefault="00B151F7" w:rsidP="00703D5A">
            <w:pPr>
              <w:jc w:val="center"/>
              <w:rPr>
                <w:rFonts w:ascii="Arial" w:hAnsi="Arial" w:cs="Arial"/>
                <w:b/>
                <w:bCs/>
                <w:sz w:val="16"/>
                <w:szCs w:val="16"/>
              </w:rPr>
            </w:pPr>
          </w:p>
        </w:tc>
        <w:tc>
          <w:tcPr>
            <w:tcW w:w="344" w:type="pct"/>
            <w:gridSpan w:val="2"/>
            <w:shd w:val="clear" w:color="auto" w:fill="auto"/>
            <w:noWrap/>
            <w:vAlign w:val="bottom"/>
          </w:tcPr>
          <w:p w:rsidR="00B151F7" w:rsidRPr="00F95FEE" w:rsidRDefault="00B151F7" w:rsidP="00703D5A">
            <w:pPr>
              <w:jc w:val="center"/>
              <w:rPr>
                <w:rFonts w:ascii="Arial" w:hAnsi="Arial" w:cs="Arial"/>
                <w:b/>
                <w:bCs/>
                <w:sz w:val="16"/>
                <w:szCs w:val="16"/>
              </w:rPr>
            </w:pPr>
          </w:p>
        </w:tc>
        <w:tc>
          <w:tcPr>
            <w:tcW w:w="366" w:type="pct"/>
            <w:gridSpan w:val="2"/>
            <w:shd w:val="clear" w:color="auto" w:fill="auto"/>
            <w:noWrap/>
            <w:vAlign w:val="bottom"/>
          </w:tcPr>
          <w:p w:rsidR="00B151F7" w:rsidRPr="00F95FEE" w:rsidRDefault="00B151F7" w:rsidP="00703D5A">
            <w:pPr>
              <w:jc w:val="center"/>
              <w:rPr>
                <w:rFonts w:ascii="Arial" w:hAnsi="Arial" w:cs="Arial"/>
                <w:b/>
                <w:bCs/>
                <w:sz w:val="16"/>
                <w:szCs w:val="16"/>
              </w:rPr>
            </w:pPr>
          </w:p>
        </w:tc>
        <w:tc>
          <w:tcPr>
            <w:tcW w:w="398" w:type="pct"/>
            <w:gridSpan w:val="2"/>
            <w:shd w:val="clear" w:color="auto" w:fill="auto"/>
            <w:vAlign w:val="bottom"/>
          </w:tcPr>
          <w:p w:rsidR="00B151F7" w:rsidRPr="00F95FEE" w:rsidRDefault="00B151F7" w:rsidP="00703D5A">
            <w:pPr>
              <w:jc w:val="center"/>
              <w:rPr>
                <w:rFonts w:ascii="Arial" w:hAnsi="Arial" w:cs="Arial"/>
                <w:b/>
                <w:bCs/>
                <w:sz w:val="16"/>
                <w:szCs w:val="16"/>
              </w:rPr>
            </w:pPr>
          </w:p>
          <w:p w:rsidR="00B151F7" w:rsidRPr="00F95FEE" w:rsidRDefault="00B151F7" w:rsidP="00703D5A">
            <w:pPr>
              <w:jc w:val="center"/>
              <w:rPr>
                <w:rFonts w:ascii="Arial" w:hAnsi="Arial" w:cs="Arial"/>
                <w:b/>
                <w:bCs/>
                <w:sz w:val="16"/>
                <w:szCs w:val="16"/>
              </w:rPr>
            </w:pPr>
          </w:p>
          <w:p w:rsidR="00B151F7" w:rsidRPr="00F95FEE" w:rsidRDefault="00B151F7" w:rsidP="00703D5A">
            <w:pPr>
              <w:jc w:val="center"/>
              <w:rPr>
                <w:rFonts w:ascii="Arial" w:hAnsi="Arial" w:cs="Arial"/>
                <w:b/>
                <w:bCs/>
                <w:sz w:val="16"/>
                <w:szCs w:val="16"/>
              </w:rPr>
            </w:pPr>
          </w:p>
          <w:p w:rsidR="00B151F7" w:rsidRPr="00F95FEE" w:rsidRDefault="00B151F7" w:rsidP="00703D5A">
            <w:pPr>
              <w:jc w:val="center"/>
              <w:rPr>
                <w:rFonts w:ascii="Arial" w:hAnsi="Arial" w:cs="Arial"/>
                <w:b/>
                <w:bCs/>
                <w:sz w:val="16"/>
                <w:szCs w:val="16"/>
              </w:rPr>
            </w:pPr>
          </w:p>
        </w:tc>
        <w:tc>
          <w:tcPr>
            <w:tcW w:w="395" w:type="pct"/>
            <w:gridSpan w:val="3"/>
            <w:shd w:val="clear" w:color="auto" w:fill="auto"/>
            <w:noWrap/>
            <w:vAlign w:val="bottom"/>
          </w:tcPr>
          <w:p w:rsidR="00B151F7" w:rsidRPr="00F95FEE" w:rsidRDefault="00B151F7" w:rsidP="00703D5A">
            <w:pPr>
              <w:jc w:val="center"/>
              <w:rPr>
                <w:rFonts w:ascii="Arial" w:hAnsi="Arial" w:cs="Arial"/>
                <w:b/>
                <w:bCs/>
                <w:sz w:val="16"/>
                <w:szCs w:val="16"/>
              </w:rPr>
            </w:pPr>
          </w:p>
        </w:tc>
        <w:tc>
          <w:tcPr>
            <w:tcW w:w="396" w:type="pct"/>
            <w:gridSpan w:val="2"/>
            <w:vAlign w:val="bottom"/>
          </w:tcPr>
          <w:p w:rsidR="00B151F7" w:rsidRPr="00F95FEE" w:rsidRDefault="00B151F7" w:rsidP="00703D5A">
            <w:pPr>
              <w:jc w:val="center"/>
              <w:rPr>
                <w:rFonts w:ascii="Arial" w:hAnsi="Arial" w:cs="Arial"/>
                <w:b/>
                <w:bCs/>
                <w:sz w:val="16"/>
                <w:szCs w:val="16"/>
              </w:rPr>
            </w:pPr>
          </w:p>
        </w:tc>
        <w:tc>
          <w:tcPr>
            <w:tcW w:w="404" w:type="pct"/>
            <w:gridSpan w:val="3"/>
            <w:shd w:val="clear" w:color="auto" w:fill="auto"/>
            <w:vAlign w:val="bottom"/>
          </w:tcPr>
          <w:p w:rsidR="00B151F7" w:rsidRPr="00F95FEE" w:rsidRDefault="00B151F7" w:rsidP="00703D5A">
            <w:pPr>
              <w:jc w:val="center"/>
              <w:rPr>
                <w:rFonts w:ascii="Arial" w:hAnsi="Arial" w:cs="Arial"/>
                <w:b/>
                <w:bCs/>
                <w:sz w:val="16"/>
                <w:szCs w:val="16"/>
              </w:rPr>
            </w:pPr>
          </w:p>
        </w:tc>
        <w:tc>
          <w:tcPr>
            <w:tcW w:w="662" w:type="pct"/>
            <w:gridSpan w:val="5"/>
            <w:shd w:val="clear" w:color="auto" w:fill="auto"/>
            <w:noWrap/>
            <w:vAlign w:val="bottom"/>
          </w:tcPr>
          <w:p w:rsidR="00B151F7" w:rsidRPr="00F95FEE" w:rsidRDefault="00B151F7" w:rsidP="00703D5A">
            <w:pPr>
              <w:jc w:val="center"/>
              <w:rPr>
                <w:rFonts w:ascii="Arial" w:hAnsi="Arial" w:cs="Arial"/>
                <w:b/>
                <w:bCs/>
                <w:sz w:val="16"/>
                <w:szCs w:val="16"/>
              </w:rPr>
            </w:pPr>
          </w:p>
        </w:tc>
        <w:tc>
          <w:tcPr>
            <w:tcW w:w="360" w:type="pct"/>
            <w:shd w:val="clear" w:color="auto" w:fill="auto"/>
            <w:vAlign w:val="bottom"/>
          </w:tcPr>
          <w:p w:rsidR="00B151F7" w:rsidRPr="00F95FEE" w:rsidRDefault="00B151F7" w:rsidP="00703D5A">
            <w:pPr>
              <w:jc w:val="center"/>
              <w:rPr>
                <w:rFonts w:ascii="Arial" w:hAnsi="Arial" w:cs="Arial"/>
                <w:b/>
                <w:bCs/>
                <w:sz w:val="16"/>
                <w:szCs w:val="16"/>
              </w:rPr>
            </w:pPr>
          </w:p>
        </w:tc>
      </w:tr>
      <w:tr w:rsidR="00B151F7" w:rsidRPr="00F95FEE" w:rsidTr="00750D43">
        <w:trPr>
          <w:trHeight w:val="92"/>
        </w:trPr>
        <w:tc>
          <w:tcPr>
            <w:tcW w:w="1275" w:type="pct"/>
            <w:gridSpan w:val="4"/>
            <w:tcBorders>
              <w:bottom w:val="single" w:sz="4" w:space="0" w:color="auto"/>
            </w:tcBorders>
            <w:shd w:val="clear" w:color="auto" w:fill="auto"/>
            <w:vAlign w:val="bottom"/>
          </w:tcPr>
          <w:p w:rsidR="00B151F7" w:rsidRPr="00F95FEE" w:rsidRDefault="00B151F7" w:rsidP="00703D5A">
            <w:pPr>
              <w:jc w:val="center"/>
              <w:rPr>
                <w:rFonts w:ascii="Arial" w:hAnsi="Arial" w:cs="Arial"/>
                <w:b/>
                <w:bCs/>
                <w:sz w:val="16"/>
                <w:szCs w:val="16"/>
              </w:rPr>
            </w:pPr>
          </w:p>
        </w:tc>
        <w:tc>
          <w:tcPr>
            <w:tcW w:w="400" w:type="pct"/>
            <w:gridSpan w:val="2"/>
            <w:tcBorders>
              <w:bottom w:val="single" w:sz="4"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p>
        </w:tc>
        <w:tc>
          <w:tcPr>
            <w:tcW w:w="344" w:type="pct"/>
            <w:gridSpan w:val="2"/>
            <w:tcBorders>
              <w:bottom w:val="single" w:sz="4"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p>
        </w:tc>
        <w:tc>
          <w:tcPr>
            <w:tcW w:w="366" w:type="pct"/>
            <w:gridSpan w:val="2"/>
            <w:tcBorders>
              <w:bottom w:val="single" w:sz="4"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p>
        </w:tc>
        <w:tc>
          <w:tcPr>
            <w:tcW w:w="398" w:type="pct"/>
            <w:gridSpan w:val="2"/>
            <w:tcBorders>
              <w:bottom w:val="single" w:sz="4" w:space="0" w:color="auto"/>
            </w:tcBorders>
            <w:shd w:val="clear" w:color="auto" w:fill="auto"/>
            <w:vAlign w:val="bottom"/>
          </w:tcPr>
          <w:p w:rsidR="00B151F7" w:rsidRPr="00F95FEE" w:rsidRDefault="00B151F7" w:rsidP="00703D5A">
            <w:pPr>
              <w:jc w:val="center"/>
              <w:rPr>
                <w:rFonts w:ascii="Arial" w:hAnsi="Arial" w:cs="Arial"/>
                <w:b/>
                <w:bCs/>
                <w:sz w:val="16"/>
                <w:szCs w:val="16"/>
              </w:rPr>
            </w:pPr>
          </w:p>
        </w:tc>
        <w:tc>
          <w:tcPr>
            <w:tcW w:w="395" w:type="pct"/>
            <w:gridSpan w:val="3"/>
            <w:tcBorders>
              <w:bottom w:val="single" w:sz="4"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p>
        </w:tc>
        <w:tc>
          <w:tcPr>
            <w:tcW w:w="396" w:type="pct"/>
            <w:gridSpan w:val="2"/>
            <w:tcBorders>
              <w:bottom w:val="single" w:sz="4" w:space="0" w:color="auto"/>
            </w:tcBorders>
            <w:vAlign w:val="bottom"/>
          </w:tcPr>
          <w:p w:rsidR="00B151F7" w:rsidRPr="00F95FEE" w:rsidRDefault="00B151F7" w:rsidP="00703D5A">
            <w:pPr>
              <w:jc w:val="center"/>
              <w:rPr>
                <w:rFonts w:ascii="Arial" w:hAnsi="Arial" w:cs="Arial"/>
                <w:b/>
                <w:bCs/>
                <w:sz w:val="16"/>
                <w:szCs w:val="16"/>
              </w:rPr>
            </w:pPr>
          </w:p>
        </w:tc>
        <w:tc>
          <w:tcPr>
            <w:tcW w:w="404" w:type="pct"/>
            <w:gridSpan w:val="3"/>
            <w:tcBorders>
              <w:bottom w:val="single" w:sz="4" w:space="0" w:color="auto"/>
            </w:tcBorders>
            <w:shd w:val="clear" w:color="auto" w:fill="auto"/>
            <w:vAlign w:val="bottom"/>
          </w:tcPr>
          <w:p w:rsidR="00B151F7" w:rsidRPr="00F95FEE" w:rsidRDefault="00B151F7" w:rsidP="00703D5A">
            <w:pPr>
              <w:jc w:val="center"/>
              <w:rPr>
                <w:rFonts w:ascii="Arial" w:hAnsi="Arial" w:cs="Arial"/>
                <w:b/>
                <w:bCs/>
                <w:sz w:val="16"/>
                <w:szCs w:val="16"/>
              </w:rPr>
            </w:pPr>
          </w:p>
        </w:tc>
        <w:tc>
          <w:tcPr>
            <w:tcW w:w="662" w:type="pct"/>
            <w:gridSpan w:val="5"/>
            <w:tcBorders>
              <w:bottom w:val="single" w:sz="4" w:space="0" w:color="auto"/>
            </w:tcBorders>
            <w:shd w:val="clear" w:color="auto" w:fill="auto"/>
            <w:noWrap/>
            <w:vAlign w:val="bottom"/>
          </w:tcPr>
          <w:p w:rsidR="00B151F7" w:rsidRPr="00F95FEE" w:rsidRDefault="00B151F7" w:rsidP="00703D5A">
            <w:pPr>
              <w:jc w:val="center"/>
              <w:rPr>
                <w:rFonts w:ascii="Arial" w:hAnsi="Arial" w:cs="Arial"/>
                <w:b/>
                <w:bCs/>
                <w:sz w:val="16"/>
                <w:szCs w:val="16"/>
              </w:rPr>
            </w:pPr>
          </w:p>
        </w:tc>
        <w:tc>
          <w:tcPr>
            <w:tcW w:w="360" w:type="pct"/>
            <w:tcBorders>
              <w:bottom w:val="single" w:sz="4" w:space="0" w:color="auto"/>
            </w:tcBorders>
            <w:shd w:val="clear" w:color="auto" w:fill="auto"/>
            <w:vAlign w:val="bottom"/>
          </w:tcPr>
          <w:p w:rsidR="00B151F7" w:rsidRPr="00F95FEE" w:rsidRDefault="00B151F7" w:rsidP="00703D5A">
            <w:pPr>
              <w:jc w:val="center"/>
              <w:rPr>
                <w:rFonts w:ascii="Arial" w:hAnsi="Arial" w:cs="Arial"/>
                <w:b/>
                <w:bCs/>
                <w:sz w:val="16"/>
                <w:szCs w:val="16"/>
              </w:rPr>
            </w:pPr>
          </w:p>
        </w:tc>
      </w:tr>
      <w:tr w:rsidR="00B151F7" w:rsidRPr="00F95FEE" w:rsidTr="00750D43">
        <w:trPr>
          <w:trHeight w:val="92"/>
        </w:trPr>
        <w:tc>
          <w:tcPr>
            <w:tcW w:w="127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Performance Report and Performance Plan Targets</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FY 2005</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FY 2006</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FY 2007</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FY 2008</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FY 2009</w:t>
            </w:r>
          </w:p>
        </w:tc>
        <w:tc>
          <w:tcPr>
            <w:tcW w:w="396" w:type="pct"/>
            <w:gridSpan w:val="2"/>
            <w:tcBorders>
              <w:top w:val="single" w:sz="4" w:space="0" w:color="auto"/>
              <w:left w:val="single" w:sz="4" w:space="0" w:color="auto"/>
              <w:bottom w:val="single" w:sz="4" w:space="0" w:color="auto"/>
              <w:right w:val="single" w:sz="4" w:space="0" w:color="auto"/>
            </w:tcBorders>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FY 2010</w:t>
            </w:r>
          </w:p>
        </w:tc>
        <w:tc>
          <w:tcPr>
            <w:tcW w:w="684"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FY 2011</w:t>
            </w:r>
          </w:p>
        </w:tc>
        <w:tc>
          <w:tcPr>
            <w:tcW w:w="38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FY 2012</w:t>
            </w:r>
          </w:p>
        </w:tc>
        <w:tc>
          <w:tcPr>
            <w:tcW w:w="360" w:type="pct"/>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FY 2013</w:t>
            </w:r>
          </w:p>
        </w:tc>
      </w:tr>
      <w:tr w:rsidR="00B151F7" w:rsidRPr="00F95FEE" w:rsidTr="00750D43">
        <w:trPr>
          <w:trHeight w:val="193"/>
        </w:trPr>
        <w:tc>
          <w:tcPr>
            <w:tcW w:w="1275" w:type="pct"/>
            <w:gridSpan w:val="4"/>
            <w:vMerge/>
            <w:tcBorders>
              <w:top w:val="single" w:sz="4" w:space="0" w:color="auto"/>
              <w:left w:val="single" w:sz="4" w:space="0" w:color="auto"/>
              <w:bottom w:val="single" w:sz="4" w:space="0" w:color="auto"/>
              <w:right w:val="single" w:sz="4" w:space="0" w:color="auto"/>
            </w:tcBorders>
            <w:vAlign w:val="center"/>
          </w:tcPr>
          <w:p w:rsidR="00B151F7" w:rsidRPr="00C456A3" w:rsidRDefault="00B151F7" w:rsidP="00703D5A">
            <w:pPr>
              <w:rPr>
                <w:rFonts w:ascii="Arial" w:hAnsi="Arial" w:cs="Arial"/>
                <w:b/>
                <w:bCs/>
                <w:sz w:val="16"/>
                <w:szCs w:val="16"/>
              </w:rPr>
            </w:pP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 xml:space="preserve">Actual </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 xml:space="preserve">Actual </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 xml:space="preserve">Actual </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 xml:space="preserve">Actual </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 xml:space="preserve">Actual </w:t>
            </w:r>
          </w:p>
        </w:tc>
        <w:tc>
          <w:tcPr>
            <w:tcW w:w="396" w:type="pct"/>
            <w:gridSpan w:val="2"/>
            <w:tcBorders>
              <w:top w:val="single" w:sz="4" w:space="0" w:color="auto"/>
              <w:left w:val="single" w:sz="4" w:space="0" w:color="auto"/>
              <w:bottom w:val="single" w:sz="4" w:space="0" w:color="auto"/>
              <w:right w:val="single" w:sz="4" w:space="0" w:color="auto"/>
            </w:tcBorders>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Actual</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 xml:space="preserve">Target </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 xml:space="preserve">Actual </w:t>
            </w:r>
          </w:p>
        </w:tc>
        <w:tc>
          <w:tcPr>
            <w:tcW w:w="38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 xml:space="preserve">Target </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 xml:space="preserve">Target </w:t>
            </w:r>
          </w:p>
        </w:tc>
      </w:tr>
      <w:tr w:rsidR="00A773B4" w:rsidRPr="00F95FEE" w:rsidTr="00750D43">
        <w:trPr>
          <w:trHeight w:val="206"/>
        </w:trPr>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Outcome Measure</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rPr>
                <w:rFonts w:ascii="Arial" w:hAnsi="Arial" w:cs="Arial"/>
                <w:sz w:val="16"/>
                <w:szCs w:val="16"/>
              </w:rPr>
            </w:pPr>
            <w:r w:rsidRPr="00C456A3">
              <w:rPr>
                <w:rFonts w:ascii="Arial" w:hAnsi="Arial" w:cs="Arial"/>
                <w:sz w:val="16"/>
                <w:szCs w:val="16"/>
              </w:rPr>
              <w:t xml:space="preserve">Percent investigations resulting in disruption/dismantlement  of targeted organization </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N/A</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76%</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76%</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79%</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83%</w:t>
            </w:r>
          </w:p>
        </w:tc>
        <w:tc>
          <w:tcPr>
            <w:tcW w:w="396" w:type="pct"/>
            <w:gridSpan w:val="2"/>
            <w:tcBorders>
              <w:top w:val="single" w:sz="4" w:space="0" w:color="auto"/>
              <w:left w:val="single" w:sz="4" w:space="0" w:color="auto"/>
              <w:bottom w:val="single" w:sz="4" w:space="0" w:color="auto"/>
              <w:right w:val="single" w:sz="4" w:space="0" w:color="auto"/>
            </w:tcBorders>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80%</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78%</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8431A9" w:rsidP="00703D5A">
            <w:pPr>
              <w:jc w:val="center"/>
              <w:rPr>
                <w:rFonts w:ascii="Arial" w:hAnsi="Arial" w:cs="Arial"/>
                <w:sz w:val="16"/>
                <w:szCs w:val="16"/>
              </w:rPr>
            </w:pPr>
            <w:r>
              <w:rPr>
                <w:rFonts w:ascii="Arial" w:hAnsi="Arial" w:cs="Arial"/>
                <w:sz w:val="16"/>
                <w:szCs w:val="16"/>
              </w:rPr>
              <w:t>86</w:t>
            </w:r>
            <w:r w:rsidR="00B151F7" w:rsidRPr="00C456A3">
              <w:rPr>
                <w:rFonts w:ascii="Arial" w:hAnsi="Arial" w:cs="Arial"/>
                <w:sz w:val="16"/>
                <w:szCs w:val="16"/>
              </w:rPr>
              <w:t>%</w:t>
            </w:r>
          </w:p>
        </w:tc>
        <w:tc>
          <w:tcPr>
            <w:tcW w:w="3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78%</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78%</w:t>
            </w:r>
          </w:p>
        </w:tc>
      </w:tr>
      <w:tr w:rsidR="00A773B4" w:rsidRPr="00F95FEE" w:rsidTr="00750D43">
        <w:trPr>
          <w:trHeight w:val="130"/>
        </w:trPr>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Outcome Measure</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rPr>
                <w:rFonts w:ascii="Arial" w:hAnsi="Arial" w:cs="Arial"/>
                <w:sz w:val="16"/>
                <w:szCs w:val="16"/>
              </w:rPr>
            </w:pPr>
            <w:r w:rsidRPr="00C456A3">
              <w:rPr>
                <w:rFonts w:ascii="Arial" w:hAnsi="Arial" w:cs="Arial"/>
                <w:sz w:val="16"/>
                <w:szCs w:val="16"/>
              </w:rPr>
              <w:t xml:space="preserve">Number of CPOT-Linked Organizations disrupted/dismantled in OCDETF investigations </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127/29</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156/93</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135/64</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214/69</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162/99</w:t>
            </w:r>
          </w:p>
        </w:tc>
        <w:tc>
          <w:tcPr>
            <w:tcW w:w="396" w:type="pct"/>
            <w:gridSpan w:val="2"/>
            <w:tcBorders>
              <w:top w:val="single" w:sz="4" w:space="0" w:color="auto"/>
              <w:left w:val="single" w:sz="4" w:space="0" w:color="auto"/>
              <w:bottom w:val="single" w:sz="4" w:space="0" w:color="auto"/>
              <w:right w:val="single" w:sz="4" w:space="0" w:color="auto"/>
            </w:tcBorders>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212/120</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185/104</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D9597D" w:rsidP="00D9597D">
            <w:pPr>
              <w:jc w:val="center"/>
              <w:rPr>
                <w:rFonts w:ascii="Arial" w:hAnsi="Arial" w:cs="Arial"/>
                <w:sz w:val="16"/>
                <w:szCs w:val="16"/>
              </w:rPr>
            </w:pPr>
            <w:r>
              <w:rPr>
                <w:rFonts w:ascii="Arial" w:hAnsi="Arial" w:cs="Arial"/>
                <w:sz w:val="16"/>
                <w:szCs w:val="16"/>
              </w:rPr>
              <w:t>230/130</w:t>
            </w:r>
          </w:p>
        </w:tc>
        <w:tc>
          <w:tcPr>
            <w:tcW w:w="3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D9597D">
            <w:pPr>
              <w:jc w:val="center"/>
              <w:rPr>
                <w:rFonts w:ascii="Arial" w:hAnsi="Arial" w:cs="Arial"/>
                <w:sz w:val="16"/>
                <w:szCs w:val="16"/>
              </w:rPr>
            </w:pPr>
            <w:r w:rsidRPr="00C456A3">
              <w:rPr>
                <w:rFonts w:ascii="Arial" w:hAnsi="Arial" w:cs="Arial"/>
                <w:sz w:val="16"/>
                <w:szCs w:val="16"/>
              </w:rPr>
              <w:t>18</w:t>
            </w:r>
            <w:r w:rsidR="00D9597D">
              <w:rPr>
                <w:rFonts w:ascii="Arial" w:hAnsi="Arial" w:cs="Arial"/>
                <w:sz w:val="16"/>
                <w:szCs w:val="16"/>
              </w:rPr>
              <w:t>9</w:t>
            </w:r>
            <w:r w:rsidRPr="00C456A3">
              <w:rPr>
                <w:rFonts w:ascii="Arial" w:hAnsi="Arial" w:cs="Arial"/>
                <w:sz w:val="16"/>
                <w:szCs w:val="16"/>
              </w:rPr>
              <w:t>/</w:t>
            </w:r>
            <w:r w:rsidR="008431A9">
              <w:rPr>
                <w:rFonts w:ascii="Arial" w:hAnsi="Arial" w:cs="Arial"/>
                <w:sz w:val="16"/>
                <w:szCs w:val="16"/>
              </w:rPr>
              <w:t>95</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D9597D">
            <w:pPr>
              <w:jc w:val="center"/>
              <w:rPr>
                <w:rFonts w:ascii="Arial" w:hAnsi="Arial" w:cs="Arial"/>
                <w:sz w:val="16"/>
                <w:szCs w:val="16"/>
              </w:rPr>
            </w:pPr>
            <w:r w:rsidRPr="00C456A3">
              <w:rPr>
                <w:rFonts w:ascii="Arial" w:hAnsi="Arial" w:cs="Arial"/>
                <w:sz w:val="16"/>
                <w:szCs w:val="16"/>
              </w:rPr>
              <w:t>18</w:t>
            </w:r>
            <w:r w:rsidR="00D9597D">
              <w:rPr>
                <w:rFonts w:ascii="Arial" w:hAnsi="Arial" w:cs="Arial"/>
                <w:sz w:val="16"/>
                <w:szCs w:val="16"/>
              </w:rPr>
              <w:t>9</w:t>
            </w:r>
            <w:r w:rsidRPr="00C456A3">
              <w:rPr>
                <w:rFonts w:ascii="Arial" w:hAnsi="Arial" w:cs="Arial"/>
                <w:sz w:val="16"/>
                <w:szCs w:val="16"/>
              </w:rPr>
              <w:t>/</w:t>
            </w:r>
            <w:r w:rsidR="008431A9">
              <w:rPr>
                <w:rFonts w:ascii="Arial" w:hAnsi="Arial" w:cs="Arial"/>
                <w:sz w:val="16"/>
                <w:szCs w:val="16"/>
              </w:rPr>
              <w:t>95</w:t>
            </w:r>
          </w:p>
        </w:tc>
      </w:tr>
      <w:tr w:rsidR="00A773B4" w:rsidRPr="00F95FEE" w:rsidTr="00750D43">
        <w:trPr>
          <w:trHeight w:val="75"/>
        </w:trPr>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Outcome Measure</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rPr>
                <w:rFonts w:ascii="Arial" w:hAnsi="Arial" w:cs="Arial"/>
                <w:sz w:val="16"/>
                <w:szCs w:val="16"/>
              </w:rPr>
            </w:pPr>
            <w:r w:rsidRPr="00C456A3">
              <w:rPr>
                <w:rFonts w:ascii="Arial" w:hAnsi="Arial" w:cs="Arial"/>
                <w:sz w:val="16"/>
                <w:szCs w:val="16"/>
              </w:rPr>
              <w:t xml:space="preserve">Amount of Seized Assets from CPOT-Linked Organizations </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53M</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80M</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109M</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124M</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166M</w:t>
            </w:r>
          </w:p>
        </w:tc>
        <w:tc>
          <w:tcPr>
            <w:tcW w:w="396" w:type="pct"/>
            <w:gridSpan w:val="2"/>
            <w:tcBorders>
              <w:top w:val="single" w:sz="4" w:space="0" w:color="auto"/>
              <w:left w:val="single" w:sz="4" w:space="0" w:color="auto"/>
              <w:bottom w:val="single" w:sz="4" w:space="0" w:color="auto"/>
              <w:right w:val="single" w:sz="4" w:space="0" w:color="auto"/>
            </w:tcBorders>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244M</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122M</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8431A9">
            <w:pPr>
              <w:jc w:val="center"/>
              <w:rPr>
                <w:rFonts w:ascii="Arial" w:hAnsi="Arial" w:cs="Arial"/>
                <w:sz w:val="16"/>
                <w:szCs w:val="16"/>
              </w:rPr>
            </w:pPr>
            <w:r w:rsidRPr="00C456A3">
              <w:rPr>
                <w:rFonts w:ascii="Arial" w:hAnsi="Arial" w:cs="Arial"/>
                <w:sz w:val="16"/>
                <w:szCs w:val="16"/>
              </w:rPr>
              <w:t>1</w:t>
            </w:r>
            <w:r w:rsidR="008431A9">
              <w:rPr>
                <w:rFonts w:ascii="Arial" w:hAnsi="Arial" w:cs="Arial"/>
                <w:sz w:val="16"/>
                <w:szCs w:val="16"/>
              </w:rPr>
              <w:t>55</w:t>
            </w:r>
            <w:r w:rsidRPr="00C456A3">
              <w:rPr>
                <w:rFonts w:ascii="Arial" w:hAnsi="Arial" w:cs="Arial"/>
                <w:sz w:val="16"/>
                <w:szCs w:val="16"/>
              </w:rPr>
              <w:t>M</w:t>
            </w:r>
          </w:p>
        </w:tc>
        <w:tc>
          <w:tcPr>
            <w:tcW w:w="3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122M</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122M</w:t>
            </w:r>
          </w:p>
        </w:tc>
      </w:tr>
      <w:tr w:rsidR="00A773B4" w:rsidRPr="00F95FEE" w:rsidTr="00750D43">
        <w:trPr>
          <w:trHeight w:val="130"/>
        </w:trPr>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jc w:val="center"/>
              <w:rPr>
                <w:rFonts w:ascii="Arial" w:hAnsi="Arial" w:cs="Arial"/>
                <w:b/>
                <w:bCs/>
                <w:sz w:val="16"/>
                <w:szCs w:val="16"/>
              </w:rPr>
            </w:pPr>
            <w:r w:rsidRPr="00C456A3">
              <w:rPr>
                <w:rFonts w:ascii="Arial" w:hAnsi="Arial" w:cs="Arial"/>
                <w:b/>
                <w:bCs/>
                <w:sz w:val="16"/>
                <w:szCs w:val="16"/>
              </w:rPr>
              <w:t>Outcome Measure</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151F7" w:rsidRPr="00C456A3" w:rsidRDefault="00B151F7" w:rsidP="00703D5A">
            <w:pPr>
              <w:rPr>
                <w:rFonts w:ascii="Arial" w:hAnsi="Arial" w:cs="Arial"/>
                <w:sz w:val="16"/>
                <w:szCs w:val="16"/>
              </w:rPr>
            </w:pPr>
            <w:r w:rsidRPr="00C456A3">
              <w:rPr>
                <w:rFonts w:ascii="Arial" w:hAnsi="Arial" w:cs="Arial"/>
                <w:sz w:val="16"/>
                <w:szCs w:val="16"/>
              </w:rPr>
              <w:t>Percentage of Aggregate Domestic Drug Supply related to Dismantled/Disrupted CPOT-Linked organizations</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N/A</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N/A</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N/A</w:t>
            </w: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N/A</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N/A</w:t>
            </w:r>
          </w:p>
        </w:tc>
        <w:tc>
          <w:tcPr>
            <w:tcW w:w="396" w:type="pct"/>
            <w:gridSpan w:val="2"/>
            <w:tcBorders>
              <w:top w:val="single" w:sz="4" w:space="0" w:color="auto"/>
              <w:left w:val="single" w:sz="4" w:space="0" w:color="auto"/>
              <w:bottom w:val="single" w:sz="4" w:space="0" w:color="auto"/>
              <w:right w:val="single" w:sz="4" w:space="0" w:color="auto"/>
            </w:tcBorders>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N/A</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N/A</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N/A</w:t>
            </w:r>
          </w:p>
        </w:tc>
        <w:tc>
          <w:tcPr>
            <w:tcW w:w="3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N/A</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51F7" w:rsidRPr="00C456A3" w:rsidRDefault="00B151F7" w:rsidP="00703D5A">
            <w:pPr>
              <w:jc w:val="center"/>
              <w:rPr>
                <w:rFonts w:ascii="Arial" w:hAnsi="Arial" w:cs="Arial"/>
                <w:sz w:val="16"/>
                <w:szCs w:val="16"/>
              </w:rPr>
            </w:pPr>
            <w:r w:rsidRPr="00C456A3">
              <w:rPr>
                <w:rFonts w:ascii="Arial" w:hAnsi="Arial" w:cs="Arial"/>
                <w:sz w:val="16"/>
                <w:szCs w:val="16"/>
              </w:rPr>
              <w:t>N/A</w:t>
            </w:r>
          </w:p>
        </w:tc>
      </w:tr>
    </w:tbl>
    <w:p w:rsidR="00B54490" w:rsidRDefault="00B54490" w:rsidP="00F77B57"/>
    <w:p w:rsidR="00B54490" w:rsidRDefault="00B54490" w:rsidP="00F77B57"/>
    <w:p w:rsidR="006031F3" w:rsidRDefault="006031F3">
      <w:pPr>
        <w:rPr>
          <w:b/>
          <w:sz w:val="52"/>
          <w:szCs w:val="52"/>
        </w:rPr>
      </w:pPr>
      <w:r>
        <w:rPr>
          <w:b/>
          <w:sz w:val="52"/>
          <w:szCs w:val="52"/>
        </w:rPr>
        <w:br w:type="page"/>
      </w:r>
    </w:p>
    <w:p w:rsidR="00B54490" w:rsidRPr="000A6817" w:rsidRDefault="006545B9" w:rsidP="00BF4E18">
      <w:pPr>
        <w:rPr>
          <w:b/>
          <w:sz w:val="52"/>
          <w:szCs w:val="52"/>
        </w:rPr>
        <w:sectPr w:rsidR="00B54490" w:rsidRPr="000A6817" w:rsidSect="008B46B1">
          <w:pgSz w:w="15840" w:h="12240" w:orient="landscape" w:code="1"/>
          <w:pgMar w:top="1080" w:right="1440" w:bottom="1080" w:left="1440" w:header="720" w:footer="720" w:gutter="0"/>
          <w:cols w:space="720"/>
          <w:docGrid w:linePitch="326"/>
        </w:sectPr>
      </w:pPr>
      <w:r>
        <w:rPr>
          <w:b/>
          <w:noProof/>
          <w:sz w:val="52"/>
          <w:szCs w:val="52"/>
        </w:rPr>
        <w:lastRenderedPageBreak/>
        <w:drawing>
          <wp:inline distT="0" distB="0" distL="0" distR="0">
            <wp:extent cx="8229600" cy="6359525"/>
            <wp:effectExtent l="19050" t="0" r="0" b="0"/>
            <wp:docPr id="8" name="Picture 7" descr="2013 Congressional Submission Summary of Resourc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Congressional Submission Summary of Resources (2).jpg"/>
                    <pic:cNvPicPr/>
                  </pic:nvPicPr>
                  <pic:blipFill>
                    <a:blip r:embed="rId27"/>
                    <a:stretch>
                      <a:fillRect/>
                    </a:stretch>
                  </pic:blipFill>
                  <pic:spPr>
                    <a:xfrm>
                      <a:off x="0" y="0"/>
                      <a:ext cx="8229600" cy="6359525"/>
                    </a:xfrm>
                    <a:prstGeom prst="rect">
                      <a:avLst/>
                    </a:prstGeom>
                  </pic:spPr>
                </pic:pic>
              </a:graphicData>
            </a:graphic>
          </wp:inline>
        </w:drawing>
      </w:r>
    </w:p>
    <w:p w:rsidR="008C56D5" w:rsidRPr="000A6817" w:rsidRDefault="004C3394" w:rsidP="008C56D5">
      <w:pPr>
        <w:pStyle w:val="xl19"/>
        <w:tabs>
          <w:tab w:val="left" w:pos="3420"/>
          <w:tab w:val="right" w:pos="8640"/>
        </w:tabs>
        <w:spacing w:before="0" w:after="0"/>
        <w:rPr>
          <w:b/>
          <w:bCs/>
          <w:szCs w:val="24"/>
        </w:rPr>
      </w:pPr>
      <w:r>
        <w:rPr>
          <w:b/>
          <w:bCs/>
          <w:szCs w:val="24"/>
        </w:rPr>
        <w:lastRenderedPageBreak/>
        <w:t xml:space="preserve">V. </w:t>
      </w:r>
      <w:r w:rsidR="008C56D5">
        <w:rPr>
          <w:b/>
          <w:bCs/>
          <w:szCs w:val="24"/>
        </w:rPr>
        <w:t xml:space="preserve"> </w:t>
      </w:r>
      <w:r w:rsidR="008C56D5" w:rsidRPr="000A6817">
        <w:rPr>
          <w:b/>
          <w:bCs/>
          <w:szCs w:val="24"/>
        </w:rPr>
        <w:t xml:space="preserve">Program </w:t>
      </w:r>
      <w:r w:rsidR="001D6DE2">
        <w:rPr>
          <w:b/>
          <w:bCs/>
          <w:szCs w:val="24"/>
        </w:rPr>
        <w:t>Increas</w:t>
      </w:r>
      <w:r w:rsidR="008C56D5" w:rsidRPr="000A6817">
        <w:rPr>
          <w:b/>
          <w:bCs/>
          <w:szCs w:val="24"/>
        </w:rPr>
        <w:t>es by Item</w:t>
      </w:r>
    </w:p>
    <w:p w:rsidR="008C56D5" w:rsidRPr="000A6817" w:rsidRDefault="008C56D5" w:rsidP="008C56D5">
      <w:pPr>
        <w:pStyle w:val="xl19"/>
        <w:tabs>
          <w:tab w:val="left" w:pos="3420"/>
          <w:tab w:val="right" w:pos="8640"/>
        </w:tabs>
        <w:spacing w:before="0" w:after="0"/>
        <w:rPr>
          <w:b/>
          <w:bCs/>
        </w:rPr>
      </w:pPr>
    </w:p>
    <w:p w:rsidR="008C56D5" w:rsidRDefault="008C56D5" w:rsidP="008C56D5">
      <w:pPr>
        <w:pStyle w:val="xl19"/>
        <w:tabs>
          <w:tab w:val="left" w:pos="3420"/>
          <w:tab w:val="right" w:pos="8640"/>
        </w:tabs>
        <w:spacing w:before="0" w:after="0"/>
        <w:rPr>
          <w:b/>
          <w:bCs/>
        </w:rPr>
      </w:pPr>
      <w:r w:rsidRPr="00BE3210">
        <w:rPr>
          <w:b/>
          <w:bCs/>
        </w:rPr>
        <w:t>Item Name:</w:t>
      </w:r>
      <w:r w:rsidR="00291EF3">
        <w:rPr>
          <w:b/>
          <w:bCs/>
        </w:rPr>
        <w:t xml:space="preserve"> </w:t>
      </w:r>
      <w:r w:rsidR="00B630A4">
        <w:rPr>
          <w:b/>
          <w:bCs/>
        </w:rPr>
        <w:t>Trans</w:t>
      </w:r>
      <w:r w:rsidR="007050B7">
        <w:rPr>
          <w:b/>
          <w:bCs/>
        </w:rPr>
        <w:t>national Organized</w:t>
      </w:r>
      <w:r w:rsidR="00CE0964">
        <w:rPr>
          <w:b/>
          <w:bCs/>
        </w:rPr>
        <w:t xml:space="preserve"> Crime</w:t>
      </w:r>
      <w:r w:rsidRPr="00BE3210">
        <w:rPr>
          <w:b/>
          <w:bCs/>
        </w:rPr>
        <w:tab/>
      </w:r>
    </w:p>
    <w:p w:rsidR="00597C19" w:rsidRPr="00BE3210" w:rsidRDefault="00597C19" w:rsidP="008C56D5">
      <w:pPr>
        <w:pStyle w:val="xl19"/>
        <w:tabs>
          <w:tab w:val="left" w:pos="3420"/>
          <w:tab w:val="right" w:pos="8640"/>
        </w:tabs>
        <w:spacing w:before="0" w:after="0"/>
      </w:pPr>
    </w:p>
    <w:p w:rsidR="008C56D5" w:rsidRPr="00BE3210" w:rsidRDefault="008C56D5" w:rsidP="008C56D5">
      <w:pPr>
        <w:pStyle w:val="xl19"/>
        <w:tabs>
          <w:tab w:val="left" w:pos="3420"/>
          <w:tab w:val="right" w:pos="8640"/>
        </w:tabs>
        <w:spacing w:before="0" w:after="0"/>
      </w:pPr>
      <w:r w:rsidRPr="00BE3210">
        <w:t xml:space="preserve">Budget Decision Unit(s): </w:t>
      </w:r>
      <w:r w:rsidRPr="00BE3210">
        <w:tab/>
      </w:r>
      <w:r w:rsidR="006A6947">
        <w:t>Transnational Organized Crime</w:t>
      </w:r>
      <w:r w:rsidR="00B77391">
        <w:t xml:space="preserve"> (TOC)</w:t>
      </w:r>
      <w:r w:rsidR="006A6947">
        <w:t xml:space="preserve"> </w:t>
      </w:r>
      <w:r w:rsidRPr="00BE3210">
        <w:t xml:space="preserve">Investigations </w:t>
      </w:r>
    </w:p>
    <w:p w:rsidR="008C56D5" w:rsidRPr="00BE3210" w:rsidRDefault="008C56D5" w:rsidP="008C56D5">
      <w:pPr>
        <w:pStyle w:val="xl19"/>
        <w:tabs>
          <w:tab w:val="left" w:pos="3420"/>
          <w:tab w:val="right" w:pos="8640"/>
        </w:tabs>
        <w:spacing w:before="0" w:after="0"/>
      </w:pPr>
      <w:r w:rsidRPr="00BE3210">
        <w:t>Strategic Goal(s) &amp; Objective(s):</w:t>
      </w:r>
      <w:r w:rsidRPr="00BE3210">
        <w:tab/>
      </w:r>
      <w:r w:rsidR="00B77391" w:rsidRPr="00BE3210">
        <w:t>Goal 2:  Objective 2.</w:t>
      </w:r>
      <w:r w:rsidR="00B77391">
        <w:t>1; 2.2; 2.4; and 2.5</w:t>
      </w:r>
    </w:p>
    <w:p w:rsidR="008C56D5" w:rsidRPr="00BE3210" w:rsidRDefault="008C56D5" w:rsidP="008C56D5">
      <w:pPr>
        <w:pStyle w:val="xl19"/>
        <w:tabs>
          <w:tab w:val="left" w:pos="3420"/>
          <w:tab w:val="right" w:pos="8640"/>
        </w:tabs>
        <w:spacing w:before="0" w:after="0"/>
      </w:pPr>
      <w:r w:rsidRPr="00BE3210">
        <w:t>Organizational Program:</w:t>
      </w:r>
      <w:r w:rsidRPr="00BE3210">
        <w:tab/>
        <w:t>OCDETF Program</w:t>
      </w:r>
    </w:p>
    <w:p w:rsidR="008C56D5" w:rsidRPr="00BE3210" w:rsidRDefault="008C56D5" w:rsidP="008C56D5">
      <w:pPr>
        <w:pStyle w:val="xl19"/>
        <w:tabs>
          <w:tab w:val="left" w:pos="3420"/>
          <w:tab w:val="right" w:pos="4320"/>
        </w:tabs>
        <w:spacing w:before="0" w:after="0"/>
      </w:pPr>
    </w:p>
    <w:p w:rsidR="008C56D5" w:rsidRPr="00BE3210" w:rsidRDefault="008C56D5" w:rsidP="008C56D5">
      <w:pPr>
        <w:pStyle w:val="xl19"/>
        <w:tabs>
          <w:tab w:val="left" w:pos="3420"/>
          <w:tab w:val="right" w:pos="4320"/>
        </w:tabs>
        <w:spacing w:before="0" w:after="0"/>
        <w:rPr>
          <w:u w:val="single"/>
        </w:rPr>
      </w:pPr>
      <w:r w:rsidRPr="00BE3210">
        <w:t xml:space="preserve">Component Ranking of Item: </w:t>
      </w:r>
      <w:r w:rsidRPr="00BE3210">
        <w:tab/>
        <w:t xml:space="preserve"> </w:t>
      </w:r>
      <w:r w:rsidR="00BA386F">
        <w:t>1 of 1</w:t>
      </w:r>
    </w:p>
    <w:p w:rsidR="008C56D5" w:rsidRPr="00BE3210" w:rsidRDefault="008C56D5" w:rsidP="008C56D5">
      <w:pPr>
        <w:pStyle w:val="xl19"/>
        <w:spacing w:before="0" w:after="0"/>
      </w:pPr>
    </w:p>
    <w:p w:rsidR="008C56D5" w:rsidRPr="0068689F" w:rsidRDefault="008C56D5" w:rsidP="008C56D5">
      <w:pPr>
        <w:pStyle w:val="xl19"/>
        <w:tabs>
          <w:tab w:val="left" w:pos="2340"/>
          <w:tab w:val="right" w:pos="3060"/>
          <w:tab w:val="left" w:pos="3600"/>
          <w:tab w:val="right" w:pos="4500"/>
          <w:tab w:val="left" w:pos="5310"/>
          <w:tab w:val="right" w:pos="6300"/>
        </w:tabs>
        <w:spacing w:before="0" w:after="0"/>
        <w:rPr>
          <w:shadow/>
        </w:rPr>
      </w:pPr>
      <w:r w:rsidRPr="002B00D4">
        <w:t xml:space="preserve">Program </w:t>
      </w:r>
      <w:r w:rsidR="00597C19">
        <w:t>Reduction</w:t>
      </w:r>
      <w:r w:rsidRPr="002B00D4">
        <w:t>:  Positions</w:t>
      </w:r>
      <w:r w:rsidR="00B77391">
        <w:t xml:space="preserve"> </w:t>
      </w:r>
      <w:r w:rsidR="000300ED" w:rsidRPr="000300ED">
        <w:rPr>
          <w:u w:val="single"/>
        </w:rPr>
        <w:t>1</w:t>
      </w:r>
      <w:r w:rsidRPr="002B00D4">
        <w:t xml:space="preserve">  </w:t>
      </w:r>
      <w:r w:rsidR="00F5534B">
        <w:t xml:space="preserve">  </w:t>
      </w:r>
      <w:proofErr w:type="spellStart"/>
      <w:r w:rsidRPr="002B00D4">
        <w:t>Agt</w:t>
      </w:r>
      <w:proofErr w:type="spellEnd"/>
      <w:r w:rsidRPr="002B00D4">
        <w:t>/</w:t>
      </w:r>
      <w:proofErr w:type="spellStart"/>
      <w:r w:rsidRPr="002B00D4">
        <w:t>Atty</w:t>
      </w:r>
      <w:proofErr w:type="spellEnd"/>
      <w:r w:rsidR="00B77391">
        <w:t xml:space="preserve"> </w:t>
      </w:r>
      <w:r w:rsidR="000300ED" w:rsidRPr="000300ED">
        <w:rPr>
          <w:u w:val="single"/>
        </w:rPr>
        <w:t>1</w:t>
      </w:r>
      <w:r w:rsidR="00F5534B">
        <w:t xml:space="preserve">    </w:t>
      </w:r>
      <w:r w:rsidRPr="002B00D4">
        <w:t xml:space="preserve">FTE </w:t>
      </w:r>
      <w:r w:rsidR="000300ED" w:rsidRPr="000300ED">
        <w:rPr>
          <w:u w:val="single"/>
        </w:rPr>
        <w:t>1</w:t>
      </w:r>
      <w:r w:rsidR="00F5534B">
        <w:t xml:space="preserve">    </w:t>
      </w:r>
      <w:r w:rsidRPr="002B00D4">
        <w:t xml:space="preserve">Dollars </w:t>
      </w:r>
      <w:r w:rsidR="000300ED" w:rsidRPr="000300ED">
        <w:rPr>
          <w:u w:val="single"/>
        </w:rPr>
        <w:t>$3,000,000</w:t>
      </w:r>
    </w:p>
    <w:p w:rsidR="00597C19" w:rsidRDefault="00597C19" w:rsidP="008C56D5">
      <w:pPr>
        <w:pStyle w:val="xl24"/>
        <w:spacing w:before="0" w:after="0"/>
        <w:rPr>
          <w:shadow/>
        </w:rPr>
      </w:pPr>
    </w:p>
    <w:p w:rsidR="008C56D5" w:rsidRPr="006A0EC9" w:rsidRDefault="008C56D5" w:rsidP="008C56D5">
      <w:pPr>
        <w:pStyle w:val="xl24"/>
        <w:spacing w:before="0" w:after="0"/>
      </w:pPr>
      <w:r w:rsidRPr="006A0EC9">
        <w:t xml:space="preserve">Description </w:t>
      </w:r>
      <w:proofErr w:type="gramStart"/>
      <w:r w:rsidRPr="006A0EC9">
        <w:t xml:space="preserve">of </w:t>
      </w:r>
      <w:r w:rsidR="003014C5">
        <w:t xml:space="preserve"> </w:t>
      </w:r>
      <w:r w:rsidRPr="006A0EC9">
        <w:t>Item</w:t>
      </w:r>
      <w:proofErr w:type="gramEnd"/>
    </w:p>
    <w:p w:rsidR="003755A3" w:rsidRDefault="003755A3" w:rsidP="003755A3">
      <w:pPr>
        <w:pStyle w:val="xl19"/>
        <w:tabs>
          <w:tab w:val="left" w:pos="3420"/>
          <w:tab w:val="right" w:pos="8640"/>
        </w:tabs>
        <w:spacing w:before="0" w:after="0"/>
        <w:ind w:hanging="3420"/>
      </w:pPr>
      <w:r>
        <w:t xml:space="preserve">$5,363,000 and </w:t>
      </w:r>
      <w:r w:rsidR="006A6947">
        <w:tab/>
      </w:r>
      <w:r w:rsidRPr="00BE0946">
        <w:t xml:space="preserve"> </w:t>
      </w:r>
    </w:p>
    <w:p w:rsidR="00C456A3" w:rsidRPr="00A90A93" w:rsidRDefault="007F56F4" w:rsidP="007F56F4">
      <w:pPr>
        <w:widowControl w:val="0"/>
        <w:tabs>
          <w:tab w:val="left" w:pos="1980"/>
        </w:tabs>
        <w:ind w:right="15"/>
      </w:pPr>
      <w:r w:rsidRPr="00A90A93">
        <w:rPr>
          <w:iCs/>
        </w:rPr>
        <w:t xml:space="preserve">IOC-2 is a multi-agency intelligence center whose mission is to significantly disrupt and dismantle those international criminal organizations posing the greatest threat to the United States.  Participating components include the Bureau of Alcohol, Tobacco, Firearms and Explosives, Criminal Division, Drug Enforcement Administration and the Federal Bureau of Investigation.  </w:t>
      </w:r>
      <w:r w:rsidR="00C456A3" w:rsidRPr="00A90A93">
        <w:t xml:space="preserve">The initial operations at IOC-2, although limited by low staffing levels and limited financial resources, reveals the potential of the IOC-2 to support many more multi-jurisdictional investigations of priority targets (nationally and internationally).  </w:t>
      </w:r>
      <w:r w:rsidR="00E5413C">
        <w:t>Though</w:t>
      </w:r>
      <w:r w:rsidR="006545B9" w:rsidRPr="006545B9">
        <w:t xml:space="preserve"> </w:t>
      </w:r>
      <w:r w:rsidR="006545B9">
        <w:t>some OCDETF components received small reimbursements for ancillary cost associated with IOC2 operations</w:t>
      </w:r>
      <w:r w:rsidR="006545B9" w:rsidRPr="006545B9">
        <w:t xml:space="preserve"> </w:t>
      </w:r>
      <w:r w:rsidR="006545B9">
        <w:t xml:space="preserve">in FY 2010 and 2011, </w:t>
      </w:r>
      <w:r w:rsidR="00E5413C">
        <w:t>there presently is no dedicated source of funding</w:t>
      </w:r>
      <w:r w:rsidR="0048640B">
        <w:t>.</w:t>
      </w:r>
      <w:r w:rsidR="00C456A3" w:rsidRPr="00A90A93">
        <w:t xml:space="preserve"> </w:t>
      </w:r>
      <w:r w:rsidR="0048640B" w:rsidRPr="00A90A93">
        <w:t>Currently the IOC-2 is forced to limit its support to a small number of priority investigations and operations.</w:t>
      </w:r>
      <w:r w:rsidR="0048640B">
        <w:t xml:space="preserve"> </w:t>
      </w:r>
      <w:r w:rsidR="00C456A3" w:rsidRPr="00A90A93">
        <w:t xml:space="preserve">The OCDETF Program </w:t>
      </w:r>
      <w:r w:rsidR="0048082A">
        <w:t>requests</w:t>
      </w:r>
      <w:r w:rsidR="00C456A3" w:rsidRPr="00A90A93">
        <w:t xml:space="preserve"> $3,000,000 for operational and administrative costs in support of IOC</w:t>
      </w:r>
      <w:r w:rsidR="0048082A">
        <w:t>-2</w:t>
      </w:r>
      <w:r w:rsidR="00C456A3" w:rsidRPr="00A90A93">
        <w:t xml:space="preserve"> investiga</w:t>
      </w:r>
      <w:r w:rsidR="00A773B4">
        <w:t>tions.  The proposal includes $1</w:t>
      </w:r>
      <w:r w:rsidR="00C456A3" w:rsidRPr="00A90A93">
        <w:t xml:space="preserve">00,000 </w:t>
      </w:r>
      <w:r w:rsidR="00872A39" w:rsidRPr="00A90A93">
        <w:t>for</w:t>
      </w:r>
      <w:r w:rsidR="00C456A3" w:rsidRPr="00A90A93">
        <w:t xml:space="preserve"> the salary and benefit costs of </w:t>
      </w:r>
      <w:r w:rsidRPr="00A90A93">
        <w:t>bring</w:t>
      </w:r>
      <w:r w:rsidR="00872A39" w:rsidRPr="00A90A93">
        <w:t xml:space="preserve">ing </w:t>
      </w:r>
      <w:r w:rsidRPr="00A90A93">
        <w:t xml:space="preserve">on board </w:t>
      </w:r>
      <w:r w:rsidR="00872A39" w:rsidRPr="00A90A93">
        <w:t xml:space="preserve">an </w:t>
      </w:r>
      <w:r w:rsidR="0018730B">
        <w:t>AGOCC/</w:t>
      </w:r>
      <w:r w:rsidR="00872A39" w:rsidRPr="00A90A93">
        <w:t>IOC</w:t>
      </w:r>
      <w:r w:rsidR="0048082A">
        <w:t>-2</w:t>
      </w:r>
      <w:r w:rsidR="00C456A3" w:rsidRPr="00A90A93">
        <w:t xml:space="preserve"> Deputy Director. </w:t>
      </w:r>
    </w:p>
    <w:p w:rsidR="00C456A3" w:rsidRDefault="00C456A3" w:rsidP="00C456A3">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szCs w:val="24"/>
        </w:rPr>
      </w:pPr>
    </w:p>
    <w:p w:rsidR="006A0EC9" w:rsidRPr="006A0EC9" w:rsidRDefault="006A0EC9" w:rsidP="00C456A3">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szCs w:val="24"/>
          <w:u w:val="single"/>
        </w:rPr>
      </w:pPr>
      <w:r w:rsidRPr="006A0EC9">
        <w:rPr>
          <w:szCs w:val="24"/>
          <w:u w:val="single"/>
        </w:rPr>
        <w:t>Justification</w:t>
      </w:r>
    </w:p>
    <w:p w:rsidR="006A0EC9" w:rsidRPr="00A90A93" w:rsidRDefault="006A0EC9" w:rsidP="00C456A3">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rPr>
          <w:szCs w:val="24"/>
        </w:rPr>
      </w:pPr>
    </w:p>
    <w:p w:rsidR="005969AE" w:rsidRPr="00B77391" w:rsidRDefault="00FF7480" w:rsidP="00FF7480">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pPr>
      <w:r w:rsidRPr="00A90A93">
        <w:rPr>
          <w:szCs w:val="24"/>
        </w:rPr>
        <w:t>The remaining $2.</w:t>
      </w:r>
      <w:r w:rsidR="00A773B4">
        <w:rPr>
          <w:szCs w:val="24"/>
        </w:rPr>
        <w:t>9</w:t>
      </w:r>
      <w:r w:rsidRPr="00A90A93">
        <w:rPr>
          <w:szCs w:val="24"/>
        </w:rPr>
        <w:t xml:space="preserve"> million will be used for IOC</w:t>
      </w:r>
      <w:r w:rsidR="0048082A">
        <w:rPr>
          <w:szCs w:val="24"/>
        </w:rPr>
        <w:t>-2</w:t>
      </w:r>
      <w:r w:rsidRPr="00A90A93">
        <w:rPr>
          <w:szCs w:val="24"/>
        </w:rPr>
        <w:t xml:space="preserve"> operational and administrative costs.  </w:t>
      </w:r>
      <w:r w:rsidR="007F56F4" w:rsidRPr="00A90A93">
        <w:rPr>
          <w:szCs w:val="24"/>
        </w:rPr>
        <w:t>T</w:t>
      </w:r>
      <w:r w:rsidR="005969AE" w:rsidRPr="00A90A93">
        <w:t xml:space="preserve">he operational costs related to investigating and </w:t>
      </w:r>
      <w:r w:rsidR="009F412F">
        <w:t>prosecuting T</w:t>
      </w:r>
      <w:r w:rsidR="005969AE" w:rsidRPr="00A90A93">
        <w:t>OC cases include such items as domestic and overseas travel and temporary duty assignments, wiretaps, translation services, expert witness fees, the establishment and support of regional IOC</w:t>
      </w:r>
      <w:r w:rsidR="0048082A">
        <w:t>-2</w:t>
      </w:r>
      <w:r w:rsidR="005969AE" w:rsidRPr="00A90A93">
        <w:t xml:space="preserve"> task forces, and similar items that require a dedicated source of funding to encourage a unified multi-agency approach to investigations.  </w:t>
      </w:r>
      <w:r w:rsidRPr="00A90A93">
        <w:rPr>
          <w:szCs w:val="24"/>
        </w:rPr>
        <w:t>The requested funding would also enable IOC-2 to host case coordination meetings, to support criminal investigations, to assist in developing critical relationships with foreign law enforcement, to provide analytical support to ongoing investigations and prosecutions, and to further enhance the technical and analytical tools necessary to successfully merge and analyze evidence and intelligence from its member agencies and other sources.</w:t>
      </w:r>
    </w:p>
    <w:p w:rsidR="005969AE" w:rsidRDefault="005969AE" w:rsidP="005969AE"/>
    <w:p w:rsidR="00652E05" w:rsidRDefault="00652E05" w:rsidP="00BF4E18">
      <w:pPr>
        <w:pStyle w:val="xl24"/>
        <w:spacing w:before="0" w:after="0"/>
      </w:pPr>
    </w:p>
    <w:p w:rsidR="00652E05" w:rsidRDefault="00652E05" w:rsidP="00BF4E18">
      <w:pPr>
        <w:pStyle w:val="xl24"/>
        <w:spacing w:before="0" w:after="0"/>
      </w:pPr>
    </w:p>
    <w:p w:rsidR="00652E05" w:rsidRDefault="00652E05" w:rsidP="00BF4E18">
      <w:pPr>
        <w:pStyle w:val="xl24"/>
        <w:spacing w:before="0" w:after="0"/>
      </w:pPr>
    </w:p>
    <w:p w:rsidR="003755A3" w:rsidRDefault="00652E05" w:rsidP="00BF4E18">
      <w:pPr>
        <w:pStyle w:val="xl24"/>
        <w:spacing w:before="0" w:after="0"/>
      </w:pPr>
      <w:r>
        <w:lastRenderedPageBreak/>
        <w:t>I</w:t>
      </w:r>
      <w:r w:rsidR="003755A3">
        <w:t>mpact on Performance (Relationship of Increase to Strategic Goals)</w:t>
      </w:r>
    </w:p>
    <w:p w:rsidR="00BF4E18" w:rsidRDefault="00BF4E18" w:rsidP="00BF4E18">
      <w:pPr>
        <w:pStyle w:val="BodyText"/>
        <w:spacing w:after="0"/>
      </w:pPr>
    </w:p>
    <w:p w:rsidR="003755A3" w:rsidRDefault="007F56F4" w:rsidP="00BF4E18">
      <w:pPr>
        <w:pStyle w:val="BodyText"/>
        <w:spacing w:after="0"/>
        <w:rPr>
          <w:bCs/>
        </w:rPr>
      </w:pPr>
      <w:r>
        <w:t>T</w:t>
      </w:r>
      <w:r w:rsidR="003755A3">
        <w:t xml:space="preserve">he TOC Program </w:t>
      </w:r>
      <w:r w:rsidR="003755A3" w:rsidRPr="00792F2D">
        <w:t xml:space="preserve">enhancements </w:t>
      </w:r>
      <w:r w:rsidR="003755A3">
        <w:t xml:space="preserve">for IOC-2 </w:t>
      </w:r>
      <w:r w:rsidR="003755A3" w:rsidRPr="00792F2D">
        <w:t xml:space="preserve">directly support </w:t>
      </w:r>
      <w:r w:rsidR="003755A3">
        <w:t xml:space="preserve">a number of </w:t>
      </w:r>
      <w:r w:rsidR="003755A3" w:rsidRPr="00792F2D">
        <w:t>the Department of Justice’s Strategic Objective</w:t>
      </w:r>
      <w:r w:rsidR="003755A3">
        <w:t>s, including Strategic Objective 2.1: “</w:t>
      </w:r>
      <w:r w:rsidR="00B028F9">
        <w:t>Combat the threat, incidence, and prevalence of violent crime</w:t>
      </w:r>
      <w:r w:rsidR="003755A3" w:rsidRPr="00A83743">
        <w:t xml:space="preserve">;” Strategic Objective </w:t>
      </w:r>
      <w:r w:rsidR="003755A3">
        <w:t>2.</w:t>
      </w:r>
      <w:r w:rsidR="00B028F9">
        <w:t>3</w:t>
      </w:r>
      <w:r w:rsidR="003755A3">
        <w:t>: “</w:t>
      </w:r>
      <w:r w:rsidR="00B028F9">
        <w:t>Combat the threat, trafficking, and use of illegal drugs and the diversion of licit drugs</w:t>
      </w:r>
      <w:r w:rsidR="003755A3" w:rsidRPr="00A83743">
        <w:t>;”</w:t>
      </w:r>
      <w:r w:rsidR="003755A3">
        <w:t xml:space="preserve"> </w:t>
      </w:r>
      <w:r w:rsidR="00B028F9">
        <w:t xml:space="preserve">and </w:t>
      </w:r>
      <w:r w:rsidR="003755A3">
        <w:t>Strategic Objective 2.4: “</w:t>
      </w:r>
      <w:r w:rsidR="00B028F9">
        <w:rPr>
          <w:bCs/>
        </w:rPr>
        <w:t>Combat corruption, economic crimes, and international organized crime.</w:t>
      </w:r>
      <w:r w:rsidR="003755A3">
        <w:rPr>
          <w:bCs/>
        </w:rPr>
        <w:t>”</w:t>
      </w:r>
      <w:r w:rsidR="003755A3" w:rsidRPr="00792F2D">
        <w:t xml:space="preserve"> </w:t>
      </w:r>
    </w:p>
    <w:p w:rsidR="001D6DE2" w:rsidRDefault="001D6DE2" w:rsidP="003755A3">
      <w:pPr>
        <w:pStyle w:val="BodyText"/>
        <w:rPr>
          <w:bCs/>
        </w:rPr>
      </w:pPr>
    </w:p>
    <w:p w:rsidR="001D6DE2" w:rsidRPr="001D6DE2" w:rsidRDefault="001D6DE2" w:rsidP="003755A3">
      <w:pPr>
        <w:pStyle w:val="BodyText"/>
        <w:rPr>
          <w:bCs/>
        </w:rPr>
      </w:pPr>
    </w:p>
    <w:p w:rsidR="003755A3" w:rsidRPr="001D6DE2" w:rsidRDefault="003755A3" w:rsidP="003755A3">
      <w:pPr>
        <w:pStyle w:val="xl24"/>
        <w:spacing w:before="0" w:after="0"/>
        <w:rPr>
          <w:szCs w:val="24"/>
          <w:u w:val="none"/>
        </w:rPr>
      </w:pPr>
      <w:r w:rsidRPr="001D6DE2">
        <w:rPr>
          <w:szCs w:val="24"/>
          <w:u w:val="none"/>
        </w:rPr>
        <w:t xml:space="preserve">  </w:t>
      </w:r>
    </w:p>
    <w:p w:rsidR="008C56D5" w:rsidRPr="001D6DE2" w:rsidRDefault="008C56D5" w:rsidP="008C56D5"/>
    <w:p w:rsidR="004C3394" w:rsidRPr="004C3394" w:rsidRDefault="004C3394" w:rsidP="000A31DB">
      <w:pPr>
        <w:ind w:left="1500"/>
        <w:rPr>
          <w:b/>
          <w:sz w:val="22"/>
          <w:szCs w:val="22"/>
          <w:u w:val="single"/>
        </w:rPr>
      </w:pPr>
    </w:p>
    <w:p w:rsidR="004C3394" w:rsidRDefault="004C3394" w:rsidP="004C3394">
      <w:pPr>
        <w:ind w:left="1500"/>
        <w:rPr>
          <w:szCs w:val="24"/>
        </w:rPr>
      </w:pPr>
      <w:r>
        <w:rPr>
          <w:szCs w:val="24"/>
        </w:rPr>
        <w:br w:type="page"/>
      </w:r>
    </w:p>
    <w:p w:rsidR="00575FB1" w:rsidRPr="000A31DB" w:rsidRDefault="00575FB1" w:rsidP="00575FB1">
      <w:pPr>
        <w:ind w:left="1500"/>
        <w:rPr>
          <w:i/>
          <w:sz w:val="22"/>
          <w:szCs w:val="22"/>
          <w:u w:val="single"/>
        </w:rPr>
      </w:pPr>
      <w:r>
        <w:rPr>
          <w:b/>
          <w:sz w:val="22"/>
          <w:szCs w:val="22"/>
          <w:u w:val="single"/>
        </w:rPr>
        <w:lastRenderedPageBreak/>
        <w:t>R</w:t>
      </w:r>
      <w:r w:rsidRPr="000A6817">
        <w:rPr>
          <w:b/>
          <w:sz w:val="22"/>
          <w:szCs w:val="22"/>
          <w:u w:val="single"/>
        </w:rPr>
        <w:t>ESOURCE REQUEST BY AGENC</w:t>
      </w:r>
      <w:r>
        <w:rPr>
          <w:b/>
          <w:sz w:val="22"/>
          <w:szCs w:val="22"/>
          <w:u w:val="single"/>
        </w:rPr>
        <w:t>Y:</w:t>
      </w:r>
    </w:p>
    <w:p w:rsidR="00575FB1" w:rsidRPr="000A6817" w:rsidRDefault="00575FB1" w:rsidP="00575FB1"/>
    <w:p w:rsidR="00575FB1" w:rsidRDefault="00575FB1" w:rsidP="00575FB1">
      <w:pPr>
        <w:pStyle w:val="xl24"/>
        <w:spacing w:before="0" w:after="0"/>
      </w:pPr>
    </w:p>
    <w:p w:rsidR="00575FB1" w:rsidRDefault="00575FB1" w:rsidP="00575FB1">
      <w:pPr>
        <w:pStyle w:val="xl24"/>
        <w:spacing w:before="0" w:after="0"/>
      </w:pPr>
      <w:r>
        <w:t>Base Funding</w:t>
      </w:r>
    </w:p>
    <w:p w:rsidR="00E055E5" w:rsidRDefault="00E055E5" w:rsidP="00575FB1">
      <w:pPr>
        <w:pStyle w:val="xl24"/>
        <w:spacing w:before="0" w:after="0"/>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540"/>
        <w:gridCol w:w="630"/>
        <w:gridCol w:w="1260"/>
        <w:gridCol w:w="630"/>
        <w:gridCol w:w="580"/>
        <w:gridCol w:w="672"/>
        <w:gridCol w:w="1358"/>
        <w:gridCol w:w="590"/>
        <w:gridCol w:w="607"/>
        <w:gridCol w:w="672"/>
        <w:gridCol w:w="1535"/>
      </w:tblGrid>
      <w:tr w:rsidR="00575FB1" w:rsidTr="00592A2E">
        <w:trPr>
          <w:trHeight w:val="557"/>
        </w:trPr>
        <w:tc>
          <w:tcPr>
            <w:tcW w:w="3168" w:type="dxa"/>
            <w:gridSpan w:val="4"/>
            <w:shd w:val="clear" w:color="auto" w:fill="E6E6E6"/>
          </w:tcPr>
          <w:p w:rsidR="00575FB1" w:rsidRPr="000F321C" w:rsidRDefault="00575FB1" w:rsidP="00E16576">
            <w:pPr>
              <w:pStyle w:val="Heading7"/>
              <w:numPr>
                <w:ilvl w:val="0"/>
                <w:numId w:val="0"/>
              </w:numPr>
              <w:ind w:left="720"/>
              <w:rPr>
                <w:sz w:val="20"/>
              </w:rPr>
            </w:pPr>
            <w:r w:rsidRPr="000F321C">
              <w:rPr>
                <w:sz w:val="20"/>
              </w:rPr>
              <w:t xml:space="preserve"> FY 201</w:t>
            </w:r>
            <w:r w:rsidR="00E16576">
              <w:rPr>
                <w:sz w:val="20"/>
              </w:rPr>
              <w:t>1</w:t>
            </w:r>
            <w:r w:rsidRPr="000F321C">
              <w:rPr>
                <w:sz w:val="20"/>
              </w:rPr>
              <w:t xml:space="preserve"> Enacted (w/</w:t>
            </w:r>
            <w:proofErr w:type="spellStart"/>
            <w:r w:rsidRPr="000F321C">
              <w:rPr>
                <w:sz w:val="20"/>
              </w:rPr>
              <w:t>resc</w:t>
            </w:r>
            <w:proofErr w:type="spellEnd"/>
            <w:r w:rsidRPr="000F321C">
              <w:rPr>
                <w:sz w:val="20"/>
              </w:rPr>
              <w:t>./</w:t>
            </w:r>
            <w:proofErr w:type="spellStart"/>
            <w:r w:rsidRPr="000F321C">
              <w:rPr>
                <w:sz w:val="20"/>
              </w:rPr>
              <w:t>supps</w:t>
            </w:r>
            <w:proofErr w:type="spellEnd"/>
            <w:r w:rsidRPr="000F321C">
              <w:rPr>
                <w:sz w:val="20"/>
              </w:rPr>
              <w:t>)</w:t>
            </w:r>
          </w:p>
        </w:tc>
        <w:tc>
          <w:tcPr>
            <w:tcW w:w="3240" w:type="dxa"/>
            <w:gridSpan w:val="4"/>
            <w:shd w:val="clear" w:color="auto" w:fill="E6E6E6"/>
          </w:tcPr>
          <w:p w:rsidR="00575FB1" w:rsidRPr="000F321C" w:rsidRDefault="00E16576" w:rsidP="00FF7D9A">
            <w:pPr>
              <w:pStyle w:val="Heading7"/>
              <w:numPr>
                <w:ilvl w:val="0"/>
                <w:numId w:val="0"/>
              </w:numPr>
              <w:ind w:left="720"/>
              <w:rPr>
                <w:sz w:val="20"/>
              </w:rPr>
            </w:pPr>
            <w:r>
              <w:rPr>
                <w:sz w:val="20"/>
              </w:rPr>
              <w:t>FY 2012</w:t>
            </w:r>
            <w:r w:rsidR="00575FB1" w:rsidRPr="000F321C">
              <w:rPr>
                <w:sz w:val="20"/>
              </w:rPr>
              <w:t xml:space="preserve"> </w:t>
            </w:r>
            <w:r w:rsidR="00FF7D9A">
              <w:rPr>
                <w:sz w:val="20"/>
              </w:rPr>
              <w:t>Enacted</w:t>
            </w:r>
          </w:p>
        </w:tc>
        <w:tc>
          <w:tcPr>
            <w:tcW w:w="3404" w:type="dxa"/>
            <w:gridSpan w:val="4"/>
            <w:shd w:val="clear" w:color="auto" w:fill="E6E6E6"/>
          </w:tcPr>
          <w:p w:rsidR="00575FB1" w:rsidRPr="000F321C" w:rsidRDefault="00575FB1" w:rsidP="00E16576">
            <w:pPr>
              <w:pStyle w:val="Heading7"/>
              <w:numPr>
                <w:ilvl w:val="0"/>
                <w:numId w:val="0"/>
              </w:numPr>
              <w:ind w:left="720"/>
              <w:rPr>
                <w:sz w:val="20"/>
              </w:rPr>
            </w:pPr>
            <w:r w:rsidRPr="000F321C">
              <w:rPr>
                <w:sz w:val="20"/>
              </w:rPr>
              <w:t>FY 201</w:t>
            </w:r>
            <w:r w:rsidR="00E16576">
              <w:rPr>
                <w:sz w:val="20"/>
              </w:rPr>
              <w:t>3</w:t>
            </w:r>
            <w:r w:rsidRPr="000F321C">
              <w:rPr>
                <w:sz w:val="20"/>
              </w:rPr>
              <w:t xml:space="preserve"> Current Services</w:t>
            </w:r>
          </w:p>
        </w:tc>
      </w:tr>
      <w:tr w:rsidR="00575FB1" w:rsidTr="00592A2E">
        <w:tc>
          <w:tcPr>
            <w:tcW w:w="738" w:type="dxa"/>
          </w:tcPr>
          <w:p w:rsidR="00575FB1" w:rsidRPr="000F321C" w:rsidRDefault="00575FB1" w:rsidP="00592A2E">
            <w:pPr>
              <w:pStyle w:val="xl24"/>
              <w:spacing w:before="0" w:after="0"/>
              <w:jc w:val="center"/>
              <w:rPr>
                <w:sz w:val="20"/>
                <w:u w:val="none"/>
              </w:rPr>
            </w:pPr>
            <w:r w:rsidRPr="000F321C">
              <w:rPr>
                <w:sz w:val="20"/>
                <w:u w:val="none"/>
              </w:rPr>
              <w:t>Pos</w:t>
            </w:r>
          </w:p>
        </w:tc>
        <w:tc>
          <w:tcPr>
            <w:tcW w:w="540" w:type="dxa"/>
          </w:tcPr>
          <w:p w:rsidR="00575FB1" w:rsidRPr="000F321C" w:rsidRDefault="00575FB1" w:rsidP="00592A2E">
            <w:pPr>
              <w:pStyle w:val="xl24"/>
              <w:spacing w:before="0" w:after="0"/>
              <w:jc w:val="center"/>
              <w:rPr>
                <w:sz w:val="20"/>
                <w:u w:val="none"/>
              </w:rPr>
            </w:pPr>
            <w:proofErr w:type="spellStart"/>
            <w:r w:rsidRPr="000F321C">
              <w:rPr>
                <w:sz w:val="20"/>
                <w:u w:val="none"/>
              </w:rPr>
              <w:t>agt</w:t>
            </w:r>
            <w:proofErr w:type="spellEnd"/>
            <w:r w:rsidRPr="000F321C">
              <w:rPr>
                <w:sz w:val="20"/>
                <w:u w:val="none"/>
              </w:rPr>
              <w:t>/</w:t>
            </w:r>
          </w:p>
          <w:p w:rsidR="00575FB1" w:rsidRPr="000F321C" w:rsidRDefault="00575FB1" w:rsidP="00592A2E">
            <w:pPr>
              <w:pStyle w:val="xl24"/>
              <w:spacing w:before="0" w:after="0"/>
              <w:jc w:val="center"/>
              <w:rPr>
                <w:sz w:val="20"/>
                <w:u w:val="none"/>
              </w:rPr>
            </w:pPr>
            <w:proofErr w:type="spellStart"/>
            <w:r w:rsidRPr="000F321C">
              <w:rPr>
                <w:sz w:val="20"/>
                <w:u w:val="none"/>
              </w:rPr>
              <w:t>atty</w:t>
            </w:r>
            <w:proofErr w:type="spellEnd"/>
          </w:p>
        </w:tc>
        <w:tc>
          <w:tcPr>
            <w:tcW w:w="630" w:type="dxa"/>
          </w:tcPr>
          <w:p w:rsidR="00575FB1" w:rsidRPr="000F321C" w:rsidRDefault="00575FB1" w:rsidP="00592A2E">
            <w:pPr>
              <w:pStyle w:val="xl24"/>
              <w:spacing w:before="0" w:after="0"/>
              <w:jc w:val="center"/>
              <w:rPr>
                <w:sz w:val="20"/>
                <w:u w:val="none"/>
              </w:rPr>
            </w:pPr>
            <w:r w:rsidRPr="000F321C">
              <w:rPr>
                <w:sz w:val="20"/>
                <w:u w:val="none"/>
              </w:rPr>
              <w:t>FTE</w:t>
            </w:r>
          </w:p>
        </w:tc>
        <w:tc>
          <w:tcPr>
            <w:tcW w:w="1260" w:type="dxa"/>
          </w:tcPr>
          <w:p w:rsidR="00575FB1" w:rsidRPr="000F321C" w:rsidRDefault="00575FB1" w:rsidP="00592A2E">
            <w:pPr>
              <w:pStyle w:val="xl24"/>
              <w:spacing w:before="0" w:after="0"/>
              <w:jc w:val="center"/>
              <w:rPr>
                <w:sz w:val="20"/>
                <w:u w:val="none"/>
              </w:rPr>
            </w:pPr>
            <w:r w:rsidRPr="000F321C">
              <w:rPr>
                <w:sz w:val="20"/>
                <w:u w:val="none"/>
              </w:rPr>
              <w:t>$(000)</w:t>
            </w:r>
          </w:p>
        </w:tc>
        <w:tc>
          <w:tcPr>
            <w:tcW w:w="630" w:type="dxa"/>
          </w:tcPr>
          <w:p w:rsidR="00575FB1" w:rsidRPr="000F321C" w:rsidRDefault="00575FB1" w:rsidP="00592A2E">
            <w:pPr>
              <w:pStyle w:val="xl24"/>
              <w:spacing w:before="0" w:after="0"/>
              <w:jc w:val="center"/>
              <w:rPr>
                <w:sz w:val="20"/>
                <w:u w:val="none"/>
              </w:rPr>
            </w:pPr>
            <w:r w:rsidRPr="000F321C">
              <w:rPr>
                <w:sz w:val="20"/>
                <w:u w:val="none"/>
              </w:rPr>
              <w:t>Pos</w:t>
            </w:r>
          </w:p>
        </w:tc>
        <w:tc>
          <w:tcPr>
            <w:tcW w:w="580" w:type="dxa"/>
          </w:tcPr>
          <w:p w:rsidR="00575FB1" w:rsidRPr="000F321C" w:rsidRDefault="00575FB1" w:rsidP="00592A2E">
            <w:pPr>
              <w:pStyle w:val="xl24"/>
              <w:spacing w:before="0" w:after="0"/>
              <w:jc w:val="center"/>
              <w:rPr>
                <w:sz w:val="20"/>
                <w:u w:val="none"/>
              </w:rPr>
            </w:pPr>
            <w:proofErr w:type="spellStart"/>
            <w:r w:rsidRPr="000F321C">
              <w:rPr>
                <w:sz w:val="20"/>
                <w:u w:val="none"/>
              </w:rPr>
              <w:t>agt</w:t>
            </w:r>
            <w:proofErr w:type="spellEnd"/>
            <w:r w:rsidRPr="000F321C">
              <w:rPr>
                <w:sz w:val="20"/>
                <w:u w:val="none"/>
              </w:rPr>
              <w:t>/</w:t>
            </w:r>
          </w:p>
          <w:p w:rsidR="00575FB1" w:rsidRPr="000F321C" w:rsidRDefault="00575FB1" w:rsidP="00592A2E">
            <w:pPr>
              <w:pStyle w:val="xl24"/>
              <w:spacing w:before="0" w:after="0"/>
              <w:jc w:val="center"/>
              <w:rPr>
                <w:sz w:val="20"/>
                <w:u w:val="none"/>
              </w:rPr>
            </w:pPr>
            <w:proofErr w:type="spellStart"/>
            <w:r w:rsidRPr="000F321C">
              <w:rPr>
                <w:sz w:val="20"/>
                <w:u w:val="none"/>
              </w:rPr>
              <w:t>atty</w:t>
            </w:r>
            <w:proofErr w:type="spellEnd"/>
          </w:p>
        </w:tc>
        <w:tc>
          <w:tcPr>
            <w:tcW w:w="672" w:type="dxa"/>
          </w:tcPr>
          <w:p w:rsidR="00575FB1" w:rsidRPr="000F321C" w:rsidRDefault="00575FB1" w:rsidP="00592A2E">
            <w:pPr>
              <w:pStyle w:val="xl24"/>
              <w:spacing w:before="0" w:after="0"/>
              <w:jc w:val="center"/>
              <w:rPr>
                <w:sz w:val="20"/>
                <w:u w:val="none"/>
              </w:rPr>
            </w:pPr>
            <w:r w:rsidRPr="000F321C">
              <w:rPr>
                <w:sz w:val="20"/>
                <w:u w:val="none"/>
              </w:rPr>
              <w:t>FTE</w:t>
            </w:r>
          </w:p>
        </w:tc>
        <w:tc>
          <w:tcPr>
            <w:tcW w:w="1358" w:type="dxa"/>
          </w:tcPr>
          <w:p w:rsidR="00575FB1" w:rsidRPr="000F321C" w:rsidRDefault="00575FB1" w:rsidP="00592A2E">
            <w:pPr>
              <w:pStyle w:val="xl24"/>
              <w:spacing w:before="0" w:after="0"/>
              <w:jc w:val="center"/>
              <w:rPr>
                <w:sz w:val="20"/>
                <w:u w:val="none"/>
              </w:rPr>
            </w:pPr>
            <w:r w:rsidRPr="000F321C">
              <w:rPr>
                <w:sz w:val="20"/>
                <w:u w:val="none"/>
              </w:rPr>
              <w:t>$(000)</w:t>
            </w:r>
          </w:p>
        </w:tc>
        <w:tc>
          <w:tcPr>
            <w:tcW w:w="590" w:type="dxa"/>
          </w:tcPr>
          <w:p w:rsidR="00575FB1" w:rsidRPr="000F321C" w:rsidRDefault="00575FB1" w:rsidP="00592A2E">
            <w:pPr>
              <w:pStyle w:val="xl24"/>
              <w:spacing w:before="0" w:after="0"/>
              <w:jc w:val="center"/>
              <w:rPr>
                <w:sz w:val="20"/>
                <w:u w:val="none"/>
              </w:rPr>
            </w:pPr>
            <w:r w:rsidRPr="000F321C">
              <w:rPr>
                <w:sz w:val="20"/>
                <w:u w:val="none"/>
              </w:rPr>
              <w:t>Pos</w:t>
            </w:r>
          </w:p>
        </w:tc>
        <w:tc>
          <w:tcPr>
            <w:tcW w:w="607" w:type="dxa"/>
          </w:tcPr>
          <w:p w:rsidR="00575FB1" w:rsidRPr="000F321C" w:rsidRDefault="00575FB1" w:rsidP="00592A2E">
            <w:pPr>
              <w:pStyle w:val="xl24"/>
              <w:spacing w:before="0" w:after="0"/>
              <w:jc w:val="center"/>
              <w:rPr>
                <w:sz w:val="20"/>
                <w:u w:val="none"/>
              </w:rPr>
            </w:pPr>
            <w:proofErr w:type="spellStart"/>
            <w:r w:rsidRPr="000F321C">
              <w:rPr>
                <w:sz w:val="20"/>
                <w:u w:val="none"/>
              </w:rPr>
              <w:t>agt</w:t>
            </w:r>
            <w:proofErr w:type="spellEnd"/>
            <w:r w:rsidRPr="000F321C">
              <w:rPr>
                <w:sz w:val="20"/>
                <w:u w:val="none"/>
              </w:rPr>
              <w:t>/</w:t>
            </w:r>
          </w:p>
          <w:p w:rsidR="00575FB1" w:rsidRPr="000F321C" w:rsidRDefault="00575FB1" w:rsidP="00592A2E">
            <w:pPr>
              <w:pStyle w:val="xl24"/>
              <w:spacing w:before="0" w:after="0"/>
              <w:jc w:val="center"/>
              <w:rPr>
                <w:sz w:val="20"/>
                <w:u w:val="none"/>
              </w:rPr>
            </w:pPr>
            <w:proofErr w:type="spellStart"/>
            <w:r w:rsidRPr="000F321C">
              <w:rPr>
                <w:sz w:val="20"/>
                <w:u w:val="none"/>
              </w:rPr>
              <w:t>atty</w:t>
            </w:r>
            <w:proofErr w:type="spellEnd"/>
          </w:p>
        </w:tc>
        <w:tc>
          <w:tcPr>
            <w:tcW w:w="672" w:type="dxa"/>
          </w:tcPr>
          <w:p w:rsidR="00575FB1" w:rsidRPr="000F321C" w:rsidRDefault="00575FB1" w:rsidP="00592A2E">
            <w:pPr>
              <w:pStyle w:val="xl24"/>
              <w:spacing w:before="0" w:after="0"/>
              <w:jc w:val="center"/>
              <w:rPr>
                <w:sz w:val="20"/>
                <w:u w:val="none"/>
              </w:rPr>
            </w:pPr>
            <w:r w:rsidRPr="000F321C">
              <w:rPr>
                <w:sz w:val="20"/>
                <w:u w:val="none"/>
              </w:rPr>
              <w:t>FTE</w:t>
            </w:r>
          </w:p>
        </w:tc>
        <w:tc>
          <w:tcPr>
            <w:tcW w:w="1535" w:type="dxa"/>
          </w:tcPr>
          <w:p w:rsidR="00575FB1" w:rsidRPr="000F321C" w:rsidRDefault="00575FB1" w:rsidP="00592A2E">
            <w:pPr>
              <w:pStyle w:val="xl24"/>
              <w:spacing w:before="0" w:after="0"/>
              <w:jc w:val="center"/>
              <w:rPr>
                <w:sz w:val="20"/>
                <w:u w:val="none"/>
              </w:rPr>
            </w:pPr>
            <w:r w:rsidRPr="000F321C">
              <w:rPr>
                <w:sz w:val="20"/>
                <w:u w:val="none"/>
              </w:rPr>
              <w:t>$(000)</w:t>
            </w:r>
          </w:p>
        </w:tc>
      </w:tr>
      <w:tr w:rsidR="00575FB1" w:rsidTr="00592A2E">
        <w:tc>
          <w:tcPr>
            <w:tcW w:w="738" w:type="dxa"/>
          </w:tcPr>
          <w:p w:rsidR="00B368C6" w:rsidRDefault="003C1094" w:rsidP="00B368C6">
            <w:pPr>
              <w:pStyle w:val="xl24"/>
              <w:spacing w:before="0" w:after="0"/>
              <w:jc w:val="center"/>
              <w:rPr>
                <w:sz w:val="20"/>
                <w:u w:val="none"/>
              </w:rPr>
            </w:pPr>
            <w:r>
              <w:rPr>
                <w:sz w:val="20"/>
                <w:u w:val="none"/>
              </w:rPr>
              <w:t>0</w:t>
            </w:r>
          </w:p>
        </w:tc>
        <w:tc>
          <w:tcPr>
            <w:tcW w:w="540" w:type="dxa"/>
          </w:tcPr>
          <w:p w:rsidR="00B368C6" w:rsidRDefault="003C1094" w:rsidP="00B368C6">
            <w:pPr>
              <w:pStyle w:val="xl24"/>
              <w:spacing w:before="0" w:after="0"/>
              <w:jc w:val="center"/>
              <w:rPr>
                <w:sz w:val="20"/>
                <w:u w:val="none"/>
              </w:rPr>
            </w:pPr>
            <w:r>
              <w:rPr>
                <w:sz w:val="20"/>
                <w:u w:val="none"/>
              </w:rPr>
              <w:t>0</w:t>
            </w:r>
          </w:p>
        </w:tc>
        <w:tc>
          <w:tcPr>
            <w:tcW w:w="630" w:type="dxa"/>
          </w:tcPr>
          <w:p w:rsidR="00B368C6" w:rsidRDefault="003C1094" w:rsidP="00B368C6">
            <w:pPr>
              <w:pStyle w:val="xl24"/>
              <w:spacing w:before="0" w:after="0"/>
              <w:jc w:val="center"/>
              <w:rPr>
                <w:sz w:val="20"/>
                <w:u w:val="none"/>
              </w:rPr>
            </w:pPr>
            <w:r>
              <w:rPr>
                <w:sz w:val="20"/>
                <w:u w:val="none"/>
              </w:rPr>
              <w:t>0</w:t>
            </w:r>
          </w:p>
        </w:tc>
        <w:tc>
          <w:tcPr>
            <w:tcW w:w="1260" w:type="dxa"/>
          </w:tcPr>
          <w:p w:rsidR="00B368C6" w:rsidRDefault="003C1094" w:rsidP="00B368C6">
            <w:pPr>
              <w:pStyle w:val="xl24"/>
              <w:spacing w:before="0" w:after="0"/>
              <w:jc w:val="center"/>
              <w:rPr>
                <w:sz w:val="20"/>
                <w:u w:val="none"/>
              </w:rPr>
            </w:pPr>
            <w:r>
              <w:rPr>
                <w:sz w:val="20"/>
                <w:u w:val="none"/>
              </w:rPr>
              <w:t>0</w:t>
            </w:r>
          </w:p>
        </w:tc>
        <w:tc>
          <w:tcPr>
            <w:tcW w:w="630" w:type="dxa"/>
          </w:tcPr>
          <w:p w:rsidR="00B368C6" w:rsidRDefault="003C1094" w:rsidP="00B368C6">
            <w:pPr>
              <w:pStyle w:val="xl24"/>
              <w:spacing w:before="0" w:after="0"/>
              <w:jc w:val="center"/>
              <w:rPr>
                <w:sz w:val="20"/>
                <w:u w:val="none"/>
              </w:rPr>
            </w:pPr>
            <w:r>
              <w:rPr>
                <w:sz w:val="20"/>
                <w:u w:val="none"/>
              </w:rPr>
              <w:t>0</w:t>
            </w:r>
          </w:p>
        </w:tc>
        <w:tc>
          <w:tcPr>
            <w:tcW w:w="580" w:type="dxa"/>
          </w:tcPr>
          <w:p w:rsidR="00B368C6" w:rsidRDefault="003C1094" w:rsidP="00B368C6">
            <w:pPr>
              <w:pStyle w:val="xl24"/>
              <w:spacing w:before="0" w:after="0"/>
              <w:jc w:val="center"/>
              <w:rPr>
                <w:sz w:val="20"/>
                <w:u w:val="none"/>
              </w:rPr>
            </w:pPr>
            <w:r>
              <w:rPr>
                <w:sz w:val="20"/>
                <w:u w:val="none"/>
              </w:rPr>
              <w:t>0</w:t>
            </w:r>
          </w:p>
        </w:tc>
        <w:tc>
          <w:tcPr>
            <w:tcW w:w="672" w:type="dxa"/>
          </w:tcPr>
          <w:p w:rsidR="00B368C6" w:rsidRDefault="003C1094" w:rsidP="00B368C6">
            <w:pPr>
              <w:pStyle w:val="xl24"/>
              <w:spacing w:before="0" w:after="0"/>
              <w:jc w:val="center"/>
              <w:rPr>
                <w:sz w:val="20"/>
                <w:u w:val="none"/>
              </w:rPr>
            </w:pPr>
            <w:r>
              <w:rPr>
                <w:sz w:val="20"/>
                <w:u w:val="none"/>
              </w:rPr>
              <w:t>0</w:t>
            </w:r>
          </w:p>
        </w:tc>
        <w:tc>
          <w:tcPr>
            <w:tcW w:w="1358" w:type="dxa"/>
          </w:tcPr>
          <w:p w:rsidR="00B368C6" w:rsidRDefault="003C1094" w:rsidP="00B368C6">
            <w:pPr>
              <w:pStyle w:val="xl24"/>
              <w:spacing w:before="0" w:after="0"/>
              <w:jc w:val="center"/>
              <w:rPr>
                <w:sz w:val="20"/>
                <w:u w:val="none"/>
              </w:rPr>
            </w:pPr>
            <w:r>
              <w:rPr>
                <w:sz w:val="20"/>
                <w:u w:val="none"/>
              </w:rPr>
              <w:t>0</w:t>
            </w:r>
          </w:p>
        </w:tc>
        <w:tc>
          <w:tcPr>
            <w:tcW w:w="590" w:type="dxa"/>
          </w:tcPr>
          <w:p w:rsidR="00B368C6" w:rsidRDefault="003C1094" w:rsidP="00B368C6">
            <w:pPr>
              <w:pStyle w:val="xl24"/>
              <w:spacing w:before="0" w:after="0"/>
              <w:jc w:val="center"/>
              <w:rPr>
                <w:sz w:val="20"/>
                <w:u w:val="none"/>
              </w:rPr>
            </w:pPr>
            <w:r>
              <w:rPr>
                <w:sz w:val="20"/>
                <w:u w:val="none"/>
              </w:rPr>
              <w:t>0</w:t>
            </w:r>
          </w:p>
        </w:tc>
        <w:tc>
          <w:tcPr>
            <w:tcW w:w="607" w:type="dxa"/>
          </w:tcPr>
          <w:p w:rsidR="00B368C6" w:rsidRDefault="003C1094" w:rsidP="00B368C6">
            <w:pPr>
              <w:pStyle w:val="xl24"/>
              <w:spacing w:before="0" w:after="0"/>
              <w:jc w:val="center"/>
              <w:rPr>
                <w:sz w:val="20"/>
                <w:u w:val="none"/>
              </w:rPr>
            </w:pPr>
            <w:r>
              <w:rPr>
                <w:sz w:val="20"/>
                <w:u w:val="none"/>
              </w:rPr>
              <w:t>0</w:t>
            </w:r>
          </w:p>
        </w:tc>
        <w:tc>
          <w:tcPr>
            <w:tcW w:w="672" w:type="dxa"/>
          </w:tcPr>
          <w:p w:rsidR="00B368C6" w:rsidRDefault="003C1094" w:rsidP="00B368C6">
            <w:pPr>
              <w:pStyle w:val="xl24"/>
              <w:spacing w:before="0" w:after="0"/>
              <w:jc w:val="center"/>
              <w:rPr>
                <w:sz w:val="20"/>
                <w:u w:val="none"/>
              </w:rPr>
            </w:pPr>
            <w:r>
              <w:rPr>
                <w:sz w:val="20"/>
                <w:u w:val="none"/>
              </w:rPr>
              <w:t>0</w:t>
            </w:r>
          </w:p>
        </w:tc>
        <w:tc>
          <w:tcPr>
            <w:tcW w:w="1535" w:type="dxa"/>
          </w:tcPr>
          <w:p w:rsidR="00B368C6" w:rsidRDefault="003C1094" w:rsidP="00B368C6">
            <w:pPr>
              <w:pStyle w:val="xl24"/>
              <w:spacing w:before="0" w:after="0"/>
              <w:jc w:val="center"/>
              <w:rPr>
                <w:sz w:val="20"/>
                <w:u w:val="none"/>
              </w:rPr>
            </w:pPr>
            <w:r>
              <w:rPr>
                <w:sz w:val="20"/>
                <w:u w:val="none"/>
              </w:rPr>
              <w:t>0</w:t>
            </w:r>
          </w:p>
        </w:tc>
      </w:tr>
    </w:tbl>
    <w:p w:rsidR="00575FB1" w:rsidRDefault="00575FB1" w:rsidP="00575FB1">
      <w:pPr>
        <w:pStyle w:val="BodyText"/>
        <w:rPr>
          <w:u w:val="single"/>
        </w:rPr>
      </w:pPr>
    </w:p>
    <w:p w:rsidR="00B11453" w:rsidRDefault="00B11453" w:rsidP="00B11453">
      <w:pPr>
        <w:pStyle w:val="BodyText"/>
      </w:pPr>
      <w:r>
        <w:rPr>
          <w:u w:val="single"/>
        </w:rPr>
        <w:t>Personnel Increase Cost Summary</w:t>
      </w:r>
    </w:p>
    <w:p w:rsidR="00B11453" w:rsidRDefault="00B11453" w:rsidP="00B11453">
      <w:pPr>
        <w:pStyle w:val="Body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2"/>
        <w:gridCol w:w="1579"/>
        <w:gridCol w:w="1349"/>
        <w:gridCol w:w="1508"/>
        <w:gridCol w:w="1890"/>
        <w:gridCol w:w="1890"/>
      </w:tblGrid>
      <w:tr w:rsidR="00B11453" w:rsidTr="00DF2363">
        <w:tc>
          <w:tcPr>
            <w:tcW w:w="1612" w:type="dxa"/>
            <w:shd w:val="clear" w:color="auto" w:fill="E6E6E6"/>
            <w:vAlign w:val="center"/>
          </w:tcPr>
          <w:p w:rsidR="00B11453" w:rsidRDefault="00B11453" w:rsidP="00DF2363">
            <w:pPr>
              <w:jc w:val="center"/>
              <w:rPr>
                <w:sz w:val="20"/>
              </w:rPr>
            </w:pPr>
            <w:r>
              <w:rPr>
                <w:sz w:val="20"/>
              </w:rPr>
              <w:t>Type of Position</w:t>
            </w:r>
          </w:p>
        </w:tc>
        <w:tc>
          <w:tcPr>
            <w:tcW w:w="1579" w:type="dxa"/>
            <w:vAlign w:val="center"/>
          </w:tcPr>
          <w:p w:rsidR="00B11453" w:rsidRDefault="00B11453" w:rsidP="00DF2363">
            <w:pPr>
              <w:jc w:val="center"/>
              <w:rPr>
                <w:sz w:val="20"/>
              </w:rPr>
            </w:pPr>
            <w:r>
              <w:rPr>
                <w:sz w:val="20"/>
              </w:rPr>
              <w:t>Modular Cost</w:t>
            </w:r>
          </w:p>
          <w:p w:rsidR="00B11453" w:rsidRDefault="00B11453" w:rsidP="00DF2363">
            <w:pPr>
              <w:jc w:val="center"/>
              <w:rPr>
                <w:sz w:val="20"/>
              </w:rPr>
            </w:pPr>
            <w:r>
              <w:rPr>
                <w:sz w:val="20"/>
              </w:rPr>
              <w:t>per Position ($000)</w:t>
            </w:r>
          </w:p>
        </w:tc>
        <w:tc>
          <w:tcPr>
            <w:tcW w:w="1349" w:type="dxa"/>
            <w:vAlign w:val="center"/>
          </w:tcPr>
          <w:p w:rsidR="00B11453" w:rsidRDefault="00B11453" w:rsidP="00DF2363">
            <w:pPr>
              <w:jc w:val="center"/>
              <w:rPr>
                <w:sz w:val="20"/>
              </w:rPr>
            </w:pPr>
            <w:r>
              <w:rPr>
                <w:sz w:val="20"/>
              </w:rPr>
              <w:t>Number of</w:t>
            </w:r>
          </w:p>
          <w:p w:rsidR="00B11453" w:rsidRDefault="00B11453" w:rsidP="00DF2363">
            <w:pPr>
              <w:jc w:val="center"/>
              <w:rPr>
                <w:sz w:val="20"/>
              </w:rPr>
            </w:pPr>
            <w:r>
              <w:rPr>
                <w:sz w:val="20"/>
              </w:rPr>
              <w:t>Positions</w:t>
            </w:r>
          </w:p>
          <w:p w:rsidR="00B11453" w:rsidRDefault="00B11453" w:rsidP="00DF2363">
            <w:pPr>
              <w:jc w:val="center"/>
              <w:rPr>
                <w:sz w:val="20"/>
              </w:rPr>
            </w:pPr>
            <w:r>
              <w:rPr>
                <w:sz w:val="20"/>
              </w:rPr>
              <w:t>Requested</w:t>
            </w:r>
          </w:p>
        </w:tc>
        <w:tc>
          <w:tcPr>
            <w:tcW w:w="1508" w:type="dxa"/>
            <w:vAlign w:val="center"/>
          </w:tcPr>
          <w:p w:rsidR="00B11453" w:rsidRDefault="00B11453" w:rsidP="00DF2363">
            <w:pPr>
              <w:jc w:val="center"/>
              <w:rPr>
                <w:sz w:val="20"/>
              </w:rPr>
            </w:pPr>
            <w:r>
              <w:rPr>
                <w:sz w:val="20"/>
              </w:rPr>
              <w:t>FY 2013</w:t>
            </w:r>
          </w:p>
          <w:p w:rsidR="00B11453" w:rsidRDefault="00B11453" w:rsidP="00DF2363">
            <w:pPr>
              <w:jc w:val="center"/>
              <w:rPr>
                <w:sz w:val="20"/>
              </w:rPr>
            </w:pPr>
            <w:r>
              <w:rPr>
                <w:sz w:val="20"/>
              </w:rPr>
              <w:t>Request ($000)</w:t>
            </w:r>
          </w:p>
        </w:tc>
        <w:tc>
          <w:tcPr>
            <w:tcW w:w="1890" w:type="dxa"/>
            <w:vAlign w:val="center"/>
          </w:tcPr>
          <w:p w:rsidR="00B11453" w:rsidRPr="008227AB" w:rsidRDefault="005C0D95" w:rsidP="00DF2363">
            <w:pPr>
              <w:jc w:val="center"/>
              <w:rPr>
                <w:sz w:val="20"/>
              </w:rPr>
            </w:pPr>
            <w:r>
              <w:rPr>
                <w:sz w:val="20"/>
              </w:rPr>
              <w:t xml:space="preserve">FY 2014 </w:t>
            </w:r>
          </w:p>
          <w:p w:rsidR="00B11453" w:rsidRPr="008227AB" w:rsidRDefault="005C0D95" w:rsidP="00DF2363">
            <w:pPr>
              <w:jc w:val="center"/>
              <w:rPr>
                <w:sz w:val="20"/>
              </w:rPr>
            </w:pPr>
            <w:r>
              <w:rPr>
                <w:sz w:val="20"/>
              </w:rPr>
              <w:t>Net Annualization</w:t>
            </w:r>
          </w:p>
          <w:p w:rsidR="00B11453" w:rsidRPr="008227AB" w:rsidRDefault="005C0D95" w:rsidP="00DF2363">
            <w:pPr>
              <w:jc w:val="center"/>
              <w:rPr>
                <w:sz w:val="20"/>
              </w:rPr>
            </w:pPr>
            <w:r>
              <w:rPr>
                <w:sz w:val="20"/>
              </w:rPr>
              <w:t>(change from 201</w:t>
            </w:r>
            <w:r w:rsidR="00183E2A">
              <w:rPr>
                <w:sz w:val="20"/>
              </w:rPr>
              <w:t>3</w:t>
            </w:r>
            <w:r>
              <w:rPr>
                <w:sz w:val="20"/>
              </w:rPr>
              <w:t>)</w:t>
            </w:r>
          </w:p>
          <w:p w:rsidR="00B11453" w:rsidRPr="008227AB" w:rsidRDefault="005C0D95" w:rsidP="00DF2363">
            <w:pPr>
              <w:jc w:val="center"/>
              <w:rPr>
                <w:sz w:val="20"/>
              </w:rPr>
            </w:pPr>
            <w:r>
              <w:rPr>
                <w:sz w:val="20"/>
              </w:rPr>
              <w:t>($000)</w:t>
            </w:r>
          </w:p>
        </w:tc>
        <w:tc>
          <w:tcPr>
            <w:tcW w:w="1890" w:type="dxa"/>
          </w:tcPr>
          <w:p w:rsidR="00B11453" w:rsidRDefault="00B11453" w:rsidP="00DF2363">
            <w:pPr>
              <w:jc w:val="center"/>
              <w:rPr>
                <w:sz w:val="20"/>
              </w:rPr>
            </w:pPr>
            <w:r>
              <w:rPr>
                <w:sz w:val="20"/>
              </w:rPr>
              <w:t xml:space="preserve">FY 2015 </w:t>
            </w:r>
          </w:p>
          <w:p w:rsidR="00B11453" w:rsidRDefault="00B11453" w:rsidP="00DF2363">
            <w:pPr>
              <w:jc w:val="center"/>
              <w:rPr>
                <w:sz w:val="20"/>
              </w:rPr>
            </w:pPr>
            <w:r>
              <w:rPr>
                <w:sz w:val="20"/>
              </w:rPr>
              <w:t>Net Annualization</w:t>
            </w:r>
          </w:p>
          <w:p w:rsidR="00B11453" w:rsidRDefault="00B11453" w:rsidP="00DF2363">
            <w:pPr>
              <w:jc w:val="center"/>
              <w:rPr>
                <w:sz w:val="20"/>
              </w:rPr>
            </w:pPr>
            <w:r>
              <w:rPr>
                <w:sz w:val="20"/>
              </w:rPr>
              <w:t>(change from 201</w:t>
            </w:r>
            <w:r w:rsidR="00183E2A">
              <w:rPr>
                <w:sz w:val="20"/>
              </w:rPr>
              <w:t>4</w:t>
            </w:r>
            <w:r>
              <w:rPr>
                <w:sz w:val="20"/>
              </w:rPr>
              <w:t>)</w:t>
            </w:r>
          </w:p>
          <w:p w:rsidR="00B11453" w:rsidRDefault="00B11453" w:rsidP="00DF2363">
            <w:pPr>
              <w:jc w:val="center"/>
              <w:rPr>
                <w:sz w:val="20"/>
              </w:rPr>
            </w:pPr>
            <w:r>
              <w:rPr>
                <w:sz w:val="20"/>
              </w:rPr>
              <w:t>($000)</w:t>
            </w:r>
          </w:p>
        </w:tc>
      </w:tr>
      <w:tr w:rsidR="00B11453" w:rsidTr="00DF2363">
        <w:tc>
          <w:tcPr>
            <w:tcW w:w="1612" w:type="dxa"/>
          </w:tcPr>
          <w:p w:rsidR="00B11453" w:rsidRPr="00F442A7" w:rsidRDefault="00B11453" w:rsidP="00DF2363">
            <w:pPr>
              <w:pStyle w:val="Footer"/>
              <w:rPr>
                <w:sz w:val="20"/>
              </w:rPr>
            </w:pPr>
            <w:r>
              <w:rPr>
                <w:sz w:val="20"/>
              </w:rPr>
              <w:t>Deputy Director</w:t>
            </w:r>
          </w:p>
        </w:tc>
        <w:tc>
          <w:tcPr>
            <w:tcW w:w="1579" w:type="dxa"/>
            <w:vAlign w:val="center"/>
          </w:tcPr>
          <w:p w:rsidR="00B11453" w:rsidRDefault="00A773B4" w:rsidP="00DF2363">
            <w:pPr>
              <w:jc w:val="right"/>
              <w:rPr>
                <w:sz w:val="20"/>
              </w:rPr>
            </w:pPr>
            <w:r>
              <w:rPr>
                <w:sz w:val="20"/>
              </w:rPr>
              <w:t>$1</w:t>
            </w:r>
            <w:r w:rsidR="00B11453">
              <w:rPr>
                <w:sz w:val="20"/>
              </w:rPr>
              <w:t>00,000</w:t>
            </w:r>
          </w:p>
        </w:tc>
        <w:tc>
          <w:tcPr>
            <w:tcW w:w="1349" w:type="dxa"/>
            <w:vAlign w:val="center"/>
          </w:tcPr>
          <w:p w:rsidR="00B11453" w:rsidRDefault="00B11453" w:rsidP="00DF2363">
            <w:pPr>
              <w:jc w:val="right"/>
              <w:rPr>
                <w:sz w:val="20"/>
              </w:rPr>
            </w:pPr>
            <w:r>
              <w:rPr>
                <w:sz w:val="20"/>
              </w:rPr>
              <w:t>1</w:t>
            </w:r>
          </w:p>
        </w:tc>
        <w:tc>
          <w:tcPr>
            <w:tcW w:w="1508" w:type="dxa"/>
            <w:vAlign w:val="center"/>
          </w:tcPr>
          <w:p w:rsidR="00B11453" w:rsidRPr="004637A0" w:rsidRDefault="00B11453" w:rsidP="00A773B4">
            <w:pPr>
              <w:jc w:val="right"/>
              <w:rPr>
                <w:sz w:val="20"/>
              </w:rPr>
            </w:pPr>
            <w:r w:rsidRPr="004637A0">
              <w:rPr>
                <w:sz w:val="20"/>
              </w:rPr>
              <w:t>$</w:t>
            </w:r>
            <w:r w:rsidR="00A773B4" w:rsidRPr="004637A0">
              <w:rPr>
                <w:sz w:val="20"/>
              </w:rPr>
              <w:t>1</w:t>
            </w:r>
            <w:r w:rsidRPr="004637A0">
              <w:rPr>
                <w:sz w:val="20"/>
              </w:rPr>
              <w:t>00,000</w:t>
            </w:r>
          </w:p>
        </w:tc>
        <w:tc>
          <w:tcPr>
            <w:tcW w:w="1890" w:type="dxa"/>
            <w:vAlign w:val="center"/>
          </w:tcPr>
          <w:p w:rsidR="00B11453" w:rsidRPr="004637A0" w:rsidRDefault="0090382A" w:rsidP="00DF2363">
            <w:pPr>
              <w:jc w:val="right"/>
              <w:rPr>
                <w:sz w:val="20"/>
              </w:rPr>
            </w:pPr>
            <w:r w:rsidRPr="004637A0">
              <w:rPr>
                <w:sz w:val="20"/>
              </w:rPr>
              <w:t>$100,0</w:t>
            </w:r>
            <w:r w:rsidR="005C0D95" w:rsidRPr="004637A0">
              <w:rPr>
                <w:sz w:val="20"/>
              </w:rPr>
              <w:t>00</w:t>
            </w:r>
          </w:p>
        </w:tc>
        <w:tc>
          <w:tcPr>
            <w:tcW w:w="1890" w:type="dxa"/>
          </w:tcPr>
          <w:p w:rsidR="00B11453" w:rsidRPr="001C2C1A" w:rsidRDefault="001C2C1A" w:rsidP="00DF2363">
            <w:pPr>
              <w:jc w:val="right"/>
              <w:rPr>
                <w:sz w:val="20"/>
              </w:rPr>
            </w:pPr>
            <w:r w:rsidRPr="001C2C1A">
              <w:rPr>
                <w:sz w:val="20"/>
              </w:rPr>
              <w:t>0</w:t>
            </w:r>
          </w:p>
        </w:tc>
      </w:tr>
      <w:tr w:rsidR="00B11453" w:rsidTr="00DF2363">
        <w:tc>
          <w:tcPr>
            <w:tcW w:w="1612" w:type="dxa"/>
          </w:tcPr>
          <w:p w:rsidR="00B11453" w:rsidRDefault="00B11453" w:rsidP="00DF2363">
            <w:pPr>
              <w:rPr>
                <w:sz w:val="20"/>
              </w:rPr>
            </w:pPr>
            <w:r>
              <w:rPr>
                <w:sz w:val="20"/>
              </w:rPr>
              <w:t xml:space="preserve"> </w:t>
            </w:r>
          </w:p>
        </w:tc>
        <w:tc>
          <w:tcPr>
            <w:tcW w:w="1579" w:type="dxa"/>
            <w:vAlign w:val="center"/>
          </w:tcPr>
          <w:p w:rsidR="00B11453" w:rsidRDefault="00B11453" w:rsidP="00DF2363">
            <w:pPr>
              <w:jc w:val="right"/>
              <w:rPr>
                <w:sz w:val="20"/>
              </w:rPr>
            </w:pPr>
          </w:p>
        </w:tc>
        <w:tc>
          <w:tcPr>
            <w:tcW w:w="1349" w:type="dxa"/>
            <w:vAlign w:val="center"/>
          </w:tcPr>
          <w:p w:rsidR="00B11453" w:rsidRDefault="00B11453" w:rsidP="00DF2363">
            <w:pPr>
              <w:jc w:val="right"/>
            </w:pPr>
          </w:p>
        </w:tc>
        <w:tc>
          <w:tcPr>
            <w:tcW w:w="1508" w:type="dxa"/>
            <w:vAlign w:val="center"/>
          </w:tcPr>
          <w:p w:rsidR="00B11453" w:rsidRDefault="00B11453" w:rsidP="00DF2363">
            <w:pPr>
              <w:jc w:val="right"/>
            </w:pPr>
          </w:p>
        </w:tc>
        <w:tc>
          <w:tcPr>
            <w:tcW w:w="1890" w:type="dxa"/>
            <w:vAlign w:val="center"/>
          </w:tcPr>
          <w:p w:rsidR="00B11453" w:rsidRPr="008227AB" w:rsidRDefault="00B11453" w:rsidP="00DF2363">
            <w:pPr>
              <w:jc w:val="right"/>
            </w:pPr>
          </w:p>
        </w:tc>
        <w:tc>
          <w:tcPr>
            <w:tcW w:w="1890" w:type="dxa"/>
          </w:tcPr>
          <w:p w:rsidR="00B11453" w:rsidRPr="001C2C1A" w:rsidRDefault="00B11453" w:rsidP="00DF2363">
            <w:pPr>
              <w:jc w:val="right"/>
              <w:rPr>
                <w:sz w:val="20"/>
              </w:rPr>
            </w:pPr>
          </w:p>
        </w:tc>
      </w:tr>
      <w:tr w:rsidR="00B11453" w:rsidTr="00DF2363">
        <w:tc>
          <w:tcPr>
            <w:tcW w:w="1612" w:type="dxa"/>
          </w:tcPr>
          <w:p w:rsidR="00B11453" w:rsidRDefault="00B11453" w:rsidP="00DF2363">
            <w:pPr>
              <w:rPr>
                <w:sz w:val="20"/>
              </w:rPr>
            </w:pPr>
            <w:r>
              <w:rPr>
                <w:sz w:val="20"/>
              </w:rPr>
              <w:t>Total Personnel</w:t>
            </w:r>
          </w:p>
        </w:tc>
        <w:tc>
          <w:tcPr>
            <w:tcW w:w="1579" w:type="dxa"/>
            <w:vAlign w:val="center"/>
          </w:tcPr>
          <w:p w:rsidR="00B11453" w:rsidRDefault="00B11453" w:rsidP="00A773B4">
            <w:pPr>
              <w:jc w:val="right"/>
              <w:rPr>
                <w:sz w:val="20"/>
              </w:rPr>
            </w:pPr>
            <w:r>
              <w:rPr>
                <w:sz w:val="20"/>
              </w:rPr>
              <w:t>$</w:t>
            </w:r>
            <w:r w:rsidR="00A773B4">
              <w:rPr>
                <w:sz w:val="20"/>
              </w:rPr>
              <w:t>1</w:t>
            </w:r>
            <w:r>
              <w:rPr>
                <w:sz w:val="20"/>
              </w:rPr>
              <w:t>00,000</w:t>
            </w:r>
          </w:p>
        </w:tc>
        <w:tc>
          <w:tcPr>
            <w:tcW w:w="1349" w:type="dxa"/>
            <w:vAlign w:val="center"/>
          </w:tcPr>
          <w:p w:rsidR="00B11453" w:rsidRDefault="00B11453" w:rsidP="00DF2363">
            <w:pPr>
              <w:jc w:val="right"/>
              <w:rPr>
                <w:sz w:val="20"/>
              </w:rPr>
            </w:pPr>
            <w:r>
              <w:rPr>
                <w:sz w:val="20"/>
              </w:rPr>
              <w:t>1</w:t>
            </w:r>
          </w:p>
        </w:tc>
        <w:tc>
          <w:tcPr>
            <w:tcW w:w="1508" w:type="dxa"/>
            <w:vAlign w:val="center"/>
          </w:tcPr>
          <w:p w:rsidR="00B11453" w:rsidRDefault="00B11453" w:rsidP="00A773B4">
            <w:pPr>
              <w:jc w:val="right"/>
            </w:pPr>
            <w:r>
              <w:rPr>
                <w:sz w:val="20"/>
              </w:rPr>
              <w:t>$</w:t>
            </w:r>
            <w:r w:rsidR="00A773B4">
              <w:rPr>
                <w:sz w:val="20"/>
              </w:rPr>
              <w:t>1</w:t>
            </w:r>
            <w:r>
              <w:rPr>
                <w:sz w:val="20"/>
              </w:rPr>
              <w:t>00,000</w:t>
            </w:r>
          </w:p>
        </w:tc>
        <w:tc>
          <w:tcPr>
            <w:tcW w:w="1890" w:type="dxa"/>
            <w:vAlign w:val="center"/>
          </w:tcPr>
          <w:p w:rsidR="00B11453" w:rsidRPr="008227AB" w:rsidRDefault="0090382A" w:rsidP="00DF2363">
            <w:pPr>
              <w:jc w:val="right"/>
              <w:rPr>
                <w:sz w:val="20"/>
              </w:rPr>
            </w:pPr>
            <w:r w:rsidRPr="008227AB">
              <w:rPr>
                <w:sz w:val="20"/>
              </w:rPr>
              <w:t>$100,000</w:t>
            </w:r>
          </w:p>
        </w:tc>
        <w:tc>
          <w:tcPr>
            <w:tcW w:w="1890" w:type="dxa"/>
          </w:tcPr>
          <w:p w:rsidR="00B11453" w:rsidRPr="001C2C1A" w:rsidRDefault="001C2C1A" w:rsidP="00DF2363">
            <w:pPr>
              <w:jc w:val="right"/>
              <w:rPr>
                <w:sz w:val="20"/>
              </w:rPr>
            </w:pPr>
            <w:r w:rsidRPr="001C2C1A">
              <w:rPr>
                <w:sz w:val="20"/>
              </w:rPr>
              <w:t>0</w:t>
            </w:r>
          </w:p>
        </w:tc>
      </w:tr>
    </w:tbl>
    <w:p w:rsidR="00B11453" w:rsidRDefault="00B11453" w:rsidP="00B11453"/>
    <w:p w:rsidR="00B11453" w:rsidRDefault="00B11453" w:rsidP="00B11453">
      <w:pPr>
        <w:pStyle w:val="xl24"/>
        <w:spacing w:before="0" w:after="0"/>
      </w:pPr>
      <w:r>
        <w:t>Non-Personnel Increase Cost Summary</w:t>
      </w:r>
    </w:p>
    <w:p w:rsidR="00B11453" w:rsidRDefault="00B11453" w:rsidP="00B11453"/>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4"/>
        <w:gridCol w:w="1344"/>
        <w:gridCol w:w="1350"/>
        <w:gridCol w:w="1620"/>
        <w:gridCol w:w="1890"/>
        <w:gridCol w:w="1980"/>
      </w:tblGrid>
      <w:tr w:rsidR="00B11453" w:rsidTr="00DF2363">
        <w:tc>
          <w:tcPr>
            <w:tcW w:w="1644" w:type="dxa"/>
            <w:shd w:val="clear" w:color="auto" w:fill="E6E6E6"/>
            <w:vAlign w:val="center"/>
          </w:tcPr>
          <w:p w:rsidR="00B11453" w:rsidRDefault="00B11453" w:rsidP="00DF2363">
            <w:pPr>
              <w:jc w:val="center"/>
              <w:rPr>
                <w:sz w:val="20"/>
              </w:rPr>
            </w:pPr>
            <w:r>
              <w:rPr>
                <w:sz w:val="20"/>
              </w:rPr>
              <w:t>Non-Personnel Item</w:t>
            </w:r>
          </w:p>
        </w:tc>
        <w:tc>
          <w:tcPr>
            <w:tcW w:w="1344" w:type="dxa"/>
            <w:vAlign w:val="center"/>
          </w:tcPr>
          <w:p w:rsidR="00B11453" w:rsidRDefault="00B11453" w:rsidP="00DF2363">
            <w:pPr>
              <w:jc w:val="center"/>
              <w:rPr>
                <w:sz w:val="20"/>
              </w:rPr>
            </w:pPr>
            <w:r>
              <w:rPr>
                <w:sz w:val="20"/>
              </w:rPr>
              <w:t>Unit Cost</w:t>
            </w:r>
          </w:p>
        </w:tc>
        <w:tc>
          <w:tcPr>
            <w:tcW w:w="1350" w:type="dxa"/>
            <w:vAlign w:val="center"/>
          </w:tcPr>
          <w:p w:rsidR="00B11453" w:rsidRDefault="00B11453" w:rsidP="00DF2363">
            <w:pPr>
              <w:jc w:val="center"/>
              <w:rPr>
                <w:sz w:val="20"/>
              </w:rPr>
            </w:pPr>
            <w:r>
              <w:rPr>
                <w:sz w:val="20"/>
              </w:rPr>
              <w:t>Quantity</w:t>
            </w:r>
          </w:p>
        </w:tc>
        <w:tc>
          <w:tcPr>
            <w:tcW w:w="1620" w:type="dxa"/>
            <w:vAlign w:val="center"/>
          </w:tcPr>
          <w:p w:rsidR="00B11453" w:rsidRDefault="00B11453" w:rsidP="00DF2363">
            <w:pPr>
              <w:jc w:val="center"/>
              <w:rPr>
                <w:sz w:val="20"/>
              </w:rPr>
            </w:pPr>
            <w:r>
              <w:rPr>
                <w:sz w:val="20"/>
              </w:rPr>
              <w:t>FY 2013 Request</w:t>
            </w:r>
          </w:p>
          <w:p w:rsidR="00B11453" w:rsidRDefault="00B11453" w:rsidP="00DF2363">
            <w:pPr>
              <w:jc w:val="center"/>
              <w:rPr>
                <w:sz w:val="20"/>
              </w:rPr>
            </w:pPr>
            <w:r>
              <w:rPr>
                <w:sz w:val="20"/>
              </w:rPr>
              <w:t>($000)</w:t>
            </w:r>
          </w:p>
        </w:tc>
        <w:tc>
          <w:tcPr>
            <w:tcW w:w="1890" w:type="dxa"/>
            <w:vAlign w:val="center"/>
          </w:tcPr>
          <w:p w:rsidR="00B11453" w:rsidRDefault="00B11453" w:rsidP="00DF2363">
            <w:pPr>
              <w:jc w:val="center"/>
              <w:rPr>
                <w:sz w:val="20"/>
              </w:rPr>
            </w:pPr>
            <w:r>
              <w:rPr>
                <w:sz w:val="20"/>
              </w:rPr>
              <w:t>FY 2014 Net</w:t>
            </w:r>
          </w:p>
          <w:p w:rsidR="00B11453" w:rsidRDefault="00B11453" w:rsidP="00DF2363">
            <w:pPr>
              <w:jc w:val="center"/>
              <w:rPr>
                <w:sz w:val="20"/>
              </w:rPr>
            </w:pPr>
            <w:r>
              <w:rPr>
                <w:sz w:val="20"/>
              </w:rPr>
              <w:t>Annualization</w:t>
            </w:r>
          </w:p>
          <w:p w:rsidR="00B11453" w:rsidRDefault="00B11453" w:rsidP="00DF2363">
            <w:pPr>
              <w:jc w:val="center"/>
              <w:rPr>
                <w:sz w:val="20"/>
              </w:rPr>
            </w:pPr>
            <w:r>
              <w:rPr>
                <w:sz w:val="20"/>
              </w:rPr>
              <w:t>(Change from 201</w:t>
            </w:r>
            <w:r w:rsidR="00183E2A">
              <w:rPr>
                <w:sz w:val="20"/>
              </w:rPr>
              <w:t>3</w:t>
            </w:r>
            <w:r>
              <w:rPr>
                <w:sz w:val="20"/>
              </w:rPr>
              <w:t>)</w:t>
            </w:r>
          </w:p>
          <w:p w:rsidR="00B11453" w:rsidRDefault="00B11453" w:rsidP="00DF2363">
            <w:pPr>
              <w:jc w:val="center"/>
              <w:rPr>
                <w:sz w:val="20"/>
              </w:rPr>
            </w:pPr>
            <w:r>
              <w:rPr>
                <w:sz w:val="20"/>
              </w:rPr>
              <w:t>($000)</w:t>
            </w:r>
          </w:p>
        </w:tc>
        <w:tc>
          <w:tcPr>
            <w:tcW w:w="1980" w:type="dxa"/>
          </w:tcPr>
          <w:p w:rsidR="00B11453" w:rsidRDefault="00B11453" w:rsidP="00DF2363">
            <w:pPr>
              <w:jc w:val="center"/>
              <w:rPr>
                <w:sz w:val="20"/>
              </w:rPr>
            </w:pPr>
            <w:r>
              <w:rPr>
                <w:sz w:val="20"/>
              </w:rPr>
              <w:t>FY 2015 Net</w:t>
            </w:r>
          </w:p>
          <w:p w:rsidR="00B11453" w:rsidRDefault="00B11453" w:rsidP="00DF2363">
            <w:pPr>
              <w:jc w:val="center"/>
              <w:rPr>
                <w:sz w:val="20"/>
              </w:rPr>
            </w:pPr>
            <w:r>
              <w:rPr>
                <w:sz w:val="20"/>
              </w:rPr>
              <w:t>Annualization</w:t>
            </w:r>
          </w:p>
          <w:p w:rsidR="00B11453" w:rsidRDefault="00B11453" w:rsidP="00DF2363">
            <w:pPr>
              <w:jc w:val="center"/>
              <w:rPr>
                <w:sz w:val="20"/>
              </w:rPr>
            </w:pPr>
            <w:r>
              <w:rPr>
                <w:sz w:val="20"/>
              </w:rPr>
              <w:t>(Change from 201</w:t>
            </w:r>
            <w:r w:rsidR="00183E2A">
              <w:rPr>
                <w:sz w:val="20"/>
              </w:rPr>
              <w:t>4</w:t>
            </w:r>
            <w:r>
              <w:rPr>
                <w:sz w:val="20"/>
              </w:rPr>
              <w:t>)</w:t>
            </w:r>
          </w:p>
          <w:p w:rsidR="00B11453" w:rsidRDefault="00B11453" w:rsidP="00DF2363">
            <w:pPr>
              <w:jc w:val="center"/>
              <w:rPr>
                <w:sz w:val="20"/>
              </w:rPr>
            </w:pPr>
            <w:r>
              <w:rPr>
                <w:sz w:val="20"/>
              </w:rPr>
              <w:t>($000)</w:t>
            </w:r>
          </w:p>
        </w:tc>
      </w:tr>
      <w:tr w:rsidR="00B11453" w:rsidTr="00DF2363">
        <w:tc>
          <w:tcPr>
            <w:tcW w:w="1644" w:type="dxa"/>
          </w:tcPr>
          <w:p w:rsidR="00B11453" w:rsidRDefault="00B11453" w:rsidP="00DF2363">
            <w:pPr>
              <w:rPr>
                <w:sz w:val="20"/>
              </w:rPr>
            </w:pPr>
            <w:r>
              <w:rPr>
                <w:sz w:val="20"/>
              </w:rPr>
              <w:t>Operations</w:t>
            </w:r>
          </w:p>
        </w:tc>
        <w:tc>
          <w:tcPr>
            <w:tcW w:w="1344" w:type="dxa"/>
            <w:vAlign w:val="center"/>
          </w:tcPr>
          <w:p w:rsidR="00B11453" w:rsidRDefault="00B11453" w:rsidP="00DF2363">
            <w:pPr>
              <w:pStyle w:val="xl19"/>
              <w:spacing w:before="0" w:after="0"/>
              <w:jc w:val="right"/>
              <w:rPr>
                <w:sz w:val="20"/>
                <w:szCs w:val="24"/>
              </w:rPr>
            </w:pPr>
          </w:p>
        </w:tc>
        <w:tc>
          <w:tcPr>
            <w:tcW w:w="1350" w:type="dxa"/>
            <w:vAlign w:val="center"/>
          </w:tcPr>
          <w:p w:rsidR="00B11453" w:rsidRDefault="00B11453" w:rsidP="00DF2363">
            <w:pPr>
              <w:jc w:val="right"/>
              <w:rPr>
                <w:sz w:val="20"/>
              </w:rPr>
            </w:pPr>
          </w:p>
        </w:tc>
        <w:tc>
          <w:tcPr>
            <w:tcW w:w="1620" w:type="dxa"/>
            <w:vAlign w:val="center"/>
          </w:tcPr>
          <w:p w:rsidR="00B11453" w:rsidRDefault="001C2C1A" w:rsidP="00DF2363">
            <w:pPr>
              <w:jc w:val="right"/>
              <w:rPr>
                <w:sz w:val="20"/>
              </w:rPr>
            </w:pPr>
            <w:r>
              <w:rPr>
                <w:sz w:val="20"/>
              </w:rPr>
              <w:t>$2,9</w:t>
            </w:r>
            <w:r w:rsidR="00B11453">
              <w:rPr>
                <w:sz w:val="20"/>
              </w:rPr>
              <w:t>00,000</w:t>
            </w:r>
          </w:p>
        </w:tc>
        <w:tc>
          <w:tcPr>
            <w:tcW w:w="1890" w:type="dxa"/>
            <w:vAlign w:val="center"/>
          </w:tcPr>
          <w:p w:rsidR="00B11453" w:rsidRDefault="00EF7C8B" w:rsidP="00DF2363">
            <w:pPr>
              <w:jc w:val="right"/>
              <w:rPr>
                <w:sz w:val="20"/>
              </w:rPr>
            </w:pPr>
            <w:r>
              <w:rPr>
                <w:sz w:val="20"/>
              </w:rPr>
              <w:t>0</w:t>
            </w:r>
          </w:p>
        </w:tc>
        <w:tc>
          <w:tcPr>
            <w:tcW w:w="1980" w:type="dxa"/>
          </w:tcPr>
          <w:p w:rsidR="00B11453" w:rsidRDefault="00EF7C8B" w:rsidP="00DF2363">
            <w:pPr>
              <w:jc w:val="right"/>
              <w:rPr>
                <w:sz w:val="20"/>
              </w:rPr>
            </w:pPr>
            <w:r>
              <w:rPr>
                <w:sz w:val="20"/>
              </w:rPr>
              <w:t>0</w:t>
            </w:r>
          </w:p>
        </w:tc>
      </w:tr>
      <w:tr w:rsidR="00B11453" w:rsidTr="00DF2363">
        <w:tc>
          <w:tcPr>
            <w:tcW w:w="1644" w:type="dxa"/>
          </w:tcPr>
          <w:p w:rsidR="00B11453" w:rsidRDefault="00B11453" w:rsidP="00DF2363">
            <w:pPr>
              <w:rPr>
                <w:sz w:val="20"/>
              </w:rPr>
            </w:pPr>
            <w:r>
              <w:rPr>
                <w:sz w:val="20"/>
              </w:rPr>
              <w:t>Total Non-Personnel</w:t>
            </w:r>
          </w:p>
        </w:tc>
        <w:tc>
          <w:tcPr>
            <w:tcW w:w="1344" w:type="dxa"/>
            <w:vAlign w:val="center"/>
          </w:tcPr>
          <w:p w:rsidR="00B11453" w:rsidRDefault="00B11453" w:rsidP="00DF2363">
            <w:pPr>
              <w:pStyle w:val="xl19"/>
              <w:spacing w:before="0" w:after="0"/>
              <w:jc w:val="right"/>
              <w:rPr>
                <w:sz w:val="20"/>
                <w:szCs w:val="24"/>
              </w:rPr>
            </w:pPr>
          </w:p>
        </w:tc>
        <w:tc>
          <w:tcPr>
            <w:tcW w:w="1350" w:type="dxa"/>
            <w:vAlign w:val="center"/>
          </w:tcPr>
          <w:p w:rsidR="00B11453" w:rsidRDefault="00B11453" w:rsidP="00DF2363">
            <w:pPr>
              <w:jc w:val="right"/>
              <w:rPr>
                <w:sz w:val="20"/>
              </w:rPr>
            </w:pPr>
          </w:p>
        </w:tc>
        <w:tc>
          <w:tcPr>
            <w:tcW w:w="1620" w:type="dxa"/>
            <w:vAlign w:val="center"/>
          </w:tcPr>
          <w:p w:rsidR="00B11453" w:rsidRDefault="00B11453" w:rsidP="001C2C1A">
            <w:pPr>
              <w:jc w:val="right"/>
              <w:rPr>
                <w:sz w:val="20"/>
              </w:rPr>
            </w:pPr>
            <w:r>
              <w:rPr>
                <w:sz w:val="20"/>
              </w:rPr>
              <w:t>$2,</w:t>
            </w:r>
            <w:r w:rsidR="001C2C1A">
              <w:rPr>
                <w:sz w:val="20"/>
              </w:rPr>
              <w:t>9</w:t>
            </w:r>
            <w:r>
              <w:rPr>
                <w:sz w:val="20"/>
              </w:rPr>
              <w:t>00,000</w:t>
            </w:r>
          </w:p>
        </w:tc>
        <w:tc>
          <w:tcPr>
            <w:tcW w:w="1890" w:type="dxa"/>
            <w:vAlign w:val="center"/>
          </w:tcPr>
          <w:p w:rsidR="00B11453" w:rsidRDefault="00EF7C8B" w:rsidP="00DF2363">
            <w:pPr>
              <w:jc w:val="right"/>
              <w:rPr>
                <w:sz w:val="20"/>
              </w:rPr>
            </w:pPr>
            <w:r>
              <w:rPr>
                <w:sz w:val="20"/>
              </w:rPr>
              <w:t>0</w:t>
            </w:r>
          </w:p>
        </w:tc>
        <w:tc>
          <w:tcPr>
            <w:tcW w:w="1980" w:type="dxa"/>
          </w:tcPr>
          <w:p w:rsidR="00B11453" w:rsidRDefault="00EF7C8B" w:rsidP="00DF2363">
            <w:pPr>
              <w:jc w:val="right"/>
              <w:rPr>
                <w:sz w:val="20"/>
              </w:rPr>
            </w:pPr>
            <w:r>
              <w:rPr>
                <w:sz w:val="20"/>
              </w:rPr>
              <w:t>0</w:t>
            </w:r>
          </w:p>
        </w:tc>
      </w:tr>
    </w:tbl>
    <w:p w:rsidR="00B11453" w:rsidRDefault="00B11453" w:rsidP="00B11453"/>
    <w:p w:rsidR="00B11453" w:rsidRDefault="00B11453" w:rsidP="00B11453">
      <w:pPr>
        <w:pStyle w:val="xl24"/>
        <w:spacing w:before="0" w:after="0"/>
        <w:rPr>
          <w:szCs w:val="24"/>
        </w:rPr>
      </w:pPr>
      <w:r>
        <w:rPr>
          <w:szCs w:val="24"/>
        </w:rPr>
        <w:t>Total Request for this Item</w:t>
      </w:r>
    </w:p>
    <w:p w:rsidR="00B11453" w:rsidRDefault="00B11453" w:rsidP="00B11453"/>
    <w:tbl>
      <w:tblPr>
        <w:tblW w:w="102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7"/>
        <w:gridCol w:w="604"/>
        <w:gridCol w:w="928"/>
        <w:gridCol w:w="669"/>
        <w:gridCol w:w="1030"/>
        <w:gridCol w:w="1297"/>
        <w:gridCol w:w="1133"/>
        <w:gridCol w:w="1620"/>
        <w:gridCol w:w="1890"/>
      </w:tblGrid>
      <w:tr w:rsidR="00B11453" w:rsidTr="00B11453">
        <w:trPr>
          <w:trHeight w:val="658"/>
        </w:trPr>
        <w:tc>
          <w:tcPr>
            <w:tcW w:w="1107" w:type="dxa"/>
            <w:shd w:val="clear" w:color="auto" w:fill="E6E6E6"/>
          </w:tcPr>
          <w:p w:rsidR="00B11453" w:rsidRDefault="00B11453" w:rsidP="00DF2363">
            <w:pPr>
              <w:rPr>
                <w:sz w:val="20"/>
              </w:rPr>
            </w:pPr>
          </w:p>
          <w:p w:rsidR="00B11453" w:rsidRPr="006A30E2" w:rsidRDefault="00B11453" w:rsidP="00DF2363">
            <w:pPr>
              <w:rPr>
                <w:sz w:val="20"/>
              </w:rPr>
            </w:pPr>
          </w:p>
        </w:tc>
        <w:tc>
          <w:tcPr>
            <w:tcW w:w="604" w:type="dxa"/>
            <w:vAlign w:val="center"/>
          </w:tcPr>
          <w:p w:rsidR="00B11453" w:rsidRDefault="00B11453" w:rsidP="00DF2363">
            <w:pPr>
              <w:jc w:val="center"/>
              <w:rPr>
                <w:sz w:val="20"/>
              </w:rPr>
            </w:pPr>
            <w:r>
              <w:rPr>
                <w:sz w:val="20"/>
              </w:rPr>
              <w:t>Pos</w:t>
            </w:r>
          </w:p>
        </w:tc>
        <w:tc>
          <w:tcPr>
            <w:tcW w:w="928" w:type="dxa"/>
            <w:vAlign w:val="center"/>
          </w:tcPr>
          <w:p w:rsidR="00B11453" w:rsidRDefault="00B11453" w:rsidP="00DF2363">
            <w:pPr>
              <w:jc w:val="center"/>
              <w:rPr>
                <w:sz w:val="20"/>
              </w:rPr>
            </w:pPr>
          </w:p>
          <w:p w:rsidR="00B11453" w:rsidRDefault="00B11453" w:rsidP="00DF2363">
            <w:pPr>
              <w:jc w:val="center"/>
              <w:rPr>
                <w:sz w:val="20"/>
              </w:rPr>
            </w:pPr>
            <w:proofErr w:type="spellStart"/>
            <w:r>
              <w:rPr>
                <w:sz w:val="20"/>
              </w:rPr>
              <w:t>Agt</w:t>
            </w:r>
            <w:proofErr w:type="spellEnd"/>
            <w:r>
              <w:rPr>
                <w:sz w:val="20"/>
              </w:rPr>
              <w:t>/</w:t>
            </w:r>
            <w:proofErr w:type="spellStart"/>
            <w:r>
              <w:rPr>
                <w:sz w:val="20"/>
              </w:rPr>
              <w:t>Atty</w:t>
            </w:r>
            <w:proofErr w:type="spellEnd"/>
          </w:p>
          <w:p w:rsidR="00B11453" w:rsidRDefault="00B11453" w:rsidP="00DF2363">
            <w:pPr>
              <w:jc w:val="center"/>
              <w:rPr>
                <w:sz w:val="20"/>
              </w:rPr>
            </w:pPr>
          </w:p>
        </w:tc>
        <w:tc>
          <w:tcPr>
            <w:tcW w:w="669" w:type="dxa"/>
            <w:vAlign w:val="center"/>
          </w:tcPr>
          <w:p w:rsidR="00B11453" w:rsidRDefault="00B11453" w:rsidP="00DF2363">
            <w:pPr>
              <w:jc w:val="center"/>
              <w:rPr>
                <w:sz w:val="20"/>
              </w:rPr>
            </w:pPr>
            <w:r>
              <w:rPr>
                <w:sz w:val="20"/>
              </w:rPr>
              <w:t>FTE</w:t>
            </w:r>
          </w:p>
        </w:tc>
        <w:tc>
          <w:tcPr>
            <w:tcW w:w="1030" w:type="dxa"/>
            <w:vAlign w:val="center"/>
          </w:tcPr>
          <w:p w:rsidR="00B11453" w:rsidRDefault="00B11453" w:rsidP="00DF2363">
            <w:pPr>
              <w:jc w:val="center"/>
              <w:rPr>
                <w:sz w:val="20"/>
              </w:rPr>
            </w:pPr>
            <w:r>
              <w:rPr>
                <w:sz w:val="20"/>
              </w:rPr>
              <w:t>Personnel</w:t>
            </w:r>
          </w:p>
          <w:p w:rsidR="00B11453" w:rsidRDefault="00B11453" w:rsidP="00DF2363">
            <w:pPr>
              <w:jc w:val="center"/>
              <w:rPr>
                <w:sz w:val="20"/>
              </w:rPr>
            </w:pPr>
            <w:r>
              <w:rPr>
                <w:sz w:val="20"/>
              </w:rPr>
              <w:t>($000)</w:t>
            </w:r>
          </w:p>
        </w:tc>
        <w:tc>
          <w:tcPr>
            <w:tcW w:w="1297" w:type="dxa"/>
            <w:vAlign w:val="center"/>
          </w:tcPr>
          <w:p w:rsidR="00B11453" w:rsidRDefault="00B11453" w:rsidP="00DF2363">
            <w:pPr>
              <w:jc w:val="center"/>
              <w:rPr>
                <w:sz w:val="20"/>
              </w:rPr>
            </w:pPr>
            <w:r>
              <w:rPr>
                <w:sz w:val="20"/>
              </w:rPr>
              <w:t>Non-Personnel</w:t>
            </w:r>
          </w:p>
          <w:p w:rsidR="00B11453" w:rsidRDefault="00B11453" w:rsidP="00DF2363">
            <w:pPr>
              <w:jc w:val="center"/>
              <w:rPr>
                <w:sz w:val="20"/>
              </w:rPr>
            </w:pPr>
            <w:r>
              <w:rPr>
                <w:sz w:val="20"/>
              </w:rPr>
              <w:t>($000)</w:t>
            </w:r>
          </w:p>
        </w:tc>
        <w:tc>
          <w:tcPr>
            <w:tcW w:w="1133" w:type="dxa"/>
          </w:tcPr>
          <w:p w:rsidR="00B11453" w:rsidRDefault="00B11453" w:rsidP="00DF2363">
            <w:pPr>
              <w:jc w:val="center"/>
              <w:rPr>
                <w:sz w:val="20"/>
              </w:rPr>
            </w:pPr>
          </w:p>
          <w:p w:rsidR="00B11453" w:rsidRDefault="00B11453" w:rsidP="00DF2363">
            <w:pPr>
              <w:jc w:val="center"/>
              <w:rPr>
                <w:sz w:val="20"/>
              </w:rPr>
            </w:pPr>
            <w:r>
              <w:rPr>
                <w:sz w:val="20"/>
              </w:rPr>
              <w:t>Total</w:t>
            </w:r>
          </w:p>
          <w:p w:rsidR="00B11453" w:rsidRDefault="00B11453" w:rsidP="00DF2363">
            <w:pPr>
              <w:jc w:val="center"/>
              <w:rPr>
                <w:sz w:val="20"/>
              </w:rPr>
            </w:pPr>
            <w:r>
              <w:rPr>
                <w:sz w:val="20"/>
              </w:rPr>
              <w:t>($000)</w:t>
            </w:r>
          </w:p>
        </w:tc>
        <w:tc>
          <w:tcPr>
            <w:tcW w:w="1620" w:type="dxa"/>
            <w:vAlign w:val="center"/>
          </w:tcPr>
          <w:p w:rsidR="00B11453" w:rsidRDefault="00B11453" w:rsidP="00DF2363">
            <w:pPr>
              <w:jc w:val="center"/>
              <w:rPr>
                <w:sz w:val="20"/>
              </w:rPr>
            </w:pPr>
            <w:r>
              <w:rPr>
                <w:sz w:val="20"/>
              </w:rPr>
              <w:t>FY 2014 Net</w:t>
            </w:r>
          </w:p>
          <w:p w:rsidR="00B11453" w:rsidRDefault="00B11453" w:rsidP="00DF2363">
            <w:pPr>
              <w:jc w:val="center"/>
              <w:rPr>
                <w:sz w:val="20"/>
              </w:rPr>
            </w:pPr>
            <w:r>
              <w:rPr>
                <w:sz w:val="20"/>
              </w:rPr>
              <w:t>Annualization</w:t>
            </w:r>
          </w:p>
          <w:p w:rsidR="00B11453" w:rsidRDefault="00B11453" w:rsidP="00DF2363">
            <w:pPr>
              <w:jc w:val="center"/>
              <w:rPr>
                <w:sz w:val="20"/>
              </w:rPr>
            </w:pPr>
            <w:r>
              <w:rPr>
                <w:sz w:val="20"/>
              </w:rPr>
              <w:t>(Change from 201</w:t>
            </w:r>
            <w:r w:rsidR="00183E2A">
              <w:rPr>
                <w:sz w:val="20"/>
              </w:rPr>
              <w:t>3</w:t>
            </w:r>
            <w:r>
              <w:rPr>
                <w:sz w:val="20"/>
              </w:rPr>
              <w:t>)</w:t>
            </w:r>
          </w:p>
          <w:p w:rsidR="00B11453" w:rsidRDefault="00B11453" w:rsidP="00DF2363">
            <w:pPr>
              <w:jc w:val="center"/>
              <w:rPr>
                <w:sz w:val="20"/>
              </w:rPr>
            </w:pPr>
            <w:r>
              <w:rPr>
                <w:sz w:val="20"/>
              </w:rPr>
              <w:t>($000)</w:t>
            </w:r>
          </w:p>
        </w:tc>
        <w:tc>
          <w:tcPr>
            <w:tcW w:w="1890" w:type="dxa"/>
          </w:tcPr>
          <w:p w:rsidR="00B11453" w:rsidRDefault="00B11453" w:rsidP="00DF2363">
            <w:pPr>
              <w:jc w:val="center"/>
              <w:rPr>
                <w:sz w:val="20"/>
              </w:rPr>
            </w:pPr>
            <w:r>
              <w:rPr>
                <w:sz w:val="20"/>
              </w:rPr>
              <w:t>FY 2015 Net</w:t>
            </w:r>
          </w:p>
          <w:p w:rsidR="00B11453" w:rsidRDefault="00B11453" w:rsidP="00DF2363">
            <w:pPr>
              <w:jc w:val="center"/>
              <w:rPr>
                <w:sz w:val="20"/>
              </w:rPr>
            </w:pPr>
            <w:r>
              <w:rPr>
                <w:sz w:val="20"/>
              </w:rPr>
              <w:t>Annualization</w:t>
            </w:r>
          </w:p>
          <w:p w:rsidR="00B11453" w:rsidRDefault="00B11453" w:rsidP="00DF2363">
            <w:pPr>
              <w:jc w:val="center"/>
              <w:rPr>
                <w:sz w:val="20"/>
              </w:rPr>
            </w:pPr>
            <w:r>
              <w:rPr>
                <w:sz w:val="20"/>
              </w:rPr>
              <w:t>(Change from 201</w:t>
            </w:r>
            <w:r w:rsidR="00183E2A">
              <w:rPr>
                <w:sz w:val="20"/>
              </w:rPr>
              <w:t>4</w:t>
            </w:r>
            <w:r>
              <w:rPr>
                <w:sz w:val="20"/>
              </w:rPr>
              <w:t>)</w:t>
            </w:r>
          </w:p>
          <w:p w:rsidR="00B11453" w:rsidRDefault="00B11453" w:rsidP="00DF2363">
            <w:pPr>
              <w:jc w:val="center"/>
              <w:rPr>
                <w:sz w:val="20"/>
              </w:rPr>
            </w:pPr>
            <w:r>
              <w:rPr>
                <w:sz w:val="20"/>
              </w:rPr>
              <w:t>($000)</w:t>
            </w:r>
          </w:p>
        </w:tc>
      </w:tr>
      <w:tr w:rsidR="00B11453" w:rsidTr="00B11453">
        <w:trPr>
          <w:trHeight w:val="215"/>
        </w:trPr>
        <w:tc>
          <w:tcPr>
            <w:tcW w:w="1107" w:type="dxa"/>
          </w:tcPr>
          <w:p w:rsidR="00B11453" w:rsidRDefault="00B11453" w:rsidP="00DF2363">
            <w:pPr>
              <w:rPr>
                <w:sz w:val="20"/>
              </w:rPr>
            </w:pPr>
            <w:r>
              <w:rPr>
                <w:sz w:val="20"/>
              </w:rPr>
              <w:t>Current Services</w:t>
            </w:r>
          </w:p>
        </w:tc>
        <w:tc>
          <w:tcPr>
            <w:tcW w:w="604" w:type="dxa"/>
            <w:vAlign w:val="center"/>
          </w:tcPr>
          <w:p w:rsidR="00B11453" w:rsidRDefault="00B11453" w:rsidP="00DF2363">
            <w:pPr>
              <w:jc w:val="right"/>
              <w:rPr>
                <w:sz w:val="20"/>
              </w:rPr>
            </w:pPr>
          </w:p>
        </w:tc>
        <w:tc>
          <w:tcPr>
            <w:tcW w:w="928" w:type="dxa"/>
          </w:tcPr>
          <w:p w:rsidR="00B11453" w:rsidRDefault="00B11453" w:rsidP="00DF2363">
            <w:pPr>
              <w:jc w:val="right"/>
              <w:rPr>
                <w:sz w:val="20"/>
              </w:rPr>
            </w:pPr>
          </w:p>
        </w:tc>
        <w:tc>
          <w:tcPr>
            <w:tcW w:w="669" w:type="dxa"/>
            <w:vAlign w:val="center"/>
          </w:tcPr>
          <w:p w:rsidR="00B11453" w:rsidRDefault="00B11453" w:rsidP="00DF2363">
            <w:pPr>
              <w:jc w:val="right"/>
              <w:rPr>
                <w:sz w:val="20"/>
              </w:rPr>
            </w:pPr>
          </w:p>
        </w:tc>
        <w:tc>
          <w:tcPr>
            <w:tcW w:w="1030" w:type="dxa"/>
            <w:vAlign w:val="center"/>
          </w:tcPr>
          <w:p w:rsidR="00B11453" w:rsidRDefault="00EF7C8B" w:rsidP="00DF2363">
            <w:pPr>
              <w:jc w:val="right"/>
              <w:rPr>
                <w:sz w:val="20"/>
              </w:rPr>
            </w:pPr>
            <w:r>
              <w:rPr>
                <w:sz w:val="20"/>
              </w:rPr>
              <w:t>0</w:t>
            </w:r>
          </w:p>
        </w:tc>
        <w:tc>
          <w:tcPr>
            <w:tcW w:w="1297" w:type="dxa"/>
            <w:vAlign w:val="center"/>
          </w:tcPr>
          <w:p w:rsidR="00B11453" w:rsidRDefault="00EF7C8B" w:rsidP="00DF2363">
            <w:pPr>
              <w:jc w:val="right"/>
              <w:rPr>
                <w:sz w:val="20"/>
              </w:rPr>
            </w:pPr>
            <w:r>
              <w:rPr>
                <w:sz w:val="20"/>
              </w:rPr>
              <w:t>0</w:t>
            </w:r>
          </w:p>
        </w:tc>
        <w:tc>
          <w:tcPr>
            <w:tcW w:w="1133" w:type="dxa"/>
          </w:tcPr>
          <w:p w:rsidR="00B11453" w:rsidRDefault="00EF7C8B" w:rsidP="00DF2363">
            <w:pPr>
              <w:jc w:val="right"/>
              <w:rPr>
                <w:sz w:val="20"/>
              </w:rPr>
            </w:pPr>
            <w:r>
              <w:rPr>
                <w:sz w:val="20"/>
              </w:rPr>
              <w:t>0</w:t>
            </w:r>
          </w:p>
        </w:tc>
        <w:tc>
          <w:tcPr>
            <w:tcW w:w="1620" w:type="dxa"/>
            <w:vAlign w:val="center"/>
          </w:tcPr>
          <w:p w:rsidR="00B11453" w:rsidRDefault="00EF7C8B" w:rsidP="00DF2363">
            <w:pPr>
              <w:jc w:val="right"/>
              <w:rPr>
                <w:sz w:val="20"/>
              </w:rPr>
            </w:pPr>
            <w:r>
              <w:rPr>
                <w:sz w:val="20"/>
              </w:rPr>
              <w:t>0</w:t>
            </w:r>
          </w:p>
        </w:tc>
        <w:tc>
          <w:tcPr>
            <w:tcW w:w="1890" w:type="dxa"/>
          </w:tcPr>
          <w:p w:rsidR="00B11453" w:rsidRDefault="00EF7C8B" w:rsidP="00DF2363">
            <w:pPr>
              <w:jc w:val="right"/>
              <w:rPr>
                <w:sz w:val="20"/>
              </w:rPr>
            </w:pPr>
            <w:r>
              <w:rPr>
                <w:sz w:val="20"/>
              </w:rPr>
              <w:t>0</w:t>
            </w:r>
          </w:p>
        </w:tc>
      </w:tr>
      <w:tr w:rsidR="00B11453" w:rsidTr="00B11453">
        <w:trPr>
          <w:trHeight w:val="215"/>
        </w:trPr>
        <w:tc>
          <w:tcPr>
            <w:tcW w:w="1107" w:type="dxa"/>
          </w:tcPr>
          <w:p w:rsidR="00B11453" w:rsidRDefault="00B11453" w:rsidP="00DF2363">
            <w:pPr>
              <w:rPr>
                <w:sz w:val="20"/>
              </w:rPr>
            </w:pPr>
            <w:r>
              <w:rPr>
                <w:sz w:val="20"/>
              </w:rPr>
              <w:t>Increases</w:t>
            </w:r>
          </w:p>
        </w:tc>
        <w:tc>
          <w:tcPr>
            <w:tcW w:w="604" w:type="dxa"/>
            <w:vAlign w:val="center"/>
          </w:tcPr>
          <w:p w:rsidR="00B11453" w:rsidRDefault="00077CBA" w:rsidP="00DF2363">
            <w:pPr>
              <w:jc w:val="right"/>
              <w:rPr>
                <w:sz w:val="20"/>
              </w:rPr>
            </w:pPr>
            <w:r>
              <w:rPr>
                <w:sz w:val="20"/>
              </w:rPr>
              <w:t>1</w:t>
            </w:r>
          </w:p>
        </w:tc>
        <w:tc>
          <w:tcPr>
            <w:tcW w:w="928" w:type="dxa"/>
          </w:tcPr>
          <w:p w:rsidR="00B11453" w:rsidRDefault="00077CBA" w:rsidP="00DF2363">
            <w:pPr>
              <w:jc w:val="right"/>
              <w:rPr>
                <w:sz w:val="20"/>
              </w:rPr>
            </w:pPr>
            <w:r>
              <w:rPr>
                <w:sz w:val="20"/>
              </w:rPr>
              <w:t>1</w:t>
            </w:r>
          </w:p>
        </w:tc>
        <w:tc>
          <w:tcPr>
            <w:tcW w:w="669" w:type="dxa"/>
            <w:vAlign w:val="center"/>
          </w:tcPr>
          <w:p w:rsidR="00B11453" w:rsidRDefault="00077CBA" w:rsidP="00DF2363">
            <w:pPr>
              <w:jc w:val="right"/>
              <w:rPr>
                <w:sz w:val="20"/>
              </w:rPr>
            </w:pPr>
            <w:r>
              <w:rPr>
                <w:sz w:val="20"/>
              </w:rPr>
              <w:t>1</w:t>
            </w:r>
          </w:p>
        </w:tc>
        <w:tc>
          <w:tcPr>
            <w:tcW w:w="1030" w:type="dxa"/>
            <w:vAlign w:val="center"/>
          </w:tcPr>
          <w:p w:rsidR="00B11453" w:rsidRDefault="001C2C1A" w:rsidP="001C2C1A">
            <w:pPr>
              <w:jc w:val="right"/>
              <w:rPr>
                <w:sz w:val="20"/>
              </w:rPr>
            </w:pPr>
            <w:r>
              <w:rPr>
                <w:sz w:val="20"/>
              </w:rPr>
              <w:t>1</w:t>
            </w:r>
            <w:r w:rsidR="00B11453">
              <w:rPr>
                <w:sz w:val="20"/>
              </w:rPr>
              <w:t>00,000</w:t>
            </w:r>
          </w:p>
        </w:tc>
        <w:tc>
          <w:tcPr>
            <w:tcW w:w="1297" w:type="dxa"/>
            <w:vAlign w:val="center"/>
          </w:tcPr>
          <w:p w:rsidR="00B11453" w:rsidRDefault="00B11453" w:rsidP="001C2C1A">
            <w:pPr>
              <w:jc w:val="right"/>
              <w:rPr>
                <w:sz w:val="20"/>
              </w:rPr>
            </w:pPr>
            <w:r>
              <w:rPr>
                <w:sz w:val="20"/>
              </w:rPr>
              <w:t>2,</w:t>
            </w:r>
            <w:r w:rsidR="001C2C1A">
              <w:rPr>
                <w:sz w:val="20"/>
              </w:rPr>
              <w:t>9</w:t>
            </w:r>
            <w:r>
              <w:rPr>
                <w:sz w:val="20"/>
              </w:rPr>
              <w:t>00,000</w:t>
            </w:r>
          </w:p>
        </w:tc>
        <w:tc>
          <w:tcPr>
            <w:tcW w:w="1133" w:type="dxa"/>
          </w:tcPr>
          <w:p w:rsidR="00B11453" w:rsidRDefault="00B11453" w:rsidP="00DF2363">
            <w:pPr>
              <w:jc w:val="right"/>
              <w:rPr>
                <w:sz w:val="20"/>
              </w:rPr>
            </w:pPr>
            <w:r>
              <w:rPr>
                <w:sz w:val="20"/>
              </w:rPr>
              <w:t>3,000,000</w:t>
            </w:r>
          </w:p>
        </w:tc>
        <w:tc>
          <w:tcPr>
            <w:tcW w:w="1620" w:type="dxa"/>
            <w:vAlign w:val="center"/>
          </w:tcPr>
          <w:p w:rsidR="00B11453" w:rsidRDefault="001C2C1A" w:rsidP="00DF2363">
            <w:pPr>
              <w:jc w:val="right"/>
              <w:rPr>
                <w:sz w:val="20"/>
              </w:rPr>
            </w:pPr>
            <w:r>
              <w:rPr>
                <w:sz w:val="20"/>
              </w:rPr>
              <w:t>100,000</w:t>
            </w:r>
          </w:p>
        </w:tc>
        <w:tc>
          <w:tcPr>
            <w:tcW w:w="1890" w:type="dxa"/>
          </w:tcPr>
          <w:p w:rsidR="00B11453" w:rsidRDefault="001C2C1A" w:rsidP="00DF2363">
            <w:pPr>
              <w:jc w:val="right"/>
              <w:rPr>
                <w:sz w:val="20"/>
              </w:rPr>
            </w:pPr>
            <w:r>
              <w:rPr>
                <w:sz w:val="20"/>
              </w:rPr>
              <w:t>0</w:t>
            </w:r>
          </w:p>
        </w:tc>
      </w:tr>
      <w:tr w:rsidR="00B11453" w:rsidTr="00B11453">
        <w:trPr>
          <w:trHeight w:val="215"/>
        </w:trPr>
        <w:tc>
          <w:tcPr>
            <w:tcW w:w="1107" w:type="dxa"/>
          </w:tcPr>
          <w:p w:rsidR="00B11453" w:rsidRDefault="00B11453" w:rsidP="00DF2363">
            <w:pPr>
              <w:rPr>
                <w:sz w:val="20"/>
              </w:rPr>
            </w:pPr>
            <w:r>
              <w:rPr>
                <w:sz w:val="20"/>
              </w:rPr>
              <w:t>Grand Total</w:t>
            </w:r>
          </w:p>
        </w:tc>
        <w:tc>
          <w:tcPr>
            <w:tcW w:w="604" w:type="dxa"/>
            <w:vAlign w:val="center"/>
          </w:tcPr>
          <w:p w:rsidR="00B11453" w:rsidRDefault="00077CBA" w:rsidP="00DF2363">
            <w:pPr>
              <w:jc w:val="right"/>
              <w:rPr>
                <w:sz w:val="20"/>
              </w:rPr>
            </w:pPr>
            <w:r>
              <w:rPr>
                <w:sz w:val="20"/>
              </w:rPr>
              <w:t>1</w:t>
            </w:r>
          </w:p>
        </w:tc>
        <w:tc>
          <w:tcPr>
            <w:tcW w:w="928" w:type="dxa"/>
          </w:tcPr>
          <w:p w:rsidR="00077CBA" w:rsidRDefault="00077CBA" w:rsidP="00DF2363">
            <w:pPr>
              <w:jc w:val="right"/>
              <w:rPr>
                <w:sz w:val="20"/>
              </w:rPr>
            </w:pPr>
          </w:p>
          <w:p w:rsidR="00B11453" w:rsidRDefault="00077CBA" w:rsidP="00DF2363">
            <w:pPr>
              <w:jc w:val="right"/>
              <w:rPr>
                <w:sz w:val="20"/>
              </w:rPr>
            </w:pPr>
            <w:r>
              <w:rPr>
                <w:sz w:val="20"/>
              </w:rPr>
              <w:t>1</w:t>
            </w:r>
          </w:p>
        </w:tc>
        <w:tc>
          <w:tcPr>
            <w:tcW w:w="669" w:type="dxa"/>
            <w:vAlign w:val="center"/>
          </w:tcPr>
          <w:p w:rsidR="00B11453" w:rsidRDefault="00077CBA" w:rsidP="00DF2363">
            <w:pPr>
              <w:jc w:val="right"/>
              <w:rPr>
                <w:sz w:val="20"/>
              </w:rPr>
            </w:pPr>
            <w:r>
              <w:rPr>
                <w:sz w:val="20"/>
              </w:rPr>
              <w:t>1</w:t>
            </w:r>
          </w:p>
        </w:tc>
        <w:tc>
          <w:tcPr>
            <w:tcW w:w="1030" w:type="dxa"/>
            <w:vAlign w:val="center"/>
          </w:tcPr>
          <w:p w:rsidR="00B11453" w:rsidRDefault="001C2C1A" w:rsidP="00DF2363">
            <w:pPr>
              <w:jc w:val="right"/>
              <w:rPr>
                <w:sz w:val="20"/>
              </w:rPr>
            </w:pPr>
            <w:r>
              <w:rPr>
                <w:sz w:val="20"/>
              </w:rPr>
              <w:t>1</w:t>
            </w:r>
            <w:r w:rsidR="00B11453">
              <w:rPr>
                <w:sz w:val="20"/>
              </w:rPr>
              <w:t>00,000</w:t>
            </w:r>
          </w:p>
        </w:tc>
        <w:tc>
          <w:tcPr>
            <w:tcW w:w="1297" w:type="dxa"/>
            <w:vAlign w:val="center"/>
          </w:tcPr>
          <w:p w:rsidR="00B11453" w:rsidRDefault="00B11453" w:rsidP="001C2C1A">
            <w:pPr>
              <w:jc w:val="right"/>
              <w:rPr>
                <w:sz w:val="20"/>
              </w:rPr>
            </w:pPr>
            <w:r>
              <w:rPr>
                <w:sz w:val="20"/>
              </w:rPr>
              <w:t>2,</w:t>
            </w:r>
            <w:r w:rsidR="001C2C1A">
              <w:rPr>
                <w:sz w:val="20"/>
              </w:rPr>
              <w:t>9</w:t>
            </w:r>
            <w:r>
              <w:rPr>
                <w:sz w:val="20"/>
              </w:rPr>
              <w:t>00,000</w:t>
            </w:r>
          </w:p>
        </w:tc>
        <w:tc>
          <w:tcPr>
            <w:tcW w:w="1133" w:type="dxa"/>
          </w:tcPr>
          <w:p w:rsidR="00B11453" w:rsidRDefault="00B11453" w:rsidP="00DF2363">
            <w:pPr>
              <w:jc w:val="right"/>
              <w:rPr>
                <w:sz w:val="20"/>
              </w:rPr>
            </w:pPr>
            <w:r>
              <w:rPr>
                <w:sz w:val="20"/>
              </w:rPr>
              <w:t>3,000,000</w:t>
            </w:r>
          </w:p>
        </w:tc>
        <w:tc>
          <w:tcPr>
            <w:tcW w:w="1620" w:type="dxa"/>
            <w:vAlign w:val="center"/>
          </w:tcPr>
          <w:p w:rsidR="00B11453" w:rsidRDefault="001C2C1A" w:rsidP="00DF2363">
            <w:pPr>
              <w:jc w:val="right"/>
              <w:rPr>
                <w:sz w:val="20"/>
              </w:rPr>
            </w:pPr>
            <w:r>
              <w:rPr>
                <w:sz w:val="20"/>
              </w:rPr>
              <w:t>100,000</w:t>
            </w:r>
          </w:p>
        </w:tc>
        <w:tc>
          <w:tcPr>
            <w:tcW w:w="1890" w:type="dxa"/>
          </w:tcPr>
          <w:p w:rsidR="00B11453" w:rsidRDefault="001C2C1A" w:rsidP="00DF2363">
            <w:pPr>
              <w:jc w:val="right"/>
              <w:rPr>
                <w:sz w:val="20"/>
              </w:rPr>
            </w:pPr>
            <w:r>
              <w:rPr>
                <w:sz w:val="20"/>
              </w:rPr>
              <w:t>0</w:t>
            </w:r>
          </w:p>
        </w:tc>
      </w:tr>
    </w:tbl>
    <w:p w:rsidR="00B11453" w:rsidRDefault="00B11453" w:rsidP="00B11453">
      <w:pPr>
        <w:pStyle w:val="BodyText2"/>
      </w:pPr>
    </w:p>
    <w:p w:rsidR="00F759EE" w:rsidRDefault="00F759EE" w:rsidP="006A0EC9">
      <w:pPr>
        <w:pStyle w:val="BodyText"/>
        <w:rPr>
          <w:b/>
          <w:bCs/>
        </w:rPr>
      </w:pPr>
    </w:p>
    <w:p w:rsidR="00B11453" w:rsidRPr="00710A68" w:rsidRDefault="00B11453" w:rsidP="00B11453">
      <w:pPr>
        <w:rPr>
          <w:b/>
        </w:rPr>
      </w:pPr>
    </w:p>
    <w:p w:rsidR="00575FB1" w:rsidRDefault="00575FB1" w:rsidP="00575FB1">
      <w:pPr>
        <w:pStyle w:val="xl24"/>
        <w:spacing w:before="0" w:after="0"/>
        <w:rPr>
          <w:b/>
          <w:u w:val="none"/>
        </w:rPr>
      </w:pPr>
    </w:p>
    <w:p w:rsidR="00B54490" w:rsidRDefault="00B54490" w:rsidP="00C27AA5">
      <w:pPr>
        <w:pStyle w:val="xl19"/>
        <w:tabs>
          <w:tab w:val="left" w:pos="3420"/>
          <w:tab w:val="right" w:pos="8640"/>
        </w:tabs>
        <w:spacing w:before="0" w:after="0"/>
        <w:ind w:left="-720"/>
        <w:jc w:val="center"/>
        <w:rPr>
          <w:b/>
          <w:bCs/>
          <w:sz w:val="56"/>
          <w:szCs w:val="56"/>
        </w:rPr>
      </w:pPr>
    </w:p>
    <w:p w:rsidR="00DC0F62" w:rsidRDefault="00DC0F62" w:rsidP="00DC0F62">
      <w:pPr>
        <w:pStyle w:val="xl19"/>
        <w:tabs>
          <w:tab w:val="left" w:pos="3420"/>
          <w:tab w:val="right" w:pos="8640"/>
        </w:tabs>
        <w:spacing w:before="0" w:after="0"/>
        <w:ind w:left="-720"/>
        <w:jc w:val="center"/>
        <w:rPr>
          <w:b/>
          <w:bCs/>
          <w:sz w:val="56"/>
          <w:szCs w:val="56"/>
        </w:rPr>
      </w:pPr>
      <w:r w:rsidRPr="000A6817">
        <w:rPr>
          <w:b/>
          <w:bCs/>
          <w:sz w:val="56"/>
          <w:szCs w:val="56"/>
        </w:rPr>
        <w:t>Intentionally Left Blank</w:t>
      </w:r>
    </w:p>
    <w:p w:rsidR="00DC0F62" w:rsidRPr="000A6817" w:rsidRDefault="00DC0F62" w:rsidP="00DC0F62">
      <w:pPr>
        <w:pStyle w:val="xl19"/>
        <w:tabs>
          <w:tab w:val="left" w:pos="3420"/>
          <w:tab w:val="right" w:pos="8640"/>
        </w:tabs>
        <w:spacing w:before="0" w:after="0"/>
        <w:ind w:left="-720"/>
        <w:jc w:val="center"/>
        <w:rPr>
          <w:b/>
          <w:bCs/>
          <w:sz w:val="56"/>
          <w:szCs w:val="56"/>
        </w:rPr>
      </w:pPr>
      <w:r>
        <w:rPr>
          <w:b/>
          <w:bCs/>
          <w:sz w:val="56"/>
          <w:szCs w:val="56"/>
        </w:rPr>
        <w:br w:type="page"/>
      </w:r>
    </w:p>
    <w:p w:rsidR="00DC0F62" w:rsidRPr="001D6DE2" w:rsidRDefault="00DC0F62" w:rsidP="00DC0F62">
      <w:pPr>
        <w:pStyle w:val="BodyText"/>
        <w:rPr>
          <w:b/>
          <w:bCs/>
        </w:rPr>
      </w:pPr>
      <w:r>
        <w:rPr>
          <w:b/>
          <w:bCs/>
        </w:rPr>
        <w:lastRenderedPageBreak/>
        <w:t>VI.</w:t>
      </w:r>
      <w:r>
        <w:rPr>
          <w:bCs/>
        </w:rPr>
        <w:t xml:space="preserve">   </w:t>
      </w:r>
      <w:r>
        <w:rPr>
          <w:b/>
          <w:bCs/>
        </w:rPr>
        <w:t>Program Offsets by Item</w:t>
      </w:r>
    </w:p>
    <w:p w:rsidR="00DC0F62" w:rsidRDefault="00DC0F62" w:rsidP="00DC0F62">
      <w:pPr>
        <w:pStyle w:val="xl19"/>
        <w:tabs>
          <w:tab w:val="left" w:pos="3420"/>
          <w:tab w:val="right" w:pos="8640"/>
        </w:tabs>
        <w:spacing w:before="0" w:after="0"/>
        <w:rPr>
          <w:b/>
          <w:bCs/>
        </w:rPr>
      </w:pPr>
      <w:r w:rsidRPr="00BE3210">
        <w:rPr>
          <w:b/>
          <w:bCs/>
        </w:rPr>
        <w:t>Item Name:</w:t>
      </w:r>
      <w:r>
        <w:rPr>
          <w:b/>
          <w:bCs/>
        </w:rPr>
        <w:t xml:space="preserve"> Information Technology (IT) Savings</w:t>
      </w:r>
      <w:r w:rsidRPr="00BE3210">
        <w:rPr>
          <w:b/>
          <w:bCs/>
        </w:rPr>
        <w:tab/>
      </w:r>
    </w:p>
    <w:p w:rsidR="00DC0F62" w:rsidRPr="00BE3210" w:rsidRDefault="00DC0F62" w:rsidP="00DC0F62">
      <w:pPr>
        <w:pStyle w:val="xl19"/>
        <w:tabs>
          <w:tab w:val="left" w:pos="3420"/>
          <w:tab w:val="right" w:pos="8640"/>
        </w:tabs>
        <w:spacing w:before="0" w:after="0"/>
      </w:pPr>
    </w:p>
    <w:p w:rsidR="00DC0F62" w:rsidRPr="00BE3210" w:rsidRDefault="00DC0F62" w:rsidP="00DC0F62">
      <w:pPr>
        <w:pStyle w:val="xl19"/>
        <w:tabs>
          <w:tab w:val="left" w:pos="3420"/>
          <w:tab w:val="right" w:pos="8640"/>
        </w:tabs>
        <w:spacing w:before="0" w:after="0"/>
      </w:pPr>
      <w:r w:rsidRPr="00BE3210">
        <w:t xml:space="preserve">Budget Decision Unit(s): </w:t>
      </w:r>
      <w:r w:rsidRPr="00BE3210">
        <w:tab/>
        <w:t xml:space="preserve">Investigations </w:t>
      </w:r>
      <w:r w:rsidR="006C7998">
        <w:t>and Prosecutions</w:t>
      </w:r>
    </w:p>
    <w:p w:rsidR="00DC0F62" w:rsidRPr="00BE3210" w:rsidRDefault="00DC0F62" w:rsidP="00DC0F62">
      <w:pPr>
        <w:pStyle w:val="xl19"/>
        <w:tabs>
          <w:tab w:val="left" w:pos="3420"/>
          <w:tab w:val="right" w:pos="8640"/>
        </w:tabs>
        <w:spacing w:before="0" w:after="0"/>
      </w:pPr>
      <w:r w:rsidRPr="00BE3210">
        <w:t>Strategic Goal(s) &amp; Objective(s):</w:t>
      </w:r>
      <w:r w:rsidRPr="00BE3210">
        <w:tab/>
        <w:t>Goal 2:  Objective 2.4</w:t>
      </w:r>
      <w:r w:rsidRPr="00BE3210">
        <w:rPr>
          <w:u w:val="single"/>
        </w:rPr>
        <w:t xml:space="preserve">                                                                                       </w:t>
      </w:r>
    </w:p>
    <w:p w:rsidR="00DC0F62" w:rsidRPr="00BE3210" w:rsidRDefault="00DC0F62" w:rsidP="00DC0F62">
      <w:pPr>
        <w:pStyle w:val="xl19"/>
        <w:tabs>
          <w:tab w:val="left" w:pos="3420"/>
          <w:tab w:val="right" w:pos="8640"/>
        </w:tabs>
        <w:spacing w:before="0" w:after="0"/>
      </w:pPr>
      <w:r w:rsidRPr="00BE3210">
        <w:t>Organizational Program:</w:t>
      </w:r>
      <w:r w:rsidRPr="00BE3210">
        <w:tab/>
        <w:t>OCDETF Program</w:t>
      </w:r>
    </w:p>
    <w:p w:rsidR="00DC0F62" w:rsidRPr="00BE3210" w:rsidRDefault="00DC0F62" w:rsidP="00DC0F62">
      <w:pPr>
        <w:pStyle w:val="xl19"/>
        <w:tabs>
          <w:tab w:val="left" w:pos="3420"/>
          <w:tab w:val="right" w:pos="4320"/>
        </w:tabs>
        <w:spacing w:before="0" w:after="0"/>
      </w:pPr>
    </w:p>
    <w:p w:rsidR="00DC0F62" w:rsidRPr="00BE3210" w:rsidRDefault="00DC0F62" w:rsidP="00DC0F62">
      <w:pPr>
        <w:pStyle w:val="xl19"/>
        <w:tabs>
          <w:tab w:val="left" w:pos="3420"/>
          <w:tab w:val="right" w:pos="4320"/>
        </w:tabs>
        <w:spacing w:before="0" w:after="0"/>
        <w:rPr>
          <w:u w:val="single"/>
        </w:rPr>
      </w:pPr>
      <w:r w:rsidRPr="00BE3210">
        <w:t xml:space="preserve">Component Ranking of Item: </w:t>
      </w:r>
      <w:r w:rsidRPr="00BE3210">
        <w:tab/>
        <w:t xml:space="preserve"> </w:t>
      </w:r>
      <w:r w:rsidR="00BA386F">
        <w:t xml:space="preserve">1 of </w:t>
      </w:r>
      <w:r w:rsidR="00C40023">
        <w:t>2</w:t>
      </w:r>
    </w:p>
    <w:p w:rsidR="00DC0F62" w:rsidRPr="00BE3210" w:rsidRDefault="00DC0F62" w:rsidP="00DC0F62">
      <w:pPr>
        <w:pStyle w:val="xl19"/>
        <w:spacing w:before="0" w:after="0"/>
      </w:pPr>
    </w:p>
    <w:p w:rsidR="00DC0F62" w:rsidRPr="0068689F" w:rsidRDefault="00DC0F62" w:rsidP="00DC0F62">
      <w:pPr>
        <w:pStyle w:val="xl19"/>
        <w:tabs>
          <w:tab w:val="left" w:pos="2340"/>
          <w:tab w:val="right" w:pos="3060"/>
          <w:tab w:val="left" w:pos="3600"/>
          <w:tab w:val="right" w:pos="4500"/>
          <w:tab w:val="left" w:pos="5310"/>
          <w:tab w:val="right" w:pos="6300"/>
        </w:tabs>
        <w:spacing w:before="0" w:after="0"/>
        <w:rPr>
          <w:shadow/>
        </w:rPr>
      </w:pPr>
      <w:r w:rsidRPr="002B00D4">
        <w:t xml:space="preserve">Program </w:t>
      </w:r>
      <w:r>
        <w:t>Reduction</w:t>
      </w:r>
      <w:r w:rsidRPr="002B00D4">
        <w:t>:  Posi</w:t>
      </w:r>
      <w:r w:rsidR="008A4865">
        <w:t xml:space="preserve">tions </w:t>
      </w:r>
      <w:r w:rsidR="000300ED" w:rsidRPr="000300ED">
        <w:rPr>
          <w:u w:val="single"/>
        </w:rPr>
        <w:t>0</w:t>
      </w:r>
      <w:r w:rsidR="008A4865">
        <w:t xml:space="preserve">    </w:t>
      </w:r>
      <w:proofErr w:type="spellStart"/>
      <w:r w:rsidR="008A4865">
        <w:t>Agt</w:t>
      </w:r>
      <w:proofErr w:type="spellEnd"/>
      <w:r w:rsidR="008A4865">
        <w:t>/</w:t>
      </w:r>
      <w:proofErr w:type="spellStart"/>
      <w:r w:rsidR="008A4865">
        <w:t>Atty</w:t>
      </w:r>
      <w:proofErr w:type="spellEnd"/>
      <w:r w:rsidR="008A4865">
        <w:t xml:space="preserve"> </w:t>
      </w:r>
      <w:r w:rsidR="000300ED" w:rsidRPr="000300ED">
        <w:rPr>
          <w:u w:val="single"/>
        </w:rPr>
        <w:t>0</w:t>
      </w:r>
      <w:r w:rsidR="008A4865">
        <w:t xml:space="preserve">     FTE </w:t>
      </w:r>
      <w:r w:rsidR="000300ED" w:rsidRPr="000300ED">
        <w:rPr>
          <w:u w:val="single"/>
        </w:rPr>
        <w:t>0</w:t>
      </w:r>
      <w:r w:rsidR="008A4865">
        <w:t xml:space="preserve">    </w:t>
      </w:r>
      <w:r w:rsidRPr="002B00D4">
        <w:t>Dollars</w:t>
      </w:r>
      <w:r>
        <w:t xml:space="preserve"> </w:t>
      </w:r>
      <w:r w:rsidR="000300ED" w:rsidRPr="000300ED">
        <w:rPr>
          <w:u w:val="single"/>
        </w:rPr>
        <w:t>-$299,000</w:t>
      </w:r>
      <w:r w:rsidRPr="002B00D4">
        <w:t xml:space="preserve"> </w:t>
      </w:r>
    </w:p>
    <w:p w:rsidR="00DC0F62" w:rsidRDefault="00DC0F62" w:rsidP="00DC0F62">
      <w:pPr>
        <w:pStyle w:val="xl24"/>
        <w:spacing w:before="0" w:after="0"/>
        <w:rPr>
          <w:shadow/>
        </w:rPr>
      </w:pPr>
    </w:p>
    <w:p w:rsidR="00DC0F62" w:rsidRPr="006A0EC9" w:rsidRDefault="00DC0F62" w:rsidP="00DC0F62">
      <w:pPr>
        <w:pStyle w:val="xl24"/>
        <w:spacing w:before="0" w:after="0"/>
      </w:pPr>
      <w:r w:rsidRPr="006A0EC9">
        <w:t>Description of Item</w:t>
      </w:r>
    </w:p>
    <w:p w:rsidR="00DC0F62" w:rsidRDefault="00DC0F62" w:rsidP="00DC0F62">
      <w:pPr>
        <w:pStyle w:val="BodyText"/>
        <w:rPr>
          <w:bCs/>
        </w:rPr>
      </w:pPr>
    </w:p>
    <w:p w:rsidR="00717A99" w:rsidRPr="00717A99" w:rsidRDefault="00717A99" w:rsidP="00717A99">
      <w:pPr>
        <w:pStyle w:val="NormalWeb"/>
      </w:pPr>
      <w:r w:rsidRPr="00717A99">
        <w:t xml:space="preserve">As part of its effort to increase IT management efficiency and comply with OMB’s direction to reform IT management activities, the Department is implementing a cost saving initiative as well as IT transformation projects.  To support cost savings, the Department is developing an infrastructure to enable DOJ components to better collaborate on IT contracting; which should result in lower IT expenditures.  In FY 2013 the Department anticipates realizing savings on all direct non-personnel IT spending through IT contracting collaboration.  These savings will not only support greater management efficiency within components but will also support OMB’s IT Reform plan by providing resources to support major initiatives in </w:t>
      </w:r>
      <w:proofErr w:type="spellStart"/>
      <w:r w:rsidRPr="00717A99">
        <w:t>Cybersecurity</w:t>
      </w:r>
      <w:proofErr w:type="spellEnd"/>
      <w:r w:rsidRPr="00717A99">
        <w:t xml:space="preserve">, data center consolidation, and enterprise e-mail systems.  The savings will also support other Department priorities in the FY 2013 request.  The offset to support these initiatives for </w:t>
      </w:r>
      <w:r w:rsidR="00074E05">
        <w:t>OCDETF</w:t>
      </w:r>
      <w:r w:rsidR="00074E05" w:rsidRPr="00717A99">
        <w:t xml:space="preserve"> </w:t>
      </w:r>
      <w:r w:rsidRPr="00717A99">
        <w:t>is $299,000.</w:t>
      </w:r>
    </w:p>
    <w:p w:rsidR="00717A99" w:rsidRDefault="00717A99" w:rsidP="00DC0F62">
      <w:pPr>
        <w:pStyle w:val="NormalWeb"/>
        <w:rPr>
          <w:color w:val="000000"/>
        </w:rPr>
      </w:pPr>
    </w:p>
    <w:p w:rsidR="006C7998" w:rsidRDefault="006C7998" w:rsidP="006C7998">
      <w:pPr>
        <w:pStyle w:val="xl19"/>
        <w:tabs>
          <w:tab w:val="left" w:pos="3420"/>
          <w:tab w:val="right" w:pos="8640"/>
        </w:tabs>
        <w:spacing w:before="0" w:after="0"/>
        <w:rPr>
          <w:b/>
          <w:bCs/>
        </w:rPr>
      </w:pPr>
    </w:p>
    <w:p w:rsidR="00717A99" w:rsidRDefault="00717A99"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p>
    <w:p w:rsidR="006C7998" w:rsidRDefault="006C7998" w:rsidP="006C7998">
      <w:pPr>
        <w:pStyle w:val="xl19"/>
        <w:tabs>
          <w:tab w:val="left" w:pos="3420"/>
          <w:tab w:val="right" w:pos="8640"/>
        </w:tabs>
        <w:spacing w:before="0" w:after="0"/>
        <w:rPr>
          <w:b/>
          <w:bCs/>
        </w:rPr>
      </w:pPr>
      <w:r w:rsidRPr="00BE3210">
        <w:rPr>
          <w:b/>
          <w:bCs/>
        </w:rPr>
        <w:lastRenderedPageBreak/>
        <w:t>Item Name:</w:t>
      </w:r>
      <w:r>
        <w:rPr>
          <w:b/>
          <w:bCs/>
        </w:rPr>
        <w:t xml:space="preserve"> </w:t>
      </w:r>
      <w:r w:rsidR="00F5534B">
        <w:rPr>
          <w:b/>
          <w:bCs/>
        </w:rPr>
        <w:t xml:space="preserve">Investigative and Prosecutorial </w:t>
      </w:r>
      <w:r>
        <w:rPr>
          <w:b/>
          <w:bCs/>
        </w:rPr>
        <w:t>Component</w:t>
      </w:r>
      <w:r w:rsidR="00F5534B">
        <w:rPr>
          <w:b/>
          <w:bCs/>
        </w:rPr>
        <w:t>s</w:t>
      </w:r>
      <w:r>
        <w:rPr>
          <w:b/>
          <w:bCs/>
        </w:rPr>
        <w:t xml:space="preserve"> Reduction</w:t>
      </w:r>
      <w:r w:rsidRPr="00BE3210">
        <w:rPr>
          <w:b/>
          <w:bCs/>
        </w:rPr>
        <w:tab/>
      </w:r>
    </w:p>
    <w:p w:rsidR="006C7998" w:rsidRPr="00BE3210" w:rsidRDefault="006C7998" w:rsidP="006C7998">
      <w:pPr>
        <w:pStyle w:val="xl19"/>
        <w:tabs>
          <w:tab w:val="left" w:pos="3420"/>
          <w:tab w:val="right" w:pos="8640"/>
        </w:tabs>
        <w:spacing w:before="0" w:after="0"/>
      </w:pPr>
    </w:p>
    <w:p w:rsidR="006C7998" w:rsidRPr="00BE3210" w:rsidRDefault="006C7998" w:rsidP="006C7998">
      <w:pPr>
        <w:pStyle w:val="xl19"/>
        <w:tabs>
          <w:tab w:val="left" w:pos="3420"/>
          <w:tab w:val="right" w:pos="8640"/>
        </w:tabs>
        <w:spacing w:before="0" w:after="0"/>
      </w:pPr>
      <w:r w:rsidRPr="00BE3210">
        <w:t xml:space="preserve">Budget Decision Unit(s): </w:t>
      </w:r>
      <w:r w:rsidRPr="00BE3210">
        <w:tab/>
        <w:t xml:space="preserve">Investigations </w:t>
      </w:r>
    </w:p>
    <w:p w:rsidR="006C7998" w:rsidRPr="00BE3210" w:rsidRDefault="006C7998" w:rsidP="006C7998">
      <w:pPr>
        <w:pStyle w:val="xl19"/>
        <w:tabs>
          <w:tab w:val="left" w:pos="3420"/>
          <w:tab w:val="right" w:pos="8640"/>
        </w:tabs>
        <w:spacing w:before="0" w:after="0"/>
      </w:pPr>
      <w:r w:rsidRPr="00BE3210">
        <w:t>Strategic Goal(s) &amp; Objective(s):</w:t>
      </w:r>
      <w:r w:rsidRPr="00BE3210">
        <w:tab/>
        <w:t>Goal 2:  Objective 2.4</w:t>
      </w:r>
      <w:r w:rsidRPr="00BE3210">
        <w:rPr>
          <w:u w:val="single"/>
        </w:rPr>
        <w:t xml:space="preserve">                                                                                       </w:t>
      </w:r>
    </w:p>
    <w:p w:rsidR="006C7998" w:rsidRPr="00BE3210" w:rsidRDefault="006C7998" w:rsidP="006C7998">
      <w:pPr>
        <w:pStyle w:val="xl19"/>
        <w:tabs>
          <w:tab w:val="left" w:pos="3420"/>
          <w:tab w:val="right" w:pos="8640"/>
        </w:tabs>
        <w:spacing w:before="0" w:after="0"/>
      </w:pPr>
      <w:r w:rsidRPr="00BE3210">
        <w:t>Organizational Program:</w:t>
      </w:r>
      <w:r w:rsidRPr="00BE3210">
        <w:tab/>
        <w:t>OCDETF Program</w:t>
      </w:r>
    </w:p>
    <w:p w:rsidR="006C7998" w:rsidRPr="00BE3210" w:rsidRDefault="006C7998" w:rsidP="006C7998">
      <w:pPr>
        <w:pStyle w:val="xl19"/>
        <w:tabs>
          <w:tab w:val="left" w:pos="3420"/>
          <w:tab w:val="right" w:pos="4320"/>
        </w:tabs>
        <w:spacing w:before="0" w:after="0"/>
      </w:pPr>
    </w:p>
    <w:p w:rsidR="006C7998" w:rsidRPr="00BE3210" w:rsidRDefault="006C7998" w:rsidP="006C7998">
      <w:pPr>
        <w:pStyle w:val="xl19"/>
        <w:tabs>
          <w:tab w:val="left" w:pos="3420"/>
          <w:tab w:val="right" w:pos="4320"/>
        </w:tabs>
        <w:spacing w:before="0" w:after="0"/>
        <w:rPr>
          <w:u w:val="single"/>
        </w:rPr>
      </w:pPr>
      <w:r w:rsidRPr="00BE3210">
        <w:t xml:space="preserve">Component Ranking of Item: </w:t>
      </w:r>
      <w:r w:rsidRPr="00BE3210">
        <w:tab/>
        <w:t xml:space="preserve"> </w:t>
      </w:r>
      <w:r w:rsidR="00BA386F">
        <w:t xml:space="preserve">2 of </w:t>
      </w:r>
      <w:r w:rsidR="00C40023">
        <w:t>2</w:t>
      </w:r>
    </w:p>
    <w:p w:rsidR="006C7998" w:rsidRPr="00BE3210" w:rsidRDefault="006C7998" w:rsidP="006C7998">
      <w:pPr>
        <w:pStyle w:val="xl19"/>
        <w:spacing w:before="0" w:after="0"/>
      </w:pPr>
    </w:p>
    <w:p w:rsidR="006C7998" w:rsidRPr="00F5534B" w:rsidRDefault="006C7998" w:rsidP="006C7998">
      <w:pPr>
        <w:pStyle w:val="xl19"/>
        <w:tabs>
          <w:tab w:val="left" w:pos="2340"/>
          <w:tab w:val="right" w:pos="3060"/>
          <w:tab w:val="left" w:pos="3600"/>
          <w:tab w:val="right" w:pos="4500"/>
          <w:tab w:val="left" w:pos="5310"/>
          <w:tab w:val="right" w:pos="6300"/>
        </w:tabs>
        <w:spacing w:before="0" w:after="0"/>
      </w:pPr>
      <w:r w:rsidRPr="002B00D4">
        <w:t xml:space="preserve">Program </w:t>
      </w:r>
      <w:r>
        <w:t>Reduction</w:t>
      </w:r>
      <w:r w:rsidRPr="002B00D4">
        <w:t xml:space="preserve">:  Positions </w:t>
      </w:r>
      <w:r w:rsidR="000300ED" w:rsidRPr="000300ED">
        <w:rPr>
          <w:u w:val="single"/>
        </w:rPr>
        <w:t>-50</w:t>
      </w:r>
      <w:r w:rsidR="008A4865">
        <w:t xml:space="preserve"> </w:t>
      </w:r>
      <w:r w:rsidRPr="002B00D4">
        <w:t xml:space="preserve"> </w:t>
      </w:r>
      <w:r w:rsidR="008A4865">
        <w:t xml:space="preserve">  </w:t>
      </w:r>
      <w:proofErr w:type="spellStart"/>
      <w:r w:rsidRPr="002B00D4">
        <w:t>Agt</w:t>
      </w:r>
      <w:proofErr w:type="spellEnd"/>
      <w:r w:rsidRPr="002B00D4">
        <w:t>/</w:t>
      </w:r>
      <w:proofErr w:type="spellStart"/>
      <w:proofErr w:type="gramStart"/>
      <w:r w:rsidRPr="002B00D4">
        <w:t>Atty</w:t>
      </w:r>
      <w:proofErr w:type="spellEnd"/>
      <w:r w:rsidRPr="002B00D4">
        <w:t xml:space="preserve"> </w:t>
      </w:r>
      <w:r>
        <w:t xml:space="preserve"> </w:t>
      </w:r>
      <w:r w:rsidR="000300ED" w:rsidRPr="000300ED">
        <w:rPr>
          <w:u w:val="single"/>
        </w:rPr>
        <w:t>-</w:t>
      </w:r>
      <w:proofErr w:type="gramEnd"/>
      <w:r w:rsidR="00F5534B">
        <w:rPr>
          <w:u w:val="single"/>
        </w:rPr>
        <w:t>49</w:t>
      </w:r>
      <w:r w:rsidRPr="002B00D4">
        <w:t xml:space="preserve"> </w:t>
      </w:r>
      <w:r w:rsidR="00F5534B">
        <w:t xml:space="preserve"> </w:t>
      </w:r>
      <w:r w:rsidR="008A4865">
        <w:t xml:space="preserve">  </w:t>
      </w:r>
      <w:r w:rsidRPr="002B00D4">
        <w:t xml:space="preserve">FTE </w:t>
      </w:r>
      <w:r w:rsidR="000300ED" w:rsidRPr="000300ED">
        <w:rPr>
          <w:u w:val="single"/>
        </w:rPr>
        <w:t xml:space="preserve">-50 </w:t>
      </w:r>
      <w:r w:rsidR="008A4865">
        <w:t xml:space="preserve">  </w:t>
      </w:r>
      <w:r w:rsidR="00F5534B">
        <w:t xml:space="preserve"> </w:t>
      </w:r>
      <w:r w:rsidRPr="002B00D4">
        <w:t>Dollars</w:t>
      </w:r>
      <w:r>
        <w:t xml:space="preserve">  </w:t>
      </w:r>
      <w:r w:rsidR="000300ED" w:rsidRPr="000300ED">
        <w:rPr>
          <w:u w:val="single"/>
        </w:rPr>
        <w:t>-$12,500,000</w:t>
      </w:r>
      <w:r w:rsidRPr="002B00D4">
        <w:t xml:space="preserve"> </w:t>
      </w:r>
    </w:p>
    <w:p w:rsidR="006C7998" w:rsidRDefault="006C7998" w:rsidP="006C7998">
      <w:pPr>
        <w:pStyle w:val="xl24"/>
        <w:spacing w:before="0" w:after="0"/>
        <w:rPr>
          <w:shadow/>
        </w:rPr>
      </w:pPr>
    </w:p>
    <w:p w:rsidR="006C7998" w:rsidRPr="006A0EC9" w:rsidRDefault="006C7998" w:rsidP="006C7998">
      <w:pPr>
        <w:pStyle w:val="xl24"/>
        <w:spacing w:before="0" w:after="0"/>
      </w:pPr>
      <w:r w:rsidRPr="006A0EC9">
        <w:t>Description of Item</w:t>
      </w:r>
    </w:p>
    <w:p w:rsidR="006C7998" w:rsidRDefault="00A64DBE" w:rsidP="006C7998">
      <w:pPr>
        <w:pStyle w:val="NormalWeb"/>
        <w:rPr>
          <w:color w:val="000000"/>
        </w:rPr>
      </w:pPr>
      <w:r>
        <w:rPr>
          <w:color w:val="000000"/>
        </w:rPr>
        <w:t xml:space="preserve">Funding for </w:t>
      </w:r>
      <w:r w:rsidR="006C7998">
        <w:rPr>
          <w:color w:val="000000"/>
        </w:rPr>
        <w:t>49 agent positions</w:t>
      </w:r>
      <w:r>
        <w:rPr>
          <w:color w:val="000000"/>
        </w:rPr>
        <w:t xml:space="preserve"> will be reduced in FY 2013</w:t>
      </w:r>
      <w:r w:rsidR="006C7998">
        <w:rPr>
          <w:color w:val="000000"/>
        </w:rPr>
        <w:t xml:space="preserve">. </w:t>
      </w:r>
      <w:r w:rsidR="00F5534B">
        <w:rPr>
          <w:color w:val="000000"/>
        </w:rPr>
        <w:t xml:space="preserve"> This offset also includes 1 support position for the Department’s Criminal Division. </w:t>
      </w:r>
      <w:r w:rsidR="006C7998">
        <w:rPr>
          <w:color w:val="000000"/>
        </w:rPr>
        <w:t>The reduction to the</w:t>
      </w:r>
      <w:r w:rsidR="00F5534B">
        <w:rPr>
          <w:color w:val="000000"/>
        </w:rPr>
        <w:t>se</w:t>
      </w:r>
      <w:r w:rsidR="006C7998">
        <w:rPr>
          <w:color w:val="000000"/>
        </w:rPr>
        <w:t xml:space="preserve"> Program</w:t>
      </w:r>
      <w:r w:rsidR="002C275C">
        <w:rPr>
          <w:color w:val="000000"/>
        </w:rPr>
        <w:t>s</w:t>
      </w:r>
      <w:r w:rsidR="006C7998">
        <w:rPr>
          <w:color w:val="000000"/>
        </w:rPr>
        <w:t xml:space="preserve"> will assist the A</w:t>
      </w:r>
      <w:r w:rsidR="00A1620D">
        <w:rPr>
          <w:color w:val="000000"/>
        </w:rPr>
        <w:t>ttorney General’s</w:t>
      </w:r>
      <w:r w:rsidR="008162E1">
        <w:rPr>
          <w:color w:val="000000"/>
        </w:rPr>
        <w:t xml:space="preserve"> </w:t>
      </w:r>
      <w:r w:rsidR="006C7998">
        <w:rPr>
          <w:color w:val="000000"/>
        </w:rPr>
        <w:t xml:space="preserve">efforts to fund </w:t>
      </w:r>
      <w:r w:rsidR="00A1620D">
        <w:rPr>
          <w:color w:val="000000"/>
        </w:rPr>
        <w:t>higher priorities within the Department.</w:t>
      </w:r>
      <w:r w:rsidR="006C7998">
        <w:rPr>
          <w:color w:val="000000"/>
        </w:rPr>
        <w:t xml:space="preserve">  </w:t>
      </w:r>
    </w:p>
    <w:p w:rsidR="0048640B" w:rsidRDefault="0048640B" w:rsidP="006C7998">
      <w:pPr>
        <w:pStyle w:val="NormalWeb"/>
        <w:rPr>
          <w:color w:val="000000"/>
        </w:rPr>
      </w:pPr>
    </w:p>
    <w:p w:rsidR="0048640B" w:rsidRDefault="0048640B">
      <w:pPr>
        <w:rPr>
          <w:color w:val="000000"/>
          <w:szCs w:val="24"/>
        </w:rPr>
      </w:pPr>
      <w:r>
        <w:rPr>
          <w:color w:val="000000"/>
        </w:rPr>
        <w:br w:type="page"/>
      </w:r>
    </w:p>
    <w:p w:rsidR="0048640B" w:rsidRPr="001D6DE2" w:rsidRDefault="0048640B" w:rsidP="006C7998">
      <w:pPr>
        <w:pStyle w:val="NormalWeb"/>
      </w:pPr>
    </w:p>
    <w:p w:rsidR="00DC0F62" w:rsidRPr="000A6817" w:rsidRDefault="00DC0F62" w:rsidP="00DC0F62">
      <w:pPr>
        <w:pStyle w:val="xl19"/>
        <w:tabs>
          <w:tab w:val="left" w:pos="3420"/>
          <w:tab w:val="right" w:pos="8640"/>
        </w:tabs>
        <w:spacing w:before="0" w:after="0"/>
        <w:ind w:left="-720"/>
        <w:jc w:val="center"/>
        <w:rPr>
          <w:b/>
          <w:bCs/>
          <w:sz w:val="56"/>
          <w:szCs w:val="56"/>
        </w:rPr>
      </w:pPr>
      <w:bookmarkStart w:id="5" w:name="_GoBack"/>
      <w:bookmarkEnd w:id="5"/>
    </w:p>
    <w:p w:rsidR="00DC0F62" w:rsidRDefault="00DC0F62" w:rsidP="00DC0F62">
      <w:pPr>
        <w:rPr>
          <w:b/>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C40023" w:rsidRDefault="00C40023" w:rsidP="00DC0F62">
      <w:pPr>
        <w:pStyle w:val="xl19"/>
        <w:tabs>
          <w:tab w:val="left" w:pos="3420"/>
          <w:tab w:val="right" w:pos="8640"/>
        </w:tabs>
        <w:spacing w:before="0" w:after="0"/>
        <w:ind w:left="-720"/>
        <w:jc w:val="center"/>
        <w:rPr>
          <w:b/>
          <w:bCs/>
          <w:sz w:val="56"/>
          <w:szCs w:val="56"/>
        </w:rPr>
      </w:pPr>
    </w:p>
    <w:p w:rsidR="00DC0F62" w:rsidRDefault="00DC0F62" w:rsidP="00DC0F62">
      <w:pPr>
        <w:pStyle w:val="xl19"/>
        <w:tabs>
          <w:tab w:val="left" w:pos="3420"/>
          <w:tab w:val="right" w:pos="8640"/>
        </w:tabs>
        <w:spacing w:before="0" w:after="0"/>
        <w:ind w:left="-720"/>
        <w:jc w:val="center"/>
        <w:rPr>
          <w:b/>
          <w:bCs/>
          <w:sz w:val="56"/>
          <w:szCs w:val="56"/>
        </w:rPr>
      </w:pPr>
      <w:r w:rsidRPr="000A6817">
        <w:rPr>
          <w:b/>
          <w:bCs/>
          <w:sz w:val="56"/>
          <w:szCs w:val="56"/>
        </w:rPr>
        <w:lastRenderedPageBreak/>
        <w:t>Intentionally Left Blank</w:t>
      </w: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Default="00B54490" w:rsidP="00C27AA5">
      <w:pPr>
        <w:pStyle w:val="xl19"/>
        <w:tabs>
          <w:tab w:val="left" w:pos="3420"/>
          <w:tab w:val="right" w:pos="8640"/>
        </w:tabs>
        <w:spacing w:before="0" w:after="0"/>
        <w:ind w:left="-720"/>
        <w:jc w:val="center"/>
        <w:rPr>
          <w:b/>
          <w:bCs/>
          <w:sz w:val="56"/>
          <w:szCs w:val="56"/>
        </w:rPr>
      </w:pPr>
    </w:p>
    <w:p w:rsidR="00C40023" w:rsidRDefault="00C40023" w:rsidP="00C27AA5">
      <w:pPr>
        <w:pStyle w:val="xl19"/>
        <w:tabs>
          <w:tab w:val="left" w:pos="3420"/>
          <w:tab w:val="right" w:pos="8640"/>
        </w:tabs>
        <w:spacing w:before="0" w:after="0"/>
        <w:ind w:left="-720"/>
        <w:jc w:val="center"/>
        <w:rPr>
          <w:b/>
          <w:bCs/>
          <w:sz w:val="56"/>
          <w:szCs w:val="56"/>
        </w:rPr>
      </w:pPr>
    </w:p>
    <w:p w:rsidR="00C40023" w:rsidRDefault="00C40023" w:rsidP="00C27AA5">
      <w:pPr>
        <w:pStyle w:val="xl19"/>
        <w:tabs>
          <w:tab w:val="left" w:pos="3420"/>
          <w:tab w:val="right" w:pos="8640"/>
        </w:tabs>
        <w:spacing w:before="0" w:after="0"/>
        <w:ind w:left="-720"/>
        <w:jc w:val="center"/>
        <w:rPr>
          <w:b/>
          <w:bCs/>
          <w:sz w:val="56"/>
          <w:szCs w:val="56"/>
        </w:rPr>
      </w:pPr>
    </w:p>
    <w:p w:rsidR="00C40023" w:rsidRDefault="00C40023" w:rsidP="00C27AA5">
      <w:pPr>
        <w:pStyle w:val="xl19"/>
        <w:tabs>
          <w:tab w:val="left" w:pos="3420"/>
          <w:tab w:val="right" w:pos="8640"/>
        </w:tabs>
        <w:spacing w:before="0" w:after="0"/>
        <w:ind w:left="-720"/>
        <w:jc w:val="center"/>
        <w:rPr>
          <w:b/>
          <w:bCs/>
          <w:sz w:val="56"/>
          <w:szCs w:val="56"/>
        </w:rPr>
      </w:pPr>
    </w:p>
    <w:p w:rsidR="00C40023" w:rsidRDefault="00C40023" w:rsidP="00C27AA5">
      <w:pPr>
        <w:pStyle w:val="xl19"/>
        <w:tabs>
          <w:tab w:val="left" w:pos="3420"/>
          <w:tab w:val="right" w:pos="8640"/>
        </w:tabs>
        <w:spacing w:before="0" w:after="0"/>
        <w:ind w:left="-720"/>
        <w:jc w:val="center"/>
        <w:rPr>
          <w:b/>
          <w:bCs/>
          <w:sz w:val="56"/>
          <w:szCs w:val="56"/>
        </w:rPr>
      </w:pPr>
    </w:p>
    <w:p w:rsidR="00C40023" w:rsidRDefault="00C40023" w:rsidP="00C27AA5">
      <w:pPr>
        <w:pStyle w:val="xl19"/>
        <w:tabs>
          <w:tab w:val="left" w:pos="3420"/>
          <w:tab w:val="right" w:pos="8640"/>
        </w:tabs>
        <w:spacing w:before="0" w:after="0"/>
        <w:ind w:left="-720"/>
        <w:jc w:val="center"/>
        <w:rPr>
          <w:b/>
          <w:bCs/>
          <w:sz w:val="56"/>
          <w:szCs w:val="56"/>
        </w:rPr>
      </w:pPr>
    </w:p>
    <w:p w:rsidR="00C40023" w:rsidRDefault="00C40023" w:rsidP="00C27AA5">
      <w:pPr>
        <w:pStyle w:val="xl19"/>
        <w:tabs>
          <w:tab w:val="left" w:pos="3420"/>
          <w:tab w:val="right" w:pos="8640"/>
        </w:tabs>
        <w:spacing w:before="0" w:after="0"/>
        <w:ind w:left="-720"/>
        <w:jc w:val="center"/>
        <w:rPr>
          <w:b/>
          <w:bCs/>
          <w:sz w:val="56"/>
          <w:szCs w:val="56"/>
        </w:rPr>
      </w:pPr>
    </w:p>
    <w:p w:rsidR="00C40023" w:rsidRDefault="00C40023" w:rsidP="00C27AA5">
      <w:pPr>
        <w:pStyle w:val="xl19"/>
        <w:tabs>
          <w:tab w:val="left" w:pos="3420"/>
          <w:tab w:val="right" w:pos="8640"/>
        </w:tabs>
        <w:spacing w:before="0" w:after="0"/>
        <w:ind w:left="-720"/>
        <w:jc w:val="center"/>
        <w:rPr>
          <w:b/>
          <w:bCs/>
          <w:sz w:val="56"/>
          <w:szCs w:val="56"/>
        </w:rPr>
      </w:pPr>
    </w:p>
    <w:p w:rsidR="00C40023" w:rsidRDefault="00C40023" w:rsidP="00C27AA5">
      <w:pPr>
        <w:pStyle w:val="xl19"/>
        <w:tabs>
          <w:tab w:val="left" w:pos="3420"/>
          <w:tab w:val="right" w:pos="8640"/>
        </w:tabs>
        <w:spacing w:before="0" w:after="0"/>
        <w:ind w:left="-720"/>
        <w:jc w:val="center"/>
        <w:rPr>
          <w:b/>
          <w:bCs/>
          <w:sz w:val="56"/>
          <w:szCs w:val="56"/>
        </w:rPr>
      </w:pPr>
    </w:p>
    <w:p w:rsidR="00C40023" w:rsidRDefault="00C40023" w:rsidP="00C27AA5">
      <w:pPr>
        <w:pStyle w:val="xl19"/>
        <w:tabs>
          <w:tab w:val="left" w:pos="3420"/>
          <w:tab w:val="right" w:pos="8640"/>
        </w:tabs>
        <w:spacing w:before="0" w:after="0"/>
        <w:ind w:left="-720"/>
        <w:jc w:val="center"/>
        <w:rPr>
          <w:b/>
          <w:bCs/>
          <w:sz w:val="56"/>
          <w:szCs w:val="56"/>
        </w:rPr>
      </w:pPr>
    </w:p>
    <w:p w:rsidR="00C40023" w:rsidRDefault="00C40023" w:rsidP="00C27AA5">
      <w:pPr>
        <w:pStyle w:val="xl19"/>
        <w:tabs>
          <w:tab w:val="left" w:pos="3420"/>
          <w:tab w:val="right" w:pos="8640"/>
        </w:tabs>
        <w:spacing w:before="0" w:after="0"/>
        <w:ind w:left="-720"/>
        <w:jc w:val="center"/>
        <w:rPr>
          <w:b/>
          <w:bCs/>
          <w:sz w:val="56"/>
          <w:szCs w:val="56"/>
        </w:rPr>
      </w:pPr>
    </w:p>
    <w:p w:rsidR="00C40023" w:rsidRDefault="00C40023" w:rsidP="00C27AA5">
      <w:pPr>
        <w:pStyle w:val="xl19"/>
        <w:tabs>
          <w:tab w:val="left" w:pos="3420"/>
          <w:tab w:val="right" w:pos="8640"/>
        </w:tabs>
        <w:spacing w:before="0" w:after="0"/>
        <w:ind w:left="-720"/>
        <w:jc w:val="center"/>
        <w:rPr>
          <w:b/>
          <w:bCs/>
          <w:sz w:val="56"/>
          <w:szCs w:val="56"/>
        </w:rPr>
      </w:pPr>
    </w:p>
    <w:p w:rsidR="00B54490" w:rsidRPr="000A6817" w:rsidRDefault="00DC0F62" w:rsidP="00C27AA5">
      <w:pPr>
        <w:pStyle w:val="xl19"/>
        <w:tabs>
          <w:tab w:val="left" w:pos="3420"/>
          <w:tab w:val="right" w:pos="8640"/>
        </w:tabs>
        <w:spacing w:before="0" w:after="0"/>
        <w:ind w:left="-720"/>
        <w:jc w:val="center"/>
        <w:rPr>
          <w:b/>
          <w:bCs/>
          <w:sz w:val="56"/>
          <w:szCs w:val="56"/>
        </w:rPr>
      </w:pPr>
      <w:r w:rsidRPr="000A6817">
        <w:rPr>
          <w:b/>
          <w:bCs/>
          <w:sz w:val="56"/>
          <w:szCs w:val="56"/>
        </w:rPr>
        <w:t>BUDGET EXHIBITS</w:t>
      </w: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B54490" w:rsidRPr="000A6817" w:rsidRDefault="00B54490" w:rsidP="00C27AA5">
      <w:pPr>
        <w:pStyle w:val="xl19"/>
        <w:tabs>
          <w:tab w:val="left" w:pos="3420"/>
          <w:tab w:val="right" w:pos="8640"/>
        </w:tabs>
        <w:spacing w:before="0" w:after="0"/>
        <w:ind w:left="-720"/>
        <w:jc w:val="center"/>
        <w:rPr>
          <w:b/>
          <w:bCs/>
          <w:sz w:val="56"/>
          <w:szCs w:val="56"/>
        </w:rPr>
      </w:pPr>
    </w:p>
    <w:p w:rsidR="005077CE" w:rsidRDefault="005077CE" w:rsidP="00D2557F">
      <w:pPr>
        <w:widowControl w:val="0"/>
        <w:tabs>
          <w:tab w:val="left" w:pos="-1440"/>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textAlignment w:val="baseline"/>
      </w:pPr>
      <w:r>
        <w:br w:type="page"/>
      </w:r>
    </w:p>
    <w:p w:rsidR="00B54490" w:rsidRDefault="00B54490"/>
    <w:sectPr w:rsidR="00B54490" w:rsidSect="009D25D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023" w:rsidRDefault="00C40023">
      <w:r>
        <w:separator/>
      </w:r>
    </w:p>
  </w:endnote>
  <w:endnote w:type="continuationSeparator" w:id="0">
    <w:p w:rsidR="00C40023" w:rsidRDefault="00C40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23" w:rsidRDefault="00DD5D0B" w:rsidP="00C27AA5">
    <w:pPr>
      <w:pStyle w:val="Footer"/>
      <w:framePr w:wrap="around" w:vAnchor="text" w:hAnchor="margin" w:xAlign="center" w:y="1"/>
      <w:rPr>
        <w:rStyle w:val="PageNumber"/>
      </w:rPr>
    </w:pPr>
    <w:r>
      <w:rPr>
        <w:rStyle w:val="PageNumber"/>
      </w:rPr>
      <w:fldChar w:fldCharType="begin"/>
    </w:r>
    <w:r w:rsidR="00C40023">
      <w:rPr>
        <w:rStyle w:val="PageNumber"/>
      </w:rPr>
      <w:instrText xml:space="preserve">PAGE  </w:instrText>
    </w:r>
    <w:r>
      <w:rPr>
        <w:rStyle w:val="PageNumber"/>
      </w:rPr>
      <w:fldChar w:fldCharType="end"/>
    </w:r>
  </w:p>
  <w:p w:rsidR="00C40023" w:rsidRDefault="00C400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23" w:rsidRDefault="00DD5D0B" w:rsidP="00C27AA5">
    <w:pPr>
      <w:pStyle w:val="Footer"/>
      <w:framePr w:wrap="around" w:vAnchor="text" w:hAnchor="margin" w:xAlign="center" w:y="1"/>
      <w:rPr>
        <w:rStyle w:val="PageNumber"/>
      </w:rPr>
    </w:pPr>
    <w:r>
      <w:rPr>
        <w:rStyle w:val="PageNumber"/>
      </w:rPr>
      <w:fldChar w:fldCharType="begin"/>
    </w:r>
    <w:r w:rsidR="00C40023">
      <w:rPr>
        <w:rStyle w:val="PageNumber"/>
      </w:rPr>
      <w:instrText xml:space="preserve">PAGE  </w:instrText>
    </w:r>
    <w:r>
      <w:rPr>
        <w:rStyle w:val="PageNumber"/>
      </w:rPr>
      <w:fldChar w:fldCharType="separate"/>
    </w:r>
    <w:r w:rsidR="00C838ED">
      <w:rPr>
        <w:rStyle w:val="PageNumber"/>
        <w:noProof/>
      </w:rPr>
      <w:t>2</w:t>
    </w:r>
    <w:r>
      <w:rPr>
        <w:rStyle w:val="PageNumber"/>
      </w:rPr>
      <w:fldChar w:fldCharType="end"/>
    </w:r>
  </w:p>
  <w:p w:rsidR="00C40023" w:rsidRDefault="00C40023" w:rsidP="00C27AA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3192"/>
      <w:gridCol w:w="3192"/>
      <w:gridCol w:w="3192"/>
    </w:tblGrid>
    <w:tr w:rsidR="00C40023">
      <w:trPr>
        <w:jc w:val="center"/>
      </w:trPr>
      <w:tc>
        <w:tcPr>
          <w:tcW w:w="3192" w:type="dxa"/>
        </w:tcPr>
        <w:p w:rsidR="00C40023" w:rsidRDefault="00C40023">
          <w:pPr>
            <w:pStyle w:val="Footer"/>
          </w:pPr>
        </w:p>
      </w:tc>
      <w:tc>
        <w:tcPr>
          <w:tcW w:w="3192" w:type="dxa"/>
        </w:tcPr>
        <w:p w:rsidR="00C40023" w:rsidRDefault="00C40023">
          <w:pPr>
            <w:pStyle w:val="Footer"/>
            <w:jc w:val="center"/>
          </w:pPr>
        </w:p>
      </w:tc>
      <w:tc>
        <w:tcPr>
          <w:tcW w:w="3192" w:type="dxa"/>
        </w:tcPr>
        <w:p w:rsidR="00C40023" w:rsidRDefault="00C40023">
          <w:pPr>
            <w:pStyle w:val="Footer"/>
            <w:jc w:val="right"/>
          </w:pPr>
        </w:p>
      </w:tc>
    </w:tr>
  </w:tbl>
  <w:p w:rsidR="00C40023" w:rsidRDefault="00C400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23" w:rsidRDefault="00DD5D0B" w:rsidP="00C27AA5">
    <w:pPr>
      <w:pStyle w:val="Footer"/>
      <w:framePr w:wrap="around" w:vAnchor="text" w:hAnchor="margin" w:xAlign="center" w:y="1"/>
      <w:rPr>
        <w:rStyle w:val="PageNumber"/>
      </w:rPr>
    </w:pPr>
    <w:r>
      <w:rPr>
        <w:rStyle w:val="PageNumber"/>
      </w:rPr>
      <w:fldChar w:fldCharType="begin"/>
    </w:r>
    <w:r w:rsidR="00C40023">
      <w:rPr>
        <w:rStyle w:val="PageNumber"/>
      </w:rPr>
      <w:instrText xml:space="preserve">PAGE  </w:instrText>
    </w:r>
    <w:r>
      <w:rPr>
        <w:rStyle w:val="PageNumber"/>
      </w:rPr>
      <w:fldChar w:fldCharType="end"/>
    </w:r>
  </w:p>
  <w:p w:rsidR="00C40023" w:rsidRDefault="00C40023">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23" w:rsidRDefault="00DD5D0B" w:rsidP="00C27AA5">
    <w:pPr>
      <w:pStyle w:val="Footer"/>
      <w:framePr w:wrap="around" w:vAnchor="text" w:hAnchor="margin" w:xAlign="center" w:y="1"/>
      <w:rPr>
        <w:rStyle w:val="PageNumber"/>
      </w:rPr>
    </w:pPr>
    <w:r>
      <w:rPr>
        <w:rStyle w:val="PageNumber"/>
      </w:rPr>
      <w:fldChar w:fldCharType="begin"/>
    </w:r>
    <w:r w:rsidR="00C40023">
      <w:rPr>
        <w:rStyle w:val="PageNumber"/>
      </w:rPr>
      <w:instrText xml:space="preserve">PAGE  </w:instrText>
    </w:r>
    <w:r>
      <w:rPr>
        <w:rStyle w:val="PageNumber"/>
      </w:rPr>
      <w:fldChar w:fldCharType="separate"/>
    </w:r>
    <w:r w:rsidR="00C838ED">
      <w:rPr>
        <w:rStyle w:val="PageNumber"/>
        <w:noProof/>
      </w:rPr>
      <w:t>51</w:t>
    </w:r>
    <w:r>
      <w:rPr>
        <w:rStyle w:val="PageNumber"/>
      </w:rPr>
      <w:fldChar w:fldCharType="end"/>
    </w:r>
  </w:p>
  <w:p w:rsidR="00C40023" w:rsidRDefault="00C40023">
    <w:pPr>
      <w:pStyle w:val="Footer"/>
      <w:framePr w:wrap="around" w:vAnchor="text" w:hAnchor="margin" w:xAlign="right" w:y="1"/>
      <w:rPr>
        <w:rStyle w:val="PageNumber"/>
      </w:rPr>
    </w:pPr>
  </w:p>
  <w:p w:rsidR="00C40023" w:rsidRDefault="00C40023">
    <w:pPr>
      <w:pStyle w:val="Footer"/>
    </w:pPr>
  </w:p>
  <w:p w:rsidR="00C40023" w:rsidRDefault="00C4002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3192"/>
      <w:gridCol w:w="3192"/>
      <w:gridCol w:w="3192"/>
    </w:tblGrid>
    <w:tr w:rsidR="00C40023">
      <w:trPr>
        <w:jc w:val="center"/>
      </w:trPr>
      <w:tc>
        <w:tcPr>
          <w:tcW w:w="3192" w:type="dxa"/>
        </w:tcPr>
        <w:p w:rsidR="00C40023" w:rsidRDefault="00C40023">
          <w:pPr>
            <w:pStyle w:val="Footer"/>
          </w:pPr>
        </w:p>
      </w:tc>
      <w:tc>
        <w:tcPr>
          <w:tcW w:w="3192" w:type="dxa"/>
        </w:tcPr>
        <w:p w:rsidR="00C40023" w:rsidRDefault="00C40023">
          <w:pPr>
            <w:pStyle w:val="Footer"/>
            <w:jc w:val="center"/>
          </w:pPr>
        </w:p>
      </w:tc>
      <w:tc>
        <w:tcPr>
          <w:tcW w:w="3192" w:type="dxa"/>
        </w:tcPr>
        <w:p w:rsidR="00C40023" w:rsidRDefault="00C40023">
          <w:pPr>
            <w:pStyle w:val="Footer"/>
            <w:jc w:val="right"/>
          </w:pPr>
        </w:p>
      </w:tc>
    </w:tr>
  </w:tbl>
  <w:p w:rsidR="00C40023" w:rsidRDefault="00C40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023" w:rsidRDefault="00C40023">
      <w:r>
        <w:separator/>
      </w:r>
    </w:p>
  </w:footnote>
  <w:footnote w:type="continuationSeparator" w:id="0">
    <w:p w:rsidR="00C40023" w:rsidRDefault="00C40023">
      <w:r>
        <w:continuationSeparator/>
      </w:r>
    </w:p>
  </w:footnote>
  <w:footnote w:id="1">
    <w:p w:rsidR="00C40023" w:rsidRPr="009D123C" w:rsidRDefault="00C40023" w:rsidP="00F7262C">
      <w:pPr>
        <w:rPr>
          <w:sz w:val="22"/>
          <w:szCs w:val="22"/>
        </w:rPr>
      </w:pPr>
      <w:r>
        <w:rPr>
          <w:rStyle w:val="FootnoteReference"/>
        </w:rPr>
        <w:footnoteRef/>
      </w:r>
      <w:r>
        <w:t xml:space="preserve"> </w:t>
      </w:r>
      <w:r w:rsidRPr="009D123C">
        <w:rPr>
          <w:sz w:val="22"/>
          <w:szCs w:val="22"/>
        </w:rPr>
        <w:t>The AGOCC, which is chaired by the Deputy Attorney General, is an outgrowth of an Executive Order issued by President Lyndon B. Johnson in 1968 that placed the Attorney General in charge of coordinating all federal law enforcement activity against organized crime.  The traditional role of the AGOCC has been to promote interagency coordination, evaluate the threat presented by organized crime, and advise the Attorney General on national priorities and a national organized crime strategy.  In 2008, the AGOCC began to consider the threat from transnational organized crime, rather than the Italian-American mafia, to be the primary organized crime threat facing the United States.  In response, the AGOCC began developing a new 21</w:t>
      </w:r>
      <w:r w:rsidRPr="009D123C">
        <w:rPr>
          <w:sz w:val="22"/>
          <w:szCs w:val="22"/>
          <w:vertAlign w:val="superscript"/>
        </w:rPr>
        <w:t>st</w:t>
      </w:r>
      <w:r w:rsidRPr="009D123C">
        <w:rPr>
          <w:sz w:val="22"/>
          <w:szCs w:val="22"/>
        </w:rPr>
        <w:t xml:space="preserve"> Century organized crime program that would be nimble and sophisticated enough to combat the threat posed by transnational organized criminals for years to come.</w:t>
      </w:r>
    </w:p>
    <w:p w:rsidR="00C40023" w:rsidRDefault="00C40023" w:rsidP="00F7262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29C44FC"/>
    <w:lvl w:ilvl="0">
      <w:start w:val="1"/>
      <w:numFmt w:val="lowerRoman"/>
      <w:lvlText w:val="(%1)"/>
      <w:lvlJc w:val="left"/>
      <w:pPr>
        <w:tabs>
          <w:tab w:val="num" w:pos="1440"/>
        </w:tabs>
        <w:ind w:left="1440" w:hanging="720"/>
      </w:pPr>
      <w:rPr>
        <w:rFonts w:cs="Times New Roman" w:hint="default"/>
      </w:rPr>
    </w:lvl>
  </w:abstractNum>
  <w:abstractNum w:abstractNumId="1">
    <w:nsid w:val="FFFFFF80"/>
    <w:multiLevelType w:val="singleLevel"/>
    <w:tmpl w:val="EF40FC5A"/>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715C3FA6"/>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BBDEED3A"/>
    <w:lvl w:ilvl="0">
      <w:start w:val="1"/>
      <w:numFmt w:val="bullet"/>
      <w:pStyle w:val="Heading9"/>
      <w:lvlText w:val=""/>
      <w:lvlJc w:val="left"/>
      <w:pPr>
        <w:tabs>
          <w:tab w:val="num" w:pos="1080"/>
        </w:tabs>
        <w:ind w:left="1080" w:hanging="360"/>
      </w:pPr>
      <w:rPr>
        <w:rFonts w:ascii="Symbol" w:hAnsi="Symbol" w:hint="default"/>
      </w:rPr>
    </w:lvl>
  </w:abstractNum>
  <w:abstractNum w:abstractNumId="4">
    <w:nsid w:val="FFFFFF83"/>
    <w:multiLevelType w:val="singleLevel"/>
    <w:tmpl w:val="B840E740"/>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E8F0C942"/>
    <w:lvl w:ilvl="0">
      <w:start w:val="1"/>
      <w:numFmt w:val="decimal"/>
      <w:lvlText w:val="%1."/>
      <w:lvlJc w:val="left"/>
      <w:pPr>
        <w:tabs>
          <w:tab w:val="num" w:pos="360"/>
        </w:tabs>
        <w:ind w:left="360" w:hanging="360"/>
      </w:pPr>
      <w:rPr>
        <w:rFonts w:cs="Times New Roman"/>
      </w:rPr>
    </w:lvl>
  </w:abstractNum>
  <w:abstractNum w:abstractNumId="6">
    <w:nsid w:val="FFFFFF89"/>
    <w:multiLevelType w:val="singleLevel"/>
    <w:tmpl w:val="FD5081A2"/>
    <w:lvl w:ilvl="0">
      <w:start w:val="1"/>
      <w:numFmt w:val="bullet"/>
      <w:lvlText w:val=""/>
      <w:lvlJc w:val="left"/>
      <w:pPr>
        <w:tabs>
          <w:tab w:val="num" w:pos="360"/>
        </w:tabs>
        <w:ind w:left="360" w:hanging="360"/>
      </w:pPr>
      <w:rPr>
        <w:rFonts w:ascii="Symbol" w:hAnsi="Symbol" w:hint="default"/>
      </w:rPr>
    </w:lvl>
  </w:abstractNum>
  <w:abstractNum w:abstractNumId="7">
    <w:nsid w:val="005E4BB4"/>
    <w:multiLevelType w:val="hybridMultilevel"/>
    <w:tmpl w:val="EB1AF3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7139A8"/>
    <w:multiLevelType w:val="hybridMultilevel"/>
    <w:tmpl w:val="B7C6A3D2"/>
    <w:lvl w:ilvl="0" w:tplc="932C9C4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9">
    <w:nsid w:val="14BA5ABE"/>
    <w:multiLevelType w:val="hybridMultilevel"/>
    <w:tmpl w:val="FC328F0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36800"/>
    <w:multiLevelType w:val="hybridMultilevel"/>
    <w:tmpl w:val="551C68AC"/>
    <w:lvl w:ilvl="0" w:tplc="2E48F64E">
      <w:start w:val="4"/>
      <w:numFmt w:val="upp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A684AD5"/>
    <w:multiLevelType w:val="hybridMultilevel"/>
    <w:tmpl w:val="BB90F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426507"/>
    <w:multiLevelType w:val="singleLevel"/>
    <w:tmpl w:val="ED80F214"/>
    <w:lvl w:ilvl="0">
      <w:start w:val="1"/>
      <w:numFmt w:val="bullet"/>
      <w:lvlText w:val=""/>
      <w:lvlJc w:val="left"/>
      <w:pPr>
        <w:tabs>
          <w:tab w:val="num" w:pos="1080"/>
        </w:tabs>
        <w:ind w:left="1080" w:hanging="360"/>
      </w:pPr>
      <w:rPr>
        <w:rFonts w:ascii="Symbol" w:hAnsi="Symbol" w:hint="default"/>
        <w:sz w:val="24"/>
      </w:rPr>
    </w:lvl>
  </w:abstractNum>
  <w:abstractNum w:abstractNumId="13">
    <w:nsid w:val="28E22DEE"/>
    <w:multiLevelType w:val="hybridMultilevel"/>
    <w:tmpl w:val="9CF8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F4B03"/>
    <w:multiLevelType w:val="multilevel"/>
    <w:tmpl w:val="A88CA3A6"/>
    <w:lvl w:ilvl="0">
      <w:start w:val="1"/>
      <w:numFmt w:val="upperRoman"/>
      <w:lvlText w:val="%1."/>
      <w:lvlJc w:val="left"/>
      <w:pPr>
        <w:tabs>
          <w:tab w:val="num" w:pos="720"/>
        </w:tabs>
        <w:ind w:left="720" w:hanging="720"/>
      </w:pPr>
      <w:rPr>
        <w:rFonts w:cs="Times New Roman" w:hint="default"/>
        <w:u w:val="none"/>
      </w:rPr>
    </w:lvl>
    <w:lvl w:ilvl="1">
      <w:start w:val="1"/>
      <w:numFmt w:val="upperLetter"/>
      <w:lvlText w:val="%2."/>
      <w:lvlJc w:val="left"/>
      <w:pPr>
        <w:tabs>
          <w:tab w:val="num" w:pos="1800"/>
        </w:tabs>
        <w:ind w:left="1800" w:hanging="720"/>
      </w:pPr>
      <w:rPr>
        <w:rFonts w:ascii="Times New Roman" w:eastAsia="Times New Roman" w:hAnsi="Times New Roman" w:cs="Times New Roman"/>
        <w:i/>
        <w:u w:val="none"/>
      </w:rPr>
    </w:lvl>
    <w:lvl w:ilvl="2">
      <w:start w:val="1"/>
      <w:numFmt w:val="decimal"/>
      <w:lvlText w:val="%3."/>
      <w:lvlJc w:val="left"/>
      <w:pPr>
        <w:tabs>
          <w:tab w:val="num" w:pos="2160"/>
        </w:tabs>
        <w:ind w:left="2160" w:hanging="720"/>
      </w:pPr>
      <w:rPr>
        <w:rFonts w:cs="Times New Roman" w:hint="default"/>
        <w:b/>
        <w:u w:val="none"/>
      </w:rPr>
    </w:lvl>
    <w:lvl w:ilvl="3">
      <w:start w:val="1"/>
      <w:numFmt w:val="lowerLetter"/>
      <w:lvlText w:val="%4."/>
      <w:lvlJc w:val="left"/>
      <w:pPr>
        <w:tabs>
          <w:tab w:val="num" w:pos="2880"/>
        </w:tabs>
        <w:ind w:left="2880" w:hanging="720"/>
      </w:pPr>
      <w:rPr>
        <w:rFonts w:cs="Times New Roman" w:hint="default"/>
        <w:u w:val="none"/>
      </w:rPr>
    </w:lvl>
    <w:lvl w:ilvl="4">
      <w:start w:val="1"/>
      <w:numFmt w:val="lowerRoman"/>
      <w:lvlText w:val="%5."/>
      <w:lvlJc w:val="left"/>
      <w:pPr>
        <w:tabs>
          <w:tab w:val="num" w:pos="3600"/>
        </w:tabs>
        <w:ind w:left="3600" w:hanging="720"/>
      </w:pPr>
      <w:rPr>
        <w:rFonts w:cs="Times New Roman" w:hint="default"/>
        <w:u w:val="none"/>
      </w:rPr>
    </w:lvl>
    <w:lvl w:ilvl="5">
      <w:start w:val="1"/>
      <w:numFmt w:val="upperLetter"/>
      <w:lvlText w:val="(%6)"/>
      <w:lvlJc w:val="left"/>
      <w:pPr>
        <w:tabs>
          <w:tab w:val="num" w:pos="4320"/>
        </w:tabs>
        <w:ind w:left="4320" w:hanging="720"/>
      </w:pPr>
      <w:rPr>
        <w:rFonts w:cs="Times New Roman" w:hint="default"/>
        <w:u w:val="none"/>
      </w:rPr>
    </w:lvl>
    <w:lvl w:ilvl="6">
      <w:start w:val="1"/>
      <w:numFmt w:val="decimal"/>
      <w:lvlText w:val="(%7)"/>
      <w:lvlJc w:val="left"/>
      <w:pPr>
        <w:tabs>
          <w:tab w:val="num" w:pos="720"/>
        </w:tabs>
        <w:ind w:left="720" w:hanging="720"/>
      </w:pPr>
      <w:rPr>
        <w:rFonts w:cs="Times New Roman" w:hint="default"/>
        <w:u w:val="none"/>
      </w:rPr>
    </w:lvl>
    <w:lvl w:ilvl="7">
      <w:start w:val="1"/>
      <w:numFmt w:val="lowerLetter"/>
      <w:lvlText w:val="(%8)"/>
      <w:lvlJc w:val="left"/>
      <w:pPr>
        <w:tabs>
          <w:tab w:val="num" w:pos="1440"/>
        </w:tabs>
        <w:ind w:left="1440" w:hanging="720"/>
      </w:pPr>
      <w:rPr>
        <w:rFonts w:cs="Times New Roman" w:hint="default"/>
        <w:u w:val="none"/>
      </w:rPr>
    </w:lvl>
    <w:lvl w:ilvl="8">
      <w:start w:val="1"/>
      <w:numFmt w:val="lowerRoman"/>
      <w:lvlText w:val="(%9)"/>
      <w:lvlJc w:val="left"/>
      <w:pPr>
        <w:tabs>
          <w:tab w:val="num" w:pos="2160"/>
        </w:tabs>
        <w:ind w:left="2160" w:hanging="720"/>
      </w:pPr>
      <w:rPr>
        <w:rFonts w:cs="Times New Roman" w:hint="default"/>
        <w:u w:val="none"/>
      </w:rPr>
    </w:lvl>
  </w:abstractNum>
  <w:abstractNum w:abstractNumId="15">
    <w:nsid w:val="331D1C8C"/>
    <w:multiLevelType w:val="hybridMultilevel"/>
    <w:tmpl w:val="AB1E2498"/>
    <w:lvl w:ilvl="0" w:tplc="04090001">
      <w:start w:val="1"/>
      <w:numFmt w:val="bullet"/>
      <w:lvlText w:val=""/>
      <w:lvlJc w:val="left"/>
      <w:pPr>
        <w:tabs>
          <w:tab w:val="num" w:pos="1500"/>
        </w:tabs>
        <w:ind w:left="150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334A5E45"/>
    <w:multiLevelType w:val="hybridMultilevel"/>
    <w:tmpl w:val="A7C02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205E36"/>
    <w:multiLevelType w:val="hybridMultilevel"/>
    <w:tmpl w:val="65EA2F3C"/>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8">
    <w:nsid w:val="402A56C9"/>
    <w:multiLevelType w:val="hybridMultilevel"/>
    <w:tmpl w:val="278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06D69"/>
    <w:multiLevelType w:val="hybridMultilevel"/>
    <w:tmpl w:val="03006864"/>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49272218"/>
    <w:multiLevelType w:val="singleLevel"/>
    <w:tmpl w:val="2FA43258"/>
    <w:lvl w:ilvl="0">
      <w:start w:val="1"/>
      <w:numFmt w:val="bullet"/>
      <w:lvlText w:val=""/>
      <w:lvlJc w:val="left"/>
      <w:pPr>
        <w:tabs>
          <w:tab w:val="num" w:pos="720"/>
        </w:tabs>
        <w:ind w:left="720" w:hanging="360"/>
      </w:pPr>
      <w:rPr>
        <w:rFonts w:ascii="Symbol" w:hAnsi="Symbol" w:hint="default"/>
      </w:rPr>
    </w:lvl>
  </w:abstractNum>
  <w:abstractNum w:abstractNumId="21">
    <w:nsid w:val="4B1F2F83"/>
    <w:multiLevelType w:val="hybridMultilevel"/>
    <w:tmpl w:val="D084106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16B11"/>
    <w:multiLevelType w:val="singleLevel"/>
    <w:tmpl w:val="55A6492E"/>
    <w:lvl w:ilvl="0">
      <w:start w:val="1"/>
      <w:numFmt w:val="decimal"/>
      <w:lvlText w:val="%1."/>
      <w:lvlJc w:val="left"/>
      <w:pPr>
        <w:tabs>
          <w:tab w:val="num" w:pos="720"/>
        </w:tabs>
        <w:ind w:left="720" w:hanging="720"/>
      </w:pPr>
      <w:rPr>
        <w:rFonts w:cs="Times New Roman"/>
      </w:rPr>
    </w:lvl>
  </w:abstractNum>
  <w:abstractNum w:abstractNumId="23">
    <w:nsid w:val="599E42D4"/>
    <w:multiLevelType w:val="hybridMultilevel"/>
    <w:tmpl w:val="3266C92C"/>
    <w:lvl w:ilvl="0" w:tplc="0E1C93C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D4729B"/>
    <w:multiLevelType w:val="singleLevel"/>
    <w:tmpl w:val="F5322C42"/>
    <w:lvl w:ilvl="0">
      <w:start w:val="1"/>
      <w:numFmt w:val="upperRoman"/>
      <w:lvlText w:val="%1."/>
      <w:lvlJc w:val="left"/>
      <w:pPr>
        <w:tabs>
          <w:tab w:val="num" w:pos="720"/>
        </w:tabs>
        <w:ind w:left="720" w:hanging="720"/>
      </w:pPr>
      <w:rPr>
        <w:rFonts w:cs="Times New Roman" w:hint="default"/>
        <w:sz w:val="24"/>
        <w:szCs w:val="24"/>
      </w:rPr>
    </w:lvl>
  </w:abstractNum>
  <w:abstractNum w:abstractNumId="25">
    <w:nsid w:val="609E58C8"/>
    <w:multiLevelType w:val="hybridMultilevel"/>
    <w:tmpl w:val="3E209E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3C00E14"/>
    <w:multiLevelType w:val="hybridMultilevel"/>
    <w:tmpl w:val="E9BC67CE"/>
    <w:lvl w:ilvl="0" w:tplc="59103CB2">
      <w:start w:val="1"/>
      <w:numFmt w:val="upperLetter"/>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7">
    <w:nsid w:val="6AC60769"/>
    <w:multiLevelType w:val="hybridMultilevel"/>
    <w:tmpl w:val="00A8A8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E1579C9"/>
    <w:multiLevelType w:val="hybridMultilevel"/>
    <w:tmpl w:val="B9A0B55E"/>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5643D4"/>
    <w:multiLevelType w:val="hybridMultilevel"/>
    <w:tmpl w:val="97200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7B10606"/>
    <w:multiLevelType w:val="hybridMultilevel"/>
    <w:tmpl w:val="8A429DDE"/>
    <w:lvl w:ilvl="0" w:tplc="377013A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1">
    <w:nsid w:val="79160645"/>
    <w:multiLevelType w:val="hybridMultilevel"/>
    <w:tmpl w:val="29B0BFCC"/>
    <w:lvl w:ilvl="0" w:tplc="373C5674">
      <w:start w:val="1"/>
      <w:numFmt w:val="upperLetter"/>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32">
    <w:nsid w:val="79297D8C"/>
    <w:multiLevelType w:val="hybridMultilevel"/>
    <w:tmpl w:val="4B7C642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3">
    <w:nsid w:val="7D626D43"/>
    <w:multiLevelType w:val="hybridMultilevel"/>
    <w:tmpl w:val="E7B495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D730400"/>
    <w:multiLevelType w:val="hybridMultilevel"/>
    <w:tmpl w:val="5702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 w:numId="8">
    <w:abstractNumId w:val="4"/>
  </w:num>
  <w:num w:numId="9">
    <w:abstractNumId w:val="3"/>
  </w:num>
  <w:num w:numId="10">
    <w:abstractNumId w:val="2"/>
  </w:num>
  <w:num w:numId="11">
    <w:abstractNumId w:val="1"/>
  </w:num>
  <w:num w:numId="12">
    <w:abstractNumId w:val="6"/>
  </w:num>
  <w:num w:numId="13">
    <w:abstractNumId w:val="0"/>
  </w:num>
  <w:num w:numId="14">
    <w:abstractNumId w:val="5"/>
  </w:num>
  <w:num w:numId="15">
    <w:abstractNumId w:val="3"/>
  </w:num>
  <w:num w:numId="16">
    <w:abstractNumId w:val="2"/>
  </w:num>
  <w:num w:numId="17">
    <w:abstractNumId w:val="0"/>
  </w:num>
  <w:num w:numId="18">
    <w:abstractNumId w:val="20"/>
  </w:num>
  <w:num w:numId="19">
    <w:abstractNumId w:val="23"/>
  </w:num>
  <w:num w:numId="20">
    <w:abstractNumId w:val="12"/>
  </w:num>
  <w:num w:numId="21">
    <w:abstractNumId w:val="22"/>
  </w:num>
  <w:num w:numId="22">
    <w:abstractNumId w:val="14"/>
  </w:num>
  <w:num w:numId="23">
    <w:abstractNumId w:val="14"/>
    <w:lvlOverride w:ilvl="0">
      <w:startOverride w:val="1"/>
    </w:lvlOverride>
    <w:lvlOverride w:ilvl="1">
      <w:startOverride w:val="1"/>
    </w:lvlOverride>
    <w:lvlOverride w:ilvl="2">
      <w:startOverride w:val="5"/>
    </w:lvlOverride>
  </w:num>
  <w:num w:numId="24">
    <w:abstractNumId w:val="24"/>
  </w:num>
  <w:num w:numId="25">
    <w:abstractNumId w:val="33"/>
  </w:num>
  <w:num w:numId="26">
    <w:abstractNumId w:val="14"/>
    <w:lvlOverride w:ilvl="0">
      <w:startOverride w:val="1"/>
    </w:lvlOverride>
    <w:lvlOverride w:ilvl="1">
      <w:startOverride w:val="1"/>
    </w:lvlOverride>
    <w:lvlOverride w:ilvl="2">
      <w:startOverride w:val="1"/>
    </w:lvlOverride>
  </w:num>
  <w:num w:numId="27">
    <w:abstractNumId w:val="27"/>
  </w:num>
  <w:num w:numId="28">
    <w:abstractNumId w:val="19"/>
  </w:num>
  <w:num w:numId="29">
    <w:abstractNumId w:val="16"/>
  </w:num>
  <w:num w:numId="30">
    <w:abstractNumId w:val="32"/>
  </w:num>
  <w:num w:numId="31">
    <w:abstractNumId w:val="25"/>
  </w:num>
  <w:num w:numId="32">
    <w:abstractNumId w:val="17"/>
  </w:num>
  <w:num w:numId="33">
    <w:abstractNumId w:val="26"/>
  </w:num>
  <w:num w:numId="34">
    <w:abstractNumId w:val="31"/>
  </w:num>
  <w:num w:numId="35">
    <w:abstractNumId w:val="28"/>
  </w:num>
  <w:num w:numId="36">
    <w:abstractNumId w:val="11"/>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8"/>
  </w:num>
  <w:num w:numId="41">
    <w:abstractNumId w:val="6"/>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0"/>
  </w:num>
  <w:num w:numId="46">
    <w:abstractNumId w:val="7"/>
  </w:num>
  <w:num w:numId="47">
    <w:abstractNumId w:val="18"/>
  </w:num>
  <w:num w:numId="48">
    <w:abstractNumId w:val="13"/>
  </w:num>
  <w:num w:numId="49">
    <w:abstractNumId w:val="34"/>
  </w:num>
  <w:num w:numId="50">
    <w:abstractNumId w:val="9"/>
  </w:num>
  <w:num w:numId="51">
    <w:abstractNumId w:val="2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characterSpacingControl w:val="doNotCompress"/>
  <w:footnotePr>
    <w:numStart w:val="2"/>
    <w:footnote w:id="-1"/>
    <w:footnote w:id="0"/>
  </w:footnotePr>
  <w:endnotePr>
    <w:endnote w:id="-1"/>
    <w:endnote w:id="0"/>
  </w:endnotePr>
  <w:compat/>
  <w:rsids>
    <w:rsidRoot w:val="002F1741"/>
    <w:rsid w:val="0000039D"/>
    <w:rsid w:val="00001E01"/>
    <w:rsid w:val="00002070"/>
    <w:rsid w:val="000024CD"/>
    <w:rsid w:val="000054E4"/>
    <w:rsid w:val="00006BB6"/>
    <w:rsid w:val="00011AAE"/>
    <w:rsid w:val="00013AD3"/>
    <w:rsid w:val="0001426E"/>
    <w:rsid w:val="00016CA1"/>
    <w:rsid w:val="00023A74"/>
    <w:rsid w:val="00026F82"/>
    <w:rsid w:val="000300ED"/>
    <w:rsid w:val="00031219"/>
    <w:rsid w:val="000319DD"/>
    <w:rsid w:val="000322B7"/>
    <w:rsid w:val="000323C2"/>
    <w:rsid w:val="0003422D"/>
    <w:rsid w:val="00035B3B"/>
    <w:rsid w:val="00037B98"/>
    <w:rsid w:val="00037BD6"/>
    <w:rsid w:val="00044512"/>
    <w:rsid w:val="000472CA"/>
    <w:rsid w:val="00052405"/>
    <w:rsid w:val="00052BE0"/>
    <w:rsid w:val="00053677"/>
    <w:rsid w:val="000561ED"/>
    <w:rsid w:val="000630CD"/>
    <w:rsid w:val="00065448"/>
    <w:rsid w:val="00065BBB"/>
    <w:rsid w:val="000677A7"/>
    <w:rsid w:val="00073416"/>
    <w:rsid w:val="00074E05"/>
    <w:rsid w:val="00076A98"/>
    <w:rsid w:val="00076E8F"/>
    <w:rsid w:val="00077CBA"/>
    <w:rsid w:val="000829A5"/>
    <w:rsid w:val="00084C4B"/>
    <w:rsid w:val="0008636A"/>
    <w:rsid w:val="00091FFB"/>
    <w:rsid w:val="000A31DB"/>
    <w:rsid w:val="000A3BCF"/>
    <w:rsid w:val="000A4FAF"/>
    <w:rsid w:val="000A6817"/>
    <w:rsid w:val="000B66CD"/>
    <w:rsid w:val="000C0413"/>
    <w:rsid w:val="000C23BE"/>
    <w:rsid w:val="000C2F55"/>
    <w:rsid w:val="000C516D"/>
    <w:rsid w:val="000C5B03"/>
    <w:rsid w:val="000D3181"/>
    <w:rsid w:val="000D529A"/>
    <w:rsid w:val="000D70C1"/>
    <w:rsid w:val="000D7BDB"/>
    <w:rsid w:val="000E1253"/>
    <w:rsid w:val="000E2093"/>
    <w:rsid w:val="000E2AEC"/>
    <w:rsid w:val="000F2AB0"/>
    <w:rsid w:val="000F3581"/>
    <w:rsid w:val="000F4134"/>
    <w:rsid w:val="000F5196"/>
    <w:rsid w:val="000F5530"/>
    <w:rsid w:val="000F61F8"/>
    <w:rsid w:val="000F778C"/>
    <w:rsid w:val="00101DEB"/>
    <w:rsid w:val="00103039"/>
    <w:rsid w:val="001036A5"/>
    <w:rsid w:val="00103702"/>
    <w:rsid w:val="00106C56"/>
    <w:rsid w:val="00111260"/>
    <w:rsid w:val="0011147E"/>
    <w:rsid w:val="00114481"/>
    <w:rsid w:val="00121BF2"/>
    <w:rsid w:val="00121FE6"/>
    <w:rsid w:val="00125E08"/>
    <w:rsid w:val="0012616A"/>
    <w:rsid w:val="00126499"/>
    <w:rsid w:val="00133E41"/>
    <w:rsid w:val="00136701"/>
    <w:rsid w:val="00140D4A"/>
    <w:rsid w:val="001415BE"/>
    <w:rsid w:val="001425EF"/>
    <w:rsid w:val="00142FA1"/>
    <w:rsid w:val="00143B2B"/>
    <w:rsid w:val="00144E8F"/>
    <w:rsid w:val="00145627"/>
    <w:rsid w:val="0014618C"/>
    <w:rsid w:val="001510DE"/>
    <w:rsid w:val="0015175C"/>
    <w:rsid w:val="00151B3D"/>
    <w:rsid w:val="001520D1"/>
    <w:rsid w:val="0015565B"/>
    <w:rsid w:val="0016069B"/>
    <w:rsid w:val="00160E3C"/>
    <w:rsid w:val="001627EB"/>
    <w:rsid w:val="00164CE9"/>
    <w:rsid w:val="00165872"/>
    <w:rsid w:val="00165AB6"/>
    <w:rsid w:val="0017163E"/>
    <w:rsid w:val="00176229"/>
    <w:rsid w:val="001766C1"/>
    <w:rsid w:val="001778C8"/>
    <w:rsid w:val="00183E2A"/>
    <w:rsid w:val="00185574"/>
    <w:rsid w:val="0018730B"/>
    <w:rsid w:val="00187330"/>
    <w:rsid w:val="001929D6"/>
    <w:rsid w:val="00193126"/>
    <w:rsid w:val="001937B3"/>
    <w:rsid w:val="00193B14"/>
    <w:rsid w:val="001947EF"/>
    <w:rsid w:val="001A0974"/>
    <w:rsid w:val="001A0F9C"/>
    <w:rsid w:val="001A10BB"/>
    <w:rsid w:val="001A4A53"/>
    <w:rsid w:val="001A6D15"/>
    <w:rsid w:val="001B2694"/>
    <w:rsid w:val="001B5629"/>
    <w:rsid w:val="001B5FEB"/>
    <w:rsid w:val="001B68D3"/>
    <w:rsid w:val="001C16FB"/>
    <w:rsid w:val="001C2C1A"/>
    <w:rsid w:val="001C3BDA"/>
    <w:rsid w:val="001C4D64"/>
    <w:rsid w:val="001C65D2"/>
    <w:rsid w:val="001C7253"/>
    <w:rsid w:val="001C7893"/>
    <w:rsid w:val="001D0406"/>
    <w:rsid w:val="001D1522"/>
    <w:rsid w:val="001D18ED"/>
    <w:rsid w:val="001D20CD"/>
    <w:rsid w:val="001D2D18"/>
    <w:rsid w:val="001D342C"/>
    <w:rsid w:val="001D4A90"/>
    <w:rsid w:val="001D55AF"/>
    <w:rsid w:val="001D6DE2"/>
    <w:rsid w:val="001D7A5F"/>
    <w:rsid w:val="001E18AF"/>
    <w:rsid w:val="001E276B"/>
    <w:rsid w:val="001E27E7"/>
    <w:rsid w:val="001E4A79"/>
    <w:rsid w:val="001F0FBE"/>
    <w:rsid w:val="001F19E1"/>
    <w:rsid w:val="001F5E02"/>
    <w:rsid w:val="001F64E0"/>
    <w:rsid w:val="00200919"/>
    <w:rsid w:val="0020092D"/>
    <w:rsid w:val="00202173"/>
    <w:rsid w:val="00202781"/>
    <w:rsid w:val="00207736"/>
    <w:rsid w:val="00207CCA"/>
    <w:rsid w:val="00214034"/>
    <w:rsid w:val="00216EAF"/>
    <w:rsid w:val="002178CD"/>
    <w:rsid w:val="00221608"/>
    <w:rsid w:val="002238DD"/>
    <w:rsid w:val="00223CD4"/>
    <w:rsid w:val="00224DCC"/>
    <w:rsid w:val="00225372"/>
    <w:rsid w:val="00232623"/>
    <w:rsid w:val="00232FC2"/>
    <w:rsid w:val="0023486D"/>
    <w:rsid w:val="00235421"/>
    <w:rsid w:val="0023660E"/>
    <w:rsid w:val="00237C08"/>
    <w:rsid w:val="002402AC"/>
    <w:rsid w:val="00240355"/>
    <w:rsid w:val="002468F0"/>
    <w:rsid w:val="00246BE8"/>
    <w:rsid w:val="002501CE"/>
    <w:rsid w:val="002541D6"/>
    <w:rsid w:val="0025789F"/>
    <w:rsid w:val="00264D36"/>
    <w:rsid w:val="00265128"/>
    <w:rsid w:val="0026692D"/>
    <w:rsid w:val="002742CD"/>
    <w:rsid w:val="00274465"/>
    <w:rsid w:val="00276D48"/>
    <w:rsid w:val="0028175D"/>
    <w:rsid w:val="00282C32"/>
    <w:rsid w:val="00283EEF"/>
    <w:rsid w:val="00283FF7"/>
    <w:rsid w:val="002844FB"/>
    <w:rsid w:val="00290128"/>
    <w:rsid w:val="0029032D"/>
    <w:rsid w:val="00291EF3"/>
    <w:rsid w:val="00294CC3"/>
    <w:rsid w:val="002974DA"/>
    <w:rsid w:val="002A6B6A"/>
    <w:rsid w:val="002B00D4"/>
    <w:rsid w:val="002B09B4"/>
    <w:rsid w:val="002B35A6"/>
    <w:rsid w:val="002B7607"/>
    <w:rsid w:val="002B788C"/>
    <w:rsid w:val="002B7A4A"/>
    <w:rsid w:val="002C0824"/>
    <w:rsid w:val="002C0C35"/>
    <w:rsid w:val="002C275C"/>
    <w:rsid w:val="002C2B31"/>
    <w:rsid w:val="002C3A0A"/>
    <w:rsid w:val="002D0823"/>
    <w:rsid w:val="002D0B17"/>
    <w:rsid w:val="002D1401"/>
    <w:rsid w:val="002D1FB1"/>
    <w:rsid w:val="002D479E"/>
    <w:rsid w:val="002D48C6"/>
    <w:rsid w:val="002D7740"/>
    <w:rsid w:val="002D77B9"/>
    <w:rsid w:val="002E0A79"/>
    <w:rsid w:val="002E26CA"/>
    <w:rsid w:val="002E3D9A"/>
    <w:rsid w:val="002E7623"/>
    <w:rsid w:val="002F1741"/>
    <w:rsid w:val="002F18FF"/>
    <w:rsid w:val="002F629B"/>
    <w:rsid w:val="002F65CA"/>
    <w:rsid w:val="002F6A53"/>
    <w:rsid w:val="00300C14"/>
    <w:rsid w:val="003014C5"/>
    <w:rsid w:val="0030188D"/>
    <w:rsid w:val="00302441"/>
    <w:rsid w:val="003029A3"/>
    <w:rsid w:val="00305B66"/>
    <w:rsid w:val="00310A8E"/>
    <w:rsid w:val="00311D8F"/>
    <w:rsid w:val="00312220"/>
    <w:rsid w:val="00312E31"/>
    <w:rsid w:val="0031312C"/>
    <w:rsid w:val="00313D77"/>
    <w:rsid w:val="0031723C"/>
    <w:rsid w:val="0032123B"/>
    <w:rsid w:val="00322039"/>
    <w:rsid w:val="00324377"/>
    <w:rsid w:val="00327016"/>
    <w:rsid w:val="00327C8F"/>
    <w:rsid w:val="003316CF"/>
    <w:rsid w:val="00333444"/>
    <w:rsid w:val="00333EB3"/>
    <w:rsid w:val="00334961"/>
    <w:rsid w:val="003404F6"/>
    <w:rsid w:val="003410E0"/>
    <w:rsid w:val="00341814"/>
    <w:rsid w:val="00345907"/>
    <w:rsid w:val="003469F7"/>
    <w:rsid w:val="00347F88"/>
    <w:rsid w:val="003509BD"/>
    <w:rsid w:val="003519F6"/>
    <w:rsid w:val="00351FFA"/>
    <w:rsid w:val="0035746C"/>
    <w:rsid w:val="00362768"/>
    <w:rsid w:val="003673D2"/>
    <w:rsid w:val="00371150"/>
    <w:rsid w:val="003755A3"/>
    <w:rsid w:val="0038569C"/>
    <w:rsid w:val="0039022C"/>
    <w:rsid w:val="00390F8D"/>
    <w:rsid w:val="00392C2F"/>
    <w:rsid w:val="00394155"/>
    <w:rsid w:val="00394CC5"/>
    <w:rsid w:val="0039637F"/>
    <w:rsid w:val="00397D7B"/>
    <w:rsid w:val="003A1019"/>
    <w:rsid w:val="003A36F3"/>
    <w:rsid w:val="003A477E"/>
    <w:rsid w:val="003A4D87"/>
    <w:rsid w:val="003A713D"/>
    <w:rsid w:val="003A799F"/>
    <w:rsid w:val="003A7F8D"/>
    <w:rsid w:val="003B0A33"/>
    <w:rsid w:val="003B0C59"/>
    <w:rsid w:val="003B1283"/>
    <w:rsid w:val="003B2D25"/>
    <w:rsid w:val="003B2E25"/>
    <w:rsid w:val="003B5B21"/>
    <w:rsid w:val="003B6BDE"/>
    <w:rsid w:val="003C0606"/>
    <w:rsid w:val="003C1094"/>
    <w:rsid w:val="003C3F7E"/>
    <w:rsid w:val="003D16BC"/>
    <w:rsid w:val="003D312D"/>
    <w:rsid w:val="003D384A"/>
    <w:rsid w:val="003D4996"/>
    <w:rsid w:val="003D54BC"/>
    <w:rsid w:val="003D6875"/>
    <w:rsid w:val="003E1943"/>
    <w:rsid w:val="003E2600"/>
    <w:rsid w:val="003E38AE"/>
    <w:rsid w:val="003F11F5"/>
    <w:rsid w:val="003F28DD"/>
    <w:rsid w:val="003F36CE"/>
    <w:rsid w:val="003F5948"/>
    <w:rsid w:val="003F7EE8"/>
    <w:rsid w:val="004000CA"/>
    <w:rsid w:val="00404809"/>
    <w:rsid w:val="00406782"/>
    <w:rsid w:val="00412B76"/>
    <w:rsid w:val="00413FC2"/>
    <w:rsid w:val="004149FC"/>
    <w:rsid w:val="00415205"/>
    <w:rsid w:val="004178E9"/>
    <w:rsid w:val="004219F7"/>
    <w:rsid w:val="00424181"/>
    <w:rsid w:val="00430DFC"/>
    <w:rsid w:val="004339DB"/>
    <w:rsid w:val="00435046"/>
    <w:rsid w:val="00435251"/>
    <w:rsid w:val="00437B8D"/>
    <w:rsid w:val="00440671"/>
    <w:rsid w:val="00443B8B"/>
    <w:rsid w:val="004455FF"/>
    <w:rsid w:val="00446B98"/>
    <w:rsid w:val="00447E3D"/>
    <w:rsid w:val="00454B47"/>
    <w:rsid w:val="00455150"/>
    <w:rsid w:val="00456EF0"/>
    <w:rsid w:val="00456F1F"/>
    <w:rsid w:val="00460DA2"/>
    <w:rsid w:val="004637A0"/>
    <w:rsid w:val="00471DD0"/>
    <w:rsid w:val="0047227F"/>
    <w:rsid w:val="00472B78"/>
    <w:rsid w:val="0047354E"/>
    <w:rsid w:val="0048082A"/>
    <w:rsid w:val="004817D5"/>
    <w:rsid w:val="00482602"/>
    <w:rsid w:val="0048640B"/>
    <w:rsid w:val="004877BE"/>
    <w:rsid w:val="004904FE"/>
    <w:rsid w:val="004914F6"/>
    <w:rsid w:val="004929BC"/>
    <w:rsid w:val="00492E78"/>
    <w:rsid w:val="004949E6"/>
    <w:rsid w:val="004A2CDB"/>
    <w:rsid w:val="004A69E6"/>
    <w:rsid w:val="004A69F8"/>
    <w:rsid w:val="004A6F26"/>
    <w:rsid w:val="004A7D55"/>
    <w:rsid w:val="004B4CBE"/>
    <w:rsid w:val="004B6B2D"/>
    <w:rsid w:val="004B7C1F"/>
    <w:rsid w:val="004C3394"/>
    <w:rsid w:val="004C3559"/>
    <w:rsid w:val="004C3810"/>
    <w:rsid w:val="004D12DD"/>
    <w:rsid w:val="004D2BD1"/>
    <w:rsid w:val="004D37DD"/>
    <w:rsid w:val="004D79AD"/>
    <w:rsid w:val="004E1C44"/>
    <w:rsid w:val="004F0533"/>
    <w:rsid w:val="004F4C18"/>
    <w:rsid w:val="00503113"/>
    <w:rsid w:val="005031E3"/>
    <w:rsid w:val="005037BE"/>
    <w:rsid w:val="00503B82"/>
    <w:rsid w:val="0050496A"/>
    <w:rsid w:val="00505F59"/>
    <w:rsid w:val="00507439"/>
    <w:rsid w:val="005077CE"/>
    <w:rsid w:val="00507905"/>
    <w:rsid w:val="005130A6"/>
    <w:rsid w:val="00522EE9"/>
    <w:rsid w:val="0052624B"/>
    <w:rsid w:val="005266A6"/>
    <w:rsid w:val="00530787"/>
    <w:rsid w:val="00531A0B"/>
    <w:rsid w:val="00536EFA"/>
    <w:rsid w:val="005377F9"/>
    <w:rsid w:val="0054056E"/>
    <w:rsid w:val="00540A2E"/>
    <w:rsid w:val="00543960"/>
    <w:rsid w:val="00543C91"/>
    <w:rsid w:val="00551EE3"/>
    <w:rsid w:val="00552A43"/>
    <w:rsid w:val="00553460"/>
    <w:rsid w:val="00556193"/>
    <w:rsid w:val="00556AC2"/>
    <w:rsid w:val="00557EBA"/>
    <w:rsid w:val="00560EFA"/>
    <w:rsid w:val="005610D3"/>
    <w:rsid w:val="00563F79"/>
    <w:rsid w:val="00566802"/>
    <w:rsid w:val="00567602"/>
    <w:rsid w:val="005704E1"/>
    <w:rsid w:val="00571FD9"/>
    <w:rsid w:val="005722E0"/>
    <w:rsid w:val="0057395D"/>
    <w:rsid w:val="00575AB8"/>
    <w:rsid w:val="00575FB1"/>
    <w:rsid w:val="005760B3"/>
    <w:rsid w:val="0057768B"/>
    <w:rsid w:val="00577BCA"/>
    <w:rsid w:val="0058145F"/>
    <w:rsid w:val="00581A79"/>
    <w:rsid w:val="005853D3"/>
    <w:rsid w:val="00585830"/>
    <w:rsid w:val="00591738"/>
    <w:rsid w:val="00592A2E"/>
    <w:rsid w:val="00593E02"/>
    <w:rsid w:val="005969AE"/>
    <w:rsid w:val="005974E1"/>
    <w:rsid w:val="0059782D"/>
    <w:rsid w:val="00597C19"/>
    <w:rsid w:val="005A04FE"/>
    <w:rsid w:val="005A25E6"/>
    <w:rsid w:val="005A481B"/>
    <w:rsid w:val="005A4AE1"/>
    <w:rsid w:val="005B11D4"/>
    <w:rsid w:val="005C0737"/>
    <w:rsid w:val="005C0D95"/>
    <w:rsid w:val="005C1310"/>
    <w:rsid w:val="005C4404"/>
    <w:rsid w:val="005C512F"/>
    <w:rsid w:val="005C5AB1"/>
    <w:rsid w:val="005C5CE0"/>
    <w:rsid w:val="005D25AB"/>
    <w:rsid w:val="005D42CF"/>
    <w:rsid w:val="005D4D4F"/>
    <w:rsid w:val="005D51C5"/>
    <w:rsid w:val="005D530D"/>
    <w:rsid w:val="005D79DF"/>
    <w:rsid w:val="005E07FC"/>
    <w:rsid w:val="005E1BEF"/>
    <w:rsid w:val="005E2F9D"/>
    <w:rsid w:val="005E305A"/>
    <w:rsid w:val="005E3219"/>
    <w:rsid w:val="005E704B"/>
    <w:rsid w:val="005E7A96"/>
    <w:rsid w:val="005F5DD5"/>
    <w:rsid w:val="00600738"/>
    <w:rsid w:val="00600D89"/>
    <w:rsid w:val="0060107F"/>
    <w:rsid w:val="006031F3"/>
    <w:rsid w:val="00604939"/>
    <w:rsid w:val="00606230"/>
    <w:rsid w:val="00606A25"/>
    <w:rsid w:val="006101E7"/>
    <w:rsid w:val="00613A01"/>
    <w:rsid w:val="0061481E"/>
    <w:rsid w:val="00616F74"/>
    <w:rsid w:val="0062021D"/>
    <w:rsid w:val="00620503"/>
    <w:rsid w:val="006232A7"/>
    <w:rsid w:val="00634DC1"/>
    <w:rsid w:val="00640BBD"/>
    <w:rsid w:val="00642B1A"/>
    <w:rsid w:val="00643CAC"/>
    <w:rsid w:val="00645B0F"/>
    <w:rsid w:val="00647446"/>
    <w:rsid w:val="00647E60"/>
    <w:rsid w:val="00652E05"/>
    <w:rsid w:val="006545B9"/>
    <w:rsid w:val="00663EFA"/>
    <w:rsid w:val="00671492"/>
    <w:rsid w:val="00676681"/>
    <w:rsid w:val="0067692F"/>
    <w:rsid w:val="006803E6"/>
    <w:rsid w:val="00681850"/>
    <w:rsid w:val="00682690"/>
    <w:rsid w:val="00684E73"/>
    <w:rsid w:val="00686418"/>
    <w:rsid w:val="0068689F"/>
    <w:rsid w:val="00686EE9"/>
    <w:rsid w:val="00690E0E"/>
    <w:rsid w:val="006957EA"/>
    <w:rsid w:val="00696500"/>
    <w:rsid w:val="006A0EC9"/>
    <w:rsid w:val="006A2DF2"/>
    <w:rsid w:val="006A6947"/>
    <w:rsid w:val="006A6E78"/>
    <w:rsid w:val="006A739C"/>
    <w:rsid w:val="006B25E9"/>
    <w:rsid w:val="006B670D"/>
    <w:rsid w:val="006B6C7C"/>
    <w:rsid w:val="006C0B0B"/>
    <w:rsid w:val="006C1F8C"/>
    <w:rsid w:val="006C4D12"/>
    <w:rsid w:val="006C4F45"/>
    <w:rsid w:val="006C5546"/>
    <w:rsid w:val="006C72F5"/>
    <w:rsid w:val="006C7998"/>
    <w:rsid w:val="006D3818"/>
    <w:rsid w:val="006D6E6A"/>
    <w:rsid w:val="006E0A1E"/>
    <w:rsid w:val="006E1BC4"/>
    <w:rsid w:val="006E34AC"/>
    <w:rsid w:val="006E5B85"/>
    <w:rsid w:val="006F245C"/>
    <w:rsid w:val="006F466A"/>
    <w:rsid w:val="006F47DB"/>
    <w:rsid w:val="00701164"/>
    <w:rsid w:val="007019A1"/>
    <w:rsid w:val="007038E4"/>
    <w:rsid w:val="00703D5A"/>
    <w:rsid w:val="007050B7"/>
    <w:rsid w:val="0070658B"/>
    <w:rsid w:val="00706BC2"/>
    <w:rsid w:val="0071082D"/>
    <w:rsid w:val="00711398"/>
    <w:rsid w:val="007119E7"/>
    <w:rsid w:val="00712485"/>
    <w:rsid w:val="007141FB"/>
    <w:rsid w:val="00717A99"/>
    <w:rsid w:val="00721810"/>
    <w:rsid w:val="00721E5D"/>
    <w:rsid w:val="0072202F"/>
    <w:rsid w:val="00723CA5"/>
    <w:rsid w:val="0073080C"/>
    <w:rsid w:val="00732FAB"/>
    <w:rsid w:val="00733F8D"/>
    <w:rsid w:val="00737133"/>
    <w:rsid w:val="007401F8"/>
    <w:rsid w:val="00741CE1"/>
    <w:rsid w:val="007422BA"/>
    <w:rsid w:val="00742FA9"/>
    <w:rsid w:val="00745239"/>
    <w:rsid w:val="0074588B"/>
    <w:rsid w:val="007476E0"/>
    <w:rsid w:val="00750D43"/>
    <w:rsid w:val="00751AF6"/>
    <w:rsid w:val="007529F0"/>
    <w:rsid w:val="00755CB7"/>
    <w:rsid w:val="0075670D"/>
    <w:rsid w:val="00756CD1"/>
    <w:rsid w:val="00756D85"/>
    <w:rsid w:val="0076263F"/>
    <w:rsid w:val="0076405B"/>
    <w:rsid w:val="0076531B"/>
    <w:rsid w:val="0076557C"/>
    <w:rsid w:val="00766284"/>
    <w:rsid w:val="007668AE"/>
    <w:rsid w:val="00772573"/>
    <w:rsid w:val="007736A3"/>
    <w:rsid w:val="00777149"/>
    <w:rsid w:val="007848B6"/>
    <w:rsid w:val="00786D65"/>
    <w:rsid w:val="007953E0"/>
    <w:rsid w:val="007A3042"/>
    <w:rsid w:val="007A337B"/>
    <w:rsid w:val="007A4426"/>
    <w:rsid w:val="007A4E9A"/>
    <w:rsid w:val="007A6FED"/>
    <w:rsid w:val="007A75FE"/>
    <w:rsid w:val="007A7892"/>
    <w:rsid w:val="007B06C9"/>
    <w:rsid w:val="007B1952"/>
    <w:rsid w:val="007B1D0E"/>
    <w:rsid w:val="007B21AA"/>
    <w:rsid w:val="007B7EE5"/>
    <w:rsid w:val="007C2F94"/>
    <w:rsid w:val="007C38FA"/>
    <w:rsid w:val="007C3947"/>
    <w:rsid w:val="007C3AB0"/>
    <w:rsid w:val="007D1507"/>
    <w:rsid w:val="007D200F"/>
    <w:rsid w:val="007D4558"/>
    <w:rsid w:val="007E27FF"/>
    <w:rsid w:val="007E69E4"/>
    <w:rsid w:val="007F0401"/>
    <w:rsid w:val="007F11F3"/>
    <w:rsid w:val="007F13EA"/>
    <w:rsid w:val="007F3004"/>
    <w:rsid w:val="007F56F4"/>
    <w:rsid w:val="00800826"/>
    <w:rsid w:val="008016C9"/>
    <w:rsid w:val="00802373"/>
    <w:rsid w:val="00805DC1"/>
    <w:rsid w:val="008062C1"/>
    <w:rsid w:val="008064E1"/>
    <w:rsid w:val="008109DB"/>
    <w:rsid w:val="00810CCB"/>
    <w:rsid w:val="00811C5A"/>
    <w:rsid w:val="00814D2A"/>
    <w:rsid w:val="008162E1"/>
    <w:rsid w:val="008165DA"/>
    <w:rsid w:val="00816938"/>
    <w:rsid w:val="008227AB"/>
    <w:rsid w:val="0082493B"/>
    <w:rsid w:val="00832491"/>
    <w:rsid w:val="0083334A"/>
    <w:rsid w:val="0083435B"/>
    <w:rsid w:val="008409D0"/>
    <w:rsid w:val="008431A9"/>
    <w:rsid w:val="00850E7B"/>
    <w:rsid w:val="00851E09"/>
    <w:rsid w:val="00853322"/>
    <w:rsid w:val="0085342F"/>
    <w:rsid w:val="00860073"/>
    <w:rsid w:val="008626C6"/>
    <w:rsid w:val="00863464"/>
    <w:rsid w:val="00864F6D"/>
    <w:rsid w:val="008667D2"/>
    <w:rsid w:val="008715C6"/>
    <w:rsid w:val="00872A39"/>
    <w:rsid w:val="00872EB9"/>
    <w:rsid w:val="008738C2"/>
    <w:rsid w:val="008757C6"/>
    <w:rsid w:val="00876B07"/>
    <w:rsid w:val="00877AAC"/>
    <w:rsid w:val="0088152A"/>
    <w:rsid w:val="008818FF"/>
    <w:rsid w:val="0088293B"/>
    <w:rsid w:val="008925A0"/>
    <w:rsid w:val="0089330F"/>
    <w:rsid w:val="00897661"/>
    <w:rsid w:val="008A299D"/>
    <w:rsid w:val="008A353C"/>
    <w:rsid w:val="008A4865"/>
    <w:rsid w:val="008A519C"/>
    <w:rsid w:val="008A55E2"/>
    <w:rsid w:val="008A562A"/>
    <w:rsid w:val="008A752C"/>
    <w:rsid w:val="008B018F"/>
    <w:rsid w:val="008B1876"/>
    <w:rsid w:val="008B2182"/>
    <w:rsid w:val="008B2DCB"/>
    <w:rsid w:val="008B46B1"/>
    <w:rsid w:val="008B729A"/>
    <w:rsid w:val="008C32F6"/>
    <w:rsid w:val="008C56D5"/>
    <w:rsid w:val="008C7E03"/>
    <w:rsid w:val="008D2499"/>
    <w:rsid w:val="008D3B52"/>
    <w:rsid w:val="008D4DDB"/>
    <w:rsid w:val="008E17CA"/>
    <w:rsid w:val="008E2AC4"/>
    <w:rsid w:val="008E439B"/>
    <w:rsid w:val="008E5737"/>
    <w:rsid w:val="008E57A1"/>
    <w:rsid w:val="008E5CB7"/>
    <w:rsid w:val="008F0BC7"/>
    <w:rsid w:val="008F10C9"/>
    <w:rsid w:val="008F2B9C"/>
    <w:rsid w:val="00900A6C"/>
    <w:rsid w:val="00900B8D"/>
    <w:rsid w:val="009023C8"/>
    <w:rsid w:val="0090382A"/>
    <w:rsid w:val="00903FE0"/>
    <w:rsid w:val="00905184"/>
    <w:rsid w:val="00906494"/>
    <w:rsid w:val="00906D44"/>
    <w:rsid w:val="00916D3C"/>
    <w:rsid w:val="00916DB3"/>
    <w:rsid w:val="009220F3"/>
    <w:rsid w:val="009350B6"/>
    <w:rsid w:val="009367B0"/>
    <w:rsid w:val="00946A50"/>
    <w:rsid w:val="00947EF6"/>
    <w:rsid w:val="00951775"/>
    <w:rsid w:val="009524CE"/>
    <w:rsid w:val="0095516A"/>
    <w:rsid w:val="0095518B"/>
    <w:rsid w:val="00956EEB"/>
    <w:rsid w:val="00957354"/>
    <w:rsid w:val="00963220"/>
    <w:rsid w:val="00966FEC"/>
    <w:rsid w:val="00970004"/>
    <w:rsid w:val="00972B33"/>
    <w:rsid w:val="009733CE"/>
    <w:rsid w:val="0097403B"/>
    <w:rsid w:val="0097421B"/>
    <w:rsid w:val="0097556D"/>
    <w:rsid w:val="00976176"/>
    <w:rsid w:val="00977302"/>
    <w:rsid w:val="00980BA9"/>
    <w:rsid w:val="00981970"/>
    <w:rsid w:val="0098395B"/>
    <w:rsid w:val="00983FE6"/>
    <w:rsid w:val="0098684C"/>
    <w:rsid w:val="00987A78"/>
    <w:rsid w:val="00991449"/>
    <w:rsid w:val="009914CC"/>
    <w:rsid w:val="009915E0"/>
    <w:rsid w:val="00993A33"/>
    <w:rsid w:val="0099426D"/>
    <w:rsid w:val="00995FC2"/>
    <w:rsid w:val="009A2D1E"/>
    <w:rsid w:val="009A2FFE"/>
    <w:rsid w:val="009A470F"/>
    <w:rsid w:val="009A5244"/>
    <w:rsid w:val="009A77AD"/>
    <w:rsid w:val="009B0195"/>
    <w:rsid w:val="009B1628"/>
    <w:rsid w:val="009B24B7"/>
    <w:rsid w:val="009B5B3A"/>
    <w:rsid w:val="009C06DD"/>
    <w:rsid w:val="009C10E7"/>
    <w:rsid w:val="009C7BA5"/>
    <w:rsid w:val="009D05A2"/>
    <w:rsid w:val="009D1212"/>
    <w:rsid w:val="009D123C"/>
    <w:rsid w:val="009D25D4"/>
    <w:rsid w:val="009D3E79"/>
    <w:rsid w:val="009D4FB2"/>
    <w:rsid w:val="009D6E58"/>
    <w:rsid w:val="009E1911"/>
    <w:rsid w:val="009E45F8"/>
    <w:rsid w:val="009E6C74"/>
    <w:rsid w:val="009E747E"/>
    <w:rsid w:val="009F0ECB"/>
    <w:rsid w:val="009F26B2"/>
    <w:rsid w:val="009F2D5F"/>
    <w:rsid w:val="009F412F"/>
    <w:rsid w:val="009F4455"/>
    <w:rsid w:val="009F5430"/>
    <w:rsid w:val="009F7C11"/>
    <w:rsid w:val="00A00902"/>
    <w:rsid w:val="00A00F59"/>
    <w:rsid w:val="00A01CD8"/>
    <w:rsid w:val="00A02E86"/>
    <w:rsid w:val="00A05E99"/>
    <w:rsid w:val="00A072F2"/>
    <w:rsid w:val="00A07EB7"/>
    <w:rsid w:val="00A102C7"/>
    <w:rsid w:val="00A11C65"/>
    <w:rsid w:val="00A12739"/>
    <w:rsid w:val="00A132FD"/>
    <w:rsid w:val="00A13E31"/>
    <w:rsid w:val="00A15A54"/>
    <w:rsid w:val="00A1620D"/>
    <w:rsid w:val="00A17366"/>
    <w:rsid w:val="00A20014"/>
    <w:rsid w:val="00A2560B"/>
    <w:rsid w:val="00A27982"/>
    <w:rsid w:val="00A32EA9"/>
    <w:rsid w:val="00A33470"/>
    <w:rsid w:val="00A33AEB"/>
    <w:rsid w:val="00A349AC"/>
    <w:rsid w:val="00A37323"/>
    <w:rsid w:val="00A4030B"/>
    <w:rsid w:val="00A411F3"/>
    <w:rsid w:val="00A43104"/>
    <w:rsid w:val="00A444EA"/>
    <w:rsid w:val="00A45E42"/>
    <w:rsid w:val="00A54152"/>
    <w:rsid w:val="00A5452A"/>
    <w:rsid w:val="00A571F9"/>
    <w:rsid w:val="00A616B6"/>
    <w:rsid w:val="00A64BBF"/>
    <w:rsid w:val="00A64DBE"/>
    <w:rsid w:val="00A73922"/>
    <w:rsid w:val="00A75DC6"/>
    <w:rsid w:val="00A773B4"/>
    <w:rsid w:val="00A8140E"/>
    <w:rsid w:val="00A865DE"/>
    <w:rsid w:val="00A86B97"/>
    <w:rsid w:val="00A8709B"/>
    <w:rsid w:val="00A8779B"/>
    <w:rsid w:val="00A90A93"/>
    <w:rsid w:val="00A90CF8"/>
    <w:rsid w:val="00A91FB3"/>
    <w:rsid w:val="00A94070"/>
    <w:rsid w:val="00A94487"/>
    <w:rsid w:val="00AA3BF5"/>
    <w:rsid w:val="00AA4F97"/>
    <w:rsid w:val="00AA5E35"/>
    <w:rsid w:val="00AA7EE9"/>
    <w:rsid w:val="00AB13A0"/>
    <w:rsid w:val="00AB1AB2"/>
    <w:rsid w:val="00AB2800"/>
    <w:rsid w:val="00AB33AB"/>
    <w:rsid w:val="00AB41C5"/>
    <w:rsid w:val="00AB4F52"/>
    <w:rsid w:val="00AC07A1"/>
    <w:rsid w:val="00AC1EB7"/>
    <w:rsid w:val="00AC2619"/>
    <w:rsid w:val="00AC2B1C"/>
    <w:rsid w:val="00AC3F0A"/>
    <w:rsid w:val="00AC4958"/>
    <w:rsid w:val="00AC6035"/>
    <w:rsid w:val="00AD4141"/>
    <w:rsid w:val="00AD6329"/>
    <w:rsid w:val="00AE0095"/>
    <w:rsid w:val="00AE0943"/>
    <w:rsid w:val="00AE1F91"/>
    <w:rsid w:val="00AF0C43"/>
    <w:rsid w:val="00AF463E"/>
    <w:rsid w:val="00AF4819"/>
    <w:rsid w:val="00AF7137"/>
    <w:rsid w:val="00B028F9"/>
    <w:rsid w:val="00B039DC"/>
    <w:rsid w:val="00B03FD9"/>
    <w:rsid w:val="00B04356"/>
    <w:rsid w:val="00B04E47"/>
    <w:rsid w:val="00B05B6B"/>
    <w:rsid w:val="00B104F3"/>
    <w:rsid w:val="00B11453"/>
    <w:rsid w:val="00B13FC7"/>
    <w:rsid w:val="00B14816"/>
    <w:rsid w:val="00B14CB7"/>
    <w:rsid w:val="00B151F7"/>
    <w:rsid w:val="00B23D55"/>
    <w:rsid w:val="00B260BF"/>
    <w:rsid w:val="00B26676"/>
    <w:rsid w:val="00B3213D"/>
    <w:rsid w:val="00B338ED"/>
    <w:rsid w:val="00B368C6"/>
    <w:rsid w:val="00B405D9"/>
    <w:rsid w:val="00B421C9"/>
    <w:rsid w:val="00B44C25"/>
    <w:rsid w:val="00B46686"/>
    <w:rsid w:val="00B469F1"/>
    <w:rsid w:val="00B52060"/>
    <w:rsid w:val="00B54490"/>
    <w:rsid w:val="00B54CB5"/>
    <w:rsid w:val="00B56A1B"/>
    <w:rsid w:val="00B630A4"/>
    <w:rsid w:val="00B73E8D"/>
    <w:rsid w:val="00B74C42"/>
    <w:rsid w:val="00B74E40"/>
    <w:rsid w:val="00B77391"/>
    <w:rsid w:val="00B77BA5"/>
    <w:rsid w:val="00B81CCA"/>
    <w:rsid w:val="00B82A6A"/>
    <w:rsid w:val="00B83B92"/>
    <w:rsid w:val="00B83C32"/>
    <w:rsid w:val="00B844D2"/>
    <w:rsid w:val="00B93D73"/>
    <w:rsid w:val="00B93E5E"/>
    <w:rsid w:val="00B945A3"/>
    <w:rsid w:val="00B946B0"/>
    <w:rsid w:val="00B961E5"/>
    <w:rsid w:val="00B963FD"/>
    <w:rsid w:val="00B974C1"/>
    <w:rsid w:val="00BA191B"/>
    <w:rsid w:val="00BA27F6"/>
    <w:rsid w:val="00BA29B4"/>
    <w:rsid w:val="00BA2F16"/>
    <w:rsid w:val="00BA386F"/>
    <w:rsid w:val="00BA592F"/>
    <w:rsid w:val="00BA6475"/>
    <w:rsid w:val="00BA7A76"/>
    <w:rsid w:val="00BB1E04"/>
    <w:rsid w:val="00BB3DB9"/>
    <w:rsid w:val="00BB4098"/>
    <w:rsid w:val="00BB5738"/>
    <w:rsid w:val="00BC19FB"/>
    <w:rsid w:val="00BC20B2"/>
    <w:rsid w:val="00BC270B"/>
    <w:rsid w:val="00BC5D29"/>
    <w:rsid w:val="00BC744C"/>
    <w:rsid w:val="00BD2DCF"/>
    <w:rsid w:val="00BD43E7"/>
    <w:rsid w:val="00BE3210"/>
    <w:rsid w:val="00BE3626"/>
    <w:rsid w:val="00BE4C19"/>
    <w:rsid w:val="00BE5476"/>
    <w:rsid w:val="00BE73A8"/>
    <w:rsid w:val="00BF034B"/>
    <w:rsid w:val="00BF2BF7"/>
    <w:rsid w:val="00BF424D"/>
    <w:rsid w:val="00BF4E18"/>
    <w:rsid w:val="00BF55CC"/>
    <w:rsid w:val="00BF6CDE"/>
    <w:rsid w:val="00C0175E"/>
    <w:rsid w:val="00C03FD3"/>
    <w:rsid w:val="00C05CEE"/>
    <w:rsid w:val="00C068FF"/>
    <w:rsid w:val="00C17C3E"/>
    <w:rsid w:val="00C20745"/>
    <w:rsid w:val="00C24B55"/>
    <w:rsid w:val="00C24E66"/>
    <w:rsid w:val="00C264D5"/>
    <w:rsid w:val="00C26566"/>
    <w:rsid w:val="00C27AA5"/>
    <w:rsid w:val="00C303EF"/>
    <w:rsid w:val="00C35B4F"/>
    <w:rsid w:val="00C37702"/>
    <w:rsid w:val="00C37860"/>
    <w:rsid w:val="00C40023"/>
    <w:rsid w:val="00C42823"/>
    <w:rsid w:val="00C446A5"/>
    <w:rsid w:val="00C456A3"/>
    <w:rsid w:val="00C47105"/>
    <w:rsid w:val="00C50297"/>
    <w:rsid w:val="00C505E0"/>
    <w:rsid w:val="00C548F0"/>
    <w:rsid w:val="00C56393"/>
    <w:rsid w:val="00C605ED"/>
    <w:rsid w:val="00C639A4"/>
    <w:rsid w:val="00C66642"/>
    <w:rsid w:val="00C72D19"/>
    <w:rsid w:val="00C742DA"/>
    <w:rsid w:val="00C743A1"/>
    <w:rsid w:val="00C74729"/>
    <w:rsid w:val="00C74C58"/>
    <w:rsid w:val="00C7694B"/>
    <w:rsid w:val="00C76CBB"/>
    <w:rsid w:val="00C775E3"/>
    <w:rsid w:val="00C8104D"/>
    <w:rsid w:val="00C81770"/>
    <w:rsid w:val="00C817B8"/>
    <w:rsid w:val="00C838ED"/>
    <w:rsid w:val="00C901AC"/>
    <w:rsid w:val="00C96EBC"/>
    <w:rsid w:val="00C9759D"/>
    <w:rsid w:val="00CA0DB7"/>
    <w:rsid w:val="00CA1639"/>
    <w:rsid w:val="00CA2C99"/>
    <w:rsid w:val="00CA3320"/>
    <w:rsid w:val="00CA3651"/>
    <w:rsid w:val="00CA4D81"/>
    <w:rsid w:val="00CA6E81"/>
    <w:rsid w:val="00CA739B"/>
    <w:rsid w:val="00CB1A73"/>
    <w:rsid w:val="00CB37A7"/>
    <w:rsid w:val="00CB38ED"/>
    <w:rsid w:val="00CB5BAC"/>
    <w:rsid w:val="00CB7AAB"/>
    <w:rsid w:val="00CC3D4A"/>
    <w:rsid w:val="00CC7E63"/>
    <w:rsid w:val="00CD15BC"/>
    <w:rsid w:val="00CD3CE0"/>
    <w:rsid w:val="00CD464B"/>
    <w:rsid w:val="00CD5D4F"/>
    <w:rsid w:val="00CE0964"/>
    <w:rsid w:val="00CE505B"/>
    <w:rsid w:val="00CE5591"/>
    <w:rsid w:val="00CF3437"/>
    <w:rsid w:val="00CF3DBB"/>
    <w:rsid w:val="00CF768B"/>
    <w:rsid w:val="00CF7DC5"/>
    <w:rsid w:val="00D0041E"/>
    <w:rsid w:val="00D06D52"/>
    <w:rsid w:val="00D11719"/>
    <w:rsid w:val="00D12E5C"/>
    <w:rsid w:val="00D1443E"/>
    <w:rsid w:val="00D1539A"/>
    <w:rsid w:val="00D15EAE"/>
    <w:rsid w:val="00D2557F"/>
    <w:rsid w:val="00D268C2"/>
    <w:rsid w:val="00D30B1A"/>
    <w:rsid w:val="00D342F1"/>
    <w:rsid w:val="00D36357"/>
    <w:rsid w:val="00D36F05"/>
    <w:rsid w:val="00D4091E"/>
    <w:rsid w:val="00D42EC2"/>
    <w:rsid w:val="00D46C90"/>
    <w:rsid w:val="00D537EF"/>
    <w:rsid w:val="00D57086"/>
    <w:rsid w:val="00D63A87"/>
    <w:rsid w:val="00D66A7C"/>
    <w:rsid w:val="00D672F1"/>
    <w:rsid w:val="00D70EF1"/>
    <w:rsid w:val="00D7209E"/>
    <w:rsid w:val="00D819AC"/>
    <w:rsid w:val="00D8515A"/>
    <w:rsid w:val="00D909E5"/>
    <w:rsid w:val="00D914F8"/>
    <w:rsid w:val="00D9395B"/>
    <w:rsid w:val="00D9597D"/>
    <w:rsid w:val="00D95A11"/>
    <w:rsid w:val="00D97A7B"/>
    <w:rsid w:val="00DA2048"/>
    <w:rsid w:val="00DA4D14"/>
    <w:rsid w:val="00DA62BC"/>
    <w:rsid w:val="00DA792D"/>
    <w:rsid w:val="00DA7B29"/>
    <w:rsid w:val="00DB18ED"/>
    <w:rsid w:val="00DB3470"/>
    <w:rsid w:val="00DB660A"/>
    <w:rsid w:val="00DB7AED"/>
    <w:rsid w:val="00DC0F62"/>
    <w:rsid w:val="00DC1D0C"/>
    <w:rsid w:val="00DC1FAD"/>
    <w:rsid w:val="00DC60CE"/>
    <w:rsid w:val="00DC660C"/>
    <w:rsid w:val="00DC7356"/>
    <w:rsid w:val="00DD5D0B"/>
    <w:rsid w:val="00DD7C5C"/>
    <w:rsid w:val="00DE190F"/>
    <w:rsid w:val="00DE2463"/>
    <w:rsid w:val="00DE375F"/>
    <w:rsid w:val="00DE6658"/>
    <w:rsid w:val="00DF1884"/>
    <w:rsid w:val="00DF1AA4"/>
    <w:rsid w:val="00DF2363"/>
    <w:rsid w:val="00DF3DDA"/>
    <w:rsid w:val="00DF4E0F"/>
    <w:rsid w:val="00E00497"/>
    <w:rsid w:val="00E0065D"/>
    <w:rsid w:val="00E01998"/>
    <w:rsid w:val="00E055E5"/>
    <w:rsid w:val="00E07CBE"/>
    <w:rsid w:val="00E15E35"/>
    <w:rsid w:val="00E16130"/>
    <w:rsid w:val="00E1637F"/>
    <w:rsid w:val="00E16576"/>
    <w:rsid w:val="00E21681"/>
    <w:rsid w:val="00E27715"/>
    <w:rsid w:val="00E31805"/>
    <w:rsid w:val="00E34719"/>
    <w:rsid w:val="00E37C47"/>
    <w:rsid w:val="00E37F0B"/>
    <w:rsid w:val="00E43151"/>
    <w:rsid w:val="00E4385B"/>
    <w:rsid w:val="00E45686"/>
    <w:rsid w:val="00E45EA5"/>
    <w:rsid w:val="00E5015E"/>
    <w:rsid w:val="00E50169"/>
    <w:rsid w:val="00E5054F"/>
    <w:rsid w:val="00E5413C"/>
    <w:rsid w:val="00E56CE8"/>
    <w:rsid w:val="00E56D72"/>
    <w:rsid w:val="00E574A6"/>
    <w:rsid w:val="00E60EE8"/>
    <w:rsid w:val="00E65D9C"/>
    <w:rsid w:val="00E70DEC"/>
    <w:rsid w:val="00E71438"/>
    <w:rsid w:val="00E732BF"/>
    <w:rsid w:val="00E77621"/>
    <w:rsid w:val="00E77883"/>
    <w:rsid w:val="00E80E8A"/>
    <w:rsid w:val="00E8237B"/>
    <w:rsid w:val="00E853CA"/>
    <w:rsid w:val="00E85CAE"/>
    <w:rsid w:val="00E86173"/>
    <w:rsid w:val="00E863B8"/>
    <w:rsid w:val="00E87F10"/>
    <w:rsid w:val="00E93F1A"/>
    <w:rsid w:val="00E952FD"/>
    <w:rsid w:val="00E97426"/>
    <w:rsid w:val="00EA2F3A"/>
    <w:rsid w:val="00EA5996"/>
    <w:rsid w:val="00EB5536"/>
    <w:rsid w:val="00EC2531"/>
    <w:rsid w:val="00EC2742"/>
    <w:rsid w:val="00EC29EC"/>
    <w:rsid w:val="00EC5669"/>
    <w:rsid w:val="00ED1B53"/>
    <w:rsid w:val="00ED538D"/>
    <w:rsid w:val="00ED67CA"/>
    <w:rsid w:val="00ED6D63"/>
    <w:rsid w:val="00EE105A"/>
    <w:rsid w:val="00EE2C38"/>
    <w:rsid w:val="00EE451F"/>
    <w:rsid w:val="00EF22B9"/>
    <w:rsid w:val="00EF3306"/>
    <w:rsid w:val="00EF5D71"/>
    <w:rsid w:val="00EF63B6"/>
    <w:rsid w:val="00EF6E47"/>
    <w:rsid w:val="00EF73FE"/>
    <w:rsid w:val="00EF7C8B"/>
    <w:rsid w:val="00F01052"/>
    <w:rsid w:val="00F02BB9"/>
    <w:rsid w:val="00F03FE6"/>
    <w:rsid w:val="00F15368"/>
    <w:rsid w:val="00F1622C"/>
    <w:rsid w:val="00F17395"/>
    <w:rsid w:val="00F17769"/>
    <w:rsid w:val="00F17821"/>
    <w:rsid w:val="00F227C2"/>
    <w:rsid w:val="00F227CD"/>
    <w:rsid w:val="00F2293F"/>
    <w:rsid w:val="00F24D84"/>
    <w:rsid w:val="00F343BA"/>
    <w:rsid w:val="00F36CE4"/>
    <w:rsid w:val="00F375EF"/>
    <w:rsid w:val="00F4101B"/>
    <w:rsid w:val="00F41D33"/>
    <w:rsid w:val="00F42314"/>
    <w:rsid w:val="00F436EB"/>
    <w:rsid w:val="00F43936"/>
    <w:rsid w:val="00F44F2E"/>
    <w:rsid w:val="00F472D6"/>
    <w:rsid w:val="00F47A91"/>
    <w:rsid w:val="00F5465E"/>
    <w:rsid w:val="00F54A7C"/>
    <w:rsid w:val="00F5534B"/>
    <w:rsid w:val="00F56A0F"/>
    <w:rsid w:val="00F65E83"/>
    <w:rsid w:val="00F66053"/>
    <w:rsid w:val="00F7262C"/>
    <w:rsid w:val="00F759EE"/>
    <w:rsid w:val="00F7704B"/>
    <w:rsid w:val="00F77B57"/>
    <w:rsid w:val="00F77DCF"/>
    <w:rsid w:val="00F81BAC"/>
    <w:rsid w:val="00F87AE2"/>
    <w:rsid w:val="00F918D0"/>
    <w:rsid w:val="00F95758"/>
    <w:rsid w:val="00F95FEE"/>
    <w:rsid w:val="00F96CC5"/>
    <w:rsid w:val="00FA10C4"/>
    <w:rsid w:val="00FA56DE"/>
    <w:rsid w:val="00FA7AF7"/>
    <w:rsid w:val="00FA7B28"/>
    <w:rsid w:val="00FB3DF3"/>
    <w:rsid w:val="00FB594C"/>
    <w:rsid w:val="00FB6EB7"/>
    <w:rsid w:val="00FB781A"/>
    <w:rsid w:val="00FC2447"/>
    <w:rsid w:val="00FC2CBD"/>
    <w:rsid w:val="00FC5D74"/>
    <w:rsid w:val="00FD3D66"/>
    <w:rsid w:val="00FE1589"/>
    <w:rsid w:val="00FE1F47"/>
    <w:rsid w:val="00FE2816"/>
    <w:rsid w:val="00FE3440"/>
    <w:rsid w:val="00FE4C68"/>
    <w:rsid w:val="00FE50E6"/>
    <w:rsid w:val="00FE6A18"/>
    <w:rsid w:val="00FF4823"/>
    <w:rsid w:val="00FF7480"/>
    <w:rsid w:val="00FF7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locked="1" w:semiHidden="0" w:uiPriority="0" w:unhideWhenUsed="0"/>
    <w:lsdException w:name="header" w:uiPriority="0"/>
    <w:lsdException w:name="caption" w:locked="1" w:uiPriority="0" w:qFormat="1"/>
    <w:lsdException w:name="footnote reference" w:uiPriority="0"/>
    <w:lsdException w:name="annotation reference" w:locked="1" w:semiHidden="0" w:uiPriority="0" w:unhideWhenUsed="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Subtitle" w:locked="1" w:semiHidden="0" w:uiPriority="0" w:unhideWhenUsed="0" w:qFormat="1"/>
    <w:lsdException w:name="Body Tex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A5"/>
    <w:rPr>
      <w:sz w:val="24"/>
      <w:szCs w:val="20"/>
    </w:rPr>
  </w:style>
  <w:style w:type="paragraph" w:styleId="Heading1">
    <w:name w:val="heading 1"/>
    <w:aliases w:val="h1"/>
    <w:basedOn w:val="zBaseHeadingStyle"/>
    <w:link w:val="Heading1Char"/>
    <w:qFormat/>
    <w:rsid w:val="00C27AA5"/>
    <w:pPr>
      <w:keepNext/>
      <w:spacing w:after="240"/>
      <w:ind w:left="720" w:hanging="720"/>
      <w:outlineLvl w:val="0"/>
    </w:pPr>
    <w:rPr>
      <w:rFonts w:ascii="Times New Roman Bold" w:hAnsi="Times New Roman Bold"/>
      <w:b/>
    </w:rPr>
  </w:style>
  <w:style w:type="paragraph" w:styleId="Heading2">
    <w:name w:val="heading 2"/>
    <w:aliases w:val="h2"/>
    <w:basedOn w:val="zBaseHeadingStyle"/>
    <w:link w:val="Heading2Char"/>
    <w:qFormat/>
    <w:rsid w:val="00C27AA5"/>
    <w:pPr>
      <w:keepNext/>
      <w:numPr>
        <w:ilvl w:val="1"/>
        <w:numId w:val="15"/>
      </w:numPr>
      <w:tabs>
        <w:tab w:val="clear" w:pos="1080"/>
        <w:tab w:val="num" w:pos="1800"/>
      </w:tabs>
      <w:spacing w:after="240"/>
      <w:ind w:left="720" w:hanging="720"/>
      <w:outlineLvl w:val="1"/>
    </w:pPr>
    <w:rPr>
      <w:rFonts w:ascii="Times New Roman Bold" w:hAnsi="Times New Roman Bold"/>
      <w:b/>
    </w:rPr>
  </w:style>
  <w:style w:type="paragraph" w:styleId="Heading3">
    <w:name w:val="heading 3"/>
    <w:aliases w:val="h3"/>
    <w:basedOn w:val="zBaseHeadingStyle"/>
    <w:link w:val="Heading3Char"/>
    <w:qFormat/>
    <w:rsid w:val="00C27AA5"/>
    <w:pPr>
      <w:numPr>
        <w:ilvl w:val="2"/>
        <w:numId w:val="15"/>
      </w:numPr>
      <w:tabs>
        <w:tab w:val="clear" w:pos="1080"/>
      </w:tabs>
      <w:spacing w:after="240"/>
      <w:ind w:left="1440" w:hanging="720"/>
      <w:outlineLvl w:val="2"/>
    </w:pPr>
    <w:rPr>
      <w:rFonts w:ascii="Times New Roman Bold" w:hAnsi="Times New Roman Bold"/>
      <w:b/>
    </w:rPr>
  </w:style>
  <w:style w:type="paragraph" w:styleId="Heading4">
    <w:name w:val="heading 4"/>
    <w:aliases w:val="h4"/>
    <w:basedOn w:val="zBaseHeadingStyle"/>
    <w:link w:val="Heading4Char"/>
    <w:qFormat/>
    <w:rsid w:val="00C27AA5"/>
    <w:pPr>
      <w:numPr>
        <w:ilvl w:val="3"/>
        <w:numId w:val="15"/>
      </w:numPr>
      <w:tabs>
        <w:tab w:val="clear" w:pos="1080"/>
      </w:tabs>
      <w:spacing w:after="240"/>
      <w:ind w:left="2880" w:hanging="720"/>
      <w:outlineLvl w:val="3"/>
    </w:pPr>
    <w:rPr>
      <w:rFonts w:ascii="Times New Roman Bold" w:hAnsi="Times New Roman Bold"/>
      <w:b/>
    </w:rPr>
  </w:style>
  <w:style w:type="paragraph" w:styleId="Heading5">
    <w:name w:val="heading 5"/>
    <w:aliases w:val="h5"/>
    <w:basedOn w:val="zBaseHeadingStyle"/>
    <w:link w:val="Heading5Char"/>
    <w:qFormat/>
    <w:rsid w:val="00C27AA5"/>
    <w:pPr>
      <w:numPr>
        <w:ilvl w:val="4"/>
        <w:numId w:val="15"/>
      </w:numPr>
      <w:tabs>
        <w:tab w:val="clear" w:pos="1080"/>
      </w:tabs>
      <w:spacing w:after="240"/>
      <w:ind w:left="3600" w:hanging="720"/>
      <w:outlineLvl w:val="4"/>
    </w:pPr>
  </w:style>
  <w:style w:type="paragraph" w:styleId="Heading6">
    <w:name w:val="heading 6"/>
    <w:aliases w:val="h6"/>
    <w:basedOn w:val="zBaseHeadingStyle"/>
    <w:link w:val="Heading6Char"/>
    <w:qFormat/>
    <w:rsid w:val="00C27AA5"/>
    <w:pPr>
      <w:numPr>
        <w:ilvl w:val="5"/>
        <w:numId w:val="15"/>
      </w:numPr>
      <w:tabs>
        <w:tab w:val="clear" w:pos="1080"/>
      </w:tabs>
      <w:spacing w:after="240"/>
      <w:ind w:left="4320" w:hanging="720"/>
      <w:outlineLvl w:val="5"/>
    </w:pPr>
  </w:style>
  <w:style w:type="paragraph" w:styleId="Heading7">
    <w:name w:val="heading 7"/>
    <w:aliases w:val="h7"/>
    <w:basedOn w:val="zBaseHeadingStyle"/>
    <w:link w:val="Heading7Char"/>
    <w:qFormat/>
    <w:rsid w:val="00C27AA5"/>
    <w:pPr>
      <w:numPr>
        <w:ilvl w:val="6"/>
        <w:numId w:val="15"/>
      </w:numPr>
      <w:tabs>
        <w:tab w:val="clear" w:pos="1080"/>
      </w:tabs>
      <w:spacing w:after="240"/>
      <w:ind w:left="720" w:hanging="720"/>
      <w:outlineLvl w:val="6"/>
    </w:pPr>
  </w:style>
  <w:style w:type="paragraph" w:styleId="Heading8">
    <w:name w:val="heading 8"/>
    <w:aliases w:val="h8"/>
    <w:basedOn w:val="zBaseHeadingStyle"/>
    <w:link w:val="Heading8Char"/>
    <w:qFormat/>
    <w:rsid w:val="00C27AA5"/>
    <w:pPr>
      <w:numPr>
        <w:ilvl w:val="7"/>
        <w:numId w:val="15"/>
      </w:numPr>
      <w:tabs>
        <w:tab w:val="clear" w:pos="1080"/>
      </w:tabs>
      <w:spacing w:after="240"/>
      <w:ind w:left="1440" w:hanging="720"/>
      <w:outlineLvl w:val="7"/>
    </w:pPr>
  </w:style>
  <w:style w:type="paragraph" w:styleId="Heading9">
    <w:name w:val="heading 9"/>
    <w:aliases w:val="h9"/>
    <w:basedOn w:val="zBaseHeadingStyle"/>
    <w:link w:val="Heading9Char"/>
    <w:qFormat/>
    <w:rsid w:val="00C27AA5"/>
    <w:pPr>
      <w:numPr>
        <w:ilvl w:val="8"/>
        <w:numId w:val="15"/>
      </w:numPr>
      <w:tabs>
        <w:tab w:val="clear" w:pos="1080"/>
      </w:tabs>
      <w:spacing w:after="240"/>
      <w:ind w:left="216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F77B57"/>
    <w:rPr>
      <w:rFonts w:ascii="Times New Roman Bold" w:hAnsi="Times New Roman Bold"/>
      <w:b/>
      <w:sz w:val="24"/>
      <w:szCs w:val="20"/>
    </w:rPr>
  </w:style>
  <w:style w:type="character" w:customStyle="1" w:styleId="Heading2Char">
    <w:name w:val="Heading 2 Char"/>
    <w:aliases w:val="h2 Char"/>
    <w:basedOn w:val="DefaultParagraphFont"/>
    <w:link w:val="Heading2"/>
    <w:uiPriority w:val="99"/>
    <w:locked/>
    <w:rsid w:val="00F77B57"/>
    <w:rPr>
      <w:rFonts w:ascii="Times New Roman Bold" w:hAnsi="Times New Roman Bold" w:cs="Times New Roman"/>
      <w:b/>
      <w:sz w:val="24"/>
      <w:lang w:val="en-US" w:eastAsia="en-US" w:bidi="ar-SA"/>
    </w:rPr>
  </w:style>
  <w:style w:type="character" w:customStyle="1" w:styleId="Heading3Char">
    <w:name w:val="Heading 3 Char"/>
    <w:aliases w:val="h3 Char"/>
    <w:basedOn w:val="DefaultParagraphFont"/>
    <w:link w:val="Heading3"/>
    <w:uiPriority w:val="99"/>
    <w:locked/>
    <w:rsid w:val="00F77B57"/>
    <w:rPr>
      <w:rFonts w:ascii="Times New Roman Bold" w:hAnsi="Times New Roman Bold" w:cs="Times New Roman"/>
      <w:b/>
      <w:sz w:val="24"/>
      <w:lang w:val="en-US" w:eastAsia="en-US" w:bidi="ar-SA"/>
    </w:rPr>
  </w:style>
  <w:style w:type="character" w:customStyle="1" w:styleId="Heading4Char">
    <w:name w:val="Heading 4 Char"/>
    <w:aliases w:val="h4 Char"/>
    <w:basedOn w:val="DefaultParagraphFont"/>
    <w:link w:val="Heading4"/>
    <w:uiPriority w:val="99"/>
    <w:locked/>
    <w:rsid w:val="00F77B57"/>
    <w:rPr>
      <w:rFonts w:ascii="Times New Roman Bold" w:hAnsi="Times New Roman Bold" w:cs="Times New Roman"/>
      <w:b/>
      <w:sz w:val="24"/>
      <w:lang w:val="en-US" w:eastAsia="en-US" w:bidi="ar-SA"/>
    </w:rPr>
  </w:style>
  <w:style w:type="character" w:customStyle="1" w:styleId="Heading5Char">
    <w:name w:val="Heading 5 Char"/>
    <w:aliases w:val="h5 Char"/>
    <w:basedOn w:val="DefaultParagraphFont"/>
    <w:link w:val="Heading5"/>
    <w:uiPriority w:val="9"/>
    <w:semiHidden/>
    <w:rsid w:val="00B50A0D"/>
    <w:rPr>
      <w:rFonts w:asciiTheme="minorHAnsi" w:eastAsiaTheme="minorEastAsia" w:hAnsiTheme="minorHAnsi" w:cstheme="minorBidi"/>
      <w:b/>
      <w:bCs/>
      <w:i/>
      <w:iCs/>
      <w:sz w:val="26"/>
      <w:szCs w:val="26"/>
    </w:rPr>
  </w:style>
  <w:style w:type="character" w:customStyle="1" w:styleId="Heading6Char">
    <w:name w:val="Heading 6 Char"/>
    <w:aliases w:val="h6 Char"/>
    <w:basedOn w:val="DefaultParagraphFont"/>
    <w:link w:val="Heading6"/>
    <w:uiPriority w:val="9"/>
    <w:semiHidden/>
    <w:rsid w:val="00B50A0D"/>
    <w:rPr>
      <w:rFonts w:asciiTheme="minorHAnsi" w:eastAsiaTheme="minorEastAsia" w:hAnsiTheme="minorHAnsi" w:cstheme="minorBidi"/>
      <w:b/>
      <w:bCs/>
    </w:rPr>
  </w:style>
  <w:style w:type="character" w:customStyle="1" w:styleId="Heading7Char">
    <w:name w:val="Heading 7 Char"/>
    <w:aliases w:val="h7 Char"/>
    <w:basedOn w:val="DefaultParagraphFont"/>
    <w:link w:val="Heading7"/>
    <w:uiPriority w:val="9"/>
    <w:semiHidden/>
    <w:rsid w:val="00B50A0D"/>
    <w:rPr>
      <w:rFonts w:asciiTheme="minorHAnsi" w:eastAsiaTheme="minorEastAsia" w:hAnsiTheme="minorHAnsi" w:cstheme="minorBidi"/>
      <w:sz w:val="24"/>
      <w:szCs w:val="24"/>
    </w:rPr>
  </w:style>
  <w:style w:type="character" w:customStyle="1" w:styleId="Heading8Char">
    <w:name w:val="Heading 8 Char"/>
    <w:aliases w:val="h8 Char"/>
    <w:basedOn w:val="DefaultParagraphFont"/>
    <w:link w:val="Heading8"/>
    <w:uiPriority w:val="9"/>
    <w:semiHidden/>
    <w:rsid w:val="00B50A0D"/>
    <w:rPr>
      <w:rFonts w:asciiTheme="minorHAnsi" w:eastAsiaTheme="minorEastAsia" w:hAnsiTheme="minorHAnsi" w:cstheme="minorBidi"/>
      <w:i/>
      <w:iCs/>
      <w:sz w:val="24"/>
      <w:szCs w:val="24"/>
    </w:rPr>
  </w:style>
  <w:style w:type="character" w:customStyle="1" w:styleId="Heading9Char">
    <w:name w:val="Heading 9 Char"/>
    <w:aliases w:val="h9 Char"/>
    <w:basedOn w:val="DefaultParagraphFont"/>
    <w:link w:val="Heading9"/>
    <w:uiPriority w:val="9"/>
    <w:semiHidden/>
    <w:rsid w:val="00B50A0D"/>
    <w:rPr>
      <w:rFonts w:asciiTheme="majorHAnsi" w:eastAsiaTheme="majorEastAsia" w:hAnsiTheme="majorHAnsi" w:cstheme="majorBidi"/>
    </w:rPr>
  </w:style>
  <w:style w:type="paragraph" w:customStyle="1" w:styleId="zBaseHeadingStyle">
    <w:name w:val="zBase Heading Style"/>
    <w:basedOn w:val="Normal"/>
    <w:rsid w:val="00C27AA5"/>
  </w:style>
  <w:style w:type="paragraph" w:styleId="Header">
    <w:name w:val="header"/>
    <w:basedOn w:val="Normal"/>
    <w:link w:val="HeaderChar"/>
    <w:rsid w:val="00C27AA5"/>
    <w:pPr>
      <w:tabs>
        <w:tab w:val="center" w:pos="4680"/>
        <w:tab w:val="right" w:pos="9360"/>
      </w:tabs>
    </w:pPr>
  </w:style>
  <w:style w:type="character" w:customStyle="1" w:styleId="HeaderChar">
    <w:name w:val="Header Char"/>
    <w:basedOn w:val="DefaultParagraphFont"/>
    <w:link w:val="Header"/>
    <w:uiPriority w:val="99"/>
    <w:semiHidden/>
    <w:rsid w:val="00B50A0D"/>
    <w:rPr>
      <w:sz w:val="24"/>
      <w:szCs w:val="20"/>
    </w:rPr>
  </w:style>
  <w:style w:type="paragraph" w:styleId="Footer">
    <w:name w:val="footer"/>
    <w:basedOn w:val="Normal"/>
    <w:link w:val="FooterChar"/>
    <w:uiPriority w:val="99"/>
    <w:rsid w:val="00C27AA5"/>
    <w:pPr>
      <w:tabs>
        <w:tab w:val="center" w:pos="4680"/>
        <w:tab w:val="right" w:pos="9360"/>
      </w:tabs>
    </w:pPr>
  </w:style>
  <w:style w:type="character" w:customStyle="1" w:styleId="FooterChar">
    <w:name w:val="Footer Char"/>
    <w:basedOn w:val="DefaultParagraphFont"/>
    <w:link w:val="Footer"/>
    <w:uiPriority w:val="99"/>
    <w:rsid w:val="00B50A0D"/>
    <w:rPr>
      <w:sz w:val="24"/>
      <w:szCs w:val="20"/>
    </w:rPr>
  </w:style>
  <w:style w:type="character" w:customStyle="1" w:styleId="ParaNum">
    <w:name w:val="ParaNum"/>
    <w:basedOn w:val="DefaultParagraphFont"/>
    <w:rsid w:val="00C27AA5"/>
    <w:rPr>
      <w:rFonts w:cs="Times New Roman"/>
    </w:rPr>
  </w:style>
  <w:style w:type="paragraph" w:customStyle="1" w:styleId="BlockText2">
    <w:name w:val="Block Text 2"/>
    <w:aliases w:val="bl2"/>
    <w:basedOn w:val="zBaseBodyStyle"/>
    <w:rsid w:val="00C27AA5"/>
    <w:pPr>
      <w:spacing w:after="240"/>
      <w:ind w:left="1440" w:right="1440"/>
    </w:pPr>
  </w:style>
  <w:style w:type="paragraph" w:customStyle="1" w:styleId="zBaseBodyStyle">
    <w:name w:val="zBase Body Style"/>
    <w:basedOn w:val="Normal"/>
    <w:rsid w:val="00C27AA5"/>
  </w:style>
  <w:style w:type="paragraph" w:styleId="BlockText">
    <w:name w:val="Block Text"/>
    <w:aliases w:val="bl"/>
    <w:basedOn w:val="zBaseBodyStyle"/>
    <w:rsid w:val="00C27AA5"/>
    <w:pPr>
      <w:spacing w:after="240"/>
      <w:ind w:left="720" w:right="720"/>
    </w:pPr>
  </w:style>
  <w:style w:type="paragraph" w:styleId="BodyText2">
    <w:name w:val="Body Text 2"/>
    <w:aliases w:val="bt2"/>
    <w:basedOn w:val="zBaseBodyStyle"/>
    <w:link w:val="BodyText2Char"/>
    <w:uiPriority w:val="99"/>
    <w:rsid w:val="00C27AA5"/>
    <w:pPr>
      <w:spacing w:after="240"/>
      <w:ind w:firstLine="720"/>
    </w:pPr>
  </w:style>
  <w:style w:type="character" w:customStyle="1" w:styleId="BodyText2Char">
    <w:name w:val="Body Text 2 Char"/>
    <w:aliases w:val="bt2 Char"/>
    <w:basedOn w:val="DefaultParagraphFont"/>
    <w:link w:val="BodyText2"/>
    <w:uiPriority w:val="99"/>
    <w:locked/>
    <w:rsid w:val="00F77B57"/>
    <w:rPr>
      <w:rFonts w:cs="Times New Roman"/>
      <w:sz w:val="24"/>
    </w:rPr>
  </w:style>
  <w:style w:type="paragraph" w:styleId="BodyText3">
    <w:name w:val="Body Text 3"/>
    <w:aliases w:val="bt3"/>
    <w:basedOn w:val="zBaseBodyStyle"/>
    <w:link w:val="BodyText3Char"/>
    <w:rsid w:val="00C27AA5"/>
    <w:pPr>
      <w:spacing w:after="240"/>
      <w:ind w:firstLine="1440"/>
    </w:pPr>
  </w:style>
  <w:style w:type="character" w:customStyle="1" w:styleId="BodyText3Char">
    <w:name w:val="Body Text 3 Char"/>
    <w:aliases w:val="bt3 Char"/>
    <w:basedOn w:val="DefaultParagraphFont"/>
    <w:link w:val="BodyText3"/>
    <w:uiPriority w:val="99"/>
    <w:semiHidden/>
    <w:rsid w:val="00B50A0D"/>
    <w:rPr>
      <w:sz w:val="16"/>
      <w:szCs w:val="16"/>
    </w:rPr>
  </w:style>
  <w:style w:type="paragraph" w:customStyle="1" w:styleId="BodyTextDS2">
    <w:name w:val="Body Text DS 2"/>
    <w:aliases w:val="bd2"/>
    <w:basedOn w:val="zBaseBodyStyle"/>
    <w:rsid w:val="00C27AA5"/>
    <w:pPr>
      <w:spacing w:line="480" w:lineRule="auto"/>
      <w:ind w:firstLine="720"/>
    </w:pPr>
  </w:style>
  <w:style w:type="paragraph" w:customStyle="1" w:styleId="BodyTextDS3">
    <w:name w:val="Body Text DS 3"/>
    <w:aliases w:val="bd3"/>
    <w:basedOn w:val="zBaseBodyStyle"/>
    <w:rsid w:val="00C27AA5"/>
    <w:pPr>
      <w:spacing w:line="480" w:lineRule="auto"/>
      <w:ind w:firstLine="1440"/>
    </w:pPr>
  </w:style>
  <w:style w:type="paragraph" w:customStyle="1" w:styleId="BodyTextDS">
    <w:name w:val="Body Text DS"/>
    <w:aliases w:val="bd"/>
    <w:basedOn w:val="zBaseBodyStyle"/>
    <w:rsid w:val="00C27AA5"/>
    <w:pPr>
      <w:spacing w:line="480" w:lineRule="auto"/>
    </w:pPr>
  </w:style>
  <w:style w:type="paragraph" w:styleId="BodyTextIndent">
    <w:name w:val="Body Text Indent"/>
    <w:basedOn w:val="zBaseBodyStyle"/>
    <w:link w:val="BodyTextIndentChar"/>
    <w:rsid w:val="00C27AA5"/>
    <w:pPr>
      <w:spacing w:after="240"/>
      <w:ind w:left="1440"/>
    </w:pPr>
  </w:style>
  <w:style w:type="character" w:customStyle="1" w:styleId="BodyTextIndentChar">
    <w:name w:val="Body Text Indent Char"/>
    <w:basedOn w:val="DefaultParagraphFont"/>
    <w:link w:val="BodyTextIndent"/>
    <w:uiPriority w:val="99"/>
    <w:semiHidden/>
    <w:rsid w:val="00B50A0D"/>
    <w:rPr>
      <w:sz w:val="24"/>
      <w:szCs w:val="20"/>
    </w:rPr>
  </w:style>
  <w:style w:type="paragraph" w:styleId="BodyText">
    <w:name w:val="Body Text"/>
    <w:aliases w:val="bt"/>
    <w:basedOn w:val="zBaseBodyStyle"/>
    <w:link w:val="BodyTextChar"/>
    <w:rsid w:val="00C27AA5"/>
    <w:pPr>
      <w:spacing w:after="240"/>
    </w:pPr>
  </w:style>
  <w:style w:type="character" w:customStyle="1" w:styleId="BodyTextChar">
    <w:name w:val="Body Text Char"/>
    <w:aliases w:val="bt Char"/>
    <w:basedOn w:val="DefaultParagraphFont"/>
    <w:link w:val="BodyText"/>
    <w:locked/>
    <w:rsid w:val="00F77B57"/>
    <w:rPr>
      <w:rFonts w:cs="Times New Roman"/>
      <w:sz w:val="24"/>
    </w:rPr>
  </w:style>
  <w:style w:type="paragraph" w:styleId="Closing">
    <w:name w:val="Closing"/>
    <w:aliases w:val="cl"/>
    <w:basedOn w:val="Normal"/>
    <w:link w:val="ClosingChar"/>
    <w:rsid w:val="00C27AA5"/>
    <w:pPr>
      <w:ind w:left="5040"/>
    </w:pPr>
  </w:style>
  <w:style w:type="character" w:customStyle="1" w:styleId="ClosingChar">
    <w:name w:val="Closing Char"/>
    <w:aliases w:val="cl Char"/>
    <w:basedOn w:val="DefaultParagraphFont"/>
    <w:link w:val="Closing"/>
    <w:uiPriority w:val="99"/>
    <w:semiHidden/>
    <w:rsid w:val="00B50A0D"/>
    <w:rPr>
      <w:sz w:val="24"/>
      <w:szCs w:val="20"/>
    </w:rPr>
  </w:style>
  <w:style w:type="character" w:styleId="CommentReference">
    <w:name w:val="annotation reference"/>
    <w:basedOn w:val="DefaultParagraphFont"/>
    <w:semiHidden/>
    <w:rsid w:val="00C27AA5"/>
    <w:rPr>
      <w:rFonts w:cs="Times New Roman"/>
      <w:color w:val="FF0000"/>
      <w:sz w:val="16"/>
    </w:rPr>
  </w:style>
  <w:style w:type="paragraph" w:styleId="CommentText">
    <w:name w:val="annotation text"/>
    <w:basedOn w:val="Normal"/>
    <w:link w:val="CommentTextChar"/>
    <w:semiHidden/>
    <w:rsid w:val="00C27AA5"/>
  </w:style>
  <w:style w:type="character" w:customStyle="1" w:styleId="CommentTextChar">
    <w:name w:val="Comment Text Char"/>
    <w:basedOn w:val="DefaultParagraphFont"/>
    <w:link w:val="CommentText"/>
    <w:uiPriority w:val="99"/>
    <w:semiHidden/>
    <w:locked/>
    <w:rsid w:val="00F77B57"/>
    <w:rPr>
      <w:rFonts w:cs="Times New Roman"/>
      <w:sz w:val="24"/>
    </w:rPr>
  </w:style>
  <w:style w:type="paragraph" w:customStyle="1" w:styleId="DocID">
    <w:name w:val="DocID"/>
    <w:basedOn w:val="Normal"/>
    <w:rsid w:val="00C27AA5"/>
    <w:pPr>
      <w:spacing w:before="120"/>
    </w:pPr>
    <w:rPr>
      <w:sz w:val="12"/>
    </w:rPr>
  </w:style>
  <w:style w:type="paragraph" w:customStyle="1" w:styleId="DocX97Comment">
    <w:name w:val="DocX97Comment"/>
    <w:basedOn w:val="Normal"/>
    <w:rsid w:val="00C27AA5"/>
    <w:rPr>
      <w:b/>
      <w:i/>
      <w:color w:val="FF0000"/>
      <w:sz w:val="16"/>
      <w:lang w:val="en-CA"/>
    </w:rPr>
  </w:style>
  <w:style w:type="character" w:styleId="FollowedHyperlink">
    <w:name w:val="FollowedHyperlink"/>
    <w:basedOn w:val="DefaultParagraphFont"/>
    <w:rsid w:val="00C27AA5"/>
    <w:rPr>
      <w:rFonts w:cs="Times New Roman"/>
      <w:color w:val="800080"/>
      <w:u w:val="none"/>
    </w:rPr>
  </w:style>
  <w:style w:type="paragraph" w:styleId="FootnoteText">
    <w:name w:val="footnote text"/>
    <w:basedOn w:val="zBaseBodyStyle"/>
    <w:link w:val="FootnoteTextChar"/>
    <w:semiHidden/>
    <w:rsid w:val="00C27AA5"/>
    <w:pPr>
      <w:spacing w:after="240"/>
      <w:ind w:left="360" w:hanging="360"/>
    </w:pPr>
    <w:rPr>
      <w:sz w:val="20"/>
    </w:rPr>
  </w:style>
  <w:style w:type="character" w:customStyle="1" w:styleId="FootnoteTextChar">
    <w:name w:val="Footnote Text Char"/>
    <w:basedOn w:val="DefaultParagraphFont"/>
    <w:link w:val="FootnoteText"/>
    <w:semiHidden/>
    <w:rsid w:val="00B50A0D"/>
    <w:rPr>
      <w:sz w:val="20"/>
      <w:szCs w:val="20"/>
    </w:rPr>
  </w:style>
  <w:style w:type="paragraph" w:customStyle="1" w:styleId="HangingIndent2">
    <w:name w:val="Hanging Indent 2"/>
    <w:aliases w:val="hi2"/>
    <w:basedOn w:val="zBaseBodyStyle"/>
    <w:rsid w:val="00C27AA5"/>
    <w:pPr>
      <w:spacing w:after="240"/>
      <w:ind w:left="2160" w:hanging="720"/>
    </w:pPr>
  </w:style>
  <w:style w:type="paragraph" w:customStyle="1" w:styleId="HangingIndent">
    <w:name w:val="Hanging Indent"/>
    <w:aliases w:val="hi"/>
    <w:basedOn w:val="zBaseBodyStyle"/>
    <w:rsid w:val="00C27AA5"/>
    <w:pPr>
      <w:spacing w:after="240"/>
      <w:ind w:left="1440" w:hanging="720"/>
    </w:pPr>
  </w:style>
  <w:style w:type="character" w:styleId="Hyperlink">
    <w:name w:val="Hyperlink"/>
    <w:basedOn w:val="DefaultParagraphFont"/>
    <w:rsid w:val="00C27AA5"/>
    <w:rPr>
      <w:rFonts w:cs="Times New Roman"/>
      <w:color w:val="0000FF"/>
      <w:u w:val="none"/>
    </w:rPr>
  </w:style>
  <w:style w:type="paragraph" w:styleId="Index1">
    <w:name w:val="index 1"/>
    <w:basedOn w:val="Normal"/>
    <w:autoRedefine/>
    <w:semiHidden/>
    <w:rsid w:val="00C27AA5"/>
  </w:style>
  <w:style w:type="paragraph" w:styleId="ListBullet2">
    <w:name w:val="List Bullet 2"/>
    <w:aliases w:val="lb2"/>
    <w:basedOn w:val="zBaseBodyStyle"/>
    <w:rsid w:val="00C27AA5"/>
    <w:pPr>
      <w:spacing w:after="240"/>
      <w:ind w:left="720" w:hanging="360"/>
    </w:pPr>
  </w:style>
  <w:style w:type="paragraph" w:styleId="ListBullet3">
    <w:name w:val="List Bullet 3"/>
    <w:aliases w:val="lb3"/>
    <w:basedOn w:val="zBaseBodyStyle"/>
    <w:rsid w:val="00C27AA5"/>
    <w:pPr>
      <w:spacing w:after="240"/>
      <w:ind w:left="1080" w:hanging="360"/>
    </w:pPr>
  </w:style>
  <w:style w:type="paragraph" w:styleId="ListBullet4">
    <w:name w:val="List Bullet 4"/>
    <w:aliases w:val="lb4"/>
    <w:basedOn w:val="zBaseBodyStyle"/>
    <w:rsid w:val="00C27AA5"/>
    <w:pPr>
      <w:spacing w:after="240"/>
      <w:ind w:left="1440" w:hanging="360"/>
    </w:pPr>
  </w:style>
  <w:style w:type="paragraph" w:styleId="ListBullet5">
    <w:name w:val="List Bullet 5"/>
    <w:aliases w:val="lb5"/>
    <w:basedOn w:val="zBaseBodyStyle"/>
    <w:rsid w:val="00C27AA5"/>
    <w:pPr>
      <w:spacing w:after="240"/>
      <w:ind w:left="1800" w:hanging="360"/>
    </w:pPr>
  </w:style>
  <w:style w:type="paragraph" w:styleId="ListBullet">
    <w:name w:val="List Bullet"/>
    <w:aliases w:val="lb1"/>
    <w:basedOn w:val="zBaseBodyStyle"/>
    <w:rsid w:val="00C27AA5"/>
    <w:pPr>
      <w:tabs>
        <w:tab w:val="num" w:pos="1080"/>
      </w:tabs>
      <w:spacing w:after="240"/>
      <w:ind w:left="1080" w:hanging="360"/>
    </w:pPr>
  </w:style>
  <w:style w:type="paragraph" w:styleId="ListNumber2">
    <w:name w:val="List Number 2"/>
    <w:aliases w:val="ln2"/>
    <w:basedOn w:val="zBaseBodyStyle"/>
    <w:rsid w:val="00C27AA5"/>
    <w:pPr>
      <w:spacing w:after="240"/>
      <w:ind w:left="1440" w:hanging="720"/>
    </w:pPr>
  </w:style>
  <w:style w:type="paragraph" w:styleId="ListNumber">
    <w:name w:val="List Number"/>
    <w:aliases w:val="ln1"/>
    <w:basedOn w:val="zBaseBodyStyle"/>
    <w:rsid w:val="00C27AA5"/>
    <w:pPr>
      <w:spacing w:after="240"/>
      <w:ind w:left="720" w:hanging="720"/>
    </w:pPr>
  </w:style>
  <w:style w:type="character" w:styleId="PageNumber">
    <w:name w:val="page number"/>
    <w:basedOn w:val="DefaultParagraphFont"/>
    <w:rsid w:val="00C27AA5"/>
    <w:rPr>
      <w:rFonts w:cs="Times New Roman"/>
    </w:rPr>
  </w:style>
  <w:style w:type="paragraph" w:customStyle="1" w:styleId="SubtitleLeft">
    <w:name w:val="Subtitle Left"/>
    <w:aliases w:val="sl"/>
    <w:basedOn w:val="zBaseTitleStyle"/>
    <w:next w:val="BodyText2"/>
    <w:rsid w:val="00C27AA5"/>
    <w:pPr>
      <w:keepNext/>
      <w:spacing w:after="240"/>
    </w:pPr>
    <w:rPr>
      <w:rFonts w:ascii="Times New Roman Bold" w:hAnsi="Times New Roman Bold"/>
      <w:b/>
    </w:rPr>
  </w:style>
  <w:style w:type="paragraph" w:customStyle="1" w:styleId="zBaseTitleStyle">
    <w:name w:val="zBase Title Style"/>
    <w:basedOn w:val="Normal"/>
    <w:rsid w:val="00C27AA5"/>
  </w:style>
  <w:style w:type="paragraph" w:styleId="Subtitle">
    <w:name w:val="Subtitle"/>
    <w:aliases w:val="st"/>
    <w:basedOn w:val="zBaseTitleStyle"/>
    <w:next w:val="BodyText2"/>
    <w:link w:val="SubtitleChar"/>
    <w:qFormat/>
    <w:rsid w:val="00C27AA5"/>
    <w:pPr>
      <w:keepNext/>
      <w:spacing w:after="240"/>
      <w:jc w:val="center"/>
    </w:pPr>
    <w:rPr>
      <w:i/>
      <w:u w:val="single"/>
    </w:rPr>
  </w:style>
  <w:style w:type="character" w:customStyle="1" w:styleId="SubtitleChar">
    <w:name w:val="Subtitle Char"/>
    <w:aliases w:val="st Char"/>
    <w:basedOn w:val="DefaultParagraphFont"/>
    <w:link w:val="Subtitle"/>
    <w:uiPriority w:val="11"/>
    <w:rsid w:val="00B50A0D"/>
    <w:rPr>
      <w:rFonts w:asciiTheme="majorHAnsi" w:eastAsiaTheme="majorEastAsia" w:hAnsiTheme="majorHAnsi" w:cstheme="majorBidi"/>
      <w:sz w:val="24"/>
      <w:szCs w:val="24"/>
    </w:rPr>
  </w:style>
  <w:style w:type="paragraph" w:customStyle="1" w:styleId="TableHeadings">
    <w:name w:val="Table Headings"/>
    <w:aliases w:val="tbh"/>
    <w:basedOn w:val="Normal"/>
    <w:rsid w:val="00C27AA5"/>
    <w:pPr>
      <w:pBdr>
        <w:bottom w:val="single" w:sz="4" w:space="1" w:color="auto"/>
      </w:pBdr>
      <w:jc w:val="center"/>
    </w:pPr>
    <w:rPr>
      <w:b/>
    </w:rPr>
  </w:style>
  <w:style w:type="paragraph" w:customStyle="1" w:styleId="TableText">
    <w:name w:val="Table Text"/>
    <w:aliases w:val="tbt"/>
    <w:basedOn w:val="Normal"/>
    <w:rsid w:val="00C27AA5"/>
    <w:pPr>
      <w:spacing w:before="60" w:after="60"/>
    </w:pPr>
  </w:style>
  <w:style w:type="paragraph" w:customStyle="1" w:styleId="TitleLeft">
    <w:name w:val="Title Left"/>
    <w:aliases w:val="tl"/>
    <w:basedOn w:val="zBaseTitleStyle"/>
    <w:next w:val="SubtitleLeft"/>
    <w:rsid w:val="00C27AA5"/>
    <w:pPr>
      <w:keepNext/>
      <w:spacing w:after="240"/>
    </w:pPr>
    <w:rPr>
      <w:b/>
      <w:u w:val="single"/>
    </w:rPr>
  </w:style>
  <w:style w:type="paragraph" w:styleId="Title">
    <w:name w:val="Title"/>
    <w:aliases w:val="t"/>
    <w:basedOn w:val="zBaseTitleStyle"/>
    <w:next w:val="Subtitle"/>
    <w:link w:val="TitleChar"/>
    <w:qFormat/>
    <w:rsid w:val="00C27AA5"/>
    <w:pPr>
      <w:keepNext/>
      <w:spacing w:after="240"/>
      <w:jc w:val="center"/>
    </w:pPr>
    <w:rPr>
      <w:b/>
      <w:u w:val="single"/>
    </w:rPr>
  </w:style>
  <w:style w:type="character" w:customStyle="1" w:styleId="TitleChar">
    <w:name w:val="Title Char"/>
    <w:aliases w:val="t Char"/>
    <w:basedOn w:val="DefaultParagraphFont"/>
    <w:link w:val="Title"/>
    <w:uiPriority w:val="10"/>
    <w:rsid w:val="00B50A0D"/>
    <w:rPr>
      <w:rFonts w:asciiTheme="majorHAnsi" w:eastAsiaTheme="majorEastAsia" w:hAnsiTheme="majorHAnsi" w:cstheme="majorBidi"/>
      <w:b/>
      <w:bCs/>
      <w:kern w:val="28"/>
      <w:sz w:val="32"/>
      <w:szCs w:val="32"/>
    </w:rPr>
  </w:style>
  <w:style w:type="paragraph" w:styleId="TOC1">
    <w:name w:val="toc 1"/>
    <w:basedOn w:val="zBaseTOCStyle"/>
    <w:autoRedefine/>
    <w:semiHidden/>
    <w:rsid w:val="00C27AA5"/>
    <w:pPr>
      <w:tabs>
        <w:tab w:val="decimal" w:leader="dot" w:pos="9360"/>
      </w:tabs>
      <w:spacing w:before="240"/>
      <w:ind w:left="720" w:right="720" w:hanging="720"/>
    </w:pPr>
    <w:rPr>
      <w:b/>
    </w:rPr>
  </w:style>
  <w:style w:type="paragraph" w:customStyle="1" w:styleId="zBaseTOCStyle">
    <w:name w:val="zBase TOC Style"/>
    <w:basedOn w:val="Normal"/>
    <w:rsid w:val="00C27AA5"/>
  </w:style>
  <w:style w:type="paragraph" w:customStyle="1" w:styleId="BudSumSectionTitle">
    <w:name w:val="BudSum Section Title"/>
    <w:basedOn w:val="Normal"/>
    <w:rsid w:val="00C27AA5"/>
    <w:pPr>
      <w:keepNext/>
      <w:tabs>
        <w:tab w:val="num" w:pos="720"/>
        <w:tab w:val="left" w:pos="1440"/>
      </w:tabs>
      <w:spacing w:before="120" w:after="240"/>
      <w:ind w:left="720" w:hanging="720"/>
    </w:pPr>
    <w:rPr>
      <w:b/>
      <w:caps/>
      <w:color w:val="000000"/>
    </w:rPr>
  </w:style>
  <w:style w:type="paragraph" w:styleId="BalloonText">
    <w:name w:val="Balloon Text"/>
    <w:basedOn w:val="Normal"/>
    <w:link w:val="BalloonTextChar"/>
    <w:semiHidden/>
    <w:rsid w:val="00C27AA5"/>
    <w:rPr>
      <w:rFonts w:ascii="Tahoma" w:hAnsi="Tahoma" w:cs="Tahoma"/>
      <w:sz w:val="16"/>
      <w:szCs w:val="16"/>
    </w:rPr>
  </w:style>
  <w:style w:type="character" w:customStyle="1" w:styleId="BalloonTextChar">
    <w:name w:val="Balloon Text Char"/>
    <w:basedOn w:val="DefaultParagraphFont"/>
    <w:link w:val="BalloonText"/>
    <w:uiPriority w:val="99"/>
    <w:semiHidden/>
    <w:rsid w:val="00B50A0D"/>
    <w:rPr>
      <w:sz w:val="0"/>
      <w:szCs w:val="0"/>
    </w:rPr>
  </w:style>
  <w:style w:type="paragraph" w:styleId="NormalWeb">
    <w:name w:val="Normal (Web)"/>
    <w:basedOn w:val="Normal"/>
    <w:uiPriority w:val="99"/>
    <w:rsid w:val="00C27AA5"/>
    <w:pPr>
      <w:spacing w:before="100" w:beforeAutospacing="1" w:after="100" w:afterAutospacing="1"/>
    </w:pPr>
    <w:rPr>
      <w:szCs w:val="24"/>
    </w:rPr>
  </w:style>
  <w:style w:type="paragraph" w:customStyle="1" w:styleId="xl19">
    <w:name w:val="xl19"/>
    <w:basedOn w:val="Normal"/>
    <w:rsid w:val="00C27AA5"/>
    <w:pPr>
      <w:spacing w:before="100" w:after="100"/>
    </w:pPr>
  </w:style>
  <w:style w:type="paragraph" w:customStyle="1" w:styleId="xl24">
    <w:name w:val="xl24"/>
    <w:basedOn w:val="Normal"/>
    <w:rsid w:val="00C27AA5"/>
    <w:pPr>
      <w:spacing w:before="100" w:after="100"/>
    </w:pPr>
    <w:rPr>
      <w:u w:val="single"/>
    </w:rPr>
  </w:style>
  <w:style w:type="table" w:styleId="TableGrid">
    <w:name w:val="Table Grid"/>
    <w:basedOn w:val="TableNormal"/>
    <w:rsid w:val="00C27A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9BodyTex">
    <w:name w:val="WP9_Body Tex"/>
    <w:basedOn w:val="Normal"/>
    <w:rsid w:val="00C27AA5"/>
    <w:pPr>
      <w:widowControl w:val="0"/>
      <w:autoSpaceDE w:val="0"/>
      <w:autoSpaceDN w:val="0"/>
      <w:adjustRightInd w:val="0"/>
      <w:spacing w:after="240"/>
    </w:pPr>
    <w:rPr>
      <w:szCs w:val="24"/>
    </w:rPr>
  </w:style>
  <w:style w:type="paragraph" w:customStyle="1" w:styleId="xl27">
    <w:name w:val="xl27"/>
    <w:basedOn w:val="Normal"/>
    <w:rsid w:val="00C27AA5"/>
    <w:pPr>
      <w:spacing w:before="100" w:after="100"/>
    </w:pPr>
    <w:rPr>
      <w:rFonts w:ascii="Arial" w:hAnsi="Arial"/>
      <w:b/>
    </w:rPr>
  </w:style>
  <w:style w:type="paragraph" w:styleId="PlainText">
    <w:name w:val="Plain Text"/>
    <w:basedOn w:val="Normal"/>
    <w:link w:val="PlainTextChar"/>
    <w:rsid w:val="00C27AA5"/>
    <w:rPr>
      <w:rFonts w:ascii="Courier New" w:hAnsi="Courier New" w:cs="Courier New"/>
      <w:sz w:val="20"/>
    </w:rPr>
  </w:style>
  <w:style w:type="character" w:customStyle="1" w:styleId="PlainTextChar">
    <w:name w:val="Plain Text Char"/>
    <w:basedOn w:val="DefaultParagraphFont"/>
    <w:link w:val="PlainText"/>
    <w:uiPriority w:val="99"/>
    <w:semiHidden/>
    <w:rsid w:val="00B50A0D"/>
    <w:rPr>
      <w:rFonts w:ascii="Courier New" w:hAnsi="Courier New" w:cs="Courier New"/>
      <w:sz w:val="20"/>
      <w:szCs w:val="20"/>
    </w:rPr>
  </w:style>
  <w:style w:type="paragraph" w:customStyle="1" w:styleId="CharCharCharCharCharCharChar">
    <w:name w:val="Char Char Char Char Char Char Char"/>
    <w:basedOn w:val="Normal"/>
    <w:uiPriority w:val="99"/>
    <w:rsid w:val="00C27AA5"/>
    <w:pPr>
      <w:spacing w:after="160"/>
    </w:pPr>
    <w:rPr>
      <w:rFonts w:ascii="Verdana" w:hAnsi="Verdana"/>
      <w:szCs w:val="24"/>
    </w:rPr>
  </w:style>
  <w:style w:type="paragraph" w:styleId="CommentSubject">
    <w:name w:val="annotation subject"/>
    <w:basedOn w:val="CommentText"/>
    <w:next w:val="CommentText"/>
    <w:link w:val="CommentSubjectChar"/>
    <w:semiHidden/>
    <w:rsid w:val="00E15E35"/>
    <w:rPr>
      <w:b/>
      <w:bCs/>
      <w:sz w:val="20"/>
    </w:rPr>
  </w:style>
  <w:style w:type="character" w:customStyle="1" w:styleId="CommentSubjectChar">
    <w:name w:val="Comment Subject Char"/>
    <w:basedOn w:val="CommentTextChar"/>
    <w:link w:val="CommentSubject"/>
    <w:uiPriority w:val="99"/>
    <w:semiHidden/>
    <w:rsid w:val="00B50A0D"/>
    <w:rPr>
      <w:rFonts w:cs="Times New Roman"/>
      <w:b/>
      <w:bCs/>
      <w:sz w:val="20"/>
      <w:szCs w:val="20"/>
    </w:rPr>
  </w:style>
  <w:style w:type="paragraph" w:styleId="ListParagraph">
    <w:name w:val="List Paragraph"/>
    <w:basedOn w:val="Normal"/>
    <w:uiPriority w:val="99"/>
    <w:qFormat/>
    <w:rsid w:val="000B66CD"/>
    <w:pPr>
      <w:ind w:left="720"/>
      <w:contextualSpacing/>
    </w:pPr>
  </w:style>
  <w:style w:type="paragraph" w:customStyle="1" w:styleId="CharCharCharCharCharCharChar1">
    <w:name w:val="Char Char Char Char Char Char Char1"/>
    <w:basedOn w:val="Normal"/>
    <w:rsid w:val="008C56D5"/>
    <w:pPr>
      <w:spacing w:after="160"/>
    </w:pPr>
    <w:rPr>
      <w:rFonts w:ascii="Verdana" w:hAnsi="Verdana"/>
      <w:szCs w:val="24"/>
    </w:rPr>
  </w:style>
  <w:style w:type="paragraph" w:customStyle="1" w:styleId="Default">
    <w:name w:val="Default"/>
    <w:rsid w:val="00A17366"/>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D66A7C"/>
    <w:rPr>
      <w:position w:val="6"/>
      <w:sz w:val="16"/>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5135724">
      <w:bodyDiv w:val="1"/>
      <w:marLeft w:val="0"/>
      <w:marRight w:val="0"/>
      <w:marTop w:val="0"/>
      <w:marBottom w:val="0"/>
      <w:divBdr>
        <w:top w:val="none" w:sz="0" w:space="0" w:color="auto"/>
        <w:left w:val="none" w:sz="0" w:space="0" w:color="auto"/>
        <w:bottom w:val="none" w:sz="0" w:space="0" w:color="auto"/>
        <w:right w:val="none" w:sz="0" w:space="0" w:color="auto"/>
      </w:divBdr>
    </w:div>
    <w:div w:id="375811964">
      <w:bodyDiv w:val="1"/>
      <w:marLeft w:val="0"/>
      <w:marRight w:val="0"/>
      <w:marTop w:val="0"/>
      <w:marBottom w:val="0"/>
      <w:divBdr>
        <w:top w:val="none" w:sz="0" w:space="0" w:color="auto"/>
        <w:left w:val="none" w:sz="0" w:space="0" w:color="auto"/>
        <w:bottom w:val="none" w:sz="0" w:space="0" w:color="auto"/>
        <w:right w:val="none" w:sz="0" w:space="0" w:color="auto"/>
      </w:divBdr>
    </w:div>
    <w:div w:id="549851780">
      <w:bodyDiv w:val="1"/>
      <w:marLeft w:val="0"/>
      <w:marRight w:val="0"/>
      <w:marTop w:val="0"/>
      <w:marBottom w:val="0"/>
      <w:divBdr>
        <w:top w:val="none" w:sz="0" w:space="0" w:color="auto"/>
        <w:left w:val="none" w:sz="0" w:space="0" w:color="auto"/>
        <w:bottom w:val="none" w:sz="0" w:space="0" w:color="auto"/>
        <w:right w:val="none" w:sz="0" w:space="0" w:color="auto"/>
      </w:divBdr>
    </w:div>
    <w:div w:id="1214465806">
      <w:bodyDiv w:val="1"/>
      <w:marLeft w:val="0"/>
      <w:marRight w:val="0"/>
      <w:marTop w:val="0"/>
      <w:marBottom w:val="0"/>
      <w:divBdr>
        <w:top w:val="none" w:sz="0" w:space="0" w:color="auto"/>
        <w:left w:val="none" w:sz="0" w:space="0" w:color="auto"/>
        <w:bottom w:val="none" w:sz="0" w:space="0" w:color="auto"/>
        <w:right w:val="none" w:sz="0" w:space="0" w:color="auto"/>
      </w:divBdr>
    </w:div>
    <w:div w:id="1272975243">
      <w:bodyDiv w:val="1"/>
      <w:marLeft w:val="0"/>
      <w:marRight w:val="0"/>
      <w:marTop w:val="0"/>
      <w:marBottom w:val="0"/>
      <w:divBdr>
        <w:top w:val="none" w:sz="0" w:space="0" w:color="auto"/>
        <w:left w:val="none" w:sz="0" w:space="0" w:color="auto"/>
        <w:bottom w:val="none" w:sz="0" w:space="0" w:color="auto"/>
        <w:right w:val="none" w:sz="0" w:space="0" w:color="auto"/>
      </w:divBdr>
    </w:div>
    <w:div w:id="1827041662">
      <w:bodyDiv w:val="1"/>
      <w:marLeft w:val="0"/>
      <w:marRight w:val="0"/>
      <w:marTop w:val="0"/>
      <w:marBottom w:val="0"/>
      <w:divBdr>
        <w:top w:val="none" w:sz="0" w:space="0" w:color="auto"/>
        <w:left w:val="none" w:sz="0" w:space="0" w:color="auto"/>
        <w:bottom w:val="none" w:sz="0" w:space="0" w:color="auto"/>
        <w:right w:val="none" w:sz="0" w:space="0" w:color="auto"/>
      </w:divBdr>
    </w:div>
    <w:div w:id="1908877754">
      <w:marLeft w:val="0"/>
      <w:marRight w:val="0"/>
      <w:marTop w:val="0"/>
      <w:marBottom w:val="0"/>
      <w:divBdr>
        <w:top w:val="none" w:sz="0" w:space="0" w:color="auto"/>
        <w:left w:val="none" w:sz="0" w:space="0" w:color="auto"/>
        <w:bottom w:val="none" w:sz="0" w:space="0" w:color="auto"/>
        <w:right w:val="none" w:sz="0" w:space="0" w:color="auto"/>
      </w:divBdr>
    </w:div>
    <w:div w:id="1908877755">
      <w:marLeft w:val="0"/>
      <w:marRight w:val="0"/>
      <w:marTop w:val="0"/>
      <w:marBottom w:val="0"/>
      <w:divBdr>
        <w:top w:val="none" w:sz="0" w:space="0" w:color="auto"/>
        <w:left w:val="none" w:sz="0" w:space="0" w:color="auto"/>
        <w:bottom w:val="none" w:sz="0" w:space="0" w:color="auto"/>
        <w:right w:val="none" w:sz="0" w:space="0" w:color="auto"/>
      </w:divBdr>
    </w:div>
    <w:div w:id="1908877756">
      <w:marLeft w:val="0"/>
      <w:marRight w:val="0"/>
      <w:marTop w:val="0"/>
      <w:marBottom w:val="0"/>
      <w:divBdr>
        <w:top w:val="none" w:sz="0" w:space="0" w:color="auto"/>
        <w:left w:val="none" w:sz="0" w:space="0" w:color="auto"/>
        <w:bottom w:val="none" w:sz="0" w:space="0" w:color="auto"/>
        <w:right w:val="none" w:sz="0" w:space="0" w:color="auto"/>
      </w:divBdr>
    </w:div>
    <w:div w:id="1908877757">
      <w:marLeft w:val="0"/>
      <w:marRight w:val="0"/>
      <w:marTop w:val="0"/>
      <w:marBottom w:val="0"/>
      <w:divBdr>
        <w:top w:val="none" w:sz="0" w:space="0" w:color="auto"/>
        <w:left w:val="none" w:sz="0" w:space="0" w:color="auto"/>
        <w:bottom w:val="none" w:sz="0" w:space="0" w:color="auto"/>
        <w:right w:val="none" w:sz="0" w:space="0" w:color="auto"/>
      </w:divBdr>
    </w:div>
    <w:div w:id="1908877758">
      <w:marLeft w:val="0"/>
      <w:marRight w:val="0"/>
      <w:marTop w:val="0"/>
      <w:marBottom w:val="0"/>
      <w:divBdr>
        <w:top w:val="none" w:sz="0" w:space="0" w:color="auto"/>
        <w:left w:val="none" w:sz="0" w:space="0" w:color="auto"/>
        <w:bottom w:val="none" w:sz="0" w:space="0" w:color="auto"/>
        <w:right w:val="none" w:sz="0" w:space="0" w:color="auto"/>
      </w:divBdr>
    </w:div>
    <w:div w:id="1908877759">
      <w:marLeft w:val="0"/>
      <w:marRight w:val="0"/>
      <w:marTop w:val="0"/>
      <w:marBottom w:val="0"/>
      <w:divBdr>
        <w:top w:val="none" w:sz="0" w:space="0" w:color="auto"/>
        <w:left w:val="none" w:sz="0" w:space="0" w:color="auto"/>
        <w:bottom w:val="none" w:sz="0" w:space="0" w:color="auto"/>
        <w:right w:val="none" w:sz="0" w:space="0" w:color="auto"/>
      </w:divBdr>
    </w:div>
    <w:div w:id="1908877760">
      <w:marLeft w:val="0"/>
      <w:marRight w:val="0"/>
      <w:marTop w:val="0"/>
      <w:marBottom w:val="0"/>
      <w:divBdr>
        <w:top w:val="none" w:sz="0" w:space="0" w:color="auto"/>
        <w:left w:val="none" w:sz="0" w:space="0" w:color="auto"/>
        <w:bottom w:val="none" w:sz="0" w:space="0" w:color="auto"/>
        <w:right w:val="none" w:sz="0" w:space="0" w:color="auto"/>
      </w:divBdr>
    </w:div>
    <w:div w:id="2073775278">
      <w:bodyDiv w:val="1"/>
      <w:marLeft w:val="0"/>
      <w:marRight w:val="0"/>
      <w:marTop w:val="0"/>
      <w:marBottom w:val="0"/>
      <w:divBdr>
        <w:top w:val="none" w:sz="0" w:space="0" w:color="auto"/>
        <w:left w:val="none" w:sz="0" w:space="0" w:color="auto"/>
        <w:bottom w:val="none" w:sz="0" w:space="0" w:color="auto"/>
        <w:right w:val="none" w:sz="0" w:space="0" w:color="auto"/>
      </w:divBdr>
    </w:div>
    <w:div w:id="21079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Microsoft_Office_Excel_97-2003_Worksheet3.xls"/><Relationship Id="rId3" Type="http://schemas.openxmlformats.org/officeDocument/2006/relationships/numbering" Target="numbering.xml"/><Relationship Id="rId21" Type="http://schemas.openxmlformats.org/officeDocument/2006/relationships/image" Target="media/image4.emf"/><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Microsoft_Office_Excel_97-2003_Worksheet2.xls"/><Relationship Id="rId5" Type="http://schemas.openxmlformats.org/officeDocument/2006/relationships/settings" Target="settings.xml"/><Relationship Id="rId15" Type="http://schemas.openxmlformats.org/officeDocument/2006/relationships/hyperlink" Target="http://www.usdoj.gov/jmd/2011justification/"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oleObject" Target="embeddings/Microsoft_Office_Excel_97-2003_Worksheet1.xls"/><Relationship Id="rId27"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sola\Local%20Settings\Temporary%20Internet%20Files\Content.MSO\8F114210.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644" b="1" i="0" u="none" strike="noStrike" baseline="0">
                <a:solidFill>
                  <a:srgbClr val="000000"/>
                </a:solidFill>
                <a:latin typeface="Arial"/>
                <a:ea typeface="Arial"/>
                <a:cs typeface="Arial"/>
              </a:defRPr>
            </a:pPr>
            <a:r>
              <a:rPr lang="en-US"/>
              <a:t>OCDETF Investigations Resulting in Assets Forfeited or Restrained</a:t>
            </a:r>
          </a:p>
        </c:rich>
      </c:tx>
      <c:layout>
        <c:manualLayout>
          <c:xMode val="edge"/>
          <c:yMode val="edge"/>
          <c:x val="0.11437892738977516"/>
          <c:y val="6.5155124840164211E-2"/>
        </c:manualLayout>
      </c:layout>
      <c:spPr>
        <a:noFill/>
        <a:ln w="15247">
          <a:noFill/>
        </a:ln>
      </c:spPr>
    </c:title>
    <c:plotArea>
      <c:layout>
        <c:manualLayout>
          <c:layoutTarget val="inner"/>
          <c:xMode val="edge"/>
          <c:yMode val="edge"/>
          <c:x val="0.2217271136562475"/>
          <c:y val="0.35042731727500664"/>
          <c:w val="0.73202614379084952"/>
          <c:h val="0.47008547008547891"/>
        </c:manualLayout>
      </c:layout>
      <c:barChart>
        <c:barDir val="col"/>
        <c:grouping val="clustered"/>
        <c:ser>
          <c:idx val="2"/>
          <c:order val="0"/>
          <c:tx>
            <c:strRef>
              <c:f>Sheet1!$A$2</c:f>
              <c:strCache>
                <c:ptCount val="1"/>
                <c:pt idx="0">
                  <c:v>FY 2003</c:v>
                </c:pt>
              </c:strCache>
            </c:strRef>
          </c:tx>
          <c:spPr>
            <a:solidFill>
              <a:srgbClr val="99CCFF"/>
            </a:solidFill>
            <a:ln w="7611">
              <a:solidFill>
                <a:srgbClr val="000000"/>
              </a:solidFill>
              <a:prstDash val="solid"/>
            </a:ln>
          </c:spPr>
          <c:cat>
            <c:numRef>
              <c:f>Sheet1!$B$1:$B$1</c:f>
              <c:numCache>
                <c:formatCode>General</c:formatCode>
                <c:ptCount val="1"/>
              </c:numCache>
            </c:numRef>
          </c:cat>
          <c:val>
            <c:numRef>
              <c:f>Sheet1!$B$2:$B$2</c:f>
              <c:numCache>
                <c:formatCode>0.00%</c:formatCode>
                <c:ptCount val="1"/>
                <c:pt idx="0">
                  <c:v>0.71000000046565503</c:v>
                </c:pt>
              </c:numCache>
            </c:numRef>
          </c:val>
        </c:ser>
        <c:ser>
          <c:idx val="0"/>
          <c:order val="1"/>
          <c:tx>
            <c:strRef>
              <c:f>Sheet1!$A$3</c:f>
              <c:strCache>
                <c:ptCount val="1"/>
                <c:pt idx="0">
                  <c:v>FY 2011</c:v>
                </c:pt>
              </c:strCache>
            </c:strRef>
          </c:tx>
          <c:spPr>
            <a:solidFill>
              <a:srgbClr val="99CCFF"/>
            </a:solidFill>
            <a:ln w="7611">
              <a:solidFill>
                <a:srgbClr val="000000"/>
              </a:solidFill>
              <a:prstDash val="solid"/>
            </a:ln>
          </c:spPr>
          <c:dPt>
            <c:idx val="0"/>
            <c:spPr>
              <a:solidFill>
                <a:srgbClr val="0066CC"/>
              </a:solidFill>
              <a:ln w="7611">
                <a:solidFill>
                  <a:srgbClr val="000000"/>
                </a:solidFill>
                <a:prstDash val="solid"/>
              </a:ln>
            </c:spPr>
          </c:dPt>
          <c:cat>
            <c:numRef>
              <c:f>Sheet1!$B$1:$B$1</c:f>
              <c:numCache>
                <c:formatCode>General</c:formatCode>
                <c:ptCount val="1"/>
              </c:numCache>
            </c:numRef>
          </c:cat>
          <c:val>
            <c:numRef>
              <c:f>Sheet1!$B$3:$B$3</c:f>
              <c:numCache>
                <c:formatCode>0.00%</c:formatCode>
                <c:ptCount val="1"/>
                <c:pt idx="0">
                  <c:v>0.8</c:v>
                </c:pt>
              </c:numCache>
            </c:numRef>
          </c:val>
        </c:ser>
        <c:axId val="44147840"/>
        <c:axId val="44149376"/>
      </c:barChart>
      <c:catAx>
        <c:axId val="44147840"/>
        <c:scaling>
          <c:orientation val="minMax"/>
        </c:scaling>
        <c:axPos val="b"/>
        <c:numFmt formatCode="General" sourceLinked="1"/>
        <c:tickLblPos val="nextTo"/>
        <c:spPr>
          <a:ln w="1903">
            <a:solidFill>
              <a:srgbClr val="000000"/>
            </a:solidFill>
            <a:prstDash val="solid"/>
          </a:ln>
        </c:spPr>
        <c:txPr>
          <a:bodyPr rot="0" vert="horz"/>
          <a:lstStyle/>
          <a:p>
            <a:pPr>
              <a:defRPr sz="510" b="1" i="0" u="none" strike="noStrike" baseline="0">
                <a:solidFill>
                  <a:srgbClr val="000000"/>
                </a:solidFill>
                <a:latin typeface="Arial"/>
                <a:ea typeface="Arial"/>
                <a:cs typeface="Arial"/>
              </a:defRPr>
            </a:pPr>
            <a:endParaRPr lang="en-US"/>
          </a:p>
        </c:txPr>
        <c:crossAx val="44149376"/>
        <c:crossesAt val="0"/>
        <c:auto val="1"/>
        <c:lblAlgn val="ctr"/>
        <c:lblOffset val="100"/>
        <c:tickLblSkip val="1"/>
        <c:tickMarkSkip val="1"/>
      </c:catAx>
      <c:valAx>
        <c:axId val="44149376"/>
        <c:scaling>
          <c:orientation val="minMax"/>
          <c:max val="1"/>
          <c:min val="0"/>
        </c:scaling>
        <c:axPos val="l"/>
        <c:majorGridlines>
          <c:spPr>
            <a:ln w="1903">
              <a:solidFill>
                <a:srgbClr val="000000"/>
              </a:solidFill>
              <a:prstDash val="solid"/>
            </a:ln>
          </c:spPr>
        </c:majorGridlines>
        <c:title>
          <c:tx>
            <c:rich>
              <a:bodyPr/>
              <a:lstStyle/>
              <a:p>
                <a:pPr>
                  <a:defRPr sz="477" b="1" i="0" u="none" strike="noStrike" baseline="0">
                    <a:solidFill>
                      <a:srgbClr val="000000"/>
                    </a:solidFill>
                    <a:latin typeface="Arial"/>
                    <a:ea typeface="Arial"/>
                    <a:cs typeface="Arial"/>
                  </a:defRPr>
                </a:pPr>
                <a:r>
                  <a:rPr lang="en-US"/>
                  <a:t>% of Closed Investigations By Year Initiated
</a:t>
                </a:r>
              </a:p>
            </c:rich>
          </c:tx>
          <c:layout>
            <c:manualLayout>
              <c:xMode val="edge"/>
              <c:yMode val="edge"/>
              <c:x val="0"/>
              <c:y val="0.20424478991408129"/>
            </c:manualLayout>
          </c:layout>
          <c:spPr>
            <a:noFill/>
            <a:ln w="15247">
              <a:noFill/>
            </a:ln>
          </c:spPr>
        </c:title>
        <c:numFmt formatCode="0%" sourceLinked="0"/>
        <c:tickLblPos val="nextTo"/>
        <c:spPr>
          <a:ln w="1903">
            <a:solidFill>
              <a:srgbClr val="000000"/>
            </a:solidFill>
            <a:prstDash val="solid"/>
          </a:ln>
        </c:spPr>
        <c:txPr>
          <a:bodyPr rot="0" vert="horz"/>
          <a:lstStyle/>
          <a:p>
            <a:pPr>
              <a:defRPr sz="510" b="1" i="0" u="none" strike="noStrike" baseline="0">
                <a:solidFill>
                  <a:srgbClr val="000000"/>
                </a:solidFill>
                <a:latin typeface="Arial"/>
                <a:ea typeface="Arial"/>
                <a:cs typeface="Arial"/>
              </a:defRPr>
            </a:pPr>
            <a:endParaRPr lang="en-US"/>
          </a:p>
        </c:txPr>
        <c:crossAx val="44147840"/>
        <c:crosses val="autoZero"/>
        <c:crossBetween val="between"/>
        <c:majorUnit val="0.2"/>
        <c:minorUnit val="0.2"/>
      </c:valAx>
      <c:spPr>
        <a:noFill/>
        <a:ln w="7611">
          <a:solidFill>
            <a:srgbClr val="000000"/>
          </a:solidFill>
          <a:prstDash val="solid"/>
        </a:ln>
      </c:spPr>
    </c:plotArea>
    <c:legend>
      <c:legendPos val="b"/>
      <c:layout>
        <c:manualLayout>
          <c:xMode val="edge"/>
          <c:yMode val="edge"/>
          <c:x val="0.33660126360427373"/>
          <c:y val="0.89743589743590002"/>
          <c:w val="0.41503261603700187"/>
          <c:h val="9.8290598290598746E-2"/>
        </c:manualLayout>
      </c:layout>
      <c:spPr>
        <a:solidFill>
          <a:srgbClr val="FFFFFF"/>
        </a:solidFill>
        <a:ln w="1903">
          <a:solidFill>
            <a:srgbClr val="000000"/>
          </a:solidFill>
          <a:prstDash val="solid"/>
        </a:ln>
      </c:spPr>
      <c:txPr>
        <a:bodyPr/>
        <a:lstStyle/>
        <a:p>
          <a:pPr>
            <a:defRPr sz="483"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525" b="1" i="0" u="none" strike="noStrike" baseline="0">
          <a:solidFill>
            <a:srgbClr val="000000"/>
          </a:solidFill>
          <a:latin typeface="Arial"/>
          <a:ea typeface="Arial"/>
          <a:cs typeface="Arial"/>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548" b="1" i="0" u="none" strike="noStrike" baseline="0">
                <a:solidFill>
                  <a:srgbClr val="000000"/>
                </a:solidFill>
                <a:latin typeface="Arial"/>
                <a:ea typeface="Arial"/>
                <a:cs typeface="Arial"/>
              </a:defRPr>
            </a:pPr>
            <a:r>
              <a:rPr lang="en-US"/>
              <a:t>Percent Increase in OCDETF Indictments w/ Forfeiture Counts</a:t>
            </a:r>
          </a:p>
        </c:rich>
      </c:tx>
      <c:layout>
        <c:manualLayout>
          <c:xMode val="edge"/>
          <c:yMode val="edge"/>
          <c:x val="0.12230215827338273"/>
          <c:y val="8.8493938257717779E-3"/>
        </c:manualLayout>
      </c:layout>
      <c:spPr>
        <a:noFill/>
        <a:ln w="14261">
          <a:noFill/>
        </a:ln>
      </c:spPr>
    </c:title>
    <c:plotArea>
      <c:layout>
        <c:manualLayout>
          <c:layoutTarget val="inner"/>
          <c:xMode val="edge"/>
          <c:yMode val="edge"/>
          <c:x val="0.28417266187051593"/>
          <c:y val="0.27433628318585607"/>
          <c:w val="0.53597122302160005"/>
          <c:h val="0.51769911504424782"/>
        </c:manualLayout>
      </c:layout>
      <c:barChart>
        <c:barDir val="col"/>
        <c:grouping val="clustered"/>
        <c:ser>
          <c:idx val="2"/>
          <c:order val="0"/>
          <c:tx>
            <c:strRef>
              <c:f>Sheet1!$A$2</c:f>
              <c:strCache>
                <c:ptCount val="1"/>
                <c:pt idx="0">
                  <c:v>FY 2003</c:v>
                </c:pt>
              </c:strCache>
            </c:strRef>
          </c:tx>
          <c:spPr>
            <a:solidFill>
              <a:srgbClr val="99CCFF"/>
            </a:solidFill>
            <a:ln w="7139">
              <a:solidFill>
                <a:srgbClr val="000000"/>
              </a:solidFill>
              <a:prstDash val="solid"/>
            </a:ln>
          </c:spPr>
          <c:cat>
            <c:strRef>
              <c:f>Sheet1!$B$1:$B$1</c:f>
              <c:strCache>
                <c:ptCount val="1"/>
                <c:pt idx="0">
                  <c:v>FY 03 </c:v>
                </c:pt>
              </c:strCache>
            </c:strRef>
          </c:cat>
          <c:val>
            <c:numRef>
              <c:f>Sheet1!$B$2:$B$2</c:f>
              <c:numCache>
                <c:formatCode>0.00%</c:formatCode>
                <c:ptCount val="1"/>
                <c:pt idx="0">
                  <c:v>0.19</c:v>
                </c:pt>
              </c:numCache>
            </c:numRef>
          </c:val>
        </c:ser>
        <c:ser>
          <c:idx val="3"/>
          <c:order val="1"/>
          <c:tx>
            <c:strRef>
              <c:f>Sheet1!$A$3</c:f>
              <c:strCache>
                <c:ptCount val="1"/>
                <c:pt idx="0">
                  <c:v>Fy 2011</c:v>
                </c:pt>
              </c:strCache>
            </c:strRef>
          </c:tx>
          <c:spPr>
            <a:solidFill>
              <a:srgbClr val="3366FF"/>
            </a:solidFill>
            <a:ln w="7139">
              <a:solidFill>
                <a:srgbClr val="000000"/>
              </a:solidFill>
              <a:prstDash val="solid"/>
            </a:ln>
          </c:spPr>
          <c:cat>
            <c:strRef>
              <c:f>Sheet1!$B$1:$B$1</c:f>
              <c:strCache>
                <c:ptCount val="1"/>
                <c:pt idx="0">
                  <c:v>FY 03 </c:v>
                </c:pt>
              </c:strCache>
            </c:strRef>
          </c:cat>
          <c:val>
            <c:numRef>
              <c:f>Sheet1!$B$3:$B$3</c:f>
              <c:numCache>
                <c:formatCode>0.00%</c:formatCode>
                <c:ptCount val="1"/>
                <c:pt idx="0">
                  <c:v>0.39000000000000096</c:v>
                </c:pt>
              </c:numCache>
            </c:numRef>
          </c:val>
        </c:ser>
        <c:gapWidth val="100"/>
        <c:axId val="54886400"/>
        <c:axId val="54887936"/>
      </c:barChart>
      <c:catAx>
        <c:axId val="54886400"/>
        <c:scaling>
          <c:orientation val="minMax"/>
        </c:scaling>
        <c:delete val="1"/>
        <c:axPos val="b"/>
        <c:majorGridlines>
          <c:spPr>
            <a:ln w="1785">
              <a:solidFill>
                <a:srgbClr val="000000"/>
              </a:solidFill>
              <a:prstDash val="solid"/>
            </a:ln>
          </c:spPr>
        </c:majorGridlines>
        <c:tickLblPos val="none"/>
        <c:crossAx val="54887936"/>
        <c:crosses val="autoZero"/>
        <c:auto val="1"/>
        <c:lblAlgn val="ctr"/>
        <c:lblOffset val="100"/>
      </c:catAx>
      <c:valAx>
        <c:axId val="54887936"/>
        <c:scaling>
          <c:orientation val="minMax"/>
        </c:scaling>
        <c:axPos val="l"/>
        <c:majorGridlines>
          <c:spPr>
            <a:ln w="1785">
              <a:solidFill>
                <a:srgbClr val="000000"/>
              </a:solidFill>
              <a:prstDash val="solid"/>
            </a:ln>
          </c:spPr>
        </c:majorGridlines>
        <c:title>
          <c:tx>
            <c:rich>
              <a:bodyPr/>
              <a:lstStyle/>
              <a:p>
                <a:pPr>
                  <a:defRPr sz="449" b="1" i="0" u="none" strike="noStrike" baseline="0">
                    <a:solidFill>
                      <a:srgbClr val="000000"/>
                    </a:solidFill>
                    <a:latin typeface="Arial"/>
                    <a:ea typeface="Arial"/>
                    <a:cs typeface="Arial"/>
                  </a:defRPr>
                </a:pPr>
                <a:r>
                  <a:rPr lang="en-US"/>
                  <a:t>Percent of Indictments Returned</a:t>
                </a:r>
              </a:p>
            </c:rich>
          </c:tx>
          <c:layout>
            <c:manualLayout>
              <c:xMode val="edge"/>
              <c:yMode val="edge"/>
              <c:x val="0"/>
              <c:y val="0.23451318585177269"/>
            </c:manualLayout>
          </c:layout>
          <c:spPr>
            <a:noFill/>
            <a:ln w="14261">
              <a:noFill/>
            </a:ln>
          </c:spPr>
        </c:title>
        <c:numFmt formatCode="0%" sourceLinked="0"/>
        <c:tickLblPos val="nextTo"/>
        <c:spPr>
          <a:ln w="1785">
            <a:solidFill>
              <a:srgbClr val="000000"/>
            </a:solidFill>
            <a:prstDash val="solid"/>
          </a:ln>
        </c:spPr>
        <c:txPr>
          <a:bodyPr rot="0" vert="horz"/>
          <a:lstStyle/>
          <a:p>
            <a:pPr>
              <a:defRPr sz="533" b="1" i="0" u="none" strike="noStrike" baseline="0">
                <a:solidFill>
                  <a:srgbClr val="000000"/>
                </a:solidFill>
                <a:latin typeface="Arial"/>
                <a:ea typeface="Arial"/>
                <a:cs typeface="Arial"/>
              </a:defRPr>
            </a:pPr>
            <a:endParaRPr lang="en-US"/>
          </a:p>
        </c:txPr>
        <c:crossAx val="54886400"/>
        <c:crosses val="autoZero"/>
        <c:crossBetween val="between"/>
        <c:majorUnit val="0.1"/>
      </c:valAx>
      <c:spPr>
        <a:noFill/>
        <a:ln w="14261">
          <a:noFill/>
        </a:ln>
      </c:spPr>
    </c:plotArea>
    <c:legend>
      <c:legendPos val="b"/>
      <c:layout>
        <c:manualLayout>
          <c:xMode val="edge"/>
          <c:yMode val="edge"/>
          <c:x val="0.26978417266187082"/>
          <c:y val="0.88938032745906759"/>
          <c:w val="0.55755395683453224"/>
          <c:h val="8.8495438070241766E-2"/>
        </c:manualLayout>
      </c:layout>
      <c:spPr>
        <a:solidFill>
          <a:srgbClr val="FFFFFF"/>
        </a:solidFill>
        <a:ln w="1785">
          <a:solidFill>
            <a:srgbClr val="000000"/>
          </a:solidFill>
          <a:prstDash val="solid"/>
        </a:ln>
      </c:spPr>
      <c:txPr>
        <a:bodyPr/>
        <a:lstStyle/>
        <a:p>
          <a:pPr>
            <a:defRPr sz="517"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449" b="1" i="0" u="none" strike="noStrike" baseline="0">
          <a:solidFill>
            <a:srgbClr val="000000"/>
          </a:solidFill>
          <a:latin typeface="Arial"/>
          <a:ea typeface="Arial"/>
          <a:cs typeface="Arial"/>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7FFA-05D2-4AE7-92F2-68247D904DE3}">
  <ds:schemaRefs>
    <ds:schemaRef ds:uri="http://schemas.openxmlformats.org/officeDocument/2006/bibliography"/>
  </ds:schemaRefs>
</ds:datastoreItem>
</file>

<file path=customXml/itemProps2.xml><?xml version="1.0" encoding="utf-8"?>
<ds:datastoreItem xmlns:ds="http://schemas.openxmlformats.org/officeDocument/2006/customXml" ds:itemID="{00DD4473-D59B-4234-A875-071E3627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8F114210.dotx</Template>
  <TotalTime>2</TotalTime>
  <Pages>52</Pages>
  <Words>11624</Words>
  <Characters>66261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U</vt:lpstr>
    </vt:vector>
  </TitlesOfParts>
  <Company>CRM</Company>
  <LinksUpToDate>false</LinksUpToDate>
  <CharactersWithSpaces>77730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simmsola</dc:creator>
  <cp:lastModifiedBy>rlindsay</cp:lastModifiedBy>
  <cp:revision>6</cp:revision>
  <cp:lastPrinted>2012-02-06T22:14:00Z</cp:lastPrinted>
  <dcterms:created xsi:type="dcterms:W3CDTF">2012-02-08T19:30:00Z</dcterms:created>
  <dcterms:modified xsi:type="dcterms:W3CDTF">2012-02-09T13:04:00Z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