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DE" w:rsidRDefault="007E7E7A">
      <w:pPr>
        <w:pStyle w:val="Footer"/>
        <w:tabs>
          <w:tab w:val="clear" w:pos="8640"/>
          <w:tab w:val="left" w:leader="dot" w:pos="4320"/>
        </w:tabs>
        <w:jc w:val="center"/>
        <w:rPr>
          <w:b/>
        </w:rPr>
      </w:pPr>
      <w:r>
        <w:rPr>
          <w:b/>
        </w:rPr>
        <w:t xml:space="preserve"> </w:t>
      </w:r>
    </w:p>
    <w:p w:rsidR="00F910DE" w:rsidRDefault="00F910DE">
      <w:pPr>
        <w:pStyle w:val="Footer"/>
        <w:tabs>
          <w:tab w:val="clear" w:pos="8640"/>
          <w:tab w:val="left" w:leader="dot" w:pos="4320"/>
        </w:tabs>
        <w:jc w:val="center"/>
        <w:rPr>
          <w:b/>
        </w:rPr>
      </w:pPr>
    </w:p>
    <w:p w:rsidR="00F910DE" w:rsidRDefault="00F910DE">
      <w:pPr>
        <w:pStyle w:val="Footer"/>
        <w:tabs>
          <w:tab w:val="clear" w:pos="8640"/>
          <w:tab w:val="left" w:leader="dot" w:pos="4320"/>
        </w:tabs>
        <w:jc w:val="center"/>
        <w:rPr>
          <w:b/>
        </w:rPr>
      </w:pPr>
    </w:p>
    <w:p w:rsidR="00F910DE" w:rsidRDefault="00F910DE">
      <w:pPr>
        <w:pStyle w:val="Footer"/>
        <w:tabs>
          <w:tab w:val="clear" w:pos="8640"/>
          <w:tab w:val="left" w:leader="dot" w:pos="4320"/>
        </w:tabs>
        <w:jc w:val="center"/>
        <w:rPr>
          <w:b/>
        </w:rPr>
      </w:pPr>
    </w:p>
    <w:p w:rsidR="00F910DE" w:rsidRDefault="00F910DE">
      <w:pPr>
        <w:pStyle w:val="Footer"/>
        <w:tabs>
          <w:tab w:val="clear" w:pos="8640"/>
          <w:tab w:val="left" w:leader="dot" w:pos="4320"/>
        </w:tabs>
        <w:jc w:val="center"/>
        <w:rPr>
          <w:b/>
        </w:rPr>
      </w:pPr>
    </w:p>
    <w:p w:rsidR="00FC34B1" w:rsidRDefault="00FC34B1">
      <w:pPr>
        <w:pStyle w:val="Footer"/>
        <w:tabs>
          <w:tab w:val="clear" w:pos="8640"/>
          <w:tab w:val="left" w:leader="dot" w:pos="4320"/>
        </w:tabs>
        <w:jc w:val="center"/>
        <w:rPr>
          <w:b/>
        </w:rPr>
      </w:pPr>
    </w:p>
    <w:p w:rsidR="00FC34B1" w:rsidRDefault="00FC34B1">
      <w:pPr>
        <w:pStyle w:val="Footer"/>
        <w:tabs>
          <w:tab w:val="clear" w:pos="8640"/>
          <w:tab w:val="left" w:leader="dot" w:pos="4320"/>
        </w:tabs>
        <w:jc w:val="center"/>
        <w:rPr>
          <w:b/>
        </w:rPr>
      </w:pPr>
    </w:p>
    <w:p w:rsidR="00FC34B1" w:rsidRDefault="00FC34B1">
      <w:pPr>
        <w:pStyle w:val="Footer"/>
        <w:tabs>
          <w:tab w:val="clear" w:pos="8640"/>
          <w:tab w:val="left" w:leader="dot" w:pos="4320"/>
        </w:tabs>
        <w:jc w:val="center"/>
        <w:rPr>
          <w:b/>
        </w:rPr>
      </w:pPr>
    </w:p>
    <w:p w:rsidR="00FC34B1" w:rsidRDefault="00FC34B1">
      <w:pPr>
        <w:pStyle w:val="Footer"/>
        <w:tabs>
          <w:tab w:val="clear" w:pos="8640"/>
          <w:tab w:val="left" w:leader="dot" w:pos="4320"/>
        </w:tabs>
        <w:jc w:val="center"/>
        <w:rPr>
          <w:b/>
        </w:rPr>
      </w:pPr>
    </w:p>
    <w:p w:rsidR="00FC34B1" w:rsidRDefault="00FC34B1">
      <w:pPr>
        <w:pStyle w:val="Footer"/>
        <w:tabs>
          <w:tab w:val="clear" w:pos="8640"/>
          <w:tab w:val="left" w:leader="dot" w:pos="4320"/>
        </w:tabs>
        <w:jc w:val="center"/>
        <w:rPr>
          <w:b/>
        </w:rPr>
      </w:pPr>
    </w:p>
    <w:p w:rsidR="00FC34B1" w:rsidRDefault="00FC34B1">
      <w:pPr>
        <w:pStyle w:val="Footer"/>
        <w:tabs>
          <w:tab w:val="clear" w:pos="8640"/>
          <w:tab w:val="left" w:leader="dot" w:pos="4320"/>
        </w:tabs>
        <w:jc w:val="center"/>
        <w:rPr>
          <w:b/>
        </w:rPr>
      </w:pPr>
    </w:p>
    <w:p w:rsidR="00FC34B1" w:rsidRDefault="00FC34B1">
      <w:pPr>
        <w:pStyle w:val="Footer"/>
        <w:tabs>
          <w:tab w:val="clear" w:pos="8640"/>
          <w:tab w:val="left" w:leader="dot" w:pos="4320"/>
        </w:tabs>
        <w:jc w:val="center"/>
        <w:rPr>
          <w:b/>
        </w:rPr>
      </w:pPr>
    </w:p>
    <w:p w:rsidR="00FC34B1" w:rsidRDefault="00FC34B1">
      <w:pPr>
        <w:pStyle w:val="Footer"/>
        <w:tabs>
          <w:tab w:val="clear" w:pos="8640"/>
          <w:tab w:val="left" w:leader="dot" w:pos="4320"/>
        </w:tabs>
        <w:jc w:val="center"/>
        <w:rPr>
          <w:b/>
        </w:rPr>
      </w:pPr>
    </w:p>
    <w:p w:rsidR="00F910DE" w:rsidRDefault="00F910DE">
      <w:pPr>
        <w:pStyle w:val="Footer"/>
        <w:tabs>
          <w:tab w:val="clear" w:pos="8640"/>
          <w:tab w:val="left" w:leader="dot" w:pos="4320"/>
        </w:tabs>
        <w:jc w:val="center"/>
        <w:rPr>
          <w:b/>
        </w:rPr>
      </w:pPr>
    </w:p>
    <w:p w:rsidR="00F910DE" w:rsidRDefault="00F910DE">
      <w:pPr>
        <w:pStyle w:val="Footer"/>
        <w:tabs>
          <w:tab w:val="clear" w:pos="8640"/>
          <w:tab w:val="left" w:leader="dot" w:pos="4320"/>
        </w:tabs>
        <w:jc w:val="center"/>
        <w:rPr>
          <w:b/>
        </w:rPr>
      </w:pPr>
    </w:p>
    <w:p w:rsidR="00F910DE" w:rsidRDefault="00F910DE">
      <w:pPr>
        <w:pStyle w:val="Footer"/>
        <w:tabs>
          <w:tab w:val="clear" w:pos="8640"/>
          <w:tab w:val="left" w:leader="dot" w:pos="4320"/>
        </w:tabs>
        <w:jc w:val="center"/>
        <w:rPr>
          <w:b/>
        </w:rPr>
      </w:pPr>
    </w:p>
    <w:p w:rsidR="00F910DE" w:rsidRDefault="00F910DE">
      <w:pPr>
        <w:pStyle w:val="Footer"/>
        <w:tabs>
          <w:tab w:val="clear" w:pos="8640"/>
          <w:tab w:val="left" w:leader="dot" w:pos="4320"/>
        </w:tabs>
        <w:jc w:val="center"/>
        <w:rPr>
          <w:rFonts w:ascii="Times New Roman" w:hAnsi="Times New Roman"/>
          <w:b/>
          <w:sz w:val="36"/>
        </w:rPr>
      </w:pPr>
      <w:smartTag w:uri="urn:schemas-microsoft-com:office:smarttags" w:element="place">
        <w:smartTag w:uri="urn:schemas-microsoft-com:office:smarttags" w:element="country-region">
          <w:r>
            <w:rPr>
              <w:rFonts w:ascii="Times New Roman" w:hAnsi="Times New Roman"/>
              <w:b/>
              <w:sz w:val="36"/>
            </w:rPr>
            <w:t>U.S.</w:t>
          </w:r>
        </w:smartTag>
      </w:smartTag>
      <w:r>
        <w:rPr>
          <w:rFonts w:ascii="Times New Roman" w:hAnsi="Times New Roman"/>
          <w:b/>
          <w:sz w:val="36"/>
        </w:rPr>
        <w:t xml:space="preserve"> Department of Justice</w:t>
      </w:r>
    </w:p>
    <w:p w:rsidR="00F910DE" w:rsidRDefault="00F910DE">
      <w:pPr>
        <w:pStyle w:val="Footer"/>
        <w:tabs>
          <w:tab w:val="clear" w:pos="8640"/>
          <w:tab w:val="left" w:leader="dot" w:pos="4320"/>
        </w:tabs>
        <w:jc w:val="center"/>
        <w:rPr>
          <w:rFonts w:ascii="Times New Roman" w:hAnsi="Times New Roman"/>
          <w:b/>
        </w:rPr>
      </w:pPr>
    </w:p>
    <w:p w:rsidR="00F910DE" w:rsidRDefault="00814318">
      <w:pPr>
        <w:pStyle w:val="Footer"/>
        <w:tabs>
          <w:tab w:val="clear" w:pos="8640"/>
          <w:tab w:val="left" w:leader="dot" w:pos="4320"/>
        </w:tabs>
        <w:jc w:val="center"/>
        <w:rPr>
          <w:rFonts w:ascii="Times New Roman" w:hAnsi="Times New Roman" w:cs="Arial"/>
          <w:b/>
          <w:sz w:val="36"/>
        </w:rPr>
      </w:pPr>
      <w:r>
        <w:rPr>
          <w:rFonts w:ascii="Times New Roman" w:hAnsi="Times New Roman" w:cs="Arial"/>
          <w:b/>
          <w:sz w:val="36"/>
        </w:rPr>
        <w:t xml:space="preserve">FY </w:t>
      </w:r>
      <w:r w:rsidR="00942F84">
        <w:rPr>
          <w:rFonts w:ascii="Times New Roman" w:hAnsi="Times New Roman" w:cs="Arial"/>
          <w:b/>
          <w:sz w:val="36"/>
        </w:rPr>
        <w:t>201</w:t>
      </w:r>
      <w:r w:rsidR="00655A81">
        <w:rPr>
          <w:rFonts w:ascii="Times New Roman" w:hAnsi="Times New Roman" w:cs="Arial"/>
          <w:b/>
          <w:sz w:val="36"/>
        </w:rPr>
        <w:t>3</w:t>
      </w:r>
      <w:r w:rsidR="00F910DE">
        <w:rPr>
          <w:rFonts w:ascii="Times New Roman" w:hAnsi="Times New Roman" w:cs="Arial"/>
          <w:b/>
          <w:sz w:val="36"/>
        </w:rPr>
        <w:t xml:space="preserve"> </w:t>
      </w:r>
      <w:r w:rsidR="00F777A9">
        <w:rPr>
          <w:rFonts w:ascii="Times New Roman" w:hAnsi="Times New Roman" w:cs="Arial"/>
          <w:b/>
          <w:sz w:val="36"/>
        </w:rPr>
        <w:t>PERFORMANCE BUDGET</w:t>
      </w:r>
    </w:p>
    <w:p w:rsidR="00F777A9" w:rsidRDefault="00B4276D">
      <w:pPr>
        <w:pStyle w:val="Footer"/>
        <w:tabs>
          <w:tab w:val="clear" w:pos="8640"/>
          <w:tab w:val="left" w:leader="dot" w:pos="4320"/>
        </w:tabs>
        <w:jc w:val="center"/>
        <w:rPr>
          <w:rFonts w:ascii="Times New Roman" w:hAnsi="Times New Roman" w:cs="Arial"/>
          <w:b/>
          <w:sz w:val="36"/>
        </w:rPr>
      </w:pPr>
      <w:r>
        <w:rPr>
          <w:rFonts w:ascii="Times New Roman" w:hAnsi="Times New Roman" w:cs="Arial"/>
          <w:b/>
          <w:sz w:val="36"/>
        </w:rPr>
        <w:t>Congressional</w:t>
      </w:r>
      <w:r w:rsidR="00F777A9">
        <w:rPr>
          <w:rFonts w:ascii="Times New Roman" w:hAnsi="Times New Roman" w:cs="Arial"/>
          <w:b/>
          <w:sz w:val="36"/>
        </w:rPr>
        <w:t xml:space="preserve"> Submission</w:t>
      </w:r>
    </w:p>
    <w:p w:rsidR="00F910DE" w:rsidRDefault="00F910DE">
      <w:pPr>
        <w:pStyle w:val="Footer"/>
        <w:tabs>
          <w:tab w:val="clear" w:pos="8640"/>
          <w:tab w:val="left" w:leader="dot" w:pos="4320"/>
        </w:tabs>
        <w:jc w:val="center"/>
        <w:rPr>
          <w:rFonts w:ascii="Times New Roman" w:hAnsi="Times New Roman"/>
          <w:b/>
          <w:sz w:val="36"/>
        </w:rPr>
      </w:pPr>
    </w:p>
    <w:p w:rsidR="00F910DE" w:rsidRDefault="00F910DE"/>
    <w:p w:rsidR="00F910DE" w:rsidRDefault="00FA7746">
      <w:pPr>
        <w:jc w:val="center"/>
        <w:rPr>
          <w:sz w:val="52"/>
        </w:rPr>
      </w:pPr>
      <w:r>
        <w:rPr>
          <w:sz w:val="52"/>
        </w:rPr>
        <w:t xml:space="preserve">Office </w:t>
      </w:r>
      <w:r w:rsidR="00F910DE">
        <w:rPr>
          <w:sz w:val="52"/>
        </w:rPr>
        <w:t xml:space="preserve">of </w:t>
      </w:r>
      <w:r>
        <w:rPr>
          <w:sz w:val="52"/>
        </w:rPr>
        <w:t xml:space="preserve">the Solicitor </w:t>
      </w:r>
      <w:r w:rsidR="00814318">
        <w:rPr>
          <w:sz w:val="52"/>
        </w:rPr>
        <w:t>G</w:t>
      </w:r>
      <w:r w:rsidR="00F910DE">
        <w:rPr>
          <w:sz w:val="52"/>
        </w:rPr>
        <w:t>e</w:t>
      </w:r>
      <w:r>
        <w:rPr>
          <w:sz w:val="52"/>
        </w:rPr>
        <w:t>neral</w:t>
      </w:r>
      <w:r w:rsidR="00F910DE">
        <w:rPr>
          <w:sz w:val="52"/>
        </w:rPr>
        <w:t xml:space="preserve"> </w:t>
      </w:r>
    </w:p>
    <w:p w:rsidR="00F910DE" w:rsidRDefault="00F910DE">
      <w:pPr>
        <w:jc w:val="center"/>
        <w:rPr>
          <w:sz w:val="52"/>
        </w:rPr>
      </w:pPr>
    </w:p>
    <w:p w:rsidR="00655A81" w:rsidRDefault="00643363" w:rsidP="00655A81">
      <w:pPr>
        <w:jc w:val="center"/>
        <w:rPr>
          <w:sz w:val="32"/>
          <w:szCs w:val="32"/>
        </w:rPr>
      </w:pPr>
      <w:r>
        <w:rPr>
          <w:sz w:val="36"/>
          <w:szCs w:val="36"/>
        </w:rPr>
        <w:t>February 8</w:t>
      </w:r>
      <w:r w:rsidR="00655A81">
        <w:rPr>
          <w:sz w:val="36"/>
          <w:szCs w:val="36"/>
        </w:rPr>
        <w:t>, 2012</w:t>
      </w:r>
    </w:p>
    <w:p w:rsidR="004C1621" w:rsidRPr="004C1621" w:rsidRDefault="004C1621" w:rsidP="004C1621">
      <w:pPr>
        <w:rPr>
          <w:sz w:val="32"/>
          <w:szCs w:val="32"/>
        </w:rPr>
      </w:pPr>
    </w:p>
    <w:p w:rsidR="004C1621" w:rsidRPr="004C1621" w:rsidRDefault="004C1621" w:rsidP="004C1621">
      <w:pPr>
        <w:rPr>
          <w:sz w:val="32"/>
          <w:szCs w:val="32"/>
        </w:rPr>
      </w:pPr>
    </w:p>
    <w:p w:rsidR="004C1621" w:rsidRPr="004C1621" w:rsidRDefault="004C1621" w:rsidP="004C1621">
      <w:pPr>
        <w:rPr>
          <w:sz w:val="32"/>
          <w:szCs w:val="32"/>
        </w:rPr>
      </w:pPr>
    </w:p>
    <w:p w:rsidR="004C1621" w:rsidRPr="004C1621" w:rsidRDefault="004C1621" w:rsidP="004C1621">
      <w:pPr>
        <w:rPr>
          <w:sz w:val="32"/>
          <w:szCs w:val="32"/>
        </w:rPr>
      </w:pPr>
    </w:p>
    <w:p w:rsidR="004C1621" w:rsidRPr="004C1621" w:rsidRDefault="004C1621" w:rsidP="004C1621">
      <w:pPr>
        <w:rPr>
          <w:sz w:val="32"/>
          <w:szCs w:val="32"/>
        </w:rPr>
      </w:pPr>
    </w:p>
    <w:p w:rsidR="004C1621" w:rsidRPr="004C1621" w:rsidRDefault="004C1621" w:rsidP="004C1621">
      <w:pPr>
        <w:rPr>
          <w:sz w:val="32"/>
          <w:szCs w:val="32"/>
        </w:rPr>
      </w:pPr>
    </w:p>
    <w:p w:rsidR="004C1621" w:rsidRPr="004C1621" w:rsidRDefault="004C1621" w:rsidP="004C1621">
      <w:pPr>
        <w:rPr>
          <w:sz w:val="32"/>
          <w:szCs w:val="32"/>
        </w:rPr>
      </w:pPr>
    </w:p>
    <w:p w:rsidR="004C1621" w:rsidRDefault="004C1621" w:rsidP="004C1621">
      <w:pPr>
        <w:rPr>
          <w:sz w:val="32"/>
          <w:szCs w:val="32"/>
        </w:rPr>
      </w:pPr>
    </w:p>
    <w:p w:rsidR="004C1621" w:rsidRDefault="004C1621" w:rsidP="004C1621">
      <w:pPr>
        <w:tabs>
          <w:tab w:val="left" w:pos="3135"/>
        </w:tabs>
        <w:rPr>
          <w:sz w:val="32"/>
          <w:szCs w:val="32"/>
        </w:rPr>
      </w:pPr>
      <w:r>
        <w:rPr>
          <w:sz w:val="32"/>
          <w:szCs w:val="32"/>
        </w:rPr>
        <w:tab/>
      </w:r>
    </w:p>
    <w:p w:rsidR="004C1621" w:rsidRDefault="004C1621" w:rsidP="004C1621">
      <w:pPr>
        <w:rPr>
          <w:sz w:val="32"/>
          <w:szCs w:val="32"/>
        </w:rPr>
      </w:pPr>
    </w:p>
    <w:p w:rsidR="0082552E" w:rsidRPr="004C1621" w:rsidRDefault="0082552E" w:rsidP="004C1621">
      <w:pPr>
        <w:rPr>
          <w:sz w:val="32"/>
          <w:szCs w:val="32"/>
        </w:rPr>
        <w:sectPr w:rsidR="0082552E" w:rsidRPr="004C1621" w:rsidSect="004C1621">
          <w:headerReference w:type="default" r:id="rId8"/>
          <w:footerReference w:type="even" r:id="rId9"/>
          <w:footerReference w:type="default" r:id="rId10"/>
          <w:type w:val="continuous"/>
          <w:pgSz w:w="12240" w:h="15840" w:code="1"/>
          <w:pgMar w:top="1152" w:right="1440" w:bottom="1152" w:left="1440" w:header="432" w:footer="432" w:gutter="0"/>
          <w:pgNumType w:fmt="lowerRoman" w:start="1"/>
          <w:cols w:space="720"/>
          <w:titlePg/>
        </w:sectPr>
      </w:pPr>
    </w:p>
    <w:p w:rsidR="00F910DE" w:rsidRDefault="00F910DE" w:rsidP="0082552E">
      <w:pPr>
        <w:jc w:val="center"/>
      </w:pPr>
      <w:r>
        <w:lastRenderedPageBreak/>
        <w:t>Table of Contents</w:t>
      </w:r>
    </w:p>
    <w:p w:rsidR="00F910DE" w:rsidRDefault="00F910DE">
      <w:pPr>
        <w:tabs>
          <w:tab w:val="left" w:leader="dot" w:pos="7920"/>
          <w:tab w:val="right" w:pos="8640"/>
        </w:tabs>
        <w:rPr>
          <w:b/>
        </w:rPr>
      </w:pPr>
    </w:p>
    <w:p w:rsidR="00F910DE" w:rsidRDefault="00F910DE">
      <w:pPr>
        <w:pStyle w:val="xl19"/>
        <w:tabs>
          <w:tab w:val="right" w:pos="8730"/>
        </w:tabs>
        <w:spacing w:before="0" w:after="0"/>
        <w:outlineLvl w:val="0"/>
        <w:rPr>
          <w:rFonts w:eastAsia="Times New Roman"/>
          <w:bCs/>
        </w:rPr>
      </w:pPr>
      <w:r>
        <w:rPr>
          <w:rFonts w:eastAsia="Times New Roman"/>
          <w:bCs/>
        </w:rPr>
        <w:tab/>
      </w:r>
      <w:r w:rsidR="00065881">
        <w:rPr>
          <w:rFonts w:eastAsia="Times New Roman"/>
          <w:bCs/>
        </w:rPr>
        <w:t xml:space="preserve">  </w:t>
      </w:r>
      <w:r>
        <w:rPr>
          <w:rFonts w:eastAsia="Times New Roman"/>
          <w:bCs/>
        </w:rPr>
        <w:t>Page No.</w:t>
      </w:r>
    </w:p>
    <w:p w:rsidR="00F910DE" w:rsidRDefault="00F910DE">
      <w:pPr>
        <w:tabs>
          <w:tab w:val="left" w:leader="dot" w:pos="7920"/>
          <w:tab w:val="right" w:pos="8640"/>
        </w:tabs>
        <w:rPr>
          <w:bCs/>
        </w:rPr>
      </w:pPr>
    </w:p>
    <w:p w:rsidR="00F910DE" w:rsidRDefault="00F910DE">
      <w:pPr>
        <w:pStyle w:val="xl19"/>
        <w:tabs>
          <w:tab w:val="left" w:leader="dot" w:pos="7920"/>
          <w:tab w:val="right" w:pos="8640"/>
        </w:tabs>
        <w:spacing w:before="0" w:after="0"/>
        <w:rPr>
          <w:b/>
          <w:bCs/>
        </w:rPr>
      </w:pPr>
    </w:p>
    <w:p w:rsidR="007F7D91" w:rsidRPr="00E0065D" w:rsidRDefault="007F7D91" w:rsidP="00083B82">
      <w:pPr>
        <w:pStyle w:val="xl19"/>
        <w:tabs>
          <w:tab w:val="right" w:leader="dot" w:pos="7920"/>
          <w:tab w:val="right" w:pos="8460"/>
        </w:tabs>
        <w:spacing w:before="0" w:after="0"/>
        <w:outlineLvl w:val="0"/>
        <w:rPr>
          <w:rFonts w:eastAsia="Times New Roman"/>
          <w:b/>
          <w:bCs/>
        </w:rPr>
      </w:pPr>
      <w:r w:rsidRPr="00E0065D">
        <w:rPr>
          <w:rFonts w:eastAsia="Times New Roman"/>
          <w:b/>
          <w:bCs/>
        </w:rPr>
        <w:t xml:space="preserve">I.    </w:t>
      </w:r>
      <w:r w:rsidRPr="00E0065D">
        <w:rPr>
          <w:b/>
          <w:bCs/>
        </w:rPr>
        <w:t>Overview</w:t>
      </w:r>
      <w:r w:rsidR="00521456">
        <w:rPr>
          <w:b/>
          <w:bCs/>
        </w:rPr>
        <w:tab/>
      </w:r>
      <w:r w:rsidR="00521456">
        <w:rPr>
          <w:b/>
          <w:bCs/>
        </w:rPr>
        <w:tab/>
      </w:r>
      <w:r w:rsidR="004F24FE" w:rsidRPr="00A91613">
        <w:rPr>
          <w:bCs/>
        </w:rPr>
        <w:t>2</w:t>
      </w:r>
    </w:p>
    <w:p w:rsidR="007F7D91" w:rsidRPr="00E0065D" w:rsidRDefault="007F7D91" w:rsidP="007F7D91">
      <w:pPr>
        <w:pStyle w:val="xl19"/>
        <w:tabs>
          <w:tab w:val="right" w:pos="8730"/>
        </w:tabs>
        <w:spacing w:before="0" w:after="0"/>
        <w:ind w:firstLine="720"/>
        <w:outlineLvl w:val="0"/>
        <w:rPr>
          <w:b/>
          <w:bCs/>
        </w:rPr>
      </w:pPr>
    </w:p>
    <w:p w:rsidR="007F7D91" w:rsidRDefault="007F7D91" w:rsidP="00521456">
      <w:pPr>
        <w:pStyle w:val="xl19"/>
        <w:tabs>
          <w:tab w:val="left" w:leader="dot" w:pos="7920"/>
          <w:tab w:val="left" w:pos="8280"/>
        </w:tabs>
        <w:spacing w:before="0" w:after="0"/>
        <w:outlineLvl w:val="0"/>
        <w:rPr>
          <w:b/>
          <w:bCs/>
        </w:rPr>
      </w:pPr>
      <w:r w:rsidRPr="00E0065D">
        <w:rPr>
          <w:b/>
          <w:bCs/>
        </w:rPr>
        <w:t>II   Summary of Program Changes</w:t>
      </w:r>
      <w:r>
        <w:rPr>
          <w:b/>
          <w:bCs/>
        </w:rPr>
        <w:tab/>
      </w:r>
      <w:r w:rsidR="00521456">
        <w:rPr>
          <w:b/>
          <w:bCs/>
        </w:rPr>
        <w:t xml:space="preserve"> </w:t>
      </w:r>
      <w:r w:rsidR="00521456">
        <w:rPr>
          <w:b/>
          <w:bCs/>
        </w:rPr>
        <w:tab/>
      </w:r>
      <w:r w:rsidR="008754FE">
        <w:rPr>
          <w:b/>
          <w:bCs/>
        </w:rPr>
        <w:t xml:space="preserve"> </w:t>
      </w:r>
      <w:r w:rsidR="008754FE">
        <w:rPr>
          <w:bCs/>
        </w:rPr>
        <w:t>5</w:t>
      </w:r>
    </w:p>
    <w:p w:rsidR="00D95A11" w:rsidRDefault="00D95A11" w:rsidP="00521456">
      <w:pPr>
        <w:pStyle w:val="xl19"/>
        <w:tabs>
          <w:tab w:val="left" w:leader="dot" w:pos="7920"/>
          <w:tab w:val="left" w:pos="8280"/>
        </w:tabs>
        <w:spacing w:before="0" w:after="0"/>
        <w:outlineLvl w:val="0"/>
        <w:rPr>
          <w:b/>
          <w:bCs/>
        </w:rPr>
      </w:pPr>
    </w:p>
    <w:p w:rsidR="007F7D91" w:rsidRDefault="00D95A11" w:rsidP="00521456">
      <w:pPr>
        <w:pStyle w:val="xl19"/>
        <w:tabs>
          <w:tab w:val="left" w:leader="dot" w:pos="7920"/>
          <w:tab w:val="left" w:pos="8280"/>
          <w:tab w:val="right" w:pos="8640"/>
        </w:tabs>
        <w:spacing w:before="0" w:after="0"/>
        <w:rPr>
          <w:b/>
        </w:rPr>
      </w:pPr>
      <w:r w:rsidRPr="00E0065D">
        <w:rPr>
          <w:b/>
        </w:rPr>
        <w:t xml:space="preserve">III. </w:t>
      </w:r>
      <w:r w:rsidR="007F7D91" w:rsidRPr="00E0065D">
        <w:rPr>
          <w:b/>
        </w:rPr>
        <w:t>Appropriations Language and Analysis of Appropriations Language</w:t>
      </w:r>
      <w:r w:rsidR="007F7D91" w:rsidRPr="00E0065D">
        <w:rPr>
          <w:b/>
        </w:rPr>
        <w:tab/>
      </w:r>
      <w:r w:rsidR="00083B82">
        <w:rPr>
          <w:b/>
        </w:rPr>
        <w:tab/>
        <w:t xml:space="preserve"> </w:t>
      </w:r>
      <w:r w:rsidR="008754FE">
        <w:t>5</w:t>
      </w:r>
      <w:r w:rsidR="00521456">
        <w:rPr>
          <w:b/>
        </w:rPr>
        <w:tab/>
      </w:r>
    </w:p>
    <w:p w:rsidR="00317598" w:rsidRDefault="00317598" w:rsidP="00521456">
      <w:pPr>
        <w:pStyle w:val="xl19"/>
        <w:tabs>
          <w:tab w:val="left" w:leader="dot" w:pos="7920"/>
          <w:tab w:val="left" w:pos="8280"/>
          <w:tab w:val="right" w:pos="8640"/>
        </w:tabs>
        <w:spacing w:before="0" w:after="0"/>
        <w:rPr>
          <w:b/>
        </w:rPr>
      </w:pPr>
    </w:p>
    <w:p w:rsidR="007F7D91" w:rsidRPr="00317598" w:rsidRDefault="00317598" w:rsidP="00317598">
      <w:pPr>
        <w:pStyle w:val="xl19"/>
        <w:tabs>
          <w:tab w:val="left" w:leader="dot" w:pos="7920"/>
          <w:tab w:val="left" w:pos="8280"/>
          <w:tab w:val="right" w:pos="8640"/>
        </w:tabs>
        <w:spacing w:before="0" w:after="0"/>
        <w:rPr>
          <w:b/>
        </w:rPr>
      </w:pPr>
      <w:r w:rsidRPr="00317598">
        <w:rPr>
          <w:b/>
        </w:rPr>
        <w:t>IV.</w:t>
      </w:r>
      <w:r w:rsidR="007F7D91" w:rsidRPr="00317598">
        <w:rPr>
          <w:b/>
        </w:rPr>
        <w:t xml:space="preserve"> Decision Unit Justificatio</w:t>
      </w:r>
      <w:r w:rsidR="0090387F">
        <w:rPr>
          <w:b/>
        </w:rPr>
        <w:t>n</w:t>
      </w:r>
      <w:r w:rsidR="0090387F">
        <w:rPr>
          <w:b/>
          <w:bCs/>
        </w:rPr>
        <w:tab/>
      </w:r>
      <w:r w:rsidR="0090387F">
        <w:rPr>
          <w:b/>
          <w:bCs/>
        </w:rPr>
        <w:tab/>
      </w:r>
      <w:r w:rsidR="007350C8">
        <w:rPr>
          <w:b/>
          <w:bCs/>
        </w:rPr>
        <w:t xml:space="preserve"> </w:t>
      </w:r>
      <w:r w:rsidR="00F63A59" w:rsidRPr="00F63A59">
        <w:rPr>
          <w:bCs/>
        </w:rPr>
        <w:t>6</w:t>
      </w:r>
    </w:p>
    <w:p w:rsidR="007F7D91" w:rsidRDefault="007F7D91" w:rsidP="00521456">
      <w:pPr>
        <w:tabs>
          <w:tab w:val="left" w:leader="dot" w:pos="7920"/>
          <w:tab w:val="left" w:pos="8280"/>
          <w:tab w:val="right" w:pos="8640"/>
        </w:tabs>
        <w:rPr>
          <w:bCs/>
        </w:rPr>
      </w:pPr>
      <w:r>
        <w:rPr>
          <w:bCs/>
        </w:rPr>
        <w:t xml:space="preserve">     </w:t>
      </w:r>
    </w:p>
    <w:p w:rsidR="007F7D91" w:rsidRDefault="007F7D91" w:rsidP="00521456">
      <w:pPr>
        <w:tabs>
          <w:tab w:val="left" w:leader="dot" w:pos="7920"/>
          <w:tab w:val="left" w:pos="8280"/>
          <w:tab w:val="right" w:pos="8640"/>
        </w:tabs>
        <w:rPr>
          <w:bCs/>
        </w:rPr>
      </w:pPr>
      <w:r>
        <w:rPr>
          <w:bCs/>
        </w:rPr>
        <w:t xml:space="preserve">     A.  </w:t>
      </w:r>
      <w:r w:rsidR="00FC34B1">
        <w:rPr>
          <w:bCs/>
        </w:rPr>
        <w:t>Federal Appellate Activity</w:t>
      </w:r>
      <w:r w:rsidR="00384DF7" w:rsidRPr="0090387F">
        <w:rPr>
          <w:bCs/>
        </w:rPr>
        <w:tab/>
      </w:r>
      <w:r w:rsidR="0090387F">
        <w:rPr>
          <w:bCs/>
        </w:rPr>
        <w:tab/>
      </w:r>
      <w:r w:rsidR="007350C8">
        <w:rPr>
          <w:bCs/>
        </w:rPr>
        <w:t xml:space="preserve"> </w:t>
      </w:r>
      <w:r w:rsidR="0090387F">
        <w:rPr>
          <w:bCs/>
        </w:rPr>
        <w:t>6</w:t>
      </w:r>
    </w:p>
    <w:p w:rsidR="007F7D91" w:rsidRDefault="007F7D91" w:rsidP="00521456">
      <w:pPr>
        <w:tabs>
          <w:tab w:val="left" w:leader="dot" w:pos="7920"/>
          <w:tab w:val="left" w:pos="8280"/>
          <w:tab w:val="right" w:pos="8640"/>
        </w:tabs>
        <w:rPr>
          <w:bCs/>
        </w:rPr>
      </w:pPr>
      <w:r>
        <w:rPr>
          <w:bCs/>
        </w:rPr>
        <w:t xml:space="preserve">           1.  Program Description</w:t>
      </w:r>
    </w:p>
    <w:p w:rsidR="007F7D91" w:rsidRDefault="007F7D91" w:rsidP="00521456">
      <w:pPr>
        <w:tabs>
          <w:tab w:val="left" w:leader="dot" w:pos="7920"/>
          <w:tab w:val="left" w:pos="8280"/>
          <w:tab w:val="right" w:pos="8640"/>
        </w:tabs>
        <w:rPr>
          <w:bCs/>
        </w:rPr>
      </w:pPr>
      <w:r>
        <w:rPr>
          <w:bCs/>
        </w:rPr>
        <w:t xml:space="preserve">           2.  Performance Tables</w:t>
      </w:r>
    </w:p>
    <w:p w:rsidR="00FC34B1" w:rsidRDefault="007F7D91" w:rsidP="00AF7137">
      <w:pPr>
        <w:tabs>
          <w:tab w:val="left" w:leader="dot" w:pos="7920"/>
          <w:tab w:val="left" w:pos="8280"/>
          <w:tab w:val="right" w:pos="8640"/>
        </w:tabs>
      </w:pPr>
      <w:r>
        <w:rPr>
          <w:bCs/>
        </w:rPr>
        <w:t xml:space="preserve">           3.  </w:t>
      </w:r>
      <w:r>
        <w:t>Performance, Resources, and Strategies</w:t>
      </w:r>
    </w:p>
    <w:p w:rsidR="00FC34B1" w:rsidRDefault="00FC34B1" w:rsidP="00AF7137">
      <w:pPr>
        <w:tabs>
          <w:tab w:val="left" w:leader="dot" w:pos="7920"/>
          <w:tab w:val="left" w:pos="8280"/>
          <w:tab w:val="right" w:pos="8640"/>
        </w:tabs>
        <w:rPr>
          <w:bCs/>
        </w:rPr>
      </w:pPr>
    </w:p>
    <w:p w:rsidR="007F7D91" w:rsidRDefault="007F7D91" w:rsidP="00521456">
      <w:pPr>
        <w:tabs>
          <w:tab w:val="left" w:leader="dot" w:pos="7920"/>
          <w:tab w:val="left" w:pos="8280"/>
          <w:tab w:val="right" w:pos="8640"/>
        </w:tabs>
        <w:rPr>
          <w:bCs/>
        </w:rPr>
      </w:pPr>
      <w:r w:rsidRPr="00AF7137">
        <w:rPr>
          <w:b/>
        </w:rPr>
        <w:t>V. Program Increases by Item</w:t>
      </w:r>
      <w:r w:rsidR="0090387F">
        <w:rPr>
          <w:b/>
          <w:bCs/>
        </w:rPr>
        <w:tab/>
      </w:r>
      <w:r w:rsidR="0090387F">
        <w:rPr>
          <w:b/>
          <w:bCs/>
        </w:rPr>
        <w:tab/>
      </w:r>
      <w:r w:rsidR="00F63A59" w:rsidRPr="00F63A59">
        <w:rPr>
          <w:bCs/>
        </w:rPr>
        <w:t>12</w:t>
      </w:r>
    </w:p>
    <w:p w:rsidR="00AF7137" w:rsidRDefault="007F7D91" w:rsidP="00AF7137">
      <w:pPr>
        <w:tabs>
          <w:tab w:val="left" w:leader="dot" w:pos="7920"/>
          <w:tab w:val="left" w:pos="8280"/>
          <w:tab w:val="right" w:pos="8640"/>
        </w:tabs>
        <w:rPr>
          <w:b/>
          <w:bCs/>
        </w:rPr>
      </w:pPr>
      <w:r>
        <w:rPr>
          <w:bCs/>
        </w:rPr>
        <w:t xml:space="preserve">     </w:t>
      </w:r>
      <w:r w:rsidR="00AF7137">
        <w:rPr>
          <w:bCs/>
        </w:rPr>
        <w:t xml:space="preserve"> </w:t>
      </w:r>
    </w:p>
    <w:p w:rsidR="00AF7137" w:rsidRPr="008E12A4" w:rsidRDefault="00AF7137" w:rsidP="00AF7137">
      <w:pPr>
        <w:tabs>
          <w:tab w:val="left" w:leader="dot" w:pos="7920"/>
          <w:tab w:val="left" w:pos="8280"/>
          <w:tab w:val="right" w:pos="8640"/>
        </w:tabs>
        <w:rPr>
          <w:bCs/>
        </w:rPr>
      </w:pPr>
      <w:r>
        <w:rPr>
          <w:b/>
          <w:bCs/>
        </w:rPr>
        <w:t>VI</w:t>
      </w:r>
      <w:r w:rsidR="00F44DD0">
        <w:rPr>
          <w:b/>
          <w:bCs/>
        </w:rPr>
        <w:t xml:space="preserve">. </w:t>
      </w:r>
      <w:r w:rsidRPr="00AF7137">
        <w:rPr>
          <w:b/>
          <w:bCs/>
        </w:rPr>
        <w:t>Program Offsets by Item</w:t>
      </w:r>
      <w:r w:rsidR="008E12A4">
        <w:rPr>
          <w:b/>
          <w:bCs/>
        </w:rPr>
        <w:tab/>
      </w:r>
      <w:r w:rsidR="008E12A4">
        <w:rPr>
          <w:b/>
          <w:bCs/>
        </w:rPr>
        <w:tab/>
      </w:r>
      <w:r w:rsidR="008E12A4" w:rsidRPr="0090387F">
        <w:rPr>
          <w:bCs/>
        </w:rPr>
        <w:t>12</w:t>
      </w:r>
    </w:p>
    <w:p w:rsidR="00814318" w:rsidRDefault="00814318" w:rsidP="00AF7137">
      <w:pPr>
        <w:tabs>
          <w:tab w:val="left" w:leader="dot" w:pos="7920"/>
          <w:tab w:val="left" w:pos="8280"/>
          <w:tab w:val="right" w:pos="8640"/>
        </w:tabs>
        <w:rPr>
          <w:b/>
          <w:bCs/>
        </w:rPr>
      </w:pPr>
    </w:p>
    <w:p w:rsidR="00AF7137" w:rsidRPr="00AF7137" w:rsidRDefault="00AF7137" w:rsidP="00FC34B1">
      <w:pPr>
        <w:tabs>
          <w:tab w:val="left" w:leader="dot" w:pos="7920"/>
          <w:tab w:val="left" w:pos="8280"/>
          <w:tab w:val="right" w:pos="8640"/>
        </w:tabs>
        <w:rPr>
          <w:bCs/>
        </w:rPr>
      </w:pPr>
      <w:r>
        <w:rPr>
          <w:bCs/>
        </w:rPr>
        <w:t xml:space="preserve">      </w:t>
      </w:r>
      <w:r w:rsidRPr="00AF7137">
        <w:rPr>
          <w:bCs/>
        </w:rPr>
        <w:t xml:space="preserve">A. </w:t>
      </w:r>
      <w:r w:rsidR="0090387F">
        <w:rPr>
          <w:bCs/>
        </w:rPr>
        <w:t>Administrative Functions Consolidation</w:t>
      </w:r>
      <w:r w:rsidRPr="00AF7137">
        <w:rPr>
          <w:bCs/>
        </w:rPr>
        <w:tab/>
        <w:t xml:space="preserve">      </w:t>
      </w:r>
      <w:r w:rsidR="004B3DD3">
        <w:rPr>
          <w:bCs/>
        </w:rPr>
        <w:t>1</w:t>
      </w:r>
      <w:r w:rsidR="00655A81">
        <w:rPr>
          <w:bCs/>
        </w:rPr>
        <w:t>2</w:t>
      </w:r>
    </w:p>
    <w:p w:rsidR="007F7D91" w:rsidRPr="00AF7137" w:rsidRDefault="007F7D91" w:rsidP="00521456">
      <w:pPr>
        <w:tabs>
          <w:tab w:val="left" w:leader="dot" w:pos="7920"/>
          <w:tab w:val="left" w:pos="8280"/>
          <w:tab w:val="right" w:pos="8640"/>
        </w:tabs>
        <w:rPr>
          <w:bCs/>
        </w:rPr>
      </w:pPr>
    </w:p>
    <w:p w:rsidR="007F7D91" w:rsidRDefault="00E46C1A" w:rsidP="00521456">
      <w:pPr>
        <w:pStyle w:val="xl27"/>
        <w:tabs>
          <w:tab w:val="left" w:leader="dot" w:pos="7920"/>
          <w:tab w:val="left" w:pos="8280"/>
          <w:tab w:val="right" w:pos="8640"/>
        </w:tabs>
        <w:spacing w:before="0" w:after="0"/>
        <w:rPr>
          <w:rFonts w:ascii="Times New Roman" w:eastAsia="Times New Roman" w:hAnsi="Times New Roman"/>
          <w:bCs/>
          <w:szCs w:val="24"/>
        </w:rPr>
      </w:pPr>
      <w:r>
        <w:rPr>
          <w:rFonts w:ascii="Times New Roman" w:eastAsia="Times New Roman" w:hAnsi="Times New Roman"/>
          <w:bCs/>
          <w:szCs w:val="24"/>
        </w:rPr>
        <w:t>VI</w:t>
      </w:r>
      <w:r w:rsidR="00AF7137">
        <w:rPr>
          <w:rFonts w:ascii="Times New Roman" w:eastAsia="Times New Roman" w:hAnsi="Times New Roman"/>
          <w:bCs/>
          <w:szCs w:val="24"/>
        </w:rPr>
        <w:t>I</w:t>
      </w:r>
      <w:r w:rsidR="00F44DD0">
        <w:rPr>
          <w:rFonts w:ascii="Times New Roman" w:eastAsia="Times New Roman" w:hAnsi="Times New Roman"/>
          <w:bCs/>
          <w:szCs w:val="24"/>
        </w:rPr>
        <w:t>. Exhibits</w:t>
      </w:r>
    </w:p>
    <w:p w:rsidR="007F7D91" w:rsidRDefault="007F7D91" w:rsidP="00521456">
      <w:pPr>
        <w:tabs>
          <w:tab w:val="left" w:leader="dot" w:pos="7920"/>
          <w:tab w:val="left" w:pos="8280"/>
          <w:tab w:val="right" w:pos="8640"/>
        </w:tabs>
        <w:outlineLvl w:val="0"/>
        <w:rPr>
          <w:b/>
          <w:bCs/>
        </w:rPr>
      </w:pPr>
    </w:p>
    <w:p w:rsidR="007F7D91" w:rsidRDefault="0086793A" w:rsidP="00521456">
      <w:pPr>
        <w:numPr>
          <w:ilvl w:val="0"/>
          <w:numId w:val="10"/>
        </w:numPr>
        <w:tabs>
          <w:tab w:val="left" w:leader="dot" w:pos="7920"/>
          <w:tab w:val="left" w:pos="8280"/>
          <w:tab w:val="right" w:pos="8640"/>
        </w:tabs>
        <w:outlineLvl w:val="0"/>
        <w:rPr>
          <w:bCs/>
        </w:rPr>
      </w:pPr>
      <w:r>
        <w:t>Organizational Chart</w:t>
      </w:r>
    </w:p>
    <w:p w:rsidR="007F7D91" w:rsidRDefault="0086793A" w:rsidP="00521456">
      <w:pPr>
        <w:pStyle w:val="xl19"/>
        <w:tabs>
          <w:tab w:val="left" w:leader="dot" w:pos="7920"/>
          <w:tab w:val="left" w:pos="8280"/>
          <w:tab w:val="right" w:pos="8640"/>
        </w:tabs>
        <w:spacing w:before="0" w:after="0"/>
        <w:ind w:left="360"/>
        <w:rPr>
          <w:rFonts w:eastAsia="Times New Roman"/>
          <w:bCs/>
        </w:rPr>
      </w:pPr>
      <w:r>
        <w:rPr>
          <w:rFonts w:eastAsia="Times New Roman"/>
          <w:bCs/>
        </w:rPr>
        <w:t xml:space="preserve">B.   Summary of Requirements </w:t>
      </w:r>
    </w:p>
    <w:p w:rsidR="007F7D91" w:rsidRDefault="007F7D91" w:rsidP="00521456">
      <w:pPr>
        <w:tabs>
          <w:tab w:val="left" w:leader="dot" w:pos="7920"/>
          <w:tab w:val="left" w:pos="8280"/>
          <w:tab w:val="right" w:pos="8640"/>
        </w:tabs>
        <w:ind w:left="360"/>
        <w:rPr>
          <w:bCs/>
        </w:rPr>
      </w:pPr>
      <w:r>
        <w:rPr>
          <w:bCs/>
        </w:rPr>
        <w:t xml:space="preserve">C.  </w:t>
      </w:r>
      <w:r w:rsidR="00655A81">
        <w:rPr>
          <w:bCs/>
        </w:rPr>
        <w:t xml:space="preserve">FY 2013 </w:t>
      </w:r>
      <w:r>
        <w:rPr>
          <w:bCs/>
        </w:rPr>
        <w:t>Program Increases</w:t>
      </w:r>
      <w:r w:rsidR="00655A81">
        <w:rPr>
          <w:bCs/>
        </w:rPr>
        <w:t>/Offsets</w:t>
      </w:r>
      <w:r>
        <w:rPr>
          <w:bCs/>
        </w:rPr>
        <w:t xml:space="preserve"> by Decision Unit</w:t>
      </w:r>
    </w:p>
    <w:p w:rsidR="007F7D91" w:rsidRDefault="007F7D91" w:rsidP="00521456">
      <w:pPr>
        <w:numPr>
          <w:ilvl w:val="0"/>
          <w:numId w:val="11"/>
        </w:numPr>
        <w:tabs>
          <w:tab w:val="left" w:leader="dot" w:pos="7920"/>
          <w:tab w:val="left" w:pos="8280"/>
          <w:tab w:val="right" w:pos="8640"/>
        </w:tabs>
        <w:rPr>
          <w:bCs/>
        </w:rPr>
      </w:pPr>
      <w:r w:rsidRPr="00FA7106">
        <w:rPr>
          <w:bCs/>
        </w:rPr>
        <w:t xml:space="preserve">Resources </w:t>
      </w:r>
      <w:r w:rsidR="0086793A" w:rsidRPr="00FA7106">
        <w:rPr>
          <w:bCs/>
        </w:rPr>
        <w:t>by DOJ Strategic Goal/Objective</w:t>
      </w:r>
      <w:r w:rsidR="00A14575" w:rsidRPr="00FA7106">
        <w:rPr>
          <w:bCs/>
        </w:rPr>
        <w:t xml:space="preserve"> </w:t>
      </w:r>
    </w:p>
    <w:p w:rsidR="000D4060" w:rsidRPr="00FA7106" w:rsidRDefault="006047C2" w:rsidP="00521456">
      <w:pPr>
        <w:numPr>
          <w:ilvl w:val="0"/>
          <w:numId w:val="11"/>
        </w:numPr>
        <w:tabs>
          <w:tab w:val="left" w:leader="dot" w:pos="7920"/>
          <w:tab w:val="left" w:pos="8280"/>
          <w:tab w:val="right" w:pos="8640"/>
        </w:tabs>
        <w:rPr>
          <w:bCs/>
        </w:rPr>
      </w:pPr>
      <w:r>
        <w:rPr>
          <w:bCs/>
        </w:rPr>
        <w:t>Justification for Base Adjustments</w:t>
      </w:r>
    </w:p>
    <w:p w:rsidR="007F7D91" w:rsidRDefault="0086793A" w:rsidP="00521456">
      <w:pPr>
        <w:numPr>
          <w:ilvl w:val="0"/>
          <w:numId w:val="11"/>
        </w:numPr>
        <w:tabs>
          <w:tab w:val="left" w:leader="dot" w:pos="7920"/>
          <w:tab w:val="left" w:pos="8280"/>
          <w:tab w:val="right" w:pos="8640"/>
        </w:tabs>
        <w:rPr>
          <w:bCs/>
        </w:rPr>
      </w:pPr>
      <w:r>
        <w:rPr>
          <w:bCs/>
        </w:rPr>
        <w:t xml:space="preserve">Crosswalk of </w:t>
      </w:r>
      <w:r w:rsidR="00942F84">
        <w:rPr>
          <w:bCs/>
        </w:rPr>
        <w:t>201</w:t>
      </w:r>
      <w:r w:rsidR="00655A81">
        <w:rPr>
          <w:bCs/>
        </w:rPr>
        <w:t>1</w:t>
      </w:r>
      <w:r>
        <w:rPr>
          <w:bCs/>
        </w:rPr>
        <w:t xml:space="preserve"> Availability</w:t>
      </w:r>
    </w:p>
    <w:p w:rsidR="007F7D91" w:rsidRDefault="007F7D91" w:rsidP="00521456">
      <w:pPr>
        <w:numPr>
          <w:ilvl w:val="0"/>
          <w:numId w:val="11"/>
        </w:numPr>
        <w:tabs>
          <w:tab w:val="left" w:leader="dot" w:pos="7920"/>
          <w:tab w:val="left" w:pos="8280"/>
          <w:tab w:val="right" w:pos="8640"/>
        </w:tabs>
        <w:rPr>
          <w:bCs/>
        </w:rPr>
      </w:pPr>
      <w:r>
        <w:rPr>
          <w:bCs/>
        </w:rPr>
        <w:t xml:space="preserve">Crosswalk of </w:t>
      </w:r>
      <w:r w:rsidR="00942F84">
        <w:rPr>
          <w:bCs/>
        </w:rPr>
        <w:t>201</w:t>
      </w:r>
      <w:r w:rsidR="00655A81">
        <w:rPr>
          <w:bCs/>
        </w:rPr>
        <w:t>2</w:t>
      </w:r>
      <w:r>
        <w:rPr>
          <w:bCs/>
        </w:rPr>
        <w:t xml:space="preserve"> Availab</w:t>
      </w:r>
      <w:r w:rsidR="0086793A">
        <w:rPr>
          <w:bCs/>
        </w:rPr>
        <w:t>ility</w:t>
      </w:r>
    </w:p>
    <w:p w:rsidR="007F7D91" w:rsidRDefault="007F7D91" w:rsidP="00521456">
      <w:pPr>
        <w:numPr>
          <w:ilvl w:val="0"/>
          <w:numId w:val="11"/>
        </w:numPr>
        <w:tabs>
          <w:tab w:val="left" w:leader="dot" w:pos="7920"/>
          <w:tab w:val="left" w:pos="8280"/>
          <w:tab w:val="right" w:pos="8640"/>
        </w:tabs>
        <w:rPr>
          <w:bCs/>
        </w:rPr>
      </w:pPr>
      <w:r>
        <w:rPr>
          <w:bCs/>
        </w:rPr>
        <w:t>Su</w:t>
      </w:r>
      <w:r w:rsidR="0086793A">
        <w:rPr>
          <w:bCs/>
        </w:rPr>
        <w:t>mmary of Reimbursable Resources</w:t>
      </w:r>
    </w:p>
    <w:p w:rsidR="007F7D91" w:rsidRDefault="007F7D91" w:rsidP="00521456">
      <w:pPr>
        <w:numPr>
          <w:ilvl w:val="0"/>
          <w:numId w:val="11"/>
        </w:numPr>
        <w:tabs>
          <w:tab w:val="left" w:leader="dot" w:pos="7920"/>
          <w:tab w:val="left" w:pos="8280"/>
          <w:tab w:val="right" w:pos="8640"/>
        </w:tabs>
        <w:rPr>
          <w:bCs/>
        </w:rPr>
      </w:pPr>
      <w:r>
        <w:rPr>
          <w:bCs/>
        </w:rPr>
        <w:t xml:space="preserve">Detail of </w:t>
      </w:r>
      <w:r w:rsidR="0086793A">
        <w:rPr>
          <w:bCs/>
        </w:rPr>
        <w:t>Permanent Positions by Category</w:t>
      </w:r>
    </w:p>
    <w:p w:rsidR="007F7D91" w:rsidRDefault="007F7D91" w:rsidP="00521456">
      <w:pPr>
        <w:numPr>
          <w:ilvl w:val="0"/>
          <w:numId w:val="11"/>
        </w:numPr>
        <w:tabs>
          <w:tab w:val="left" w:leader="dot" w:pos="7920"/>
          <w:tab w:val="left" w:pos="8280"/>
          <w:tab w:val="right" w:pos="8640"/>
        </w:tabs>
        <w:rPr>
          <w:bCs/>
        </w:rPr>
      </w:pPr>
      <w:r>
        <w:rPr>
          <w:bCs/>
        </w:rPr>
        <w:t>Financial Analys</w:t>
      </w:r>
      <w:r w:rsidR="0086793A">
        <w:rPr>
          <w:bCs/>
        </w:rPr>
        <w:t>is of Program Increases/Offsets</w:t>
      </w:r>
    </w:p>
    <w:p w:rsidR="00084039" w:rsidRDefault="00084039" w:rsidP="00084039">
      <w:pPr>
        <w:numPr>
          <w:ilvl w:val="0"/>
          <w:numId w:val="11"/>
        </w:numPr>
        <w:tabs>
          <w:tab w:val="left" w:leader="dot" w:pos="7920"/>
          <w:tab w:val="left" w:pos="8280"/>
          <w:tab w:val="right" w:pos="8640"/>
        </w:tabs>
        <w:rPr>
          <w:bCs/>
        </w:rPr>
      </w:pPr>
      <w:r>
        <w:rPr>
          <w:bCs/>
        </w:rPr>
        <w:t>Summary of Requirements by Grade</w:t>
      </w:r>
    </w:p>
    <w:p w:rsidR="00084039" w:rsidRDefault="00084039" w:rsidP="00084039">
      <w:pPr>
        <w:numPr>
          <w:ilvl w:val="0"/>
          <w:numId w:val="11"/>
        </w:numPr>
        <w:tabs>
          <w:tab w:val="left" w:leader="dot" w:pos="7920"/>
          <w:tab w:val="left" w:pos="8280"/>
          <w:tab w:val="right" w:pos="8640"/>
        </w:tabs>
        <w:rPr>
          <w:bCs/>
        </w:rPr>
      </w:pPr>
      <w:r>
        <w:rPr>
          <w:bCs/>
        </w:rPr>
        <w:t>Summary of Requirements by Object Class</w:t>
      </w:r>
    </w:p>
    <w:p w:rsidR="00084039" w:rsidRPr="00A960B5" w:rsidRDefault="00084039" w:rsidP="00084039">
      <w:pPr>
        <w:numPr>
          <w:ilvl w:val="0"/>
          <w:numId w:val="11"/>
        </w:numPr>
        <w:tabs>
          <w:tab w:val="left" w:leader="dot" w:pos="7920"/>
          <w:tab w:val="left" w:pos="8280"/>
          <w:tab w:val="right" w:pos="8640"/>
        </w:tabs>
        <w:rPr>
          <w:bCs/>
          <w:i/>
        </w:rPr>
      </w:pPr>
      <w:r>
        <w:rPr>
          <w:bCs/>
        </w:rPr>
        <w:t xml:space="preserve">Status of Congressionally Requested Studies, Reports, and Evaluations </w:t>
      </w:r>
      <w:r w:rsidR="00317598">
        <w:rPr>
          <w:bCs/>
        </w:rPr>
        <w:br/>
      </w:r>
    </w:p>
    <w:p w:rsidR="00CD5395" w:rsidRPr="00A960B5" w:rsidRDefault="00CD5395" w:rsidP="005644E2">
      <w:pPr>
        <w:tabs>
          <w:tab w:val="left" w:leader="dot" w:pos="7920"/>
          <w:tab w:val="left" w:pos="8280"/>
          <w:tab w:val="right" w:pos="8640"/>
        </w:tabs>
        <w:ind w:left="360"/>
        <w:rPr>
          <w:bCs/>
          <w:i/>
        </w:rPr>
      </w:pPr>
    </w:p>
    <w:p w:rsidR="00851AE1" w:rsidRDefault="00851AE1" w:rsidP="005644E2">
      <w:pPr>
        <w:tabs>
          <w:tab w:val="left" w:leader="dot" w:pos="7920"/>
          <w:tab w:val="left" w:pos="8280"/>
          <w:tab w:val="right" w:pos="8640"/>
        </w:tabs>
      </w:pPr>
    </w:p>
    <w:p w:rsidR="005644E2" w:rsidRDefault="005644E2" w:rsidP="005644E2">
      <w:pPr>
        <w:tabs>
          <w:tab w:val="left" w:leader="dot" w:pos="7920"/>
          <w:tab w:val="left" w:pos="8280"/>
          <w:tab w:val="right" w:pos="8640"/>
        </w:tabs>
      </w:pPr>
    </w:p>
    <w:p w:rsidR="005644E2" w:rsidRDefault="005644E2" w:rsidP="005644E2">
      <w:pPr>
        <w:tabs>
          <w:tab w:val="left" w:leader="dot" w:pos="7920"/>
          <w:tab w:val="left" w:pos="8280"/>
          <w:tab w:val="right" w:pos="8640"/>
        </w:tabs>
      </w:pPr>
    </w:p>
    <w:p w:rsidR="00F910DE" w:rsidRPr="00FC34B1" w:rsidRDefault="00317598">
      <w:pPr>
        <w:pStyle w:val="BodyText"/>
        <w:rPr>
          <w:b/>
          <w:bCs/>
          <w:sz w:val="28"/>
          <w:szCs w:val="28"/>
        </w:rPr>
      </w:pPr>
      <w:r>
        <w:rPr>
          <w:b/>
          <w:bCs/>
          <w:sz w:val="28"/>
          <w:szCs w:val="28"/>
        </w:rPr>
        <w:br w:type="page"/>
      </w:r>
      <w:r w:rsidR="00DA1F20" w:rsidRPr="00FC34B1">
        <w:rPr>
          <w:b/>
          <w:bCs/>
          <w:sz w:val="28"/>
          <w:szCs w:val="28"/>
        </w:rPr>
        <w:lastRenderedPageBreak/>
        <w:t xml:space="preserve">I.  Overview </w:t>
      </w:r>
      <w:r w:rsidR="00C201B8">
        <w:rPr>
          <w:b/>
          <w:bCs/>
          <w:sz w:val="28"/>
          <w:szCs w:val="28"/>
        </w:rPr>
        <w:t xml:space="preserve">for </w:t>
      </w:r>
      <w:r w:rsidR="00DA1F20" w:rsidRPr="00FC34B1">
        <w:rPr>
          <w:b/>
          <w:bCs/>
          <w:sz w:val="28"/>
          <w:szCs w:val="28"/>
        </w:rPr>
        <w:t>the Office of the Solicitor General</w:t>
      </w:r>
    </w:p>
    <w:p w:rsidR="00AB3216" w:rsidRDefault="00AB3216" w:rsidP="00AB3216">
      <w:pPr>
        <w:pStyle w:val="xl27"/>
        <w:spacing w:before="0" w:after="0"/>
        <w:rPr>
          <w:sz w:val="22"/>
        </w:rPr>
      </w:pPr>
      <w:r>
        <w:rPr>
          <w:sz w:val="22"/>
        </w:rPr>
        <w:t xml:space="preserve"> </w:t>
      </w:r>
    </w:p>
    <w:p w:rsidR="00DA1F20" w:rsidRPr="00C04631" w:rsidRDefault="00DA1F20" w:rsidP="00DA1F20">
      <w:pPr>
        <w:pStyle w:val="xl33"/>
        <w:tabs>
          <w:tab w:val="left" w:leader="dot" w:pos="7920"/>
          <w:tab w:val="right" w:pos="8640"/>
        </w:tabs>
        <w:spacing w:before="0" w:after="0"/>
        <w:jc w:val="left"/>
        <w:rPr>
          <w:rFonts w:ascii="Times New Roman" w:hAnsi="Times New Roman"/>
          <w:bCs/>
          <w:szCs w:val="24"/>
        </w:rPr>
      </w:pPr>
      <w:r w:rsidRPr="00C04631">
        <w:rPr>
          <w:rFonts w:ascii="Times New Roman" w:hAnsi="Times New Roman"/>
          <w:bCs/>
          <w:szCs w:val="24"/>
        </w:rPr>
        <w:t>1.  Introduction</w:t>
      </w:r>
    </w:p>
    <w:p w:rsidR="00DA1F20" w:rsidRPr="00C04631" w:rsidRDefault="00DA1F20" w:rsidP="00DA1F20">
      <w:pPr>
        <w:pStyle w:val="xl33"/>
        <w:tabs>
          <w:tab w:val="left" w:leader="dot" w:pos="7920"/>
          <w:tab w:val="right" w:pos="8640"/>
        </w:tabs>
        <w:spacing w:before="0" w:after="0"/>
        <w:jc w:val="left"/>
        <w:rPr>
          <w:rFonts w:ascii="Times New Roman" w:hAnsi="Times New Roman"/>
          <w:b w:val="0"/>
          <w:bCs/>
          <w:szCs w:val="24"/>
        </w:rPr>
      </w:pPr>
    </w:p>
    <w:p w:rsidR="00655A81" w:rsidRDefault="00655A81" w:rsidP="00655A81">
      <w:pPr>
        <w:pStyle w:val="xl33"/>
        <w:tabs>
          <w:tab w:val="left" w:leader="dot" w:pos="7920"/>
          <w:tab w:val="right" w:pos="8640"/>
        </w:tabs>
        <w:spacing w:before="0" w:after="0"/>
        <w:jc w:val="left"/>
        <w:rPr>
          <w:rFonts w:ascii="Times New Roman" w:hAnsi="Times New Roman"/>
          <w:b w:val="0"/>
          <w:bCs/>
          <w:szCs w:val="24"/>
        </w:rPr>
      </w:pPr>
      <w:r w:rsidRPr="00C04631">
        <w:rPr>
          <w:rFonts w:ascii="Times New Roman" w:hAnsi="Times New Roman"/>
          <w:b w:val="0"/>
          <w:bCs/>
          <w:szCs w:val="24"/>
        </w:rPr>
        <w:t xml:space="preserve">For </w:t>
      </w:r>
      <w:r>
        <w:rPr>
          <w:rFonts w:ascii="Times New Roman" w:hAnsi="Times New Roman"/>
          <w:b w:val="0"/>
          <w:bCs/>
          <w:szCs w:val="24"/>
        </w:rPr>
        <w:t>FY 2013</w:t>
      </w:r>
      <w:r w:rsidRPr="00C04631">
        <w:rPr>
          <w:rFonts w:ascii="Times New Roman" w:hAnsi="Times New Roman"/>
          <w:b w:val="0"/>
          <w:bCs/>
          <w:szCs w:val="24"/>
        </w:rPr>
        <w:t>, the Office of the Solicitor General (OSG) requests a total of $</w:t>
      </w:r>
      <w:r>
        <w:rPr>
          <w:rFonts w:ascii="Times New Roman" w:hAnsi="Times New Roman"/>
          <w:b w:val="0"/>
          <w:bCs/>
          <w:szCs w:val="24"/>
        </w:rPr>
        <w:t>10,805</w:t>
      </w:r>
      <w:r w:rsidRPr="00C04631">
        <w:rPr>
          <w:rFonts w:ascii="Times New Roman" w:hAnsi="Times New Roman"/>
          <w:b w:val="0"/>
          <w:bCs/>
          <w:szCs w:val="24"/>
        </w:rPr>
        <w:t xml:space="preserve">,000, </w:t>
      </w:r>
      <w:r>
        <w:rPr>
          <w:rFonts w:ascii="Times New Roman" w:hAnsi="Times New Roman"/>
          <w:b w:val="0"/>
          <w:bCs/>
          <w:szCs w:val="24"/>
        </w:rPr>
        <w:t>48</w:t>
      </w:r>
      <w:r w:rsidRPr="00C04631">
        <w:rPr>
          <w:rFonts w:ascii="Times New Roman" w:hAnsi="Times New Roman"/>
          <w:b w:val="0"/>
          <w:bCs/>
          <w:szCs w:val="24"/>
        </w:rPr>
        <w:t xml:space="preserve"> positions, including 2</w:t>
      </w:r>
      <w:r>
        <w:rPr>
          <w:rFonts w:ascii="Times New Roman" w:hAnsi="Times New Roman"/>
          <w:b w:val="0"/>
          <w:bCs/>
          <w:szCs w:val="24"/>
        </w:rPr>
        <w:t>2</w:t>
      </w:r>
      <w:r w:rsidRPr="00C04631">
        <w:rPr>
          <w:rFonts w:ascii="Times New Roman" w:hAnsi="Times New Roman"/>
          <w:b w:val="0"/>
          <w:bCs/>
          <w:szCs w:val="24"/>
        </w:rPr>
        <w:t xml:space="preserve"> attorney positions, and </w:t>
      </w:r>
      <w:r>
        <w:rPr>
          <w:rFonts w:ascii="Times New Roman" w:hAnsi="Times New Roman"/>
          <w:b w:val="0"/>
          <w:bCs/>
          <w:szCs w:val="24"/>
        </w:rPr>
        <w:t>49</w:t>
      </w:r>
      <w:r w:rsidRPr="00C04631">
        <w:rPr>
          <w:rFonts w:ascii="Times New Roman" w:hAnsi="Times New Roman"/>
          <w:b w:val="0"/>
          <w:bCs/>
          <w:szCs w:val="24"/>
        </w:rPr>
        <w:t xml:space="preserve"> FTE to meet its mission.  </w:t>
      </w:r>
      <w:r w:rsidRPr="00A702AA">
        <w:rPr>
          <w:rFonts w:ascii="Times New Roman" w:hAnsi="Times New Roman"/>
          <w:b w:val="0"/>
          <w:bCs/>
        </w:rPr>
        <w:t xml:space="preserve">Electronic copies of the Department of Justice’s Congressional Budget Justifications and Capital Asset Plan and Business Case exhibits can be viewed or downloaded from the Internet using the Internet address: </w:t>
      </w:r>
      <w:r w:rsidRPr="00A702AA">
        <w:rPr>
          <w:rFonts w:ascii="Times New Roman" w:hAnsi="Times New Roman"/>
          <w:b w:val="0"/>
          <w:color w:val="1F497D"/>
        </w:rPr>
        <w:t xml:space="preserve"> </w:t>
      </w:r>
      <w:hyperlink r:id="rId11" w:history="1">
        <w:r w:rsidRPr="00A702AA">
          <w:rPr>
            <w:rStyle w:val="Hyperlink"/>
            <w:rFonts w:ascii="Times New Roman" w:hAnsi="Times New Roman"/>
            <w:b w:val="0"/>
          </w:rPr>
          <w:t>http://www.justice.gov/02organizations/bpp.htm</w:t>
        </w:r>
      </w:hyperlink>
      <w:r>
        <w:rPr>
          <w:rFonts w:ascii="Times New Roman" w:hAnsi="Times New Roman"/>
          <w:b w:val="0"/>
          <w:bCs/>
        </w:rPr>
        <w:t>.</w:t>
      </w:r>
      <w:r w:rsidRPr="00A702AA">
        <w:rPr>
          <w:rFonts w:ascii="Times New Roman" w:hAnsi="Times New Roman"/>
          <w:b w:val="0"/>
          <w:bCs/>
        </w:rPr>
        <w:t xml:space="preserve"> </w:t>
      </w:r>
      <w:r w:rsidRPr="00A702AA">
        <w:rPr>
          <w:rFonts w:ascii="Times New Roman" w:hAnsi="Times New Roman"/>
          <w:b w:val="0"/>
          <w:bCs/>
        </w:rPr>
        <w:br/>
      </w:r>
    </w:p>
    <w:p w:rsidR="00DA1F20" w:rsidRPr="00C04631" w:rsidRDefault="00DA1F20" w:rsidP="00DA1F20">
      <w:pPr>
        <w:pStyle w:val="xl33"/>
        <w:tabs>
          <w:tab w:val="left" w:leader="dot" w:pos="7920"/>
          <w:tab w:val="right" w:pos="8640"/>
        </w:tabs>
        <w:spacing w:before="0" w:after="0"/>
        <w:jc w:val="left"/>
        <w:rPr>
          <w:rFonts w:ascii="Times New Roman" w:hAnsi="Times New Roman"/>
          <w:b w:val="0"/>
          <w:bCs/>
          <w:szCs w:val="24"/>
        </w:rPr>
      </w:pPr>
    </w:p>
    <w:p w:rsidR="00DA1F20" w:rsidRPr="00C04631" w:rsidRDefault="00DA1F20" w:rsidP="00DA1F20">
      <w:pPr>
        <w:pStyle w:val="xl33"/>
        <w:tabs>
          <w:tab w:val="left" w:leader="dot" w:pos="7920"/>
          <w:tab w:val="right" w:pos="8640"/>
        </w:tabs>
        <w:spacing w:before="0" w:after="0"/>
        <w:jc w:val="left"/>
        <w:rPr>
          <w:rFonts w:ascii="Times New Roman" w:hAnsi="Times New Roman"/>
          <w:b w:val="0"/>
          <w:bCs/>
          <w:szCs w:val="24"/>
        </w:rPr>
      </w:pPr>
      <w:r w:rsidRPr="00C04631">
        <w:rPr>
          <w:rFonts w:ascii="Times New Roman" w:hAnsi="Times New Roman"/>
          <w:szCs w:val="24"/>
        </w:rPr>
        <w:t xml:space="preserve">2. </w:t>
      </w:r>
      <w:r w:rsidR="00DA70BC" w:rsidRPr="00C04631">
        <w:rPr>
          <w:rFonts w:ascii="Times New Roman" w:hAnsi="Times New Roman"/>
          <w:szCs w:val="24"/>
        </w:rPr>
        <w:t xml:space="preserve"> </w:t>
      </w:r>
      <w:r w:rsidRPr="00C04631">
        <w:rPr>
          <w:rFonts w:ascii="Times New Roman" w:hAnsi="Times New Roman"/>
          <w:szCs w:val="24"/>
        </w:rPr>
        <w:t>Background</w:t>
      </w:r>
    </w:p>
    <w:p w:rsidR="00DA1F20" w:rsidRPr="00C04631" w:rsidRDefault="00DA1F20" w:rsidP="00DA1F20">
      <w:pPr>
        <w:pStyle w:val="xl33"/>
        <w:tabs>
          <w:tab w:val="left" w:leader="dot" w:pos="7920"/>
          <w:tab w:val="right" w:pos="8640"/>
        </w:tabs>
        <w:spacing w:before="0" w:after="0"/>
        <w:jc w:val="left"/>
        <w:rPr>
          <w:rFonts w:ascii="Times New Roman" w:hAnsi="Times New Roman"/>
          <w:b w:val="0"/>
          <w:bCs/>
          <w:szCs w:val="24"/>
        </w:rPr>
      </w:pPr>
    </w:p>
    <w:p w:rsidR="00C953FC" w:rsidRPr="00C04631" w:rsidRDefault="00C953FC" w:rsidP="00C953FC">
      <w:pPr>
        <w:autoSpaceDE w:val="0"/>
        <w:autoSpaceDN w:val="0"/>
        <w:adjustRightInd w:val="0"/>
      </w:pPr>
      <w:r w:rsidRPr="00C04631">
        <w:t>The mission of OSG is to conduct all litigation on behalf of the United States and its agencies in the Supreme Court of the United States, to approve decisions to appeal and seek further review in cases involving the United States in the lower federal courts, and to supervise the handling of litigation in the federal appellate courts.</w:t>
      </w:r>
    </w:p>
    <w:p w:rsidR="00C953FC" w:rsidRPr="00C04631" w:rsidRDefault="00C953FC" w:rsidP="00C953FC">
      <w:pPr>
        <w:pStyle w:val="BodyText"/>
        <w:rPr>
          <w:rFonts w:cs="Arial"/>
          <w:szCs w:val="24"/>
        </w:rPr>
      </w:pPr>
    </w:p>
    <w:p w:rsidR="00DA1F20" w:rsidRPr="00C04631" w:rsidRDefault="00DA1F20" w:rsidP="00C953FC">
      <w:pPr>
        <w:pStyle w:val="BodyText"/>
        <w:rPr>
          <w:bCs/>
          <w:szCs w:val="24"/>
        </w:rPr>
      </w:pPr>
      <w:r w:rsidRPr="00C04631">
        <w:rPr>
          <w:bCs/>
          <w:szCs w:val="24"/>
        </w:rPr>
        <w:t xml:space="preserve">The original Statutory Authorization Act of June 22, 1870, states:  “There shall be in the Department of Justice an officer learned in the law, to assist the Attorney General in the performance of his duties to be called the Solicitor General.”  As stated in 28 CFR 0.20, the general functions of the Office are </w:t>
      </w:r>
      <w:r w:rsidR="00DA70BC" w:rsidRPr="00C04631">
        <w:rPr>
          <w:bCs/>
          <w:szCs w:val="24"/>
        </w:rPr>
        <w:t>to</w:t>
      </w:r>
      <w:r w:rsidRPr="00C04631">
        <w:rPr>
          <w:bCs/>
          <w:szCs w:val="24"/>
        </w:rPr>
        <w:t>: (1) conduct</w:t>
      </w:r>
      <w:r w:rsidR="00DA70BC" w:rsidRPr="00C04631">
        <w:rPr>
          <w:bCs/>
          <w:szCs w:val="24"/>
        </w:rPr>
        <w:t xml:space="preserve"> </w:t>
      </w:r>
      <w:r w:rsidRPr="00C04631">
        <w:rPr>
          <w:bCs/>
          <w:szCs w:val="24"/>
        </w:rPr>
        <w:t>or assign and supervis</w:t>
      </w:r>
      <w:r w:rsidR="00DA70BC" w:rsidRPr="00C04631">
        <w:rPr>
          <w:bCs/>
          <w:szCs w:val="24"/>
        </w:rPr>
        <w:t>e</w:t>
      </w:r>
      <w:r w:rsidRPr="00C04631">
        <w:rPr>
          <w:bCs/>
          <w:szCs w:val="24"/>
        </w:rPr>
        <w:t xml:space="preserve"> all Supreme Court cases, including appeals, petitions for and in opposition to </w:t>
      </w:r>
      <w:r w:rsidRPr="00C04631">
        <w:rPr>
          <w:bCs/>
          <w:i/>
          <w:szCs w:val="24"/>
        </w:rPr>
        <w:t>certiorari</w:t>
      </w:r>
      <w:r w:rsidRPr="00C04631">
        <w:rPr>
          <w:bCs/>
          <w:szCs w:val="24"/>
        </w:rPr>
        <w:t>, briefs and arguments;  (2) determin</w:t>
      </w:r>
      <w:r w:rsidR="00DA70BC" w:rsidRPr="00C04631">
        <w:rPr>
          <w:bCs/>
          <w:szCs w:val="24"/>
        </w:rPr>
        <w:t xml:space="preserve">e </w:t>
      </w:r>
      <w:r w:rsidRPr="00C04631">
        <w:rPr>
          <w:bCs/>
          <w:szCs w:val="24"/>
        </w:rPr>
        <w:t xml:space="preserve">whether, and to what extent, appeals will be taken by the government to all appellate courts (including petitions for rehearing </w:t>
      </w:r>
      <w:r w:rsidRPr="00C04631">
        <w:rPr>
          <w:bCs/>
          <w:i/>
          <w:szCs w:val="24"/>
        </w:rPr>
        <w:t>en banc</w:t>
      </w:r>
      <w:r w:rsidRPr="00C04631">
        <w:rPr>
          <w:bCs/>
          <w:szCs w:val="24"/>
        </w:rPr>
        <w:t xml:space="preserve"> and petitions to such courts for the issuance of extraordinary writs); (3) determin</w:t>
      </w:r>
      <w:r w:rsidR="00DA70BC" w:rsidRPr="00C04631">
        <w:rPr>
          <w:bCs/>
          <w:szCs w:val="24"/>
        </w:rPr>
        <w:t xml:space="preserve">e </w:t>
      </w:r>
      <w:r w:rsidRPr="00C04631">
        <w:rPr>
          <w:bCs/>
          <w:szCs w:val="24"/>
        </w:rPr>
        <w:t xml:space="preserve">whether a brief amicus curiae will be filed by the government, or whether the government will intervene, in any appellate court, or in any trial court in which the constitutionality of an Act of Congress </w:t>
      </w:r>
      <w:r w:rsidR="00DA70BC" w:rsidRPr="00C04631">
        <w:rPr>
          <w:bCs/>
          <w:szCs w:val="24"/>
        </w:rPr>
        <w:t>is challenged; and (4) assist</w:t>
      </w:r>
      <w:r w:rsidRPr="00C04631">
        <w:rPr>
          <w:bCs/>
          <w:szCs w:val="24"/>
        </w:rPr>
        <w:t xml:space="preserve"> the Attorney General and the Deputy Attorney General in the development of broad Department program policy.  </w:t>
      </w:r>
    </w:p>
    <w:p w:rsidR="00DA70BC" w:rsidRPr="00C04631" w:rsidRDefault="00DA70BC" w:rsidP="00C953FC">
      <w:pPr>
        <w:pStyle w:val="BodyText"/>
        <w:rPr>
          <w:bCs/>
          <w:szCs w:val="24"/>
        </w:rPr>
      </w:pPr>
    </w:p>
    <w:p w:rsidR="007E6138" w:rsidRDefault="007E6138" w:rsidP="007E6138">
      <w:pPr>
        <w:autoSpaceDE w:val="0"/>
        <w:autoSpaceDN w:val="0"/>
        <w:adjustRightInd w:val="0"/>
      </w:pPr>
      <w:r>
        <w:t xml:space="preserve">OSG is headed by the Solicitor General, who is appointed by the President and confirmed by the Senate.  Within the attorney staff, </w:t>
      </w:r>
      <w:r w:rsidRPr="00947B53">
        <w:t>there are 17 career line attorney positions</w:t>
      </w:r>
      <w:r w:rsidR="00947B53">
        <w:t xml:space="preserve">, </w:t>
      </w:r>
      <w:r>
        <w:t xml:space="preserve">three </w:t>
      </w:r>
      <w:proofErr w:type="gramStart"/>
      <w:r>
        <w:t>career</w:t>
      </w:r>
      <w:proofErr w:type="gramEnd"/>
      <w:r>
        <w:t xml:space="preserve"> Deputy Solicitors General, the Principal Deputy Solicitor General, and the Solicitor General.  The attorneys prepare oral arguments, Supreme Court briefs, and other related legal materials.  The 26 support staffers are organized into three sections which include Administration, Case Management, and Research and Publication.</w:t>
      </w:r>
    </w:p>
    <w:p w:rsidR="00DA1F20" w:rsidRPr="00C04631" w:rsidRDefault="00DA1F20" w:rsidP="00DA1F20">
      <w:pPr>
        <w:pStyle w:val="BodyText"/>
        <w:rPr>
          <w:bCs/>
          <w:color w:val="FFFFFF"/>
          <w:szCs w:val="24"/>
        </w:rPr>
      </w:pPr>
    </w:p>
    <w:p w:rsidR="00655A81" w:rsidRDefault="00655A81">
      <w:pPr>
        <w:rPr>
          <w:b/>
        </w:rPr>
      </w:pPr>
      <w:r>
        <w:rPr>
          <w:b/>
        </w:rPr>
        <w:br w:type="page"/>
      </w:r>
    </w:p>
    <w:p w:rsidR="00DA1F20" w:rsidRPr="00C04631" w:rsidRDefault="00DA1F20" w:rsidP="00DA1F20">
      <w:pPr>
        <w:pStyle w:val="BodyText"/>
        <w:rPr>
          <w:b/>
          <w:szCs w:val="24"/>
        </w:rPr>
      </w:pPr>
      <w:r w:rsidRPr="00C04631">
        <w:rPr>
          <w:b/>
          <w:szCs w:val="24"/>
        </w:rPr>
        <w:lastRenderedPageBreak/>
        <w:t>3.  Challenges</w:t>
      </w:r>
    </w:p>
    <w:p w:rsidR="00CC24C7" w:rsidRPr="00C04631" w:rsidRDefault="00CC24C7" w:rsidP="00DA1F20">
      <w:pPr>
        <w:pStyle w:val="BodyText"/>
        <w:rPr>
          <w:bCs/>
          <w:szCs w:val="24"/>
        </w:rPr>
      </w:pPr>
    </w:p>
    <w:p w:rsidR="00655A81" w:rsidRDefault="00655A81" w:rsidP="00655A81">
      <w:r w:rsidRPr="00C04631">
        <w:t>OSG’s mission and strategic objectives will</w:t>
      </w:r>
      <w:r>
        <w:t xml:space="preserve"> essentially</w:t>
      </w:r>
      <w:r w:rsidRPr="00C04631">
        <w:t xml:space="preserve"> </w:t>
      </w:r>
      <w:r>
        <w:t>remain the same</w:t>
      </w:r>
      <w:r w:rsidRPr="00C04631">
        <w:t xml:space="preserve"> in FY 201</w:t>
      </w:r>
      <w:r>
        <w:t xml:space="preserve">3.  However, </w:t>
      </w:r>
      <w:r w:rsidRPr="00C04631">
        <w:t xml:space="preserve">OSG </w:t>
      </w:r>
      <w:r>
        <w:t>faces</w:t>
      </w:r>
      <w:r w:rsidRPr="00C04631">
        <w:t xml:space="preserve"> a set of</w:t>
      </w:r>
      <w:r>
        <w:t xml:space="preserve"> new expectations</w:t>
      </w:r>
      <w:r w:rsidRPr="00C04631">
        <w:t xml:space="preserve"> and </w:t>
      </w:r>
      <w:r>
        <w:t>additional</w:t>
      </w:r>
      <w:r w:rsidRPr="00C04631">
        <w:t xml:space="preserve"> responsibilities. </w:t>
      </w:r>
      <w:r>
        <w:t>OSG has experienced an increase in several Court related activities. The government’s response to health care, terrorism, immigration challenges, and economic distress will place new demands on OSG, which it stands ready to meet.</w:t>
      </w:r>
    </w:p>
    <w:p w:rsidR="00450B48" w:rsidRDefault="00450B48" w:rsidP="00655A81"/>
    <w:p w:rsidR="00655A81" w:rsidRDefault="00655A81" w:rsidP="00655A81">
      <w:r>
        <w:t xml:space="preserve">A significant challenge for </w:t>
      </w:r>
      <w:r w:rsidRPr="00C04631">
        <w:t xml:space="preserve">OSG attorneys </w:t>
      </w:r>
      <w:r>
        <w:t xml:space="preserve">is an inundation of cases stemming </w:t>
      </w:r>
      <w:r w:rsidRPr="00C04631">
        <w:t>from the enactment of the Patient Protection and Affordable Care Act of 2010</w:t>
      </w:r>
      <w:r w:rsidRPr="009E0414">
        <w:t xml:space="preserve">.  A number of states and other parties have raised constitutional challenges related to the insurance mandate.  </w:t>
      </w:r>
      <w:r w:rsidRPr="009E0414">
        <w:rPr>
          <w:rFonts w:cs="Arial"/>
        </w:rPr>
        <w:t xml:space="preserve">The Attorney General has asked attorneys from the Office of the Solicitor General to handle the </w:t>
      </w:r>
      <w:r w:rsidR="00247084">
        <w:rPr>
          <w:rFonts w:cs="Arial"/>
        </w:rPr>
        <w:t>C</w:t>
      </w:r>
      <w:r w:rsidRPr="009E0414">
        <w:rPr>
          <w:rFonts w:cs="Arial"/>
        </w:rPr>
        <w:t xml:space="preserve">ourt of </w:t>
      </w:r>
      <w:r w:rsidR="00247084">
        <w:rPr>
          <w:rFonts w:cs="Arial"/>
        </w:rPr>
        <w:t>A</w:t>
      </w:r>
      <w:r w:rsidRPr="009E0414">
        <w:rPr>
          <w:rFonts w:cs="Arial"/>
        </w:rPr>
        <w:t xml:space="preserve">ppeals' oral arguments in the constitutional challenges to the Act.  </w:t>
      </w:r>
      <w:r>
        <w:rPr>
          <w:rFonts w:cs="Arial"/>
        </w:rPr>
        <w:t xml:space="preserve">OSG has already assumed a leading role in numerous legal proceedings associated with the Act. </w:t>
      </w:r>
      <w:r w:rsidRPr="009E0414">
        <w:t xml:space="preserve">As </w:t>
      </w:r>
      <w:r>
        <w:t>additional</w:t>
      </w:r>
      <w:r w:rsidRPr="009E0414">
        <w:t xml:space="preserve"> cases </w:t>
      </w:r>
      <w:r>
        <w:t xml:space="preserve">continue to </w:t>
      </w:r>
      <w:r w:rsidRPr="009E0414">
        <w:t>work their way</w:t>
      </w:r>
      <w:r w:rsidRPr="00C04631">
        <w:t xml:space="preserve"> through th</w:t>
      </w:r>
      <w:r>
        <w:t>e lower courts, we project OSG’s workload to increase significantly</w:t>
      </w:r>
      <w:r w:rsidRPr="00C04631">
        <w:t xml:space="preserve">.  We also expect substantial demands on the office </w:t>
      </w:r>
      <w:r>
        <w:t>resulting</w:t>
      </w:r>
      <w:r w:rsidRPr="00C04631">
        <w:t xml:space="preserve"> from increased efforts against health care fraud and abuse.  The litigation efforts undertaken by OSG attorneys in this and other actions related to </w:t>
      </w:r>
      <w:r>
        <w:t>Act</w:t>
      </w:r>
      <w:r w:rsidRPr="00C04631">
        <w:t xml:space="preserve"> continue to place a burden on our resources.</w:t>
      </w:r>
    </w:p>
    <w:p w:rsidR="00593701" w:rsidRDefault="00593701" w:rsidP="00DA1F20"/>
    <w:p w:rsidR="00655A81" w:rsidRDefault="00655A81" w:rsidP="00655A81">
      <w:r>
        <w:t>The</w:t>
      </w:r>
      <w:r w:rsidRPr="00C04631">
        <w:t xml:space="preserve"> Office continues to play a </w:t>
      </w:r>
      <w:r>
        <w:t>significant</w:t>
      </w:r>
      <w:r w:rsidRPr="00C04631">
        <w:t xml:space="preserve"> role in terrorism issues.  In the past administration, the Attorney General </w:t>
      </w:r>
      <w:r>
        <w:t>requested</w:t>
      </w:r>
      <w:r w:rsidRPr="00C04631">
        <w:t xml:space="preserve"> </w:t>
      </w:r>
      <w:r>
        <w:t xml:space="preserve">that </w:t>
      </w:r>
      <w:r w:rsidRPr="00C04631">
        <w:t>the Solicitor General assume a range of litigation responsibilities in the lower courts with regard to challenges to the</w:t>
      </w:r>
      <w:r>
        <w:t xml:space="preserve"> detention of individuals detained at the</w:t>
      </w:r>
      <w:r w:rsidRPr="00C04631">
        <w:t xml:space="preserve"> U</w:t>
      </w:r>
      <w:r>
        <w:t>nited States Naval Station located in</w:t>
      </w:r>
      <w:r w:rsidRPr="00C04631">
        <w:t xml:space="preserve"> Guantanamo Bay</w:t>
      </w:r>
      <w:r>
        <w:t>, Cuba, in connection with</w:t>
      </w:r>
      <w:r w:rsidRPr="00C04631">
        <w:t xml:space="preserve"> ongoing efforts to prevent and punish terrorist activities</w:t>
      </w:r>
      <w:r w:rsidRPr="00C04631">
        <w:rPr>
          <w:shd w:val="clear" w:color="auto" w:fill="FFFFFF"/>
        </w:rPr>
        <w:t xml:space="preserve">. </w:t>
      </w:r>
      <w:r>
        <w:rPr>
          <w:shd w:val="clear" w:color="auto" w:fill="FFFFFF"/>
        </w:rPr>
        <w:t>With t</w:t>
      </w:r>
      <w:r>
        <w:t>he enactment of the National Defense Authorization Act, such matters</w:t>
      </w:r>
      <w:r w:rsidRPr="00C04631">
        <w:t xml:space="preserve"> </w:t>
      </w:r>
      <w:r>
        <w:t xml:space="preserve">will likely continue to be a </w:t>
      </w:r>
      <w:r w:rsidRPr="00C04631">
        <w:t>substantial part of the Office’s docket.</w:t>
      </w:r>
      <w:r>
        <w:t xml:space="preserve"> </w:t>
      </w:r>
    </w:p>
    <w:p w:rsidR="00655A81" w:rsidRDefault="00655A81" w:rsidP="00DA1F20"/>
    <w:p w:rsidR="00655A81" w:rsidRDefault="00593701" w:rsidP="00655A81">
      <w:r>
        <w:t xml:space="preserve">Moreover, OSG has been asked by the Attorney General to play a leading role in the development of complex immigration litigation.  Most particularly, the Attorney General designated the Office to handle the lawsuit of </w:t>
      </w:r>
      <w:smartTag w:uri="urn:schemas-microsoft-com:office:smarttags" w:element="country-region">
        <w:smartTag w:uri="urn:schemas-microsoft-com:office:smarttags" w:element="place">
          <w:r>
            <w:rPr>
              <w:i/>
            </w:rPr>
            <w:t>United States</w:t>
          </w:r>
        </w:smartTag>
      </w:smartTag>
      <w:r>
        <w:rPr>
          <w:i/>
        </w:rPr>
        <w:t xml:space="preserve"> v. Arizona</w:t>
      </w:r>
      <w:r>
        <w:t xml:space="preserve">, which involved challenges brought by the United States to Arizona’s recent immigration law (called S.B. 1070).  </w:t>
      </w:r>
    </w:p>
    <w:p w:rsidR="00655A81" w:rsidRDefault="00655A81" w:rsidP="00655A81">
      <w:r>
        <w:t>After OSG attorneys successfully handled arguments in district court, the case was granted certiorari and will be argued during the 2011 Supreme Court Term.</w:t>
      </w:r>
    </w:p>
    <w:p w:rsidR="00DA1F20" w:rsidRPr="00C04631" w:rsidRDefault="00DA1F20" w:rsidP="00DA1F20"/>
    <w:p w:rsidR="00655A81" w:rsidRDefault="00655A81" w:rsidP="00655A81">
      <w:r w:rsidRPr="00C04631">
        <w:t xml:space="preserve">Finally, OSG attorneys have increasingly been asked to brief and argue particularly difficult criminal cases, including </w:t>
      </w:r>
      <w:r>
        <w:t>matters</w:t>
      </w:r>
      <w:r w:rsidRPr="00C04631">
        <w:t xml:space="preserve"> involving </w:t>
      </w:r>
      <w:r>
        <w:t>the Fourth Amendment</w:t>
      </w:r>
      <w:r w:rsidRPr="00C04631">
        <w:t xml:space="preserve">, </w:t>
      </w:r>
      <w:r>
        <w:t>the Fair Sentencing Act</w:t>
      </w:r>
      <w:r w:rsidRPr="00C04631">
        <w:t xml:space="preserve">, and finance regulations.  </w:t>
      </w:r>
      <w:r>
        <w:t xml:space="preserve">OSG presented argument in </w:t>
      </w:r>
      <w:r w:rsidRPr="007F5FFC">
        <w:rPr>
          <w:i/>
        </w:rPr>
        <w:t>United States v. Jones</w:t>
      </w:r>
      <w:r>
        <w:t xml:space="preserve">, which challenged the warrantless installation and use of a GPS tracking device on a respondent’s vehicle to monitor its movements on public streets. OSG also plays a major role in challenges to the Fair Sentencing Act, which lowered penalties for </w:t>
      </w:r>
      <w:proofErr w:type="gramStart"/>
      <w:r>
        <w:t>certain</w:t>
      </w:r>
      <w:proofErr w:type="gramEnd"/>
      <w:r>
        <w:t xml:space="preserve"> cocaine-base offenses by increasing the threshold quantities of cocaine-base that trigger certain mandatory-minimum sentences. </w:t>
      </w:r>
    </w:p>
    <w:p w:rsidR="00E80932" w:rsidRDefault="00E80932" w:rsidP="00655A81"/>
    <w:p w:rsidR="00655A81" w:rsidRPr="00C04631" w:rsidRDefault="00655A81" w:rsidP="00655A81">
      <w:r w:rsidRPr="00C04631">
        <w:t>In light of the overall budget</w:t>
      </w:r>
      <w:r>
        <w:t>ary</w:t>
      </w:r>
      <w:r w:rsidRPr="00C04631">
        <w:t xml:space="preserve"> situation in which the Government finds itself, OSG </w:t>
      </w:r>
      <w:r>
        <w:t>strives to meet</w:t>
      </w:r>
      <w:r w:rsidRPr="00C04631">
        <w:t xml:space="preserve"> the difficult c</w:t>
      </w:r>
      <w:r>
        <w:t>hallenge</w:t>
      </w:r>
      <w:r w:rsidRPr="00C04631">
        <w:t xml:space="preserve"> of</w:t>
      </w:r>
      <w:r>
        <w:t xml:space="preserve"> managing</w:t>
      </w:r>
      <w:r w:rsidRPr="00C04631">
        <w:t xml:space="preserve"> a steady increase in casework, </w:t>
      </w:r>
      <w:r>
        <w:t>including</w:t>
      </w:r>
      <w:r w:rsidRPr="00C04631">
        <w:t xml:space="preserve"> the significant challenges highlighted in the matters above</w:t>
      </w:r>
      <w:r w:rsidRPr="007F5FFC">
        <w:t>,</w:t>
      </w:r>
      <w:r>
        <w:t xml:space="preserve"> without</w:t>
      </w:r>
      <w:r w:rsidRPr="00C04631">
        <w:t xml:space="preserve"> additional resources. Within the last 15 years, OSG has maintained the same FTE levels in spite of its increasing responsibility.  For FY 201</w:t>
      </w:r>
      <w:r>
        <w:t>3</w:t>
      </w:r>
      <w:r w:rsidRPr="00C04631">
        <w:t xml:space="preserve">, OSG is requesting base funding of </w:t>
      </w:r>
      <w:r>
        <w:t>48 positions (</w:t>
      </w:r>
      <w:r w:rsidRPr="00C04631">
        <w:t>2</w:t>
      </w:r>
      <w:r>
        <w:t>2</w:t>
      </w:r>
      <w:r w:rsidRPr="00C04631">
        <w:t xml:space="preserve"> attorney</w:t>
      </w:r>
      <w:r>
        <w:t xml:space="preserve">s), 49 FTE and </w:t>
      </w:r>
      <w:r w:rsidRPr="00C04631">
        <w:rPr>
          <w:color w:val="000000"/>
        </w:rPr>
        <w:t>$</w:t>
      </w:r>
      <w:r>
        <w:rPr>
          <w:color w:val="000000"/>
        </w:rPr>
        <w:t>10,805</w:t>
      </w:r>
      <w:r w:rsidRPr="00C04631">
        <w:rPr>
          <w:color w:val="000000"/>
        </w:rPr>
        <w:t>,000 to</w:t>
      </w:r>
      <w:r w:rsidRPr="00C04631">
        <w:t xml:space="preserve"> accomplish its goals.</w:t>
      </w:r>
    </w:p>
    <w:p w:rsidR="00384B5F" w:rsidRPr="00C04631" w:rsidRDefault="00384B5F" w:rsidP="00384B5F">
      <w:pPr>
        <w:pStyle w:val="BodyText"/>
        <w:rPr>
          <w:szCs w:val="24"/>
        </w:rPr>
      </w:pPr>
      <w:r w:rsidRPr="00C04631">
        <w:rPr>
          <w:szCs w:val="24"/>
        </w:rPr>
        <w:lastRenderedPageBreak/>
        <w:t xml:space="preserve">Following is a brief summary of the Department’s Strategic Goals and Objectives in which OSG plays a role.  </w:t>
      </w:r>
    </w:p>
    <w:p w:rsidR="003311EA" w:rsidRPr="00C04631" w:rsidRDefault="003311EA" w:rsidP="00DA1F20">
      <w:pPr>
        <w:pStyle w:val="xl27"/>
        <w:spacing w:before="0" w:after="0"/>
        <w:rPr>
          <w:rFonts w:ascii="Times New Roman" w:hAnsi="Times New Roman"/>
          <w:szCs w:val="24"/>
          <w:u w:val="single"/>
        </w:rPr>
      </w:pPr>
    </w:p>
    <w:p w:rsidR="00655A81" w:rsidRPr="00C04631" w:rsidRDefault="00655A81" w:rsidP="00655A81">
      <w:pPr>
        <w:pStyle w:val="xl27"/>
        <w:spacing w:before="0" w:after="0"/>
        <w:rPr>
          <w:rFonts w:ascii="Times New Roman" w:hAnsi="Times New Roman"/>
          <w:b w:val="0"/>
          <w:bCs/>
          <w:szCs w:val="24"/>
        </w:rPr>
      </w:pPr>
      <w:r w:rsidRPr="00C04631">
        <w:rPr>
          <w:rFonts w:ascii="Times New Roman" w:hAnsi="Times New Roman"/>
          <w:szCs w:val="24"/>
          <w:u w:val="single"/>
        </w:rPr>
        <w:t xml:space="preserve">DOJ Strategic Goal 2:  Prevent Crime, </w:t>
      </w:r>
      <w:r>
        <w:rPr>
          <w:rFonts w:ascii="Times New Roman" w:hAnsi="Times New Roman"/>
          <w:szCs w:val="24"/>
          <w:u w:val="single"/>
        </w:rPr>
        <w:t xml:space="preserve">Protect the Rights of the American People, and </w:t>
      </w:r>
      <w:r w:rsidRPr="00C04631">
        <w:rPr>
          <w:rFonts w:ascii="Times New Roman" w:hAnsi="Times New Roman"/>
          <w:szCs w:val="24"/>
          <w:u w:val="single"/>
        </w:rPr>
        <w:t>Enforce Federal Laws (FY 201</w:t>
      </w:r>
      <w:r>
        <w:rPr>
          <w:rFonts w:ascii="Times New Roman" w:hAnsi="Times New Roman"/>
          <w:szCs w:val="24"/>
          <w:u w:val="single"/>
        </w:rPr>
        <w:t>3</w:t>
      </w:r>
      <w:r w:rsidRPr="00C04631">
        <w:rPr>
          <w:rFonts w:ascii="Times New Roman" w:hAnsi="Times New Roman"/>
          <w:szCs w:val="24"/>
          <w:u w:val="single"/>
        </w:rPr>
        <w:t xml:space="preserve"> Request:  $</w:t>
      </w:r>
      <w:r>
        <w:rPr>
          <w:rFonts w:ascii="Times New Roman" w:hAnsi="Times New Roman"/>
          <w:szCs w:val="24"/>
          <w:u w:val="single"/>
        </w:rPr>
        <w:t>10,805</w:t>
      </w:r>
      <w:r w:rsidRPr="00C04631">
        <w:rPr>
          <w:rFonts w:ascii="Times New Roman" w:hAnsi="Times New Roman"/>
          <w:szCs w:val="24"/>
          <w:u w:val="single"/>
        </w:rPr>
        <w:t>,000)</w:t>
      </w:r>
    </w:p>
    <w:p w:rsidR="00655A81" w:rsidRPr="00C04631" w:rsidRDefault="00655A81" w:rsidP="00655A81">
      <w:pPr>
        <w:pStyle w:val="xl27"/>
        <w:spacing w:before="0" w:after="0"/>
        <w:rPr>
          <w:rFonts w:ascii="Times New Roman" w:hAnsi="Times New Roman"/>
          <w:b w:val="0"/>
          <w:bCs/>
          <w:szCs w:val="24"/>
        </w:rPr>
      </w:pPr>
    </w:p>
    <w:p w:rsidR="00655A81" w:rsidRPr="00C04631" w:rsidRDefault="00655A81" w:rsidP="00655A81">
      <w:pPr>
        <w:pStyle w:val="xl27"/>
        <w:numPr>
          <w:ilvl w:val="0"/>
          <w:numId w:val="18"/>
        </w:numPr>
        <w:spacing w:before="0" w:after="0"/>
        <w:rPr>
          <w:rFonts w:ascii="Times New Roman" w:hAnsi="Times New Roman"/>
          <w:b w:val="0"/>
          <w:bCs/>
          <w:szCs w:val="24"/>
        </w:rPr>
      </w:pPr>
      <w:r>
        <w:rPr>
          <w:rFonts w:ascii="Times New Roman" w:hAnsi="Times New Roman"/>
          <w:b w:val="0"/>
          <w:bCs/>
          <w:szCs w:val="24"/>
        </w:rPr>
        <w:t>Objective 2.6</w:t>
      </w:r>
      <w:r w:rsidRPr="00C04631">
        <w:rPr>
          <w:rFonts w:ascii="Times New Roman" w:hAnsi="Times New Roman"/>
          <w:b w:val="0"/>
          <w:bCs/>
          <w:szCs w:val="24"/>
        </w:rPr>
        <w:t xml:space="preserve">: </w:t>
      </w:r>
      <w:r>
        <w:rPr>
          <w:rFonts w:ascii="Times New Roman" w:hAnsi="Times New Roman"/>
          <w:b w:val="0"/>
          <w:bCs/>
          <w:szCs w:val="24"/>
        </w:rPr>
        <w:t xml:space="preserve">Protect the federal </w:t>
      </w:r>
      <w:proofErr w:type="spellStart"/>
      <w:r>
        <w:rPr>
          <w:rFonts w:ascii="Times New Roman" w:hAnsi="Times New Roman"/>
          <w:b w:val="0"/>
          <w:bCs/>
          <w:szCs w:val="24"/>
        </w:rPr>
        <w:t>fisc</w:t>
      </w:r>
      <w:proofErr w:type="spellEnd"/>
      <w:r>
        <w:rPr>
          <w:rFonts w:ascii="Times New Roman" w:hAnsi="Times New Roman"/>
          <w:b w:val="0"/>
          <w:bCs/>
          <w:szCs w:val="24"/>
        </w:rPr>
        <w:t xml:space="preserve"> and defend the interests of the United States</w:t>
      </w:r>
      <w:r w:rsidRPr="00C04631">
        <w:rPr>
          <w:rFonts w:ascii="Times New Roman" w:hAnsi="Times New Roman"/>
          <w:b w:val="0"/>
          <w:bCs/>
          <w:szCs w:val="24"/>
        </w:rPr>
        <w:t>.</w:t>
      </w:r>
    </w:p>
    <w:p w:rsidR="00DA1F20" w:rsidRPr="00C04631" w:rsidRDefault="00DA1F20" w:rsidP="00DA1F20">
      <w:pPr>
        <w:pStyle w:val="xl27"/>
        <w:spacing w:before="0" w:after="0"/>
        <w:rPr>
          <w:rFonts w:ascii="Times New Roman" w:hAnsi="Times New Roman"/>
          <w:b w:val="0"/>
          <w:bCs/>
          <w:szCs w:val="24"/>
        </w:rPr>
      </w:pPr>
    </w:p>
    <w:p w:rsidR="00DA1F20" w:rsidRPr="00C04631" w:rsidRDefault="00DA1F20" w:rsidP="00DA1F20">
      <w:pPr>
        <w:pStyle w:val="xl27"/>
        <w:rPr>
          <w:rFonts w:ascii="Times New Roman" w:hAnsi="Times New Roman"/>
          <w:szCs w:val="24"/>
        </w:rPr>
      </w:pPr>
      <w:r w:rsidRPr="00C04631">
        <w:rPr>
          <w:rFonts w:ascii="Times New Roman" w:hAnsi="Times New Roman"/>
          <w:szCs w:val="24"/>
        </w:rPr>
        <w:t>4.  Full Program Costs</w:t>
      </w:r>
    </w:p>
    <w:p w:rsidR="00DA1F20" w:rsidRPr="00C04631" w:rsidRDefault="00DA1F20" w:rsidP="00DA1F20">
      <w:pPr>
        <w:pStyle w:val="xl27"/>
        <w:rPr>
          <w:rFonts w:ascii="Times New Roman" w:hAnsi="Times New Roman"/>
          <w:b w:val="0"/>
          <w:bCs/>
          <w:szCs w:val="24"/>
        </w:rPr>
      </w:pPr>
      <w:r w:rsidRPr="00C04631">
        <w:rPr>
          <w:rFonts w:ascii="Times New Roman" w:hAnsi="Times New Roman"/>
          <w:b w:val="0"/>
          <w:bCs/>
          <w:szCs w:val="24"/>
        </w:rPr>
        <w:t xml:space="preserve">OSG has only one program—Federal Appellate Activity.  Its program costs consist almost entirely of fixed costs, such as salaries and benefit costs, GSA rent, mandatory reimbursable agreements with other DOJ components, and printing.  </w:t>
      </w:r>
    </w:p>
    <w:p w:rsidR="00DA1F20" w:rsidRPr="00C04631" w:rsidRDefault="00DA1F20" w:rsidP="00DA1F20">
      <w:pPr>
        <w:pStyle w:val="xl27"/>
        <w:rPr>
          <w:rFonts w:ascii="Times New Roman" w:hAnsi="Times New Roman"/>
          <w:b w:val="0"/>
          <w:bCs/>
          <w:szCs w:val="24"/>
        </w:rPr>
      </w:pPr>
    </w:p>
    <w:p w:rsidR="00DA1F20" w:rsidRPr="00C04631" w:rsidRDefault="00DA1F20" w:rsidP="00DA1F20">
      <w:pPr>
        <w:pStyle w:val="xl27"/>
        <w:rPr>
          <w:rFonts w:ascii="Times New Roman" w:hAnsi="Times New Roman"/>
          <w:szCs w:val="24"/>
        </w:rPr>
      </w:pPr>
      <w:r w:rsidRPr="00C04631">
        <w:rPr>
          <w:rFonts w:ascii="Times New Roman" w:hAnsi="Times New Roman"/>
          <w:szCs w:val="24"/>
        </w:rPr>
        <w:t>5.  Performance Challenges</w:t>
      </w:r>
    </w:p>
    <w:p w:rsidR="00DA1F20" w:rsidRPr="00C04631" w:rsidRDefault="00DA1F20" w:rsidP="00DA1F20">
      <w:pPr>
        <w:ind w:firstLine="720"/>
        <w:rPr>
          <w:rFonts w:cs="Arial"/>
        </w:rPr>
      </w:pPr>
      <w:proofErr w:type="gramStart"/>
      <w:r w:rsidRPr="00C04631">
        <w:rPr>
          <w:b/>
          <w:u w:val="single"/>
        </w:rPr>
        <w:t>External Challenges</w:t>
      </w:r>
      <w:r w:rsidR="00384B5F" w:rsidRPr="00C04631">
        <w:rPr>
          <w:b/>
          <w:u w:val="single"/>
        </w:rPr>
        <w:t>.</w:t>
      </w:r>
      <w:proofErr w:type="gramEnd"/>
      <w:r w:rsidRPr="00C04631">
        <w:rPr>
          <w:b/>
          <w:i/>
          <w:iCs/>
        </w:rPr>
        <w:t xml:space="preserve">  </w:t>
      </w:r>
      <w:r w:rsidR="00384B5F" w:rsidRPr="00C04631">
        <w:rPr>
          <w:rFonts w:cs="Arial"/>
        </w:rPr>
        <w:t xml:space="preserve">In the vast majority of cases filed in the Supreme Court in which the </w:t>
      </w:r>
      <w:smartTag w:uri="urn:schemas-microsoft-com:office:smarttags" w:element="country-region">
        <w:r w:rsidR="00384B5F" w:rsidRPr="00C04631">
          <w:rPr>
            <w:rFonts w:cs="Arial"/>
          </w:rPr>
          <w:t>United States</w:t>
        </w:r>
      </w:smartTag>
      <w:r w:rsidR="00384B5F" w:rsidRPr="00C04631">
        <w:rPr>
          <w:rFonts w:cs="Arial"/>
        </w:rPr>
        <w:t xml:space="preserve"> is a party, a petition is filed by an adverse party and the </w:t>
      </w:r>
      <w:smartTag w:uri="urn:schemas-microsoft-com:office:smarttags" w:element="place">
        <w:smartTag w:uri="urn:schemas-microsoft-com:office:smarttags" w:element="country-region">
          <w:r w:rsidR="00384B5F" w:rsidRPr="00C04631">
            <w:rPr>
              <w:rFonts w:cs="Arial"/>
            </w:rPr>
            <w:t>United States</w:t>
          </w:r>
        </w:smartTag>
      </w:smartTag>
      <w:r w:rsidR="00384B5F" w:rsidRPr="00C04631">
        <w:rPr>
          <w:rFonts w:cs="Arial"/>
        </w:rPr>
        <w:t xml:space="preserve"> responds in some way, either by filing a brief or, after reviewing the cases, waiving its right to do so. Additionally, the Supreme Court formally requests the Solicitor General to express the views of the </w:t>
      </w:r>
      <w:smartTag w:uri="urn:schemas-microsoft-com:office:smarttags" w:element="country-region">
        <w:r w:rsidR="00384B5F" w:rsidRPr="00C04631">
          <w:rPr>
            <w:rFonts w:cs="Arial"/>
          </w:rPr>
          <w:t>United States</w:t>
        </w:r>
      </w:smartTag>
      <w:r w:rsidR="00384B5F" w:rsidRPr="00C04631">
        <w:rPr>
          <w:rFonts w:cs="Arial"/>
        </w:rPr>
        <w:t xml:space="preserve"> on whether the Court should grant certiorari in a case in which the </w:t>
      </w:r>
      <w:smartTag w:uri="urn:schemas-microsoft-com:office:smarttags" w:element="place">
        <w:smartTag w:uri="urn:schemas-microsoft-com:office:smarttags" w:element="country-region">
          <w:r w:rsidR="00384B5F" w:rsidRPr="00C04631">
            <w:rPr>
              <w:rFonts w:cs="Arial"/>
            </w:rPr>
            <w:t>United States</w:t>
          </w:r>
        </w:smartTag>
      </w:smartTag>
      <w:r w:rsidR="00384B5F" w:rsidRPr="00C04631">
        <w:rPr>
          <w:rFonts w:cs="Arial"/>
        </w:rPr>
        <w:t xml:space="preserve"> is not a party. The number of cases in which the Solicitor General petitions the Supreme Court for review, acquiesces in a petition for a writ of certiorari filed by an adverse party, or participates as an </w:t>
      </w:r>
      <w:proofErr w:type="spellStart"/>
      <w:r w:rsidR="00384B5F" w:rsidRPr="00C04631">
        <w:rPr>
          <w:rFonts w:cs="Arial"/>
          <w:i/>
        </w:rPr>
        <w:t>interven</w:t>
      </w:r>
      <w:r w:rsidR="00593701">
        <w:rPr>
          <w:rFonts w:cs="Arial"/>
          <w:i/>
        </w:rPr>
        <w:t>o</w:t>
      </w:r>
      <w:r w:rsidR="00384B5F" w:rsidRPr="00C04631">
        <w:rPr>
          <w:rFonts w:cs="Arial"/>
          <w:i/>
        </w:rPr>
        <w:t>r</w:t>
      </w:r>
      <w:proofErr w:type="spellEnd"/>
      <w:r w:rsidR="00384B5F" w:rsidRPr="00C04631">
        <w:rPr>
          <w:rFonts w:cs="Arial"/>
        </w:rPr>
        <w:t xml:space="preserve"> or as amicus curiae is governed exclusively by the Solicitor General’s determination that it is in the best interest of the United States to take such action. Further, such activity may vary widely from year to year, which limits the Office’s ability to plan its workload</w:t>
      </w:r>
      <w:r w:rsidR="00FC34B1" w:rsidRPr="00C04631">
        <w:rPr>
          <w:rFonts w:cs="Arial"/>
        </w:rPr>
        <w:t>.</w:t>
      </w:r>
    </w:p>
    <w:p w:rsidR="00FC34B1" w:rsidRPr="00C04631" w:rsidRDefault="00F16FD0" w:rsidP="00DA1F20">
      <w:pPr>
        <w:ind w:firstLine="720"/>
        <w:rPr>
          <w:rFonts w:cs="Arial"/>
        </w:rPr>
      </w:pPr>
      <w:r>
        <w:rPr>
          <w:rFonts w:cs="Arial"/>
          <w:noProof/>
        </w:rPr>
        <w:pict>
          <v:rect id="_x0000_s1026" style="position:absolute;left:0;text-align:left;margin-left:1in;margin-top:.6pt;width:315pt;height:90pt;z-index:251657728" stroked="f">
            <v:textbox style="mso-next-textbox:#_x0000_s1026">
              <w:txbxContent>
                <w:p w:rsidR="0090387F" w:rsidRDefault="0090387F" w:rsidP="00FC34B1">
                  <w:pPr>
                    <w:pBdr>
                      <w:top w:val="thinThickSmallGap" w:sz="24" w:space="1" w:color="auto"/>
                      <w:bottom w:val="thickThinSmallGap" w:sz="24" w:space="1" w:color="auto"/>
                    </w:pBdr>
                  </w:pPr>
                  <w:r>
                    <w:t>The Office of the Solicitor General does not initiate any programs, but it is required to handle all appropriate Supreme Court cases and requests for appeal, amicus, or intervention authorization.</w:t>
                  </w:r>
                </w:p>
                <w:p w:rsidR="0090387F" w:rsidRDefault="0090387F" w:rsidP="00FC34B1">
                  <w:pPr>
                    <w:autoSpaceDE w:val="0"/>
                    <w:autoSpaceDN w:val="0"/>
                    <w:adjustRightInd w:val="0"/>
                    <w:rPr>
                      <w:rFonts w:ascii="Arial" w:hAnsi="Arial" w:cs="Arial"/>
                      <w:sz w:val="20"/>
                      <w:szCs w:val="20"/>
                    </w:rPr>
                  </w:pPr>
                </w:p>
              </w:txbxContent>
            </v:textbox>
          </v:rect>
        </w:pict>
      </w:r>
    </w:p>
    <w:p w:rsidR="00FC34B1" w:rsidRPr="00C04631" w:rsidRDefault="00FC34B1" w:rsidP="00DA1F20">
      <w:pPr>
        <w:ind w:firstLine="720"/>
        <w:rPr>
          <w:rFonts w:cs="Arial"/>
        </w:rPr>
      </w:pPr>
    </w:p>
    <w:p w:rsidR="00FC34B1" w:rsidRPr="00C04631" w:rsidRDefault="00FC34B1" w:rsidP="00DA1F20">
      <w:pPr>
        <w:ind w:firstLine="720"/>
        <w:rPr>
          <w:rFonts w:cs="Arial"/>
        </w:rPr>
      </w:pPr>
    </w:p>
    <w:p w:rsidR="00FC34B1" w:rsidRPr="00C04631" w:rsidRDefault="00FC34B1" w:rsidP="00DA1F20">
      <w:pPr>
        <w:ind w:firstLine="720"/>
        <w:rPr>
          <w:rFonts w:cs="Arial"/>
        </w:rPr>
      </w:pPr>
    </w:p>
    <w:p w:rsidR="00FC34B1" w:rsidRPr="00C04631" w:rsidRDefault="00FC34B1" w:rsidP="00DA1F20">
      <w:pPr>
        <w:ind w:firstLine="720"/>
        <w:rPr>
          <w:rFonts w:cs="Arial"/>
        </w:rPr>
      </w:pPr>
    </w:p>
    <w:p w:rsidR="00FC34B1" w:rsidRPr="00C04631" w:rsidRDefault="00FC34B1" w:rsidP="00DA1F20">
      <w:pPr>
        <w:ind w:firstLine="720"/>
        <w:rPr>
          <w:rFonts w:cs="Arial"/>
        </w:rPr>
      </w:pPr>
    </w:p>
    <w:p w:rsidR="00761CF4" w:rsidRDefault="00761CF4" w:rsidP="00DA1F20">
      <w:pPr>
        <w:pStyle w:val="BodyText"/>
        <w:ind w:firstLine="720"/>
        <w:rPr>
          <w:b/>
          <w:szCs w:val="24"/>
          <w:u w:val="single"/>
        </w:rPr>
      </w:pPr>
    </w:p>
    <w:p w:rsidR="00DA1F20" w:rsidRPr="00C04631" w:rsidRDefault="00DA1F20" w:rsidP="00DA1F20">
      <w:pPr>
        <w:pStyle w:val="BodyText"/>
        <w:ind w:firstLine="720"/>
        <w:rPr>
          <w:b/>
          <w:szCs w:val="24"/>
        </w:rPr>
      </w:pPr>
      <w:proofErr w:type="gramStart"/>
      <w:r w:rsidRPr="00C04631">
        <w:rPr>
          <w:b/>
          <w:szCs w:val="24"/>
          <w:u w:val="single"/>
        </w:rPr>
        <w:t>Internal Challenges</w:t>
      </w:r>
      <w:r w:rsidR="00384B5F" w:rsidRPr="00C04631">
        <w:rPr>
          <w:b/>
          <w:szCs w:val="24"/>
          <w:u w:val="single"/>
        </w:rPr>
        <w:t>.</w:t>
      </w:r>
      <w:proofErr w:type="gramEnd"/>
      <w:r w:rsidR="003311EA">
        <w:rPr>
          <w:szCs w:val="24"/>
        </w:rPr>
        <w:t xml:space="preserve">  Prior </w:t>
      </w:r>
      <w:r w:rsidRPr="00C04631">
        <w:rPr>
          <w:szCs w:val="24"/>
        </w:rPr>
        <w:t xml:space="preserve">FY performance measures indicate a gradual increase in the number of cases the Solicitor General either participated in and/or responded.  The </w:t>
      </w:r>
      <w:r w:rsidR="00FD2A61">
        <w:rPr>
          <w:szCs w:val="24"/>
        </w:rPr>
        <w:t xml:space="preserve">arrival </w:t>
      </w:r>
      <w:r w:rsidRPr="00C04631">
        <w:rPr>
          <w:szCs w:val="24"/>
        </w:rPr>
        <w:t xml:space="preserve">of cases related to the challenges discussed above further predicts an ever increasing caseload.  </w:t>
      </w:r>
    </w:p>
    <w:p w:rsidR="00FC34B1" w:rsidRDefault="00FC34B1" w:rsidP="00DA1F20">
      <w:pPr>
        <w:pStyle w:val="BodyText"/>
        <w:rPr>
          <w:rFonts w:cs="Arial"/>
          <w:b/>
          <w:bCs/>
          <w:sz w:val="28"/>
          <w:szCs w:val="28"/>
        </w:rPr>
      </w:pPr>
    </w:p>
    <w:p w:rsidR="00DA1F20" w:rsidRPr="00E43151" w:rsidRDefault="00C201B8" w:rsidP="00DA1F20">
      <w:pPr>
        <w:pStyle w:val="BodyText"/>
        <w:rPr>
          <w:rFonts w:cs="Arial"/>
          <w:b/>
          <w:bCs/>
          <w:sz w:val="28"/>
          <w:szCs w:val="28"/>
        </w:rPr>
      </w:pPr>
      <w:r>
        <w:rPr>
          <w:rFonts w:cs="Arial"/>
          <w:b/>
          <w:bCs/>
          <w:sz w:val="28"/>
          <w:szCs w:val="28"/>
        </w:rPr>
        <w:br w:type="page"/>
      </w:r>
      <w:r w:rsidR="00DA1F20" w:rsidRPr="00E43151">
        <w:rPr>
          <w:rFonts w:cs="Arial"/>
          <w:b/>
          <w:bCs/>
          <w:sz w:val="28"/>
          <w:szCs w:val="28"/>
        </w:rPr>
        <w:lastRenderedPageBreak/>
        <w:t>II. Summary of Program Changes</w:t>
      </w:r>
    </w:p>
    <w:p w:rsidR="00DA1F20" w:rsidRDefault="00DA1F20" w:rsidP="00DA1F20">
      <w:pPr>
        <w:pStyle w:val="BodyText"/>
        <w:rPr>
          <w:rFonts w:cs="Arial"/>
          <w:b/>
          <w:bCs/>
        </w:rPr>
      </w:pPr>
    </w:p>
    <w:p w:rsidR="00450B48" w:rsidRDefault="00450B48" w:rsidP="00450B48">
      <w:pPr>
        <w:pStyle w:val="BodyText"/>
        <w:rPr>
          <w:rFonts w:cs="Arial"/>
          <w:b/>
          <w:bCs/>
          <w:i/>
          <w:iCs/>
        </w:rPr>
      </w:pPr>
      <w:r w:rsidRPr="00A22B57">
        <w:rPr>
          <w:szCs w:val="24"/>
        </w:rPr>
        <w:t xml:space="preserve">The Office of Legal Counsel (OLC) and </w:t>
      </w:r>
      <w:r>
        <w:rPr>
          <w:szCs w:val="24"/>
        </w:rPr>
        <w:t>Office of the Solicitor General (</w:t>
      </w:r>
      <w:r w:rsidRPr="00A22B57">
        <w:rPr>
          <w:szCs w:val="24"/>
        </w:rPr>
        <w:t>OSG</w:t>
      </w:r>
      <w:r>
        <w:rPr>
          <w:szCs w:val="24"/>
        </w:rPr>
        <w:t>)</w:t>
      </w:r>
      <w:r w:rsidRPr="00A22B57">
        <w:rPr>
          <w:szCs w:val="24"/>
        </w:rPr>
        <w:t xml:space="preserve"> are similarly sized components of the General Legal Activities (GLA) appropriation.  Due to fiscal constraints, staffing challenges, and the need for constant reevaluation of processes to find the most efficient management of resources, several executive office functions </w:t>
      </w:r>
      <w:r>
        <w:rPr>
          <w:szCs w:val="24"/>
        </w:rPr>
        <w:t>are being consolidated i</w:t>
      </w:r>
      <w:r w:rsidRPr="00A22B57">
        <w:rPr>
          <w:szCs w:val="24"/>
        </w:rPr>
        <w:t>nto a single, unified executive office.  This consolidation streamlines the executive office functions of OSG and OLC</w:t>
      </w:r>
      <w:r>
        <w:rPr>
          <w:szCs w:val="24"/>
        </w:rPr>
        <w:t>.</w:t>
      </w:r>
    </w:p>
    <w:p w:rsidR="00DA1F20" w:rsidRDefault="00DA1F20" w:rsidP="00DA1F20">
      <w:pPr>
        <w:pStyle w:val="BodyText"/>
        <w:rPr>
          <w:rFonts w:cs="Arial"/>
          <w:b/>
          <w:bCs/>
          <w:i/>
          <w:iCs/>
        </w:rPr>
      </w:pPr>
    </w:p>
    <w:p w:rsidR="00DA1F20" w:rsidRDefault="00DA1F20" w:rsidP="00DA1F20">
      <w:pPr>
        <w:pStyle w:val="BodyText"/>
        <w:rPr>
          <w:rFonts w:cs="Arial"/>
          <w:b/>
          <w:bCs/>
          <w:i/>
          <w:iC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1"/>
        <w:gridCol w:w="4647"/>
        <w:gridCol w:w="720"/>
        <w:gridCol w:w="720"/>
        <w:gridCol w:w="1080"/>
        <w:gridCol w:w="712"/>
      </w:tblGrid>
      <w:tr w:rsidR="00DA1F20" w:rsidRPr="000E2AEC" w:rsidTr="007F3954">
        <w:trPr>
          <w:cantSplit/>
        </w:trPr>
        <w:tc>
          <w:tcPr>
            <w:tcW w:w="1761" w:type="dxa"/>
            <w:vMerge w:val="restart"/>
            <w:shd w:val="clear" w:color="auto" w:fill="E6E6E6"/>
          </w:tcPr>
          <w:p w:rsidR="00DA1F20" w:rsidRPr="000E2AEC" w:rsidRDefault="00DA1F20" w:rsidP="007F3954">
            <w:pPr>
              <w:pStyle w:val="BodyText"/>
              <w:jc w:val="center"/>
              <w:rPr>
                <w:b/>
                <w:bCs/>
                <w:szCs w:val="24"/>
              </w:rPr>
            </w:pPr>
          </w:p>
          <w:p w:rsidR="00DA1F20" w:rsidRPr="000E2AEC" w:rsidRDefault="00DA1F20" w:rsidP="007F3954">
            <w:pPr>
              <w:pStyle w:val="BodyText"/>
              <w:jc w:val="center"/>
              <w:rPr>
                <w:b/>
                <w:bCs/>
                <w:szCs w:val="24"/>
              </w:rPr>
            </w:pPr>
            <w:r w:rsidRPr="000E2AEC">
              <w:rPr>
                <w:b/>
                <w:bCs/>
                <w:szCs w:val="24"/>
              </w:rPr>
              <w:t>Item Name</w:t>
            </w:r>
          </w:p>
        </w:tc>
        <w:tc>
          <w:tcPr>
            <w:tcW w:w="7167" w:type="dxa"/>
            <w:gridSpan w:val="4"/>
            <w:shd w:val="clear" w:color="auto" w:fill="E6E6E6"/>
          </w:tcPr>
          <w:p w:rsidR="00DA1F20" w:rsidRPr="000E2AEC" w:rsidRDefault="00DA1F20" w:rsidP="007F3954">
            <w:pPr>
              <w:pStyle w:val="BodyText"/>
              <w:jc w:val="center"/>
              <w:rPr>
                <w:b/>
                <w:bCs/>
                <w:szCs w:val="24"/>
              </w:rPr>
            </w:pPr>
          </w:p>
          <w:p w:rsidR="00DA1F20" w:rsidRPr="000E2AEC" w:rsidRDefault="00DA1F20" w:rsidP="007F3954">
            <w:pPr>
              <w:pStyle w:val="BodyText"/>
              <w:jc w:val="center"/>
              <w:rPr>
                <w:b/>
                <w:bCs/>
                <w:szCs w:val="24"/>
              </w:rPr>
            </w:pPr>
            <w:r w:rsidRPr="000E2AEC">
              <w:rPr>
                <w:b/>
                <w:bCs/>
                <w:szCs w:val="24"/>
              </w:rPr>
              <w:t>Description</w:t>
            </w:r>
          </w:p>
        </w:tc>
        <w:tc>
          <w:tcPr>
            <w:tcW w:w="712" w:type="dxa"/>
            <w:vMerge w:val="restart"/>
            <w:shd w:val="clear" w:color="auto" w:fill="E6E6E6"/>
          </w:tcPr>
          <w:p w:rsidR="00DA1F20" w:rsidRPr="000E2AEC" w:rsidRDefault="00DA1F20" w:rsidP="007F3954">
            <w:pPr>
              <w:pStyle w:val="BodyText"/>
              <w:jc w:val="center"/>
              <w:rPr>
                <w:b/>
                <w:bCs/>
                <w:szCs w:val="24"/>
              </w:rPr>
            </w:pPr>
          </w:p>
          <w:p w:rsidR="00DA1F20" w:rsidRPr="000E2AEC" w:rsidRDefault="00DA1F20" w:rsidP="007F3954">
            <w:pPr>
              <w:pStyle w:val="BodyText"/>
              <w:jc w:val="center"/>
              <w:rPr>
                <w:b/>
                <w:bCs/>
                <w:szCs w:val="24"/>
              </w:rPr>
            </w:pPr>
            <w:r w:rsidRPr="000E2AEC">
              <w:rPr>
                <w:b/>
                <w:bCs/>
                <w:szCs w:val="24"/>
              </w:rPr>
              <w:t>Page</w:t>
            </w:r>
          </w:p>
        </w:tc>
      </w:tr>
      <w:tr w:rsidR="00DA1F20" w:rsidRPr="000E2AEC" w:rsidTr="007F3954">
        <w:trPr>
          <w:cantSplit/>
        </w:trPr>
        <w:tc>
          <w:tcPr>
            <w:tcW w:w="1761" w:type="dxa"/>
            <w:vMerge/>
          </w:tcPr>
          <w:p w:rsidR="00DA1F20" w:rsidRPr="000E2AEC" w:rsidRDefault="00DA1F20" w:rsidP="007F3954">
            <w:pPr>
              <w:pStyle w:val="BodyText"/>
              <w:jc w:val="center"/>
              <w:rPr>
                <w:b/>
                <w:bCs/>
                <w:szCs w:val="24"/>
              </w:rPr>
            </w:pPr>
          </w:p>
        </w:tc>
        <w:tc>
          <w:tcPr>
            <w:tcW w:w="4647" w:type="dxa"/>
          </w:tcPr>
          <w:p w:rsidR="00DA1F20" w:rsidRPr="000E2AEC" w:rsidRDefault="00DA1F20" w:rsidP="007F3954">
            <w:pPr>
              <w:pStyle w:val="BodyText"/>
              <w:jc w:val="center"/>
              <w:rPr>
                <w:b/>
                <w:bCs/>
                <w:szCs w:val="24"/>
              </w:rPr>
            </w:pPr>
          </w:p>
        </w:tc>
        <w:tc>
          <w:tcPr>
            <w:tcW w:w="720" w:type="dxa"/>
            <w:shd w:val="clear" w:color="auto" w:fill="F3F3F3"/>
          </w:tcPr>
          <w:p w:rsidR="00DA1F20" w:rsidRPr="000E2AEC" w:rsidRDefault="00DA1F20" w:rsidP="007F3954">
            <w:pPr>
              <w:pStyle w:val="BodyText"/>
              <w:jc w:val="center"/>
              <w:rPr>
                <w:b/>
                <w:bCs/>
                <w:szCs w:val="24"/>
              </w:rPr>
            </w:pPr>
          </w:p>
          <w:p w:rsidR="00DA1F20" w:rsidRPr="000E2AEC" w:rsidRDefault="00DA1F20" w:rsidP="007F3954">
            <w:pPr>
              <w:pStyle w:val="BodyText"/>
              <w:jc w:val="center"/>
              <w:rPr>
                <w:b/>
                <w:bCs/>
                <w:szCs w:val="24"/>
              </w:rPr>
            </w:pPr>
            <w:r w:rsidRPr="000E2AEC">
              <w:rPr>
                <w:b/>
                <w:bCs/>
                <w:szCs w:val="24"/>
              </w:rPr>
              <w:t>Pos.</w:t>
            </w:r>
          </w:p>
        </w:tc>
        <w:tc>
          <w:tcPr>
            <w:tcW w:w="720" w:type="dxa"/>
            <w:shd w:val="clear" w:color="auto" w:fill="F3F3F3"/>
          </w:tcPr>
          <w:p w:rsidR="00DA1F20" w:rsidRPr="000E2AEC" w:rsidRDefault="00DA1F20" w:rsidP="007F3954">
            <w:pPr>
              <w:pStyle w:val="BodyText"/>
              <w:jc w:val="center"/>
              <w:rPr>
                <w:b/>
                <w:bCs/>
                <w:szCs w:val="24"/>
              </w:rPr>
            </w:pPr>
          </w:p>
          <w:p w:rsidR="00DA1F20" w:rsidRPr="000E2AEC" w:rsidRDefault="00DA1F20" w:rsidP="007F3954">
            <w:pPr>
              <w:pStyle w:val="BodyText"/>
              <w:jc w:val="center"/>
              <w:rPr>
                <w:b/>
                <w:bCs/>
                <w:szCs w:val="24"/>
              </w:rPr>
            </w:pPr>
            <w:r w:rsidRPr="000E2AEC">
              <w:rPr>
                <w:b/>
                <w:bCs/>
                <w:szCs w:val="24"/>
              </w:rPr>
              <w:t>FTE</w:t>
            </w:r>
          </w:p>
        </w:tc>
        <w:tc>
          <w:tcPr>
            <w:tcW w:w="1080" w:type="dxa"/>
            <w:shd w:val="clear" w:color="auto" w:fill="F3F3F3"/>
          </w:tcPr>
          <w:p w:rsidR="00DA1F20" w:rsidRPr="000E2AEC" w:rsidRDefault="00DA1F20" w:rsidP="007F3954">
            <w:pPr>
              <w:pStyle w:val="BodyText"/>
              <w:jc w:val="center"/>
              <w:rPr>
                <w:b/>
                <w:bCs/>
                <w:szCs w:val="24"/>
              </w:rPr>
            </w:pPr>
            <w:r w:rsidRPr="000E2AEC">
              <w:rPr>
                <w:b/>
                <w:bCs/>
                <w:szCs w:val="24"/>
              </w:rPr>
              <w:t>Dollars ($000)</w:t>
            </w:r>
          </w:p>
        </w:tc>
        <w:tc>
          <w:tcPr>
            <w:tcW w:w="712" w:type="dxa"/>
            <w:vMerge/>
          </w:tcPr>
          <w:p w:rsidR="00DA1F20" w:rsidRPr="000E2AEC" w:rsidRDefault="00DA1F20" w:rsidP="007F3954">
            <w:pPr>
              <w:pStyle w:val="BodyText"/>
              <w:jc w:val="center"/>
              <w:rPr>
                <w:b/>
                <w:bCs/>
                <w:szCs w:val="24"/>
              </w:rPr>
            </w:pPr>
          </w:p>
        </w:tc>
      </w:tr>
      <w:tr w:rsidR="00DA1F20" w:rsidRPr="000E2AEC" w:rsidTr="007F3954">
        <w:tc>
          <w:tcPr>
            <w:tcW w:w="1761" w:type="dxa"/>
          </w:tcPr>
          <w:p w:rsidR="00DA1F20" w:rsidRDefault="00FD2A61" w:rsidP="007F3954">
            <w:pPr>
              <w:pStyle w:val="BodyText"/>
              <w:rPr>
                <w:b/>
                <w:bCs/>
                <w:szCs w:val="24"/>
              </w:rPr>
            </w:pPr>
            <w:r>
              <w:rPr>
                <w:b/>
                <w:bCs/>
                <w:szCs w:val="24"/>
              </w:rPr>
              <w:t xml:space="preserve">Federal </w:t>
            </w:r>
          </w:p>
          <w:p w:rsidR="00FD2A61" w:rsidRDefault="00FD2A61" w:rsidP="007F3954">
            <w:pPr>
              <w:pStyle w:val="BodyText"/>
              <w:rPr>
                <w:b/>
                <w:bCs/>
                <w:szCs w:val="24"/>
              </w:rPr>
            </w:pPr>
            <w:r>
              <w:rPr>
                <w:b/>
                <w:bCs/>
                <w:szCs w:val="24"/>
              </w:rPr>
              <w:t>Appellate</w:t>
            </w:r>
          </w:p>
          <w:p w:rsidR="00FD2A61" w:rsidRPr="000E2AEC" w:rsidRDefault="00FD2A61" w:rsidP="007F3954">
            <w:pPr>
              <w:pStyle w:val="BodyText"/>
              <w:rPr>
                <w:b/>
                <w:bCs/>
                <w:szCs w:val="24"/>
              </w:rPr>
            </w:pPr>
            <w:r>
              <w:rPr>
                <w:b/>
                <w:bCs/>
                <w:szCs w:val="24"/>
              </w:rPr>
              <w:t>Activity</w:t>
            </w:r>
          </w:p>
        </w:tc>
        <w:tc>
          <w:tcPr>
            <w:tcW w:w="4647" w:type="dxa"/>
          </w:tcPr>
          <w:p w:rsidR="00DA1F20" w:rsidRPr="000E2AEC" w:rsidRDefault="00450B48" w:rsidP="007F3954">
            <w:pPr>
              <w:pStyle w:val="BodyText"/>
              <w:rPr>
                <w:b/>
                <w:bCs/>
                <w:szCs w:val="24"/>
              </w:rPr>
            </w:pPr>
            <w:r>
              <w:rPr>
                <w:b/>
                <w:bCs/>
                <w:szCs w:val="24"/>
              </w:rPr>
              <w:t>Administrative Functions Consolidation</w:t>
            </w:r>
            <w:r w:rsidR="00DA1F20">
              <w:rPr>
                <w:b/>
                <w:bCs/>
                <w:szCs w:val="24"/>
              </w:rPr>
              <w:t xml:space="preserve"> </w:t>
            </w:r>
          </w:p>
        </w:tc>
        <w:tc>
          <w:tcPr>
            <w:tcW w:w="720" w:type="dxa"/>
          </w:tcPr>
          <w:p w:rsidR="00DA1F20" w:rsidRPr="000E2AEC" w:rsidRDefault="00450B48" w:rsidP="007F3954">
            <w:pPr>
              <w:pStyle w:val="BodyText"/>
              <w:jc w:val="center"/>
              <w:rPr>
                <w:b/>
                <w:bCs/>
                <w:szCs w:val="24"/>
              </w:rPr>
            </w:pPr>
            <w:r>
              <w:rPr>
                <w:b/>
                <w:bCs/>
                <w:szCs w:val="24"/>
              </w:rPr>
              <w:t>0</w:t>
            </w:r>
          </w:p>
        </w:tc>
        <w:tc>
          <w:tcPr>
            <w:tcW w:w="720" w:type="dxa"/>
          </w:tcPr>
          <w:p w:rsidR="00DA1F20" w:rsidRPr="000E2AEC" w:rsidRDefault="00450B48" w:rsidP="007F3954">
            <w:pPr>
              <w:pStyle w:val="BodyText"/>
              <w:jc w:val="center"/>
              <w:rPr>
                <w:b/>
                <w:bCs/>
                <w:szCs w:val="24"/>
              </w:rPr>
            </w:pPr>
            <w:r>
              <w:rPr>
                <w:b/>
                <w:bCs/>
                <w:szCs w:val="24"/>
              </w:rPr>
              <w:t>0</w:t>
            </w:r>
          </w:p>
        </w:tc>
        <w:tc>
          <w:tcPr>
            <w:tcW w:w="1080" w:type="dxa"/>
          </w:tcPr>
          <w:p w:rsidR="00DA1F20" w:rsidRPr="000E2AEC" w:rsidRDefault="00450B48" w:rsidP="007F3954">
            <w:pPr>
              <w:pStyle w:val="BodyText"/>
              <w:jc w:val="center"/>
              <w:rPr>
                <w:b/>
                <w:bCs/>
                <w:szCs w:val="24"/>
              </w:rPr>
            </w:pPr>
            <w:r>
              <w:rPr>
                <w:b/>
                <w:bCs/>
                <w:szCs w:val="24"/>
              </w:rPr>
              <w:t>-231</w:t>
            </w:r>
          </w:p>
        </w:tc>
        <w:tc>
          <w:tcPr>
            <w:tcW w:w="712" w:type="dxa"/>
          </w:tcPr>
          <w:p w:rsidR="00DA1F20" w:rsidRPr="000E2AEC" w:rsidRDefault="008754FE" w:rsidP="007F3954">
            <w:pPr>
              <w:pStyle w:val="BodyText"/>
              <w:jc w:val="center"/>
              <w:rPr>
                <w:b/>
                <w:bCs/>
                <w:szCs w:val="24"/>
              </w:rPr>
            </w:pPr>
            <w:r>
              <w:rPr>
                <w:b/>
                <w:bCs/>
                <w:szCs w:val="24"/>
              </w:rPr>
              <w:t>12</w:t>
            </w:r>
          </w:p>
        </w:tc>
      </w:tr>
    </w:tbl>
    <w:p w:rsidR="00761CF4" w:rsidRDefault="00761CF4" w:rsidP="00DA1F20">
      <w:pPr>
        <w:pStyle w:val="BodyText"/>
        <w:rPr>
          <w:rFonts w:cs="Arial"/>
          <w:b/>
          <w:bCs/>
          <w:sz w:val="28"/>
          <w:szCs w:val="28"/>
        </w:rPr>
      </w:pPr>
      <w:bookmarkStart w:id="0" w:name="OLE_LINK6"/>
    </w:p>
    <w:p w:rsidR="00A16712" w:rsidRDefault="00A16712" w:rsidP="00DA1F20">
      <w:pPr>
        <w:pStyle w:val="BodyText"/>
        <w:rPr>
          <w:rFonts w:cs="Arial"/>
          <w:b/>
          <w:bCs/>
          <w:sz w:val="28"/>
          <w:szCs w:val="28"/>
        </w:rPr>
      </w:pPr>
    </w:p>
    <w:p w:rsidR="00DA1F20" w:rsidRPr="00E43151" w:rsidRDefault="00DA1F20" w:rsidP="00DA1F20">
      <w:pPr>
        <w:pStyle w:val="BodyText"/>
        <w:rPr>
          <w:rFonts w:cs="Arial"/>
          <w:b/>
          <w:bCs/>
          <w:sz w:val="28"/>
          <w:szCs w:val="28"/>
        </w:rPr>
      </w:pPr>
      <w:r w:rsidRPr="00E43151">
        <w:rPr>
          <w:rFonts w:cs="Arial"/>
          <w:b/>
          <w:bCs/>
          <w:sz w:val="28"/>
          <w:szCs w:val="28"/>
        </w:rPr>
        <w:t>I</w:t>
      </w:r>
      <w:r w:rsidR="003311EA">
        <w:rPr>
          <w:rFonts w:cs="Arial"/>
          <w:b/>
          <w:bCs/>
          <w:sz w:val="28"/>
          <w:szCs w:val="28"/>
        </w:rPr>
        <w:t>II</w:t>
      </w:r>
      <w:proofErr w:type="gramStart"/>
      <w:r w:rsidR="003311EA">
        <w:rPr>
          <w:rFonts w:cs="Arial"/>
          <w:b/>
          <w:bCs/>
          <w:sz w:val="28"/>
          <w:szCs w:val="28"/>
        </w:rPr>
        <w:t xml:space="preserve">. </w:t>
      </w:r>
      <w:r w:rsidR="00797904">
        <w:rPr>
          <w:rFonts w:cs="Arial"/>
          <w:b/>
          <w:bCs/>
          <w:sz w:val="28"/>
          <w:szCs w:val="28"/>
        </w:rPr>
        <w:t xml:space="preserve"> </w:t>
      </w:r>
      <w:r w:rsidR="00FE12B1">
        <w:rPr>
          <w:rFonts w:cs="Arial"/>
          <w:b/>
          <w:bCs/>
          <w:sz w:val="28"/>
          <w:szCs w:val="28"/>
        </w:rPr>
        <w:t>A</w:t>
      </w:r>
      <w:r w:rsidRPr="00E43151">
        <w:rPr>
          <w:rFonts w:cs="Arial"/>
          <w:b/>
          <w:bCs/>
          <w:sz w:val="28"/>
          <w:szCs w:val="28"/>
        </w:rPr>
        <w:t>ppropriations</w:t>
      </w:r>
      <w:proofErr w:type="gramEnd"/>
      <w:r w:rsidRPr="00E43151">
        <w:rPr>
          <w:rFonts w:cs="Arial"/>
          <w:b/>
          <w:bCs/>
          <w:sz w:val="28"/>
          <w:szCs w:val="28"/>
        </w:rPr>
        <w:t xml:space="preserve"> Language and Analysis of Appropriations Language</w:t>
      </w:r>
    </w:p>
    <w:bookmarkEnd w:id="0"/>
    <w:p w:rsidR="00380B8E" w:rsidRDefault="00182F1D" w:rsidP="00182F1D">
      <w:pPr>
        <w:pStyle w:val="BodyText"/>
        <w:rPr>
          <w:rFonts w:cs="Arial"/>
          <w:b/>
          <w:bCs/>
          <w:sz w:val="22"/>
          <w:szCs w:val="22"/>
        </w:rPr>
      </w:pPr>
      <w:r>
        <w:rPr>
          <w:rFonts w:cs="Arial"/>
          <w:b/>
          <w:bCs/>
          <w:sz w:val="22"/>
          <w:szCs w:val="22"/>
        </w:rPr>
        <w:t xml:space="preserve">        </w:t>
      </w:r>
    </w:p>
    <w:p w:rsidR="00182F1D" w:rsidRPr="00380B8E" w:rsidRDefault="00182F1D" w:rsidP="00182F1D">
      <w:pPr>
        <w:pStyle w:val="BodyText"/>
        <w:rPr>
          <w:rFonts w:cs="Arial"/>
          <w:bCs/>
          <w:sz w:val="22"/>
          <w:szCs w:val="22"/>
        </w:rPr>
      </w:pPr>
      <w:r w:rsidRPr="00380B8E">
        <w:rPr>
          <w:rFonts w:cs="Arial"/>
          <w:bCs/>
          <w:sz w:val="22"/>
          <w:szCs w:val="22"/>
        </w:rPr>
        <w:t xml:space="preserve"> (Please refer to the General Legal Activities Consolidated Justification)</w:t>
      </w:r>
    </w:p>
    <w:p w:rsidR="00A2137B" w:rsidRDefault="00A2137B" w:rsidP="00A2137B">
      <w:pPr>
        <w:pStyle w:val="BodyText"/>
        <w:tabs>
          <w:tab w:val="left" w:pos="720"/>
        </w:tabs>
        <w:rPr>
          <w:rFonts w:cs="Arial"/>
          <w:b/>
          <w:bCs/>
        </w:rPr>
      </w:pPr>
    </w:p>
    <w:p w:rsidR="00B110D2" w:rsidRDefault="00B110D2" w:rsidP="00A2137B">
      <w:pPr>
        <w:pStyle w:val="BodyText"/>
        <w:tabs>
          <w:tab w:val="left" w:pos="720"/>
        </w:tabs>
        <w:rPr>
          <w:rFonts w:cs="Arial"/>
          <w:b/>
          <w:bCs/>
        </w:rPr>
      </w:pPr>
    </w:p>
    <w:p w:rsidR="00A2137B" w:rsidRDefault="00A2137B" w:rsidP="00A2137B">
      <w:pPr>
        <w:pStyle w:val="BodyText"/>
        <w:tabs>
          <w:tab w:val="left" w:pos="720"/>
        </w:tabs>
        <w:rPr>
          <w:rFonts w:cs="Arial"/>
          <w:b/>
          <w:bCs/>
        </w:rPr>
      </w:pPr>
    </w:p>
    <w:p w:rsidR="00A2137B" w:rsidRDefault="00A2137B" w:rsidP="00A2137B">
      <w:pPr>
        <w:pStyle w:val="BodyText"/>
        <w:tabs>
          <w:tab w:val="left" w:pos="720"/>
        </w:tabs>
        <w:rPr>
          <w:rFonts w:cs="Arial"/>
          <w:b/>
          <w:bCs/>
        </w:rPr>
      </w:pPr>
    </w:p>
    <w:p w:rsidR="00A2137B" w:rsidRDefault="00A2137B" w:rsidP="00A2137B">
      <w:pPr>
        <w:pStyle w:val="BodyText"/>
        <w:tabs>
          <w:tab w:val="left" w:pos="720"/>
        </w:tabs>
        <w:rPr>
          <w:rFonts w:cs="Arial"/>
          <w:b/>
          <w:bCs/>
        </w:rPr>
      </w:pPr>
    </w:p>
    <w:p w:rsidR="00A2137B" w:rsidRDefault="00A2137B" w:rsidP="00A2137B">
      <w:pPr>
        <w:pStyle w:val="BodyText"/>
        <w:tabs>
          <w:tab w:val="left" w:pos="720"/>
        </w:tabs>
        <w:rPr>
          <w:rFonts w:cs="Arial"/>
          <w:b/>
          <w:bCs/>
        </w:rPr>
      </w:pPr>
    </w:p>
    <w:p w:rsidR="00A2137B" w:rsidRDefault="00A2137B" w:rsidP="00A2137B">
      <w:pPr>
        <w:pStyle w:val="BodyText"/>
        <w:tabs>
          <w:tab w:val="left" w:pos="720"/>
        </w:tabs>
        <w:rPr>
          <w:rFonts w:cs="Arial"/>
          <w:b/>
          <w:bCs/>
        </w:rPr>
      </w:pPr>
    </w:p>
    <w:p w:rsidR="00DA1F20" w:rsidRPr="00E43151" w:rsidRDefault="00C201B8" w:rsidP="00A2137B">
      <w:pPr>
        <w:pStyle w:val="BodyText"/>
        <w:tabs>
          <w:tab w:val="left" w:pos="720"/>
        </w:tabs>
        <w:rPr>
          <w:rFonts w:cs="Arial"/>
          <w:b/>
          <w:bCs/>
          <w:sz w:val="28"/>
          <w:szCs w:val="28"/>
        </w:rPr>
      </w:pPr>
      <w:r>
        <w:rPr>
          <w:rFonts w:cs="Arial"/>
          <w:b/>
          <w:bCs/>
          <w:sz w:val="28"/>
          <w:szCs w:val="28"/>
        </w:rPr>
        <w:br w:type="page"/>
      </w:r>
      <w:r w:rsidR="00A2137B">
        <w:rPr>
          <w:rFonts w:cs="Arial"/>
          <w:b/>
          <w:bCs/>
          <w:sz w:val="28"/>
          <w:szCs w:val="28"/>
        </w:rPr>
        <w:lastRenderedPageBreak/>
        <w:t>IV.</w:t>
      </w:r>
      <w:r w:rsidR="00DA1F20" w:rsidRPr="00E43151">
        <w:rPr>
          <w:rFonts w:cs="Arial"/>
          <w:b/>
          <w:bCs/>
          <w:sz w:val="28"/>
          <w:szCs w:val="28"/>
        </w:rPr>
        <w:t xml:space="preserve"> Decision Unit Justification</w:t>
      </w:r>
    </w:p>
    <w:p w:rsidR="00DA1F20" w:rsidRDefault="00DA1F20" w:rsidP="00DA1F20">
      <w:pPr>
        <w:pStyle w:val="BodyText"/>
        <w:rPr>
          <w:rFonts w:cs="Arial"/>
          <w:b/>
          <w:bCs/>
        </w:rPr>
      </w:pPr>
    </w:p>
    <w:p w:rsidR="00DA1F20" w:rsidRPr="00C04631" w:rsidRDefault="00DA1F20" w:rsidP="00DA1F20">
      <w:pPr>
        <w:pStyle w:val="BodyText"/>
        <w:rPr>
          <w:rFonts w:cs="Arial"/>
          <w:b/>
          <w:bCs/>
          <w:szCs w:val="24"/>
        </w:rPr>
      </w:pPr>
      <w:r w:rsidRPr="00C04631">
        <w:rPr>
          <w:rFonts w:cs="Arial"/>
          <w:b/>
          <w:bCs/>
          <w:szCs w:val="24"/>
        </w:rPr>
        <w:t>A. Federal Appellate Activity</w:t>
      </w:r>
      <w:r w:rsidRPr="00C04631">
        <w:rPr>
          <w:rFonts w:cs="Arial"/>
          <w:b/>
          <w:bCs/>
          <w:i/>
          <w:iCs/>
          <w:szCs w:val="24"/>
        </w:rPr>
        <w:tab/>
      </w:r>
    </w:p>
    <w:p w:rsidR="00DA1F20" w:rsidRPr="00C04631" w:rsidRDefault="00DA1F20" w:rsidP="00DA1F20">
      <w:pPr>
        <w:pStyle w:val="Title"/>
        <w:rPr>
          <w:b w:val="0"/>
          <w:bCs/>
          <w:i w:val="0"/>
          <w:szCs w:val="24"/>
        </w:rPr>
      </w:pPr>
    </w:p>
    <w:p w:rsidR="00182F1D" w:rsidRPr="00C04631" w:rsidRDefault="00182F1D" w:rsidP="00182F1D">
      <w:pPr>
        <w:pStyle w:val="Title"/>
        <w:rPr>
          <w:b w:val="0"/>
          <w:bCs/>
          <w:i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7"/>
        <w:gridCol w:w="1349"/>
        <w:gridCol w:w="1250"/>
        <w:gridCol w:w="2070"/>
      </w:tblGrid>
      <w:tr w:rsidR="00182F1D" w:rsidRPr="00C04631" w:rsidTr="00984D8B">
        <w:tc>
          <w:tcPr>
            <w:tcW w:w="4907" w:type="dxa"/>
          </w:tcPr>
          <w:p w:rsidR="00182F1D" w:rsidRPr="00C04631" w:rsidRDefault="00182F1D" w:rsidP="00DA78DF">
            <w:pPr>
              <w:pStyle w:val="Title"/>
              <w:ind w:left="0"/>
              <w:jc w:val="left"/>
              <w:rPr>
                <w:iCs/>
                <w:szCs w:val="24"/>
              </w:rPr>
            </w:pPr>
            <w:r w:rsidRPr="00C04631">
              <w:rPr>
                <w:rFonts w:cs="Arial"/>
                <w:bCs/>
                <w:szCs w:val="24"/>
              </w:rPr>
              <w:t>Federal Appellate Activity</w:t>
            </w:r>
          </w:p>
        </w:tc>
        <w:tc>
          <w:tcPr>
            <w:tcW w:w="1349" w:type="dxa"/>
          </w:tcPr>
          <w:p w:rsidR="00182F1D" w:rsidRPr="00C04631" w:rsidRDefault="00182F1D" w:rsidP="00DA78DF">
            <w:pPr>
              <w:pStyle w:val="Title"/>
              <w:ind w:left="0"/>
              <w:rPr>
                <w:i w:val="0"/>
                <w:szCs w:val="24"/>
              </w:rPr>
            </w:pPr>
            <w:r w:rsidRPr="00C04631">
              <w:rPr>
                <w:i w:val="0"/>
                <w:szCs w:val="24"/>
              </w:rPr>
              <w:t>Perm</w:t>
            </w:r>
            <w:r>
              <w:rPr>
                <w:i w:val="0"/>
                <w:szCs w:val="24"/>
              </w:rPr>
              <w:t>anent Positions</w:t>
            </w:r>
          </w:p>
        </w:tc>
        <w:tc>
          <w:tcPr>
            <w:tcW w:w="1250" w:type="dxa"/>
          </w:tcPr>
          <w:p w:rsidR="00182F1D" w:rsidRPr="00C04631" w:rsidRDefault="00182F1D" w:rsidP="00DA78DF">
            <w:pPr>
              <w:pStyle w:val="Title"/>
              <w:ind w:left="0"/>
              <w:rPr>
                <w:i w:val="0"/>
                <w:szCs w:val="24"/>
              </w:rPr>
            </w:pPr>
            <w:r w:rsidRPr="00C04631">
              <w:rPr>
                <w:i w:val="0"/>
                <w:szCs w:val="24"/>
              </w:rPr>
              <w:t>FTE</w:t>
            </w:r>
          </w:p>
        </w:tc>
        <w:tc>
          <w:tcPr>
            <w:tcW w:w="2070" w:type="dxa"/>
          </w:tcPr>
          <w:p w:rsidR="00182F1D" w:rsidRPr="00C04631" w:rsidRDefault="00182F1D" w:rsidP="00DA78DF">
            <w:pPr>
              <w:pStyle w:val="Title"/>
              <w:ind w:left="0"/>
              <w:rPr>
                <w:i w:val="0"/>
                <w:szCs w:val="24"/>
              </w:rPr>
            </w:pPr>
            <w:r w:rsidRPr="00C04631">
              <w:rPr>
                <w:i w:val="0"/>
                <w:szCs w:val="24"/>
              </w:rPr>
              <w:t>Amount</w:t>
            </w:r>
          </w:p>
        </w:tc>
      </w:tr>
      <w:tr w:rsidR="00182F1D" w:rsidRPr="00C04631" w:rsidTr="00984D8B">
        <w:tc>
          <w:tcPr>
            <w:tcW w:w="4907" w:type="dxa"/>
          </w:tcPr>
          <w:p w:rsidR="00182F1D" w:rsidRPr="00C04631" w:rsidRDefault="00182F1D" w:rsidP="00DA78DF">
            <w:pPr>
              <w:pStyle w:val="Title"/>
              <w:ind w:left="0"/>
              <w:jc w:val="left"/>
              <w:rPr>
                <w:b w:val="0"/>
                <w:bCs/>
                <w:i w:val="0"/>
                <w:szCs w:val="24"/>
              </w:rPr>
            </w:pPr>
            <w:r w:rsidRPr="00C04631">
              <w:rPr>
                <w:b w:val="0"/>
                <w:bCs/>
                <w:i w:val="0"/>
                <w:szCs w:val="24"/>
              </w:rPr>
              <w:t>201</w:t>
            </w:r>
            <w:r>
              <w:rPr>
                <w:b w:val="0"/>
                <w:bCs/>
                <w:i w:val="0"/>
                <w:szCs w:val="24"/>
              </w:rPr>
              <w:t>1</w:t>
            </w:r>
            <w:r w:rsidRPr="00C04631">
              <w:rPr>
                <w:b w:val="0"/>
                <w:bCs/>
                <w:i w:val="0"/>
                <w:szCs w:val="24"/>
              </w:rPr>
              <w:t xml:space="preserve"> Enacted with Rescissions</w:t>
            </w:r>
          </w:p>
        </w:tc>
        <w:tc>
          <w:tcPr>
            <w:tcW w:w="1349" w:type="dxa"/>
            <w:vAlign w:val="center"/>
          </w:tcPr>
          <w:p w:rsidR="00182F1D" w:rsidRPr="00C04631" w:rsidRDefault="00182F1D" w:rsidP="00DA78DF">
            <w:pPr>
              <w:pStyle w:val="Title"/>
              <w:ind w:left="0"/>
              <w:jc w:val="right"/>
              <w:rPr>
                <w:b w:val="0"/>
                <w:bCs/>
                <w:i w:val="0"/>
                <w:szCs w:val="24"/>
              </w:rPr>
            </w:pPr>
            <w:r w:rsidRPr="00C04631">
              <w:rPr>
                <w:b w:val="0"/>
                <w:bCs/>
                <w:i w:val="0"/>
                <w:szCs w:val="24"/>
              </w:rPr>
              <w:t>48</w:t>
            </w:r>
          </w:p>
        </w:tc>
        <w:tc>
          <w:tcPr>
            <w:tcW w:w="1250" w:type="dxa"/>
            <w:vAlign w:val="center"/>
          </w:tcPr>
          <w:p w:rsidR="00182F1D" w:rsidRPr="00C04631" w:rsidRDefault="00182F1D" w:rsidP="00DA78DF">
            <w:pPr>
              <w:pStyle w:val="Title"/>
              <w:ind w:left="0"/>
              <w:jc w:val="right"/>
              <w:rPr>
                <w:b w:val="0"/>
                <w:bCs/>
                <w:i w:val="0"/>
                <w:szCs w:val="24"/>
              </w:rPr>
            </w:pPr>
            <w:r w:rsidRPr="00C04631">
              <w:rPr>
                <w:b w:val="0"/>
                <w:bCs/>
                <w:i w:val="0"/>
                <w:szCs w:val="24"/>
              </w:rPr>
              <w:t>49</w:t>
            </w:r>
          </w:p>
        </w:tc>
        <w:tc>
          <w:tcPr>
            <w:tcW w:w="2070" w:type="dxa"/>
            <w:vAlign w:val="center"/>
          </w:tcPr>
          <w:p w:rsidR="00182F1D" w:rsidRPr="00C04631" w:rsidRDefault="00182F1D" w:rsidP="00DA78DF">
            <w:pPr>
              <w:pStyle w:val="Title"/>
              <w:ind w:left="0"/>
              <w:jc w:val="right"/>
              <w:rPr>
                <w:b w:val="0"/>
                <w:bCs/>
                <w:i w:val="0"/>
                <w:szCs w:val="24"/>
              </w:rPr>
            </w:pPr>
            <w:r w:rsidRPr="00C04631">
              <w:rPr>
                <w:b w:val="0"/>
                <w:bCs/>
                <w:i w:val="0"/>
                <w:szCs w:val="24"/>
              </w:rPr>
              <w:t>10,</w:t>
            </w:r>
            <w:r>
              <w:rPr>
                <w:b w:val="0"/>
                <w:bCs/>
                <w:i w:val="0"/>
                <w:szCs w:val="24"/>
              </w:rPr>
              <w:t>725</w:t>
            </w:r>
          </w:p>
        </w:tc>
      </w:tr>
      <w:tr w:rsidR="00182F1D" w:rsidRPr="00C04631" w:rsidTr="00984D8B">
        <w:tc>
          <w:tcPr>
            <w:tcW w:w="4907" w:type="dxa"/>
          </w:tcPr>
          <w:p w:rsidR="00182F1D" w:rsidRPr="00C04631" w:rsidRDefault="00182F1D" w:rsidP="00DA78DF">
            <w:pPr>
              <w:pStyle w:val="Title"/>
              <w:ind w:left="0"/>
              <w:jc w:val="left"/>
              <w:rPr>
                <w:b w:val="0"/>
                <w:bCs/>
                <w:i w:val="0"/>
                <w:szCs w:val="24"/>
              </w:rPr>
            </w:pPr>
            <w:r w:rsidRPr="00C04631">
              <w:rPr>
                <w:b w:val="0"/>
                <w:bCs/>
                <w:i w:val="0"/>
                <w:szCs w:val="24"/>
              </w:rPr>
              <w:t>201</w:t>
            </w:r>
            <w:r>
              <w:rPr>
                <w:b w:val="0"/>
                <w:bCs/>
                <w:i w:val="0"/>
                <w:szCs w:val="24"/>
              </w:rPr>
              <w:t>2</w:t>
            </w:r>
            <w:r w:rsidRPr="00C04631">
              <w:rPr>
                <w:b w:val="0"/>
                <w:bCs/>
                <w:i w:val="0"/>
                <w:szCs w:val="24"/>
              </w:rPr>
              <w:t xml:space="preserve"> </w:t>
            </w:r>
            <w:r w:rsidR="00247084">
              <w:rPr>
                <w:b w:val="0"/>
                <w:bCs/>
                <w:i w:val="0"/>
                <w:szCs w:val="24"/>
              </w:rPr>
              <w:t>Enacted</w:t>
            </w:r>
          </w:p>
        </w:tc>
        <w:tc>
          <w:tcPr>
            <w:tcW w:w="1349" w:type="dxa"/>
            <w:vAlign w:val="center"/>
          </w:tcPr>
          <w:p w:rsidR="00182F1D" w:rsidRPr="00C04631" w:rsidRDefault="00182F1D" w:rsidP="00DA78DF">
            <w:pPr>
              <w:pStyle w:val="Title"/>
              <w:ind w:left="0"/>
              <w:jc w:val="right"/>
              <w:rPr>
                <w:b w:val="0"/>
                <w:bCs/>
                <w:i w:val="0"/>
                <w:szCs w:val="24"/>
              </w:rPr>
            </w:pPr>
            <w:r w:rsidRPr="00C04631">
              <w:rPr>
                <w:b w:val="0"/>
                <w:bCs/>
                <w:i w:val="0"/>
                <w:szCs w:val="24"/>
              </w:rPr>
              <w:t>48</w:t>
            </w:r>
          </w:p>
        </w:tc>
        <w:tc>
          <w:tcPr>
            <w:tcW w:w="1250" w:type="dxa"/>
            <w:vAlign w:val="center"/>
          </w:tcPr>
          <w:p w:rsidR="00182F1D" w:rsidRPr="00C04631" w:rsidRDefault="00182F1D" w:rsidP="00DA78DF">
            <w:pPr>
              <w:pStyle w:val="Title"/>
              <w:ind w:left="0"/>
              <w:jc w:val="right"/>
              <w:rPr>
                <w:b w:val="0"/>
                <w:bCs/>
                <w:i w:val="0"/>
                <w:szCs w:val="24"/>
              </w:rPr>
            </w:pPr>
            <w:r w:rsidRPr="00C04631">
              <w:rPr>
                <w:b w:val="0"/>
                <w:bCs/>
                <w:i w:val="0"/>
                <w:szCs w:val="24"/>
              </w:rPr>
              <w:t>49</w:t>
            </w:r>
          </w:p>
        </w:tc>
        <w:tc>
          <w:tcPr>
            <w:tcW w:w="2070" w:type="dxa"/>
            <w:vAlign w:val="center"/>
          </w:tcPr>
          <w:p w:rsidR="00182F1D" w:rsidRPr="00C04631" w:rsidRDefault="00182F1D" w:rsidP="00DA78DF">
            <w:pPr>
              <w:pStyle w:val="Title"/>
              <w:ind w:left="0"/>
              <w:jc w:val="right"/>
              <w:rPr>
                <w:b w:val="0"/>
                <w:bCs/>
                <w:i w:val="0"/>
                <w:szCs w:val="24"/>
              </w:rPr>
            </w:pPr>
            <w:r>
              <w:rPr>
                <w:b w:val="0"/>
                <w:bCs/>
                <w:i w:val="0"/>
                <w:szCs w:val="24"/>
              </w:rPr>
              <w:t>10,724</w:t>
            </w:r>
          </w:p>
        </w:tc>
      </w:tr>
      <w:tr w:rsidR="00182F1D" w:rsidRPr="00C04631" w:rsidTr="00984D8B">
        <w:tc>
          <w:tcPr>
            <w:tcW w:w="4907" w:type="dxa"/>
          </w:tcPr>
          <w:p w:rsidR="00182F1D" w:rsidRPr="00C04631" w:rsidRDefault="00182F1D" w:rsidP="00DA78DF">
            <w:pPr>
              <w:pStyle w:val="Title"/>
              <w:ind w:left="0"/>
              <w:jc w:val="left"/>
              <w:rPr>
                <w:b w:val="0"/>
                <w:bCs/>
                <w:i w:val="0"/>
                <w:szCs w:val="24"/>
              </w:rPr>
            </w:pPr>
            <w:r w:rsidRPr="00C04631">
              <w:rPr>
                <w:b w:val="0"/>
                <w:bCs/>
                <w:i w:val="0"/>
                <w:szCs w:val="24"/>
              </w:rPr>
              <w:t>Adjustments to Base and Technical Adjustments</w:t>
            </w:r>
          </w:p>
        </w:tc>
        <w:tc>
          <w:tcPr>
            <w:tcW w:w="1349" w:type="dxa"/>
            <w:vAlign w:val="center"/>
          </w:tcPr>
          <w:p w:rsidR="00182F1D" w:rsidRPr="00C04631" w:rsidRDefault="00A27F39" w:rsidP="00DA78DF">
            <w:pPr>
              <w:pStyle w:val="Title"/>
              <w:ind w:left="0"/>
              <w:jc w:val="right"/>
              <w:rPr>
                <w:b w:val="0"/>
                <w:bCs/>
                <w:i w:val="0"/>
                <w:szCs w:val="24"/>
              </w:rPr>
            </w:pPr>
            <w:r>
              <w:rPr>
                <w:b w:val="0"/>
                <w:bCs/>
                <w:i w:val="0"/>
                <w:szCs w:val="24"/>
              </w:rPr>
              <w:t>0</w:t>
            </w:r>
          </w:p>
        </w:tc>
        <w:tc>
          <w:tcPr>
            <w:tcW w:w="1250" w:type="dxa"/>
            <w:vAlign w:val="center"/>
          </w:tcPr>
          <w:p w:rsidR="00182F1D" w:rsidRPr="00C04631" w:rsidRDefault="00A27F39" w:rsidP="00DA78DF">
            <w:pPr>
              <w:pStyle w:val="Title"/>
              <w:ind w:left="0"/>
              <w:jc w:val="right"/>
              <w:rPr>
                <w:b w:val="0"/>
                <w:bCs/>
                <w:i w:val="0"/>
                <w:szCs w:val="24"/>
              </w:rPr>
            </w:pPr>
            <w:r>
              <w:rPr>
                <w:b w:val="0"/>
                <w:bCs/>
                <w:i w:val="0"/>
                <w:szCs w:val="24"/>
              </w:rPr>
              <w:t>0</w:t>
            </w:r>
          </w:p>
        </w:tc>
        <w:tc>
          <w:tcPr>
            <w:tcW w:w="2070" w:type="dxa"/>
            <w:vAlign w:val="center"/>
          </w:tcPr>
          <w:p w:rsidR="00182F1D" w:rsidRPr="00C04631" w:rsidRDefault="00182F1D" w:rsidP="00DA78DF">
            <w:pPr>
              <w:pStyle w:val="Title"/>
              <w:ind w:left="0"/>
              <w:jc w:val="right"/>
              <w:rPr>
                <w:b w:val="0"/>
                <w:bCs/>
                <w:i w:val="0"/>
                <w:szCs w:val="24"/>
              </w:rPr>
            </w:pPr>
            <w:r>
              <w:rPr>
                <w:b w:val="0"/>
                <w:bCs/>
                <w:i w:val="0"/>
                <w:szCs w:val="24"/>
              </w:rPr>
              <w:t>312</w:t>
            </w:r>
          </w:p>
        </w:tc>
      </w:tr>
      <w:tr w:rsidR="00182F1D" w:rsidRPr="00C04631" w:rsidTr="00984D8B">
        <w:tc>
          <w:tcPr>
            <w:tcW w:w="4907" w:type="dxa"/>
          </w:tcPr>
          <w:p w:rsidR="00182F1D" w:rsidRPr="00C04631" w:rsidRDefault="00182F1D" w:rsidP="00DA78DF">
            <w:pPr>
              <w:pStyle w:val="Title"/>
              <w:ind w:left="0"/>
              <w:jc w:val="left"/>
              <w:rPr>
                <w:b w:val="0"/>
                <w:bCs/>
                <w:i w:val="0"/>
                <w:szCs w:val="24"/>
              </w:rPr>
            </w:pPr>
            <w:r w:rsidRPr="00C04631">
              <w:rPr>
                <w:b w:val="0"/>
                <w:bCs/>
                <w:i w:val="0"/>
                <w:szCs w:val="24"/>
              </w:rPr>
              <w:t>201</w:t>
            </w:r>
            <w:r>
              <w:rPr>
                <w:b w:val="0"/>
                <w:bCs/>
                <w:i w:val="0"/>
                <w:szCs w:val="24"/>
              </w:rPr>
              <w:t>3</w:t>
            </w:r>
            <w:r w:rsidRPr="00C04631">
              <w:rPr>
                <w:b w:val="0"/>
                <w:bCs/>
                <w:i w:val="0"/>
                <w:szCs w:val="24"/>
              </w:rPr>
              <w:t xml:space="preserve"> Current Services</w:t>
            </w:r>
          </w:p>
        </w:tc>
        <w:tc>
          <w:tcPr>
            <w:tcW w:w="1349" w:type="dxa"/>
            <w:vAlign w:val="center"/>
          </w:tcPr>
          <w:p w:rsidR="00182F1D" w:rsidRPr="00C04631" w:rsidRDefault="00182F1D" w:rsidP="00DA78DF">
            <w:pPr>
              <w:pStyle w:val="Title"/>
              <w:ind w:left="0"/>
              <w:jc w:val="right"/>
              <w:rPr>
                <w:b w:val="0"/>
                <w:bCs/>
                <w:i w:val="0"/>
                <w:szCs w:val="24"/>
              </w:rPr>
            </w:pPr>
            <w:r w:rsidRPr="00C04631">
              <w:rPr>
                <w:b w:val="0"/>
                <w:bCs/>
                <w:i w:val="0"/>
                <w:szCs w:val="24"/>
              </w:rPr>
              <w:t>48</w:t>
            </w:r>
          </w:p>
        </w:tc>
        <w:tc>
          <w:tcPr>
            <w:tcW w:w="1250" w:type="dxa"/>
            <w:vAlign w:val="center"/>
          </w:tcPr>
          <w:p w:rsidR="00182F1D" w:rsidRPr="00C04631" w:rsidRDefault="00182F1D" w:rsidP="00DA78DF">
            <w:pPr>
              <w:pStyle w:val="Title"/>
              <w:ind w:left="0"/>
              <w:jc w:val="right"/>
              <w:rPr>
                <w:b w:val="0"/>
                <w:bCs/>
                <w:i w:val="0"/>
                <w:szCs w:val="24"/>
              </w:rPr>
            </w:pPr>
            <w:r w:rsidRPr="00C04631">
              <w:rPr>
                <w:b w:val="0"/>
                <w:bCs/>
                <w:i w:val="0"/>
                <w:szCs w:val="24"/>
              </w:rPr>
              <w:t>49</w:t>
            </w:r>
          </w:p>
        </w:tc>
        <w:tc>
          <w:tcPr>
            <w:tcW w:w="2070" w:type="dxa"/>
            <w:vAlign w:val="center"/>
          </w:tcPr>
          <w:p w:rsidR="00182F1D" w:rsidRPr="00C04631" w:rsidRDefault="00182F1D" w:rsidP="00DA78DF">
            <w:pPr>
              <w:pStyle w:val="Title"/>
              <w:ind w:left="0"/>
              <w:jc w:val="right"/>
              <w:rPr>
                <w:b w:val="0"/>
                <w:bCs/>
                <w:i w:val="0"/>
                <w:szCs w:val="24"/>
              </w:rPr>
            </w:pPr>
            <w:r>
              <w:rPr>
                <w:b w:val="0"/>
                <w:bCs/>
                <w:i w:val="0"/>
                <w:szCs w:val="24"/>
              </w:rPr>
              <w:t>11,036</w:t>
            </w:r>
          </w:p>
        </w:tc>
      </w:tr>
      <w:tr w:rsidR="00182F1D" w:rsidRPr="00C04631" w:rsidTr="00984D8B">
        <w:tc>
          <w:tcPr>
            <w:tcW w:w="4907" w:type="dxa"/>
            <w:tcBorders>
              <w:bottom w:val="single" w:sz="4" w:space="0" w:color="auto"/>
            </w:tcBorders>
          </w:tcPr>
          <w:p w:rsidR="00182F1D" w:rsidRPr="00C04631" w:rsidRDefault="00182F1D" w:rsidP="00DA78DF">
            <w:pPr>
              <w:pStyle w:val="Title"/>
              <w:ind w:left="0"/>
              <w:jc w:val="left"/>
              <w:rPr>
                <w:b w:val="0"/>
                <w:bCs/>
                <w:i w:val="0"/>
                <w:szCs w:val="24"/>
              </w:rPr>
            </w:pPr>
            <w:r w:rsidRPr="00C04631">
              <w:rPr>
                <w:b w:val="0"/>
                <w:bCs/>
                <w:i w:val="0"/>
                <w:szCs w:val="24"/>
              </w:rPr>
              <w:t>201</w:t>
            </w:r>
            <w:r>
              <w:rPr>
                <w:b w:val="0"/>
                <w:bCs/>
                <w:i w:val="0"/>
                <w:szCs w:val="24"/>
              </w:rPr>
              <w:t>3</w:t>
            </w:r>
            <w:r w:rsidRPr="00C04631">
              <w:rPr>
                <w:b w:val="0"/>
                <w:bCs/>
                <w:i w:val="0"/>
                <w:szCs w:val="24"/>
              </w:rPr>
              <w:t xml:space="preserve"> Program </w:t>
            </w:r>
            <w:r>
              <w:rPr>
                <w:b w:val="0"/>
                <w:bCs/>
                <w:i w:val="0"/>
                <w:szCs w:val="24"/>
              </w:rPr>
              <w:t>Increase</w:t>
            </w:r>
          </w:p>
        </w:tc>
        <w:tc>
          <w:tcPr>
            <w:tcW w:w="1349" w:type="dxa"/>
            <w:tcBorders>
              <w:bottom w:val="single" w:sz="4" w:space="0" w:color="auto"/>
            </w:tcBorders>
            <w:vAlign w:val="center"/>
          </w:tcPr>
          <w:p w:rsidR="00182F1D" w:rsidRPr="00C04631" w:rsidRDefault="00182F1D" w:rsidP="00DA78DF">
            <w:pPr>
              <w:pStyle w:val="Title"/>
              <w:ind w:left="0"/>
              <w:jc w:val="right"/>
              <w:rPr>
                <w:b w:val="0"/>
                <w:bCs/>
                <w:i w:val="0"/>
                <w:szCs w:val="24"/>
              </w:rPr>
            </w:pPr>
            <w:r>
              <w:rPr>
                <w:b w:val="0"/>
                <w:bCs/>
                <w:i w:val="0"/>
                <w:szCs w:val="24"/>
              </w:rPr>
              <w:t>0</w:t>
            </w:r>
          </w:p>
        </w:tc>
        <w:tc>
          <w:tcPr>
            <w:tcW w:w="1250" w:type="dxa"/>
            <w:tcBorders>
              <w:bottom w:val="single" w:sz="4" w:space="0" w:color="auto"/>
            </w:tcBorders>
            <w:vAlign w:val="center"/>
          </w:tcPr>
          <w:p w:rsidR="00182F1D" w:rsidRPr="00C04631" w:rsidRDefault="00182F1D" w:rsidP="00DA78DF">
            <w:pPr>
              <w:pStyle w:val="Title"/>
              <w:ind w:left="0"/>
              <w:jc w:val="right"/>
              <w:rPr>
                <w:b w:val="0"/>
                <w:bCs/>
                <w:i w:val="0"/>
                <w:szCs w:val="24"/>
              </w:rPr>
            </w:pPr>
            <w:r>
              <w:rPr>
                <w:b w:val="0"/>
                <w:bCs/>
                <w:i w:val="0"/>
                <w:szCs w:val="24"/>
              </w:rPr>
              <w:t>0</w:t>
            </w:r>
          </w:p>
        </w:tc>
        <w:tc>
          <w:tcPr>
            <w:tcW w:w="2070" w:type="dxa"/>
            <w:tcBorders>
              <w:bottom w:val="single" w:sz="4" w:space="0" w:color="auto"/>
            </w:tcBorders>
            <w:vAlign w:val="center"/>
          </w:tcPr>
          <w:p w:rsidR="00182F1D" w:rsidRPr="00C04631" w:rsidRDefault="00182F1D" w:rsidP="00DA78DF">
            <w:pPr>
              <w:pStyle w:val="Title"/>
              <w:ind w:left="0"/>
              <w:jc w:val="right"/>
              <w:rPr>
                <w:b w:val="0"/>
                <w:bCs/>
                <w:i w:val="0"/>
                <w:szCs w:val="24"/>
              </w:rPr>
            </w:pPr>
            <w:r>
              <w:rPr>
                <w:b w:val="0"/>
                <w:bCs/>
                <w:i w:val="0"/>
                <w:szCs w:val="24"/>
              </w:rPr>
              <w:t>0</w:t>
            </w:r>
          </w:p>
        </w:tc>
      </w:tr>
      <w:tr w:rsidR="00182F1D" w:rsidRPr="00C04631" w:rsidTr="00984D8B">
        <w:tc>
          <w:tcPr>
            <w:tcW w:w="4907" w:type="dxa"/>
            <w:tcBorders>
              <w:bottom w:val="single" w:sz="4" w:space="0" w:color="auto"/>
            </w:tcBorders>
          </w:tcPr>
          <w:p w:rsidR="00182F1D" w:rsidRPr="00C04631" w:rsidRDefault="00182F1D" w:rsidP="00DA78DF">
            <w:pPr>
              <w:pStyle w:val="Title"/>
              <w:ind w:left="0"/>
              <w:jc w:val="left"/>
              <w:rPr>
                <w:b w:val="0"/>
                <w:bCs/>
                <w:i w:val="0"/>
                <w:szCs w:val="24"/>
              </w:rPr>
            </w:pPr>
            <w:r w:rsidRPr="00C04631">
              <w:rPr>
                <w:b w:val="0"/>
                <w:bCs/>
                <w:i w:val="0"/>
                <w:szCs w:val="24"/>
              </w:rPr>
              <w:t>201</w:t>
            </w:r>
            <w:r>
              <w:rPr>
                <w:b w:val="0"/>
                <w:bCs/>
                <w:i w:val="0"/>
                <w:szCs w:val="24"/>
              </w:rPr>
              <w:t>3</w:t>
            </w:r>
            <w:r w:rsidRPr="00C04631">
              <w:rPr>
                <w:b w:val="0"/>
                <w:bCs/>
                <w:i w:val="0"/>
                <w:szCs w:val="24"/>
              </w:rPr>
              <w:t xml:space="preserve"> Program </w:t>
            </w:r>
            <w:r>
              <w:rPr>
                <w:b w:val="0"/>
                <w:bCs/>
                <w:i w:val="0"/>
                <w:szCs w:val="24"/>
              </w:rPr>
              <w:t>Offsets</w:t>
            </w:r>
          </w:p>
        </w:tc>
        <w:tc>
          <w:tcPr>
            <w:tcW w:w="1349" w:type="dxa"/>
            <w:tcBorders>
              <w:bottom w:val="single" w:sz="4" w:space="0" w:color="auto"/>
            </w:tcBorders>
            <w:vAlign w:val="center"/>
          </w:tcPr>
          <w:p w:rsidR="00182F1D" w:rsidRPr="00C04631" w:rsidRDefault="00182F1D" w:rsidP="00DA78DF">
            <w:pPr>
              <w:pStyle w:val="Title"/>
              <w:ind w:left="0"/>
              <w:jc w:val="right"/>
              <w:rPr>
                <w:b w:val="0"/>
                <w:bCs/>
                <w:i w:val="0"/>
                <w:szCs w:val="24"/>
              </w:rPr>
            </w:pPr>
            <w:r w:rsidRPr="00C04631">
              <w:rPr>
                <w:b w:val="0"/>
                <w:bCs/>
                <w:i w:val="0"/>
                <w:szCs w:val="24"/>
              </w:rPr>
              <w:t>0</w:t>
            </w:r>
          </w:p>
        </w:tc>
        <w:tc>
          <w:tcPr>
            <w:tcW w:w="1250" w:type="dxa"/>
            <w:tcBorders>
              <w:bottom w:val="single" w:sz="4" w:space="0" w:color="auto"/>
            </w:tcBorders>
            <w:vAlign w:val="center"/>
          </w:tcPr>
          <w:p w:rsidR="00182F1D" w:rsidRPr="00C04631" w:rsidRDefault="00182F1D" w:rsidP="00DA78DF">
            <w:pPr>
              <w:pStyle w:val="Title"/>
              <w:ind w:left="0"/>
              <w:jc w:val="right"/>
              <w:rPr>
                <w:b w:val="0"/>
                <w:bCs/>
                <w:i w:val="0"/>
                <w:szCs w:val="24"/>
              </w:rPr>
            </w:pPr>
            <w:r w:rsidRPr="00C04631">
              <w:rPr>
                <w:b w:val="0"/>
                <w:bCs/>
                <w:i w:val="0"/>
                <w:szCs w:val="24"/>
              </w:rPr>
              <w:t>0</w:t>
            </w:r>
          </w:p>
        </w:tc>
        <w:tc>
          <w:tcPr>
            <w:tcW w:w="2070" w:type="dxa"/>
            <w:tcBorders>
              <w:bottom w:val="single" w:sz="4" w:space="0" w:color="auto"/>
            </w:tcBorders>
            <w:vAlign w:val="center"/>
          </w:tcPr>
          <w:p w:rsidR="00182F1D" w:rsidRPr="00C04631" w:rsidRDefault="00182F1D" w:rsidP="00DA78DF">
            <w:pPr>
              <w:pStyle w:val="Title"/>
              <w:ind w:left="0"/>
              <w:jc w:val="right"/>
              <w:rPr>
                <w:b w:val="0"/>
                <w:bCs/>
                <w:i w:val="0"/>
                <w:szCs w:val="24"/>
              </w:rPr>
            </w:pPr>
            <w:r>
              <w:rPr>
                <w:b w:val="0"/>
                <w:bCs/>
                <w:i w:val="0"/>
                <w:szCs w:val="24"/>
              </w:rPr>
              <w:t>-231</w:t>
            </w:r>
          </w:p>
        </w:tc>
      </w:tr>
      <w:tr w:rsidR="00182F1D" w:rsidRPr="00C04631" w:rsidTr="00984D8B">
        <w:tc>
          <w:tcPr>
            <w:tcW w:w="4907" w:type="dxa"/>
            <w:tcBorders>
              <w:bottom w:val="single" w:sz="4" w:space="0" w:color="auto"/>
            </w:tcBorders>
          </w:tcPr>
          <w:p w:rsidR="00182F1D" w:rsidRPr="00C04631" w:rsidRDefault="00182F1D" w:rsidP="00DA78DF">
            <w:pPr>
              <w:pStyle w:val="Title"/>
              <w:ind w:left="0"/>
              <w:jc w:val="left"/>
              <w:rPr>
                <w:b w:val="0"/>
                <w:bCs/>
                <w:i w:val="0"/>
                <w:szCs w:val="24"/>
              </w:rPr>
            </w:pPr>
            <w:r w:rsidRPr="00C04631">
              <w:rPr>
                <w:b w:val="0"/>
                <w:bCs/>
                <w:i w:val="0"/>
                <w:szCs w:val="24"/>
              </w:rPr>
              <w:t>201</w:t>
            </w:r>
            <w:r>
              <w:rPr>
                <w:b w:val="0"/>
                <w:bCs/>
                <w:i w:val="0"/>
                <w:szCs w:val="24"/>
              </w:rPr>
              <w:t>3</w:t>
            </w:r>
            <w:r w:rsidRPr="00C04631">
              <w:rPr>
                <w:b w:val="0"/>
                <w:bCs/>
                <w:i w:val="0"/>
                <w:szCs w:val="24"/>
              </w:rPr>
              <w:t xml:space="preserve"> Request</w:t>
            </w:r>
          </w:p>
        </w:tc>
        <w:tc>
          <w:tcPr>
            <w:tcW w:w="1349" w:type="dxa"/>
            <w:tcBorders>
              <w:bottom w:val="single" w:sz="4" w:space="0" w:color="auto"/>
            </w:tcBorders>
            <w:vAlign w:val="center"/>
          </w:tcPr>
          <w:p w:rsidR="00182F1D" w:rsidRPr="00C04631" w:rsidRDefault="00450B48" w:rsidP="00DA78DF">
            <w:pPr>
              <w:pStyle w:val="Title"/>
              <w:ind w:left="0"/>
              <w:jc w:val="right"/>
              <w:rPr>
                <w:b w:val="0"/>
                <w:bCs/>
                <w:i w:val="0"/>
                <w:szCs w:val="24"/>
              </w:rPr>
            </w:pPr>
            <w:r>
              <w:rPr>
                <w:b w:val="0"/>
                <w:bCs/>
                <w:i w:val="0"/>
                <w:szCs w:val="24"/>
              </w:rPr>
              <w:t>48</w:t>
            </w:r>
          </w:p>
        </w:tc>
        <w:tc>
          <w:tcPr>
            <w:tcW w:w="1250" w:type="dxa"/>
            <w:tcBorders>
              <w:bottom w:val="single" w:sz="4" w:space="0" w:color="auto"/>
            </w:tcBorders>
            <w:vAlign w:val="center"/>
          </w:tcPr>
          <w:p w:rsidR="00182F1D" w:rsidRPr="00C04631" w:rsidRDefault="00450B48" w:rsidP="00450B48">
            <w:pPr>
              <w:pStyle w:val="Title"/>
              <w:ind w:left="0"/>
              <w:jc w:val="right"/>
              <w:rPr>
                <w:b w:val="0"/>
                <w:bCs/>
                <w:i w:val="0"/>
                <w:szCs w:val="24"/>
              </w:rPr>
            </w:pPr>
            <w:r>
              <w:rPr>
                <w:b w:val="0"/>
                <w:bCs/>
                <w:i w:val="0"/>
                <w:szCs w:val="24"/>
              </w:rPr>
              <w:t>49</w:t>
            </w:r>
          </w:p>
        </w:tc>
        <w:tc>
          <w:tcPr>
            <w:tcW w:w="2070" w:type="dxa"/>
            <w:tcBorders>
              <w:bottom w:val="single" w:sz="4" w:space="0" w:color="auto"/>
            </w:tcBorders>
            <w:vAlign w:val="center"/>
          </w:tcPr>
          <w:p w:rsidR="00182F1D" w:rsidRPr="00C04631" w:rsidRDefault="00182F1D" w:rsidP="00DA78DF">
            <w:pPr>
              <w:pStyle w:val="Title"/>
              <w:ind w:left="0"/>
              <w:jc w:val="right"/>
              <w:rPr>
                <w:b w:val="0"/>
                <w:bCs/>
                <w:i w:val="0"/>
                <w:szCs w:val="24"/>
              </w:rPr>
            </w:pPr>
            <w:r>
              <w:rPr>
                <w:b w:val="0"/>
                <w:bCs/>
                <w:i w:val="0"/>
                <w:szCs w:val="24"/>
              </w:rPr>
              <w:t>10,805</w:t>
            </w:r>
          </w:p>
        </w:tc>
      </w:tr>
      <w:tr w:rsidR="00182F1D" w:rsidRPr="00C04631" w:rsidTr="00984D8B">
        <w:tc>
          <w:tcPr>
            <w:tcW w:w="4907" w:type="dxa"/>
            <w:shd w:val="clear" w:color="auto" w:fill="E6E6E6"/>
          </w:tcPr>
          <w:p w:rsidR="00182F1D" w:rsidRPr="00C04631" w:rsidRDefault="00182F1D" w:rsidP="00713C61">
            <w:pPr>
              <w:pStyle w:val="Title"/>
              <w:ind w:left="0"/>
              <w:jc w:val="left"/>
              <w:rPr>
                <w:b w:val="0"/>
                <w:bCs/>
                <w:i w:val="0"/>
                <w:szCs w:val="24"/>
              </w:rPr>
            </w:pPr>
            <w:r w:rsidRPr="00C04631">
              <w:rPr>
                <w:i w:val="0"/>
                <w:szCs w:val="24"/>
              </w:rPr>
              <w:t>Total Change 201</w:t>
            </w:r>
            <w:r w:rsidR="00713C61">
              <w:rPr>
                <w:i w:val="0"/>
                <w:szCs w:val="24"/>
              </w:rPr>
              <w:t>2</w:t>
            </w:r>
            <w:r w:rsidRPr="00C04631">
              <w:rPr>
                <w:i w:val="0"/>
                <w:szCs w:val="24"/>
              </w:rPr>
              <w:t>-201</w:t>
            </w:r>
            <w:r>
              <w:rPr>
                <w:i w:val="0"/>
                <w:szCs w:val="24"/>
              </w:rPr>
              <w:t>3</w:t>
            </w:r>
          </w:p>
        </w:tc>
        <w:tc>
          <w:tcPr>
            <w:tcW w:w="1349" w:type="dxa"/>
            <w:shd w:val="clear" w:color="auto" w:fill="E6E6E6"/>
            <w:vAlign w:val="center"/>
          </w:tcPr>
          <w:p w:rsidR="00182F1D" w:rsidRPr="00C04631" w:rsidRDefault="006B628C" w:rsidP="00DA78DF">
            <w:pPr>
              <w:pStyle w:val="Title"/>
              <w:ind w:left="0"/>
              <w:jc w:val="right"/>
              <w:rPr>
                <w:b w:val="0"/>
                <w:bCs/>
                <w:i w:val="0"/>
                <w:szCs w:val="24"/>
              </w:rPr>
            </w:pPr>
            <w:r>
              <w:rPr>
                <w:b w:val="0"/>
                <w:bCs/>
                <w:i w:val="0"/>
                <w:szCs w:val="24"/>
              </w:rPr>
              <w:t>0</w:t>
            </w:r>
          </w:p>
        </w:tc>
        <w:tc>
          <w:tcPr>
            <w:tcW w:w="1250" w:type="dxa"/>
            <w:shd w:val="clear" w:color="auto" w:fill="E6E6E6"/>
            <w:vAlign w:val="center"/>
          </w:tcPr>
          <w:p w:rsidR="00182F1D" w:rsidRPr="00C04631" w:rsidRDefault="006B628C" w:rsidP="00DA78DF">
            <w:pPr>
              <w:pStyle w:val="Title"/>
              <w:ind w:left="0"/>
              <w:jc w:val="right"/>
              <w:rPr>
                <w:b w:val="0"/>
                <w:bCs/>
                <w:i w:val="0"/>
                <w:szCs w:val="24"/>
              </w:rPr>
            </w:pPr>
            <w:r>
              <w:rPr>
                <w:b w:val="0"/>
                <w:bCs/>
                <w:i w:val="0"/>
                <w:szCs w:val="24"/>
              </w:rPr>
              <w:t>0</w:t>
            </w:r>
          </w:p>
        </w:tc>
        <w:tc>
          <w:tcPr>
            <w:tcW w:w="2070" w:type="dxa"/>
            <w:shd w:val="clear" w:color="auto" w:fill="E6E6E6"/>
            <w:vAlign w:val="center"/>
          </w:tcPr>
          <w:p w:rsidR="00182F1D" w:rsidRPr="00C04631" w:rsidRDefault="00182F1D" w:rsidP="00DA78DF">
            <w:pPr>
              <w:pStyle w:val="Title"/>
              <w:ind w:left="0"/>
              <w:jc w:val="right"/>
              <w:rPr>
                <w:b w:val="0"/>
                <w:bCs/>
                <w:i w:val="0"/>
                <w:szCs w:val="24"/>
              </w:rPr>
            </w:pPr>
            <w:r>
              <w:rPr>
                <w:b w:val="0"/>
                <w:bCs/>
                <w:i w:val="0"/>
                <w:szCs w:val="24"/>
              </w:rPr>
              <w:t>81</w:t>
            </w:r>
          </w:p>
        </w:tc>
      </w:tr>
    </w:tbl>
    <w:p w:rsidR="00797904" w:rsidRDefault="00797904" w:rsidP="00B06EF3">
      <w:pPr>
        <w:pStyle w:val="xl27"/>
        <w:rPr>
          <w:rFonts w:ascii="Times New Roman" w:hAnsi="Times New Roman"/>
          <w:szCs w:val="24"/>
        </w:rPr>
      </w:pPr>
    </w:p>
    <w:p w:rsidR="00B06EF3" w:rsidRDefault="00B06EF3" w:rsidP="00B06EF3">
      <w:pPr>
        <w:pStyle w:val="xl27"/>
        <w:numPr>
          <w:ilvl w:val="0"/>
          <w:numId w:val="19"/>
        </w:numPr>
        <w:rPr>
          <w:rFonts w:ascii="Times New Roman" w:hAnsi="Times New Roman"/>
          <w:szCs w:val="24"/>
        </w:rPr>
      </w:pPr>
      <w:r w:rsidRPr="00C04631">
        <w:rPr>
          <w:rFonts w:ascii="Times New Roman" w:hAnsi="Times New Roman"/>
          <w:szCs w:val="24"/>
        </w:rPr>
        <w:t>Program Description</w:t>
      </w:r>
    </w:p>
    <w:p w:rsidR="00DA1F20" w:rsidRPr="00C04631" w:rsidRDefault="00DA1F20" w:rsidP="00DA1F20">
      <w:pPr>
        <w:pStyle w:val="xl19"/>
        <w:spacing w:before="0" w:after="0"/>
        <w:rPr>
          <w:rFonts w:eastAsia="Times New Roman" w:cs="Arial"/>
          <w:szCs w:val="24"/>
        </w:rPr>
      </w:pPr>
      <w:r w:rsidRPr="00C04631">
        <w:rPr>
          <w:rFonts w:eastAsia="Times New Roman" w:cs="Arial"/>
          <w:szCs w:val="24"/>
        </w:rPr>
        <w:t>The major function of the Solicitor General’s Office is to supervise the handling of government litigation in the Supreme Court of the United States and in Federal appellate courts, to determine whether an amicus curiae brief will be filed by the government, and to approve intervention by the United States to defend the constitutionality of Acts of Congress.</w:t>
      </w:r>
    </w:p>
    <w:p w:rsidR="00DA1F20" w:rsidRPr="00C04631" w:rsidRDefault="00DA1F20" w:rsidP="00DA1F20">
      <w:pPr>
        <w:pStyle w:val="xl19"/>
        <w:spacing w:before="0" w:after="0"/>
        <w:rPr>
          <w:rFonts w:eastAsia="Times New Roman" w:cs="Arial"/>
          <w:szCs w:val="24"/>
        </w:rPr>
      </w:pPr>
    </w:p>
    <w:p w:rsidR="00DA1F20" w:rsidRPr="00C04631" w:rsidRDefault="00DA1F20" w:rsidP="00DA1F20">
      <w:pPr>
        <w:pStyle w:val="xl19"/>
        <w:spacing w:before="0" w:after="0"/>
        <w:rPr>
          <w:rFonts w:eastAsia="Times New Roman" w:cs="Arial"/>
          <w:szCs w:val="24"/>
        </w:rPr>
      </w:pPr>
      <w:r w:rsidRPr="00C04631">
        <w:rPr>
          <w:rFonts w:eastAsia="Times New Roman" w:cs="Arial"/>
          <w:szCs w:val="24"/>
        </w:rPr>
        <w:t xml:space="preserve">The original Statutory Authorization Act of June 22, 1870, states: “There shall be in the Department of Justice an officer learned in the law, to assist the Attorney General in the performance of his duties to be called the Solicitor General.”  As stated in 28 CFR 0.20, the general functions of the Office are as follows:  (1) conducting or assigning and supervising all Supreme Court cases, including appeals, petitions for and in opposition to </w:t>
      </w:r>
      <w:r w:rsidRPr="00C04631">
        <w:rPr>
          <w:rFonts w:eastAsia="Times New Roman" w:cs="Arial"/>
          <w:i/>
          <w:szCs w:val="24"/>
        </w:rPr>
        <w:t>certiorari</w:t>
      </w:r>
      <w:r w:rsidRPr="00C04631">
        <w:rPr>
          <w:rFonts w:eastAsia="Times New Roman" w:cs="Arial"/>
          <w:szCs w:val="24"/>
        </w:rPr>
        <w:t xml:space="preserve">, briefs and arguments; (2) determining whether, and to what extent, appeals will be taken by the government to all appellate courts (including petitions for rehearing </w:t>
      </w:r>
      <w:r w:rsidRPr="00C04631">
        <w:rPr>
          <w:rFonts w:eastAsia="Times New Roman" w:cs="Arial"/>
          <w:i/>
          <w:szCs w:val="24"/>
        </w:rPr>
        <w:t>en banc</w:t>
      </w:r>
      <w:r w:rsidRPr="00C04631">
        <w:rPr>
          <w:rFonts w:eastAsia="Times New Roman" w:cs="Arial"/>
          <w:szCs w:val="24"/>
        </w:rPr>
        <w:t xml:space="preserve"> and petitions to such courts for the issuance of extraordinary writs); (3) determining whether a brief amicus curiae will be filed by the government, or whether the government will intervene, in any appellate court, or in any trial court in which the constitutionality of an Act of Congress is challenged; and (4) assisting the Attorney General and the Deputy Attorney General in the development of broad Department program policy.</w:t>
      </w:r>
    </w:p>
    <w:p w:rsidR="00DA1F20" w:rsidRPr="00C04631" w:rsidRDefault="00DA1F20" w:rsidP="00DA1F20">
      <w:pPr>
        <w:pStyle w:val="xl19"/>
        <w:spacing w:before="0" w:after="0"/>
        <w:rPr>
          <w:rFonts w:eastAsia="Times New Roman" w:cs="Arial"/>
          <w:szCs w:val="24"/>
        </w:rPr>
      </w:pPr>
    </w:p>
    <w:p w:rsidR="00DA1F20" w:rsidRPr="00C04631" w:rsidRDefault="00DA1F20" w:rsidP="00DA1F20">
      <w:pPr>
        <w:pStyle w:val="xl19"/>
        <w:spacing w:before="0" w:after="0"/>
        <w:rPr>
          <w:rFonts w:eastAsia="Times New Roman" w:cs="Arial"/>
          <w:szCs w:val="24"/>
        </w:rPr>
      </w:pPr>
      <w:r w:rsidRPr="00C04631">
        <w:rPr>
          <w:rFonts w:eastAsia="Times New Roman" w:cs="Arial"/>
          <w:szCs w:val="24"/>
        </w:rPr>
        <w:t>This Office does not initiate any programs, have control of the Supreme Court litigation it is required to conduct, or determine the number of appeal and amicus authorizations it handles.  Amicus filings often involve important constitutional or Federal statutory questions that will fundamentally affect the administration and enforcement of major Federal programs.  Examples in recent Terms include cases presenting significant issues of criminal procedure (affecting the government’s ability to succeed in prosecutions), as well as important issues under the civil rights laws (such as the Voting Rights Act and the Americans with Disabilities Act), the environmental laws (such as the Clean Water Act), and many others.</w:t>
      </w:r>
    </w:p>
    <w:p w:rsidR="00DA1F20" w:rsidRPr="00C04631" w:rsidRDefault="00DA1F20" w:rsidP="00DA1F20">
      <w:pPr>
        <w:pStyle w:val="xl19"/>
        <w:spacing w:before="0" w:after="0"/>
        <w:rPr>
          <w:rFonts w:eastAsia="Times New Roman" w:cs="Arial"/>
          <w:szCs w:val="24"/>
        </w:rPr>
      </w:pPr>
    </w:p>
    <w:p w:rsidR="00DA1F20" w:rsidRPr="00C04631" w:rsidRDefault="00DA1F20" w:rsidP="00DA1F20">
      <w:pPr>
        <w:pStyle w:val="xl19"/>
        <w:spacing w:before="0" w:after="0"/>
        <w:rPr>
          <w:rFonts w:eastAsia="Times New Roman" w:cs="Arial"/>
          <w:szCs w:val="24"/>
        </w:rPr>
      </w:pPr>
      <w:r w:rsidRPr="00C04631">
        <w:rPr>
          <w:rFonts w:eastAsia="Times New Roman" w:cs="Arial"/>
          <w:szCs w:val="24"/>
        </w:rPr>
        <w:t xml:space="preserve">The following table provides a fiscal year snapshot of matters pending at the beginning of the Term of the Supreme Court, additional matters received, completed appellate determinations, </w:t>
      </w:r>
      <w:r w:rsidRPr="00C04631">
        <w:rPr>
          <w:rFonts w:eastAsia="Times New Roman" w:cs="Arial"/>
          <w:szCs w:val="24"/>
        </w:rPr>
        <w:lastRenderedPageBreak/>
        <w:t>certiorari determinations, miscellaneous recommendations, and oral arguments before the Supreme Court.</w:t>
      </w:r>
    </w:p>
    <w:p w:rsidR="00DA1F20" w:rsidRDefault="00DA1F20" w:rsidP="00DA1F20">
      <w:pPr>
        <w:pStyle w:val="xl19"/>
        <w:spacing w:before="0" w:after="0"/>
        <w:rPr>
          <w:rFonts w:eastAsia="Times New Roman" w:cs="Arial"/>
          <w:szCs w:val="24"/>
        </w:rPr>
      </w:pPr>
    </w:p>
    <w:p w:rsidR="00182F1D" w:rsidRPr="00C04631" w:rsidRDefault="00182F1D" w:rsidP="00182F1D">
      <w:pPr>
        <w:pStyle w:val="xl19"/>
        <w:spacing w:before="0" w:after="0"/>
        <w:rPr>
          <w:rFonts w:eastAsia="Times New Roman" w:cs="Arial"/>
          <w:szCs w:val="24"/>
        </w:rPr>
      </w:pPr>
    </w:p>
    <w:tbl>
      <w:tblPr>
        <w:tblW w:w="9477"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960"/>
        <w:gridCol w:w="960"/>
        <w:gridCol w:w="960"/>
        <w:gridCol w:w="1560"/>
        <w:gridCol w:w="1560"/>
        <w:gridCol w:w="1800"/>
        <w:gridCol w:w="1138"/>
      </w:tblGrid>
      <w:tr w:rsidR="00182F1D" w:rsidRPr="00E46F62" w:rsidTr="00DA78DF">
        <w:trPr>
          <w:jc w:val="center"/>
        </w:trPr>
        <w:tc>
          <w:tcPr>
            <w:tcW w:w="539" w:type="dxa"/>
          </w:tcPr>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FY</w:t>
            </w:r>
          </w:p>
        </w:tc>
        <w:tc>
          <w:tcPr>
            <w:tcW w:w="960" w:type="dxa"/>
          </w:tcPr>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 xml:space="preserve">Supreme </w:t>
            </w:r>
          </w:p>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 xml:space="preserve">Court </w:t>
            </w:r>
          </w:p>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Term</w:t>
            </w:r>
          </w:p>
        </w:tc>
        <w:tc>
          <w:tcPr>
            <w:tcW w:w="960" w:type="dxa"/>
          </w:tcPr>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Matters Pending</w:t>
            </w:r>
          </w:p>
        </w:tc>
        <w:tc>
          <w:tcPr>
            <w:tcW w:w="960" w:type="dxa"/>
          </w:tcPr>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Addl. Matters Received</w:t>
            </w:r>
          </w:p>
        </w:tc>
        <w:tc>
          <w:tcPr>
            <w:tcW w:w="1560" w:type="dxa"/>
          </w:tcPr>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Appellate</w:t>
            </w:r>
          </w:p>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Determinations</w:t>
            </w:r>
          </w:p>
        </w:tc>
        <w:tc>
          <w:tcPr>
            <w:tcW w:w="1560" w:type="dxa"/>
          </w:tcPr>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Certiorari Determinations</w:t>
            </w:r>
          </w:p>
        </w:tc>
        <w:tc>
          <w:tcPr>
            <w:tcW w:w="1800" w:type="dxa"/>
          </w:tcPr>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Miscellaneous</w:t>
            </w:r>
          </w:p>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Recommendations</w:t>
            </w:r>
          </w:p>
        </w:tc>
        <w:tc>
          <w:tcPr>
            <w:tcW w:w="1138" w:type="dxa"/>
          </w:tcPr>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Oral</w:t>
            </w:r>
          </w:p>
          <w:p w:rsidR="00182F1D" w:rsidRPr="00E46F62" w:rsidRDefault="00182F1D" w:rsidP="00DA78DF">
            <w:pPr>
              <w:pStyle w:val="xl19"/>
              <w:spacing w:before="0" w:after="0"/>
              <w:jc w:val="center"/>
              <w:rPr>
                <w:rFonts w:eastAsia="Times New Roman" w:cs="Arial"/>
                <w:b/>
                <w:i/>
                <w:sz w:val="20"/>
              </w:rPr>
            </w:pPr>
            <w:r w:rsidRPr="00E46F62">
              <w:rPr>
                <w:rFonts w:eastAsia="Times New Roman" w:cs="Arial"/>
                <w:b/>
                <w:i/>
                <w:sz w:val="20"/>
              </w:rPr>
              <w:t>Arguments</w:t>
            </w:r>
          </w:p>
        </w:tc>
      </w:tr>
      <w:tr w:rsidR="00182F1D" w:rsidRPr="00E46F62" w:rsidTr="00DA78DF">
        <w:trPr>
          <w:jc w:val="center"/>
        </w:trPr>
        <w:tc>
          <w:tcPr>
            <w:tcW w:w="539" w:type="dxa"/>
          </w:tcPr>
          <w:p w:rsidR="00182F1D" w:rsidRPr="00E46F62" w:rsidRDefault="00182F1D" w:rsidP="00DA78DF">
            <w:pPr>
              <w:pStyle w:val="xl19"/>
              <w:spacing w:before="0" w:after="0"/>
              <w:jc w:val="center"/>
              <w:rPr>
                <w:rFonts w:eastAsia="Times New Roman" w:cs="Arial"/>
                <w:szCs w:val="24"/>
              </w:rPr>
            </w:pPr>
            <w:r>
              <w:rPr>
                <w:rFonts w:eastAsia="Times New Roman" w:cs="Arial"/>
                <w:szCs w:val="24"/>
              </w:rPr>
              <w:t>11</w:t>
            </w:r>
          </w:p>
        </w:tc>
        <w:tc>
          <w:tcPr>
            <w:tcW w:w="960" w:type="dxa"/>
          </w:tcPr>
          <w:p w:rsidR="00182F1D" w:rsidRPr="00E46F62" w:rsidRDefault="00182F1D" w:rsidP="00DA78DF">
            <w:pPr>
              <w:pStyle w:val="xl19"/>
              <w:spacing w:before="0" w:after="0"/>
              <w:jc w:val="center"/>
              <w:rPr>
                <w:rFonts w:eastAsia="Times New Roman" w:cs="Arial"/>
                <w:szCs w:val="24"/>
              </w:rPr>
            </w:pPr>
            <w:r>
              <w:rPr>
                <w:rFonts w:eastAsia="Times New Roman" w:cs="Arial"/>
                <w:szCs w:val="24"/>
              </w:rPr>
              <w:t>2010</w:t>
            </w:r>
          </w:p>
        </w:tc>
        <w:tc>
          <w:tcPr>
            <w:tcW w:w="960" w:type="dxa"/>
          </w:tcPr>
          <w:p w:rsidR="00182F1D" w:rsidRPr="00E46F62" w:rsidRDefault="00182F1D" w:rsidP="00DA78DF">
            <w:pPr>
              <w:pStyle w:val="xl19"/>
              <w:spacing w:before="0" w:after="0"/>
              <w:jc w:val="center"/>
              <w:rPr>
                <w:rFonts w:eastAsia="Times New Roman" w:cs="Arial"/>
                <w:szCs w:val="24"/>
              </w:rPr>
            </w:pPr>
            <w:r>
              <w:rPr>
                <w:rFonts w:eastAsia="Times New Roman" w:cs="Arial"/>
                <w:szCs w:val="24"/>
              </w:rPr>
              <w:t>520</w:t>
            </w:r>
          </w:p>
        </w:tc>
        <w:tc>
          <w:tcPr>
            <w:tcW w:w="960" w:type="dxa"/>
          </w:tcPr>
          <w:p w:rsidR="00182F1D" w:rsidRPr="00E46F62" w:rsidRDefault="00182F1D" w:rsidP="00DA78DF">
            <w:pPr>
              <w:pStyle w:val="xl19"/>
              <w:spacing w:before="0" w:after="0"/>
              <w:jc w:val="center"/>
              <w:rPr>
                <w:rFonts w:eastAsia="Times New Roman" w:cs="Arial"/>
                <w:szCs w:val="24"/>
              </w:rPr>
            </w:pPr>
            <w:r>
              <w:rPr>
                <w:rFonts w:eastAsia="Times New Roman" w:cs="Arial"/>
                <w:szCs w:val="24"/>
              </w:rPr>
              <w:t>3</w:t>
            </w:r>
            <w:r w:rsidR="0043790D">
              <w:rPr>
                <w:rFonts w:eastAsia="Times New Roman" w:cs="Arial"/>
                <w:szCs w:val="24"/>
              </w:rPr>
              <w:t>,</w:t>
            </w:r>
            <w:r>
              <w:rPr>
                <w:rFonts w:eastAsia="Times New Roman" w:cs="Arial"/>
                <w:szCs w:val="24"/>
              </w:rPr>
              <w:t>528</w:t>
            </w:r>
          </w:p>
        </w:tc>
        <w:tc>
          <w:tcPr>
            <w:tcW w:w="1560" w:type="dxa"/>
          </w:tcPr>
          <w:p w:rsidR="00182F1D" w:rsidRPr="00E46F62" w:rsidRDefault="00182F1D" w:rsidP="00DA78DF">
            <w:pPr>
              <w:pStyle w:val="xl19"/>
              <w:spacing w:before="0" w:after="0"/>
              <w:jc w:val="center"/>
              <w:rPr>
                <w:rFonts w:eastAsia="Times New Roman" w:cs="Arial"/>
                <w:szCs w:val="24"/>
              </w:rPr>
            </w:pPr>
            <w:r>
              <w:rPr>
                <w:rFonts w:eastAsia="Times New Roman" w:cs="Arial"/>
                <w:szCs w:val="24"/>
              </w:rPr>
              <w:t>685</w:t>
            </w:r>
          </w:p>
        </w:tc>
        <w:tc>
          <w:tcPr>
            <w:tcW w:w="1560" w:type="dxa"/>
          </w:tcPr>
          <w:p w:rsidR="00182F1D" w:rsidRPr="00E46F62" w:rsidRDefault="00182F1D" w:rsidP="00DA78DF">
            <w:pPr>
              <w:pStyle w:val="xl19"/>
              <w:spacing w:before="0" w:after="0"/>
              <w:jc w:val="center"/>
              <w:rPr>
                <w:rFonts w:eastAsia="Times New Roman" w:cs="Arial"/>
                <w:szCs w:val="24"/>
              </w:rPr>
            </w:pPr>
            <w:r>
              <w:rPr>
                <w:rFonts w:eastAsia="Times New Roman" w:cs="Arial"/>
                <w:szCs w:val="24"/>
              </w:rPr>
              <w:t>892</w:t>
            </w:r>
          </w:p>
        </w:tc>
        <w:tc>
          <w:tcPr>
            <w:tcW w:w="1800" w:type="dxa"/>
          </w:tcPr>
          <w:p w:rsidR="00182F1D" w:rsidRPr="00E46F62" w:rsidRDefault="00182F1D" w:rsidP="00DA78DF">
            <w:pPr>
              <w:pStyle w:val="xl19"/>
              <w:spacing w:before="0" w:after="0"/>
              <w:jc w:val="center"/>
              <w:rPr>
                <w:rFonts w:eastAsia="Times New Roman" w:cs="Arial"/>
                <w:szCs w:val="24"/>
              </w:rPr>
            </w:pPr>
            <w:r>
              <w:rPr>
                <w:rFonts w:eastAsia="Times New Roman" w:cs="Arial"/>
                <w:szCs w:val="24"/>
              </w:rPr>
              <w:t>722</w:t>
            </w:r>
          </w:p>
        </w:tc>
        <w:tc>
          <w:tcPr>
            <w:tcW w:w="1138" w:type="dxa"/>
          </w:tcPr>
          <w:p w:rsidR="00182F1D" w:rsidRPr="00E46F62" w:rsidRDefault="00182F1D" w:rsidP="00DA78DF">
            <w:pPr>
              <w:pStyle w:val="xl19"/>
              <w:spacing w:before="0" w:after="0"/>
              <w:jc w:val="center"/>
              <w:rPr>
                <w:rFonts w:eastAsia="Times New Roman" w:cs="Arial"/>
                <w:szCs w:val="24"/>
              </w:rPr>
            </w:pPr>
            <w:r>
              <w:rPr>
                <w:rFonts w:eastAsia="Times New Roman" w:cs="Arial"/>
                <w:szCs w:val="24"/>
              </w:rPr>
              <w:t>57</w:t>
            </w:r>
          </w:p>
        </w:tc>
      </w:tr>
      <w:tr w:rsidR="00182F1D" w:rsidRPr="00E46F62" w:rsidTr="00DA78DF">
        <w:trPr>
          <w:jc w:val="center"/>
        </w:trPr>
        <w:tc>
          <w:tcPr>
            <w:tcW w:w="539"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10</w:t>
            </w:r>
          </w:p>
        </w:tc>
        <w:tc>
          <w:tcPr>
            <w:tcW w:w="9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2009</w:t>
            </w:r>
          </w:p>
        </w:tc>
        <w:tc>
          <w:tcPr>
            <w:tcW w:w="9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517</w:t>
            </w:r>
          </w:p>
        </w:tc>
        <w:tc>
          <w:tcPr>
            <w:tcW w:w="9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3,959</w:t>
            </w:r>
          </w:p>
        </w:tc>
        <w:tc>
          <w:tcPr>
            <w:tcW w:w="15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667</w:t>
            </w:r>
          </w:p>
        </w:tc>
        <w:tc>
          <w:tcPr>
            <w:tcW w:w="15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974</w:t>
            </w:r>
          </w:p>
        </w:tc>
        <w:tc>
          <w:tcPr>
            <w:tcW w:w="180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628</w:t>
            </w:r>
          </w:p>
        </w:tc>
        <w:tc>
          <w:tcPr>
            <w:tcW w:w="1138"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57</w:t>
            </w:r>
          </w:p>
        </w:tc>
      </w:tr>
      <w:tr w:rsidR="00182F1D" w:rsidRPr="00E46F62" w:rsidTr="00DA78DF">
        <w:trPr>
          <w:jc w:val="center"/>
        </w:trPr>
        <w:tc>
          <w:tcPr>
            <w:tcW w:w="539"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09</w:t>
            </w:r>
          </w:p>
        </w:tc>
        <w:tc>
          <w:tcPr>
            <w:tcW w:w="9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2008</w:t>
            </w:r>
          </w:p>
        </w:tc>
        <w:tc>
          <w:tcPr>
            <w:tcW w:w="9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511</w:t>
            </w:r>
          </w:p>
        </w:tc>
        <w:tc>
          <w:tcPr>
            <w:tcW w:w="9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3,599</w:t>
            </w:r>
          </w:p>
        </w:tc>
        <w:tc>
          <w:tcPr>
            <w:tcW w:w="15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641</w:t>
            </w:r>
          </w:p>
        </w:tc>
        <w:tc>
          <w:tcPr>
            <w:tcW w:w="156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1,038</w:t>
            </w:r>
          </w:p>
        </w:tc>
        <w:tc>
          <w:tcPr>
            <w:tcW w:w="1800"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673</w:t>
            </w:r>
          </w:p>
        </w:tc>
        <w:tc>
          <w:tcPr>
            <w:tcW w:w="1138" w:type="dxa"/>
          </w:tcPr>
          <w:p w:rsidR="00182F1D" w:rsidRPr="00E46F62" w:rsidRDefault="00182F1D" w:rsidP="00DA78DF">
            <w:pPr>
              <w:pStyle w:val="xl19"/>
              <w:spacing w:before="0" w:after="0"/>
              <w:jc w:val="center"/>
              <w:rPr>
                <w:rFonts w:eastAsia="Times New Roman" w:cs="Arial"/>
                <w:szCs w:val="24"/>
              </w:rPr>
            </w:pPr>
            <w:r w:rsidRPr="00E46F62">
              <w:rPr>
                <w:rFonts w:eastAsia="Times New Roman" w:cs="Arial"/>
                <w:szCs w:val="24"/>
              </w:rPr>
              <w:t>57</w:t>
            </w:r>
          </w:p>
        </w:tc>
      </w:tr>
    </w:tbl>
    <w:p w:rsidR="00182F1D" w:rsidRPr="00C04631" w:rsidRDefault="00182F1D" w:rsidP="00DA1F20">
      <w:pPr>
        <w:pStyle w:val="xl19"/>
        <w:spacing w:before="0" w:after="0"/>
        <w:rPr>
          <w:rFonts w:eastAsia="Times New Roman" w:cs="Arial"/>
          <w:szCs w:val="24"/>
        </w:rPr>
      </w:pPr>
    </w:p>
    <w:p w:rsidR="00DA1F20" w:rsidRPr="00C04631" w:rsidRDefault="00DA1F20" w:rsidP="00DA1F20">
      <w:pPr>
        <w:pStyle w:val="FootnoteText"/>
        <w:rPr>
          <w:sz w:val="24"/>
          <w:szCs w:val="24"/>
        </w:rPr>
      </w:pPr>
      <w:r w:rsidRPr="00C04631">
        <w:rPr>
          <w:sz w:val="24"/>
          <w:szCs w:val="24"/>
        </w:rPr>
        <w:t xml:space="preserve">The figures on determinations and recommendations provided in this document do not directly correspond with the figures provided on the Office’s Workload Measurement Tables.  Our Workload Measurement Tables track our workload by case; these figures track our workload by determination.  Often, the Office of the Solicitor General will receive a request for authorization that includes more than one potential outcome: for example, the Solicitor General may receive a request for authorization for rehearing en banc, or, in the alternative, for a petition for a writ of certiorari.  In that case, the Solicitor General may make two determinations; (1) no rehearing and (2) no certiorari.  Our Workload Measurement Tables reflect that as a single request; here, we have provided a separate accounting for each determination.  Additionally, the figures provided in this document under “miscellaneous requests” include requests for authorization of settlement, for stays, and for mandamus, while the figures on the </w:t>
      </w:r>
      <w:smartTag w:uri="urn:schemas-microsoft-com:office:smarttags" w:element="PersonName">
        <w:r w:rsidRPr="00C04631">
          <w:rPr>
            <w:sz w:val="24"/>
            <w:szCs w:val="24"/>
          </w:rPr>
          <w:t>Performance</w:t>
        </w:r>
      </w:smartTag>
      <w:r w:rsidRPr="00C04631">
        <w:rPr>
          <w:sz w:val="24"/>
          <w:szCs w:val="24"/>
        </w:rPr>
        <w:t xml:space="preserve"> Measurement Tables do not include such requests.</w:t>
      </w:r>
    </w:p>
    <w:p w:rsidR="00DA1F20" w:rsidRPr="00C04631" w:rsidRDefault="00DA1F20" w:rsidP="00DA1F20">
      <w:pPr>
        <w:pStyle w:val="FootnoteText"/>
        <w:rPr>
          <w:sz w:val="24"/>
          <w:szCs w:val="24"/>
        </w:rPr>
      </w:pPr>
    </w:p>
    <w:p w:rsidR="00DA1F20" w:rsidRPr="00C04631" w:rsidRDefault="00DA1F20" w:rsidP="00DA1F20">
      <w:pPr>
        <w:pStyle w:val="FootnoteText"/>
        <w:rPr>
          <w:sz w:val="24"/>
          <w:szCs w:val="24"/>
        </w:rPr>
      </w:pPr>
      <w:r w:rsidRPr="00C04631">
        <w:rPr>
          <w:sz w:val="24"/>
          <w:szCs w:val="24"/>
        </w:rPr>
        <w:t xml:space="preserve">The figure for oral argument participation reflects the number of oral arguments the Office presented to the Supreme Court as a party, </w:t>
      </w:r>
      <w:r w:rsidR="00380A43" w:rsidRPr="00380A43">
        <w:rPr>
          <w:i/>
          <w:sz w:val="24"/>
          <w:szCs w:val="24"/>
        </w:rPr>
        <w:t>amicus curiae</w:t>
      </w:r>
      <w:r w:rsidRPr="00C04631">
        <w:rPr>
          <w:sz w:val="24"/>
          <w:szCs w:val="24"/>
        </w:rPr>
        <w:t xml:space="preserve">, or </w:t>
      </w:r>
      <w:proofErr w:type="spellStart"/>
      <w:r w:rsidRPr="00C04631">
        <w:rPr>
          <w:sz w:val="24"/>
          <w:szCs w:val="24"/>
        </w:rPr>
        <w:t>intervenor</w:t>
      </w:r>
      <w:proofErr w:type="spellEnd"/>
      <w:r w:rsidRPr="00C04631">
        <w:rPr>
          <w:sz w:val="24"/>
          <w:szCs w:val="24"/>
        </w:rPr>
        <w:t>; it does not reflect the total number of underlying cases for each of those arguments.</w:t>
      </w:r>
    </w:p>
    <w:p w:rsidR="00DA1F20" w:rsidRPr="00C04631" w:rsidRDefault="00DA1F20" w:rsidP="00DA1F20">
      <w:pPr>
        <w:sectPr w:rsidR="00DA1F20" w:rsidRPr="00C04631" w:rsidSect="00DA1F20">
          <w:headerReference w:type="even" r:id="rId12"/>
          <w:headerReference w:type="default" r:id="rId13"/>
          <w:footerReference w:type="default" r:id="rId14"/>
          <w:headerReference w:type="first" r:id="rId15"/>
          <w:pgSz w:w="12240" w:h="15840" w:code="1"/>
          <w:pgMar w:top="1152" w:right="1440" w:bottom="1152" w:left="1440" w:header="432" w:footer="432" w:gutter="0"/>
          <w:pgNumType w:start="1"/>
          <w:cols w:space="720"/>
          <w:titlePg/>
        </w:sectPr>
      </w:pPr>
    </w:p>
    <w:p w:rsidR="00761CF4" w:rsidRPr="00761CF4" w:rsidRDefault="00DA1F20" w:rsidP="00797904">
      <w:pPr>
        <w:numPr>
          <w:ilvl w:val="0"/>
          <w:numId w:val="21"/>
        </w:numPr>
        <w:tabs>
          <w:tab w:val="left" w:pos="1080"/>
          <w:tab w:val="left" w:pos="3600"/>
          <w:tab w:val="left" w:pos="5580"/>
        </w:tabs>
        <w:ind w:left="360"/>
        <w:rPr>
          <w:b/>
          <w:iCs/>
        </w:rPr>
      </w:pPr>
      <w:r w:rsidRPr="00761CF4">
        <w:rPr>
          <w:b/>
          <w:iCs/>
        </w:rPr>
        <w:lastRenderedPageBreak/>
        <w:t>Pe</w:t>
      </w:r>
      <w:r w:rsidR="00EA4C1E" w:rsidRPr="00761CF4">
        <w:rPr>
          <w:b/>
          <w:iCs/>
        </w:rPr>
        <w:t>rformance Table</w:t>
      </w:r>
      <w:r w:rsidR="00761CF4" w:rsidRPr="00761CF4">
        <w:rPr>
          <w:b/>
          <w:iCs/>
        </w:rPr>
        <w:t>s</w:t>
      </w:r>
    </w:p>
    <w:p w:rsidR="00761CF4" w:rsidRDefault="00761CF4" w:rsidP="00761CF4">
      <w:pPr>
        <w:tabs>
          <w:tab w:val="left" w:pos="1080"/>
          <w:tab w:val="left" w:pos="3600"/>
          <w:tab w:val="left" w:pos="5580"/>
        </w:tabs>
        <w:rPr>
          <w:iCs/>
        </w:rPr>
      </w:pPr>
    </w:p>
    <w:p w:rsidR="00EA4C1E" w:rsidRPr="009136AE" w:rsidRDefault="00B110D2" w:rsidP="00761CF4">
      <w:pPr>
        <w:tabs>
          <w:tab w:val="left" w:pos="1080"/>
          <w:tab w:val="left" w:pos="3600"/>
          <w:tab w:val="left" w:pos="5580"/>
        </w:tabs>
        <w:rPr>
          <w:iCs/>
        </w:rPr>
      </w:pPr>
      <w:r>
        <w:rPr>
          <w:iCs/>
        </w:rPr>
        <w:t>Table A</w:t>
      </w:r>
    </w:p>
    <w:p w:rsidR="00DA1F20" w:rsidRDefault="008754FE" w:rsidP="00EA4C1E">
      <w:r w:rsidRPr="000A3E86">
        <w:rPr>
          <w:i/>
          <w:iCs/>
        </w:rPr>
        <w:object w:dxaOrig="12095" w:dyaOrig="9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25pt;height:397.5pt" o:ole="">
            <v:imagedata r:id="rId16" o:title=""/>
          </v:shape>
          <o:OLEObject Type="Embed" ProgID="Excel.Sheet.8" ShapeID="_x0000_i1025" DrawAspect="Content" ObjectID="_1390228394" r:id="rId17"/>
        </w:object>
      </w:r>
    </w:p>
    <w:p w:rsidR="00DA1F20" w:rsidRDefault="00DA1F20" w:rsidP="00DA1F20">
      <w:pPr>
        <w:rPr>
          <w:bCs/>
          <w:sz w:val="23"/>
          <w:szCs w:val="23"/>
        </w:rPr>
      </w:pPr>
    </w:p>
    <w:p w:rsidR="0091521E" w:rsidRDefault="0091521E" w:rsidP="00DA1F20">
      <w:pPr>
        <w:rPr>
          <w:bCs/>
          <w:sz w:val="23"/>
          <w:szCs w:val="23"/>
        </w:rPr>
      </w:pPr>
    </w:p>
    <w:p w:rsidR="0056407D" w:rsidRDefault="0056407D" w:rsidP="00DA1F20">
      <w:pPr>
        <w:rPr>
          <w:bCs/>
          <w:sz w:val="23"/>
          <w:szCs w:val="23"/>
        </w:rPr>
      </w:pPr>
    </w:p>
    <w:p w:rsidR="0056407D" w:rsidRDefault="0056407D">
      <w:pPr>
        <w:rPr>
          <w:bCs/>
          <w:sz w:val="23"/>
          <w:szCs w:val="23"/>
        </w:rPr>
      </w:pPr>
      <w:r>
        <w:rPr>
          <w:bCs/>
          <w:sz w:val="23"/>
          <w:szCs w:val="23"/>
        </w:rPr>
        <w:br w:type="page"/>
      </w:r>
    </w:p>
    <w:p w:rsidR="0091521E" w:rsidRPr="009866CB" w:rsidRDefault="0091521E" w:rsidP="00DA1F20">
      <w:pPr>
        <w:rPr>
          <w:bCs/>
          <w:sz w:val="23"/>
          <w:szCs w:val="23"/>
        </w:rPr>
      </w:pPr>
      <w:r>
        <w:rPr>
          <w:bCs/>
          <w:sz w:val="23"/>
          <w:szCs w:val="23"/>
        </w:rPr>
        <w:lastRenderedPageBreak/>
        <w:t>Table B – Performance Measure Table</w:t>
      </w:r>
    </w:p>
    <w:p w:rsidR="00DA1F20" w:rsidRDefault="00C6403B" w:rsidP="00DA1F20">
      <w:pPr>
        <w:tabs>
          <w:tab w:val="left" w:pos="13140"/>
        </w:tabs>
        <w:rPr>
          <w:sz w:val="16"/>
        </w:rPr>
      </w:pPr>
      <w:r>
        <w:object w:dxaOrig="14136" w:dyaOrig="5834">
          <v:shape id="_x0000_i1026" type="#_x0000_t75" style="width:660.75pt;height:273pt" o:ole="" o:bordertopcolor="this" o:borderleftcolor="this" o:borderbottomcolor="this" o:borderrightcolor="this">
            <v:imagedata r:id="rId18" o:title=""/>
            <w10:bordertop type="single" width="18"/>
            <w10:borderleft type="single" width="18"/>
            <w10:borderbottom type="single" width="18"/>
            <w10:borderright type="single" width="18"/>
          </v:shape>
          <o:OLEObject Type="Embed" ProgID="Excel.Sheet.8" ShapeID="_x0000_i1026" DrawAspect="Content" ObjectID="_1390228395" r:id="rId19"/>
        </w:object>
      </w:r>
    </w:p>
    <w:p w:rsidR="00DA1F20" w:rsidRDefault="00DA1F20" w:rsidP="00DA1F20">
      <w:pPr>
        <w:rPr>
          <w:sz w:val="16"/>
        </w:rPr>
      </w:pPr>
    </w:p>
    <w:p w:rsidR="00DA1F20" w:rsidRDefault="00DA1F20" w:rsidP="00DA1F20">
      <w:pPr>
        <w:rPr>
          <w:sz w:val="16"/>
        </w:rPr>
        <w:sectPr w:rsidR="00DA1F20" w:rsidSect="00EA4C1E">
          <w:headerReference w:type="even" r:id="rId20"/>
          <w:headerReference w:type="default" r:id="rId21"/>
          <w:footerReference w:type="default" r:id="rId22"/>
          <w:headerReference w:type="first" r:id="rId23"/>
          <w:pgSz w:w="15840" w:h="12240" w:orient="landscape" w:code="1"/>
          <w:pgMar w:top="1440" w:right="1152" w:bottom="720" w:left="1152" w:header="432" w:footer="432" w:gutter="0"/>
          <w:cols w:space="720"/>
          <w:docGrid w:linePitch="326"/>
        </w:sectPr>
      </w:pPr>
    </w:p>
    <w:p w:rsidR="00DA1F20" w:rsidRPr="009D3B81" w:rsidRDefault="009D3B81" w:rsidP="00DA1F20">
      <w:pPr>
        <w:pStyle w:val="BodyText"/>
        <w:rPr>
          <w:b/>
          <w:szCs w:val="24"/>
        </w:rPr>
      </w:pPr>
      <w:r w:rsidRPr="009D3B81">
        <w:rPr>
          <w:b/>
          <w:szCs w:val="24"/>
        </w:rPr>
        <w:lastRenderedPageBreak/>
        <w:t xml:space="preserve">3.  </w:t>
      </w:r>
      <w:r w:rsidR="00DA1F20" w:rsidRPr="009D3B81">
        <w:rPr>
          <w:b/>
          <w:szCs w:val="24"/>
        </w:rPr>
        <w:t>Performance, Resources, and Strategies</w:t>
      </w:r>
    </w:p>
    <w:p w:rsidR="00DA1F20" w:rsidRPr="00C04631" w:rsidRDefault="00DA1F20" w:rsidP="00DA1F20">
      <w:pPr>
        <w:pStyle w:val="BodyText"/>
        <w:rPr>
          <w:szCs w:val="24"/>
        </w:rPr>
      </w:pPr>
    </w:p>
    <w:p w:rsidR="00761CF4" w:rsidRPr="00761CF4" w:rsidRDefault="00761CF4" w:rsidP="00761CF4">
      <w:r w:rsidRPr="00761CF4">
        <w:t>Because the work of the Office is primarily governed by the Supreme Court’s schedule, the Office tracks its workload by Supreme Court Term.  Fiscal years roughly correspond to Supreme Court Terms, which run from July of the Term year through June of the next year.  Reference to fiscal years in this document will reflect information for the applicable Supreme Court Term.  Accordingly, FY 200</w:t>
      </w:r>
      <w:r w:rsidR="001D34F5">
        <w:t>9</w:t>
      </w:r>
      <w:r w:rsidRPr="00761CF4">
        <w:t xml:space="preserve"> corresponds with the 200</w:t>
      </w:r>
      <w:r w:rsidR="001D34F5">
        <w:t>8</w:t>
      </w:r>
      <w:r w:rsidRPr="00761CF4">
        <w:t xml:space="preserve"> Supreme Court</w:t>
      </w:r>
      <w:r w:rsidR="00D0130B">
        <w:t xml:space="preserve"> </w:t>
      </w:r>
      <w:proofErr w:type="gramStart"/>
      <w:r w:rsidRPr="00761CF4">
        <w:t>Te</w:t>
      </w:r>
      <w:r w:rsidR="00D0130B">
        <w:t>rm</w:t>
      </w:r>
      <w:r w:rsidRPr="00761CF4">
        <w:t>,</w:t>
      </w:r>
      <w:proofErr w:type="gramEnd"/>
      <w:r w:rsidRPr="00761CF4">
        <w:t xml:space="preserve"> FY </w:t>
      </w:r>
      <w:r w:rsidR="001D34F5" w:rsidRPr="00761CF4">
        <w:t>20</w:t>
      </w:r>
      <w:r w:rsidR="001D34F5">
        <w:t>10</w:t>
      </w:r>
      <w:r w:rsidR="001D34F5" w:rsidRPr="00761CF4">
        <w:t xml:space="preserve"> </w:t>
      </w:r>
      <w:r w:rsidRPr="00761CF4">
        <w:t>corresponds with the 200</w:t>
      </w:r>
      <w:r w:rsidR="001D34F5">
        <w:t>9</w:t>
      </w:r>
      <w:r w:rsidRPr="00761CF4">
        <w:t xml:space="preserve"> Supreme Court Term, and so on.  </w:t>
      </w:r>
      <w:r w:rsidRPr="00761CF4">
        <w:rPr>
          <w:rFonts w:ascii="CG Times" w:hAnsi="CG Times"/>
        </w:rPr>
        <w:t>The Office of the Solicitor General handles Supreme Court matters on an ongoing basis.  As a result, some matters will overlap from one fiscal year to the next, and they are included in the data for the term in which they most appropriately fit.</w:t>
      </w:r>
      <w:r w:rsidRPr="00761CF4">
        <w:t xml:space="preserve">  </w:t>
      </w:r>
      <w:r w:rsidR="0091521E">
        <w:t>The data in Table B i</w:t>
      </w:r>
      <w:r w:rsidRPr="00761CF4">
        <w:t xml:space="preserve">ncludes requests for authorizations as well as recommendations against appeal, intervention, or participation amicus curiae.  </w:t>
      </w:r>
      <w:r w:rsidR="0091521E">
        <w:t xml:space="preserve">It </w:t>
      </w:r>
      <w:r w:rsidRPr="00761CF4">
        <w:t>does not include miscellaneous requests, such as requests for authorization of settlement, for stays, for mandamus, etc.</w:t>
      </w:r>
    </w:p>
    <w:p w:rsidR="00761CF4" w:rsidRPr="00761CF4" w:rsidRDefault="00761CF4" w:rsidP="00761CF4">
      <w:pPr>
        <w:rPr>
          <w:b/>
          <w:bCs/>
        </w:rPr>
      </w:pPr>
    </w:p>
    <w:p w:rsidR="00761CF4" w:rsidRPr="00761CF4" w:rsidRDefault="00761CF4" w:rsidP="00761CF4">
      <w:r w:rsidRPr="00761CF4">
        <w:t xml:space="preserve">The Office of the Solicitor General </w:t>
      </w:r>
      <w:r w:rsidR="003311EA">
        <w:t xml:space="preserve">utilizes an internal </w:t>
      </w:r>
      <w:r w:rsidRPr="00761CF4">
        <w:t>Automated Docket System (ADS) to track mat</w:t>
      </w:r>
      <w:r w:rsidR="003311EA">
        <w:t xml:space="preserve">ters handled by its attorneys.  </w:t>
      </w:r>
      <w:r w:rsidRPr="00761CF4">
        <w:t xml:space="preserve">For Supreme Court matters, all data </w:t>
      </w:r>
      <w:r w:rsidR="0091521E">
        <w:t xml:space="preserve">is </w:t>
      </w:r>
      <w:r w:rsidRPr="00761CF4">
        <w:t xml:space="preserve">verified </w:t>
      </w:r>
      <w:r w:rsidR="0091521E">
        <w:t>a</w:t>
      </w:r>
      <w:r w:rsidRPr="00761CF4">
        <w:t xml:space="preserve">nd checked against Supreme Court Records.  </w:t>
      </w:r>
      <w:r w:rsidR="0091521E">
        <w:t>D</w:t>
      </w:r>
      <w:r w:rsidRPr="00761CF4">
        <w:t xml:space="preserve">aily statistical reports </w:t>
      </w:r>
      <w:r w:rsidR="0091521E">
        <w:t xml:space="preserve">are generated </w:t>
      </w:r>
      <w:r w:rsidRPr="00761CF4">
        <w:t xml:space="preserve">to ensure accurate tracking of both Supreme Court matters and requests for authorization to appeal, intervene, or participate as amicus curiae.  Additionally, statistical reports on all Office matters </w:t>
      </w:r>
      <w:r w:rsidR="0091521E">
        <w:t xml:space="preserve">are distributed to each attorney for </w:t>
      </w:r>
      <w:r w:rsidRPr="00761CF4">
        <w:t>review to ensure accurate tracking of the matters for which they are responsible.</w:t>
      </w:r>
    </w:p>
    <w:p w:rsidR="00761CF4" w:rsidRPr="00761CF4" w:rsidRDefault="00761CF4" w:rsidP="00761CF4"/>
    <w:p w:rsidR="00761CF4" w:rsidRPr="00761CF4" w:rsidRDefault="00761CF4" w:rsidP="00761CF4">
      <w:pPr>
        <w:rPr>
          <w:i/>
          <w:iCs/>
        </w:rPr>
      </w:pPr>
      <w:r w:rsidRPr="00761CF4">
        <w:t xml:space="preserve">The Office of the Solicitor General does not initiate any programs or have control over the number of Supreme Court cases it is required to handle or the number of requests for appeal, amicus, or intervention authorizations it receives.  In the vast majority of cases filed in the Supreme Court in which the </w:t>
      </w:r>
      <w:smartTag w:uri="urn:schemas-microsoft-com:office:smarttags" w:element="country-region">
        <w:r w:rsidRPr="00761CF4">
          <w:t>United States</w:t>
        </w:r>
      </w:smartTag>
      <w:r w:rsidRPr="00761CF4">
        <w:t xml:space="preserve"> is a party, a petition is filed by an adverse party and the </w:t>
      </w:r>
      <w:smartTag w:uri="urn:schemas-microsoft-com:office:smarttags" w:element="place">
        <w:smartTag w:uri="urn:schemas-microsoft-com:office:smarttags" w:element="country-region">
          <w:r w:rsidRPr="00761CF4">
            <w:t>United States</w:t>
          </w:r>
        </w:smartTag>
      </w:smartTag>
      <w:r w:rsidRPr="00761CF4">
        <w:t xml:space="preserve"> is obliged to respond. Additionally, the Office does not control the number of cases in which the Supreme Court formally requests the Solicitor General to express the views of the </w:t>
      </w:r>
      <w:smartTag w:uri="urn:schemas-microsoft-com:office:smarttags" w:element="place">
        <w:smartTag w:uri="urn:schemas-microsoft-com:office:smarttags" w:element="country-region">
          <w:r w:rsidRPr="00761CF4">
            <w:t>United States</w:t>
          </w:r>
        </w:smartTag>
      </w:smartTag>
      <w:r w:rsidRPr="00761CF4">
        <w:t xml:space="preserve">.  The number of cases in which the Solicitor General petitions the Supreme Court for review, acquiesces in a petition for a writ of certiorari filed by an adverse party, or participates as an </w:t>
      </w:r>
      <w:proofErr w:type="spellStart"/>
      <w:r w:rsidRPr="00761CF4">
        <w:t>intervenor</w:t>
      </w:r>
      <w:proofErr w:type="spellEnd"/>
      <w:r w:rsidRPr="00761CF4">
        <w:t xml:space="preserve"> or as amicus curiae is governed exclusively by the Solicitor General's determination that it is in the best interests of the </w:t>
      </w:r>
      <w:smartTag w:uri="urn:schemas-microsoft-com:office:smarttags" w:element="place">
        <w:smartTag w:uri="urn:schemas-microsoft-com:office:smarttags" w:element="country-region">
          <w:r w:rsidRPr="00761CF4">
            <w:t>United States</w:t>
          </w:r>
        </w:smartTag>
      </w:smartTag>
      <w:r w:rsidRPr="00761CF4">
        <w:t xml:space="preserve"> to do so.   Thus, t</w:t>
      </w:r>
      <w:r w:rsidRPr="00761CF4">
        <w:rPr>
          <w:rFonts w:ascii="CG Times" w:hAnsi="CG Times"/>
        </w:rPr>
        <w:t xml:space="preserve">he Solicitor General participates in 100% of the cases in which the </w:t>
      </w:r>
      <w:smartTag w:uri="urn:schemas-microsoft-com:office:smarttags" w:element="country-region">
        <w:r w:rsidRPr="00761CF4">
          <w:rPr>
            <w:rFonts w:ascii="CG Times" w:hAnsi="CG Times"/>
          </w:rPr>
          <w:t>United States</w:t>
        </w:r>
      </w:smartTag>
      <w:r w:rsidRPr="00761CF4">
        <w:rPr>
          <w:rFonts w:ascii="CG Times" w:hAnsi="CG Times"/>
        </w:rPr>
        <w:t xml:space="preserve"> is required to participate, as well as 100% of the cases in which the Solicitor General has determined that the interests of the </w:t>
      </w:r>
      <w:smartTag w:uri="urn:schemas-microsoft-com:office:smarttags" w:element="place">
        <w:smartTag w:uri="urn:schemas-microsoft-com:office:smarttags" w:element="country-region">
          <w:r w:rsidRPr="00761CF4">
            <w:rPr>
              <w:rFonts w:ascii="CG Times" w:hAnsi="CG Times"/>
            </w:rPr>
            <w:t>United States</w:t>
          </w:r>
        </w:smartTag>
      </w:smartTag>
      <w:r w:rsidRPr="00761CF4">
        <w:rPr>
          <w:rFonts w:ascii="CG Times" w:hAnsi="CG Times"/>
        </w:rPr>
        <w:t xml:space="preserve"> require participation.</w:t>
      </w:r>
    </w:p>
    <w:p w:rsidR="00761CF4" w:rsidRDefault="00761CF4" w:rsidP="00DA1F20">
      <w:pPr>
        <w:ind w:right="-18"/>
      </w:pPr>
    </w:p>
    <w:p w:rsidR="001D34F5" w:rsidRDefault="001D34F5" w:rsidP="001D34F5">
      <w:pPr>
        <w:ind w:right="-18"/>
      </w:pPr>
      <w:r w:rsidRPr="00C04631">
        <w:t xml:space="preserve">The Office of the Solicitor General’s only decision unit—Federal Appellate Activity—contributes to the Department’s Strategic Goal 2:  Prevent Crime, </w:t>
      </w:r>
      <w:r>
        <w:t>Protect the Rights of the American People, and Enforce Federal Law</w:t>
      </w:r>
      <w:r w:rsidRPr="00C04631">
        <w:t>.  The decision unit’s total resources fall under the Depa</w:t>
      </w:r>
      <w:r>
        <w:t>rtment’s Strategic Objective 2.6</w:t>
      </w:r>
      <w:r w:rsidRPr="00C04631">
        <w:t xml:space="preserve"> – </w:t>
      </w:r>
      <w:r>
        <w:t xml:space="preserve">Protect the federal </w:t>
      </w:r>
      <w:proofErr w:type="spellStart"/>
      <w:r>
        <w:t>fisc</w:t>
      </w:r>
      <w:proofErr w:type="spellEnd"/>
      <w:r>
        <w:t xml:space="preserve"> and defend the interests of the United States</w:t>
      </w:r>
      <w:r w:rsidRPr="00C04631">
        <w:t xml:space="preserve">. </w:t>
      </w:r>
    </w:p>
    <w:p w:rsidR="008754FE" w:rsidRPr="00C04631" w:rsidRDefault="008754FE" w:rsidP="001D34F5">
      <w:pPr>
        <w:ind w:right="-18"/>
      </w:pPr>
    </w:p>
    <w:p w:rsidR="00DA1F20" w:rsidRPr="00C70F71" w:rsidRDefault="00DA1F20" w:rsidP="00C70F71">
      <w:pPr>
        <w:ind w:right="-18"/>
        <w:rPr>
          <w:u w:val="single"/>
        </w:rPr>
      </w:pPr>
      <w:r w:rsidRPr="00C70F71">
        <w:rPr>
          <w:u w:val="single"/>
        </w:rPr>
        <w:t>a. Performance Plan and Report for Outcomes</w:t>
      </w:r>
    </w:p>
    <w:p w:rsidR="00DA1F20" w:rsidRPr="00C04631" w:rsidRDefault="00DA1F20" w:rsidP="00DA1F20">
      <w:pPr>
        <w:pStyle w:val="BodyText"/>
        <w:rPr>
          <w:szCs w:val="24"/>
        </w:rPr>
      </w:pPr>
    </w:p>
    <w:p w:rsidR="00DA1F20" w:rsidRPr="00C04631" w:rsidRDefault="00DA1F20" w:rsidP="00DA1F20">
      <w:r w:rsidRPr="00C04631">
        <w:t xml:space="preserve">The first performance measure </w:t>
      </w:r>
      <w:r w:rsidR="00713C61">
        <w:t>reflects c</w:t>
      </w:r>
      <w:r w:rsidRPr="00C04631">
        <w:t>ases in which the Solicitor General participated.  During the 200</w:t>
      </w:r>
      <w:r w:rsidR="001D34F5">
        <w:t>9</w:t>
      </w:r>
      <w:r w:rsidRPr="00C04631">
        <w:t xml:space="preserve"> Supreme Court Term</w:t>
      </w:r>
      <w:r w:rsidR="008754FE">
        <w:t xml:space="preserve"> (FY 2010),</w:t>
      </w:r>
      <w:r w:rsidRPr="00C04631">
        <w:t xml:space="preserve"> the Office participated in </w:t>
      </w:r>
      <w:r w:rsidR="001D34F5">
        <w:t>3,915</w:t>
      </w:r>
      <w:r w:rsidR="00A845AB">
        <w:t xml:space="preserve"> cases and in the 20</w:t>
      </w:r>
      <w:r w:rsidR="001D34F5">
        <w:t>10</w:t>
      </w:r>
      <w:r w:rsidRPr="00C04631">
        <w:t xml:space="preserve"> Supreme Court Term</w:t>
      </w:r>
      <w:r w:rsidR="008754FE">
        <w:t xml:space="preserve"> </w:t>
      </w:r>
      <w:r w:rsidR="008754FE" w:rsidRPr="00C04631">
        <w:t>(FY 20</w:t>
      </w:r>
      <w:r w:rsidR="008754FE">
        <w:t>11</w:t>
      </w:r>
      <w:r w:rsidR="008754FE" w:rsidRPr="00C04631">
        <w:t>)</w:t>
      </w:r>
      <w:proofErr w:type="gramStart"/>
      <w:r w:rsidR="00D0130B">
        <w:t>,</w:t>
      </w:r>
      <w:proofErr w:type="gramEnd"/>
      <w:r w:rsidRPr="00C04631">
        <w:t xml:space="preserve"> </w:t>
      </w:r>
      <w:r w:rsidR="00A845AB">
        <w:t xml:space="preserve">the Office participated in </w:t>
      </w:r>
      <w:r w:rsidR="001D34F5">
        <w:t>3,517</w:t>
      </w:r>
      <w:r w:rsidRPr="00C04631">
        <w:t xml:space="preserve"> cases.</w:t>
      </w:r>
    </w:p>
    <w:p w:rsidR="00DA1F20" w:rsidRPr="00C04631" w:rsidRDefault="00DA1F20" w:rsidP="00DA1F20">
      <w:r w:rsidRPr="00C04631">
        <w:t xml:space="preserve"> </w:t>
      </w:r>
    </w:p>
    <w:p w:rsidR="00DA1F20" w:rsidRPr="00C04631" w:rsidRDefault="00DA1F20" w:rsidP="00DA1F20">
      <w:pPr>
        <w:rPr>
          <w:bCs/>
        </w:rPr>
      </w:pPr>
      <w:r w:rsidRPr="00C04631">
        <w:lastRenderedPageBreak/>
        <w:t xml:space="preserve">The second performance measure </w:t>
      </w:r>
      <w:r w:rsidR="00713C61">
        <w:t>reflects r</w:t>
      </w:r>
      <w:r w:rsidRPr="00C04631">
        <w:t xml:space="preserve">equests for determinations regarding appeal, </w:t>
      </w:r>
      <w:r w:rsidRPr="00C04631">
        <w:rPr>
          <w:i/>
        </w:rPr>
        <w:t>certiorari</w:t>
      </w:r>
      <w:r w:rsidRPr="00C04631">
        <w:t>, or other matters to which the Solicitor General responded.  During the 200</w:t>
      </w:r>
      <w:r w:rsidR="008C4DCF">
        <w:t>9</w:t>
      </w:r>
      <w:r w:rsidRPr="00C04631">
        <w:t xml:space="preserve"> Supreme Court Term, the Office responded to </w:t>
      </w:r>
      <w:r w:rsidR="008C4DCF">
        <w:t>2,004</w:t>
      </w:r>
      <w:r w:rsidRPr="00C04631">
        <w:t xml:space="preserve"> requests, and in the </w:t>
      </w:r>
      <w:r w:rsidR="008C4DCF" w:rsidRPr="00C04631">
        <w:t>20</w:t>
      </w:r>
      <w:r w:rsidR="008C4DCF">
        <w:t>10</w:t>
      </w:r>
      <w:r w:rsidR="008C4DCF" w:rsidRPr="00C04631">
        <w:t xml:space="preserve"> </w:t>
      </w:r>
      <w:r w:rsidRPr="00C04631">
        <w:t>Supreme Court Ter</w:t>
      </w:r>
      <w:r w:rsidR="00A845AB">
        <w:t xml:space="preserve">m, the office responded to </w:t>
      </w:r>
      <w:r w:rsidR="008C4DCF">
        <w:t>2,600</w:t>
      </w:r>
      <w:r w:rsidRPr="00C04631">
        <w:t xml:space="preserve"> requests.  </w:t>
      </w:r>
      <w:r w:rsidRPr="00C04631">
        <w:rPr>
          <w:bCs/>
        </w:rPr>
        <w:t xml:space="preserve">Because the work of the Office is primarily governed by the Supreme Court’s schedule, the Office tracks its workload by Supreme Court Term.  Fiscal years roughly correspond to Supreme Court Terms, which run from July of the Term year through June of the next year.  </w:t>
      </w:r>
    </w:p>
    <w:p w:rsidR="00DA1F20" w:rsidRPr="00C04631" w:rsidRDefault="00DA1F20" w:rsidP="00DA1F20">
      <w:pPr>
        <w:rPr>
          <w:bCs/>
        </w:rPr>
      </w:pPr>
    </w:p>
    <w:p w:rsidR="00DA1F20" w:rsidRPr="00C04631" w:rsidRDefault="00DA1F20" w:rsidP="00DA1F20">
      <w:pPr>
        <w:rPr>
          <w:bCs/>
        </w:rPr>
      </w:pPr>
      <w:r w:rsidRPr="00C04631">
        <w:rPr>
          <w:bCs/>
        </w:rPr>
        <w:t xml:space="preserve">In the vast majority of cases filed in the Supreme Court in which the United States is a party, a petition is filed by an adverse party and the United States is obliged to respond in some way, either by filing a brief or (after review of the case) waiving the right to do so.  Additionally, the Office does not control the number of cases in which the Supreme Court formally requests the Solicitor General to express the views of the </w:t>
      </w:r>
      <w:smartTag w:uri="urn:schemas-microsoft-com:office:smarttags" w:element="place">
        <w:smartTag w:uri="urn:schemas-microsoft-com:office:smarttags" w:element="country-region">
          <w:r w:rsidRPr="00C04631">
            <w:rPr>
              <w:bCs/>
            </w:rPr>
            <w:t>United States</w:t>
          </w:r>
        </w:smartTag>
      </w:smartTag>
      <w:r w:rsidRPr="00C04631">
        <w:rPr>
          <w:bCs/>
        </w:rPr>
        <w:t xml:space="preserve">.  Thus, performance measures may vary widely from year to year which increases the likelihood that OSG’s actual measures will also vary widely from projected goals.  The number of cases in which the Solicitor General petitions the Supreme Court for review, acquiesces in a petition for a </w:t>
      </w:r>
      <w:r w:rsidR="00380A43" w:rsidRPr="00380A43">
        <w:rPr>
          <w:bCs/>
          <w:i/>
        </w:rPr>
        <w:t>writ of</w:t>
      </w:r>
      <w:r w:rsidRPr="00C04631">
        <w:rPr>
          <w:bCs/>
        </w:rPr>
        <w:t xml:space="preserve"> </w:t>
      </w:r>
      <w:r w:rsidRPr="00C04631">
        <w:rPr>
          <w:bCs/>
          <w:i/>
        </w:rPr>
        <w:t>certiorari</w:t>
      </w:r>
      <w:r w:rsidRPr="00C04631">
        <w:rPr>
          <w:bCs/>
        </w:rPr>
        <w:t xml:space="preserve"> filed by an adverse party, or participates as an </w:t>
      </w:r>
      <w:r w:rsidR="00380A43" w:rsidRPr="00380A43">
        <w:rPr>
          <w:bCs/>
          <w:i/>
        </w:rPr>
        <w:t>intervenor</w:t>
      </w:r>
      <w:r w:rsidRPr="00C04631">
        <w:rPr>
          <w:bCs/>
        </w:rPr>
        <w:t xml:space="preserve"> or as </w:t>
      </w:r>
      <w:r w:rsidR="00380A43" w:rsidRPr="00380A43">
        <w:rPr>
          <w:bCs/>
          <w:i/>
        </w:rPr>
        <w:t>amicus curiae</w:t>
      </w:r>
      <w:r w:rsidRPr="00C04631">
        <w:rPr>
          <w:bCs/>
        </w:rPr>
        <w:t xml:space="preserve"> is governed exclusively by the Solicitor General’s determination that it is in the best interests of the United States to take such action.</w:t>
      </w:r>
    </w:p>
    <w:p w:rsidR="00DA1F20" w:rsidRPr="00C04631" w:rsidRDefault="00DA1F20" w:rsidP="00DA1F20">
      <w:pPr>
        <w:pStyle w:val="BodyText"/>
        <w:rPr>
          <w:szCs w:val="24"/>
        </w:rPr>
      </w:pPr>
    </w:p>
    <w:p w:rsidR="00DA1F20" w:rsidRPr="009D3B81" w:rsidRDefault="00DA1F20" w:rsidP="00DA1F20">
      <w:pPr>
        <w:pStyle w:val="BodyText"/>
        <w:rPr>
          <w:rFonts w:cs="Arial"/>
          <w:szCs w:val="24"/>
          <w:u w:val="single"/>
        </w:rPr>
      </w:pPr>
      <w:r w:rsidRPr="009D3B81">
        <w:rPr>
          <w:rFonts w:cs="Arial"/>
          <w:szCs w:val="24"/>
          <w:u w:val="single"/>
        </w:rPr>
        <w:t>b. Strategies to Accomplish Outcomes</w:t>
      </w:r>
    </w:p>
    <w:p w:rsidR="00DA1F20" w:rsidRPr="00C04631" w:rsidRDefault="00DA1F20" w:rsidP="00DA1F20">
      <w:pPr>
        <w:pStyle w:val="BodyText"/>
        <w:rPr>
          <w:szCs w:val="24"/>
        </w:rPr>
      </w:pPr>
    </w:p>
    <w:p w:rsidR="00DA1F20" w:rsidRPr="00C04631" w:rsidRDefault="00DA1F20" w:rsidP="00DA1F20">
      <w:r w:rsidRPr="00C04631">
        <w:t xml:space="preserve">To fulfill the Office of the Solicitor General’s critical mission of representing the interests of the </w:t>
      </w:r>
      <w:smartTag w:uri="urn:schemas-microsoft-com:office:smarttags" w:element="place">
        <w:smartTag w:uri="urn:schemas-microsoft-com:office:smarttags" w:element="country-region">
          <w:r w:rsidRPr="00C04631">
            <w:t>United States</w:t>
          </w:r>
        </w:smartTag>
      </w:smartTag>
      <w:r w:rsidRPr="00C04631">
        <w:t xml:space="preserve"> in the Supreme Court, the Office will devote all resources necessary to prevail in the Supreme Court.  For FY 201</w:t>
      </w:r>
      <w:r w:rsidR="008C4DCF">
        <w:t>3</w:t>
      </w:r>
      <w:r w:rsidRPr="00C04631">
        <w:t xml:space="preserve">, OSG is requesting base funding of </w:t>
      </w:r>
      <w:r w:rsidR="008C4DCF">
        <w:t>48</w:t>
      </w:r>
      <w:r w:rsidR="008C4DCF" w:rsidRPr="00C04631">
        <w:t xml:space="preserve"> </w:t>
      </w:r>
      <w:r w:rsidRPr="00C04631">
        <w:t xml:space="preserve">positions, </w:t>
      </w:r>
      <w:r w:rsidR="008C4DCF">
        <w:t>49</w:t>
      </w:r>
      <w:r w:rsidR="008C4DCF" w:rsidRPr="00C04631">
        <w:t xml:space="preserve"> </w:t>
      </w:r>
      <w:r w:rsidRPr="00C04631">
        <w:t>FTE, and $</w:t>
      </w:r>
      <w:r w:rsidR="008C4DCF">
        <w:t>10,805,000</w:t>
      </w:r>
      <w:r w:rsidRPr="00C04631">
        <w:t xml:space="preserve"> to accomplish its goals.  </w:t>
      </w:r>
    </w:p>
    <w:p w:rsidR="00DA1F20" w:rsidRPr="00C04631" w:rsidRDefault="00DA1F20" w:rsidP="00DA1F20"/>
    <w:p w:rsidR="00DA1F20" w:rsidRPr="00C04631" w:rsidRDefault="00DA1F20" w:rsidP="00DA1F20">
      <w:pPr>
        <w:pStyle w:val="xl24"/>
        <w:spacing w:before="0" w:after="0"/>
        <w:rPr>
          <w:szCs w:val="24"/>
          <w:u w:val="none"/>
        </w:rPr>
      </w:pPr>
      <w:r w:rsidRPr="00C04631">
        <w:rPr>
          <w:szCs w:val="24"/>
          <w:u w:val="none"/>
        </w:rPr>
        <w:t xml:space="preserve">OSG has experienced an increase in several Court related activities.  In addition, OSG has faced a set of new expectations, and has been called upon to assume added responsibilities.  These include all the examples set forth in this budget submission. The government’s response to terrorism, economic distress, </w:t>
      </w:r>
      <w:r w:rsidR="00593701">
        <w:rPr>
          <w:szCs w:val="24"/>
          <w:u w:val="none"/>
        </w:rPr>
        <w:t xml:space="preserve">immigration challenges, </w:t>
      </w:r>
      <w:r w:rsidRPr="00C04631">
        <w:rPr>
          <w:szCs w:val="24"/>
          <w:u w:val="none"/>
        </w:rPr>
        <w:t>and health care will place a range of new demands on OSG, which it stands ready to meet.</w:t>
      </w:r>
    </w:p>
    <w:p w:rsidR="00DA1F20" w:rsidRDefault="00DA1F20" w:rsidP="00DA1F20">
      <w:pPr>
        <w:pStyle w:val="xl24"/>
        <w:spacing w:before="0" w:after="0"/>
        <w:rPr>
          <w:sz w:val="23"/>
          <w:szCs w:val="23"/>
          <w:u w:val="none"/>
        </w:rPr>
      </w:pPr>
    </w:p>
    <w:p w:rsidR="00F36FCE" w:rsidRPr="009866CB" w:rsidRDefault="00F36FCE" w:rsidP="00DA1F20">
      <w:pPr>
        <w:pStyle w:val="xl24"/>
        <w:spacing w:before="0" w:after="0"/>
        <w:rPr>
          <w:sz w:val="23"/>
          <w:szCs w:val="23"/>
          <w:u w:val="none"/>
        </w:rPr>
      </w:pPr>
    </w:p>
    <w:p w:rsidR="00DA1F20" w:rsidRDefault="00DA1F20" w:rsidP="00DA1F20">
      <w:pPr>
        <w:pStyle w:val="BodyText"/>
        <w:rPr>
          <w:i/>
          <w:iCs/>
        </w:rPr>
      </w:pPr>
    </w:p>
    <w:p w:rsidR="00DA1F20" w:rsidRDefault="00C70F71" w:rsidP="00DA1F20">
      <w:pPr>
        <w:pStyle w:val="BodyText"/>
        <w:rPr>
          <w:rFonts w:cs="Arial"/>
          <w:b/>
          <w:sz w:val="28"/>
          <w:szCs w:val="28"/>
        </w:rPr>
      </w:pPr>
      <w:r>
        <w:rPr>
          <w:i/>
          <w:iCs/>
        </w:rPr>
        <w:br w:type="page"/>
      </w:r>
      <w:r w:rsidR="00DA1F20" w:rsidRPr="009419CC">
        <w:rPr>
          <w:rFonts w:cs="Arial"/>
          <w:b/>
          <w:sz w:val="28"/>
          <w:szCs w:val="28"/>
        </w:rPr>
        <w:lastRenderedPageBreak/>
        <w:t>V.  Program Increases by Item</w:t>
      </w:r>
    </w:p>
    <w:p w:rsidR="008754FE" w:rsidRDefault="008754FE" w:rsidP="00DA1F20">
      <w:pPr>
        <w:pStyle w:val="BodyText"/>
        <w:rPr>
          <w:rFonts w:cs="Arial"/>
          <w:b/>
          <w:sz w:val="28"/>
          <w:szCs w:val="28"/>
        </w:rPr>
      </w:pPr>
    </w:p>
    <w:p w:rsidR="008754FE" w:rsidRPr="005D2013" w:rsidRDefault="008754FE" w:rsidP="00DA1F20">
      <w:pPr>
        <w:pStyle w:val="BodyText"/>
        <w:rPr>
          <w:rFonts w:cs="Arial"/>
          <w:sz w:val="28"/>
          <w:szCs w:val="28"/>
        </w:rPr>
      </w:pPr>
      <w:r w:rsidRPr="005D2013">
        <w:rPr>
          <w:rFonts w:cs="Arial"/>
          <w:sz w:val="28"/>
          <w:szCs w:val="28"/>
        </w:rPr>
        <w:t>N/A</w:t>
      </w:r>
    </w:p>
    <w:p w:rsidR="008754FE" w:rsidRDefault="008754FE" w:rsidP="00DA1F20">
      <w:pPr>
        <w:pStyle w:val="BodyText"/>
        <w:rPr>
          <w:rFonts w:cs="Arial"/>
          <w:b/>
          <w:sz w:val="28"/>
          <w:szCs w:val="28"/>
        </w:rPr>
      </w:pPr>
    </w:p>
    <w:p w:rsidR="008754FE" w:rsidRPr="009419CC" w:rsidRDefault="008754FE" w:rsidP="00DA1F20">
      <w:pPr>
        <w:pStyle w:val="BodyText"/>
        <w:rPr>
          <w:rFonts w:cs="Arial"/>
          <w:b/>
          <w:sz w:val="28"/>
          <w:szCs w:val="28"/>
        </w:rPr>
      </w:pPr>
      <w:r>
        <w:rPr>
          <w:rFonts w:cs="Arial"/>
          <w:b/>
          <w:sz w:val="28"/>
          <w:szCs w:val="28"/>
        </w:rPr>
        <w:t>VI. Program Offsets by Item</w:t>
      </w:r>
    </w:p>
    <w:p w:rsidR="00DA1F20" w:rsidRDefault="00DA1F20" w:rsidP="00DA1F20">
      <w:pPr>
        <w:pStyle w:val="BodyText"/>
        <w:ind w:left="360"/>
        <w:rPr>
          <w:rFonts w:cs="Arial"/>
          <w:b/>
          <w:szCs w:val="24"/>
        </w:rPr>
      </w:pPr>
    </w:p>
    <w:p w:rsidR="00DA1F20" w:rsidRDefault="00DA1F20" w:rsidP="00DA1F20">
      <w:pPr>
        <w:pStyle w:val="BodyText"/>
        <w:rPr>
          <w:sz w:val="18"/>
        </w:rPr>
      </w:pPr>
    </w:p>
    <w:p w:rsidR="00DA1F20" w:rsidRPr="00C04631" w:rsidRDefault="00DA1F20" w:rsidP="00DA1F20">
      <w:pPr>
        <w:pStyle w:val="xl19"/>
        <w:tabs>
          <w:tab w:val="left" w:pos="3420"/>
          <w:tab w:val="right" w:pos="8640"/>
        </w:tabs>
        <w:spacing w:before="0" w:after="0"/>
        <w:rPr>
          <w:bCs/>
          <w:szCs w:val="24"/>
        </w:rPr>
      </w:pPr>
      <w:r w:rsidRPr="00C04631">
        <w:rPr>
          <w:b/>
          <w:bCs/>
          <w:szCs w:val="24"/>
        </w:rPr>
        <w:t>Item Name:</w:t>
      </w:r>
      <w:r w:rsidRPr="00C04631">
        <w:rPr>
          <w:b/>
          <w:bCs/>
          <w:szCs w:val="24"/>
        </w:rPr>
        <w:tab/>
      </w:r>
      <w:r w:rsidR="00B81FF9" w:rsidRPr="00B81FF9">
        <w:rPr>
          <w:b/>
          <w:bCs/>
          <w:szCs w:val="24"/>
        </w:rPr>
        <w:t>Administrative Functions Consolidation</w:t>
      </w:r>
    </w:p>
    <w:p w:rsidR="00DA1F20" w:rsidRPr="00C04631" w:rsidRDefault="00DA1F20" w:rsidP="00DA1F20">
      <w:pPr>
        <w:pStyle w:val="xl19"/>
        <w:tabs>
          <w:tab w:val="left" w:pos="3420"/>
          <w:tab w:val="right" w:pos="8640"/>
        </w:tabs>
        <w:spacing w:before="0" w:after="0"/>
        <w:rPr>
          <w:rFonts w:eastAsia="Times New Roman"/>
          <w:szCs w:val="24"/>
        </w:rPr>
      </w:pPr>
    </w:p>
    <w:p w:rsidR="00DA1F20" w:rsidRPr="00C04631" w:rsidRDefault="00DA1F20" w:rsidP="00DA1F20">
      <w:pPr>
        <w:pStyle w:val="xl19"/>
        <w:tabs>
          <w:tab w:val="left" w:pos="3420"/>
          <w:tab w:val="right" w:pos="8640"/>
        </w:tabs>
        <w:spacing w:before="0" w:after="0"/>
        <w:rPr>
          <w:rFonts w:eastAsia="Times New Roman"/>
          <w:szCs w:val="24"/>
        </w:rPr>
      </w:pPr>
      <w:r w:rsidRPr="00C04631">
        <w:rPr>
          <w:rFonts w:eastAsia="Times New Roman"/>
          <w:szCs w:val="24"/>
        </w:rPr>
        <w:t xml:space="preserve">Budget Decision Unit(s): </w:t>
      </w:r>
      <w:r w:rsidRPr="00C04631">
        <w:rPr>
          <w:rFonts w:eastAsia="Times New Roman"/>
          <w:szCs w:val="24"/>
        </w:rPr>
        <w:tab/>
        <w:t>Federal Appellate Activity</w:t>
      </w:r>
    </w:p>
    <w:p w:rsidR="009F04B7" w:rsidRDefault="009F04B7" w:rsidP="00DA1F20">
      <w:pPr>
        <w:pStyle w:val="xl19"/>
        <w:tabs>
          <w:tab w:val="left" w:pos="3420"/>
          <w:tab w:val="right" w:pos="8640"/>
        </w:tabs>
        <w:spacing w:before="0" w:after="0"/>
        <w:rPr>
          <w:rFonts w:eastAsia="Times New Roman"/>
          <w:szCs w:val="24"/>
        </w:rPr>
      </w:pPr>
    </w:p>
    <w:p w:rsidR="009F04B7" w:rsidRDefault="009F04B7" w:rsidP="007C11BF">
      <w:pPr>
        <w:pStyle w:val="xl19"/>
        <w:tabs>
          <w:tab w:val="left" w:pos="3420"/>
          <w:tab w:val="right" w:pos="8640"/>
        </w:tabs>
        <w:spacing w:before="0" w:after="0"/>
        <w:ind w:left="3420" w:hanging="3420"/>
        <w:rPr>
          <w:rFonts w:eastAsia="Times New Roman"/>
          <w:szCs w:val="24"/>
        </w:rPr>
      </w:pPr>
      <w:bookmarkStart w:id="1" w:name="OLE_LINK3"/>
      <w:r>
        <w:rPr>
          <w:rFonts w:eastAsia="Times New Roman"/>
          <w:szCs w:val="24"/>
        </w:rPr>
        <w:t xml:space="preserve">Strategic Goal &amp; Objective:  </w:t>
      </w:r>
      <w:r>
        <w:rPr>
          <w:rFonts w:eastAsia="Times New Roman"/>
          <w:szCs w:val="24"/>
        </w:rPr>
        <w:tab/>
        <w:t>DOJ Strategic Goal 2</w:t>
      </w:r>
      <w:r w:rsidR="008C4DCF" w:rsidRPr="008C4DCF">
        <w:t xml:space="preserve"> </w:t>
      </w:r>
      <w:r w:rsidR="008C4DCF" w:rsidRPr="00C04631">
        <w:t xml:space="preserve">Prevent Crime, </w:t>
      </w:r>
      <w:r w:rsidR="008C4DCF">
        <w:t>Protect the Rights of the American People, and Enforce Federal Law</w:t>
      </w:r>
      <w:r w:rsidR="008C4DCF">
        <w:rPr>
          <w:rFonts w:eastAsia="Times New Roman"/>
          <w:szCs w:val="24"/>
        </w:rPr>
        <w:t xml:space="preserve">.  </w:t>
      </w:r>
      <w:r>
        <w:rPr>
          <w:rFonts w:eastAsia="Times New Roman"/>
          <w:szCs w:val="24"/>
        </w:rPr>
        <w:t xml:space="preserve"> </w:t>
      </w:r>
      <w:r w:rsidR="008C4DCF">
        <w:rPr>
          <w:rFonts w:eastAsia="Times New Roman"/>
          <w:szCs w:val="24"/>
        </w:rPr>
        <w:t>2.</w:t>
      </w:r>
      <w:r w:rsidR="00450B48">
        <w:rPr>
          <w:rFonts w:eastAsia="Times New Roman"/>
          <w:szCs w:val="24"/>
        </w:rPr>
        <w:t xml:space="preserve">6 </w:t>
      </w:r>
      <w:r w:rsidR="008C4DCF">
        <w:rPr>
          <w:rFonts w:eastAsia="Times New Roman"/>
          <w:szCs w:val="24"/>
        </w:rPr>
        <w:t xml:space="preserve">– Protect the federal </w:t>
      </w:r>
      <w:proofErr w:type="spellStart"/>
      <w:r w:rsidR="008C4DCF">
        <w:rPr>
          <w:rFonts w:eastAsia="Times New Roman"/>
          <w:szCs w:val="24"/>
        </w:rPr>
        <w:t>fisc</w:t>
      </w:r>
      <w:proofErr w:type="spellEnd"/>
      <w:r w:rsidR="008C4DCF">
        <w:rPr>
          <w:rFonts w:eastAsia="Times New Roman"/>
          <w:szCs w:val="24"/>
        </w:rPr>
        <w:t xml:space="preserve"> and defend the interest of the United States.</w:t>
      </w:r>
    </w:p>
    <w:p w:rsidR="007C11BF" w:rsidRDefault="007C11BF" w:rsidP="00DA1F20">
      <w:pPr>
        <w:pStyle w:val="xl19"/>
        <w:tabs>
          <w:tab w:val="left" w:pos="3420"/>
          <w:tab w:val="right" w:pos="8640"/>
        </w:tabs>
        <w:spacing w:before="0" w:after="0"/>
        <w:rPr>
          <w:rFonts w:eastAsia="Times New Roman"/>
          <w:szCs w:val="24"/>
        </w:rPr>
      </w:pPr>
    </w:p>
    <w:bookmarkEnd w:id="1"/>
    <w:p w:rsidR="00DA1F20" w:rsidRDefault="00DA1F20" w:rsidP="00DA1F20">
      <w:pPr>
        <w:pStyle w:val="xl19"/>
        <w:tabs>
          <w:tab w:val="left" w:pos="3420"/>
          <w:tab w:val="right" w:pos="8640"/>
        </w:tabs>
        <w:spacing w:before="0" w:after="0"/>
        <w:rPr>
          <w:szCs w:val="24"/>
        </w:rPr>
      </w:pPr>
      <w:r w:rsidRPr="00C04631">
        <w:rPr>
          <w:rFonts w:eastAsia="Times New Roman"/>
          <w:szCs w:val="24"/>
        </w:rPr>
        <w:t>Or</w:t>
      </w:r>
      <w:r w:rsidRPr="00C04631">
        <w:rPr>
          <w:szCs w:val="24"/>
        </w:rPr>
        <w:t>ganizational Program:</w:t>
      </w:r>
      <w:r w:rsidRPr="00C04631">
        <w:rPr>
          <w:szCs w:val="24"/>
        </w:rPr>
        <w:tab/>
        <w:t>Office of the Solicitor General</w:t>
      </w:r>
    </w:p>
    <w:p w:rsidR="00DA1F20" w:rsidRPr="00C04631" w:rsidRDefault="00DA1F20" w:rsidP="00DA1F20">
      <w:pPr>
        <w:pStyle w:val="xl19"/>
        <w:spacing w:before="0" w:after="0"/>
        <w:rPr>
          <w:rFonts w:eastAsia="Times New Roman"/>
          <w:szCs w:val="24"/>
        </w:rPr>
      </w:pPr>
    </w:p>
    <w:p w:rsidR="00DA1F20" w:rsidRPr="00C04631" w:rsidRDefault="00DA1F20" w:rsidP="00DA1F20">
      <w:pPr>
        <w:pStyle w:val="xl19"/>
        <w:tabs>
          <w:tab w:val="left" w:pos="2340"/>
          <w:tab w:val="right" w:pos="3060"/>
          <w:tab w:val="left" w:pos="3600"/>
          <w:tab w:val="right" w:pos="4500"/>
          <w:tab w:val="left" w:pos="5310"/>
          <w:tab w:val="right" w:pos="6300"/>
        </w:tabs>
        <w:spacing w:before="0" w:after="0"/>
        <w:rPr>
          <w:rFonts w:eastAsia="Times New Roman"/>
          <w:szCs w:val="24"/>
          <w:u w:val="single"/>
        </w:rPr>
      </w:pPr>
      <w:r w:rsidRPr="00C04631">
        <w:rPr>
          <w:rFonts w:eastAsia="Times New Roman"/>
          <w:szCs w:val="24"/>
        </w:rPr>
        <w:t xml:space="preserve">Program Increase:  Positions </w:t>
      </w:r>
      <w:r w:rsidRPr="00C04631">
        <w:rPr>
          <w:rFonts w:eastAsia="Times New Roman"/>
          <w:szCs w:val="24"/>
          <w:u w:val="single"/>
        </w:rPr>
        <w:t>_</w:t>
      </w:r>
      <w:r w:rsidR="008C4DCF">
        <w:rPr>
          <w:rFonts w:eastAsia="Times New Roman"/>
          <w:szCs w:val="24"/>
          <w:u w:val="single"/>
        </w:rPr>
        <w:t>0</w:t>
      </w:r>
      <w:r w:rsidRPr="00C04631">
        <w:rPr>
          <w:rFonts w:eastAsia="Times New Roman"/>
          <w:szCs w:val="24"/>
          <w:u w:val="single"/>
        </w:rPr>
        <w:t>_</w:t>
      </w:r>
      <w:r w:rsidR="00175B43">
        <w:rPr>
          <w:rFonts w:eastAsia="Times New Roman"/>
          <w:szCs w:val="24"/>
          <w:u w:val="single"/>
        </w:rPr>
        <w:t xml:space="preserve"> </w:t>
      </w:r>
      <w:r w:rsidRPr="00C04631">
        <w:rPr>
          <w:rFonts w:eastAsia="Times New Roman"/>
          <w:szCs w:val="24"/>
        </w:rPr>
        <w:t xml:space="preserve">  </w:t>
      </w:r>
      <w:proofErr w:type="spellStart"/>
      <w:r w:rsidRPr="00C04631">
        <w:rPr>
          <w:rFonts w:eastAsia="Times New Roman"/>
          <w:szCs w:val="24"/>
        </w:rPr>
        <w:t>Atty</w:t>
      </w:r>
      <w:proofErr w:type="spellEnd"/>
      <w:r w:rsidRPr="00C04631">
        <w:rPr>
          <w:rFonts w:eastAsia="Times New Roman"/>
          <w:szCs w:val="24"/>
        </w:rPr>
        <w:t xml:space="preserve"> </w:t>
      </w:r>
      <w:r w:rsidRPr="00C04631">
        <w:rPr>
          <w:rFonts w:eastAsia="Times New Roman"/>
          <w:szCs w:val="24"/>
          <w:u w:val="single"/>
        </w:rPr>
        <w:t>_</w:t>
      </w:r>
      <w:r w:rsidR="008C4DCF">
        <w:rPr>
          <w:rFonts w:eastAsia="Times New Roman"/>
          <w:szCs w:val="24"/>
          <w:u w:val="single"/>
        </w:rPr>
        <w:t>0</w:t>
      </w:r>
      <w:r w:rsidRPr="00C04631">
        <w:rPr>
          <w:rFonts w:eastAsia="Times New Roman"/>
          <w:szCs w:val="24"/>
          <w:u w:val="single"/>
        </w:rPr>
        <w:t>__</w:t>
      </w:r>
      <w:r w:rsidRPr="00C04631">
        <w:rPr>
          <w:rFonts w:eastAsia="Times New Roman"/>
          <w:szCs w:val="24"/>
        </w:rPr>
        <w:t xml:space="preserve"> FTE </w:t>
      </w:r>
      <w:r w:rsidRPr="00C04631">
        <w:rPr>
          <w:rFonts w:eastAsia="Times New Roman"/>
          <w:szCs w:val="24"/>
          <w:u w:val="single"/>
        </w:rPr>
        <w:t>_</w:t>
      </w:r>
      <w:r w:rsidR="008C4DCF">
        <w:rPr>
          <w:rFonts w:eastAsia="Times New Roman"/>
          <w:szCs w:val="24"/>
          <w:u w:val="single"/>
        </w:rPr>
        <w:t>0</w:t>
      </w:r>
      <w:r w:rsidRPr="00C04631">
        <w:rPr>
          <w:rFonts w:eastAsia="Times New Roman"/>
          <w:szCs w:val="24"/>
          <w:u w:val="single"/>
        </w:rPr>
        <w:t>__</w:t>
      </w:r>
      <w:r w:rsidRPr="00C04631">
        <w:rPr>
          <w:rFonts w:eastAsia="Times New Roman"/>
          <w:szCs w:val="24"/>
        </w:rPr>
        <w:t xml:space="preserve"> Dollar </w:t>
      </w:r>
      <w:r w:rsidRPr="00C04631">
        <w:rPr>
          <w:rFonts w:eastAsia="Times New Roman"/>
          <w:szCs w:val="24"/>
          <w:u w:val="single"/>
        </w:rPr>
        <w:t>__</w:t>
      </w:r>
      <w:r w:rsidR="00CA3CFE">
        <w:rPr>
          <w:rFonts w:eastAsia="Times New Roman"/>
          <w:szCs w:val="24"/>
          <w:u w:val="single"/>
        </w:rPr>
        <w:t>-</w:t>
      </w:r>
      <w:r w:rsidR="007C11BF">
        <w:rPr>
          <w:rFonts w:eastAsia="Times New Roman"/>
          <w:szCs w:val="24"/>
          <w:u w:val="single"/>
        </w:rPr>
        <w:t>$</w:t>
      </w:r>
      <w:r w:rsidR="001D2BCB">
        <w:rPr>
          <w:rFonts w:eastAsia="Times New Roman"/>
          <w:szCs w:val="24"/>
          <w:u w:val="single"/>
        </w:rPr>
        <w:t>231,000</w:t>
      </w:r>
      <w:r w:rsidRPr="00C04631">
        <w:rPr>
          <w:rFonts w:eastAsia="Times New Roman"/>
          <w:szCs w:val="24"/>
          <w:u w:val="single"/>
        </w:rPr>
        <w:t>____</w:t>
      </w:r>
    </w:p>
    <w:p w:rsidR="00DA1F20" w:rsidRPr="00C04631" w:rsidRDefault="00DA1F20" w:rsidP="00DA1F20">
      <w:pPr>
        <w:pStyle w:val="xl19"/>
        <w:tabs>
          <w:tab w:val="left" w:pos="2340"/>
          <w:tab w:val="right" w:pos="3060"/>
          <w:tab w:val="left" w:pos="3600"/>
          <w:tab w:val="right" w:pos="4500"/>
          <w:tab w:val="left" w:pos="5310"/>
          <w:tab w:val="right" w:pos="6300"/>
        </w:tabs>
        <w:spacing w:before="0" w:after="0"/>
        <w:rPr>
          <w:rFonts w:eastAsia="Times New Roman"/>
          <w:szCs w:val="24"/>
          <w:u w:val="single"/>
        </w:rPr>
      </w:pPr>
    </w:p>
    <w:p w:rsidR="00DA1F20" w:rsidRPr="00C04631" w:rsidRDefault="00DA1F20" w:rsidP="00DA1F20">
      <w:pPr>
        <w:pStyle w:val="xl24"/>
        <w:spacing w:before="0" w:after="0"/>
        <w:rPr>
          <w:rFonts w:eastAsia="Times New Roman"/>
          <w:szCs w:val="24"/>
        </w:rPr>
      </w:pPr>
      <w:r w:rsidRPr="00C04631">
        <w:rPr>
          <w:rFonts w:eastAsia="Times New Roman"/>
          <w:szCs w:val="24"/>
        </w:rPr>
        <w:t>Description of Item</w:t>
      </w:r>
    </w:p>
    <w:p w:rsidR="00DA1F20" w:rsidRPr="00C04631" w:rsidRDefault="00DA1F20" w:rsidP="00DA1F20">
      <w:pPr>
        <w:pStyle w:val="xl24"/>
        <w:spacing w:before="0" w:after="0"/>
        <w:rPr>
          <w:rFonts w:eastAsia="Times New Roman"/>
          <w:szCs w:val="24"/>
        </w:rPr>
      </w:pPr>
    </w:p>
    <w:p w:rsidR="00DA78DF" w:rsidRDefault="00DA78DF" w:rsidP="00DA78DF">
      <w:pPr>
        <w:pStyle w:val="BodyText2"/>
        <w:rPr>
          <w:sz w:val="24"/>
        </w:rPr>
      </w:pPr>
      <w:r>
        <w:rPr>
          <w:sz w:val="24"/>
        </w:rPr>
        <w:t>The offset will consolidate OSG and OLC’s administrative functions by merging both components’ executive offices into a single executive office.</w:t>
      </w:r>
    </w:p>
    <w:p w:rsidR="00DA1F20" w:rsidRPr="00C04631" w:rsidRDefault="00DA1F20" w:rsidP="00DA1F20"/>
    <w:p w:rsidR="00DA78DF" w:rsidRDefault="00DA78DF" w:rsidP="00DA78DF">
      <w:pPr>
        <w:pStyle w:val="BodyText2"/>
        <w:rPr>
          <w:sz w:val="24"/>
          <w:u w:val="single"/>
        </w:rPr>
      </w:pPr>
      <w:r w:rsidRPr="009D3B81">
        <w:rPr>
          <w:sz w:val="24"/>
          <w:u w:val="single"/>
        </w:rPr>
        <w:t>Summary Justification</w:t>
      </w:r>
    </w:p>
    <w:p w:rsidR="00DA78DF" w:rsidRPr="009D3B81" w:rsidRDefault="00DA78DF" w:rsidP="00DA78DF">
      <w:pPr>
        <w:pStyle w:val="BodyText2"/>
        <w:rPr>
          <w:sz w:val="24"/>
          <w:u w:val="single"/>
        </w:rPr>
      </w:pPr>
    </w:p>
    <w:p w:rsidR="00DA78DF" w:rsidRDefault="00DA78DF" w:rsidP="00DA78DF">
      <w:pPr>
        <w:pStyle w:val="ListParagraph"/>
        <w:ind w:left="0"/>
      </w:pPr>
      <w:r>
        <w:t xml:space="preserve">The Office of Legal Counsel (OLC) and OSG are similarly sized components of the General Legal Activities (GLA) appropriation.  Due to fiscal constraints, staffing challenges, and the need for constant reevaluation of processes to find the most efficient management of resources, JMD proposes the consolidation of several administrative functions in these two components.  The consolidation streamlines the administrative and executive office functions of OSG and OLC by merging the two offices, combining many of the overlapping functions </w:t>
      </w:r>
      <w:r w:rsidR="001021F0">
        <w:t>with the goal of</w:t>
      </w:r>
      <w:r w:rsidR="000C2BD1">
        <w:t xml:space="preserve"> </w:t>
      </w:r>
      <w:r>
        <w:t>eliminating redundant positions</w:t>
      </w:r>
      <w:r w:rsidR="001021F0">
        <w:t xml:space="preserve"> through attrition</w:t>
      </w:r>
      <w:r>
        <w:t xml:space="preserve">.  The executive offices of the two components </w:t>
      </w:r>
      <w:r w:rsidR="000C2BD1">
        <w:t xml:space="preserve">will </w:t>
      </w:r>
      <w:r>
        <w:t xml:space="preserve">fully merge </w:t>
      </w:r>
      <w:proofErr w:type="gramStart"/>
      <w:r>
        <w:t>under</w:t>
      </w:r>
      <w:proofErr w:type="gramEnd"/>
      <w:r>
        <w:t xml:space="preserve"> one executive officer.  The office </w:t>
      </w:r>
      <w:r w:rsidR="000C2BD1">
        <w:t xml:space="preserve">will </w:t>
      </w:r>
      <w:r>
        <w:t xml:space="preserve">answer to both the Assistant Attorney General (AAG) of OLC as well as the Solicitor General; a single executive officer </w:t>
      </w:r>
      <w:r w:rsidR="000C2BD1">
        <w:t xml:space="preserve">will </w:t>
      </w:r>
      <w:r>
        <w:t xml:space="preserve">oversee budgetary, financial and administrative duties for both components.  </w:t>
      </w:r>
    </w:p>
    <w:p w:rsidR="001D02CD" w:rsidRPr="00C04631" w:rsidRDefault="001D02CD" w:rsidP="00DA1F20"/>
    <w:p w:rsidR="00DA78DF" w:rsidRDefault="00DA78DF" w:rsidP="00DA78DF">
      <w:pPr>
        <w:pStyle w:val="ListParagraph"/>
        <w:ind w:left="0"/>
        <w:rPr>
          <w:u w:val="single"/>
        </w:rPr>
      </w:pPr>
      <w:r>
        <w:rPr>
          <w:u w:val="single"/>
        </w:rPr>
        <w:t>Impact on Performance (Relationship of Decrease to Strategic Goals and Priority Goals)</w:t>
      </w:r>
    </w:p>
    <w:p w:rsidR="00DA78DF" w:rsidRDefault="00DA78DF" w:rsidP="00DA78DF">
      <w:pPr>
        <w:pStyle w:val="ListParagraph"/>
        <w:ind w:left="0"/>
      </w:pPr>
    </w:p>
    <w:p w:rsidR="00DA78DF" w:rsidRPr="00126773" w:rsidRDefault="00DA78DF" w:rsidP="00DA78DF">
      <w:pPr>
        <w:pStyle w:val="xl19"/>
        <w:tabs>
          <w:tab w:val="left" w:pos="3420"/>
          <w:tab w:val="right" w:pos="8640"/>
        </w:tabs>
        <w:spacing w:before="0" w:after="0"/>
        <w:rPr>
          <w:bCs/>
        </w:rPr>
      </w:pPr>
      <w:r>
        <w:rPr>
          <w:bCs/>
        </w:rPr>
        <w:t xml:space="preserve">This reduction </w:t>
      </w:r>
      <w:r w:rsidR="0043790D">
        <w:rPr>
          <w:bCs/>
        </w:rPr>
        <w:t xml:space="preserve">in non-personnel resources </w:t>
      </w:r>
      <w:r>
        <w:rPr>
          <w:bCs/>
        </w:rPr>
        <w:t>will not affect OSG’s ability to accomplish its mission.  The consolidation of the executive office functions will allow both OLC and OSG to operate in a more streamlined and efficient manner.</w:t>
      </w:r>
    </w:p>
    <w:p w:rsidR="00C70F71" w:rsidRPr="00C04631" w:rsidRDefault="00C70F71" w:rsidP="00DA1F20">
      <w:pPr>
        <w:rPr>
          <w:u w:val="single"/>
        </w:rPr>
      </w:pPr>
    </w:p>
    <w:p w:rsidR="00DA78DF" w:rsidRDefault="00DA78DF">
      <w:pPr>
        <w:rPr>
          <w:rFonts w:eastAsia="Arial Unicode MS"/>
          <w:szCs w:val="20"/>
          <w:u w:val="single"/>
        </w:rPr>
      </w:pPr>
      <w:r>
        <w:br w:type="page"/>
      </w:r>
    </w:p>
    <w:p w:rsidR="001349CC" w:rsidRDefault="001349CC" w:rsidP="001349CC">
      <w:pPr>
        <w:pStyle w:val="xl24"/>
        <w:spacing w:before="0" w:after="0"/>
      </w:pPr>
      <w:r>
        <w:lastRenderedPageBreak/>
        <w:t>Base Funding</w:t>
      </w:r>
    </w:p>
    <w:p w:rsidR="001349CC" w:rsidRDefault="001349CC" w:rsidP="001349CC">
      <w:pPr>
        <w:pStyle w:val="xl24"/>
        <w:spacing w:before="0" w:after="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58"/>
        <w:gridCol w:w="590"/>
        <w:gridCol w:w="607"/>
        <w:gridCol w:w="672"/>
        <w:gridCol w:w="1535"/>
      </w:tblGrid>
      <w:tr w:rsidR="001349CC" w:rsidTr="003B381B">
        <w:tc>
          <w:tcPr>
            <w:tcW w:w="3168" w:type="dxa"/>
            <w:gridSpan w:val="4"/>
            <w:shd w:val="clear" w:color="auto" w:fill="E6E6E6"/>
          </w:tcPr>
          <w:p w:rsidR="001349CC" w:rsidRPr="000F321C" w:rsidRDefault="001349CC" w:rsidP="003B381B">
            <w:pPr>
              <w:pStyle w:val="Heading7"/>
              <w:rPr>
                <w:sz w:val="20"/>
              </w:rPr>
            </w:pPr>
            <w:r w:rsidRPr="000F321C">
              <w:rPr>
                <w:sz w:val="20"/>
              </w:rPr>
              <w:t xml:space="preserve"> FY 201</w:t>
            </w:r>
            <w:r w:rsidR="00DA78DF">
              <w:rPr>
                <w:sz w:val="20"/>
              </w:rPr>
              <w:t>1</w:t>
            </w:r>
            <w:r w:rsidRPr="000F321C">
              <w:rPr>
                <w:sz w:val="20"/>
              </w:rPr>
              <w:t xml:space="preserve"> Enacted (w/</w:t>
            </w:r>
            <w:proofErr w:type="spellStart"/>
            <w:r w:rsidRPr="000F321C">
              <w:rPr>
                <w:sz w:val="20"/>
              </w:rPr>
              <w:t>resc</w:t>
            </w:r>
            <w:proofErr w:type="spellEnd"/>
            <w:r w:rsidRPr="000F321C">
              <w:rPr>
                <w:sz w:val="20"/>
              </w:rPr>
              <w:t>./</w:t>
            </w:r>
            <w:proofErr w:type="spellStart"/>
            <w:r w:rsidRPr="000F321C">
              <w:rPr>
                <w:sz w:val="20"/>
              </w:rPr>
              <w:t>supps</w:t>
            </w:r>
            <w:proofErr w:type="spellEnd"/>
            <w:r w:rsidRPr="000F321C">
              <w:rPr>
                <w:sz w:val="20"/>
              </w:rPr>
              <w:t>)</w:t>
            </w:r>
          </w:p>
        </w:tc>
        <w:tc>
          <w:tcPr>
            <w:tcW w:w="3240" w:type="dxa"/>
            <w:gridSpan w:val="4"/>
            <w:shd w:val="clear" w:color="auto" w:fill="E6E6E6"/>
          </w:tcPr>
          <w:p w:rsidR="001349CC" w:rsidRPr="000F321C" w:rsidRDefault="001349CC" w:rsidP="00DA78DF">
            <w:pPr>
              <w:pStyle w:val="Heading7"/>
              <w:rPr>
                <w:sz w:val="20"/>
              </w:rPr>
            </w:pPr>
            <w:r w:rsidRPr="000F321C">
              <w:rPr>
                <w:sz w:val="20"/>
              </w:rPr>
              <w:t xml:space="preserve">FY </w:t>
            </w:r>
            <w:r w:rsidR="00DA78DF">
              <w:rPr>
                <w:sz w:val="20"/>
              </w:rPr>
              <w:t>2012 Current Rate</w:t>
            </w:r>
          </w:p>
        </w:tc>
        <w:tc>
          <w:tcPr>
            <w:tcW w:w="3404" w:type="dxa"/>
            <w:gridSpan w:val="4"/>
            <w:shd w:val="clear" w:color="auto" w:fill="E6E6E6"/>
          </w:tcPr>
          <w:p w:rsidR="001349CC" w:rsidRPr="000F321C" w:rsidRDefault="001349CC" w:rsidP="00DA78DF">
            <w:pPr>
              <w:pStyle w:val="Heading7"/>
              <w:rPr>
                <w:sz w:val="20"/>
              </w:rPr>
            </w:pPr>
            <w:r w:rsidRPr="000F321C">
              <w:rPr>
                <w:sz w:val="20"/>
              </w:rPr>
              <w:t xml:space="preserve">FY </w:t>
            </w:r>
            <w:r w:rsidR="00DA78DF">
              <w:rPr>
                <w:sz w:val="20"/>
              </w:rPr>
              <w:t>2013</w:t>
            </w:r>
            <w:r w:rsidR="00DA78DF" w:rsidRPr="000F321C">
              <w:rPr>
                <w:sz w:val="20"/>
              </w:rPr>
              <w:t xml:space="preserve"> </w:t>
            </w:r>
            <w:r w:rsidRPr="000F321C">
              <w:rPr>
                <w:sz w:val="20"/>
              </w:rPr>
              <w:t>Current Services</w:t>
            </w:r>
          </w:p>
        </w:tc>
      </w:tr>
      <w:tr w:rsidR="001349CC" w:rsidTr="003B381B">
        <w:tc>
          <w:tcPr>
            <w:tcW w:w="594" w:type="dxa"/>
          </w:tcPr>
          <w:p w:rsidR="001349CC" w:rsidRPr="000F321C" w:rsidRDefault="001349CC" w:rsidP="003B381B">
            <w:pPr>
              <w:pStyle w:val="xl24"/>
              <w:spacing w:before="0" w:after="0"/>
              <w:jc w:val="center"/>
              <w:rPr>
                <w:sz w:val="20"/>
                <w:u w:val="none"/>
              </w:rPr>
            </w:pPr>
            <w:r w:rsidRPr="000F321C">
              <w:rPr>
                <w:sz w:val="20"/>
                <w:u w:val="none"/>
              </w:rPr>
              <w:t>Pos</w:t>
            </w:r>
          </w:p>
        </w:tc>
        <w:tc>
          <w:tcPr>
            <w:tcW w:w="607" w:type="dxa"/>
          </w:tcPr>
          <w:p w:rsidR="001349CC" w:rsidRPr="000F321C" w:rsidRDefault="001349CC" w:rsidP="003B381B">
            <w:pPr>
              <w:pStyle w:val="xl24"/>
              <w:spacing w:before="0" w:after="0"/>
              <w:jc w:val="center"/>
              <w:rPr>
                <w:sz w:val="20"/>
                <w:u w:val="none"/>
              </w:rPr>
            </w:pPr>
            <w:proofErr w:type="spellStart"/>
            <w:r w:rsidRPr="000F321C">
              <w:rPr>
                <w:sz w:val="20"/>
                <w:u w:val="none"/>
              </w:rPr>
              <w:t>agt</w:t>
            </w:r>
            <w:proofErr w:type="spellEnd"/>
            <w:r w:rsidRPr="000F321C">
              <w:rPr>
                <w:sz w:val="20"/>
                <w:u w:val="none"/>
              </w:rPr>
              <w:t>/</w:t>
            </w:r>
          </w:p>
          <w:p w:rsidR="001349CC" w:rsidRPr="000F321C" w:rsidRDefault="001349CC" w:rsidP="003B381B">
            <w:pPr>
              <w:pStyle w:val="xl24"/>
              <w:spacing w:before="0" w:after="0"/>
              <w:jc w:val="center"/>
              <w:rPr>
                <w:sz w:val="20"/>
                <w:u w:val="none"/>
              </w:rPr>
            </w:pPr>
            <w:proofErr w:type="spellStart"/>
            <w:r w:rsidRPr="000F321C">
              <w:rPr>
                <w:sz w:val="20"/>
                <w:u w:val="none"/>
              </w:rPr>
              <w:t>atty</w:t>
            </w:r>
            <w:proofErr w:type="spellEnd"/>
          </w:p>
        </w:tc>
        <w:tc>
          <w:tcPr>
            <w:tcW w:w="572" w:type="dxa"/>
          </w:tcPr>
          <w:p w:rsidR="001349CC" w:rsidRPr="000F321C" w:rsidRDefault="001349CC" w:rsidP="003B381B">
            <w:pPr>
              <w:pStyle w:val="xl24"/>
              <w:spacing w:before="0" w:after="0"/>
              <w:jc w:val="center"/>
              <w:rPr>
                <w:sz w:val="20"/>
                <w:u w:val="none"/>
              </w:rPr>
            </w:pPr>
            <w:r w:rsidRPr="000F321C">
              <w:rPr>
                <w:sz w:val="20"/>
                <w:u w:val="none"/>
              </w:rPr>
              <w:t>FTE</w:t>
            </w:r>
          </w:p>
        </w:tc>
        <w:tc>
          <w:tcPr>
            <w:tcW w:w="1395" w:type="dxa"/>
          </w:tcPr>
          <w:p w:rsidR="001349CC" w:rsidRPr="000F321C" w:rsidRDefault="001349CC" w:rsidP="003B381B">
            <w:pPr>
              <w:pStyle w:val="xl24"/>
              <w:spacing w:before="0" w:after="0"/>
              <w:jc w:val="center"/>
              <w:rPr>
                <w:sz w:val="20"/>
                <w:u w:val="none"/>
              </w:rPr>
            </w:pPr>
            <w:r w:rsidRPr="000F321C">
              <w:rPr>
                <w:sz w:val="20"/>
                <w:u w:val="none"/>
              </w:rPr>
              <w:t>$(000)</w:t>
            </w:r>
          </w:p>
        </w:tc>
        <w:tc>
          <w:tcPr>
            <w:tcW w:w="603" w:type="dxa"/>
          </w:tcPr>
          <w:p w:rsidR="001349CC" w:rsidRPr="000F321C" w:rsidRDefault="001349CC" w:rsidP="003B381B">
            <w:pPr>
              <w:pStyle w:val="xl24"/>
              <w:spacing w:before="0" w:after="0"/>
              <w:jc w:val="center"/>
              <w:rPr>
                <w:sz w:val="20"/>
                <w:u w:val="none"/>
              </w:rPr>
            </w:pPr>
            <w:r w:rsidRPr="000F321C">
              <w:rPr>
                <w:sz w:val="20"/>
                <w:u w:val="none"/>
              </w:rPr>
              <w:t>Pos</w:t>
            </w:r>
          </w:p>
        </w:tc>
        <w:tc>
          <w:tcPr>
            <w:tcW w:w="607" w:type="dxa"/>
          </w:tcPr>
          <w:p w:rsidR="001349CC" w:rsidRPr="000F321C" w:rsidRDefault="001349CC" w:rsidP="003B381B">
            <w:pPr>
              <w:pStyle w:val="xl24"/>
              <w:spacing w:before="0" w:after="0"/>
              <w:jc w:val="center"/>
              <w:rPr>
                <w:sz w:val="20"/>
                <w:u w:val="none"/>
              </w:rPr>
            </w:pPr>
            <w:proofErr w:type="spellStart"/>
            <w:r w:rsidRPr="000F321C">
              <w:rPr>
                <w:sz w:val="20"/>
                <w:u w:val="none"/>
              </w:rPr>
              <w:t>agt</w:t>
            </w:r>
            <w:proofErr w:type="spellEnd"/>
            <w:r w:rsidRPr="000F321C">
              <w:rPr>
                <w:sz w:val="20"/>
                <w:u w:val="none"/>
              </w:rPr>
              <w:t>/</w:t>
            </w:r>
          </w:p>
          <w:p w:rsidR="001349CC" w:rsidRPr="000F321C" w:rsidRDefault="001349CC" w:rsidP="003B381B">
            <w:pPr>
              <w:pStyle w:val="xl24"/>
              <w:spacing w:before="0" w:after="0"/>
              <w:jc w:val="center"/>
              <w:rPr>
                <w:sz w:val="20"/>
                <w:u w:val="none"/>
              </w:rPr>
            </w:pPr>
            <w:proofErr w:type="spellStart"/>
            <w:r w:rsidRPr="000F321C">
              <w:rPr>
                <w:sz w:val="20"/>
                <w:u w:val="none"/>
              </w:rPr>
              <w:t>atty</w:t>
            </w:r>
            <w:proofErr w:type="spellEnd"/>
          </w:p>
        </w:tc>
        <w:tc>
          <w:tcPr>
            <w:tcW w:w="672" w:type="dxa"/>
          </w:tcPr>
          <w:p w:rsidR="001349CC" w:rsidRPr="000F321C" w:rsidRDefault="001349CC" w:rsidP="003B381B">
            <w:pPr>
              <w:pStyle w:val="xl24"/>
              <w:spacing w:before="0" w:after="0"/>
              <w:jc w:val="center"/>
              <w:rPr>
                <w:sz w:val="20"/>
                <w:u w:val="none"/>
              </w:rPr>
            </w:pPr>
            <w:r w:rsidRPr="000F321C">
              <w:rPr>
                <w:sz w:val="20"/>
                <w:u w:val="none"/>
              </w:rPr>
              <w:t>FTE</w:t>
            </w:r>
          </w:p>
        </w:tc>
        <w:tc>
          <w:tcPr>
            <w:tcW w:w="1358" w:type="dxa"/>
          </w:tcPr>
          <w:p w:rsidR="001349CC" w:rsidRPr="000F321C" w:rsidRDefault="001349CC" w:rsidP="003B381B">
            <w:pPr>
              <w:pStyle w:val="xl24"/>
              <w:spacing w:before="0" w:after="0"/>
              <w:jc w:val="center"/>
              <w:rPr>
                <w:sz w:val="20"/>
                <w:u w:val="none"/>
              </w:rPr>
            </w:pPr>
            <w:r w:rsidRPr="000F321C">
              <w:rPr>
                <w:sz w:val="20"/>
                <w:u w:val="none"/>
              </w:rPr>
              <w:t>$(000)</w:t>
            </w:r>
          </w:p>
        </w:tc>
        <w:tc>
          <w:tcPr>
            <w:tcW w:w="590" w:type="dxa"/>
          </w:tcPr>
          <w:p w:rsidR="001349CC" w:rsidRPr="000F321C" w:rsidRDefault="001349CC" w:rsidP="003B381B">
            <w:pPr>
              <w:pStyle w:val="xl24"/>
              <w:spacing w:before="0" w:after="0"/>
              <w:jc w:val="center"/>
              <w:rPr>
                <w:sz w:val="20"/>
                <w:u w:val="none"/>
              </w:rPr>
            </w:pPr>
            <w:r w:rsidRPr="000F321C">
              <w:rPr>
                <w:sz w:val="20"/>
                <w:u w:val="none"/>
              </w:rPr>
              <w:t>Pos</w:t>
            </w:r>
          </w:p>
        </w:tc>
        <w:tc>
          <w:tcPr>
            <w:tcW w:w="607" w:type="dxa"/>
          </w:tcPr>
          <w:p w:rsidR="001349CC" w:rsidRPr="000F321C" w:rsidRDefault="001349CC" w:rsidP="003B381B">
            <w:pPr>
              <w:pStyle w:val="xl24"/>
              <w:spacing w:before="0" w:after="0"/>
              <w:jc w:val="center"/>
              <w:rPr>
                <w:sz w:val="20"/>
                <w:u w:val="none"/>
              </w:rPr>
            </w:pPr>
            <w:proofErr w:type="spellStart"/>
            <w:r w:rsidRPr="000F321C">
              <w:rPr>
                <w:sz w:val="20"/>
                <w:u w:val="none"/>
              </w:rPr>
              <w:t>agt</w:t>
            </w:r>
            <w:proofErr w:type="spellEnd"/>
            <w:r w:rsidRPr="000F321C">
              <w:rPr>
                <w:sz w:val="20"/>
                <w:u w:val="none"/>
              </w:rPr>
              <w:t>/</w:t>
            </w:r>
          </w:p>
          <w:p w:rsidR="001349CC" w:rsidRPr="000F321C" w:rsidRDefault="001349CC" w:rsidP="003B381B">
            <w:pPr>
              <w:pStyle w:val="xl24"/>
              <w:spacing w:before="0" w:after="0"/>
              <w:jc w:val="center"/>
              <w:rPr>
                <w:sz w:val="20"/>
                <w:u w:val="none"/>
              </w:rPr>
            </w:pPr>
            <w:proofErr w:type="spellStart"/>
            <w:r w:rsidRPr="000F321C">
              <w:rPr>
                <w:sz w:val="20"/>
                <w:u w:val="none"/>
              </w:rPr>
              <w:t>atty</w:t>
            </w:r>
            <w:proofErr w:type="spellEnd"/>
          </w:p>
        </w:tc>
        <w:tc>
          <w:tcPr>
            <w:tcW w:w="672" w:type="dxa"/>
          </w:tcPr>
          <w:p w:rsidR="001349CC" w:rsidRPr="000F321C" w:rsidRDefault="001349CC" w:rsidP="003B381B">
            <w:pPr>
              <w:pStyle w:val="xl24"/>
              <w:spacing w:before="0" w:after="0"/>
              <w:jc w:val="center"/>
              <w:rPr>
                <w:sz w:val="20"/>
                <w:u w:val="none"/>
              </w:rPr>
            </w:pPr>
            <w:r w:rsidRPr="000F321C">
              <w:rPr>
                <w:sz w:val="20"/>
                <w:u w:val="none"/>
              </w:rPr>
              <w:t>FTE</w:t>
            </w:r>
          </w:p>
        </w:tc>
        <w:tc>
          <w:tcPr>
            <w:tcW w:w="1535" w:type="dxa"/>
          </w:tcPr>
          <w:p w:rsidR="001349CC" w:rsidRPr="000F321C" w:rsidRDefault="001349CC" w:rsidP="003B381B">
            <w:pPr>
              <w:pStyle w:val="xl24"/>
              <w:spacing w:before="0" w:after="0"/>
              <w:jc w:val="center"/>
              <w:rPr>
                <w:sz w:val="20"/>
                <w:u w:val="none"/>
              </w:rPr>
            </w:pPr>
            <w:r w:rsidRPr="000F321C">
              <w:rPr>
                <w:sz w:val="20"/>
                <w:u w:val="none"/>
              </w:rPr>
              <w:t>$(000)</w:t>
            </w:r>
          </w:p>
        </w:tc>
      </w:tr>
      <w:tr w:rsidR="001349CC" w:rsidTr="003B381B">
        <w:tc>
          <w:tcPr>
            <w:tcW w:w="594" w:type="dxa"/>
          </w:tcPr>
          <w:p w:rsidR="001349CC" w:rsidRPr="0043790D" w:rsidRDefault="0043790D" w:rsidP="0043790D">
            <w:pPr>
              <w:pStyle w:val="xl24"/>
              <w:spacing w:before="0" w:after="0"/>
              <w:jc w:val="center"/>
              <w:rPr>
                <w:sz w:val="20"/>
                <w:u w:val="none"/>
              </w:rPr>
            </w:pPr>
            <w:r w:rsidRPr="0043790D">
              <w:rPr>
                <w:sz w:val="20"/>
                <w:u w:val="none"/>
              </w:rPr>
              <w:t>6</w:t>
            </w:r>
          </w:p>
        </w:tc>
        <w:tc>
          <w:tcPr>
            <w:tcW w:w="607" w:type="dxa"/>
          </w:tcPr>
          <w:p w:rsidR="001349CC" w:rsidRPr="0043790D" w:rsidRDefault="006B44C3" w:rsidP="0043790D">
            <w:pPr>
              <w:pStyle w:val="xl24"/>
              <w:spacing w:before="0" w:after="0"/>
              <w:jc w:val="center"/>
              <w:rPr>
                <w:sz w:val="20"/>
                <w:u w:val="none"/>
              </w:rPr>
            </w:pPr>
            <w:r w:rsidRPr="0043790D">
              <w:rPr>
                <w:sz w:val="20"/>
                <w:u w:val="none"/>
              </w:rPr>
              <w:t>0</w:t>
            </w:r>
          </w:p>
        </w:tc>
        <w:tc>
          <w:tcPr>
            <w:tcW w:w="572" w:type="dxa"/>
          </w:tcPr>
          <w:p w:rsidR="001349CC" w:rsidRPr="0043790D" w:rsidRDefault="006B44C3" w:rsidP="0043790D">
            <w:pPr>
              <w:pStyle w:val="xl24"/>
              <w:spacing w:before="0" w:after="0"/>
              <w:jc w:val="center"/>
              <w:rPr>
                <w:sz w:val="20"/>
                <w:u w:val="none"/>
              </w:rPr>
            </w:pPr>
            <w:r w:rsidRPr="0043790D">
              <w:rPr>
                <w:sz w:val="20"/>
                <w:u w:val="none"/>
              </w:rPr>
              <w:t>6</w:t>
            </w:r>
          </w:p>
        </w:tc>
        <w:tc>
          <w:tcPr>
            <w:tcW w:w="1395" w:type="dxa"/>
          </w:tcPr>
          <w:p w:rsidR="001349CC" w:rsidRPr="0043790D" w:rsidRDefault="0043790D" w:rsidP="0043790D">
            <w:pPr>
              <w:pStyle w:val="xl24"/>
              <w:spacing w:before="0" w:after="0"/>
              <w:jc w:val="center"/>
              <w:rPr>
                <w:sz w:val="20"/>
                <w:u w:val="none"/>
              </w:rPr>
            </w:pPr>
            <w:r>
              <w:rPr>
                <w:sz w:val="20"/>
                <w:u w:val="none"/>
              </w:rPr>
              <w:t>579</w:t>
            </w:r>
          </w:p>
        </w:tc>
        <w:tc>
          <w:tcPr>
            <w:tcW w:w="603" w:type="dxa"/>
          </w:tcPr>
          <w:p w:rsidR="001349CC" w:rsidRPr="0043790D" w:rsidRDefault="0043790D" w:rsidP="0043790D">
            <w:pPr>
              <w:pStyle w:val="xl24"/>
              <w:spacing w:before="0" w:after="0"/>
              <w:jc w:val="center"/>
              <w:rPr>
                <w:sz w:val="20"/>
                <w:u w:val="none"/>
              </w:rPr>
            </w:pPr>
            <w:r>
              <w:rPr>
                <w:sz w:val="20"/>
                <w:u w:val="none"/>
              </w:rPr>
              <w:t>6</w:t>
            </w:r>
          </w:p>
        </w:tc>
        <w:tc>
          <w:tcPr>
            <w:tcW w:w="607" w:type="dxa"/>
          </w:tcPr>
          <w:p w:rsidR="001349CC" w:rsidRPr="0043790D" w:rsidRDefault="0043790D" w:rsidP="0043790D">
            <w:pPr>
              <w:pStyle w:val="xl24"/>
              <w:spacing w:before="0" w:after="0"/>
              <w:jc w:val="center"/>
              <w:rPr>
                <w:sz w:val="20"/>
                <w:u w:val="none"/>
              </w:rPr>
            </w:pPr>
            <w:r>
              <w:rPr>
                <w:sz w:val="20"/>
                <w:u w:val="none"/>
              </w:rPr>
              <w:t>0</w:t>
            </w:r>
          </w:p>
        </w:tc>
        <w:tc>
          <w:tcPr>
            <w:tcW w:w="672" w:type="dxa"/>
          </w:tcPr>
          <w:p w:rsidR="001349CC" w:rsidRPr="0043790D" w:rsidRDefault="0043790D" w:rsidP="0043790D">
            <w:pPr>
              <w:pStyle w:val="xl24"/>
              <w:spacing w:before="0" w:after="0"/>
              <w:jc w:val="center"/>
              <w:rPr>
                <w:sz w:val="20"/>
                <w:u w:val="none"/>
              </w:rPr>
            </w:pPr>
            <w:r>
              <w:rPr>
                <w:sz w:val="20"/>
                <w:u w:val="none"/>
              </w:rPr>
              <w:t>6</w:t>
            </w:r>
          </w:p>
        </w:tc>
        <w:tc>
          <w:tcPr>
            <w:tcW w:w="1358" w:type="dxa"/>
          </w:tcPr>
          <w:p w:rsidR="001349CC" w:rsidRPr="0043790D" w:rsidRDefault="0043790D" w:rsidP="0043790D">
            <w:pPr>
              <w:pStyle w:val="xl24"/>
              <w:spacing w:before="0" w:after="0"/>
              <w:jc w:val="center"/>
              <w:rPr>
                <w:sz w:val="20"/>
                <w:u w:val="none"/>
              </w:rPr>
            </w:pPr>
            <w:r>
              <w:rPr>
                <w:sz w:val="20"/>
                <w:u w:val="none"/>
              </w:rPr>
              <w:t>579</w:t>
            </w:r>
          </w:p>
        </w:tc>
        <w:tc>
          <w:tcPr>
            <w:tcW w:w="590" w:type="dxa"/>
          </w:tcPr>
          <w:p w:rsidR="001349CC" w:rsidRPr="0043790D" w:rsidRDefault="0043790D" w:rsidP="0043790D">
            <w:pPr>
              <w:pStyle w:val="xl24"/>
              <w:spacing w:before="0" w:after="0"/>
              <w:jc w:val="center"/>
              <w:rPr>
                <w:sz w:val="20"/>
                <w:u w:val="none"/>
              </w:rPr>
            </w:pPr>
            <w:r>
              <w:rPr>
                <w:sz w:val="20"/>
                <w:u w:val="none"/>
              </w:rPr>
              <w:t>6</w:t>
            </w:r>
          </w:p>
        </w:tc>
        <w:tc>
          <w:tcPr>
            <w:tcW w:w="607" w:type="dxa"/>
          </w:tcPr>
          <w:p w:rsidR="001349CC" w:rsidRPr="0043790D" w:rsidRDefault="0043790D" w:rsidP="0043790D">
            <w:pPr>
              <w:pStyle w:val="xl24"/>
              <w:spacing w:before="0" w:after="0"/>
              <w:jc w:val="center"/>
              <w:rPr>
                <w:sz w:val="20"/>
                <w:u w:val="none"/>
              </w:rPr>
            </w:pPr>
            <w:r>
              <w:rPr>
                <w:sz w:val="20"/>
                <w:u w:val="none"/>
              </w:rPr>
              <w:t>0</w:t>
            </w:r>
          </w:p>
        </w:tc>
        <w:tc>
          <w:tcPr>
            <w:tcW w:w="672" w:type="dxa"/>
          </w:tcPr>
          <w:p w:rsidR="001349CC" w:rsidRPr="0043790D" w:rsidRDefault="0043790D" w:rsidP="0043790D">
            <w:pPr>
              <w:pStyle w:val="xl24"/>
              <w:spacing w:before="0" w:after="0"/>
              <w:jc w:val="center"/>
              <w:rPr>
                <w:sz w:val="20"/>
                <w:u w:val="none"/>
              </w:rPr>
            </w:pPr>
            <w:r>
              <w:rPr>
                <w:sz w:val="20"/>
                <w:u w:val="none"/>
              </w:rPr>
              <w:t>6</w:t>
            </w:r>
          </w:p>
        </w:tc>
        <w:tc>
          <w:tcPr>
            <w:tcW w:w="1535" w:type="dxa"/>
          </w:tcPr>
          <w:p w:rsidR="001349CC" w:rsidRPr="0043790D" w:rsidRDefault="0043790D" w:rsidP="0043790D">
            <w:pPr>
              <w:pStyle w:val="xl24"/>
              <w:spacing w:before="0" w:after="0"/>
              <w:jc w:val="center"/>
              <w:rPr>
                <w:sz w:val="20"/>
                <w:u w:val="none"/>
              </w:rPr>
            </w:pPr>
            <w:r>
              <w:rPr>
                <w:sz w:val="20"/>
                <w:u w:val="none"/>
              </w:rPr>
              <w:t>579</w:t>
            </w:r>
          </w:p>
        </w:tc>
      </w:tr>
    </w:tbl>
    <w:p w:rsidR="001349CC" w:rsidRDefault="001349CC" w:rsidP="0043790D">
      <w:pPr>
        <w:pStyle w:val="xl24"/>
        <w:spacing w:before="0" w:after="0"/>
        <w:jc w:val="center"/>
      </w:pPr>
    </w:p>
    <w:p w:rsidR="001349CC" w:rsidRDefault="001349CC" w:rsidP="001349CC">
      <w:pPr>
        <w:pStyle w:val="BodyText"/>
        <w:rPr>
          <w:u w:val="single"/>
        </w:rPr>
      </w:pPr>
      <w:r>
        <w:rPr>
          <w:u w:val="single"/>
        </w:rPr>
        <w:t xml:space="preserve">Personnel </w:t>
      </w:r>
      <w:r w:rsidR="00DA78DF">
        <w:rPr>
          <w:u w:val="single"/>
        </w:rPr>
        <w:t xml:space="preserve">Reduction </w:t>
      </w:r>
      <w:r>
        <w:rPr>
          <w:u w:val="single"/>
        </w:rPr>
        <w:t>Cost Summary</w:t>
      </w:r>
    </w:p>
    <w:p w:rsidR="00DA78DF" w:rsidRDefault="00DA78DF" w:rsidP="001349CC">
      <w:pPr>
        <w:pStyle w:val="BodyText"/>
        <w:rPr>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1433"/>
        <w:gridCol w:w="1440"/>
        <w:gridCol w:w="1530"/>
        <w:gridCol w:w="1890"/>
        <w:gridCol w:w="1890"/>
      </w:tblGrid>
      <w:tr w:rsidR="00DA78DF" w:rsidTr="00DA78DF">
        <w:tc>
          <w:tcPr>
            <w:tcW w:w="1645" w:type="dxa"/>
            <w:shd w:val="clear" w:color="auto" w:fill="E6E6E6"/>
            <w:vAlign w:val="center"/>
          </w:tcPr>
          <w:p w:rsidR="00DA78DF" w:rsidRDefault="00DA78DF" w:rsidP="00DA78DF">
            <w:pPr>
              <w:jc w:val="center"/>
              <w:rPr>
                <w:sz w:val="20"/>
              </w:rPr>
            </w:pPr>
            <w:r>
              <w:rPr>
                <w:sz w:val="20"/>
              </w:rPr>
              <w:t>Type of Position</w:t>
            </w:r>
          </w:p>
        </w:tc>
        <w:tc>
          <w:tcPr>
            <w:tcW w:w="1433" w:type="dxa"/>
            <w:vAlign w:val="center"/>
          </w:tcPr>
          <w:p w:rsidR="00DA78DF" w:rsidRDefault="00DA78DF" w:rsidP="00DA78DF">
            <w:pPr>
              <w:jc w:val="center"/>
              <w:rPr>
                <w:sz w:val="20"/>
              </w:rPr>
            </w:pPr>
            <w:r>
              <w:rPr>
                <w:sz w:val="20"/>
              </w:rPr>
              <w:t>Modular Cost</w:t>
            </w:r>
          </w:p>
          <w:p w:rsidR="00DA78DF" w:rsidRDefault="00DA78DF" w:rsidP="00DA78DF">
            <w:pPr>
              <w:jc w:val="center"/>
              <w:rPr>
                <w:sz w:val="20"/>
              </w:rPr>
            </w:pPr>
            <w:r>
              <w:rPr>
                <w:sz w:val="20"/>
              </w:rPr>
              <w:t>per Position</w:t>
            </w:r>
          </w:p>
          <w:p w:rsidR="00DA78DF" w:rsidRDefault="00DA78DF" w:rsidP="00DA78DF">
            <w:pPr>
              <w:jc w:val="center"/>
              <w:rPr>
                <w:sz w:val="20"/>
              </w:rPr>
            </w:pPr>
            <w:r>
              <w:rPr>
                <w:sz w:val="20"/>
              </w:rPr>
              <w:t>($000)</w:t>
            </w:r>
          </w:p>
        </w:tc>
        <w:tc>
          <w:tcPr>
            <w:tcW w:w="1440" w:type="dxa"/>
            <w:vAlign w:val="center"/>
          </w:tcPr>
          <w:p w:rsidR="00DA78DF" w:rsidRDefault="00DA78DF" w:rsidP="00DA78DF">
            <w:pPr>
              <w:jc w:val="center"/>
              <w:rPr>
                <w:sz w:val="20"/>
              </w:rPr>
            </w:pPr>
            <w:r>
              <w:rPr>
                <w:sz w:val="20"/>
              </w:rPr>
              <w:t>Number of</w:t>
            </w:r>
          </w:p>
          <w:p w:rsidR="00DA78DF" w:rsidRDefault="00DA78DF" w:rsidP="00DA78DF">
            <w:pPr>
              <w:jc w:val="center"/>
              <w:rPr>
                <w:sz w:val="20"/>
              </w:rPr>
            </w:pPr>
            <w:r>
              <w:rPr>
                <w:sz w:val="20"/>
              </w:rPr>
              <w:t>Positions</w:t>
            </w:r>
          </w:p>
          <w:p w:rsidR="00DA78DF" w:rsidRDefault="00DA78DF" w:rsidP="00DA78DF">
            <w:pPr>
              <w:jc w:val="center"/>
              <w:rPr>
                <w:sz w:val="20"/>
              </w:rPr>
            </w:pPr>
            <w:r>
              <w:rPr>
                <w:sz w:val="20"/>
              </w:rPr>
              <w:t>Reduced</w:t>
            </w:r>
          </w:p>
        </w:tc>
        <w:tc>
          <w:tcPr>
            <w:tcW w:w="1530" w:type="dxa"/>
            <w:vAlign w:val="center"/>
          </w:tcPr>
          <w:p w:rsidR="00DA78DF" w:rsidRDefault="00DA78DF" w:rsidP="00DA78DF">
            <w:pPr>
              <w:jc w:val="center"/>
              <w:rPr>
                <w:sz w:val="20"/>
              </w:rPr>
            </w:pPr>
            <w:r>
              <w:rPr>
                <w:sz w:val="20"/>
              </w:rPr>
              <w:t>FY 2013</w:t>
            </w:r>
          </w:p>
          <w:p w:rsidR="00DA78DF" w:rsidRDefault="00DA78DF" w:rsidP="00DA78DF">
            <w:pPr>
              <w:jc w:val="center"/>
              <w:rPr>
                <w:sz w:val="20"/>
              </w:rPr>
            </w:pPr>
            <w:r>
              <w:rPr>
                <w:sz w:val="20"/>
              </w:rPr>
              <w:t>Request</w:t>
            </w:r>
          </w:p>
          <w:p w:rsidR="00DA78DF" w:rsidRDefault="00DA78DF" w:rsidP="00DA78DF">
            <w:pPr>
              <w:jc w:val="center"/>
              <w:rPr>
                <w:sz w:val="20"/>
              </w:rPr>
            </w:pPr>
            <w:r>
              <w:rPr>
                <w:sz w:val="20"/>
              </w:rPr>
              <w:t>($000)</w:t>
            </w:r>
          </w:p>
        </w:tc>
        <w:tc>
          <w:tcPr>
            <w:tcW w:w="1890" w:type="dxa"/>
            <w:vAlign w:val="center"/>
          </w:tcPr>
          <w:p w:rsidR="00DA78DF" w:rsidRDefault="00DA78DF" w:rsidP="00DA78DF">
            <w:pPr>
              <w:jc w:val="center"/>
              <w:rPr>
                <w:sz w:val="20"/>
              </w:rPr>
            </w:pPr>
            <w:r>
              <w:rPr>
                <w:sz w:val="20"/>
              </w:rPr>
              <w:t>FY 2014 Net</w:t>
            </w:r>
          </w:p>
          <w:p w:rsidR="00DA78DF" w:rsidRDefault="00DA78DF" w:rsidP="00DA78DF">
            <w:pPr>
              <w:jc w:val="center"/>
              <w:rPr>
                <w:sz w:val="20"/>
              </w:rPr>
            </w:pPr>
            <w:proofErr w:type="spellStart"/>
            <w:r>
              <w:rPr>
                <w:sz w:val="20"/>
              </w:rPr>
              <w:t>Annualization</w:t>
            </w:r>
            <w:proofErr w:type="spellEnd"/>
            <w:r>
              <w:rPr>
                <w:sz w:val="20"/>
              </w:rPr>
              <w:t xml:space="preserve"> (change from 2012)</w:t>
            </w:r>
          </w:p>
          <w:p w:rsidR="00DA78DF" w:rsidRDefault="00DA78DF" w:rsidP="00DA78DF">
            <w:pPr>
              <w:jc w:val="center"/>
              <w:rPr>
                <w:sz w:val="20"/>
              </w:rPr>
            </w:pPr>
            <w:r>
              <w:rPr>
                <w:sz w:val="20"/>
              </w:rPr>
              <w:t>($000)</w:t>
            </w:r>
          </w:p>
        </w:tc>
        <w:tc>
          <w:tcPr>
            <w:tcW w:w="1890" w:type="dxa"/>
          </w:tcPr>
          <w:p w:rsidR="00DA78DF" w:rsidRDefault="00DA78DF" w:rsidP="00DA78DF">
            <w:pPr>
              <w:jc w:val="center"/>
              <w:rPr>
                <w:sz w:val="20"/>
              </w:rPr>
            </w:pPr>
            <w:r>
              <w:rPr>
                <w:sz w:val="20"/>
              </w:rPr>
              <w:t>FY 2015 Net</w:t>
            </w:r>
          </w:p>
          <w:p w:rsidR="00DA78DF" w:rsidRDefault="00DA78DF" w:rsidP="00DA78DF">
            <w:pPr>
              <w:jc w:val="center"/>
              <w:rPr>
                <w:sz w:val="20"/>
              </w:rPr>
            </w:pPr>
            <w:proofErr w:type="spellStart"/>
            <w:r>
              <w:rPr>
                <w:sz w:val="20"/>
              </w:rPr>
              <w:t>Annualization</w:t>
            </w:r>
            <w:proofErr w:type="spellEnd"/>
            <w:r>
              <w:rPr>
                <w:sz w:val="20"/>
              </w:rPr>
              <w:t xml:space="preserve"> (change from 2013)</w:t>
            </w:r>
          </w:p>
          <w:p w:rsidR="00DA78DF" w:rsidRDefault="00DA78DF" w:rsidP="00DA78DF">
            <w:pPr>
              <w:jc w:val="center"/>
              <w:rPr>
                <w:sz w:val="20"/>
              </w:rPr>
            </w:pPr>
            <w:r>
              <w:rPr>
                <w:sz w:val="20"/>
              </w:rPr>
              <w:t>($000)</w:t>
            </w:r>
          </w:p>
        </w:tc>
      </w:tr>
      <w:tr w:rsidR="00DA78DF" w:rsidTr="00DA78DF">
        <w:tc>
          <w:tcPr>
            <w:tcW w:w="1645" w:type="dxa"/>
          </w:tcPr>
          <w:p w:rsidR="00DA78DF" w:rsidRDefault="00DA78DF" w:rsidP="00DA78DF">
            <w:pPr>
              <w:rPr>
                <w:sz w:val="20"/>
              </w:rPr>
            </w:pPr>
            <w:r>
              <w:rPr>
                <w:sz w:val="20"/>
              </w:rPr>
              <w:t>Admin</w:t>
            </w:r>
          </w:p>
        </w:tc>
        <w:tc>
          <w:tcPr>
            <w:tcW w:w="1433" w:type="dxa"/>
            <w:vAlign w:val="center"/>
          </w:tcPr>
          <w:p w:rsidR="00DA78DF" w:rsidRDefault="00DA78DF" w:rsidP="00DA78DF">
            <w:pPr>
              <w:jc w:val="right"/>
              <w:rPr>
                <w:sz w:val="20"/>
              </w:rPr>
            </w:pPr>
            <w:r>
              <w:rPr>
                <w:sz w:val="20"/>
              </w:rPr>
              <w:t>N/A</w:t>
            </w:r>
          </w:p>
        </w:tc>
        <w:tc>
          <w:tcPr>
            <w:tcW w:w="1440" w:type="dxa"/>
            <w:vAlign w:val="center"/>
          </w:tcPr>
          <w:p w:rsidR="00DA78DF" w:rsidRDefault="00DA78DF" w:rsidP="00DA78DF">
            <w:pPr>
              <w:jc w:val="right"/>
              <w:rPr>
                <w:sz w:val="20"/>
              </w:rPr>
            </w:pPr>
            <w:r>
              <w:rPr>
                <w:sz w:val="20"/>
              </w:rPr>
              <w:t>0</w:t>
            </w:r>
          </w:p>
        </w:tc>
        <w:tc>
          <w:tcPr>
            <w:tcW w:w="1530" w:type="dxa"/>
            <w:vAlign w:val="center"/>
          </w:tcPr>
          <w:p w:rsidR="00DA78DF" w:rsidRDefault="00DA78DF" w:rsidP="00DA78DF">
            <w:pPr>
              <w:jc w:val="right"/>
              <w:rPr>
                <w:sz w:val="20"/>
              </w:rPr>
            </w:pPr>
            <w:r>
              <w:rPr>
                <w:sz w:val="20"/>
              </w:rPr>
              <w:t>0</w:t>
            </w:r>
          </w:p>
        </w:tc>
        <w:tc>
          <w:tcPr>
            <w:tcW w:w="1890" w:type="dxa"/>
            <w:vAlign w:val="center"/>
          </w:tcPr>
          <w:p w:rsidR="00DA78DF" w:rsidRDefault="00DA78DF" w:rsidP="00DA78DF">
            <w:pPr>
              <w:jc w:val="right"/>
              <w:rPr>
                <w:sz w:val="20"/>
              </w:rPr>
            </w:pPr>
            <w:r>
              <w:rPr>
                <w:sz w:val="20"/>
              </w:rPr>
              <w:t>N/A</w:t>
            </w:r>
          </w:p>
        </w:tc>
        <w:tc>
          <w:tcPr>
            <w:tcW w:w="1890" w:type="dxa"/>
          </w:tcPr>
          <w:p w:rsidR="00DA78DF" w:rsidRDefault="00DA78DF" w:rsidP="00DA78DF">
            <w:pPr>
              <w:jc w:val="right"/>
              <w:rPr>
                <w:sz w:val="20"/>
              </w:rPr>
            </w:pPr>
            <w:r>
              <w:rPr>
                <w:sz w:val="20"/>
              </w:rPr>
              <w:t>N/A</w:t>
            </w:r>
          </w:p>
        </w:tc>
      </w:tr>
      <w:tr w:rsidR="00DA78DF" w:rsidTr="00DA78DF">
        <w:tc>
          <w:tcPr>
            <w:tcW w:w="1645" w:type="dxa"/>
          </w:tcPr>
          <w:p w:rsidR="00DA78DF" w:rsidRDefault="00DA78DF" w:rsidP="00DA78DF">
            <w:pPr>
              <w:rPr>
                <w:sz w:val="20"/>
              </w:rPr>
            </w:pPr>
            <w:r>
              <w:rPr>
                <w:sz w:val="20"/>
              </w:rPr>
              <w:t>Total Personnel</w:t>
            </w:r>
          </w:p>
        </w:tc>
        <w:tc>
          <w:tcPr>
            <w:tcW w:w="1433" w:type="dxa"/>
            <w:vAlign w:val="center"/>
          </w:tcPr>
          <w:p w:rsidR="00DA78DF" w:rsidRDefault="00DA78DF" w:rsidP="00DA78DF">
            <w:pPr>
              <w:jc w:val="right"/>
              <w:rPr>
                <w:sz w:val="20"/>
              </w:rPr>
            </w:pPr>
            <w:r>
              <w:rPr>
                <w:sz w:val="20"/>
              </w:rPr>
              <w:t>N/A</w:t>
            </w:r>
          </w:p>
        </w:tc>
        <w:tc>
          <w:tcPr>
            <w:tcW w:w="1440" w:type="dxa"/>
            <w:vAlign w:val="center"/>
          </w:tcPr>
          <w:p w:rsidR="00DA78DF" w:rsidRDefault="00DA78DF" w:rsidP="00DA78DF">
            <w:pPr>
              <w:jc w:val="right"/>
              <w:rPr>
                <w:sz w:val="20"/>
              </w:rPr>
            </w:pPr>
            <w:r>
              <w:rPr>
                <w:sz w:val="20"/>
              </w:rPr>
              <w:t>0</w:t>
            </w:r>
          </w:p>
        </w:tc>
        <w:tc>
          <w:tcPr>
            <w:tcW w:w="1530" w:type="dxa"/>
            <w:vAlign w:val="center"/>
          </w:tcPr>
          <w:p w:rsidR="00DA78DF" w:rsidRDefault="00DA78DF" w:rsidP="00DA78DF">
            <w:pPr>
              <w:jc w:val="right"/>
              <w:rPr>
                <w:sz w:val="20"/>
              </w:rPr>
            </w:pPr>
            <w:r>
              <w:rPr>
                <w:sz w:val="20"/>
              </w:rPr>
              <w:t>0</w:t>
            </w:r>
          </w:p>
        </w:tc>
        <w:tc>
          <w:tcPr>
            <w:tcW w:w="1890" w:type="dxa"/>
            <w:vAlign w:val="center"/>
          </w:tcPr>
          <w:p w:rsidR="00DA78DF" w:rsidRDefault="00DA78DF" w:rsidP="00DA78DF">
            <w:pPr>
              <w:jc w:val="right"/>
              <w:rPr>
                <w:sz w:val="20"/>
              </w:rPr>
            </w:pPr>
            <w:r>
              <w:rPr>
                <w:sz w:val="20"/>
              </w:rPr>
              <w:t>N/A</w:t>
            </w:r>
          </w:p>
        </w:tc>
        <w:tc>
          <w:tcPr>
            <w:tcW w:w="1890" w:type="dxa"/>
          </w:tcPr>
          <w:p w:rsidR="00DA78DF" w:rsidRDefault="00DA78DF" w:rsidP="00DA78DF">
            <w:pPr>
              <w:jc w:val="right"/>
              <w:rPr>
                <w:sz w:val="20"/>
              </w:rPr>
            </w:pPr>
            <w:r>
              <w:rPr>
                <w:sz w:val="20"/>
              </w:rPr>
              <w:t>N/A</w:t>
            </w:r>
          </w:p>
        </w:tc>
      </w:tr>
    </w:tbl>
    <w:p w:rsidR="00DA78DF" w:rsidRDefault="00DA78DF" w:rsidP="00DA78DF">
      <w:pPr>
        <w:rPr>
          <w:sz w:val="20"/>
        </w:rPr>
      </w:pPr>
    </w:p>
    <w:p w:rsidR="00DA78DF" w:rsidRDefault="00DA78DF" w:rsidP="00DA78DF">
      <w:pPr>
        <w:pStyle w:val="xl24"/>
        <w:spacing w:before="0" w:after="0"/>
        <w:rPr>
          <w:rFonts w:eastAsia="Times New Roman"/>
        </w:rPr>
      </w:pPr>
      <w:r>
        <w:rPr>
          <w:rFonts w:eastAsia="Times New Roman"/>
        </w:rPr>
        <w:t>Non-Personnel Reduction Cost Summary</w:t>
      </w:r>
    </w:p>
    <w:p w:rsidR="00DA78DF" w:rsidRDefault="00DA78DF" w:rsidP="00DA78DF">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4"/>
        <w:gridCol w:w="1344"/>
        <w:gridCol w:w="1530"/>
        <w:gridCol w:w="1530"/>
        <w:gridCol w:w="1890"/>
        <w:gridCol w:w="1890"/>
      </w:tblGrid>
      <w:tr w:rsidR="00DA78DF" w:rsidTr="00DA78DF">
        <w:tc>
          <w:tcPr>
            <w:tcW w:w="1644" w:type="dxa"/>
            <w:shd w:val="clear" w:color="auto" w:fill="E6E6E6"/>
            <w:vAlign w:val="center"/>
          </w:tcPr>
          <w:p w:rsidR="00DA78DF" w:rsidRDefault="00DA78DF" w:rsidP="00DA78DF">
            <w:pPr>
              <w:jc w:val="center"/>
              <w:rPr>
                <w:sz w:val="20"/>
              </w:rPr>
            </w:pPr>
            <w:r>
              <w:rPr>
                <w:sz w:val="20"/>
              </w:rPr>
              <w:t>Non-Personnel Item</w:t>
            </w:r>
          </w:p>
        </w:tc>
        <w:tc>
          <w:tcPr>
            <w:tcW w:w="1344" w:type="dxa"/>
            <w:vAlign w:val="center"/>
          </w:tcPr>
          <w:p w:rsidR="00DA78DF" w:rsidRDefault="00DA78DF" w:rsidP="00DA78DF">
            <w:pPr>
              <w:jc w:val="center"/>
              <w:rPr>
                <w:sz w:val="20"/>
              </w:rPr>
            </w:pPr>
            <w:r>
              <w:rPr>
                <w:sz w:val="20"/>
              </w:rPr>
              <w:t>Unit</w:t>
            </w:r>
          </w:p>
        </w:tc>
        <w:tc>
          <w:tcPr>
            <w:tcW w:w="1530" w:type="dxa"/>
            <w:vAlign w:val="center"/>
          </w:tcPr>
          <w:p w:rsidR="00DA78DF" w:rsidRDefault="00DA78DF" w:rsidP="00DA78DF">
            <w:pPr>
              <w:jc w:val="center"/>
              <w:rPr>
                <w:sz w:val="20"/>
              </w:rPr>
            </w:pPr>
            <w:r>
              <w:rPr>
                <w:sz w:val="20"/>
              </w:rPr>
              <w:t>Quantity</w:t>
            </w:r>
          </w:p>
        </w:tc>
        <w:tc>
          <w:tcPr>
            <w:tcW w:w="1530" w:type="dxa"/>
            <w:vAlign w:val="center"/>
          </w:tcPr>
          <w:p w:rsidR="00DA78DF" w:rsidRDefault="00DA78DF" w:rsidP="00DA78DF">
            <w:pPr>
              <w:jc w:val="center"/>
              <w:rPr>
                <w:sz w:val="20"/>
              </w:rPr>
            </w:pPr>
            <w:r>
              <w:rPr>
                <w:sz w:val="20"/>
              </w:rPr>
              <w:t>FY 2013</w:t>
            </w:r>
          </w:p>
          <w:p w:rsidR="00DA78DF" w:rsidRDefault="00DA78DF" w:rsidP="00DA78DF">
            <w:pPr>
              <w:jc w:val="center"/>
              <w:rPr>
                <w:sz w:val="20"/>
              </w:rPr>
            </w:pPr>
            <w:r>
              <w:rPr>
                <w:sz w:val="20"/>
              </w:rPr>
              <w:t>Request</w:t>
            </w:r>
          </w:p>
          <w:p w:rsidR="00DA78DF" w:rsidRDefault="00DA78DF" w:rsidP="00DA78DF">
            <w:pPr>
              <w:jc w:val="center"/>
              <w:rPr>
                <w:sz w:val="20"/>
              </w:rPr>
            </w:pPr>
            <w:r>
              <w:rPr>
                <w:sz w:val="20"/>
              </w:rPr>
              <w:t>($000)</w:t>
            </w:r>
          </w:p>
        </w:tc>
        <w:tc>
          <w:tcPr>
            <w:tcW w:w="1890" w:type="dxa"/>
            <w:vAlign w:val="center"/>
          </w:tcPr>
          <w:p w:rsidR="00DA78DF" w:rsidRDefault="00DA78DF" w:rsidP="00DA78DF">
            <w:pPr>
              <w:jc w:val="center"/>
              <w:rPr>
                <w:sz w:val="20"/>
              </w:rPr>
            </w:pPr>
            <w:r>
              <w:rPr>
                <w:sz w:val="20"/>
              </w:rPr>
              <w:t>FY 2014 Net</w:t>
            </w:r>
          </w:p>
          <w:p w:rsidR="00DA78DF" w:rsidRDefault="00DA78DF" w:rsidP="00DA78DF">
            <w:pPr>
              <w:jc w:val="center"/>
              <w:rPr>
                <w:sz w:val="20"/>
              </w:rPr>
            </w:pPr>
            <w:proofErr w:type="spellStart"/>
            <w:r>
              <w:rPr>
                <w:sz w:val="20"/>
              </w:rPr>
              <w:t>Annualization</w:t>
            </w:r>
            <w:proofErr w:type="spellEnd"/>
            <w:r>
              <w:rPr>
                <w:sz w:val="20"/>
              </w:rPr>
              <w:t xml:space="preserve"> (change from 2012)</w:t>
            </w:r>
          </w:p>
          <w:p w:rsidR="00DA78DF" w:rsidRDefault="00DA78DF" w:rsidP="00DA78DF">
            <w:pPr>
              <w:jc w:val="center"/>
              <w:rPr>
                <w:sz w:val="20"/>
              </w:rPr>
            </w:pPr>
            <w:r>
              <w:rPr>
                <w:sz w:val="20"/>
              </w:rPr>
              <w:t>($000)</w:t>
            </w:r>
          </w:p>
        </w:tc>
        <w:tc>
          <w:tcPr>
            <w:tcW w:w="1890" w:type="dxa"/>
          </w:tcPr>
          <w:p w:rsidR="00DA78DF" w:rsidRDefault="00DA78DF" w:rsidP="00DA78DF">
            <w:pPr>
              <w:jc w:val="center"/>
              <w:rPr>
                <w:sz w:val="20"/>
              </w:rPr>
            </w:pPr>
            <w:r>
              <w:rPr>
                <w:sz w:val="20"/>
              </w:rPr>
              <w:t>FY 2015 Net</w:t>
            </w:r>
          </w:p>
          <w:p w:rsidR="00DA78DF" w:rsidRDefault="00DA78DF" w:rsidP="00DA78DF">
            <w:pPr>
              <w:jc w:val="center"/>
              <w:rPr>
                <w:sz w:val="20"/>
              </w:rPr>
            </w:pPr>
            <w:proofErr w:type="spellStart"/>
            <w:r>
              <w:rPr>
                <w:sz w:val="20"/>
              </w:rPr>
              <w:t>Annualization</w:t>
            </w:r>
            <w:proofErr w:type="spellEnd"/>
            <w:r>
              <w:rPr>
                <w:sz w:val="20"/>
              </w:rPr>
              <w:t xml:space="preserve"> (change from 2013)</w:t>
            </w:r>
          </w:p>
          <w:p w:rsidR="00DA78DF" w:rsidRDefault="00DA78DF" w:rsidP="00DA78DF">
            <w:pPr>
              <w:jc w:val="center"/>
              <w:rPr>
                <w:sz w:val="20"/>
              </w:rPr>
            </w:pPr>
            <w:r>
              <w:rPr>
                <w:sz w:val="20"/>
              </w:rPr>
              <w:t>($000)</w:t>
            </w:r>
          </w:p>
        </w:tc>
      </w:tr>
      <w:tr w:rsidR="00DA78DF" w:rsidTr="00DA78DF">
        <w:tc>
          <w:tcPr>
            <w:tcW w:w="1644" w:type="dxa"/>
          </w:tcPr>
          <w:p w:rsidR="00DA78DF" w:rsidRDefault="00DA78DF" w:rsidP="00DA78DF">
            <w:pPr>
              <w:rPr>
                <w:sz w:val="20"/>
              </w:rPr>
            </w:pPr>
            <w:r>
              <w:rPr>
                <w:sz w:val="20"/>
              </w:rPr>
              <w:t>Total Non-Personnel</w:t>
            </w:r>
          </w:p>
        </w:tc>
        <w:tc>
          <w:tcPr>
            <w:tcW w:w="1344" w:type="dxa"/>
            <w:vAlign w:val="center"/>
          </w:tcPr>
          <w:p w:rsidR="00DA78DF" w:rsidRDefault="00DA78DF" w:rsidP="00DA78DF">
            <w:pPr>
              <w:pStyle w:val="xl19"/>
              <w:spacing w:before="0" w:after="0"/>
              <w:jc w:val="right"/>
              <w:rPr>
                <w:rFonts w:eastAsia="Times New Roman"/>
                <w:sz w:val="20"/>
                <w:szCs w:val="24"/>
              </w:rPr>
            </w:pPr>
            <w:r>
              <w:rPr>
                <w:sz w:val="20"/>
              </w:rPr>
              <w:t>N/A</w:t>
            </w:r>
          </w:p>
        </w:tc>
        <w:tc>
          <w:tcPr>
            <w:tcW w:w="1530" w:type="dxa"/>
            <w:vAlign w:val="center"/>
          </w:tcPr>
          <w:p w:rsidR="00DA78DF" w:rsidRDefault="00DA78DF" w:rsidP="00DA78DF">
            <w:pPr>
              <w:jc w:val="right"/>
              <w:rPr>
                <w:sz w:val="20"/>
              </w:rPr>
            </w:pPr>
            <w:r>
              <w:rPr>
                <w:sz w:val="20"/>
              </w:rPr>
              <w:t>N/A</w:t>
            </w:r>
          </w:p>
        </w:tc>
        <w:tc>
          <w:tcPr>
            <w:tcW w:w="1530" w:type="dxa"/>
            <w:vAlign w:val="center"/>
          </w:tcPr>
          <w:p w:rsidR="00DA78DF" w:rsidRDefault="00DA78DF" w:rsidP="00DA78DF">
            <w:pPr>
              <w:jc w:val="right"/>
              <w:rPr>
                <w:sz w:val="20"/>
              </w:rPr>
            </w:pPr>
            <w:r>
              <w:rPr>
                <w:sz w:val="20"/>
              </w:rPr>
              <w:t>-231</w:t>
            </w:r>
          </w:p>
        </w:tc>
        <w:tc>
          <w:tcPr>
            <w:tcW w:w="1890" w:type="dxa"/>
            <w:vAlign w:val="center"/>
          </w:tcPr>
          <w:p w:rsidR="00DA78DF" w:rsidRDefault="00DA78DF" w:rsidP="00DA78DF">
            <w:pPr>
              <w:jc w:val="right"/>
              <w:rPr>
                <w:sz w:val="20"/>
              </w:rPr>
            </w:pPr>
            <w:r>
              <w:rPr>
                <w:sz w:val="20"/>
              </w:rPr>
              <w:t>N/A</w:t>
            </w:r>
          </w:p>
        </w:tc>
        <w:tc>
          <w:tcPr>
            <w:tcW w:w="1890" w:type="dxa"/>
          </w:tcPr>
          <w:p w:rsidR="00DA78DF" w:rsidRDefault="00DA78DF" w:rsidP="00DA78DF">
            <w:pPr>
              <w:jc w:val="right"/>
              <w:rPr>
                <w:sz w:val="20"/>
              </w:rPr>
            </w:pPr>
            <w:r>
              <w:rPr>
                <w:sz w:val="20"/>
              </w:rPr>
              <w:t>N/A</w:t>
            </w:r>
          </w:p>
        </w:tc>
      </w:tr>
    </w:tbl>
    <w:p w:rsidR="00DA78DF" w:rsidRDefault="00DA78DF" w:rsidP="00DA78DF">
      <w:pPr>
        <w:rPr>
          <w:sz w:val="20"/>
        </w:rPr>
      </w:pPr>
    </w:p>
    <w:p w:rsidR="00DA78DF" w:rsidRDefault="00DA78DF" w:rsidP="00DA78DF">
      <w:pPr>
        <w:pStyle w:val="xl24"/>
        <w:spacing w:before="0" w:after="0"/>
        <w:rPr>
          <w:rFonts w:eastAsia="Times New Roman"/>
          <w:szCs w:val="24"/>
        </w:rPr>
      </w:pPr>
      <w:r>
        <w:rPr>
          <w:rFonts w:eastAsia="Times New Roman"/>
          <w:szCs w:val="24"/>
        </w:rPr>
        <w:t>Total Request for this Item</w:t>
      </w:r>
    </w:p>
    <w:p w:rsidR="00DA78DF" w:rsidRDefault="00DA78DF" w:rsidP="00DA78DF">
      <w:pPr>
        <w:pStyle w:val="xl24"/>
        <w:spacing w:before="0" w:after="0"/>
        <w:rPr>
          <w:rFonts w:eastAsia="Times New Roman"/>
          <w:szCs w:val="24"/>
        </w:rPr>
      </w:pPr>
    </w:p>
    <w:tbl>
      <w:tblPr>
        <w:tblW w:w="8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9"/>
        <w:gridCol w:w="654"/>
        <w:gridCol w:w="918"/>
        <w:gridCol w:w="646"/>
        <w:gridCol w:w="960"/>
        <w:gridCol w:w="1872"/>
        <w:gridCol w:w="1890"/>
      </w:tblGrid>
      <w:tr w:rsidR="001021F0" w:rsidTr="001021F0">
        <w:trPr>
          <w:trHeight w:val="658"/>
        </w:trPr>
        <w:tc>
          <w:tcPr>
            <w:tcW w:w="1119" w:type="dxa"/>
            <w:shd w:val="clear" w:color="auto" w:fill="E6E6E6"/>
          </w:tcPr>
          <w:p w:rsidR="001021F0" w:rsidRDefault="001021F0" w:rsidP="00DA78DF">
            <w:pPr>
              <w:rPr>
                <w:sz w:val="20"/>
              </w:rPr>
            </w:pPr>
          </w:p>
        </w:tc>
        <w:tc>
          <w:tcPr>
            <w:tcW w:w="654" w:type="dxa"/>
            <w:vAlign w:val="center"/>
          </w:tcPr>
          <w:p w:rsidR="001021F0" w:rsidRDefault="001021F0" w:rsidP="00DA78DF">
            <w:pPr>
              <w:jc w:val="center"/>
              <w:rPr>
                <w:sz w:val="20"/>
              </w:rPr>
            </w:pPr>
            <w:r>
              <w:rPr>
                <w:sz w:val="20"/>
              </w:rPr>
              <w:t>Pos</w:t>
            </w:r>
          </w:p>
        </w:tc>
        <w:tc>
          <w:tcPr>
            <w:tcW w:w="918" w:type="dxa"/>
            <w:vAlign w:val="center"/>
          </w:tcPr>
          <w:p w:rsidR="001021F0" w:rsidRDefault="001021F0" w:rsidP="00DA78DF">
            <w:pPr>
              <w:jc w:val="center"/>
              <w:rPr>
                <w:sz w:val="20"/>
              </w:rPr>
            </w:pPr>
          </w:p>
          <w:p w:rsidR="001021F0" w:rsidRDefault="001021F0" w:rsidP="00DA78DF">
            <w:pPr>
              <w:jc w:val="center"/>
              <w:rPr>
                <w:sz w:val="20"/>
              </w:rPr>
            </w:pPr>
            <w:proofErr w:type="spellStart"/>
            <w:r>
              <w:rPr>
                <w:sz w:val="20"/>
              </w:rPr>
              <w:t>Atty</w:t>
            </w:r>
            <w:proofErr w:type="spellEnd"/>
          </w:p>
          <w:p w:rsidR="001021F0" w:rsidRDefault="001021F0" w:rsidP="00DA78DF">
            <w:pPr>
              <w:jc w:val="center"/>
              <w:rPr>
                <w:sz w:val="20"/>
              </w:rPr>
            </w:pPr>
          </w:p>
        </w:tc>
        <w:tc>
          <w:tcPr>
            <w:tcW w:w="646" w:type="dxa"/>
            <w:vAlign w:val="center"/>
          </w:tcPr>
          <w:p w:rsidR="001021F0" w:rsidRDefault="001021F0" w:rsidP="00DA78DF">
            <w:pPr>
              <w:jc w:val="center"/>
              <w:rPr>
                <w:sz w:val="20"/>
              </w:rPr>
            </w:pPr>
            <w:r>
              <w:rPr>
                <w:sz w:val="20"/>
              </w:rPr>
              <w:t>FTE</w:t>
            </w:r>
          </w:p>
        </w:tc>
        <w:tc>
          <w:tcPr>
            <w:tcW w:w="960" w:type="dxa"/>
            <w:vAlign w:val="center"/>
          </w:tcPr>
          <w:p w:rsidR="001021F0" w:rsidRDefault="001021F0" w:rsidP="00DA78DF">
            <w:pPr>
              <w:jc w:val="center"/>
              <w:rPr>
                <w:sz w:val="20"/>
              </w:rPr>
            </w:pPr>
            <w:r>
              <w:rPr>
                <w:sz w:val="20"/>
              </w:rPr>
              <w:t>Total</w:t>
            </w:r>
          </w:p>
          <w:p w:rsidR="001021F0" w:rsidRDefault="001021F0" w:rsidP="00DA78DF">
            <w:pPr>
              <w:jc w:val="center"/>
              <w:rPr>
                <w:sz w:val="20"/>
              </w:rPr>
            </w:pPr>
            <w:r>
              <w:rPr>
                <w:sz w:val="20"/>
              </w:rPr>
              <w:t>($000)</w:t>
            </w:r>
          </w:p>
        </w:tc>
        <w:tc>
          <w:tcPr>
            <w:tcW w:w="1872" w:type="dxa"/>
            <w:vAlign w:val="center"/>
          </w:tcPr>
          <w:p w:rsidR="001021F0" w:rsidRDefault="001021F0" w:rsidP="00DA78DF">
            <w:pPr>
              <w:jc w:val="center"/>
              <w:rPr>
                <w:sz w:val="20"/>
              </w:rPr>
            </w:pPr>
            <w:r>
              <w:rPr>
                <w:sz w:val="20"/>
              </w:rPr>
              <w:t>FY 2014 Net</w:t>
            </w:r>
          </w:p>
          <w:p w:rsidR="001021F0" w:rsidRDefault="001021F0" w:rsidP="00DA78DF">
            <w:pPr>
              <w:jc w:val="center"/>
              <w:rPr>
                <w:sz w:val="20"/>
              </w:rPr>
            </w:pPr>
            <w:proofErr w:type="spellStart"/>
            <w:r>
              <w:rPr>
                <w:sz w:val="20"/>
              </w:rPr>
              <w:t>Annualization</w:t>
            </w:r>
            <w:proofErr w:type="spellEnd"/>
            <w:r>
              <w:rPr>
                <w:sz w:val="20"/>
              </w:rPr>
              <w:t xml:space="preserve"> (change from 2012)</w:t>
            </w:r>
          </w:p>
          <w:p w:rsidR="001021F0" w:rsidRDefault="001021F0" w:rsidP="00DA78DF">
            <w:pPr>
              <w:jc w:val="center"/>
              <w:rPr>
                <w:sz w:val="20"/>
              </w:rPr>
            </w:pPr>
            <w:r>
              <w:rPr>
                <w:sz w:val="20"/>
              </w:rPr>
              <w:t>($000)</w:t>
            </w:r>
          </w:p>
        </w:tc>
        <w:tc>
          <w:tcPr>
            <w:tcW w:w="1890" w:type="dxa"/>
          </w:tcPr>
          <w:p w:rsidR="001021F0" w:rsidRDefault="001021F0" w:rsidP="00DA78DF">
            <w:pPr>
              <w:jc w:val="center"/>
              <w:rPr>
                <w:sz w:val="20"/>
              </w:rPr>
            </w:pPr>
            <w:r>
              <w:rPr>
                <w:sz w:val="20"/>
              </w:rPr>
              <w:t>FY 2015 Net</w:t>
            </w:r>
          </w:p>
          <w:p w:rsidR="001021F0" w:rsidRDefault="001021F0" w:rsidP="00DA78DF">
            <w:pPr>
              <w:jc w:val="center"/>
              <w:rPr>
                <w:sz w:val="20"/>
              </w:rPr>
            </w:pPr>
            <w:proofErr w:type="spellStart"/>
            <w:r>
              <w:rPr>
                <w:sz w:val="20"/>
              </w:rPr>
              <w:t>Annualization</w:t>
            </w:r>
            <w:proofErr w:type="spellEnd"/>
            <w:r>
              <w:rPr>
                <w:sz w:val="20"/>
              </w:rPr>
              <w:t xml:space="preserve"> (change from 2013)</w:t>
            </w:r>
          </w:p>
          <w:p w:rsidR="001021F0" w:rsidRDefault="001021F0" w:rsidP="00DA78DF">
            <w:pPr>
              <w:jc w:val="center"/>
              <w:rPr>
                <w:sz w:val="20"/>
              </w:rPr>
            </w:pPr>
            <w:r>
              <w:rPr>
                <w:sz w:val="20"/>
              </w:rPr>
              <w:t>($000)</w:t>
            </w:r>
          </w:p>
        </w:tc>
      </w:tr>
      <w:tr w:rsidR="001021F0" w:rsidTr="001021F0">
        <w:trPr>
          <w:trHeight w:val="215"/>
        </w:trPr>
        <w:tc>
          <w:tcPr>
            <w:tcW w:w="1119" w:type="dxa"/>
          </w:tcPr>
          <w:p w:rsidR="001021F0" w:rsidRDefault="001021F0" w:rsidP="00DA78DF">
            <w:pPr>
              <w:rPr>
                <w:sz w:val="20"/>
              </w:rPr>
            </w:pPr>
            <w:r>
              <w:rPr>
                <w:sz w:val="20"/>
              </w:rPr>
              <w:t>Current Services</w:t>
            </w:r>
          </w:p>
        </w:tc>
        <w:tc>
          <w:tcPr>
            <w:tcW w:w="654" w:type="dxa"/>
          </w:tcPr>
          <w:p w:rsidR="001021F0" w:rsidRDefault="001021F0" w:rsidP="00DA78DF">
            <w:pPr>
              <w:jc w:val="right"/>
              <w:rPr>
                <w:sz w:val="20"/>
              </w:rPr>
            </w:pPr>
            <w:r>
              <w:rPr>
                <w:sz w:val="20"/>
              </w:rPr>
              <w:t>6</w:t>
            </w:r>
          </w:p>
        </w:tc>
        <w:tc>
          <w:tcPr>
            <w:tcW w:w="918" w:type="dxa"/>
          </w:tcPr>
          <w:p w:rsidR="001021F0" w:rsidRDefault="001021F0" w:rsidP="00DA78DF">
            <w:pPr>
              <w:jc w:val="right"/>
              <w:rPr>
                <w:sz w:val="20"/>
              </w:rPr>
            </w:pPr>
            <w:r w:rsidRPr="00886954">
              <w:rPr>
                <w:sz w:val="20"/>
              </w:rPr>
              <w:t>0</w:t>
            </w:r>
          </w:p>
        </w:tc>
        <w:tc>
          <w:tcPr>
            <w:tcW w:w="646" w:type="dxa"/>
          </w:tcPr>
          <w:p w:rsidR="001021F0" w:rsidRDefault="001021F0" w:rsidP="00DA78DF">
            <w:pPr>
              <w:jc w:val="right"/>
              <w:rPr>
                <w:sz w:val="20"/>
              </w:rPr>
            </w:pPr>
            <w:r>
              <w:rPr>
                <w:sz w:val="20"/>
              </w:rPr>
              <w:t>6</w:t>
            </w:r>
          </w:p>
        </w:tc>
        <w:tc>
          <w:tcPr>
            <w:tcW w:w="960" w:type="dxa"/>
          </w:tcPr>
          <w:p w:rsidR="001021F0" w:rsidRDefault="001021F0" w:rsidP="00DA78DF">
            <w:pPr>
              <w:jc w:val="right"/>
              <w:rPr>
                <w:sz w:val="20"/>
              </w:rPr>
            </w:pPr>
            <w:r>
              <w:rPr>
                <w:sz w:val="20"/>
              </w:rPr>
              <w:t>579</w:t>
            </w:r>
          </w:p>
        </w:tc>
        <w:tc>
          <w:tcPr>
            <w:tcW w:w="1872" w:type="dxa"/>
            <w:vAlign w:val="center"/>
          </w:tcPr>
          <w:p w:rsidR="001021F0" w:rsidRDefault="001021F0" w:rsidP="00DA78DF">
            <w:pPr>
              <w:jc w:val="right"/>
              <w:rPr>
                <w:sz w:val="20"/>
              </w:rPr>
            </w:pPr>
            <w:r>
              <w:rPr>
                <w:sz w:val="20"/>
              </w:rPr>
              <w:t>N/A</w:t>
            </w:r>
          </w:p>
        </w:tc>
        <w:tc>
          <w:tcPr>
            <w:tcW w:w="1890" w:type="dxa"/>
          </w:tcPr>
          <w:p w:rsidR="001021F0" w:rsidRDefault="001021F0" w:rsidP="00DA78DF">
            <w:pPr>
              <w:jc w:val="right"/>
              <w:rPr>
                <w:sz w:val="20"/>
              </w:rPr>
            </w:pPr>
            <w:r>
              <w:rPr>
                <w:sz w:val="20"/>
              </w:rPr>
              <w:t>N/A</w:t>
            </w:r>
          </w:p>
        </w:tc>
      </w:tr>
      <w:tr w:rsidR="001021F0" w:rsidTr="001021F0">
        <w:trPr>
          <w:trHeight w:val="215"/>
        </w:trPr>
        <w:tc>
          <w:tcPr>
            <w:tcW w:w="1119" w:type="dxa"/>
          </w:tcPr>
          <w:p w:rsidR="001021F0" w:rsidRDefault="001021F0" w:rsidP="00DA78DF">
            <w:pPr>
              <w:rPr>
                <w:sz w:val="20"/>
              </w:rPr>
            </w:pPr>
            <w:r>
              <w:rPr>
                <w:sz w:val="20"/>
              </w:rPr>
              <w:t>Decreases</w:t>
            </w:r>
          </w:p>
        </w:tc>
        <w:tc>
          <w:tcPr>
            <w:tcW w:w="654" w:type="dxa"/>
            <w:vAlign w:val="center"/>
          </w:tcPr>
          <w:p w:rsidR="001021F0" w:rsidRDefault="001021F0" w:rsidP="00DA78DF">
            <w:pPr>
              <w:jc w:val="right"/>
              <w:rPr>
                <w:sz w:val="20"/>
              </w:rPr>
            </w:pPr>
            <w:r>
              <w:rPr>
                <w:sz w:val="20"/>
              </w:rPr>
              <w:t>0</w:t>
            </w:r>
          </w:p>
        </w:tc>
        <w:tc>
          <w:tcPr>
            <w:tcW w:w="918" w:type="dxa"/>
          </w:tcPr>
          <w:p w:rsidR="001021F0" w:rsidRDefault="001021F0" w:rsidP="00DA78DF">
            <w:pPr>
              <w:jc w:val="right"/>
              <w:rPr>
                <w:sz w:val="20"/>
              </w:rPr>
            </w:pPr>
            <w:r>
              <w:rPr>
                <w:sz w:val="20"/>
              </w:rPr>
              <w:t>0</w:t>
            </w:r>
          </w:p>
        </w:tc>
        <w:tc>
          <w:tcPr>
            <w:tcW w:w="646" w:type="dxa"/>
            <w:vAlign w:val="center"/>
          </w:tcPr>
          <w:p w:rsidR="001021F0" w:rsidRDefault="001021F0" w:rsidP="00DA78DF">
            <w:pPr>
              <w:jc w:val="right"/>
              <w:rPr>
                <w:sz w:val="20"/>
              </w:rPr>
            </w:pPr>
            <w:r>
              <w:rPr>
                <w:sz w:val="20"/>
              </w:rPr>
              <w:t>0</w:t>
            </w:r>
          </w:p>
        </w:tc>
        <w:tc>
          <w:tcPr>
            <w:tcW w:w="960" w:type="dxa"/>
          </w:tcPr>
          <w:p w:rsidR="001021F0" w:rsidRDefault="001021F0" w:rsidP="00DA78DF">
            <w:pPr>
              <w:jc w:val="right"/>
              <w:rPr>
                <w:sz w:val="20"/>
              </w:rPr>
            </w:pPr>
            <w:r>
              <w:rPr>
                <w:sz w:val="20"/>
              </w:rPr>
              <w:t>-231</w:t>
            </w:r>
          </w:p>
        </w:tc>
        <w:tc>
          <w:tcPr>
            <w:tcW w:w="1872" w:type="dxa"/>
            <w:vAlign w:val="center"/>
          </w:tcPr>
          <w:p w:rsidR="001021F0" w:rsidRDefault="001021F0" w:rsidP="00DA78DF">
            <w:pPr>
              <w:jc w:val="right"/>
              <w:rPr>
                <w:sz w:val="20"/>
              </w:rPr>
            </w:pPr>
            <w:r>
              <w:rPr>
                <w:sz w:val="20"/>
              </w:rPr>
              <w:t>N/A</w:t>
            </w:r>
          </w:p>
        </w:tc>
        <w:tc>
          <w:tcPr>
            <w:tcW w:w="1890" w:type="dxa"/>
          </w:tcPr>
          <w:p w:rsidR="001021F0" w:rsidRDefault="001021F0" w:rsidP="00DA78DF">
            <w:pPr>
              <w:jc w:val="right"/>
              <w:rPr>
                <w:sz w:val="20"/>
              </w:rPr>
            </w:pPr>
            <w:r>
              <w:rPr>
                <w:sz w:val="20"/>
              </w:rPr>
              <w:t>N/A</w:t>
            </w:r>
          </w:p>
        </w:tc>
      </w:tr>
      <w:tr w:rsidR="001021F0" w:rsidTr="001021F0">
        <w:trPr>
          <w:trHeight w:val="215"/>
        </w:trPr>
        <w:tc>
          <w:tcPr>
            <w:tcW w:w="1119" w:type="dxa"/>
          </w:tcPr>
          <w:p w:rsidR="001021F0" w:rsidRDefault="001021F0" w:rsidP="00DA78DF">
            <w:pPr>
              <w:rPr>
                <w:sz w:val="20"/>
              </w:rPr>
            </w:pPr>
            <w:r>
              <w:rPr>
                <w:sz w:val="20"/>
              </w:rPr>
              <w:t>Grand Total</w:t>
            </w:r>
          </w:p>
        </w:tc>
        <w:tc>
          <w:tcPr>
            <w:tcW w:w="654" w:type="dxa"/>
            <w:vAlign w:val="center"/>
          </w:tcPr>
          <w:p w:rsidR="001021F0" w:rsidRDefault="001021F0" w:rsidP="00DA78DF">
            <w:pPr>
              <w:jc w:val="right"/>
              <w:rPr>
                <w:sz w:val="20"/>
              </w:rPr>
            </w:pPr>
            <w:r>
              <w:rPr>
                <w:sz w:val="20"/>
              </w:rPr>
              <w:t>6</w:t>
            </w:r>
          </w:p>
        </w:tc>
        <w:tc>
          <w:tcPr>
            <w:tcW w:w="918" w:type="dxa"/>
          </w:tcPr>
          <w:p w:rsidR="001021F0" w:rsidRDefault="001021F0" w:rsidP="00DA78DF">
            <w:pPr>
              <w:jc w:val="right"/>
              <w:rPr>
                <w:sz w:val="20"/>
              </w:rPr>
            </w:pPr>
            <w:r>
              <w:rPr>
                <w:sz w:val="20"/>
              </w:rPr>
              <w:t>0</w:t>
            </w:r>
          </w:p>
        </w:tc>
        <w:tc>
          <w:tcPr>
            <w:tcW w:w="646" w:type="dxa"/>
            <w:vAlign w:val="center"/>
          </w:tcPr>
          <w:p w:rsidR="001021F0" w:rsidRDefault="001021F0" w:rsidP="00DA78DF">
            <w:pPr>
              <w:jc w:val="right"/>
              <w:rPr>
                <w:sz w:val="20"/>
              </w:rPr>
            </w:pPr>
            <w:r>
              <w:rPr>
                <w:sz w:val="20"/>
              </w:rPr>
              <w:t>6</w:t>
            </w:r>
          </w:p>
        </w:tc>
        <w:tc>
          <w:tcPr>
            <w:tcW w:w="960" w:type="dxa"/>
          </w:tcPr>
          <w:p w:rsidR="001021F0" w:rsidRDefault="001021F0" w:rsidP="00DA78DF">
            <w:pPr>
              <w:jc w:val="right"/>
              <w:rPr>
                <w:sz w:val="20"/>
              </w:rPr>
            </w:pPr>
          </w:p>
          <w:p w:rsidR="001021F0" w:rsidRDefault="001021F0" w:rsidP="00DA78DF">
            <w:pPr>
              <w:jc w:val="right"/>
              <w:rPr>
                <w:sz w:val="20"/>
              </w:rPr>
            </w:pPr>
            <w:r>
              <w:rPr>
                <w:sz w:val="20"/>
              </w:rPr>
              <w:t>348</w:t>
            </w:r>
          </w:p>
        </w:tc>
        <w:tc>
          <w:tcPr>
            <w:tcW w:w="1872" w:type="dxa"/>
            <w:vAlign w:val="center"/>
          </w:tcPr>
          <w:p w:rsidR="001021F0" w:rsidRDefault="001021F0" w:rsidP="00DA78DF">
            <w:pPr>
              <w:jc w:val="right"/>
              <w:rPr>
                <w:sz w:val="20"/>
              </w:rPr>
            </w:pPr>
            <w:r>
              <w:rPr>
                <w:sz w:val="20"/>
              </w:rPr>
              <w:t>N/A</w:t>
            </w:r>
          </w:p>
        </w:tc>
        <w:tc>
          <w:tcPr>
            <w:tcW w:w="1890" w:type="dxa"/>
          </w:tcPr>
          <w:p w:rsidR="001021F0" w:rsidRDefault="001021F0" w:rsidP="00DA78DF">
            <w:pPr>
              <w:jc w:val="right"/>
              <w:rPr>
                <w:sz w:val="20"/>
              </w:rPr>
            </w:pPr>
            <w:r>
              <w:rPr>
                <w:sz w:val="20"/>
              </w:rPr>
              <w:t>N/A</w:t>
            </w:r>
          </w:p>
        </w:tc>
      </w:tr>
    </w:tbl>
    <w:p w:rsidR="00DA78DF" w:rsidRDefault="00DA78DF" w:rsidP="001349CC">
      <w:pPr>
        <w:pStyle w:val="BodyText"/>
      </w:pPr>
    </w:p>
    <w:p w:rsidR="008B511E" w:rsidRDefault="001349CC" w:rsidP="001349CC">
      <w:pPr>
        <w:pStyle w:val="xl24"/>
        <w:spacing w:before="0" w:after="0"/>
        <w:rPr>
          <w:szCs w:val="24"/>
        </w:rPr>
      </w:pPr>
      <w:r>
        <w:rPr>
          <w:szCs w:val="24"/>
        </w:rPr>
        <w:br/>
      </w:r>
    </w:p>
    <w:p w:rsidR="001349CC" w:rsidRDefault="0043790D" w:rsidP="0043790D">
      <w:pPr>
        <w:pStyle w:val="xl24"/>
        <w:spacing w:before="0" w:after="0"/>
        <w:rPr>
          <w:b/>
          <w:sz w:val="36"/>
        </w:rPr>
      </w:pPr>
      <w:r>
        <w:rPr>
          <w:b/>
          <w:sz w:val="36"/>
        </w:rPr>
        <w:t xml:space="preserve"> </w:t>
      </w:r>
    </w:p>
    <w:p w:rsidR="00797904" w:rsidRDefault="00DA78DF">
      <w:pPr>
        <w:pStyle w:val="Footer"/>
        <w:tabs>
          <w:tab w:val="clear" w:pos="8640"/>
          <w:tab w:val="left" w:leader="dot" w:pos="4320"/>
          <w:tab w:val="left" w:pos="7605"/>
        </w:tabs>
        <w:rPr>
          <w:rFonts w:ascii="Times New Roman" w:hAnsi="Times New Roman"/>
          <w:b/>
          <w:sz w:val="36"/>
        </w:rPr>
      </w:pPr>
      <w:r>
        <w:rPr>
          <w:rFonts w:ascii="Times New Roman" w:hAnsi="Times New Roman"/>
          <w:b/>
          <w:sz w:val="36"/>
        </w:rPr>
        <w:tab/>
      </w:r>
    </w:p>
    <w:p w:rsidR="008B511E" w:rsidRDefault="00527A6F" w:rsidP="00441D90">
      <w:pPr>
        <w:pStyle w:val="xl24"/>
        <w:spacing w:before="0" w:after="0"/>
      </w:pPr>
      <w:r>
        <w:rPr>
          <w:szCs w:val="24"/>
        </w:rPr>
        <w:br/>
      </w:r>
    </w:p>
    <w:p w:rsidR="00441D90" w:rsidRDefault="00441D90" w:rsidP="00441D90">
      <w:pPr>
        <w:pStyle w:val="xl24"/>
        <w:spacing w:before="0" w:after="0"/>
      </w:pPr>
    </w:p>
    <w:p w:rsidR="008B511E" w:rsidRDefault="008B511E" w:rsidP="009B2CC8"/>
    <w:p w:rsidR="008B511E" w:rsidRDefault="008B511E" w:rsidP="009B2CC8"/>
    <w:p w:rsidR="008B511E" w:rsidRDefault="008B511E" w:rsidP="009B2CC8"/>
    <w:p w:rsidR="008B511E" w:rsidRDefault="008B511E" w:rsidP="009B2CC8"/>
    <w:p w:rsidR="008B511E" w:rsidRDefault="008B511E" w:rsidP="009B2CC8"/>
    <w:p w:rsidR="008B511E" w:rsidRDefault="008B511E" w:rsidP="009B2CC8"/>
    <w:p w:rsidR="008B511E" w:rsidRDefault="008B511E" w:rsidP="009B2CC8"/>
    <w:p w:rsidR="00593431" w:rsidRDefault="00593431" w:rsidP="009B2CC8"/>
    <w:p w:rsidR="00443CDC" w:rsidRDefault="00443CDC" w:rsidP="009B2CC8"/>
    <w:p w:rsidR="00443CDC" w:rsidRDefault="00443CDC" w:rsidP="009B2CC8"/>
    <w:p w:rsidR="00443CDC" w:rsidRDefault="00443CDC" w:rsidP="009B2CC8"/>
    <w:p w:rsidR="00443CDC" w:rsidRDefault="00443CDC" w:rsidP="009B2CC8"/>
    <w:p w:rsidR="00593431" w:rsidRDefault="00593431" w:rsidP="009B2CC8"/>
    <w:p w:rsidR="00593431" w:rsidRDefault="00593431" w:rsidP="009B2CC8"/>
    <w:p w:rsidR="00593431" w:rsidRDefault="00593431" w:rsidP="009B2CC8"/>
    <w:p w:rsidR="00593431" w:rsidRDefault="00593431"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441D90" w:rsidRDefault="00441D90" w:rsidP="009B2CC8"/>
    <w:p w:rsidR="00593431" w:rsidRPr="00593431" w:rsidRDefault="00593431" w:rsidP="00593431">
      <w:pPr>
        <w:jc w:val="center"/>
        <w:rPr>
          <w:sz w:val="36"/>
          <w:szCs w:val="36"/>
        </w:rPr>
      </w:pPr>
      <w:r w:rsidRPr="00593431">
        <w:rPr>
          <w:sz w:val="36"/>
          <w:szCs w:val="36"/>
        </w:rPr>
        <w:t>VII. EXHIBITS</w:t>
      </w:r>
    </w:p>
    <w:sectPr w:rsidR="00593431" w:rsidRPr="00593431" w:rsidSect="009B2CC8">
      <w:headerReference w:type="even" r:id="rId24"/>
      <w:headerReference w:type="default" r:id="rId25"/>
      <w:headerReference w:type="first" r:id="rId26"/>
      <w:pgSz w:w="12240" w:h="15840" w:code="1"/>
      <w:pgMar w:top="1008" w:right="1440" w:bottom="1008" w:left="144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87F" w:rsidRDefault="0090387F">
      <w:r>
        <w:separator/>
      </w:r>
    </w:p>
  </w:endnote>
  <w:endnote w:type="continuationSeparator" w:id="0">
    <w:p w:rsidR="0090387F" w:rsidRDefault="009038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FGAP+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F16FD0" w:rsidP="004C1621">
    <w:pPr>
      <w:pStyle w:val="Footer"/>
      <w:framePr w:wrap="around" w:vAnchor="text" w:hAnchor="margin" w:xAlign="center" w:y="1"/>
      <w:rPr>
        <w:rStyle w:val="PageNumber"/>
      </w:rPr>
    </w:pPr>
    <w:r>
      <w:rPr>
        <w:rStyle w:val="PageNumber"/>
      </w:rPr>
      <w:fldChar w:fldCharType="begin"/>
    </w:r>
    <w:r w:rsidR="0090387F">
      <w:rPr>
        <w:rStyle w:val="PageNumber"/>
      </w:rPr>
      <w:instrText xml:space="preserve">PAGE  </w:instrText>
    </w:r>
    <w:r>
      <w:rPr>
        <w:rStyle w:val="PageNumber"/>
      </w:rPr>
      <w:fldChar w:fldCharType="end"/>
    </w:r>
  </w:p>
  <w:p w:rsidR="0090387F" w:rsidRDefault="00903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F16FD0" w:rsidP="004C1621">
    <w:pPr>
      <w:pStyle w:val="Footer"/>
      <w:framePr w:wrap="around" w:vAnchor="text" w:hAnchor="margin" w:xAlign="center" w:y="1"/>
      <w:rPr>
        <w:rStyle w:val="PageNumber"/>
      </w:rPr>
    </w:pPr>
    <w:r>
      <w:rPr>
        <w:rStyle w:val="PageNumber"/>
      </w:rPr>
      <w:fldChar w:fldCharType="begin"/>
    </w:r>
    <w:r w:rsidR="0090387F">
      <w:rPr>
        <w:rStyle w:val="PageNumber"/>
      </w:rPr>
      <w:instrText xml:space="preserve">PAGE  </w:instrText>
    </w:r>
    <w:r>
      <w:rPr>
        <w:rStyle w:val="PageNumber"/>
      </w:rPr>
      <w:fldChar w:fldCharType="separate"/>
    </w:r>
    <w:r w:rsidR="0090387F">
      <w:rPr>
        <w:rStyle w:val="PageNumber"/>
        <w:noProof/>
      </w:rPr>
      <w:t>ii</w:t>
    </w:r>
    <w:r>
      <w:rPr>
        <w:rStyle w:val="PageNumber"/>
      </w:rPr>
      <w:fldChar w:fldCharType="end"/>
    </w:r>
  </w:p>
  <w:p w:rsidR="0090387F" w:rsidRDefault="009038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rsidP="007F3954">
    <w:pPr>
      <w:pStyle w:val="Footer"/>
      <w:jc w:val="center"/>
    </w:pPr>
    <w:r>
      <w:tab/>
      <w:t xml:space="preserve">- </w:t>
    </w:r>
    <w:fldSimple w:instr=" PAGE ">
      <w:r w:rsidR="00EB319F">
        <w:rPr>
          <w:noProof/>
        </w:rPr>
        <w:t>2</w:t>
      </w:r>
    </w:fldSimple>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rsidP="007F3954">
    <w:pPr>
      <w:pStyle w:val="Footer"/>
      <w:jc w:val="center"/>
    </w:pPr>
    <w:r>
      <w:tab/>
      <w:t xml:space="preserve">- </w:t>
    </w:r>
    <w:fldSimple w:instr=" PAGE ">
      <w:r w:rsidR="00EB319F">
        <w:rPr>
          <w:noProof/>
        </w:rPr>
        <w:t>8</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87F" w:rsidRDefault="0090387F">
      <w:r>
        <w:separator/>
      </w:r>
    </w:p>
  </w:footnote>
  <w:footnote w:type="continuationSeparator" w:id="0">
    <w:p w:rsidR="0090387F" w:rsidRDefault="00903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rsidP="004C1621">
    <w:pPr>
      <w:pStyle w:val="Footer"/>
      <w:framePr w:wrap="around" w:vAnchor="text" w:hAnchor="margin" w:xAlign="center" w:y="1"/>
      <w:rPr>
        <w:rStyle w:val="PageNumber"/>
      </w:rPr>
    </w:pPr>
    <w:r>
      <w:t xml:space="preserve"> </w:t>
    </w:r>
    <w:r>
      <w:cr/>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7F" w:rsidRDefault="0090387F">
    <w:pPr>
      <w:pStyle w:val="Header"/>
    </w:pPr>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F468BDA"/>
    <w:lvl w:ilvl="0">
      <w:numFmt w:val="bullet"/>
      <w:lvlText w:val="*"/>
      <w:lvlJc w:val="left"/>
    </w:lvl>
  </w:abstractNum>
  <w:abstractNum w:abstractNumId="1">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F56BC6"/>
    <w:multiLevelType w:val="singleLevel"/>
    <w:tmpl w:val="04090001"/>
    <w:lvl w:ilvl="0">
      <w:start w:val="1"/>
      <w:numFmt w:val="bullet"/>
      <w:lvlText w:val=""/>
      <w:lvlJc w:val="left"/>
      <w:pPr>
        <w:ind w:left="720" w:hanging="360"/>
      </w:pPr>
      <w:rPr>
        <w:rFonts w:ascii="Symbol" w:hAnsi="Symbol" w:hint="default"/>
      </w:rPr>
    </w:lvl>
  </w:abstractNum>
  <w:abstractNum w:abstractNumId="3">
    <w:nsid w:val="019D03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8AA09B2"/>
    <w:multiLevelType w:val="hybridMultilevel"/>
    <w:tmpl w:val="3A763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8A1293"/>
    <w:multiLevelType w:val="hybridMultilevel"/>
    <w:tmpl w:val="8504772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F36800"/>
    <w:multiLevelType w:val="hybridMultilevel"/>
    <w:tmpl w:val="E1868A7A"/>
    <w:lvl w:ilvl="0" w:tplc="10CEFABA">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3A3026"/>
    <w:multiLevelType w:val="hybridMultilevel"/>
    <w:tmpl w:val="F0E898A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C16394D"/>
    <w:multiLevelType w:val="hybridMultilevel"/>
    <w:tmpl w:val="8222DF40"/>
    <w:lvl w:ilvl="0" w:tplc="866660D0">
      <w:start w:val="6"/>
      <w:numFmt w:val="upperLetter"/>
      <w:pStyle w:val="Heading4"/>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424BF3"/>
    <w:multiLevelType w:val="hybridMultilevel"/>
    <w:tmpl w:val="87BA8834"/>
    <w:lvl w:ilvl="0" w:tplc="908A9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0D0695"/>
    <w:multiLevelType w:val="hybridMultilevel"/>
    <w:tmpl w:val="76586EA0"/>
    <w:lvl w:ilvl="0" w:tplc="42867C8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42510D"/>
    <w:multiLevelType w:val="hybridMultilevel"/>
    <w:tmpl w:val="2CD4228E"/>
    <w:lvl w:ilvl="0" w:tplc="D9DEA95E">
      <w:numFmt w:val="bullet"/>
      <w:lvlText w:val=""/>
      <w:lvlJc w:val="left"/>
      <w:pPr>
        <w:tabs>
          <w:tab w:val="num" w:pos="1080"/>
        </w:tabs>
        <w:ind w:left="1080" w:hanging="720"/>
      </w:pPr>
      <w:rPr>
        <w:rFonts w:ascii="Symbol" w:eastAsia="Arial Unicode MS"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F544F3"/>
    <w:multiLevelType w:val="hybridMultilevel"/>
    <w:tmpl w:val="DAA0ECFC"/>
    <w:lvl w:ilvl="0" w:tplc="E2C67F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AAE7E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FAC1075"/>
    <w:multiLevelType w:val="hybridMultilevel"/>
    <w:tmpl w:val="A9B2B288"/>
    <w:lvl w:ilvl="0" w:tplc="04090003">
      <w:start w:val="1"/>
      <w:numFmt w:val="bullet"/>
      <w:lvlText w:val="o"/>
      <w:lvlJc w:val="left"/>
      <w:pPr>
        <w:tabs>
          <w:tab w:val="num" w:pos="1100"/>
        </w:tabs>
        <w:ind w:left="1100" w:hanging="360"/>
      </w:pPr>
      <w:rPr>
        <w:rFonts w:ascii="Courier New" w:hAnsi="Courier New" w:cs="Courier New" w:hint="default"/>
      </w:rPr>
    </w:lvl>
    <w:lvl w:ilvl="1" w:tplc="04090003" w:tentative="1">
      <w:start w:val="1"/>
      <w:numFmt w:val="bullet"/>
      <w:lvlText w:val="o"/>
      <w:lvlJc w:val="left"/>
      <w:pPr>
        <w:tabs>
          <w:tab w:val="num" w:pos="1820"/>
        </w:tabs>
        <w:ind w:left="1820" w:hanging="360"/>
      </w:pPr>
      <w:rPr>
        <w:rFonts w:ascii="Courier New" w:hAnsi="Courier New" w:cs="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cs="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cs="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17">
    <w:nsid w:val="6C693533"/>
    <w:multiLevelType w:val="hybridMultilevel"/>
    <w:tmpl w:val="5E346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201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F170587"/>
    <w:multiLevelType w:val="multilevel"/>
    <w:tmpl w:val="6EBC91B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A0A1B9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0"/>
  </w:num>
  <w:num w:numId="3">
    <w:abstractNumId w:val="14"/>
  </w:num>
  <w:num w:numId="4">
    <w:abstractNumId w:val="2"/>
  </w:num>
  <w:num w:numId="5">
    <w:abstractNumId w:val="18"/>
  </w:num>
  <w:num w:numId="6">
    <w:abstractNumId w:val="3"/>
  </w:num>
  <w:num w:numId="7">
    <w:abstractNumId w:val="19"/>
  </w:num>
  <w:num w:numId="8">
    <w:abstractNumId w:val="8"/>
  </w:num>
  <w:num w:numId="9">
    <w:abstractNumId w:val="13"/>
  </w:num>
  <w:num w:numId="10">
    <w:abstractNumId w:val="1"/>
  </w:num>
  <w:num w:numId="11">
    <w:abstractNumId w:val="6"/>
  </w:num>
  <w:num w:numId="12">
    <w:abstractNumId w:val="12"/>
  </w:num>
  <w:num w:numId="13">
    <w:abstractNumId w:val="5"/>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16"/>
  </w:num>
  <w:num w:numId="16">
    <w:abstractNumId w:val="7"/>
  </w:num>
  <w:num w:numId="17">
    <w:abstractNumId w:val="10"/>
  </w:num>
  <w:num w:numId="18">
    <w:abstractNumId w:val="11"/>
  </w:num>
  <w:num w:numId="19">
    <w:abstractNumId w:val="9"/>
  </w:num>
  <w:num w:numId="20">
    <w:abstractNumId w:val="1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8208"/>
  <w:noPunctuationKerning/>
  <w:characterSpacingControl w:val="doNotCompress"/>
  <w:hdrShapeDefaults>
    <o:shapedefaults v:ext="edit" spidmax="33793"/>
  </w:hdrShapeDefaults>
  <w:footnotePr>
    <w:footnote w:id="-1"/>
    <w:footnote w:id="0"/>
  </w:footnotePr>
  <w:endnotePr>
    <w:endnote w:id="-1"/>
    <w:endnote w:id="0"/>
  </w:endnotePr>
  <w:compat/>
  <w:rsids>
    <w:rsidRoot w:val="00187C44"/>
    <w:rsid w:val="00000493"/>
    <w:rsid w:val="00004E0C"/>
    <w:rsid w:val="00013B3B"/>
    <w:rsid w:val="000305D0"/>
    <w:rsid w:val="000311D4"/>
    <w:rsid w:val="00052057"/>
    <w:rsid w:val="00052719"/>
    <w:rsid w:val="00055089"/>
    <w:rsid w:val="00057928"/>
    <w:rsid w:val="00062429"/>
    <w:rsid w:val="00064329"/>
    <w:rsid w:val="00065881"/>
    <w:rsid w:val="00066558"/>
    <w:rsid w:val="00072A43"/>
    <w:rsid w:val="00083B82"/>
    <w:rsid w:val="00084039"/>
    <w:rsid w:val="000873FE"/>
    <w:rsid w:val="00090698"/>
    <w:rsid w:val="00091584"/>
    <w:rsid w:val="00095AD8"/>
    <w:rsid w:val="000A7F44"/>
    <w:rsid w:val="000B34F8"/>
    <w:rsid w:val="000B4130"/>
    <w:rsid w:val="000C125C"/>
    <w:rsid w:val="000C1654"/>
    <w:rsid w:val="000C2BD1"/>
    <w:rsid w:val="000C3ABD"/>
    <w:rsid w:val="000C58C6"/>
    <w:rsid w:val="000C5F80"/>
    <w:rsid w:val="000D35E0"/>
    <w:rsid w:val="000D4060"/>
    <w:rsid w:val="000D4A22"/>
    <w:rsid w:val="000D5B96"/>
    <w:rsid w:val="000F399F"/>
    <w:rsid w:val="001021F0"/>
    <w:rsid w:val="001029EA"/>
    <w:rsid w:val="001169AF"/>
    <w:rsid w:val="00125B8B"/>
    <w:rsid w:val="00131DFA"/>
    <w:rsid w:val="001349CC"/>
    <w:rsid w:val="00135179"/>
    <w:rsid w:val="001366B8"/>
    <w:rsid w:val="0014058A"/>
    <w:rsid w:val="0014603E"/>
    <w:rsid w:val="001476E0"/>
    <w:rsid w:val="00155D3A"/>
    <w:rsid w:val="00156805"/>
    <w:rsid w:val="00165E9B"/>
    <w:rsid w:val="00173121"/>
    <w:rsid w:val="00175B43"/>
    <w:rsid w:val="00180823"/>
    <w:rsid w:val="00182F1D"/>
    <w:rsid w:val="00187C44"/>
    <w:rsid w:val="001B158F"/>
    <w:rsid w:val="001B2367"/>
    <w:rsid w:val="001B2C9D"/>
    <w:rsid w:val="001B4EE6"/>
    <w:rsid w:val="001B77E5"/>
    <w:rsid w:val="001C1AEB"/>
    <w:rsid w:val="001C20E0"/>
    <w:rsid w:val="001C7BA3"/>
    <w:rsid w:val="001D02CD"/>
    <w:rsid w:val="001D2BCB"/>
    <w:rsid w:val="001D34F5"/>
    <w:rsid w:val="001D3E7A"/>
    <w:rsid w:val="001D5FC6"/>
    <w:rsid w:val="0020454A"/>
    <w:rsid w:val="0021778C"/>
    <w:rsid w:val="00220015"/>
    <w:rsid w:val="00220AF4"/>
    <w:rsid w:val="00222B8A"/>
    <w:rsid w:val="0023722B"/>
    <w:rsid w:val="00247084"/>
    <w:rsid w:val="00254305"/>
    <w:rsid w:val="00264D62"/>
    <w:rsid w:val="00271806"/>
    <w:rsid w:val="002862C0"/>
    <w:rsid w:val="00286C8A"/>
    <w:rsid w:val="00291B95"/>
    <w:rsid w:val="002951E2"/>
    <w:rsid w:val="002A0F35"/>
    <w:rsid w:val="002A11EB"/>
    <w:rsid w:val="002A1418"/>
    <w:rsid w:val="002A1D3B"/>
    <w:rsid w:val="002A38B5"/>
    <w:rsid w:val="002A528C"/>
    <w:rsid w:val="002A5A34"/>
    <w:rsid w:val="002A6F0A"/>
    <w:rsid w:val="002B0D51"/>
    <w:rsid w:val="002B3B6E"/>
    <w:rsid w:val="002C0055"/>
    <w:rsid w:val="002C00D3"/>
    <w:rsid w:val="002C5550"/>
    <w:rsid w:val="002D33F9"/>
    <w:rsid w:val="002D4156"/>
    <w:rsid w:val="002E1F25"/>
    <w:rsid w:val="002E3104"/>
    <w:rsid w:val="002E4B60"/>
    <w:rsid w:val="002F1003"/>
    <w:rsid w:val="002F31E0"/>
    <w:rsid w:val="00301D89"/>
    <w:rsid w:val="003115FF"/>
    <w:rsid w:val="003143A0"/>
    <w:rsid w:val="00314519"/>
    <w:rsid w:val="00317598"/>
    <w:rsid w:val="00321679"/>
    <w:rsid w:val="0032354C"/>
    <w:rsid w:val="00324821"/>
    <w:rsid w:val="003311EA"/>
    <w:rsid w:val="00341C55"/>
    <w:rsid w:val="003427CD"/>
    <w:rsid w:val="0034315B"/>
    <w:rsid w:val="00343923"/>
    <w:rsid w:val="0034747E"/>
    <w:rsid w:val="00351D86"/>
    <w:rsid w:val="00361FBB"/>
    <w:rsid w:val="00364B33"/>
    <w:rsid w:val="00367BF1"/>
    <w:rsid w:val="00373CCE"/>
    <w:rsid w:val="00380A43"/>
    <w:rsid w:val="00380B8E"/>
    <w:rsid w:val="003821B5"/>
    <w:rsid w:val="00384B5F"/>
    <w:rsid w:val="00384BD7"/>
    <w:rsid w:val="00384DF7"/>
    <w:rsid w:val="00393F39"/>
    <w:rsid w:val="003A078B"/>
    <w:rsid w:val="003B09E3"/>
    <w:rsid w:val="003B278B"/>
    <w:rsid w:val="003B381B"/>
    <w:rsid w:val="003C603B"/>
    <w:rsid w:val="003D2171"/>
    <w:rsid w:val="003E04E1"/>
    <w:rsid w:val="003E23AF"/>
    <w:rsid w:val="003E2ED8"/>
    <w:rsid w:val="003E43E0"/>
    <w:rsid w:val="003F36C0"/>
    <w:rsid w:val="003F36CE"/>
    <w:rsid w:val="00402CEB"/>
    <w:rsid w:val="004129CD"/>
    <w:rsid w:val="004149FC"/>
    <w:rsid w:val="00414EAA"/>
    <w:rsid w:val="00424598"/>
    <w:rsid w:val="0043790D"/>
    <w:rsid w:val="00441D90"/>
    <w:rsid w:val="00443CDC"/>
    <w:rsid w:val="00445F35"/>
    <w:rsid w:val="00450017"/>
    <w:rsid w:val="00450B48"/>
    <w:rsid w:val="004546A3"/>
    <w:rsid w:val="0046710A"/>
    <w:rsid w:val="0046759A"/>
    <w:rsid w:val="00473B29"/>
    <w:rsid w:val="00476403"/>
    <w:rsid w:val="004814BB"/>
    <w:rsid w:val="00490157"/>
    <w:rsid w:val="00491A6B"/>
    <w:rsid w:val="00493E9B"/>
    <w:rsid w:val="004A08DF"/>
    <w:rsid w:val="004A1E15"/>
    <w:rsid w:val="004A4040"/>
    <w:rsid w:val="004B3DD3"/>
    <w:rsid w:val="004B7380"/>
    <w:rsid w:val="004C1621"/>
    <w:rsid w:val="004C3857"/>
    <w:rsid w:val="004C7EFA"/>
    <w:rsid w:val="004D41AC"/>
    <w:rsid w:val="004E2071"/>
    <w:rsid w:val="004E7A43"/>
    <w:rsid w:val="004F24FE"/>
    <w:rsid w:val="004F4C18"/>
    <w:rsid w:val="004F5236"/>
    <w:rsid w:val="004F6230"/>
    <w:rsid w:val="00504AFB"/>
    <w:rsid w:val="00511074"/>
    <w:rsid w:val="005134A5"/>
    <w:rsid w:val="00521456"/>
    <w:rsid w:val="00527A6F"/>
    <w:rsid w:val="00532EAF"/>
    <w:rsid w:val="0054208F"/>
    <w:rsid w:val="0054439E"/>
    <w:rsid w:val="00545ABD"/>
    <w:rsid w:val="00550291"/>
    <w:rsid w:val="0056000F"/>
    <w:rsid w:val="0056407D"/>
    <w:rsid w:val="005644E2"/>
    <w:rsid w:val="0056690F"/>
    <w:rsid w:val="00566A6B"/>
    <w:rsid w:val="005713F8"/>
    <w:rsid w:val="005722E0"/>
    <w:rsid w:val="00585AC8"/>
    <w:rsid w:val="00592F2A"/>
    <w:rsid w:val="00593431"/>
    <w:rsid w:val="00593701"/>
    <w:rsid w:val="005960A5"/>
    <w:rsid w:val="00596B50"/>
    <w:rsid w:val="005C4F2E"/>
    <w:rsid w:val="005C5E15"/>
    <w:rsid w:val="005D2013"/>
    <w:rsid w:val="005E569E"/>
    <w:rsid w:val="005F18B5"/>
    <w:rsid w:val="005F328A"/>
    <w:rsid w:val="005F7891"/>
    <w:rsid w:val="006040AB"/>
    <w:rsid w:val="006047C2"/>
    <w:rsid w:val="00626DBD"/>
    <w:rsid w:val="0062789B"/>
    <w:rsid w:val="00627C7E"/>
    <w:rsid w:val="00631D57"/>
    <w:rsid w:val="00634189"/>
    <w:rsid w:val="00643363"/>
    <w:rsid w:val="0064618C"/>
    <w:rsid w:val="00654235"/>
    <w:rsid w:val="00655A81"/>
    <w:rsid w:val="0066528C"/>
    <w:rsid w:val="006844DF"/>
    <w:rsid w:val="00690EF4"/>
    <w:rsid w:val="006B22AB"/>
    <w:rsid w:val="006B44C3"/>
    <w:rsid w:val="006B628C"/>
    <w:rsid w:val="006C622A"/>
    <w:rsid w:val="006C6D08"/>
    <w:rsid w:val="006D72AC"/>
    <w:rsid w:val="006E4A84"/>
    <w:rsid w:val="006E5399"/>
    <w:rsid w:val="006F6D8D"/>
    <w:rsid w:val="00705420"/>
    <w:rsid w:val="00710046"/>
    <w:rsid w:val="00713C61"/>
    <w:rsid w:val="00732AD0"/>
    <w:rsid w:val="007350C8"/>
    <w:rsid w:val="00737ABC"/>
    <w:rsid w:val="007431AA"/>
    <w:rsid w:val="00746AC2"/>
    <w:rsid w:val="00761CF4"/>
    <w:rsid w:val="00764213"/>
    <w:rsid w:val="00765C51"/>
    <w:rsid w:val="007805B6"/>
    <w:rsid w:val="0078722D"/>
    <w:rsid w:val="007907CC"/>
    <w:rsid w:val="00791526"/>
    <w:rsid w:val="00793EFF"/>
    <w:rsid w:val="00797904"/>
    <w:rsid w:val="007A2730"/>
    <w:rsid w:val="007A77B2"/>
    <w:rsid w:val="007B10AF"/>
    <w:rsid w:val="007B250E"/>
    <w:rsid w:val="007B7678"/>
    <w:rsid w:val="007B7718"/>
    <w:rsid w:val="007C11BF"/>
    <w:rsid w:val="007D08BF"/>
    <w:rsid w:val="007D47B7"/>
    <w:rsid w:val="007D5D39"/>
    <w:rsid w:val="007E6138"/>
    <w:rsid w:val="007E7797"/>
    <w:rsid w:val="007E7BB2"/>
    <w:rsid w:val="007E7E7A"/>
    <w:rsid w:val="007F3954"/>
    <w:rsid w:val="007F7D91"/>
    <w:rsid w:val="0080076C"/>
    <w:rsid w:val="008036EA"/>
    <w:rsid w:val="00804090"/>
    <w:rsid w:val="00812AD8"/>
    <w:rsid w:val="00813026"/>
    <w:rsid w:val="00814318"/>
    <w:rsid w:val="00824968"/>
    <w:rsid w:val="0082552E"/>
    <w:rsid w:val="008255C7"/>
    <w:rsid w:val="00832C8B"/>
    <w:rsid w:val="0083322F"/>
    <w:rsid w:val="008366C5"/>
    <w:rsid w:val="0084090D"/>
    <w:rsid w:val="008442D1"/>
    <w:rsid w:val="00845B13"/>
    <w:rsid w:val="0085012A"/>
    <w:rsid w:val="008502C4"/>
    <w:rsid w:val="00851AE1"/>
    <w:rsid w:val="008530AC"/>
    <w:rsid w:val="00860CFE"/>
    <w:rsid w:val="0086793A"/>
    <w:rsid w:val="008754FE"/>
    <w:rsid w:val="0087622F"/>
    <w:rsid w:val="0089183A"/>
    <w:rsid w:val="008A18F4"/>
    <w:rsid w:val="008A1F02"/>
    <w:rsid w:val="008B2BD4"/>
    <w:rsid w:val="008B511E"/>
    <w:rsid w:val="008C09CA"/>
    <w:rsid w:val="008C4DCF"/>
    <w:rsid w:val="008C6840"/>
    <w:rsid w:val="008D5A35"/>
    <w:rsid w:val="008D7FB7"/>
    <w:rsid w:val="008E00A8"/>
    <w:rsid w:val="008E12A4"/>
    <w:rsid w:val="008E59C7"/>
    <w:rsid w:val="0090387F"/>
    <w:rsid w:val="00906E2D"/>
    <w:rsid w:val="0091521E"/>
    <w:rsid w:val="00915FD6"/>
    <w:rsid w:val="00921057"/>
    <w:rsid w:val="00921A5B"/>
    <w:rsid w:val="00930BAE"/>
    <w:rsid w:val="00933B76"/>
    <w:rsid w:val="00937614"/>
    <w:rsid w:val="009419CC"/>
    <w:rsid w:val="00942F84"/>
    <w:rsid w:val="00944A35"/>
    <w:rsid w:val="00945444"/>
    <w:rsid w:val="00947B53"/>
    <w:rsid w:val="00951933"/>
    <w:rsid w:val="009552E5"/>
    <w:rsid w:val="00956247"/>
    <w:rsid w:val="00963731"/>
    <w:rsid w:val="00967939"/>
    <w:rsid w:val="00972774"/>
    <w:rsid w:val="009763F7"/>
    <w:rsid w:val="009772D4"/>
    <w:rsid w:val="00982722"/>
    <w:rsid w:val="00984D8B"/>
    <w:rsid w:val="00987A95"/>
    <w:rsid w:val="00994067"/>
    <w:rsid w:val="0099413F"/>
    <w:rsid w:val="00997F3A"/>
    <w:rsid w:val="009A642B"/>
    <w:rsid w:val="009B2CC8"/>
    <w:rsid w:val="009B413E"/>
    <w:rsid w:val="009B70CF"/>
    <w:rsid w:val="009C086E"/>
    <w:rsid w:val="009C2802"/>
    <w:rsid w:val="009D0E61"/>
    <w:rsid w:val="009D22E7"/>
    <w:rsid w:val="009D3B81"/>
    <w:rsid w:val="009E0414"/>
    <w:rsid w:val="009F003A"/>
    <w:rsid w:val="009F04B7"/>
    <w:rsid w:val="009F7C39"/>
    <w:rsid w:val="00A01034"/>
    <w:rsid w:val="00A017F8"/>
    <w:rsid w:val="00A01CC8"/>
    <w:rsid w:val="00A13FB7"/>
    <w:rsid w:val="00A14575"/>
    <w:rsid w:val="00A16712"/>
    <w:rsid w:val="00A20DE9"/>
    <w:rsid w:val="00A2137B"/>
    <w:rsid w:val="00A2542B"/>
    <w:rsid w:val="00A25A7F"/>
    <w:rsid w:val="00A25AC7"/>
    <w:rsid w:val="00A27F39"/>
    <w:rsid w:val="00A46696"/>
    <w:rsid w:val="00A512CC"/>
    <w:rsid w:val="00A837E0"/>
    <w:rsid w:val="00A845AB"/>
    <w:rsid w:val="00A91010"/>
    <w:rsid w:val="00A91613"/>
    <w:rsid w:val="00A95906"/>
    <w:rsid w:val="00A960B5"/>
    <w:rsid w:val="00A96EAC"/>
    <w:rsid w:val="00AA011D"/>
    <w:rsid w:val="00AA4CF1"/>
    <w:rsid w:val="00AA7D1F"/>
    <w:rsid w:val="00AB3216"/>
    <w:rsid w:val="00AB696A"/>
    <w:rsid w:val="00AD5958"/>
    <w:rsid w:val="00AF00AA"/>
    <w:rsid w:val="00AF67A7"/>
    <w:rsid w:val="00AF7137"/>
    <w:rsid w:val="00B02F17"/>
    <w:rsid w:val="00B06EF3"/>
    <w:rsid w:val="00B110D2"/>
    <w:rsid w:val="00B12280"/>
    <w:rsid w:val="00B22E03"/>
    <w:rsid w:val="00B301CF"/>
    <w:rsid w:val="00B35041"/>
    <w:rsid w:val="00B40651"/>
    <w:rsid w:val="00B4276D"/>
    <w:rsid w:val="00B429BF"/>
    <w:rsid w:val="00B4612D"/>
    <w:rsid w:val="00B76639"/>
    <w:rsid w:val="00B81FF9"/>
    <w:rsid w:val="00B87E8B"/>
    <w:rsid w:val="00B929F9"/>
    <w:rsid w:val="00B94536"/>
    <w:rsid w:val="00BA1782"/>
    <w:rsid w:val="00BA4F26"/>
    <w:rsid w:val="00BB1551"/>
    <w:rsid w:val="00BB5CEB"/>
    <w:rsid w:val="00BC2448"/>
    <w:rsid w:val="00BD0458"/>
    <w:rsid w:val="00BD4281"/>
    <w:rsid w:val="00BF24DB"/>
    <w:rsid w:val="00BF7087"/>
    <w:rsid w:val="00C029C3"/>
    <w:rsid w:val="00C04631"/>
    <w:rsid w:val="00C07A51"/>
    <w:rsid w:val="00C12891"/>
    <w:rsid w:val="00C15520"/>
    <w:rsid w:val="00C1612C"/>
    <w:rsid w:val="00C201B8"/>
    <w:rsid w:val="00C272D2"/>
    <w:rsid w:val="00C4432D"/>
    <w:rsid w:val="00C5295B"/>
    <w:rsid w:val="00C6403B"/>
    <w:rsid w:val="00C676AC"/>
    <w:rsid w:val="00C70F71"/>
    <w:rsid w:val="00C82201"/>
    <w:rsid w:val="00C84475"/>
    <w:rsid w:val="00C909F5"/>
    <w:rsid w:val="00C953FC"/>
    <w:rsid w:val="00CA3CFE"/>
    <w:rsid w:val="00CB4BD8"/>
    <w:rsid w:val="00CC24C7"/>
    <w:rsid w:val="00CC3ACD"/>
    <w:rsid w:val="00CC478C"/>
    <w:rsid w:val="00CC5AD6"/>
    <w:rsid w:val="00CD5395"/>
    <w:rsid w:val="00CE5233"/>
    <w:rsid w:val="00CE56AF"/>
    <w:rsid w:val="00CF72B4"/>
    <w:rsid w:val="00D012B2"/>
    <w:rsid w:val="00D0130B"/>
    <w:rsid w:val="00D06064"/>
    <w:rsid w:val="00D23D54"/>
    <w:rsid w:val="00D32C0E"/>
    <w:rsid w:val="00D347D5"/>
    <w:rsid w:val="00D41EB1"/>
    <w:rsid w:val="00D42669"/>
    <w:rsid w:val="00D42FCE"/>
    <w:rsid w:val="00D43228"/>
    <w:rsid w:val="00D4450D"/>
    <w:rsid w:val="00D44902"/>
    <w:rsid w:val="00D56D2F"/>
    <w:rsid w:val="00D56DDC"/>
    <w:rsid w:val="00D63934"/>
    <w:rsid w:val="00D65325"/>
    <w:rsid w:val="00D67D60"/>
    <w:rsid w:val="00D756A1"/>
    <w:rsid w:val="00D829F2"/>
    <w:rsid w:val="00D831EF"/>
    <w:rsid w:val="00D9135C"/>
    <w:rsid w:val="00D95A11"/>
    <w:rsid w:val="00DA1F20"/>
    <w:rsid w:val="00DA4BA9"/>
    <w:rsid w:val="00DA70BC"/>
    <w:rsid w:val="00DA78DF"/>
    <w:rsid w:val="00DC3355"/>
    <w:rsid w:val="00DD53ED"/>
    <w:rsid w:val="00DD6736"/>
    <w:rsid w:val="00DE0E5D"/>
    <w:rsid w:val="00DE116E"/>
    <w:rsid w:val="00DE22D5"/>
    <w:rsid w:val="00DF54E9"/>
    <w:rsid w:val="00E00670"/>
    <w:rsid w:val="00E0582A"/>
    <w:rsid w:val="00E06FED"/>
    <w:rsid w:val="00E167B0"/>
    <w:rsid w:val="00E17939"/>
    <w:rsid w:val="00E20CB1"/>
    <w:rsid w:val="00E353FB"/>
    <w:rsid w:val="00E46C1A"/>
    <w:rsid w:val="00E63997"/>
    <w:rsid w:val="00E674C6"/>
    <w:rsid w:val="00E7006D"/>
    <w:rsid w:val="00E74948"/>
    <w:rsid w:val="00E80932"/>
    <w:rsid w:val="00E8115A"/>
    <w:rsid w:val="00E84EAD"/>
    <w:rsid w:val="00E933BC"/>
    <w:rsid w:val="00E97168"/>
    <w:rsid w:val="00EA11A0"/>
    <w:rsid w:val="00EA4C1E"/>
    <w:rsid w:val="00EA7F04"/>
    <w:rsid w:val="00EB010E"/>
    <w:rsid w:val="00EB1838"/>
    <w:rsid w:val="00EB2709"/>
    <w:rsid w:val="00EB2C3C"/>
    <w:rsid w:val="00EB319F"/>
    <w:rsid w:val="00EB4746"/>
    <w:rsid w:val="00EB5295"/>
    <w:rsid w:val="00EC36EA"/>
    <w:rsid w:val="00EC44FB"/>
    <w:rsid w:val="00EE6992"/>
    <w:rsid w:val="00EF0C9C"/>
    <w:rsid w:val="00F052ED"/>
    <w:rsid w:val="00F05949"/>
    <w:rsid w:val="00F16FD0"/>
    <w:rsid w:val="00F25B4C"/>
    <w:rsid w:val="00F358E0"/>
    <w:rsid w:val="00F36FCE"/>
    <w:rsid w:val="00F4372E"/>
    <w:rsid w:val="00F43F64"/>
    <w:rsid w:val="00F44DD0"/>
    <w:rsid w:val="00F50AB0"/>
    <w:rsid w:val="00F533C3"/>
    <w:rsid w:val="00F5686E"/>
    <w:rsid w:val="00F63A59"/>
    <w:rsid w:val="00F64E98"/>
    <w:rsid w:val="00F6740A"/>
    <w:rsid w:val="00F7662D"/>
    <w:rsid w:val="00F777A9"/>
    <w:rsid w:val="00F826E3"/>
    <w:rsid w:val="00F910DE"/>
    <w:rsid w:val="00FA5FBE"/>
    <w:rsid w:val="00FA654E"/>
    <w:rsid w:val="00FA7106"/>
    <w:rsid w:val="00FA73EA"/>
    <w:rsid w:val="00FA7746"/>
    <w:rsid w:val="00FB4C8E"/>
    <w:rsid w:val="00FB7F8C"/>
    <w:rsid w:val="00FC34B1"/>
    <w:rsid w:val="00FC4DD4"/>
    <w:rsid w:val="00FD0D83"/>
    <w:rsid w:val="00FD2802"/>
    <w:rsid w:val="00FD2A61"/>
    <w:rsid w:val="00FE12B1"/>
    <w:rsid w:val="00FE2FE9"/>
    <w:rsid w:val="00FF328D"/>
    <w:rsid w:val="00FF4BCC"/>
    <w:rsid w:val="00FF4C0E"/>
    <w:rsid w:val="00FF6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A43"/>
    <w:rPr>
      <w:sz w:val="24"/>
      <w:szCs w:val="24"/>
    </w:rPr>
  </w:style>
  <w:style w:type="paragraph" w:styleId="Heading1">
    <w:name w:val="heading 1"/>
    <w:basedOn w:val="Normal"/>
    <w:next w:val="Normal"/>
    <w:qFormat/>
    <w:rsid w:val="00380A43"/>
    <w:pPr>
      <w:keepNext/>
      <w:jc w:val="center"/>
      <w:outlineLvl w:val="0"/>
    </w:pPr>
    <w:rPr>
      <w:rFonts w:ascii="Courier" w:hAnsi="Courier"/>
      <w:b/>
      <w:szCs w:val="20"/>
    </w:rPr>
  </w:style>
  <w:style w:type="paragraph" w:styleId="Heading2">
    <w:name w:val="heading 2"/>
    <w:basedOn w:val="Normal"/>
    <w:next w:val="Normal"/>
    <w:qFormat/>
    <w:rsid w:val="00380A43"/>
    <w:pPr>
      <w:keepNext/>
      <w:jc w:val="right"/>
      <w:outlineLvl w:val="1"/>
    </w:pPr>
    <w:rPr>
      <w:rFonts w:ascii="Arial" w:hAnsi="Arial"/>
      <w:b/>
      <w:sz w:val="20"/>
      <w:szCs w:val="20"/>
      <w:u w:val="single"/>
    </w:rPr>
  </w:style>
  <w:style w:type="paragraph" w:styleId="Heading3">
    <w:name w:val="heading 3"/>
    <w:basedOn w:val="Normal"/>
    <w:next w:val="Normal"/>
    <w:qFormat/>
    <w:rsid w:val="00380A43"/>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380A43"/>
    <w:pPr>
      <w:keepNext/>
      <w:numPr>
        <w:numId w:val="8"/>
      </w:numPr>
      <w:outlineLvl w:val="3"/>
    </w:pPr>
    <w:rPr>
      <w:rFonts w:ascii="Courier New" w:hAnsi="Courier New"/>
      <w:b/>
      <w:szCs w:val="20"/>
    </w:rPr>
  </w:style>
  <w:style w:type="paragraph" w:styleId="Heading5">
    <w:name w:val="heading 5"/>
    <w:basedOn w:val="Normal"/>
    <w:next w:val="Normal"/>
    <w:qFormat/>
    <w:rsid w:val="00380A43"/>
    <w:pPr>
      <w:keepNext/>
      <w:outlineLvl w:val="4"/>
    </w:pPr>
    <w:rPr>
      <w:b/>
      <w:bCs/>
      <w:sz w:val="18"/>
    </w:rPr>
  </w:style>
  <w:style w:type="paragraph" w:styleId="Heading6">
    <w:name w:val="heading 6"/>
    <w:basedOn w:val="Normal"/>
    <w:next w:val="Normal"/>
    <w:qFormat/>
    <w:rsid w:val="00380A43"/>
    <w:pPr>
      <w:keepNext/>
      <w:numPr>
        <w:numId w:val="1"/>
      </w:numPr>
      <w:outlineLvl w:val="5"/>
    </w:pPr>
    <w:rPr>
      <w:b/>
      <w:szCs w:val="20"/>
    </w:rPr>
  </w:style>
  <w:style w:type="paragraph" w:styleId="Heading7">
    <w:name w:val="heading 7"/>
    <w:basedOn w:val="Normal"/>
    <w:next w:val="Normal"/>
    <w:qFormat/>
    <w:rsid w:val="00380A43"/>
    <w:pPr>
      <w:keepNext/>
      <w:jc w:val="center"/>
      <w:outlineLvl w:val="6"/>
    </w:pPr>
    <w:rPr>
      <w:szCs w:val="20"/>
    </w:rPr>
  </w:style>
  <w:style w:type="paragraph" w:styleId="Heading8">
    <w:name w:val="heading 8"/>
    <w:basedOn w:val="Normal"/>
    <w:next w:val="Normal"/>
    <w:qFormat/>
    <w:rsid w:val="00380A43"/>
    <w:pPr>
      <w:keepNext/>
      <w:tabs>
        <w:tab w:val="right" w:pos="8928"/>
      </w:tabs>
      <w:jc w:val="center"/>
      <w:outlineLvl w:val="7"/>
    </w:pPr>
    <w:rPr>
      <w:rFonts w:ascii="Arial" w:hAnsi="Arial" w:cs="Arial"/>
      <w:b/>
      <w:sz w:val="48"/>
    </w:rPr>
  </w:style>
  <w:style w:type="paragraph" w:styleId="Heading9">
    <w:name w:val="heading 9"/>
    <w:basedOn w:val="Normal"/>
    <w:next w:val="Normal"/>
    <w:qFormat/>
    <w:rsid w:val="00380A43"/>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380A43"/>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380A43"/>
    <w:pPr>
      <w:spacing w:before="100" w:after="100"/>
    </w:pPr>
    <w:rPr>
      <w:rFonts w:eastAsia="Arial Unicode MS"/>
      <w:szCs w:val="20"/>
    </w:rPr>
  </w:style>
  <w:style w:type="paragraph" w:customStyle="1" w:styleId="APP-3A">
    <w:name w:val="APP-3A"/>
    <w:rsid w:val="00380A43"/>
    <w:rPr>
      <w:rFonts w:ascii="Arial" w:hAnsi="Arial"/>
      <w:b/>
    </w:rPr>
  </w:style>
  <w:style w:type="paragraph" w:customStyle="1" w:styleId="xl33">
    <w:name w:val="xl33"/>
    <w:basedOn w:val="Normal"/>
    <w:rsid w:val="00380A43"/>
    <w:pPr>
      <w:spacing w:before="100" w:after="100"/>
      <w:jc w:val="center"/>
    </w:pPr>
    <w:rPr>
      <w:rFonts w:ascii="Arial" w:eastAsia="Arial Unicode MS" w:hAnsi="Arial"/>
      <w:b/>
      <w:szCs w:val="20"/>
    </w:rPr>
  </w:style>
  <w:style w:type="paragraph" w:styleId="BodyText">
    <w:name w:val="Body Text"/>
    <w:aliases w:val="body text,bt,heading3,NCDOT Body Text,1body,BodText,Body Txt,FL IND"/>
    <w:basedOn w:val="Normal"/>
    <w:rsid w:val="00380A43"/>
    <w:rPr>
      <w:szCs w:val="20"/>
    </w:rPr>
  </w:style>
  <w:style w:type="paragraph" w:customStyle="1" w:styleId="xl27">
    <w:name w:val="xl27"/>
    <w:basedOn w:val="Normal"/>
    <w:rsid w:val="00380A43"/>
    <w:pPr>
      <w:spacing w:before="100" w:after="100"/>
    </w:pPr>
    <w:rPr>
      <w:rFonts w:ascii="Arial" w:eastAsia="Arial Unicode MS" w:hAnsi="Arial"/>
      <w:b/>
      <w:szCs w:val="20"/>
    </w:rPr>
  </w:style>
  <w:style w:type="paragraph" w:styleId="FootnoteText">
    <w:name w:val="footnote text"/>
    <w:basedOn w:val="Normal"/>
    <w:semiHidden/>
    <w:rsid w:val="00380A43"/>
    <w:rPr>
      <w:sz w:val="20"/>
      <w:szCs w:val="20"/>
    </w:rPr>
  </w:style>
  <w:style w:type="paragraph" w:customStyle="1" w:styleId="xl34">
    <w:name w:val="xl34"/>
    <w:basedOn w:val="Normal"/>
    <w:rsid w:val="00380A43"/>
    <w:pPr>
      <w:spacing w:before="100" w:after="100"/>
      <w:jc w:val="center"/>
    </w:pPr>
    <w:rPr>
      <w:rFonts w:eastAsia="Arial Unicode MS"/>
      <w:b/>
      <w:sz w:val="20"/>
      <w:szCs w:val="20"/>
    </w:rPr>
  </w:style>
  <w:style w:type="paragraph" w:styleId="Title">
    <w:name w:val="Title"/>
    <w:basedOn w:val="Normal"/>
    <w:qFormat/>
    <w:rsid w:val="00380A43"/>
    <w:pPr>
      <w:ind w:left="720"/>
      <w:jc w:val="center"/>
    </w:pPr>
    <w:rPr>
      <w:b/>
      <w:i/>
      <w:szCs w:val="20"/>
    </w:rPr>
  </w:style>
  <w:style w:type="paragraph" w:styleId="BodyText2">
    <w:name w:val="Body Text 2"/>
    <w:basedOn w:val="Normal"/>
    <w:rsid w:val="00380A43"/>
    <w:rPr>
      <w:sz w:val="20"/>
      <w:szCs w:val="20"/>
    </w:rPr>
  </w:style>
  <w:style w:type="paragraph" w:styleId="Header">
    <w:name w:val="header"/>
    <w:basedOn w:val="Normal"/>
    <w:rsid w:val="00380A43"/>
    <w:pPr>
      <w:tabs>
        <w:tab w:val="center" w:pos="4320"/>
        <w:tab w:val="right" w:pos="8640"/>
      </w:tabs>
    </w:pPr>
    <w:rPr>
      <w:rFonts w:ascii="CG Times" w:hAnsi="CG Times"/>
      <w:szCs w:val="20"/>
    </w:rPr>
  </w:style>
  <w:style w:type="paragraph" w:customStyle="1" w:styleId="xl24">
    <w:name w:val="xl24"/>
    <w:basedOn w:val="Normal"/>
    <w:rsid w:val="00380A43"/>
    <w:pPr>
      <w:spacing w:before="100" w:after="100"/>
    </w:pPr>
    <w:rPr>
      <w:rFonts w:eastAsia="Arial Unicode MS"/>
      <w:szCs w:val="20"/>
      <w:u w:val="single"/>
    </w:rPr>
  </w:style>
  <w:style w:type="paragraph" w:styleId="BodyText3">
    <w:name w:val="Body Text 3"/>
    <w:basedOn w:val="Normal"/>
    <w:rsid w:val="00380A43"/>
    <w:rPr>
      <w:color w:val="000000"/>
      <w:szCs w:val="20"/>
    </w:rPr>
  </w:style>
  <w:style w:type="paragraph" w:customStyle="1" w:styleId="xl22">
    <w:name w:val="xl22"/>
    <w:basedOn w:val="Normal"/>
    <w:rsid w:val="00380A43"/>
    <w:pPr>
      <w:spacing w:before="100" w:after="100"/>
      <w:jc w:val="center"/>
    </w:pPr>
    <w:rPr>
      <w:rFonts w:eastAsia="Arial Unicode MS"/>
      <w:szCs w:val="20"/>
      <w:u w:val="single"/>
    </w:rPr>
  </w:style>
  <w:style w:type="paragraph" w:styleId="TOC1">
    <w:name w:val="toc 1"/>
    <w:basedOn w:val="Normal"/>
    <w:next w:val="Normal"/>
    <w:autoRedefine/>
    <w:semiHidden/>
    <w:rsid w:val="00380A43"/>
    <w:pPr>
      <w:jc w:val="right"/>
    </w:pPr>
    <w:rPr>
      <w:szCs w:val="20"/>
    </w:rPr>
  </w:style>
  <w:style w:type="paragraph" w:styleId="TOAHeading">
    <w:name w:val="toa heading"/>
    <w:basedOn w:val="Normal"/>
    <w:next w:val="Normal"/>
    <w:semiHidden/>
    <w:rsid w:val="00380A43"/>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380A43"/>
  </w:style>
  <w:style w:type="paragraph" w:styleId="BodyTextIndent">
    <w:name w:val="Body Text Indent"/>
    <w:basedOn w:val="Normal"/>
    <w:rsid w:val="00380A43"/>
    <w:pPr>
      <w:tabs>
        <w:tab w:val="left" w:leader="dot" w:pos="7920"/>
        <w:tab w:val="right" w:pos="8640"/>
      </w:tabs>
      <w:ind w:left="720"/>
    </w:pPr>
    <w:rPr>
      <w:bCs/>
      <w:i/>
      <w:iCs/>
    </w:rPr>
  </w:style>
  <w:style w:type="paragraph" w:styleId="BalloonText">
    <w:name w:val="Balloon Text"/>
    <w:basedOn w:val="Normal"/>
    <w:semiHidden/>
    <w:rsid w:val="00380A43"/>
    <w:rPr>
      <w:rFonts w:ascii="Tahoma" w:hAnsi="Tahoma" w:cs="Tahoma"/>
      <w:sz w:val="16"/>
      <w:szCs w:val="16"/>
    </w:rPr>
  </w:style>
  <w:style w:type="table" w:styleId="TableGrid">
    <w:name w:val="Table Grid"/>
    <w:basedOn w:val="TableNormal"/>
    <w:rsid w:val="00BA1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89">
    <w:name w:val="CM89"/>
    <w:basedOn w:val="Normal"/>
    <w:next w:val="Normal"/>
    <w:rsid w:val="00F64E98"/>
    <w:pPr>
      <w:autoSpaceDE w:val="0"/>
      <w:autoSpaceDN w:val="0"/>
      <w:adjustRightInd w:val="0"/>
      <w:spacing w:after="140"/>
    </w:pPr>
    <w:rPr>
      <w:rFonts w:ascii="HGFGAP+Arial" w:hAnsi="HGFGAP+Arial"/>
    </w:rPr>
  </w:style>
  <w:style w:type="character" w:styleId="Hyperlink">
    <w:name w:val="Hyperlink"/>
    <w:basedOn w:val="DefaultParagraphFont"/>
    <w:rsid w:val="00135179"/>
    <w:rPr>
      <w:strike w:val="0"/>
      <w:dstrike w:val="0"/>
      <w:color w:val="000099"/>
      <w:u w:val="none"/>
      <w:effect w:val="none"/>
    </w:rPr>
  </w:style>
  <w:style w:type="character" w:customStyle="1" w:styleId="FooterChar1">
    <w:name w:val="Footer Char1"/>
    <w:basedOn w:val="DefaultParagraphFont"/>
    <w:link w:val="Footer"/>
    <w:rsid w:val="00DA1F20"/>
    <w:rPr>
      <w:rFonts w:ascii="Courier New" w:hAnsi="Courier New"/>
      <w:lang w:val="en-US" w:eastAsia="en-US" w:bidi="ar-SA"/>
    </w:rPr>
  </w:style>
  <w:style w:type="paragraph" w:styleId="ListParagraph">
    <w:name w:val="List Paragraph"/>
    <w:basedOn w:val="Normal"/>
    <w:qFormat/>
    <w:rsid w:val="009D3B81"/>
    <w:pPr>
      <w:ind w:left="720"/>
    </w:pPr>
  </w:style>
  <w:style w:type="character" w:customStyle="1" w:styleId="FooterChar">
    <w:name w:val="Footer Char"/>
    <w:basedOn w:val="DefaultParagraphFont"/>
    <w:locked/>
    <w:rsid w:val="001349CC"/>
    <w:rPr>
      <w:rFonts w:ascii="Courier New" w:hAnsi="Courier New" w:cs="Times New Roman"/>
    </w:rPr>
  </w:style>
  <w:style w:type="character" w:styleId="CommentReference">
    <w:name w:val="annotation reference"/>
    <w:basedOn w:val="DefaultParagraphFont"/>
    <w:rsid w:val="00173121"/>
    <w:rPr>
      <w:sz w:val="16"/>
      <w:szCs w:val="16"/>
    </w:rPr>
  </w:style>
  <w:style w:type="paragraph" w:styleId="CommentText">
    <w:name w:val="annotation text"/>
    <w:basedOn w:val="Normal"/>
    <w:link w:val="CommentTextChar"/>
    <w:rsid w:val="00173121"/>
    <w:rPr>
      <w:sz w:val="20"/>
      <w:szCs w:val="20"/>
    </w:rPr>
  </w:style>
  <w:style w:type="character" w:customStyle="1" w:styleId="CommentTextChar">
    <w:name w:val="Comment Text Char"/>
    <w:basedOn w:val="DefaultParagraphFont"/>
    <w:link w:val="CommentText"/>
    <w:rsid w:val="00173121"/>
  </w:style>
  <w:style w:type="paragraph" w:styleId="CommentSubject">
    <w:name w:val="annotation subject"/>
    <w:basedOn w:val="CommentText"/>
    <w:next w:val="CommentText"/>
    <w:link w:val="CommentSubjectChar"/>
    <w:rsid w:val="00173121"/>
    <w:rPr>
      <w:b/>
      <w:bCs/>
    </w:rPr>
  </w:style>
  <w:style w:type="character" w:customStyle="1" w:styleId="CommentSubjectChar">
    <w:name w:val="Comment Subject Char"/>
    <w:basedOn w:val="CommentTextChar"/>
    <w:link w:val="CommentSubject"/>
    <w:rsid w:val="00173121"/>
    <w:rPr>
      <w:b/>
      <w:bCs/>
    </w:rPr>
  </w:style>
  <w:style w:type="character" w:styleId="FootnoteReference">
    <w:name w:val="footnote reference"/>
    <w:basedOn w:val="DefaultParagraphFont"/>
    <w:semiHidden/>
    <w:rsid w:val="00BB5CEB"/>
    <w:rPr>
      <w:vertAlign w:val="superscript"/>
    </w:rPr>
  </w:style>
  <w:style w:type="paragraph" w:styleId="Revision">
    <w:name w:val="Revision"/>
    <w:hidden/>
    <w:uiPriority w:val="99"/>
    <w:semiHidden/>
    <w:rsid w:val="00361FBB"/>
    <w:rPr>
      <w:sz w:val="24"/>
      <w:szCs w:val="24"/>
    </w:rPr>
  </w:style>
</w:styles>
</file>

<file path=word/webSettings.xml><?xml version="1.0" encoding="utf-8"?>
<w:webSettings xmlns:r="http://schemas.openxmlformats.org/officeDocument/2006/relationships" xmlns:w="http://schemas.openxmlformats.org/wordprocessingml/2006/main">
  <w:divs>
    <w:div w:id="85656010">
      <w:bodyDiv w:val="1"/>
      <w:marLeft w:val="0"/>
      <w:marRight w:val="0"/>
      <w:marTop w:val="0"/>
      <w:marBottom w:val="0"/>
      <w:divBdr>
        <w:top w:val="none" w:sz="0" w:space="0" w:color="auto"/>
        <w:left w:val="none" w:sz="0" w:space="0" w:color="auto"/>
        <w:bottom w:val="none" w:sz="0" w:space="0" w:color="auto"/>
        <w:right w:val="none" w:sz="0" w:space="0" w:color="auto"/>
      </w:divBdr>
    </w:div>
    <w:div w:id="499274262">
      <w:bodyDiv w:val="1"/>
      <w:marLeft w:val="0"/>
      <w:marRight w:val="0"/>
      <w:marTop w:val="0"/>
      <w:marBottom w:val="0"/>
      <w:divBdr>
        <w:top w:val="none" w:sz="0" w:space="0" w:color="auto"/>
        <w:left w:val="none" w:sz="0" w:space="0" w:color="auto"/>
        <w:bottom w:val="none" w:sz="0" w:space="0" w:color="auto"/>
        <w:right w:val="none" w:sz="0" w:space="0" w:color="auto"/>
      </w:divBdr>
    </w:div>
    <w:div w:id="985429398">
      <w:bodyDiv w:val="1"/>
      <w:marLeft w:val="0"/>
      <w:marRight w:val="0"/>
      <w:marTop w:val="0"/>
      <w:marBottom w:val="0"/>
      <w:divBdr>
        <w:top w:val="none" w:sz="0" w:space="0" w:color="auto"/>
        <w:left w:val="none" w:sz="0" w:space="0" w:color="auto"/>
        <w:bottom w:val="none" w:sz="0" w:space="0" w:color="auto"/>
        <w:right w:val="none" w:sz="0" w:space="0" w:color="auto"/>
      </w:divBdr>
    </w:div>
    <w:div w:id="1440102489">
      <w:bodyDiv w:val="1"/>
      <w:marLeft w:val="0"/>
      <w:marRight w:val="0"/>
      <w:marTop w:val="0"/>
      <w:marBottom w:val="0"/>
      <w:divBdr>
        <w:top w:val="none" w:sz="0" w:space="0" w:color="auto"/>
        <w:left w:val="none" w:sz="0" w:space="0" w:color="auto"/>
        <w:bottom w:val="none" w:sz="0" w:space="0" w:color="auto"/>
        <w:right w:val="none" w:sz="0" w:space="0" w:color="auto"/>
      </w:divBdr>
    </w:div>
    <w:div w:id="20093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Microsoft_Office_Excel_97-2003_Worksheet1.xls"/><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02organizations/bpp.htm"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Microsoft_Office_Excel_97-2003_Worksheet2.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2B3E0-F7BE-4129-BF1E-95F4A29B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3581</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23420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DOJ</dc:creator>
  <cp:lastModifiedBy>swatson</cp:lastModifiedBy>
  <cp:revision>2</cp:revision>
  <cp:lastPrinted>2012-02-07T13:22:00Z</cp:lastPrinted>
  <dcterms:created xsi:type="dcterms:W3CDTF">2012-02-08T22:47:00Z</dcterms:created>
  <dcterms:modified xsi:type="dcterms:W3CDTF">2012-02-08T22:47:00Z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